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CE4A" w14:textId="77777777" w:rsidR="00497B63" w:rsidRPr="00116AEF" w:rsidRDefault="00497B63" w:rsidP="009402B5">
      <w:pPr>
        <w:pStyle w:val="CETAuthors"/>
        <w:spacing w:line="276" w:lineRule="auto"/>
        <w:rPr>
          <w:color w:val="000000" w:themeColor="text1"/>
          <w:sz w:val="28"/>
          <w:szCs w:val="22"/>
        </w:rPr>
      </w:pPr>
      <w:r w:rsidRPr="00116AEF">
        <w:rPr>
          <w:color w:val="000000" w:themeColor="text1"/>
          <w:sz w:val="32"/>
          <w:szCs w:val="32"/>
          <w:lang w:val="en-US"/>
        </w:rPr>
        <w:t xml:space="preserve">Integrated Mixotrophic Cultivation Strategy for </w:t>
      </w:r>
      <w:r w:rsidRPr="00116AEF">
        <w:rPr>
          <w:i/>
          <w:iCs/>
          <w:color w:val="000000" w:themeColor="text1"/>
          <w:sz w:val="32"/>
          <w:szCs w:val="32"/>
          <w:lang w:val="en-US"/>
        </w:rPr>
        <w:t xml:space="preserve">Limnospira </w:t>
      </w:r>
      <w:r w:rsidRPr="00116AEF">
        <w:rPr>
          <w:color w:val="000000" w:themeColor="text1"/>
          <w:sz w:val="32"/>
          <w:szCs w:val="32"/>
          <w:lang w:val="en-US"/>
        </w:rPr>
        <w:t>(</w:t>
      </w:r>
      <w:r w:rsidRPr="00116AEF">
        <w:rPr>
          <w:i/>
          <w:iCs/>
          <w:color w:val="000000" w:themeColor="text1"/>
          <w:sz w:val="32"/>
          <w:szCs w:val="32"/>
          <w:lang w:val="en-US"/>
        </w:rPr>
        <w:t>Spirulina</w:t>
      </w:r>
      <w:r w:rsidRPr="00116AEF">
        <w:rPr>
          <w:color w:val="000000" w:themeColor="text1"/>
          <w:sz w:val="32"/>
          <w:szCs w:val="32"/>
          <w:lang w:val="en-US"/>
        </w:rPr>
        <w:t>)</w:t>
      </w:r>
      <w:r w:rsidRPr="00116AEF">
        <w:rPr>
          <w:i/>
          <w:iCs/>
          <w:color w:val="000000" w:themeColor="text1"/>
          <w:sz w:val="32"/>
          <w:szCs w:val="32"/>
          <w:lang w:val="en-US"/>
        </w:rPr>
        <w:t xml:space="preserve"> platensis</w:t>
      </w:r>
      <w:r w:rsidRPr="00116AEF">
        <w:rPr>
          <w:color w:val="000000" w:themeColor="text1"/>
          <w:sz w:val="32"/>
          <w:szCs w:val="32"/>
          <w:lang w:val="en-US"/>
        </w:rPr>
        <w:t xml:space="preserve"> Using Vinegar Wastewater: Productivity Enhancement through Controlled Organic Supplementation and Salinity Optimization</w:t>
      </w:r>
      <w:r w:rsidRPr="00116AEF">
        <w:rPr>
          <w:color w:val="000000" w:themeColor="text1"/>
          <w:sz w:val="28"/>
          <w:szCs w:val="22"/>
        </w:rPr>
        <w:t xml:space="preserve"> </w:t>
      </w:r>
    </w:p>
    <w:p w14:paraId="5B5B5F03" w14:textId="77777777" w:rsidR="00497B63" w:rsidRPr="00116AEF" w:rsidRDefault="00497B63" w:rsidP="009402B5">
      <w:pPr>
        <w:spacing w:before="240" w:line="276" w:lineRule="auto"/>
        <w:rPr>
          <w:rFonts w:ascii="Arial" w:hAnsi="Arial" w:cs="Arial"/>
          <w:color w:val="000000" w:themeColor="text1"/>
          <w:sz w:val="24"/>
          <w:szCs w:val="24"/>
          <w:lang w:val="it-IT"/>
        </w:rPr>
      </w:pPr>
      <w:r w:rsidRPr="00116AEF">
        <w:rPr>
          <w:rFonts w:ascii="Arial" w:hAnsi="Arial" w:cs="Arial"/>
          <w:color w:val="000000" w:themeColor="text1"/>
          <w:sz w:val="24"/>
          <w:szCs w:val="24"/>
          <w:lang w:val="it-IT"/>
        </w:rPr>
        <w:t>Luca Usai</w:t>
      </w:r>
      <w:r w:rsidRPr="00116AEF">
        <w:rPr>
          <w:rFonts w:ascii="Arial" w:hAnsi="Arial" w:cs="Arial"/>
          <w:color w:val="000000" w:themeColor="text1"/>
          <w:sz w:val="24"/>
          <w:szCs w:val="24"/>
          <w:vertAlign w:val="superscript"/>
          <w:lang w:val="it-IT"/>
        </w:rPr>
        <w:t>a</w:t>
      </w:r>
      <w:r w:rsidRPr="00116AEF">
        <w:rPr>
          <w:rFonts w:ascii="Arial" w:hAnsi="Arial" w:cs="Arial"/>
          <w:color w:val="000000" w:themeColor="text1"/>
          <w:sz w:val="24"/>
          <w:szCs w:val="24"/>
          <w:lang w:val="it-IT"/>
        </w:rPr>
        <w:t>, Maria Pramazzoni</w:t>
      </w:r>
      <w:r w:rsidRPr="00116AEF">
        <w:rPr>
          <w:rFonts w:ascii="Arial" w:hAnsi="Arial" w:cs="Arial"/>
          <w:color w:val="000000" w:themeColor="text1"/>
          <w:sz w:val="24"/>
          <w:szCs w:val="24"/>
          <w:vertAlign w:val="superscript"/>
          <w:lang w:val="it-IT"/>
        </w:rPr>
        <w:t>b</w:t>
      </w:r>
      <w:r w:rsidRPr="00116AEF">
        <w:rPr>
          <w:rFonts w:ascii="Arial" w:hAnsi="Arial" w:cs="Arial"/>
          <w:color w:val="000000" w:themeColor="text1"/>
          <w:sz w:val="24"/>
          <w:szCs w:val="24"/>
          <w:lang w:val="it-IT"/>
        </w:rPr>
        <w:t>, Silvia Casu</w:t>
      </w:r>
      <w:r w:rsidRPr="00116AEF">
        <w:rPr>
          <w:rFonts w:ascii="Arial" w:hAnsi="Arial" w:cs="Arial"/>
          <w:color w:val="000000" w:themeColor="text1"/>
          <w:sz w:val="24"/>
          <w:szCs w:val="24"/>
          <w:vertAlign w:val="superscript"/>
          <w:lang w:val="it-IT"/>
        </w:rPr>
        <w:t>c</w:t>
      </w:r>
      <w:r w:rsidRPr="00116AEF">
        <w:rPr>
          <w:rFonts w:ascii="Arial" w:hAnsi="Arial" w:cs="Arial"/>
          <w:color w:val="000000" w:themeColor="text1"/>
          <w:sz w:val="24"/>
          <w:szCs w:val="24"/>
          <w:lang w:val="it-IT"/>
        </w:rPr>
        <w:t xml:space="preserve">, Giacomo </w:t>
      </w:r>
      <w:proofErr w:type="spellStart"/>
      <w:proofErr w:type="gramStart"/>
      <w:r w:rsidRPr="00116AEF">
        <w:rPr>
          <w:rFonts w:ascii="Arial" w:hAnsi="Arial" w:cs="Arial"/>
          <w:color w:val="000000" w:themeColor="text1"/>
          <w:sz w:val="24"/>
          <w:szCs w:val="24"/>
          <w:lang w:val="it-IT"/>
        </w:rPr>
        <w:t>Fais</w:t>
      </w:r>
      <w:r w:rsidRPr="00116AEF">
        <w:rPr>
          <w:rFonts w:ascii="Arial" w:hAnsi="Arial" w:cs="Arial"/>
          <w:color w:val="000000" w:themeColor="text1"/>
          <w:sz w:val="24"/>
          <w:szCs w:val="24"/>
          <w:vertAlign w:val="superscript"/>
          <w:lang w:val="it-IT"/>
        </w:rPr>
        <w:t>c,d</w:t>
      </w:r>
      <w:proofErr w:type="spellEnd"/>
      <w:proofErr w:type="gramEnd"/>
      <w:r w:rsidRPr="00116AEF">
        <w:rPr>
          <w:rFonts w:ascii="Arial" w:hAnsi="Arial" w:cs="Arial"/>
          <w:color w:val="000000" w:themeColor="text1"/>
          <w:sz w:val="24"/>
          <w:szCs w:val="24"/>
          <w:lang w:val="it-IT"/>
        </w:rPr>
        <w:t>, Giovanni Antonio Lutzu</w:t>
      </w:r>
      <w:r w:rsidRPr="00116AEF">
        <w:rPr>
          <w:rFonts w:ascii="Arial" w:hAnsi="Arial" w:cs="Arial"/>
          <w:color w:val="000000" w:themeColor="text1"/>
          <w:sz w:val="24"/>
          <w:szCs w:val="24"/>
          <w:vertAlign w:val="superscript"/>
          <w:lang w:val="it-IT"/>
        </w:rPr>
        <w:t>a</w:t>
      </w:r>
      <w:r w:rsidRPr="00116AEF">
        <w:rPr>
          <w:rFonts w:ascii="Arial" w:hAnsi="Arial" w:cs="Arial"/>
          <w:color w:val="000000" w:themeColor="text1"/>
          <w:sz w:val="24"/>
          <w:szCs w:val="24"/>
          <w:lang w:val="it-IT"/>
        </w:rPr>
        <w:t xml:space="preserve">, Alessandro </w:t>
      </w:r>
      <w:proofErr w:type="spellStart"/>
      <w:proofErr w:type="gramStart"/>
      <w:r w:rsidRPr="00116AEF">
        <w:rPr>
          <w:rFonts w:ascii="Arial" w:hAnsi="Arial" w:cs="Arial"/>
          <w:color w:val="000000" w:themeColor="text1"/>
          <w:sz w:val="24"/>
          <w:szCs w:val="24"/>
          <w:lang w:val="it-IT"/>
        </w:rPr>
        <w:t>Concas</w:t>
      </w:r>
      <w:r w:rsidRPr="00116AEF">
        <w:rPr>
          <w:rFonts w:ascii="Arial" w:hAnsi="Arial" w:cs="Arial"/>
          <w:color w:val="000000" w:themeColor="text1"/>
          <w:sz w:val="24"/>
          <w:szCs w:val="24"/>
          <w:vertAlign w:val="superscript"/>
          <w:lang w:val="it-IT"/>
        </w:rPr>
        <w:t>c,d</w:t>
      </w:r>
      <w:proofErr w:type="spellEnd"/>
      <w:proofErr w:type="gramEnd"/>
      <w:r w:rsidRPr="00116AEF">
        <w:rPr>
          <w:rFonts w:ascii="Arial" w:hAnsi="Arial" w:cs="Arial"/>
          <w:color w:val="000000" w:themeColor="text1"/>
          <w:sz w:val="24"/>
          <w:szCs w:val="24"/>
          <w:lang w:val="it-IT"/>
        </w:rPr>
        <w:t>*</w:t>
      </w:r>
    </w:p>
    <w:p w14:paraId="5B58E342" w14:textId="77777777" w:rsidR="00497B63" w:rsidRPr="00116AEF" w:rsidRDefault="00497B63" w:rsidP="009402B5">
      <w:pPr>
        <w:spacing w:line="276" w:lineRule="auto"/>
        <w:rPr>
          <w:rFonts w:ascii="Arial" w:hAnsi="Arial" w:cs="Arial"/>
          <w:b/>
          <w:bCs/>
          <w:color w:val="000000" w:themeColor="text1"/>
          <w:sz w:val="24"/>
          <w:szCs w:val="24"/>
          <w:lang w:val="it-IT"/>
        </w:rPr>
      </w:pPr>
    </w:p>
    <w:p w14:paraId="7C134DC3" w14:textId="77777777" w:rsidR="00497B63" w:rsidRPr="00116AEF" w:rsidRDefault="00497B63" w:rsidP="009402B5">
      <w:pPr>
        <w:pStyle w:val="CETAddress"/>
        <w:spacing w:after="200"/>
        <w:jc w:val="both"/>
        <w:rPr>
          <w:color w:val="000000" w:themeColor="text1"/>
          <w:vertAlign w:val="superscript"/>
          <w:lang w:val="it-IT"/>
        </w:rPr>
      </w:pPr>
      <w:r w:rsidRPr="00116AEF">
        <w:rPr>
          <w:color w:val="000000" w:themeColor="text1"/>
          <w:vertAlign w:val="superscript"/>
          <w:lang w:val="it-IT"/>
        </w:rPr>
        <w:t xml:space="preserve">a </w:t>
      </w:r>
      <w:r w:rsidRPr="00116AEF">
        <w:rPr>
          <w:color w:val="000000" w:themeColor="text1"/>
          <w:lang w:val="it-IT"/>
        </w:rPr>
        <w:t>Teregroup Srl, Via David Livingstone 37, 41123 Modena (MO), Italy</w:t>
      </w:r>
    </w:p>
    <w:p w14:paraId="0B9B3C89" w14:textId="77777777" w:rsidR="00497B63" w:rsidRPr="00116AEF" w:rsidRDefault="00497B63" w:rsidP="009402B5">
      <w:pPr>
        <w:pStyle w:val="CETAddress"/>
        <w:spacing w:after="200"/>
        <w:jc w:val="both"/>
        <w:rPr>
          <w:color w:val="000000" w:themeColor="text1"/>
          <w:vertAlign w:val="superscript"/>
          <w:lang w:val="it-IT"/>
        </w:rPr>
      </w:pPr>
      <w:r w:rsidRPr="00116AEF">
        <w:rPr>
          <w:color w:val="000000" w:themeColor="text1"/>
          <w:vertAlign w:val="superscript"/>
          <w:lang w:val="it-IT"/>
        </w:rPr>
        <w:t xml:space="preserve">b </w:t>
      </w:r>
      <w:r w:rsidRPr="00116AEF">
        <w:rPr>
          <w:color w:val="000000" w:themeColor="text1"/>
          <w:lang w:val="it-IT"/>
        </w:rPr>
        <w:t>Department of Life Sciences, University of Modena and Reggio Emilia, Via Giuseppe Campi 287, 41123 Modena (MO), Italy</w:t>
      </w:r>
    </w:p>
    <w:p w14:paraId="5D6E0FA3" w14:textId="77777777" w:rsidR="00497B63" w:rsidRPr="00116AEF" w:rsidRDefault="00497B63" w:rsidP="009402B5">
      <w:pPr>
        <w:pStyle w:val="CETAddress"/>
        <w:spacing w:after="200"/>
        <w:jc w:val="both"/>
        <w:rPr>
          <w:color w:val="000000" w:themeColor="text1"/>
          <w:lang w:val="en-US"/>
        </w:rPr>
      </w:pPr>
      <w:r w:rsidRPr="00116AEF">
        <w:rPr>
          <w:color w:val="000000" w:themeColor="text1"/>
          <w:vertAlign w:val="superscript"/>
        </w:rPr>
        <w:t xml:space="preserve">c </w:t>
      </w:r>
      <w:r w:rsidRPr="00116AEF">
        <w:rPr>
          <w:color w:val="000000" w:themeColor="text1"/>
        </w:rPr>
        <w:t xml:space="preserve">Department of Mechanical, Chemical and Materials Engineering, University of </w:t>
      </w:r>
      <w:r w:rsidRPr="00116AEF">
        <w:rPr>
          <w:color w:val="000000" w:themeColor="text1"/>
          <w:lang w:val="en-US"/>
        </w:rPr>
        <w:t>Cagliari, Piazza d’Armi, 09123 Cagliari (CA), Italy</w:t>
      </w:r>
    </w:p>
    <w:p w14:paraId="625ABF13" w14:textId="77777777" w:rsidR="00497B63" w:rsidRPr="00116AEF" w:rsidRDefault="00497B63" w:rsidP="009402B5">
      <w:pPr>
        <w:pStyle w:val="CETAddress"/>
        <w:spacing w:after="200"/>
        <w:jc w:val="both"/>
        <w:rPr>
          <w:color w:val="000000" w:themeColor="text1"/>
          <w:vertAlign w:val="superscript"/>
          <w:lang w:val="en-US"/>
        </w:rPr>
      </w:pPr>
      <w:r w:rsidRPr="00116AEF">
        <w:rPr>
          <w:color w:val="000000" w:themeColor="text1"/>
          <w:vertAlign w:val="superscript"/>
        </w:rPr>
        <w:t xml:space="preserve">d </w:t>
      </w:r>
      <w:r w:rsidRPr="00116AEF">
        <w:rPr>
          <w:color w:val="000000" w:themeColor="text1"/>
        </w:rPr>
        <w:t xml:space="preserve">Interdepartmental Centre of Environmental Science and Engineering (CINSA), </w:t>
      </w:r>
      <w:r w:rsidRPr="00116AEF">
        <w:rPr>
          <w:color w:val="000000" w:themeColor="text1"/>
          <w:lang w:val="en-US"/>
        </w:rPr>
        <w:t>University of Cagliari, Via San Giorgio 12, 09124 Cagliari, Italy</w:t>
      </w:r>
    </w:p>
    <w:p w14:paraId="3B54927E" w14:textId="451437EC" w:rsidR="00600E46" w:rsidRPr="00116AEF" w:rsidRDefault="00497B63" w:rsidP="009402B5">
      <w:pPr>
        <w:pStyle w:val="CETBodytext"/>
        <w:spacing w:line="276" w:lineRule="auto"/>
        <w:rPr>
          <w:color w:val="000000" w:themeColor="text1"/>
        </w:rPr>
      </w:pPr>
      <w:r w:rsidRPr="00116AEF">
        <w:rPr>
          <w:noProof/>
          <w:color w:val="000000" w:themeColor="text1"/>
          <w:sz w:val="16"/>
        </w:rPr>
        <w:t xml:space="preserve">Corresponding author: </w:t>
      </w:r>
      <w:hyperlink r:id="rId7" w:history="1">
        <w:r w:rsidRPr="00116AEF">
          <w:rPr>
            <w:rStyle w:val="Collegamentoipertestuale"/>
            <w:noProof/>
            <w:color w:val="000000" w:themeColor="text1"/>
            <w:sz w:val="16"/>
          </w:rPr>
          <w:t>alessandro.concas@unica.it</w:t>
        </w:r>
      </w:hyperlink>
    </w:p>
    <w:p w14:paraId="47EA528F" w14:textId="77777777" w:rsidR="00A00D55" w:rsidRPr="00116AEF" w:rsidRDefault="00A00D55" w:rsidP="009402B5">
      <w:pPr>
        <w:pStyle w:val="Paragrafoelenco"/>
        <w:spacing w:before="100" w:beforeAutospacing="1" w:after="100" w:afterAutospacing="1" w:line="276" w:lineRule="auto"/>
        <w:ind w:left="0"/>
        <w:rPr>
          <w:rFonts w:ascii="Arial" w:eastAsia="Times New Roman" w:hAnsi="Arial" w:cs="Arial"/>
          <w:color w:val="000000" w:themeColor="text1"/>
          <w:sz w:val="18"/>
          <w:szCs w:val="18"/>
          <w:lang w:val="en-US" w:eastAsia="it-IT"/>
        </w:rPr>
      </w:pPr>
      <w:r w:rsidRPr="00116AEF">
        <w:rPr>
          <w:rFonts w:ascii="Arial" w:eastAsia="Times New Roman" w:hAnsi="Arial" w:cs="Arial"/>
          <w:color w:val="000000" w:themeColor="text1"/>
          <w:sz w:val="18"/>
          <w:szCs w:val="18"/>
          <w:lang w:val="en-US" w:eastAsia="it-IT"/>
        </w:rPr>
        <w:t xml:space="preserve">Agro-industrial wastewaters rich in organic compounds represent both an environmental liability and a potential resource for sustainable bioprocesses. This study evaluated a cultivation strategy for </w:t>
      </w:r>
      <w:proofErr w:type="spellStart"/>
      <w:r w:rsidRPr="00116AEF">
        <w:rPr>
          <w:rFonts w:ascii="Arial" w:eastAsia="Times New Roman" w:hAnsi="Arial" w:cs="Arial"/>
          <w:i/>
          <w:iCs/>
          <w:color w:val="000000" w:themeColor="text1"/>
          <w:sz w:val="18"/>
          <w:szCs w:val="18"/>
          <w:lang w:val="en-US" w:eastAsia="it-IT"/>
        </w:rPr>
        <w:t>Limnospira</w:t>
      </w:r>
      <w:proofErr w:type="spellEnd"/>
      <w:r w:rsidRPr="00116AEF">
        <w:rPr>
          <w:rFonts w:ascii="Arial" w:eastAsia="Times New Roman" w:hAnsi="Arial" w:cs="Arial"/>
          <w:i/>
          <w:iCs/>
          <w:color w:val="000000" w:themeColor="text1"/>
          <w:sz w:val="18"/>
          <w:szCs w:val="18"/>
          <w:lang w:val="en-US" w:eastAsia="it-IT"/>
        </w:rPr>
        <w:t xml:space="preserve"> (Spirulina) platensis</w:t>
      </w:r>
      <w:r w:rsidRPr="00116AEF">
        <w:rPr>
          <w:rFonts w:ascii="Arial" w:eastAsia="Times New Roman" w:hAnsi="Arial" w:cs="Arial"/>
          <w:color w:val="000000" w:themeColor="text1"/>
          <w:sz w:val="18"/>
          <w:szCs w:val="18"/>
          <w:lang w:val="en-US" w:eastAsia="it-IT"/>
        </w:rPr>
        <w:t xml:space="preserve"> based on controlled mixotrophic supplementation with vinegar wastewater and salinity optimization to enhance biomass production while maintaining culture stability.</w:t>
      </w:r>
    </w:p>
    <w:p w14:paraId="30E01B8F" w14:textId="5083BA1D" w:rsidR="00A00D55" w:rsidRPr="00116AEF" w:rsidRDefault="00A00D55" w:rsidP="009402B5">
      <w:pPr>
        <w:pStyle w:val="Paragrafoelenco"/>
        <w:spacing w:before="100" w:beforeAutospacing="1" w:after="100" w:afterAutospacing="1" w:line="276" w:lineRule="auto"/>
        <w:ind w:left="0"/>
        <w:rPr>
          <w:rFonts w:ascii="Arial" w:eastAsia="Times New Roman" w:hAnsi="Arial" w:cs="Arial"/>
          <w:color w:val="000000" w:themeColor="text1"/>
          <w:sz w:val="18"/>
          <w:szCs w:val="18"/>
          <w:lang w:val="en-US" w:eastAsia="it-IT"/>
        </w:rPr>
      </w:pPr>
      <w:r w:rsidRPr="00116AEF">
        <w:rPr>
          <w:rFonts w:ascii="Arial" w:eastAsia="Times New Roman" w:hAnsi="Arial" w:cs="Arial"/>
          <w:color w:val="000000" w:themeColor="text1"/>
          <w:sz w:val="18"/>
          <w:szCs w:val="18"/>
          <w:lang w:val="en-US" w:eastAsia="it-IT"/>
        </w:rPr>
        <w:t xml:space="preserve">Vinegar supplementation significantly improved growth compared to the control (Jourdan medium), with biomass concentrations ranging from 3.32 to 6.30 g </w:t>
      </w:r>
      <w:r w:rsidR="00C10A48" w:rsidRPr="00116AEF">
        <w:rPr>
          <w:rFonts w:cs="Arial"/>
          <w:color w:val="000000" w:themeColor="text1"/>
          <w:szCs w:val="22"/>
        </w:rPr>
        <w:t xml:space="preserve">· </w:t>
      </w:r>
      <w:r w:rsidRPr="00116AEF">
        <w:rPr>
          <w:rFonts w:ascii="Arial" w:eastAsia="Times New Roman" w:hAnsi="Arial" w:cs="Arial"/>
          <w:color w:val="000000" w:themeColor="text1"/>
          <w:sz w:val="18"/>
          <w:szCs w:val="18"/>
          <w:lang w:val="en-US" w:eastAsia="it-IT"/>
        </w:rPr>
        <w:t>L</w:t>
      </w:r>
      <w:r w:rsidRPr="00116AEF">
        <w:rPr>
          <w:rFonts w:ascii="Cambria Math" w:eastAsia="Times New Roman" w:hAnsi="Cambria Math" w:cs="Cambria Math"/>
          <w:color w:val="000000" w:themeColor="text1"/>
          <w:sz w:val="18"/>
          <w:szCs w:val="18"/>
          <w:lang w:val="en-US" w:eastAsia="it-IT"/>
        </w:rPr>
        <w:t>⁻</w:t>
      </w:r>
      <w:r w:rsidRPr="00116AEF">
        <w:rPr>
          <w:rFonts w:ascii="Arial" w:eastAsia="Times New Roman" w:hAnsi="Arial" w:cs="Arial"/>
          <w:color w:val="000000" w:themeColor="text1"/>
          <w:sz w:val="18"/>
          <w:szCs w:val="18"/>
          <w:lang w:val="en-US" w:eastAsia="it-IT"/>
        </w:rPr>
        <w:t xml:space="preserve">¹ within four days, versus 2.42 g </w:t>
      </w:r>
      <w:r w:rsidR="00C10A48" w:rsidRPr="00116AEF">
        <w:rPr>
          <w:rFonts w:cs="Arial"/>
          <w:color w:val="000000" w:themeColor="text1"/>
          <w:szCs w:val="22"/>
        </w:rPr>
        <w:t xml:space="preserve">· </w:t>
      </w:r>
      <w:r w:rsidRPr="00116AEF">
        <w:rPr>
          <w:rFonts w:ascii="Arial" w:eastAsia="Times New Roman" w:hAnsi="Arial" w:cs="Arial"/>
          <w:color w:val="000000" w:themeColor="text1"/>
          <w:sz w:val="18"/>
          <w:szCs w:val="18"/>
          <w:lang w:val="en-US" w:eastAsia="it-IT"/>
        </w:rPr>
        <w:t>L</w:t>
      </w:r>
      <w:r w:rsidRPr="00116AEF">
        <w:rPr>
          <w:rFonts w:ascii="Cambria Math" w:eastAsia="Times New Roman" w:hAnsi="Cambria Math" w:cs="Cambria Math"/>
          <w:color w:val="000000" w:themeColor="text1"/>
          <w:sz w:val="18"/>
          <w:szCs w:val="18"/>
          <w:lang w:val="en-US" w:eastAsia="it-IT"/>
        </w:rPr>
        <w:t>⁻</w:t>
      </w:r>
      <w:r w:rsidRPr="00116AEF">
        <w:rPr>
          <w:rFonts w:ascii="Arial" w:eastAsia="Times New Roman" w:hAnsi="Arial" w:cs="Arial"/>
          <w:color w:val="000000" w:themeColor="text1"/>
          <w:sz w:val="18"/>
          <w:szCs w:val="18"/>
          <w:lang w:val="en-US" w:eastAsia="it-IT"/>
        </w:rPr>
        <w:t>¹ in autotrophic conditions. The effect of NaCl under mixotrophy revealed a clear interaction between salinity and organic carbon availability, with optimal performance (5.85 g</w:t>
      </w:r>
      <w:r w:rsidR="00C10A48" w:rsidRPr="00116AEF">
        <w:rPr>
          <w:rFonts w:ascii="Arial" w:eastAsia="Times New Roman" w:hAnsi="Arial" w:cs="Arial"/>
          <w:color w:val="000000" w:themeColor="text1"/>
          <w:sz w:val="18"/>
          <w:szCs w:val="18"/>
          <w:lang w:val="en-US" w:eastAsia="it-IT"/>
        </w:rPr>
        <w:t xml:space="preserve"> </w:t>
      </w:r>
      <w:r w:rsidR="00C10A48" w:rsidRPr="00116AEF">
        <w:rPr>
          <w:rFonts w:cs="Arial"/>
          <w:color w:val="000000" w:themeColor="text1"/>
          <w:szCs w:val="22"/>
        </w:rPr>
        <w:t>·</w:t>
      </w:r>
      <w:r w:rsidRPr="00116AEF">
        <w:rPr>
          <w:rFonts w:ascii="Arial" w:eastAsia="Times New Roman" w:hAnsi="Arial" w:cs="Arial"/>
          <w:color w:val="000000" w:themeColor="text1"/>
          <w:sz w:val="18"/>
          <w:szCs w:val="18"/>
          <w:lang w:val="en-US" w:eastAsia="it-IT"/>
        </w:rPr>
        <w:t xml:space="preserve"> L</w:t>
      </w:r>
      <w:r w:rsidRPr="00116AEF">
        <w:rPr>
          <w:rFonts w:ascii="Cambria Math" w:eastAsia="Times New Roman" w:hAnsi="Cambria Math" w:cs="Cambria Math"/>
          <w:color w:val="000000" w:themeColor="text1"/>
          <w:sz w:val="18"/>
          <w:szCs w:val="18"/>
          <w:lang w:val="en-US" w:eastAsia="it-IT"/>
        </w:rPr>
        <w:t>⁻</w:t>
      </w:r>
      <w:r w:rsidRPr="00116AEF">
        <w:rPr>
          <w:rFonts w:ascii="Arial" w:eastAsia="Times New Roman" w:hAnsi="Arial" w:cs="Arial"/>
          <w:color w:val="000000" w:themeColor="text1"/>
          <w:sz w:val="18"/>
          <w:szCs w:val="18"/>
          <w:lang w:val="en-US" w:eastAsia="it-IT"/>
        </w:rPr>
        <w:t xml:space="preserve">¹) at 1 g </w:t>
      </w:r>
      <w:r w:rsidR="00C10A48" w:rsidRPr="00116AEF">
        <w:rPr>
          <w:rFonts w:cs="Arial"/>
          <w:color w:val="000000" w:themeColor="text1"/>
          <w:szCs w:val="22"/>
        </w:rPr>
        <w:t xml:space="preserve">· </w:t>
      </w:r>
      <w:r w:rsidRPr="00116AEF">
        <w:rPr>
          <w:rFonts w:ascii="Arial" w:eastAsia="Times New Roman" w:hAnsi="Arial" w:cs="Arial"/>
          <w:color w:val="000000" w:themeColor="text1"/>
          <w:sz w:val="18"/>
          <w:szCs w:val="18"/>
          <w:lang w:val="en-US" w:eastAsia="it-IT"/>
        </w:rPr>
        <w:t>L</w:t>
      </w:r>
      <w:r w:rsidRPr="00116AEF">
        <w:rPr>
          <w:rFonts w:ascii="Cambria Math" w:eastAsia="Times New Roman" w:hAnsi="Cambria Math" w:cs="Cambria Math"/>
          <w:color w:val="000000" w:themeColor="text1"/>
          <w:sz w:val="18"/>
          <w:szCs w:val="18"/>
          <w:lang w:val="en-US" w:eastAsia="it-IT"/>
        </w:rPr>
        <w:t>⁻</w:t>
      </w:r>
      <w:r w:rsidRPr="00116AEF">
        <w:rPr>
          <w:rFonts w:ascii="Arial" w:eastAsia="Times New Roman" w:hAnsi="Arial" w:cs="Arial"/>
          <w:color w:val="000000" w:themeColor="text1"/>
          <w:sz w:val="18"/>
          <w:szCs w:val="18"/>
          <w:lang w:val="en-US" w:eastAsia="it-IT"/>
        </w:rPr>
        <w:t>¹ NaCl.</w:t>
      </w:r>
    </w:p>
    <w:p w14:paraId="208E1092" w14:textId="77777777" w:rsidR="00A00D55" w:rsidRPr="00116AEF" w:rsidRDefault="00A00D55" w:rsidP="009402B5">
      <w:pPr>
        <w:pStyle w:val="Paragrafoelenco"/>
        <w:spacing w:before="100" w:beforeAutospacing="1" w:after="100" w:afterAutospacing="1" w:line="276" w:lineRule="auto"/>
        <w:ind w:left="0"/>
        <w:rPr>
          <w:rFonts w:ascii="Arial" w:eastAsia="Times New Roman" w:hAnsi="Arial" w:cs="Arial"/>
          <w:color w:val="000000" w:themeColor="text1"/>
          <w:sz w:val="18"/>
          <w:szCs w:val="18"/>
          <w:lang w:val="en-US" w:eastAsia="it-IT"/>
        </w:rPr>
      </w:pPr>
      <w:r w:rsidRPr="00116AEF">
        <w:rPr>
          <w:rFonts w:ascii="Arial" w:eastAsia="Times New Roman" w:hAnsi="Arial" w:cs="Arial"/>
          <w:color w:val="000000" w:themeColor="text1"/>
          <w:sz w:val="18"/>
          <w:szCs w:val="18"/>
          <w:lang w:val="en-US" w:eastAsia="it-IT"/>
        </w:rPr>
        <w:t>These results demonstrate that controlled mixotrophic supplementation defines an operational window that enhances biomass productivity without compromising physiological stability.</w:t>
      </w:r>
    </w:p>
    <w:p w14:paraId="1559F53E" w14:textId="3BDE7DEF" w:rsidR="00C5360A" w:rsidRPr="00116AEF" w:rsidRDefault="00C5360A" w:rsidP="009402B5">
      <w:pPr>
        <w:pStyle w:val="CETHeading1"/>
        <w:spacing w:line="276" w:lineRule="auto"/>
        <w:rPr>
          <w:rFonts w:cs="Arial"/>
          <w:color w:val="000000" w:themeColor="text1"/>
        </w:rPr>
      </w:pPr>
      <w:r w:rsidRPr="00116AEF">
        <w:rPr>
          <w:rFonts w:cs="Arial"/>
          <w:color w:val="000000" w:themeColor="text1"/>
        </w:rPr>
        <w:t>Introduction</w:t>
      </w:r>
    </w:p>
    <w:p w14:paraId="0F9504B3" w14:textId="1BDC4148" w:rsidR="00FC2777" w:rsidRPr="00116AEF" w:rsidRDefault="00FC2777" w:rsidP="009402B5">
      <w:pPr>
        <w:pStyle w:val="CETBodytext"/>
        <w:spacing w:line="276" w:lineRule="auto"/>
        <w:rPr>
          <w:rFonts w:cs="Arial"/>
          <w:color w:val="000000" w:themeColor="text1"/>
          <w:szCs w:val="18"/>
        </w:rPr>
      </w:pPr>
      <w:r w:rsidRPr="00116AEF">
        <w:rPr>
          <w:rFonts w:cs="Arial"/>
          <w:color w:val="000000" w:themeColor="text1"/>
          <w:szCs w:val="18"/>
        </w:rPr>
        <w:t>The increasing production of wastewaters</w:t>
      </w:r>
      <w:r w:rsidR="00A7541D" w:rsidRPr="00116AEF">
        <w:rPr>
          <w:rFonts w:cs="Arial"/>
          <w:color w:val="000000" w:themeColor="text1"/>
          <w:szCs w:val="18"/>
        </w:rPr>
        <w:t xml:space="preserve"> (WWs)</w:t>
      </w:r>
      <w:r w:rsidRPr="00116AEF">
        <w:rPr>
          <w:rFonts w:cs="Arial"/>
          <w:color w:val="000000" w:themeColor="text1"/>
          <w:szCs w:val="18"/>
        </w:rPr>
        <w:t xml:space="preserve"> represents an important environmental concern due to their high organic load and potential impact on aquatic ecosystems. However, these effluents can also be exploited as a valuable resource for sustainable biotechnological processes, particularly for microalgal cultivation</w:t>
      </w:r>
      <w:r w:rsidR="00DA1906" w:rsidRPr="00116AEF">
        <w:rPr>
          <w:rFonts w:cs="Arial"/>
          <w:color w:val="000000" w:themeColor="text1"/>
          <w:szCs w:val="18"/>
        </w:rPr>
        <w:t xml:space="preserve"> (</w:t>
      </w:r>
      <w:r w:rsidR="008F0B35" w:rsidRPr="00116AEF">
        <w:rPr>
          <w:rFonts w:cs="Arial"/>
          <w:color w:val="000000" w:themeColor="text1"/>
          <w:szCs w:val="18"/>
        </w:rPr>
        <w:t xml:space="preserve">Cosenza </w:t>
      </w:r>
      <w:r w:rsidR="002C1219" w:rsidRPr="00116AEF">
        <w:rPr>
          <w:rFonts w:cs="Arial"/>
          <w:color w:val="000000" w:themeColor="text1"/>
          <w:szCs w:val="18"/>
        </w:rPr>
        <w:t xml:space="preserve">et al., </w:t>
      </w:r>
      <w:r w:rsidR="008F0B35" w:rsidRPr="00116AEF">
        <w:rPr>
          <w:rFonts w:cs="Arial"/>
          <w:color w:val="000000" w:themeColor="text1"/>
          <w:szCs w:val="18"/>
        </w:rPr>
        <w:t>2026</w:t>
      </w:r>
      <w:r w:rsidR="008455EA" w:rsidRPr="00E84A97">
        <w:rPr>
          <w:rFonts w:cs="Arial"/>
          <w:color w:val="000000" w:themeColor="text1"/>
          <w:szCs w:val="18"/>
        </w:rPr>
        <w:t xml:space="preserve">; </w:t>
      </w:r>
      <w:proofErr w:type="spellStart"/>
      <w:r w:rsidR="008455EA" w:rsidRPr="00E84A97">
        <w:rPr>
          <w:rFonts w:cs="Arial"/>
          <w:color w:val="000000" w:themeColor="text1"/>
          <w:szCs w:val="18"/>
        </w:rPr>
        <w:t>Lutzu</w:t>
      </w:r>
      <w:proofErr w:type="spellEnd"/>
      <w:r w:rsidR="008455EA" w:rsidRPr="00E84A97">
        <w:rPr>
          <w:rFonts w:cs="Arial"/>
          <w:color w:val="000000" w:themeColor="text1"/>
          <w:szCs w:val="18"/>
        </w:rPr>
        <w:t xml:space="preserve"> et al., 2020</w:t>
      </w:r>
      <w:r w:rsidR="00DA1906" w:rsidRPr="00116AEF">
        <w:rPr>
          <w:rFonts w:cs="Arial"/>
          <w:color w:val="000000" w:themeColor="text1"/>
          <w:szCs w:val="18"/>
        </w:rPr>
        <w:t>)</w:t>
      </w:r>
      <w:r w:rsidRPr="00116AEF">
        <w:rPr>
          <w:rFonts w:cs="Arial"/>
          <w:color w:val="000000" w:themeColor="text1"/>
          <w:szCs w:val="18"/>
        </w:rPr>
        <w:t xml:space="preserve">. Many agro-industrial </w:t>
      </w:r>
      <w:r w:rsidR="00A7541D" w:rsidRPr="00116AEF">
        <w:rPr>
          <w:rFonts w:cs="Arial"/>
          <w:color w:val="000000" w:themeColor="text1"/>
          <w:szCs w:val="18"/>
        </w:rPr>
        <w:t>WWs</w:t>
      </w:r>
      <w:r w:rsidRPr="00116AEF">
        <w:rPr>
          <w:rFonts w:cs="Arial"/>
          <w:color w:val="000000" w:themeColor="text1"/>
          <w:szCs w:val="18"/>
        </w:rPr>
        <w:t xml:space="preserve"> contain significant amounts of organic carbon, nitrogen, phosphorus and trace elements that can support algal growth while simultaneously enabling </w:t>
      </w:r>
      <w:r w:rsidR="00A7541D" w:rsidRPr="00116AEF">
        <w:rPr>
          <w:rFonts w:cs="Arial"/>
          <w:color w:val="000000" w:themeColor="text1"/>
          <w:szCs w:val="18"/>
        </w:rPr>
        <w:t>WW</w:t>
      </w:r>
      <w:r w:rsidR="00815F86" w:rsidRPr="00116AEF">
        <w:rPr>
          <w:rFonts w:cs="Arial"/>
          <w:color w:val="000000" w:themeColor="text1"/>
          <w:szCs w:val="18"/>
        </w:rPr>
        <w:t>s</w:t>
      </w:r>
      <w:r w:rsidRPr="00116AEF">
        <w:rPr>
          <w:rFonts w:cs="Arial"/>
          <w:color w:val="000000" w:themeColor="text1"/>
          <w:szCs w:val="18"/>
        </w:rPr>
        <w:t xml:space="preserve"> treatment </w:t>
      </w:r>
      <w:r w:rsidR="00B5585D" w:rsidRPr="00116AEF">
        <w:rPr>
          <w:rFonts w:cs="Arial"/>
          <w:color w:val="000000" w:themeColor="text1"/>
          <w:szCs w:val="18"/>
        </w:rPr>
        <w:t>(Lutzu et al., 2024</w:t>
      </w:r>
      <w:r w:rsidR="00533D93" w:rsidRPr="00116AEF">
        <w:rPr>
          <w:rFonts w:cs="Arial"/>
          <w:color w:val="000000" w:themeColor="text1"/>
          <w:szCs w:val="18"/>
        </w:rPr>
        <w:t xml:space="preserve">; </w:t>
      </w:r>
      <w:proofErr w:type="spellStart"/>
      <w:r w:rsidR="00533D93" w:rsidRPr="00116AEF">
        <w:rPr>
          <w:rFonts w:cs="Arial"/>
          <w:color w:val="000000" w:themeColor="text1"/>
          <w:szCs w:val="18"/>
        </w:rPr>
        <w:t>Miotti</w:t>
      </w:r>
      <w:proofErr w:type="spellEnd"/>
      <w:r w:rsidR="00533D93" w:rsidRPr="00116AEF">
        <w:rPr>
          <w:rFonts w:cs="Arial"/>
          <w:color w:val="000000" w:themeColor="text1"/>
          <w:szCs w:val="18"/>
        </w:rPr>
        <w:t xml:space="preserve"> et al., 2022</w:t>
      </w:r>
      <w:r w:rsidR="00B5585D" w:rsidRPr="00116AEF">
        <w:rPr>
          <w:rFonts w:cs="Arial"/>
          <w:color w:val="000000" w:themeColor="text1"/>
          <w:szCs w:val="18"/>
        </w:rPr>
        <w:t>)</w:t>
      </w:r>
      <w:r w:rsidR="00A443EF" w:rsidRPr="00116AEF">
        <w:rPr>
          <w:rFonts w:cs="Arial"/>
          <w:color w:val="000000" w:themeColor="text1"/>
          <w:szCs w:val="18"/>
        </w:rPr>
        <w:t>.</w:t>
      </w:r>
      <w:r w:rsidRPr="00116AEF">
        <w:rPr>
          <w:rFonts w:cs="Arial"/>
          <w:color w:val="000000" w:themeColor="text1"/>
          <w:szCs w:val="18"/>
        </w:rPr>
        <w:t xml:space="preserve"> For this reason, the integration of microalgal cultivation with </w:t>
      </w:r>
      <w:r w:rsidR="00A7541D" w:rsidRPr="00116AEF">
        <w:rPr>
          <w:rFonts w:cs="Arial"/>
          <w:color w:val="000000" w:themeColor="text1"/>
          <w:szCs w:val="18"/>
        </w:rPr>
        <w:t>WW</w:t>
      </w:r>
      <w:r w:rsidRPr="00116AEF">
        <w:rPr>
          <w:rFonts w:cs="Arial"/>
          <w:color w:val="000000" w:themeColor="text1"/>
          <w:szCs w:val="18"/>
        </w:rPr>
        <w:t xml:space="preserve"> valorization is gaining increasing attention as a strategy within the circular bioeconomy</w:t>
      </w:r>
      <w:r w:rsidR="004E3949" w:rsidRPr="00116AEF">
        <w:rPr>
          <w:rFonts w:cs="Arial"/>
          <w:color w:val="000000" w:themeColor="text1"/>
          <w:szCs w:val="18"/>
        </w:rPr>
        <w:t xml:space="preserve"> (</w:t>
      </w:r>
      <w:r w:rsidR="00046F20" w:rsidRPr="00116AEF">
        <w:rPr>
          <w:rFonts w:cs="Arial"/>
          <w:color w:val="000000" w:themeColor="text1"/>
          <w:szCs w:val="18"/>
        </w:rPr>
        <w:t>Cavallini et al</w:t>
      </w:r>
      <w:r w:rsidR="004E3949" w:rsidRPr="00116AEF">
        <w:rPr>
          <w:rFonts w:cs="Arial"/>
          <w:color w:val="000000" w:themeColor="text1"/>
          <w:szCs w:val="18"/>
        </w:rPr>
        <w:t>., 202</w:t>
      </w:r>
      <w:r w:rsidR="00046F20" w:rsidRPr="00116AEF">
        <w:rPr>
          <w:rFonts w:cs="Arial"/>
          <w:color w:val="000000" w:themeColor="text1"/>
          <w:szCs w:val="18"/>
        </w:rPr>
        <w:t>4</w:t>
      </w:r>
      <w:r w:rsidR="004E3949" w:rsidRPr="00116AEF">
        <w:rPr>
          <w:rFonts w:cs="Arial"/>
          <w:color w:val="000000" w:themeColor="text1"/>
          <w:szCs w:val="18"/>
        </w:rPr>
        <w:t>)</w:t>
      </w:r>
      <w:r w:rsidRPr="00116AEF">
        <w:rPr>
          <w:rFonts w:cs="Arial"/>
          <w:color w:val="000000" w:themeColor="text1"/>
          <w:szCs w:val="18"/>
        </w:rPr>
        <w:t>.</w:t>
      </w:r>
    </w:p>
    <w:p w14:paraId="62E2037E" w14:textId="4CEE9A1E" w:rsidR="00FC2777" w:rsidRPr="00116AEF" w:rsidRDefault="00FC2777" w:rsidP="009402B5">
      <w:pPr>
        <w:pStyle w:val="CETBodytext"/>
        <w:spacing w:line="276" w:lineRule="auto"/>
        <w:rPr>
          <w:rFonts w:cs="Arial"/>
          <w:color w:val="000000" w:themeColor="text1"/>
          <w:szCs w:val="18"/>
        </w:rPr>
      </w:pPr>
      <w:r w:rsidRPr="00116AEF">
        <w:rPr>
          <w:rFonts w:cs="Arial"/>
          <w:color w:val="000000" w:themeColor="text1"/>
          <w:szCs w:val="18"/>
        </w:rPr>
        <w:t>Microalgae and cyanobacteria can activate different metabolic pathways depending on the availability of inorganic and organic carbon</w:t>
      </w:r>
      <w:r w:rsidR="004C2498" w:rsidRPr="00116AEF">
        <w:rPr>
          <w:rFonts w:cs="Arial"/>
          <w:color w:val="000000" w:themeColor="text1"/>
          <w:szCs w:val="18"/>
        </w:rPr>
        <w:t xml:space="preserve"> (Concas et al. 2013)</w:t>
      </w:r>
      <w:r w:rsidRPr="00116AEF">
        <w:rPr>
          <w:rFonts w:cs="Arial"/>
          <w:color w:val="000000" w:themeColor="text1"/>
          <w:szCs w:val="18"/>
        </w:rPr>
        <w:t xml:space="preserve">. Under mixotrophic conditions, the simultaneous use of photosynthesis and organic carbon assimilation can significantly enhance biomass productivity compared to purely autotrophic cultivation. Several studies have shown that organic substrates present in </w:t>
      </w:r>
      <w:r w:rsidR="00A7541D" w:rsidRPr="00116AEF">
        <w:rPr>
          <w:rFonts w:cs="Arial"/>
          <w:color w:val="000000" w:themeColor="text1"/>
          <w:szCs w:val="18"/>
        </w:rPr>
        <w:t xml:space="preserve">WWs </w:t>
      </w:r>
      <w:r w:rsidRPr="00116AEF">
        <w:rPr>
          <w:rFonts w:cs="Arial"/>
          <w:color w:val="000000" w:themeColor="text1"/>
          <w:szCs w:val="18"/>
        </w:rPr>
        <w:t>can stimulate algal growth by providing additional energy sources and metabolic intermediates (Baraldi et al., 2025; Cosenza et al., 2026).</w:t>
      </w:r>
    </w:p>
    <w:p w14:paraId="13ACE905" w14:textId="50716BC0" w:rsidR="00FC2777" w:rsidRPr="00116AEF" w:rsidRDefault="00FC2777" w:rsidP="009402B5">
      <w:pPr>
        <w:pStyle w:val="CETBodytext"/>
        <w:spacing w:line="276" w:lineRule="auto"/>
        <w:rPr>
          <w:rFonts w:cs="Arial"/>
          <w:color w:val="000000" w:themeColor="text1"/>
          <w:szCs w:val="18"/>
        </w:rPr>
      </w:pPr>
      <w:r w:rsidRPr="00116AEF">
        <w:rPr>
          <w:rFonts w:cs="Arial"/>
          <w:color w:val="000000" w:themeColor="text1"/>
          <w:szCs w:val="18"/>
        </w:rPr>
        <w:lastRenderedPageBreak/>
        <w:t>Among agro-industrial effluents, vinegar production generates liquid residues rich in biodegradable organic compounds such as residual sugars, organic acids and fermentation by-products, which may represent a potential carbon source for microalgal cultivation (Sousa et al., 2025). However, their direct use is often limited by factors such as acidic pH, nutrient imbalance and osmotic stress, which can negatively affect microalgal growth</w:t>
      </w:r>
      <w:r w:rsidR="003A2CC2" w:rsidRPr="00116AEF">
        <w:rPr>
          <w:rFonts w:cs="Arial"/>
          <w:color w:val="000000" w:themeColor="text1"/>
          <w:szCs w:val="18"/>
        </w:rPr>
        <w:t xml:space="preserve"> (Gao et al., 2023)</w:t>
      </w:r>
      <w:r w:rsidRPr="00116AEF">
        <w:rPr>
          <w:rFonts w:cs="Arial"/>
          <w:color w:val="000000" w:themeColor="text1"/>
          <w:szCs w:val="18"/>
        </w:rPr>
        <w:t>.</w:t>
      </w:r>
    </w:p>
    <w:p w14:paraId="6B741C09" w14:textId="71757AE8" w:rsidR="00FC2777" w:rsidRPr="00116AEF" w:rsidRDefault="00FC2777" w:rsidP="009402B5">
      <w:pPr>
        <w:pStyle w:val="CETBodytext"/>
        <w:spacing w:line="276" w:lineRule="auto"/>
        <w:rPr>
          <w:rFonts w:cs="Arial"/>
          <w:color w:val="000000" w:themeColor="text1"/>
          <w:szCs w:val="18"/>
        </w:rPr>
      </w:pPr>
      <w:r w:rsidRPr="00116AEF">
        <w:rPr>
          <w:rFonts w:cs="Arial"/>
          <w:i/>
          <w:iCs/>
          <w:color w:val="000000" w:themeColor="text1"/>
          <w:szCs w:val="18"/>
        </w:rPr>
        <w:t xml:space="preserve">Limnospira </w:t>
      </w:r>
      <w:r w:rsidRPr="00116AEF">
        <w:rPr>
          <w:rFonts w:cs="Arial"/>
          <w:color w:val="000000" w:themeColor="text1"/>
          <w:szCs w:val="18"/>
        </w:rPr>
        <w:t>(</w:t>
      </w:r>
      <w:r w:rsidR="00DA1906" w:rsidRPr="00116AEF">
        <w:rPr>
          <w:rFonts w:cs="Arial"/>
          <w:color w:val="000000" w:themeColor="text1"/>
          <w:szCs w:val="18"/>
        </w:rPr>
        <w:t>Spirulina</w:t>
      </w:r>
      <w:r w:rsidRPr="00116AEF">
        <w:rPr>
          <w:rFonts w:cs="Arial"/>
          <w:color w:val="000000" w:themeColor="text1"/>
          <w:szCs w:val="18"/>
        </w:rPr>
        <w:t>)</w:t>
      </w:r>
      <w:r w:rsidRPr="00116AEF">
        <w:rPr>
          <w:rFonts w:cs="Arial"/>
          <w:i/>
          <w:iCs/>
          <w:color w:val="000000" w:themeColor="text1"/>
          <w:szCs w:val="18"/>
        </w:rPr>
        <w:t xml:space="preserve"> platensis</w:t>
      </w:r>
      <w:r w:rsidRPr="00116AEF">
        <w:rPr>
          <w:rFonts w:cs="Arial"/>
          <w:color w:val="000000" w:themeColor="text1"/>
          <w:szCs w:val="18"/>
        </w:rPr>
        <w:t xml:space="preserve"> is a filamentous cyanobacterium widely cultivated at industrial scale due to its high nutritional value, rapid growth and tolerance to alkaline environments</w:t>
      </w:r>
      <w:r w:rsidR="00DA1906" w:rsidRPr="00116AEF">
        <w:rPr>
          <w:rFonts w:cs="Arial"/>
          <w:color w:val="000000" w:themeColor="text1"/>
          <w:szCs w:val="18"/>
        </w:rPr>
        <w:t xml:space="preserve"> (Rizzoli et al.</w:t>
      </w:r>
      <w:r w:rsidR="00815F86" w:rsidRPr="00116AEF">
        <w:rPr>
          <w:rFonts w:cs="Arial"/>
          <w:color w:val="000000" w:themeColor="text1"/>
          <w:szCs w:val="18"/>
        </w:rPr>
        <w:t>,</w:t>
      </w:r>
      <w:r w:rsidR="00DA1906" w:rsidRPr="00116AEF">
        <w:rPr>
          <w:rFonts w:cs="Arial"/>
          <w:color w:val="000000" w:themeColor="text1"/>
          <w:szCs w:val="18"/>
        </w:rPr>
        <w:t xml:space="preserve"> 2025)</w:t>
      </w:r>
      <w:r w:rsidRPr="00116AEF">
        <w:rPr>
          <w:rFonts w:cs="Arial"/>
          <w:color w:val="000000" w:themeColor="text1"/>
          <w:szCs w:val="18"/>
        </w:rPr>
        <w:t>. Its metabolic flexibility makes it a promising candidate for cultivation strategies based on the integration of organic substrates with mineral media</w:t>
      </w:r>
      <w:r w:rsidR="004E3949" w:rsidRPr="00116AEF">
        <w:rPr>
          <w:rFonts w:cs="Arial"/>
          <w:color w:val="000000" w:themeColor="text1"/>
          <w:szCs w:val="18"/>
        </w:rPr>
        <w:t xml:space="preserve"> </w:t>
      </w:r>
      <w:r w:rsidR="00265DF2" w:rsidRPr="00116AEF">
        <w:rPr>
          <w:rFonts w:cs="Arial"/>
          <w:color w:val="000000" w:themeColor="text1"/>
          <w:szCs w:val="18"/>
        </w:rPr>
        <w:t>(Di Stasi et al., 2026)</w:t>
      </w:r>
      <w:r w:rsidRPr="00116AEF">
        <w:rPr>
          <w:rFonts w:cs="Arial"/>
          <w:color w:val="000000" w:themeColor="text1"/>
          <w:szCs w:val="18"/>
        </w:rPr>
        <w:t>.</w:t>
      </w:r>
    </w:p>
    <w:p w14:paraId="51202DF4" w14:textId="58D89F1F" w:rsidR="00296FCB" w:rsidRPr="00116AEF" w:rsidRDefault="00296FCB" w:rsidP="009402B5">
      <w:pPr>
        <w:pStyle w:val="CETBodytext"/>
        <w:spacing w:line="276" w:lineRule="auto"/>
        <w:rPr>
          <w:rFonts w:cs="Arial"/>
          <w:color w:val="000000" w:themeColor="text1"/>
          <w:szCs w:val="18"/>
        </w:rPr>
      </w:pPr>
      <w:r w:rsidRPr="00116AEF">
        <w:rPr>
          <w:rFonts w:cs="Arial"/>
          <w:color w:val="000000" w:themeColor="text1"/>
          <w:szCs w:val="18"/>
        </w:rPr>
        <w:t xml:space="preserve">Despite the increasing interest in mixotrophic cultivation using agro-industrial </w:t>
      </w:r>
      <w:r w:rsidR="00C3529D" w:rsidRPr="00116AEF">
        <w:rPr>
          <w:rFonts w:cs="Arial"/>
          <w:color w:val="000000" w:themeColor="text1"/>
          <w:szCs w:val="18"/>
        </w:rPr>
        <w:t>WW</w:t>
      </w:r>
      <w:r w:rsidRPr="00116AEF">
        <w:rPr>
          <w:rFonts w:cs="Arial"/>
          <w:color w:val="000000" w:themeColor="text1"/>
          <w:szCs w:val="18"/>
        </w:rPr>
        <w:t>s, most studies have focused on the direct use of effluents or on single-factor optimization, often neglecting the combined effects of process control strategies and environmental parameters such as salinity. In particular, the lack of controlled supplementation approaches limits the stability, reproducibility, and scalability of these systems.</w:t>
      </w:r>
    </w:p>
    <w:p w14:paraId="19AB58AB" w14:textId="1BAC167D" w:rsidR="00497B63" w:rsidRPr="00116AEF" w:rsidRDefault="00296FCB" w:rsidP="009402B5">
      <w:pPr>
        <w:pStyle w:val="CETBodytext"/>
        <w:spacing w:line="276" w:lineRule="auto"/>
        <w:rPr>
          <w:rFonts w:cs="Arial"/>
          <w:color w:val="000000" w:themeColor="text1"/>
          <w:szCs w:val="18"/>
        </w:rPr>
      </w:pPr>
      <w:r w:rsidRPr="00116AEF">
        <w:rPr>
          <w:rFonts w:cs="Arial"/>
          <w:color w:val="000000" w:themeColor="text1"/>
          <w:szCs w:val="18"/>
        </w:rPr>
        <w:t xml:space="preserve">In this context, the present study proposes an integrated and process-oriented </w:t>
      </w:r>
      <w:r w:rsidR="00C3529D" w:rsidRPr="00116AEF">
        <w:rPr>
          <w:rFonts w:cs="Arial"/>
          <w:i/>
          <w:iCs/>
          <w:color w:val="000000" w:themeColor="text1"/>
          <w:szCs w:val="18"/>
        </w:rPr>
        <w:t>L. platensis</w:t>
      </w:r>
      <w:r w:rsidR="00C3529D" w:rsidRPr="00116AEF">
        <w:rPr>
          <w:rFonts w:cs="Arial"/>
          <w:color w:val="000000" w:themeColor="text1"/>
          <w:szCs w:val="18"/>
        </w:rPr>
        <w:t xml:space="preserve"> </w:t>
      </w:r>
      <w:r w:rsidRPr="00116AEF">
        <w:rPr>
          <w:rFonts w:cs="Arial"/>
          <w:color w:val="000000" w:themeColor="text1"/>
          <w:szCs w:val="18"/>
        </w:rPr>
        <w:t xml:space="preserve">cultivation strategy based on controlled mixotrophic supplementation of vinegar-derived </w:t>
      </w:r>
      <w:r w:rsidR="00C3529D" w:rsidRPr="00116AEF">
        <w:rPr>
          <w:rFonts w:cs="Arial"/>
          <w:color w:val="000000" w:themeColor="text1"/>
          <w:szCs w:val="18"/>
        </w:rPr>
        <w:t>WW</w:t>
      </w:r>
      <w:r w:rsidRPr="00116AEF">
        <w:rPr>
          <w:rFonts w:cs="Arial"/>
          <w:color w:val="000000" w:themeColor="text1"/>
          <w:szCs w:val="18"/>
        </w:rPr>
        <w:t xml:space="preserve"> within a stabilized mineral medium, and salinity optimization to investigate the interaction between organic carbon availability and osmotic stress. Unlike conventional approaches based on direct </w:t>
      </w:r>
      <w:r w:rsidR="00C3529D" w:rsidRPr="00116AEF">
        <w:rPr>
          <w:rFonts w:cs="Arial"/>
          <w:color w:val="000000" w:themeColor="text1"/>
          <w:szCs w:val="18"/>
        </w:rPr>
        <w:t>WW</w:t>
      </w:r>
      <w:r w:rsidRPr="00116AEF">
        <w:rPr>
          <w:rFonts w:cs="Arial"/>
          <w:color w:val="000000" w:themeColor="text1"/>
          <w:szCs w:val="18"/>
        </w:rPr>
        <w:t xml:space="preserve"> utilization, this strategy enables the decoupling of biomass growth and metabolic activation, allowing the identification of an operational window in which organic input enhances biomass productivity without compromising physiological stability.</w:t>
      </w:r>
    </w:p>
    <w:p w14:paraId="07870034" w14:textId="43BBCC7A" w:rsidR="00D65C86" w:rsidRPr="00116AEF" w:rsidRDefault="00D65C86" w:rsidP="009402B5">
      <w:pPr>
        <w:pStyle w:val="CETHeading1"/>
        <w:spacing w:line="276" w:lineRule="auto"/>
        <w:rPr>
          <w:rFonts w:cs="Arial"/>
          <w:noProof/>
          <w:color w:val="000000" w:themeColor="text1"/>
        </w:rPr>
      </w:pPr>
      <w:r w:rsidRPr="00116AEF">
        <w:rPr>
          <w:rFonts w:cs="Arial"/>
          <w:noProof/>
          <w:color w:val="000000" w:themeColor="text1"/>
        </w:rPr>
        <w:t xml:space="preserve">2. Material and </w:t>
      </w:r>
      <w:r w:rsidR="009446E5" w:rsidRPr="00116AEF">
        <w:rPr>
          <w:rFonts w:cs="Arial"/>
          <w:noProof/>
          <w:color w:val="000000" w:themeColor="text1"/>
        </w:rPr>
        <w:t>m</w:t>
      </w:r>
      <w:r w:rsidRPr="00116AEF">
        <w:rPr>
          <w:rFonts w:cs="Arial"/>
          <w:noProof/>
          <w:color w:val="000000" w:themeColor="text1"/>
        </w:rPr>
        <w:t>ethods</w:t>
      </w:r>
    </w:p>
    <w:p w14:paraId="7ED3E893" w14:textId="33CE4482" w:rsidR="00497B63" w:rsidRPr="00116AEF" w:rsidRDefault="00497B63" w:rsidP="009402B5">
      <w:pPr>
        <w:pStyle w:val="CETheadingx"/>
        <w:spacing w:line="276" w:lineRule="auto"/>
        <w:rPr>
          <w:rFonts w:cs="Arial"/>
          <w:noProof/>
          <w:color w:val="000000" w:themeColor="text1"/>
          <w:szCs w:val="18"/>
        </w:rPr>
      </w:pPr>
      <w:r w:rsidRPr="00116AEF">
        <w:rPr>
          <w:rFonts w:cs="Arial"/>
          <w:noProof/>
          <w:color w:val="000000" w:themeColor="text1"/>
          <w:szCs w:val="18"/>
        </w:rPr>
        <w:t>Biological material and inoculum preparation</w:t>
      </w:r>
    </w:p>
    <w:p w14:paraId="228E548D" w14:textId="2EA91245" w:rsidR="00497B63" w:rsidRPr="00116AEF" w:rsidRDefault="00497B63" w:rsidP="009402B5">
      <w:pPr>
        <w:pStyle w:val="CETBodytext"/>
        <w:spacing w:line="276" w:lineRule="auto"/>
        <w:rPr>
          <w:rFonts w:cs="Arial"/>
          <w:noProof/>
          <w:color w:val="000000" w:themeColor="text1"/>
          <w:szCs w:val="18"/>
        </w:rPr>
      </w:pPr>
      <w:r w:rsidRPr="00116AEF">
        <w:rPr>
          <w:rFonts w:cs="Arial"/>
          <w:noProof/>
          <w:color w:val="000000" w:themeColor="text1"/>
          <w:szCs w:val="18"/>
        </w:rPr>
        <w:t xml:space="preserve">Experiments were carried out using a </w:t>
      </w:r>
      <w:r w:rsidRPr="00116AEF">
        <w:rPr>
          <w:rFonts w:cs="Arial"/>
          <w:i/>
          <w:iCs/>
          <w:noProof/>
          <w:color w:val="000000" w:themeColor="text1"/>
          <w:szCs w:val="18"/>
        </w:rPr>
        <w:t>L</w:t>
      </w:r>
      <w:r w:rsidR="00DA1906" w:rsidRPr="00116AEF">
        <w:rPr>
          <w:rFonts w:cs="Arial"/>
          <w:i/>
          <w:iCs/>
          <w:noProof/>
          <w:color w:val="000000" w:themeColor="text1"/>
          <w:szCs w:val="18"/>
        </w:rPr>
        <w:t>.</w:t>
      </w:r>
      <w:r w:rsidRPr="00116AEF">
        <w:rPr>
          <w:rFonts w:cs="Arial"/>
          <w:i/>
          <w:iCs/>
          <w:noProof/>
          <w:color w:val="000000" w:themeColor="text1"/>
          <w:szCs w:val="18"/>
        </w:rPr>
        <w:t xml:space="preserve"> platensis</w:t>
      </w:r>
      <w:r w:rsidRPr="00116AEF">
        <w:rPr>
          <w:rFonts w:cs="Arial"/>
          <w:noProof/>
          <w:color w:val="000000" w:themeColor="text1"/>
          <w:szCs w:val="18"/>
        </w:rPr>
        <w:t xml:space="preserve"> strain </w:t>
      </w:r>
      <w:r w:rsidR="004107A2" w:rsidRPr="00116AEF">
        <w:rPr>
          <w:rFonts w:cs="Arial"/>
          <w:noProof/>
          <w:color w:val="000000" w:themeColor="text1"/>
          <w:szCs w:val="18"/>
        </w:rPr>
        <w:t>SAG 21.99</w:t>
      </w:r>
      <w:r w:rsidR="00DA1906" w:rsidRPr="00116AEF">
        <w:rPr>
          <w:rFonts w:cs="Arial"/>
          <w:noProof/>
          <w:color w:val="000000" w:themeColor="text1"/>
          <w:szCs w:val="18"/>
        </w:rPr>
        <w:t xml:space="preserve"> obtained from the Sammlung Culture Collection at the University of Gottingen, Germany</w:t>
      </w:r>
      <w:r w:rsidRPr="00116AEF">
        <w:rPr>
          <w:rFonts w:cs="Arial"/>
          <w:noProof/>
          <w:color w:val="000000" w:themeColor="text1"/>
          <w:szCs w:val="18"/>
        </w:rPr>
        <w:t>. Biomass used for inoculation was collected during the exponential growth phase to ensure high metabolic activity.</w:t>
      </w:r>
    </w:p>
    <w:p w14:paraId="4B1EBBA6" w14:textId="119B73AE" w:rsidR="00497B63" w:rsidRPr="00116AEF" w:rsidRDefault="00497B63" w:rsidP="009402B5">
      <w:pPr>
        <w:pStyle w:val="CETBodytext"/>
        <w:spacing w:line="276" w:lineRule="auto"/>
        <w:rPr>
          <w:rFonts w:cs="Arial"/>
          <w:noProof/>
          <w:color w:val="000000" w:themeColor="text1"/>
          <w:szCs w:val="18"/>
        </w:rPr>
      </w:pPr>
      <w:r w:rsidRPr="00116AEF">
        <w:rPr>
          <w:rFonts w:cs="Arial"/>
          <w:noProof/>
          <w:color w:val="000000" w:themeColor="text1"/>
          <w:szCs w:val="18"/>
        </w:rPr>
        <w:t xml:space="preserve">Initial biomass concentration was standardized using a previously established relationship between optical density and dry weight. All cultures were inoculated at an initial concentration of 0.3 g </w:t>
      </w:r>
      <w:r w:rsidR="00C10A48" w:rsidRPr="00116AEF">
        <w:rPr>
          <w:rFonts w:cs="Arial"/>
          <w:color w:val="000000" w:themeColor="text1"/>
          <w:sz w:val="20"/>
          <w:szCs w:val="22"/>
        </w:rPr>
        <w:t>·</w:t>
      </w:r>
      <w:r w:rsidR="00C10A48" w:rsidRPr="00116AEF">
        <w:rPr>
          <w:rFonts w:cs="Arial"/>
          <w:noProof/>
          <w:color w:val="000000" w:themeColor="text1"/>
          <w:szCs w:val="18"/>
        </w:rPr>
        <w:t xml:space="preserve"> </w:t>
      </w:r>
      <w:r w:rsidRPr="00116AEF">
        <w:rPr>
          <w:rFonts w:cs="Arial"/>
          <w:noProof/>
          <w:color w:val="000000" w:themeColor="text1"/>
          <w:szCs w:val="18"/>
        </w:rPr>
        <w:t>L</w:t>
      </w:r>
      <w:r w:rsidR="0018260F" w:rsidRPr="00116AEF">
        <w:rPr>
          <w:rFonts w:ascii="Cambria Math" w:hAnsi="Cambria Math" w:cs="Cambria Math"/>
          <w:noProof/>
          <w:color w:val="000000" w:themeColor="text1"/>
          <w:szCs w:val="18"/>
        </w:rPr>
        <w:t>⁻</w:t>
      </w:r>
      <w:r w:rsidR="0018260F" w:rsidRPr="00116AEF">
        <w:rPr>
          <w:rFonts w:cs="Arial"/>
          <w:noProof/>
          <w:color w:val="000000" w:themeColor="text1"/>
          <w:szCs w:val="18"/>
          <w:vertAlign w:val="superscript"/>
        </w:rPr>
        <w:t>1</w:t>
      </w:r>
      <w:r w:rsidRPr="00116AEF">
        <w:rPr>
          <w:rFonts w:cs="Arial"/>
          <w:noProof/>
          <w:color w:val="000000" w:themeColor="text1"/>
          <w:szCs w:val="18"/>
        </w:rPr>
        <w:t xml:space="preserve"> (dry weight).</w:t>
      </w:r>
      <w:r w:rsidR="003B5AB1" w:rsidRPr="00116AEF">
        <w:rPr>
          <w:rFonts w:cs="Arial"/>
          <w:noProof/>
          <w:color w:val="000000" w:themeColor="text1"/>
          <w:szCs w:val="18"/>
        </w:rPr>
        <w:t xml:space="preserve"> </w:t>
      </w:r>
      <w:r w:rsidRPr="00116AEF">
        <w:rPr>
          <w:rFonts w:cs="Arial"/>
          <w:noProof/>
          <w:color w:val="000000" w:themeColor="text1"/>
          <w:szCs w:val="18"/>
        </w:rPr>
        <w:t>Two agro-industrial effluents derived from vinegar production were evaluated as potential substrates: a vinegar wastewater (V) and a mixed vinegar–must effluent (VM). Because both streams presented strongly acidic conditions (approximately pH 3), the pH was adjusted with 1 M NaOH to near-neutral values (pH 7.6 for V and pH 7.8 for VM). After adjustment, the effluents were sterilized by autoclaving (121 °C, 0.1 MPa, 20 min).</w:t>
      </w:r>
    </w:p>
    <w:p w14:paraId="1A2E7FCD" w14:textId="452DE186" w:rsidR="00497B63" w:rsidRPr="00116AEF" w:rsidRDefault="00497B63" w:rsidP="009402B5">
      <w:pPr>
        <w:pStyle w:val="CETheadingx"/>
        <w:spacing w:line="276" w:lineRule="auto"/>
        <w:rPr>
          <w:rFonts w:cs="Arial"/>
          <w:noProof/>
          <w:color w:val="000000" w:themeColor="text1"/>
          <w:szCs w:val="18"/>
        </w:rPr>
      </w:pPr>
      <w:r w:rsidRPr="00116AEF">
        <w:rPr>
          <w:rFonts w:cs="Arial"/>
          <w:noProof/>
          <w:color w:val="000000" w:themeColor="text1"/>
          <w:szCs w:val="18"/>
        </w:rPr>
        <w:t>Culture medium</w:t>
      </w:r>
    </w:p>
    <w:p w14:paraId="0FCCDF34" w14:textId="3D7F51C9" w:rsidR="00497B63" w:rsidRPr="00116AEF" w:rsidRDefault="00497B63" w:rsidP="009402B5">
      <w:pPr>
        <w:pStyle w:val="CETBodytext"/>
        <w:spacing w:line="276" w:lineRule="auto"/>
        <w:rPr>
          <w:rFonts w:cs="Arial"/>
          <w:noProof/>
          <w:color w:val="000000" w:themeColor="text1"/>
          <w:szCs w:val="18"/>
        </w:rPr>
      </w:pPr>
      <w:r w:rsidRPr="00116AEF">
        <w:rPr>
          <w:rFonts w:cs="Arial"/>
          <w:noProof/>
          <w:color w:val="000000" w:themeColor="text1"/>
          <w:szCs w:val="18"/>
        </w:rPr>
        <w:t>Cultivation experiments were performed using Jourdan 100X medium (JM), a mineral formulation widely used for cyanobacterial growth. The</w:t>
      </w:r>
      <w:r w:rsidR="00283CB6" w:rsidRPr="00116AEF">
        <w:rPr>
          <w:rFonts w:cs="Arial"/>
          <w:noProof/>
          <w:color w:val="000000" w:themeColor="text1"/>
          <w:szCs w:val="18"/>
        </w:rPr>
        <w:t xml:space="preserve"> chemical composition of </w:t>
      </w:r>
      <w:r w:rsidRPr="00116AEF">
        <w:rPr>
          <w:rFonts w:cs="Arial"/>
          <w:noProof/>
          <w:color w:val="000000" w:themeColor="text1"/>
          <w:szCs w:val="18"/>
        </w:rPr>
        <w:t>medium</w:t>
      </w:r>
      <w:r w:rsidR="00283CB6" w:rsidRPr="00116AEF">
        <w:rPr>
          <w:rFonts w:cs="Arial"/>
          <w:noProof/>
          <w:color w:val="000000" w:themeColor="text1"/>
          <w:szCs w:val="18"/>
        </w:rPr>
        <w:t xml:space="preserve"> is described detailed in Cosenza et al., (2026). </w:t>
      </w:r>
      <w:r w:rsidRPr="00116AEF">
        <w:rPr>
          <w:rFonts w:cs="Arial"/>
          <w:noProof/>
          <w:color w:val="000000" w:themeColor="text1"/>
          <w:szCs w:val="18"/>
        </w:rPr>
        <w:t xml:space="preserve">The formulation provides alkaline conditions with an N:P molar ratio of approximately 12:1, while NaCl at 1 g </w:t>
      </w:r>
      <w:r w:rsidR="00C10A48" w:rsidRPr="00116AEF">
        <w:rPr>
          <w:rFonts w:cs="Arial"/>
          <w:color w:val="000000" w:themeColor="text1"/>
          <w:sz w:val="20"/>
          <w:szCs w:val="22"/>
        </w:rPr>
        <w:t xml:space="preserve">· </w:t>
      </w:r>
      <w:r w:rsidRPr="00116AEF">
        <w:rPr>
          <w:rFonts w:cs="Arial"/>
          <w:noProof/>
          <w:color w:val="000000" w:themeColor="text1"/>
          <w:szCs w:val="18"/>
        </w:rPr>
        <w:t>L</w:t>
      </w:r>
      <w:r w:rsidR="0018260F" w:rsidRPr="00116AEF">
        <w:rPr>
          <w:rFonts w:ascii="Cambria Math" w:hAnsi="Cambria Math" w:cs="Cambria Math"/>
          <w:noProof/>
          <w:color w:val="000000" w:themeColor="text1"/>
          <w:szCs w:val="18"/>
        </w:rPr>
        <w:t>⁻</w:t>
      </w:r>
      <w:r w:rsidR="0018260F" w:rsidRPr="00116AEF">
        <w:rPr>
          <w:rFonts w:cs="Arial"/>
          <w:noProof/>
          <w:color w:val="000000" w:themeColor="text1"/>
          <w:szCs w:val="18"/>
          <w:vertAlign w:val="superscript"/>
        </w:rPr>
        <w:t>1</w:t>
      </w:r>
      <w:r w:rsidRPr="00116AEF">
        <w:rPr>
          <w:rFonts w:cs="Arial"/>
          <w:noProof/>
          <w:color w:val="000000" w:themeColor="text1"/>
          <w:szCs w:val="18"/>
        </w:rPr>
        <w:t xml:space="preserve"> represents the reference salinity level.</w:t>
      </w:r>
      <w:r w:rsidR="00DA1906" w:rsidRPr="00116AEF">
        <w:rPr>
          <w:rFonts w:cs="Arial"/>
          <w:noProof/>
          <w:color w:val="000000" w:themeColor="text1"/>
          <w:szCs w:val="18"/>
        </w:rPr>
        <w:t xml:space="preserve"> </w:t>
      </w:r>
      <w:r w:rsidRPr="00116AEF">
        <w:rPr>
          <w:rFonts w:cs="Arial"/>
          <w:noProof/>
          <w:color w:val="000000" w:themeColor="text1"/>
          <w:szCs w:val="18"/>
        </w:rPr>
        <w:t>To limit bicarbonate decomposition, JM was sterilized at 105 °C and 0.1 MPa for 20 min. After cooling, trace elements and a metavanadate-based antibacterial agent were added aseptically.</w:t>
      </w:r>
    </w:p>
    <w:p w14:paraId="06CFD88A" w14:textId="07E9CC09" w:rsidR="00497B63" w:rsidRPr="00116AEF" w:rsidRDefault="00497B63" w:rsidP="009402B5">
      <w:pPr>
        <w:pStyle w:val="CETheadingx"/>
        <w:spacing w:line="276" w:lineRule="auto"/>
        <w:rPr>
          <w:rFonts w:cs="Arial"/>
          <w:noProof/>
          <w:color w:val="000000" w:themeColor="text1"/>
          <w:szCs w:val="18"/>
        </w:rPr>
      </w:pPr>
      <w:r w:rsidRPr="00116AEF">
        <w:rPr>
          <w:rFonts w:cs="Arial"/>
          <w:noProof/>
          <w:color w:val="000000" w:themeColor="text1"/>
          <w:szCs w:val="18"/>
        </w:rPr>
        <w:t>Cultivation conditions and experimental design</w:t>
      </w:r>
    </w:p>
    <w:p w14:paraId="6EB2D14A" w14:textId="77777777" w:rsidR="00497B63" w:rsidRPr="00116AEF" w:rsidRDefault="00497B63" w:rsidP="009402B5">
      <w:pPr>
        <w:pStyle w:val="CETBodytext"/>
        <w:spacing w:line="276" w:lineRule="auto"/>
        <w:rPr>
          <w:rFonts w:cs="Arial"/>
          <w:noProof/>
          <w:color w:val="000000" w:themeColor="text1"/>
          <w:szCs w:val="18"/>
        </w:rPr>
      </w:pPr>
      <w:r w:rsidRPr="00116AEF">
        <w:rPr>
          <w:rFonts w:cs="Arial"/>
          <w:noProof/>
          <w:color w:val="000000" w:themeColor="text1"/>
          <w:szCs w:val="18"/>
        </w:rPr>
        <w:t>Batch cultures were grown in 250 mL Erlenmeyer flasks containing 150 mL working volume for 14 days. Each condition was tested in four biological replicates.</w:t>
      </w:r>
    </w:p>
    <w:p w14:paraId="19A36D2A" w14:textId="76D14169" w:rsidR="00265DF2" w:rsidRPr="00116AEF" w:rsidRDefault="00497B63" w:rsidP="009402B5">
      <w:pPr>
        <w:pStyle w:val="CETBodytext"/>
        <w:spacing w:line="276" w:lineRule="auto"/>
        <w:rPr>
          <w:rFonts w:cs="Arial"/>
          <w:noProof/>
          <w:color w:val="000000" w:themeColor="text1"/>
          <w:szCs w:val="18"/>
        </w:rPr>
      </w:pPr>
      <w:r w:rsidRPr="00116AEF">
        <w:rPr>
          <w:rFonts w:cs="Arial"/>
          <w:noProof/>
          <w:color w:val="000000" w:themeColor="text1"/>
          <w:szCs w:val="18"/>
        </w:rPr>
        <w:t xml:space="preserve">Cultures were maintained at room temperature (25–30 °C) under a 12 h light/12 h dark photoperiod provided by 36 W T8 LED panels, with a light intensity of approximately 85 µmol </w:t>
      </w:r>
      <w:r w:rsidR="00C10A48" w:rsidRPr="00116AEF">
        <w:rPr>
          <w:rFonts w:cs="Arial"/>
          <w:color w:val="000000" w:themeColor="text1"/>
          <w:sz w:val="20"/>
          <w:szCs w:val="22"/>
        </w:rPr>
        <w:t xml:space="preserve">· </w:t>
      </w:r>
      <w:r w:rsidRPr="00116AEF">
        <w:rPr>
          <w:rFonts w:cs="Arial"/>
          <w:noProof/>
          <w:color w:val="000000" w:themeColor="text1"/>
          <w:szCs w:val="18"/>
        </w:rPr>
        <w:t>m</w:t>
      </w:r>
      <w:r w:rsidR="0018260F" w:rsidRPr="00116AEF">
        <w:rPr>
          <w:rFonts w:ascii="Cambria Math" w:hAnsi="Cambria Math" w:cs="Cambria Math"/>
          <w:noProof/>
          <w:color w:val="000000" w:themeColor="text1"/>
          <w:szCs w:val="18"/>
        </w:rPr>
        <w:t>⁻</w:t>
      </w:r>
      <w:r w:rsidR="0018260F" w:rsidRPr="00116AEF">
        <w:rPr>
          <w:rFonts w:cs="Arial"/>
          <w:noProof/>
          <w:color w:val="000000" w:themeColor="text1"/>
          <w:szCs w:val="18"/>
          <w:vertAlign w:val="superscript"/>
        </w:rPr>
        <w:t>2</w:t>
      </w:r>
      <w:r w:rsidRPr="00116AEF">
        <w:rPr>
          <w:rFonts w:cs="Arial"/>
          <w:noProof/>
          <w:color w:val="000000" w:themeColor="text1"/>
          <w:szCs w:val="18"/>
        </w:rPr>
        <w:t xml:space="preserve"> </w:t>
      </w:r>
      <w:r w:rsidR="00C10A48" w:rsidRPr="00116AEF">
        <w:rPr>
          <w:rFonts w:cs="Arial"/>
          <w:color w:val="000000" w:themeColor="text1"/>
          <w:sz w:val="20"/>
          <w:szCs w:val="22"/>
        </w:rPr>
        <w:t xml:space="preserve">· </w:t>
      </w:r>
      <w:r w:rsidRPr="00116AEF">
        <w:rPr>
          <w:rFonts w:cs="Arial"/>
          <w:noProof/>
          <w:color w:val="000000" w:themeColor="text1"/>
          <w:szCs w:val="18"/>
        </w:rPr>
        <w:t>s</w:t>
      </w:r>
      <w:r w:rsidR="0018260F" w:rsidRPr="00116AEF">
        <w:rPr>
          <w:rFonts w:ascii="Cambria Math" w:hAnsi="Cambria Math" w:cs="Cambria Math"/>
          <w:noProof/>
          <w:color w:val="000000" w:themeColor="text1"/>
          <w:szCs w:val="18"/>
        </w:rPr>
        <w:t>⁻</w:t>
      </w:r>
      <w:r w:rsidR="0018260F" w:rsidRPr="00116AEF">
        <w:rPr>
          <w:rFonts w:cs="Arial"/>
          <w:noProof/>
          <w:color w:val="000000" w:themeColor="text1"/>
          <w:szCs w:val="18"/>
          <w:vertAlign w:val="superscript"/>
        </w:rPr>
        <w:t>1</w:t>
      </w:r>
      <w:r w:rsidRPr="00116AEF">
        <w:rPr>
          <w:rFonts w:cs="Arial"/>
          <w:noProof/>
          <w:color w:val="000000" w:themeColor="text1"/>
          <w:szCs w:val="18"/>
        </w:rPr>
        <w:t>.</w:t>
      </w:r>
    </w:p>
    <w:p w14:paraId="5D13F5B3" w14:textId="07105BEE" w:rsidR="00497B63" w:rsidRPr="00116AEF" w:rsidRDefault="00497B63" w:rsidP="009402B5">
      <w:pPr>
        <w:pStyle w:val="CETBodytext"/>
        <w:spacing w:line="276" w:lineRule="auto"/>
        <w:rPr>
          <w:rFonts w:cs="Arial"/>
          <w:noProof/>
          <w:color w:val="000000" w:themeColor="text1"/>
          <w:szCs w:val="18"/>
        </w:rPr>
      </w:pPr>
      <w:r w:rsidRPr="00116AEF">
        <w:rPr>
          <w:rFonts w:cs="Arial"/>
          <w:noProof/>
          <w:color w:val="000000" w:themeColor="text1"/>
          <w:szCs w:val="18"/>
        </w:rPr>
        <w:t>Aeration with filtered atmospheric air ensured mixing, gas exchange and prevention of biomass sedimentation.</w:t>
      </w:r>
    </w:p>
    <w:p w14:paraId="621DFCC6" w14:textId="34DD831F" w:rsidR="00C3529D" w:rsidRPr="00116AEF" w:rsidRDefault="00497B63" w:rsidP="009402B5">
      <w:pPr>
        <w:pStyle w:val="CETBodytext"/>
        <w:spacing w:line="276" w:lineRule="auto"/>
        <w:rPr>
          <w:rFonts w:cs="Arial"/>
          <w:noProof/>
          <w:color w:val="000000" w:themeColor="text1"/>
          <w:szCs w:val="18"/>
        </w:rPr>
      </w:pPr>
      <w:r w:rsidRPr="00116AEF">
        <w:rPr>
          <w:rFonts w:cs="Arial"/>
          <w:noProof/>
          <w:color w:val="000000" w:themeColor="text1"/>
          <w:szCs w:val="18"/>
        </w:rPr>
        <w:t xml:space="preserve">The experimental program consisted of three sequential phases. In the first phase, the two sterilized effluents (V and VM) were evaluated as cultivation substrates and compared with the standard JM medium. </w:t>
      </w:r>
    </w:p>
    <w:p w14:paraId="5229D457" w14:textId="0EB57389" w:rsidR="0076493E" w:rsidRPr="00116AEF" w:rsidRDefault="00497B63" w:rsidP="009402B5">
      <w:pPr>
        <w:pStyle w:val="CETBodytext"/>
        <w:spacing w:line="276" w:lineRule="auto"/>
        <w:rPr>
          <w:rFonts w:cs="Arial"/>
          <w:noProof/>
          <w:color w:val="000000" w:themeColor="text1"/>
          <w:szCs w:val="18"/>
        </w:rPr>
      </w:pPr>
      <w:r w:rsidRPr="00116AEF">
        <w:rPr>
          <w:rFonts w:cs="Arial"/>
          <w:noProof/>
          <w:color w:val="000000" w:themeColor="text1"/>
          <w:szCs w:val="18"/>
        </w:rPr>
        <w:t>The second phase investigated mixotrophic growth by adding increasing amounts of vinegar after seven days of photoautotrophic cultivation. In the final phase, NaCl concentration in JM was modified to generate different salinity conditions, followed by the addition of the optimal vinegar concentration identified in the previous phase in order to assess the interaction between salinity and organic carbon supplementation.</w:t>
      </w:r>
    </w:p>
    <w:p w14:paraId="25EEC2FE" w14:textId="7B7DB0E0" w:rsidR="00497B63" w:rsidRPr="00116AEF" w:rsidRDefault="00497B63" w:rsidP="009402B5">
      <w:pPr>
        <w:pStyle w:val="CETheadingx"/>
        <w:spacing w:line="276" w:lineRule="auto"/>
        <w:rPr>
          <w:rFonts w:cs="Arial"/>
          <w:noProof/>
          <w:color w:val="000000" w:themeColor="text1"/>
          <w:szCs w:val="18"/>
        </w:rPr>
      </w:pPr>
      <w:r w:rsidRPr="00116AEF">
        <w:rPr>
          <w:rFonts w:cs="Arial"/>
          <w:noProof/>
          <w:color w:val="000000" w:themeColor="text1"/>
          <w:szCs w:val="18"/>
        </w:rPr>
        <w:lastRenderedPageBreak/>
        <w:t>Growth monitoring</w:t>
      </w:r>
    </w:p>
    <w:p w14:paraId="6B04FABC" w14:textId="346EBD9E" w:rsidR="002179B9" w:rsidRPr="00116AEF" w:rsidRDefault="00497B63" w:rsidP="009402B5">
      <w:pPr>
        <w:pStyle w:val="CETBodytext"/>
        <w:spacing w:line="276" w:lineRule="auto"/>
        <w:rPr>
          <w:rFonts w:cs="Arial"/>
          <w:noProof/>
          <w:color w:val="000000" w:themeColor="text1"/>
          <w:szCs w:val="18"/>
        </w:rPr>
      </w:pPr>
      <w:r w:rsidRPr="00116AEF">
        <w:rPr>
          <w:rFonts w:cs="Arial"/>
          <w:noProof/>
          <w:color w:val="000000" w:themeColor="text1"/>
          <w:szCs w:val="18"/>
        </w:rPr>
        <w:t>Microalgal growth was monitored by measuring optical density at 680 nm</w:t>
      </w:r>
      <w:r w:rsidR="002179B9" w:rsidRPr="00116AEF">
        <w:rPr>
          <w:rFonts w:cs="Arial"/>
          <w:noProof/>
          <w:color w:val="000000" w:themeColor="text1"/>
          <w:szCs w:val="18"/>
        </w:rPr>
        <w:t xml:space="preserve"> </w:t>
      </w:r>
      <w:r w:rsidR="002179B9" w:rsidRPr="00116AEF">
        <w:rPr>
          <w:rFonts w:cs="Arial"/>
          <w:color w:val="000000" w:themeColor="text1"/>
          <w:szCs w:val="18"/>
          <w:lang w:eastAsia="en-GB"/>
        </w:rPr>
        <w:t>using a UV–</w:t>
      </w:r>
      <w:proofErr w:type="gramStart"/>
      <w:r w:rsidR="002179B9" w:rsidRPr="00116AEF">
        <w:rPr>
          <w:rFonts w:cs="Arial"/>
          <w:color w:val="000000" w:themeColor="text1"/>
          <w:szCs w:val="18"/>
          <w:lang w:eastAsia="en-GB"/>
        </w:rPr>
        <w:t>Vis</w:t>
      </w:r>
      <w:proofErr w:type="gramEnd"/>
      <w:r w:rsidR="002179B9" w:rsidRPr="00116AEF">
        <w:rPr>
          <w:rFonts w:cs="Arial"/>
          <w:color w:val="000000" w:themeColor="text1"/>
          <w:szCs w:val="18"/>
          <w:lang w:eastAsia="en-GB"/>
        </w:rPr>
        <w:t xml:space="preserve"> spectrophotometer (model ONDA V30 SCAN – UV VIS, </w:t>
      </w:r>
      <w:proofErr w:type="spellStart"/>
      <w:r w:rsidR="002179B9" w:rsidRPr="00116AEF">
        <w:rPr>
          <w:rFonts w:cs="Arial"/>
          <w:color w:val="000000" w:themeColor="text1"/>
          <w:szCs w:val="18"/>
          <w:lang w:eastAsia="en-GB"/>
        </w:rPr>
        <w:t>ZetaLab</w:t>
      </w:r>
      <w:proofErr w:type="spellEnd"/>
      <w:r w:rsidR="002179B9" w:rsidRPr="00116AEF">
        <w:rPr>
          <w:rFonts w:cs="Arial"/>
          <w:color w:val="000000" w:themeColor="text1"/>
          <w:szCs w:val="18"/>
          <w:lang w:eastAsia="en-GB"/>
        </w:rPr>
        <w:t>, Padua, Italy). A calibration curve correlating OD values with dry biomass concentration was previously established and used to estimate biomass throughout the cultivation experiments.</w:t>
      </w:r>
    </w:p>
    <w:p w14:paraId="481593E1" w14:textId="3EE4CFCE" w:rsidR="00175E54" w:rsidRPr="00116AEF" w:rsidRDefault="00497B63" w:rsidP="009402B5">
      <w:pPr>
        <w:pStyle w:val="CETBodytext"/>
        <w:spacing w:line="276" w:lineRule="auto"/>
        <w:rPr>
          <w:rFonts w:cs="Arial"/>
          <w:noProof/>
          <w:color w:val="000000" w:themeColor="text1"/>
          <w:szCs w:val="18"/>
        </w:rPr>
      </w:pPr>
      <w:r w:rsidRPr="00116AEF">
        <w:rPr>
          <w:rFonts w:cs="Arial"/>
          <w:noProof/>
          <w:color w:val="000000" w:themeColor="text1"/>
          <w:szCs w:val="18"/>
        </w:rPr>
        <w:t xml:space="preserve">Biomass concentration </w:t>
      </w:r>
      <w:r w:rsidR="002179B9" w:rsidRPr="00116AEF">
        <w:rPr>
          <w:rFonts w:cs="Arial"/>
          <w:noProof/>
          <w:color w:val="000000" w:themeColor="text1"/>
          <w:szCs w:val="18"/>
        </w:rPr>
        <w:t xml:space="preserve">as </w:t>
      </w:r>
      <w:r w:rsidRPr="00116AEF">
        <w:rPr>
          <w:rFonts w:cs="Arial"/>
          <w:noProof/>
          <w:color w:val="000000" w:themeColor="text1"/>
          <w:szCs w:val="18"/>
        </w:rPr>
        <w:t>dry weight</w:t>
      </w:r>
      <w:r w:rsidR="002179B9" w:rsidRPr="00116AEF">
        <w:rPr>
          <w:rFonts w:cs="Arial"/>
          <w:noProof/>
          <w:color w:val="000000" w:themeColor="text1"/>
          <w:szCs w:val="18"/>
        </w:rPr>
        <w:t xml:space="preserve"> (X</w:t>
      </w:r>
      <w:r w:rsidR="002179B9" w:rsidRPr="00116AEF">
        <w:rPr>
          <w:rFonts w:cs="Arial"/>
          <w:noProof/>
          <w:color w:val="000000" w:themeColor="text1"/>
          <w:szCs w:val="18"/>
          <w:vertAlign w:val="subscript"/>
        </w:rPr>
        <w:t>max</w:t>
      </w:r>
      <w:r w:rsidRPr="00116AEF">
        <w:rPr>
          <w:rFonts w:cs="Arial"/>
          <w:noProof/>
          <w:color w:val="000000" w:themeColor="text1"/>
          <w:szCs w:val="18"/>
        </w:rPr>
        <w:t>), specific growth rate (</w:t>
      </w:r>
      <w:r w:rsidRPr="00116AEF">
        <w:rPr>
          <w:rFonts w:cs="Arial"/>
          <w:noProof/>
          <w:color w:val="000000" w:themeColor="text1"/>
          <w:szCs w:val="18"/>
          <w:lang w:val="it-IT"/>
        </w:rPr>
        <w:t>μ</w:t>
      </w:r>
      <w:r w:rsidRPr="00116AEF">
        <w:rPr>
          <w:rFonts w:cs="Arial"/>
          <w:noProof/>
          <w:color w:val="000000" w:themeColor="text1"/>
          <w:szCs w:val="18"/>
        </w:rPr>
        <w:t>), doubling time (t</w:t>
      </w:r>
      <w:r w:rsidR="0018260F" w:rsidRPr="00116AEF">
        <w:rPr>
          <w:rFonts w:cs="Arial"/>
          <w:noProof/>
          <w:color w:val="000000" w:themeColor="text1"/>
          <w:szCs w:val="18"/>
          <w:vertAlign w:val="subscript"/>
        </w:rPr>
        <w:t>d</w:t>
      </w:r>
      <w:r w:rsidRPr="00116AEF">
        <w:rPr>
          <w:rFonts w:cs="Arial"/>
          <w:noProof/>
          <w:color w:val="000000" w:themeColor="text1"/>
          <w:szCs w:val="18"/>
        </w:rPr>
        <w:t>), and biomass productivity</w:t>
      </w:r>
      <w:r w:rsidR="00A111A0" w:rsidRPr="00116AEF">
        <w:rPr>
          <w:rFonts w:cs="Arial"/>
          <w:noProof/>
          <w:color w:val="000000" w:themeColor="text1"/>
          <w:szCs w:val="18"/>
        </w:rPr>
        <w:t xml:space="preserve"> (Q</w:t>
      </w:r>
      <w:r w:rsidR="00A111A0" w:rsidRPr="00116AEF">
        <w:rPr>
          <w:rFonts w:cs="Arial"/>
          <w:noProof/>
          <w:color w:val="000000" w:themeColor="text1"/>
          <w:szCs w:val="18"/>
          <w:vertAlign w:val="subscript"/>
        </w:rPr>
        <w:t>x</w:t>
      </w:r>
      <w:r w:rsidR="00A111A0" w:rsidRPr="00116AEF">
        <w:rPr>
          <w:rFonts w:cs="Arial"/>
          <w:noProof/>
          <w:color w:val="000000" w:themeColor="text1"/>
          <w:szCs w:val="18"/>
        </w:rPr>
        <w:t>)</w:t>
      </w:r>
      <w:r w:rsidRPr="00116AEF">
        <w:rPr>
          <w:rFonts w:cs="Arial"/>
          <w:noProof/>
          <w:color w:val="000000" w:themeColor="text1"/>
          <w:szCs w:val="18"/>
        </w:rPr>
        <w:t xml:space="preserve"> were calculated according to </w:t>
      </w:r>
      <w:r w:rsidR="00DA1906" w:rsidRPr="00116AEF">
        <w:rPr>
          <w:rFonts w:cs="Arial"/>
          <w:noProof/>
          <w:color w:val="000000" w:themeColor="text1"/>
          <w:szCs w:val="18"/>
        </w:rPr>
        <w:t>equations reported in Rizzoli</w:t>
      </w:r>
      <w:r w:rsidR="00300D6F" w:rsidRPr="00116AEF">
        <w:rPr>
          <w:rFonts w:cs="Arial"/>
          <w:noProof/>
          <w:color w:val="000000" w:themeColor="text1"/>
          <w:szCs w:val="18"/>
        </w:rPr>
        <w:t xml:space="preserve"> et al., (2025)</w:t>
      </w:r>
      <w:r w:rsidRPr="00116AEF">
        <w:rPr>
          <w:rFonts w:cs="Arial"/>
          <w:noProof/>
          <w:color w:val="000000" w:themeColor="text1"/>
          <w:szCs w:val="18"/>
        </w:rPr>
        <w:t>. Culture pH was measured using a pHmeter (HI 2210, Hanna Instruments, USA).</w:t>
      </w:r>
    </w:p>
    <w:p w14:paraId="7ED6E744" w14:textId="45AFC59A" w:rsidR="00175E54" w:rsidRPr="00116AEF" w:rsidRDefault="00175E54" w:rsidP="009402B5">
      <w:pPr>
        <w:pStyle w:val="CETHeading1"/>
        <w:spacing w:line="276" w:lineRule="auto"/>
        <w:rPr>
          <w:rFonts w:cs="Arial"/>
          <w:noProof/>
          <w:color w:val="000000" w:themeColor="text1"/>
        </w:rPr>
      </w:pPr>
      <w:r w:rsidRPr="00116AEF">
        <w:rPr>
          <w:rFonts w:cs="Arial"/>
          <w:noProof/>
          <w:color w:val="000000" w:themeColor="text1"/>
        </w:rPr>
        <w:t xml:space="preserve">Results and </w:t>
      </w:r>
      <w:r w:rsidR="009446E5" w:rsidRPr="00116AEF">
        <w:rPr>
          <w:rFonts w:cs="Arial"/>
          <w:noProof/>
          <w:color w:val="000000" w:themeColor="text1"/>
        </w:rPr>
        <w:t>d</w:t>
      </w:r>
      <w:r w:rsidRPr="00116AEF">
        <w:rPr>
          <w:rFonts w:cs="Arial"/>
          <w:noProof/>
          <w:color w:val="000000" w:themeColor="text1"/>
        </w:rPr>
        <w:t xml:space="preserve">iscussion </w:t>
      </w:r>
    </w:p>
    <w:p w14:paraId="7463F9F0" w14:textId="7FDF12A4" w:rsidR="00E4681E" w:rsidRPr="00116AEF" w:rsidRDefault="00E4681E" w:rsidP="009402B5">
      <w:pPr>
        <w:pStyle w:val="CETheadingx"/>
        <w:spacing w:line="276" w:lineRule="auto"/>
        <w:rPr>
          <w:rFonts w:cs="Arial"/>
          <w:color w:val="000000" w:themeColor="text1"/>
          <w:szCs w:val="18"/>
        </w:rPr>
      </w:pPr>
      <w:r w:rsidRPr="00116AEF">
        <w:rPr>
          <w:rFonts w:cs="Arial"/>
          <w:color w:val="000000" w:themeColor="text1"/>
          <w:szCs w:val="18"/>
        </w:rPr>
        <w:t>Growth performance in vinegar-derived effluents</w:t>
      </w:r>
    </w:p>
    <w:p w14:paraId="320961A4" w14:textId="5C1C146F" w:rsidR="00E47E9C" w:rsidRPr="00116AEF" w:rsidRDefault="00E47E9C" w:rsidP="009402B5">
      <w:pPr>
        <w:pStyle w:val="CETBodytext"/>
        <w:spacing w:line="276" w:lineRule="auto"/>
        <w:rPr>
          <w:rFonts w:cs="Arial"/>
          <w:noProof/>
          <w:color w:val="000000" w:themeColor="text1"/>
          <w:szCs w:val="18"/>
        </w:rPr>
      </w:pPr>
      <w:r w:rsidRPr="00116AEF">
        <w:rPr>
          <w:rFonts w:cs="Arial"/>
          <w:noProof/>
          <w:color w:val="000000" w:themeColor="text1"/>
          <w:szCs w:val="18"/>
        </w:rPr>
        <w:t>In the standard medium (JM), the cyanobacterium exhibited a typical growth pattern characterized by an exponential phase followed by stabilization, reaching a maximum biomass concentration (X</w:t>
      </w:r>
      <w:r w:rsidRPr="00116AEF">
        <w:rPr>
          <w:rFonts w:cs="Arial"/>
          <w:noProof/>
          <w:color w:val="000000" w:themeColor="text1"/>
          <w:szCs w:val="18"/>
          <w:vertAlign w:val="subscript"/>
        </w:rPr>
        <w:t>max</w:t>
      </w:r>
      <w:r w:rsidRPr="00116AEF">
        <w:rPr>
          <w:rFonts w:cs="Arial"/>
          <w:noProof/>
          <w:color w:val="000000" w:themeColor="text1"/>
          <w:szCs w:val="18"/>
        </w:rPr>
        <w:t xml:space="preserve">) of approximately 2.42 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after 15 days of cultivation. In contrast, when the effluents were used as the sole culture medium, growth was strongly inhibited, with </w:t>
      </w:r>
      <w:r w:rsidR="00300D6F" w:rsidRPr="00116AEF">
        <w:rPr>
          <w:rFonts w:cs="Arial"/>
          <w:noProof/>
          <w:color w:val="000000" w:themeColor="text1"/>
          <w:szCs w:val="18"/>
        </w:rPr>
        <w:t>X</w:t>
      </w:r>
      <w:r w:rsidR="00300D6F" w:rsidRPr="00116AEF">
        <w:rPr>
          <w:rFonts w:cs="Arial"/>
          <w:noProof/>
          <w:color w:val="000000" w:themeColor="text1"/>
          <w:szCs w:val="18"/>
          <w:vertAlign w:val="subscript"/>
        </w:rPr>
        <w:t>max</w:t>
      </w:r>
      <w:r w:rsidRPr="00116AEF">
        <w:rPr>
          <w:rFonts w:cs="Arial"/>
          <w:noProof/>
          <w:color w:val="000000" w:themeColor="text1"/>
          <w:szCs w:val="18"/>
        </w:rPr>
        <w:t xml:space="preserve"> of 0.56 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in the vinegar effluent and 0.46 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in the vinegar–must mixture. These results indicate that the effluents alone were unable to sustain efficient cyanobacterial growth under the tested conditions. The limited growth observed in the effluents can be explained by their chemical composition. Wastewaters generated during vinegar production show high variability in physicochemical characteristics (Table </w:t>
      </w:r>
      <w:r w:rsidR="00C3529D" w:rsidRPr="00116AEF">
        <w:rPr>
          <w:rFonts w:cs="Arial"/>
          <w:noProof/>
          <w:color w:val="000000" w:themeColor="text1"/>
          <w:szCs w:val="18"/>
        </w:rPr>
        <w:t>1</w:t>
      </w:r>
      <w:r w:rsidRPr="00116AEF">
        <w:rPr>
          <w:rFonts w:cs="Arial"/>
          <w:noProof/>
          <w:color w:val="000000" w:themeColor="text1"/>
          <w:szCs w:val="18"/>
        </w:rPr>
        <w:t>).</w:t>
      </w:r>
    </w:p>
    <w:p w14:paraId="2FA8F46E" w14:textId="49D50EA0" w:rsidR="00B36F43" w:rsidRPr="00116AEF" w:rsidRDefault="00E47E9C" w:rsidP="009402B5">
      <w:pPr>
        <w:pStyle w:val="CETheadingx"/>
        <w:numPr>
          <w:ilvl w:val="2"/>
          <w:numId w:val="13"/>
        </w:numPr>
        <w:spacing w:after="120" w:line="276" w:lineRule="auto"/>
        <w:jc w:val="both"/>
        <w:rPr>
          <w:rFonts w:cs="Arial"/>
          <w:b w:val="0"/>
          <w:bCs/>
          <w:iCs/>
          <w:color w:val="000000" w:themeColor="text1"/>
          <w:szCs w:val="18"/>
        </w:rPr>
      </w:pPr>
      <w:r w:rsidRPr="00116AEF">
        <w:rPr>
          <w:rFonts w:cs="Arial"/>
          <w:b w:val="0"/>
          <w:bCs/>
          <w:noProof/>
          <w:color w:val="000000" w:themeColor="text1"/>
          <w:szCs w:val="18"/>
        </w:rPr>
        <w:t>Reported values include BOD</w:t>
      </w:r>
      <w:r w:rsidRPr="00116AEF">
        <w:rPr>
          <w:rFonts w:ascii="Cambria Math" w:hAnsi="Cambria Math" w:cs="Cambria Math"/>
          <w:b w:val="0"/>
          <w:bCs/>
          <w:noProof/>
          <w:color w:val="000000" w:themeColor="text1"/>
          <w:szCs w:val="18"/>
        </w:rPr>
        <w:t>₅</w:t>
      </w:r>
      <w:r w:rsidRPr="00116AEF">
        <w:rPr>
          <w:rFonts w:cs="Arial"/>
          <w:b w:val="0"/>
          <w:bCs/>
          <w:noProof/>
          <w:color w:val="000000" w:themeColor="text1"/>
          <w:szCs w:val="18"/>
        </w:rPr>
        <w:t xml:space="preserve"> around 4.8</w:t>
      </w:r>
      <w:r w:rsidR="00D31A76" w:rsidRPr="00116AEF">
        <w:rPr>
          <w:rFonts w:cs="Arial"/>
          <w:b w:val="0"/>
          <w:bCs/>
          <w:noProof/>
          <w:color w:val="000000" w:themeColor="text1"/>
          <w:szCs w:val="18"/>
        </w:rPr>
        <w:t>0</w:t>
      </w:r>
      <w:r w:rsidRPr="00116AEF">
        <w:rPr>
          <w:rFonts w:cs="Arial"/>
          <w:b w:val="0"/>
          <w:bCs/>
          <w:noProof/>
          <w:color w:val="000000" w:themeColor="text1"/>
          <w:szCs w:val="18"/>
        </w:rPr>
        <w:t xml:space="preserve"> g </w:t>
      </w:r>
      <w:r w:rsidR="00C10A48" w:rsidRPr="00116AEF">
        <w:rPr>
          <w:rFonts w:cs="Arial"/>
          <w:color w:val="000000" w:themeColor="text1"/>
          <w:sz w:val="20"/>
          <w:szCs w:val="22"/>
        </w:rPr>
        <w:t xml:space="preserve">· </w:t>
      </w:r>
      <w:r w:rsidRPr="00116AEF">
        <w:rPr>
          <w:rFonts w:cs="Arial"/>
          <w:b w:val="0"/>
          <w:bCs/>
          <w:noProof/>
          <w:color w:val="000000" w:themeColor="text1"/>
          <w:szCs w:val="18"/>
        </w:rPr>
        <w:t>L</w:t>
      </w:r>
      <w:r w:rsidR="00C3158C" w:rsidRPr="00116AEF">
        <w:rPr>
          <w:rFonts w:ascii="Cambria Math" w:hAnsi="Cambria Math" w:cs="Cambria Math"/>
          <w:b w:val="0"/>
          <w:bCs/>
          <w:noProof/>
          <w:color w:val="000000" w:themeColor="text1"/>
          <w:szCs w:val="18"/>
        </w:rPr>
        <w:t>⁻</w:t>
      </w:r>
      <w:r w:rsidR="00C3158C" w:rsidRPr="00116AEF">
        <w:rPr>
          <w:rFonts w:cs="Arial"/>
          <w:b w:val="0"/>
          <w:bCs/>
          <w:noProof/>
          <w:color w:val="000000" w:themeColor="text1"/>
          <w:szCs w:val="18"/>
          <w:vertAlign w:val="superscript"/>
        </w:rPr>
        <w:t>1</w:t>
      </w:r>
      <w:r w:rsidRPr="00116AEF">
        <w:rPr>
          <w:rFonts w:cs="Arial"/>
          <w:b w:val="0"/>
          <w:bCs/>
          <w:noProof/>
          <w:color w:val="000000" w:themeColor="text1"/>
          <w:szCs w:val="18"/>
        </w:rPr>
        <w:t xml:space="preserve"> and COD up to 33.16 g </w:t>
      </w:r>
      <w:r w:rsidR="00C10A48" w:rsidRPr="00116AEF">
        <w:rPr>
          <w:rFonts w:cs="Arial"/>
          <w:color w:val="000000" w:themeColor="text1"/>
          <w:sz w:val="20"/>
          <w:szCs w:val="22"/>
        </w:rPr>
        <w:t xml:space="preserve">· </w:t>
      </w:r>
      <w:r w:rsidRPr="00116AEF">
        <w:rPr>
          <w:rFonts w:cs="Arial"/>
          <w:b w:val="0"/>
          <w:bCs/>
          <w:noProof/>
          <w:color w:val="000000" w:themeColor="text1"/>
          <w:szCs w:val="18"/>
        </w:rPr>
        <w:t>L</w:t>
      </w:r>
      <w:r w:rsidRPr="00116AEF">
        <w:rPr>
          <w:rFonts w:ascii="Cambria Math" w:hAnsi="Cambria Math" w:cs="Cambria Math"/>
          <w:b w:val="0"/>
          <w:bCs/>
          <w:noProof/>
          <w:color w:val="000000" w:themeColor="text1"/>
          <w:szCs w:val="18"/>
        </w:rPr>
        <w:t>⁻</w:t>
      </w:r>
      <w:r w:rsidRPr="00116AEF">
        <w:rPr>
          <w:rFonts w:cs="Arial"/>
          <w:b w:val="0"/>
          <w:bCs/>
          <w:noProof/>
          <w:color w:val="000000" w:themeColor="text1"/>
          <w:szCs w:val="18"/>
        </w:rPr>
        <w:t>¹, indicating a high organic carbon content. However, these effluents generally contain relatively low concentrations of essential nutrients such as total nitrogen (TN ≈ 20.5</w:t>
      </w:r>
      <w:r w:rsidR="00D31A76" w:rsidRPr="00116AEF">
        <w:rPr>
          <w:rFonts w:cs="Arial"/>
          <w:b w:val="0"/>
          <w:bCs/>
          <w:noProof/>
          <w:color w:val="000000" w:themeColor="text1"/>
          <w:szCs w:val="18"/>
        </w:rPr>
        <w:t>0</w:t>
      </w:r>
      <w:r w:rsidRPr="00116AEF">
        <w:rPr>
          <w:rFonts w:cs="Arial"/>
          <w:b w:val="0"/>
          <w:bCs/>
          <w:noProof/>
          <w:color w:val="000000" w:themeColor="text1"/>
          <w:szCs w:val="18"/>
        </w:rPr>
        <w:t xml:space="preserve"> mg </w:t>
      </w:r>
      <w:r w:rsidR="00C10A48" w:rsidRPr="00116AEF">
        <w:rPr>
          <w:rFonts w:cs="Arial"/>
          <w:color w:val="000000" w:themeColor="text1"/>
          <w:sz w:val="20"/>
          <w:szCs w:val="22"/>
        </w:rPr>
        <w:t xml:space="preserve">· </w:t>
      </w:r>
      <w:r w:rsidRPr="00116AEF">
        <w:rPr>
          <w:rFonts w:cs="Arial"/>
          <w:b w:val="0"/>
          <w:bCs/>
          <w:noProof/>
          <w:color w:val="000000" w:themeColor="text1"/>
          <w:szCs w:val="18"/>
        </w:rPr>
        <w:t>L</w:t>
      </w:r>
      <w:r w:rsidR="00C3158C" w:rsidRPr="00116AEF">
        <w:rPr>
          <w:rFonts w:ascii="Cambria Math" w:hAnsi="Cambria Math" w:cs="Cambria Math"/>
          <w:b w:val="0"/>
          <w:bCs/>
          <w:noProof/>
          <w:color w:val="000000" w:themeColor="text1"/>
          <w:szCs w:val="18"/>
        </w:rPr>
        <w:t>⁻</w:t>
      </w:r>
      <w:r w:rsidR="00C3158C" w:rsidRPr="00116AEF">
        <w:rPr>
          <w:rFonts w:cs="Arial"/>
          <w:b w:val="0"/>
          <w:bCs/>
          <w:noProof/>
          <w:color w:val="000000" w:themeColor="text1"/>
          <w:szCs w:val="18"/>
          <w:vertAlign w:val="superscript"/>
        </w:rPr>
        <w:t>1</w:t>
      </w:r>
      <w:r w:rsidRPr="00116AEF">
        <w:rPr>
          <w:rFonts w:cs="Arial"/>
          <w:b w:val="0"/>
          <w:bCs/>
          <w:noProof/>
          <w:color w:val="000000" w:themeColor="text1"/>
          <w:szCs w:val="18"/>
        </w:rPr>
        <w:t>) and total phosphorus (TP ≈ 7.4</w:t>
      </w:r>
      <w:r w:rsidR="00D31A76" w:rsidRPr="00116AEF">
        <w:rPr>
          <w:rFonts w:cs="Arial"/>
          <w:b w:val="0"/>
          <w:bCs/>
          <w:noProof/>
          <w:color w:val="000000" w:themeColor="text1"/>
          <w:szCs w:val="18"/>
        </w:rPr>
        <w:t>0</w:t>
      </w:r>
      <w:r w:rsidRPr="00116AEF">
        <w:rPr>
          <w:rFonts w:cs="Arial"/>
          <w:b w:val="0"/>
          <w:bCs/>
          <w:noProof/>
          <w:color w:val="000000" w:themeColor="text1"/>
          <w:szCs w:val="18"/>
        </w:rPr>
        <w:t xml:space="preserve"> mg </w:t>
      </w:r>
      <w:r w:rsidR="00C10A48" w:rsidRPr="00116AEF">
        <w:rPr>
          <w:rFonts w:cs="Arial"/>
          <w:color w:val="000000" w:themeColor="text1"/>
          <w:sz w:val="20"/>
          <w:szCs w:val="22"/>
        </w:rPr>
        <w:t xml:space="preserve">· </w:t>
      </w:r>
      <w:r w:rsidRPr="00116AEF">
        <w:rPr>
          <w:rFonts w:cs="Arial"/>
          <w:b w:val="0"/>
          <w:bCs/>
          <w:noProof/>
          <w:color w:val="000000" w:themeColor="text1"/>
          <w:szCs w:val="18"/>
        </w:rPr>
        <w:t>L</w:t>
      </w:r>
      <w:r w:rsidR="00C3158C" w:rsidRPr="00116AEF">
        <w:rPr>
          <w:rFonts w:ascii="Cambria Math" w:hAnsi="Cambria Math" w:cs="Cambria Math"/>
          <w:b w:val="0"/>
          <w:bCs/>
          <w:noProof/>
          <w:color w:val="000000" w:themeColor="text1"/>
          <w:szCs w:val="18"/>
        </w:rPr>
        <w:t>⁻</w:t>
      </w:r>
      <w:r w:rsidR="00C3158C" w:rsidRPr="00116AEF">
        <w:rPr>
          <w:rFonts w:cs="Arial"/>
          <w:b w:val="0"/>
          <w:bCs/>
          <w:noProof/>
          <w:color w:val="000000" w:themeColor="text1"/>
          <w:szCs w:val="18"/>
          <w:vertAlign w:val="superscript"/>
        </w:rPr>
        <w:t>1</w:t>
      </w:r>
      <w:r w:rsidRPr="00116AEF">
        <w:rPr>
          <w:rFonts w:cs="Arial"/>
          <w:b w:val="0"/>
          <w:bCs/>
          <w:noProof/>
          <w:color w:val="000000" w:themeColor="text1"/>
          <w:szCs w:val="18"/>
        </w:rPr>
        <w:t>). Moreover, they are typically characterized by acidic pH values (3.03–5.6</w:t>
      </w:r>
      <w:r w:rsidR="00D31A76" w:rsidRPr="00116AEF">
        <w:rPr>
          <w:rFonts w:cs="Arial"/>
          <w:b w:val="0"/>
          <w:bCs/>
          <w:noProof/>
          <w:color w:val="000000" w:themeColor="text1"/>
          <w:szCs w:val="18"/>
        </w:rPr>
        <w:t>0</w:t>
      </w:r>
      <w:r w:rsidRPr="00116AEF">
        <w:rPr>
          <w:rFonts w:cs="Arial"/>
          <w:b w:val="0"/>
          <w:bCs/>
          <w:noProof/>
          <w:color w:val="000000" w:themeColor="text1"/>
          <w:szCs w:val="18"/>
        </w:rPr>
        <w:t>) and moderate electrical conductivity (1.8–2</w:t>
      </w:r>
      <w:r w:rsidR="00D31A76" w:rsidRPr="00116AEF">
        <w:rPr>
          <w:rFonts w:cs="Arial"/>
          <w:b w:val="0"/>
          <w:bCs/>
          <w:noProof/>
          <w:color w:val="000000" w:themeColor="text1"/>
          <w:szCs w:val="18"/>
        </w:rPr>
        <w:t>.0</w:t>
      </w:r>
      <w:r w:rsidRPr="00116AEF">
        <w:rPr>
          <w:rFonts w:cs="Arial"/>
          <w:b w:val="0"/>
          <w:bCs/>
          <w:noProof/>
          <w:color w:val="000000" w:themeColor="text1"/>
          <w:szCs w:val="18"/>
        </w:rPr>
        <w:t xml:space="preserve"> mS </w:t>
      </w:r>
      <w:r w:rsidR="00C10A48" w:rsidRPr="00116AEF">
        <w:rPr>
          <w:rFonts w:cs="Arial"/>
          <w:color w:val="000000" w:themeColor="text1"/>
          <w:sz w:val="20"/>
          <w:szCs w:val="22"/>
        </w:rPr>
        <w:t xml:space="preserve">· </w:t>
      </w:r>
      <w:r w:rsidRPr="00116AEF">
        <w:rPr>
          <w:rFonts w:cs="Arial"/>
          <w:b w:val="0"/>
          <w:bCs/>
          <w:noProof/>
          <w:color w:val="000000" w:themeColor="text1"/>
          <w:szCs w:val="18"/>
        </w:rPr>
        <w:t>cm</w:t>
      </w:r>
      <w:r w:rsidR="00C3158C" w:rsidRPr="00116AEF">
        <w:rPr>
          <w:rFonts w:ascii="Cambria Math" w:hAnsi="Cambria Math" w:cs="Cambria Math"/>
          <w:b w:val="0"/>
          <w:bCs/>
          <w:noProof/>
          <w:color w:val="000000" w:themeColor="text1"/>
          <w:szCs w:val="18"/>
        </w:rPr>
        <w:t>⁻</w:t>
      </w:r>
      <w:r w:rsidR="00C3158C" w:rsidRPr="00116AEF">
        <w:rPr>
          <w:rFonts w:cs="Arial"/>
          <w:b w:val="0"/>
          <w:bCs/>
          <w:noProof/>
          <w:color w:val="000000" w:themeColor="text1"/>
          <w:szCs w:val="18"/>
          <w:vertAlign w:val="superscript"/>
        </w:rPr>
        <w:t>1</w:t>
      </w:r>
      <w:r w:rsidRPr="00116AEF">
        <w:rPr>
          <w:rFonts w:cs="Arial"/>
          <w:b w:val="0"/>
          <w:bCs/>
          <w:noProof/>
          <w:color w:val="000000" w:themeColor="text1"/>
          <w:szCs w:val="18"/>
        </w:rPr>
        <w:t>).</w:t>
      </w:r>
      <w:r w:rsidR="00B36F43" w:rsidRPr="00116AEF">
        <w:rPr>
          <w:rFonts w:cs="Arial"/>
          <w:b w:val="0"/>
          <w:bCs/>
          <w:noProof/>
          <w:color w:val="000000" w:themeColor="text1"/>
          <w:szCs w:val="18"/>
        </w:rPr>
        <w:t xml:space="preserve"> Although the high BOD and COD values suggest a substantial availability of organic carbon, the limited availability of nitrogen and phosphorus represents a major constraint for microalgal growth. In addition, the acidic pH conditions are incompatible with the physiology of </w:t>
      </w:r>
      <w:r w:rsidR="00B36F43" w:rsidRPr="00116AEF">
        <w:rPr>
          <w:rFonts w:cs="Arial"/>
          <w:b w:val="0"/>
          <w:bCs/>
          <w:i/>
          <w:iCs/>
          <w:noProof/>
          <w:color w:val="000000" w:themeColor="text1"/>
          <w:szCs w:val="18"/>
        </w:rPr>
        <w:t>L. platensis</w:t>
      </w:r>
      <w:r w:rsidR="00B36F43" w:rsidRPr="00116AEF">
        <w:rPr>
          <w:rFonts w:cs="Arial"/>
          <w:b w:val="0"/>
          <w:bCs/>
          <w:noProof/>
          <w:color w:val="000000" w:themeColor="text1"/>
          <w:szCs w:val="18"/>
        </w:rPr>
        <w:t>, which is an alkaliphilic cyanobacterium that grows optimally under alkaline conditions (pH 8–10). These</w:t>
      </w:r>
      <w:r w:rsidR="00B36F43" w:rsidRPr="00116AEF">
        <w:rPr>
          <w:rFonts w:cs="Arial"/>
          <w:b w:val="0"/>
          <w:bCs/>
          <w:noProof/>
          <w:color w:val="000000" w:themeColor="text1"/>
          <w:szCs w:val="18"/>
          <w:lang w:val="en-GB"/>
        </w:rPr>
        <w:t xml:space="preserve"> factors collectively explain the poor growth observed when vinegar-derived effluents were used as the sole culture medium.</w:t>
      </w:r>
      <w:r w:rsidR="00296FCB" w:rsidRPr="00116AEF">
        <w:rPr>
          <w:rFonts w:cs="Arial"/>
          <w:b w:val="0"/>
          <w:bCs/>
          <w:noProof/>
          <w:color w:val="000000" w:themeColor="text1"/>
          <w:szCs w:val="18"/>
          <w:lang w:val="en-GB"/>
        </w:rPr>
        <w:t xml:space="preserve"> These observations highlight that vinegar-derived </w:t>
      </w:r>
      <w:r w:rsidR="00C3529D" w:rsidRPr="00116AEF">
        <w:rPr>
          <w:rFonts w:cs="Arial"/>
          <w:b w:val="0"/>
          <w:bCs/>
          <w:noProof/>
          <w:color w:val="000000" w:themeColor="text1"/>
          <w:szCs w:val="18"/>
          <w:lang w:val="en-GB"/>
        </w:rPr>
        <w:t>WW</w:t>
      </w:r>
      <w:r w:rsidR="00296FCB" w:rsidRPr="00116AEF">
        <w:rPr>
          <w:rFonts w:cs="Arial"/>
          <w:b w:val="0"/>
          <w:bCs/>
          <w:noProof/>
          <w:color w:val="000000" w:themeColor="text1"/>
          <w:szCs w:val="18"/>
          <w:lang w:val="en-GB"/>
        </w:rPr>
        <w:t xml:space="preserve">s, despite their high organic carbon content, cannot be directly employed as complete culture media for </w:t>
      </w:r>
      <w:r w:rsidR="00296FCB" w:rsidRPr="00116AEF">
        <w:rPr>
          <w:rFonts w:cs="Arial"/>
          <w:b w:val="0"/>
          <w:bCs/>
          <w:i/>
          <w:iCs/>
          <w:noProof/>
          <w:color w:val="000000" w:themeColor="text1"/>
          <w:szCs w:val="18"/>
          <w:lang w:val="en-GB"/>
        </w:rPr>
        <w:t>L. platensis</w:t>
      </w:r>
      <w:r w:rsidR="00296FCB" w:rsidRPr="00116AEF">
        <w:rPr>
          <w:rFonts w:cs="Arial"/>
          <w:b w:val="0"/>
          <w:bCs/>
          <w:noProof/>
          <w:color w:val="000000" w:themeColor="text1"/>
          <w:szCs w:val="18"/>
          <w:lang w:val="en-GB"/>
        </w:rPr>
        <w:t>. Instead, their effective utilization requires integration within a controlled cultivation strategy capable of compensating for nutrient limitations and physicochemical imbalances.</w:t>
      </w:r>
      <w:r w:rsidR="00C3529D" w:rsidRPr="00116AEF">
        <w:rPr>
          <w:rFonts w:cs="Arial"/>
          <w:b w:val="0"/>
          <w:bCs/>
          <w:noProof/>
          <w:color w:val="000000" w:themeColor="text1"/>
          <w:szCs w:val="18"/>
          <w:lang w:val="en-GB"/>
        </w:rPr>
        <w:t xml:space="preserve"> </w:t>
      </w:r>
      <w:r w:rsidR="00296FCB" w:rsidRPr="00116AEF">
        <w:rPr>
          <w:rFonts w:cs="Arial"/>
          <w:b w:val="0"/>
          <w:bCs/>
          <w:noProof/>
          <w:color w:val="000000" w:themeColor="text1"/>
          <w:szCs w:val="18"/>
          <w:lang w:val="en-GB"/>
        </w:rPr>
        <w:t>This finding reinforces the concept that agro-industrial effluents should be considered as process inputs rather than standalone substrates, requiring appropriate operational frameworks to ensure culture stability and performance.</w:t>
      </w:r>
    </w:p>
    <w:p w14:paraId="39490C2C" w14:textId="0D6337F3" w:rsidR="00967B9D" w:rsidRPr="00116AEF" w:rsidRDefault="00A7541D" w:rsidP="009402B5">
      <w:pPr>
        <w:pStyle w:val="CETTabletitle"/>
        <w:numPr>
          <w:ilvl w:val="0"/>
          <w:numId w:val="13"/>
        </w:numPr>
        <w:spacing w:line="276" w:lineRule="auto"/>
        <w:rPr>
          <w:color w:val="000000" w:themeColor="text1"/>
        </w:rPr>
      </w:pPr>
      <w:r w:rsidRPr="00116AEF">
        <w:rPr>
          <w:color w:val="000000" w:themeColor="text1"/>
        </w:rPr>
        <w:t xml:space="preserve">Table </w:t>
      </w:r>
      <w:r w:rsidR="00C3529D" w:rsidRPr="00116AEF">
        <w:rPr>
          <w:color w:val="000000" w:themeColor="text1"/>
        </w:rPr>
        <w:t>1</w:t>
      </w:r>
      <w:r w:rsidRPr="00116AEF">
        <w:rPr>
          <w:color w:val="000000" w:themeColor="text1"/>
        </w:rPr>
        <w:t>: Range of main physical-chemical parameters of vinegar wastewaters available in literature</w:t>
      </w:r>
    </w:p>
    <w:tbl>
      <w:tblPr>
        <w:tblW w:w="8789" w:type="dxa"/>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76"/>
        <w:gridCol w:w="1306"/>
        <w:gridCol w:w="922"/>
        <w:gridCol w:w="1114"/>
        <w:gridCol w:w="835"/>
        <w:gridCol w:w="1368"/>
        <w:gridCol w:w="709"/>
        <w:gridCol w:w="1559"/>
      </w:tblGrid>
      <w:tr w:rsidR="00116AEF" w:rsidRPr="00116AEF" w14:paraId="1EF4A422" w14:textId="77777777" w:rsidTr="009446E5">
        <w:trPr>
          <w:trHeight w:val="740"/>
          <w:jc w:val="center"/>
        </w:trPr>
        <w:tc>
          <w:tcPr>
            <w:tcW w:w="976" w:type="dxa"/>
            <w:tcBorders>
              <w:top w:val="single" w:sz="12" w:space="0" w:color="008000"/>
              <w:bottom w:val="single" w:sz="4" w:space="0" w:color="008000"/>
            </w:tcBorders>
            <w:shd w:val="clear" w:color="auto" w:fill="FFFFFF"/>
            <w:vAlign w:val="center"/>
          </w:tcPr>
          <w:p w14:paraId="29C6FB6B" w14:textId="77777777" w:rsidR="00967B9D" w:rsidRPr="00116AEF" w:rsidRDefault="00967B9D" w:rsidP="009402B5">
            <w:pPr>
              <w:spacing w:line="276" w:lineRule="auto"/>
              <w:jc w:val="center"/>
              <w:rPr>
                <w:rFonts w:ascii="Arial" w:hAnsi="Arial" w:cs="Arial"/>
                <w:color w:val="000000" w:themeColor="text1"/>
                <w:sz w:val="18"/>
                <w:szCs w:val="18"/>
              </w:rPr>
            </w:pPr>
            <w:r w:rsidRPr="00116AEF">
              <w:rPr>
                <w:rFonts w:ascii="Arial" w:hAnsi="Arial" w:cs="Arial"/>
                <w:color w:val="000000" w:themeColor="text1"/>
                <w:sz w:val="18"/>
                <w:szCs w:val="18"/>
              </w:rPr>
              <w:t>BOD</w:t>
            </w:r>
          </w:p>
          <w:p w14:paraId="324C1018" w14:textId="26A4A1D5" w:rsidR="00967B9D" w:rsidRPr="00116AEF" w:rsidRDefault="00967B9D" w:rsidP="009402B5">
            <w:pPr>
              <w:pStyle w:val="CETBodytext"/>
              <w:spacing w:line="276" w:lineRule="auto"/>
              <w:jc w:val="center"/>
              <w:rPr>
                <w:color w:val="000000" w:themeColor="text1"/>
                <w:lang w:val="en-GB"/>
              </w:rPr>
            </w:pPr>
            <w:r w:rsidRPr="00116AEF">
              <w:rPr>
                <w:rFonts w:cs="Arial"/>
                <w:color w:val="000000" w:themeColor="text1"/>
                <w:szCs w:val="18"/>
              </w:rPr>
              <w:t xml:space="preserve">(g </w:t>
            </w:r>
            <w:r w:rsidR="00C10A48" w:rsidRPr="00116AEF">
              <w:rPr>
                <w:rFonts w:cs="Arial"/>
                <w:color w:val="000000" w:themeColor="text1"/>
                <w:sz w:val="20"/>
                <w:szCs w:val="22"/>
              </w:rPr>
              <w:t xml:space="preserve">· </w:t>
            </w:r>
            <w:r w:rsidRPr="00116AEF">
              <w:rPr>
                <w:rFonts w:cs="Arial"/>
                <w:color w:val="000000" w:themeColor="text1"/>
                <w:szCs w:val="18"/>
              </w:rPr>
              <w:t>L</w:t>
            </w:r>
            <w:r w:rsidRPr="00116AEF">
              <w:rPr>
                <w:rFonts w:cs="Arial"/>
                <w:color w:val="000000" w:themeColor="text1"/>
                <w:szCs w:val="18"/>
                <w:vertAlign w:val="superscript"/>
              </w:rPr>
              <w:t>-1</w:t>
            </w:r>
            <w:r w:rsidRPr="00116AEF">
              <w:rPr>
                <w:rFonts w:cs="Arial"/>
                <w:color w:val="000000" w:themeColor="text1"/>
                <w:szCs w:val="18"/>
              </w:rPr>
              <w:t>)</w:t>
            </w:r>
          </w:p>
        </w:tc>
        <w:tc>
          <w:tcPr>
            <w:tcW w:w="1306" w:type="dxa"/>
            <w:tcBorders>
              <w:top w:val="single" w:sz="12" w:space="0" w:color="008000"/>
              <w:bottom w:val="single" w:sz="4" w:space="0" w:color="008000"/>
            </w:tcBorders>
            <w:shd w:val="clear" w:color="auto" w:fill="FFFFFF"/>
            <w:vAlign w:val="center"/>
          </w:tcPr>
          <w:p w14:paraId="665A5075" w14:textId="77777777" w:rsidR="00967B9D" w:rsidRPr="00116AEF" w:rsidRDefault="00967B9D" w:rsidP="009402B5">
            <w:pPr>
              <w:spacing w:line="276" w:lineRule="auto"/>
              <w:jc w:val="center"/>
              <w:rPr>
                <w:rFonts w:ascii="Arial" w:hAnsi="Arial" w:cs="Arial"/>
                <w:color w:val="000000" w:themeColor="text1"/>
                <w:sz w:val="18"/>
                <w:szCs w:val="18"/>
              </w:rPr>
            </w:pPr>
            <w:r w:rsidRPr="00116AEF">
              <w:rPr>
                <w:rFonts w:ascii="Arial" w:hAnsi="Arial" w:cs="Arial"/>
                <w:color w:val="000000" w:themeColor="text1"/>
                <w:sz w:val="18"/>
                <w:szCs w:val="18"/>
              </w:rPr>
              <w:t>COD</w:t>
            </w:r>
          </w:p>
          <w:p w14:paraId="2B12385E" w14:textId="1E494BF4" w:rsidR="00967B9D" w:rsidRPr="00116AEF" w:rsidRDefault="00967B9D" w:rsidP="009402B5">
            <w:pPr>
              <w:pStyle w:val="CETBodytext"/>
              <w:spacing w:line="276" w:lineRule="auto"/>
              <w:jc w:val="center"/>
              <w:rPr>
                <w:color w:val="000000" w:themeColor="text1"/>
                <w:lang w:val="en-GB"/>
              </w:rPr>
            </w:pPr>
            <w:r w:rsidRPr="00116AEF">
              <w:rPr>
                <w:rFonts w:cs="Arial"/>
                <w:color w:val="000000" w:themeColor="text1"/>
                <w:szCs w:val="18"/>
              </w:rPr>
              <w:t xml:space="preserve">(g </w:t>
            </w:r>
            <w:r w:rsidR="00C10A48" w:rsidRPr="00116AEF">
              <w:rPr>
                <w:rFonts w:cs="Arial"/>
                <w:color w:val="000000" w:themeColor="text1"/>
                <w:sz w:val="20"/>
                <w:szCs w:val="22"/>
              </w:rPr>
              <w:t xml:space="preserve">· </w:t>
            </w:r>
            <w:r w:rsidRPr="00116AEF">
              <w:rPr>
                <w:rFonts w:cs="Arial"/>
                <w:color w:val="000000" w:themeColor="text1"/>
                <w:szCs w:val="18"/>
              </w:rPr>
              <w:t>L</w:t>
            </w:r>
            <w:r w:rsidRPr="00116AEF">
              <w:rPr>
                <w:rFonts w:cs="Arial"/>
                <w:color w:val="000000" w:themeColor="text1"/>
                <w:szCs w:val="18"/>
                <w:vertAlign w:val="superscript"/>
              </w:rPr>
              <w:t>-1</w:t>
            </w:r>
            <w:r w:rsidRPr="00116AEF">
              <w:rPr>
                <w:rFonts w:cs="Arial"/>
                <w:color w:val="000000" w:themeColor="text1"/>
                <w:szCs w:val="18"/>
              </w:rPr>
              <w:t>)</w:t>
            </w:r>
          </w:p>
        </w:tc>
        <w:tc>
          <w:tcPr>
            <w:tcW w:w="922" w:type="dxa"/>
            <w:tcBorders>
              <w:bottom w:val="single" w:sz="4" w:space="0" w:color="008000"/>
            </w:tcBorders>
            <w:vAlign w:val="center"/>
          </w:tcPr>
          <w:p w14:paraId="32BF3F19" w14:textId="77777777" w:rsidR="00967B9D" w:rsidRPr="00116AEF" w:rsidRDefault="00967B9D" w:rsidP="009402B5">
            <w:pPr>
              <w:spacing w:line="276" w:lineRule="auto"/>
              <w:jc w:val="center"/>
              <w:rPr>
                <w:rFonts w:ascii="Arial" w:hAnsi="Arial" w:cs="Arial"/>
                <w:color w:val="000000" w:themeColor="text1"/>
                <w:sz w:val="18"/>
                <w:szCs w:val="18"/>
              </w:rPr>
            </w:pPr>
            <w:r w:rsidRPr="00116AEF">
              <w:rPr>
                <w:rFonts w:ascii="Arial" w:hAnsi="Arial" w:cs="Arial"/>
                <w:color w:val="000000" w:themeColor="text1"/>
                <w:sz w:val="18"/>
                <w:szCs w:val="18"/>
              </w:rPr>
              <w:t>TSS</w:t>
            </w:r>
          </w:p>
          <w:p w14:paraId="160A90C4" w14:textId="26139AE6" w:rsidR="00967B9D" w:rsidRPr="00116AEF" w:rsidRDefault="00967B9D" w:rsidP="009402B5">
            <w:pPr>
              <w:pStyle w:val="CETBodytext"/>
              <w:spacing w:line="276" w:lineRule="auto"/>
              <w:jc w:val="center"/>
              <w:rPr>
                <w:color w:val="000000" w:themeColor="text1"/>
                <w:lang w:val="en-GB"/>
              </w:rPr>
            </w:pPr>
            <w:r w:rsidRPr="00116AEF">
              <w:rPr>
                <w:rFonts w:cs="Arial"/>
                <w:color w:val="000000" w:themeColor="text1"/>
                <w:szCs w:val="18"/>
              </w:rPr>
              <w:t xml:space="preserve">(mg </w:t>
            </w:r>
            <w:r w:rsidR="00C10A48" w:rsidRPr="00116AEF">
              <w:rPr>
                <w:rFonts w:cs="Arial"/>
                <w:color w:val="000000" w:themeColor="text1"/>
                <w:sz w:val="20"/>
                <w:szCs w:val="22"/>
              </w:rPr>
              <w:t xml:space="preserve">· </w:t>
            </w:r>
            <w:r w:rsidRPr="00116AEF">
              <w:rPr>
                <w:rFonts w:cs="Arial"/>
                <w:color w:val="000000" w:themeColor="text1"/>
                <w:szCs w:val="18"/>
              </w:rPr>
              <w:t>L</w:t>
            </w:r>
            <w:r w:rsidRPr="00116AEF">
              <w:rPr>
                <w:rFonts w:cs="Arial"/>
                <w:color w:val="000000" w:themeColor="text1"/>
                <w:szCs w:val="18"/>
                <w:vertAlign w:val="superscript"/>
              </w:rPr>
              <w:t>-1</w:t>
            </w:r>
            <w:r w:rsidRPr="00116AEF">
              <w:rPr>
                <w:rFonts w:cs="Arial"/>
                <w:color w:val="000000" w:themeColor="text1"/>
                <w:szCs w:val="18"/>
              </w:rPr>
              <w:t>)</w:t>
            </w:r>
          </w:p>
        </w:tc>
        <w:tc>
          <w:tcPr>
            <w:tcW w:w="1114" w:type="dxa"/>
            <w:tcBorders>
              <w:top w:val="single" w:sz="12" w:space="0" w:color="008000"/>
              <w:bottom w:val="single" w:sz="4" w:space="0" w:color="008000"/>
            </w:tcBorders>
            <w:shd w:val="clear" w:color="auto" w:fill="FFFFFF"/>
            <w:vAlign w:val="center"/>
          </w:tcPr>
          <w:p w14:paraId="2C01AB69" w14:textId="77777777" w:rsidR="00967B9D" w:rsidRPr="00116AEF" w:rsidRDefault="00967B9D" w:rsidP="009402B5">
            <w:pPr>
              <w:spacing w:line="276" w:lineRule="auto"/>
              <w:jc w:val="center"/>
              <w:rPr>
                <w:rFonts w:ascii="Arial" w:hAnsi="Arial" w:cs="Arial"/>
                <w:noProof/>
                <w:color w:val="000000" w:themeColor="text1"/>
                <w:sz w:val="18"/>
                <w:szCs w:val="18"/>
              </w:rPr>
            </w:pPr>
            <w:r w:rsidRPr="00116AEF">
              <w:rPr>
                <w:rFonts w:ascii="Arial" w:hAnsi="Arial" w:cs="Arial"/>
                <w:noProof/>
                <w:color w:val="000000" w:themeColor="text1"/>
                <w:sz w:val="18"/>
                <w:szCs w:val="18"/>
              </w:rPr>
              <w:t>TN</w:t>
            </w:r>
          </w:p>
          <w:p w14:paraId="75094B35" w14:textId="424EEF0F"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 xml:space="preserve">(mg </w:t>
            </w:r>
            <w:r w:rsidR="00C10A48" w:rsidRPr="00116AEF">
              <w:rPr>
                <w:rFonts w:cs="Arial"/>
                <w:color w:val="000000" w:themeColor="text1"/>
                <w:sz w:val="20"/>
                <w:szCs w:val="22"/>
              </w:rPr>
              <w:t xml:space="preserve">· </w:t>
            </w:r>
            <w:r w:rsidRPr="00116AEF">
              <w:rPr>
                <w:rFonts w:cs="Arial"/>
                <w:noProof/>
                <w:color w:val="000000" w:themeColor="text1"/>
                <w:szCs w:val="18"/>
              </w:rPr>
              <w:t>L</w:t>
            </w:r>
            <w:r w:rsidRPr="00116AEF">
              <w:rPr>
                <w:rFonts w:cs="Arial"/>
                <w:noProof/>
                <w:color w:val="000000" w:themeColor="text1"/>
                <w:szCs w:val="18"/>
                <w:vertAlign w:val="superscript"/>
              </w:rPr>
              <w:t>-1</w:t>
            </w:r>
            <w:r w:rsidRPr="00116AEF">
              <w:rPr>
                <w:rFonts w:cs="Arial"/>
                <w:noProof/>
                <w:color w:val="000000" w:themeColor="text1"/>
                <w:szCs w:val="18"/>
              </w:rPr>
              <w:t>)</w:t>
            </w:r>
          </w:p>
        </w:tc>
        <w:tc>
          <w:tcPr>
            <w:tcW w:w="835" w:type="dxa"/>
            <w:tcBorders>
              <w:bottom w:val="single" w:sz="4" w:space="0" w:color="008000"/>
            </w:tcBorders>
            <w:vAlign w:val="center"/>
          </w:tcPr>
          <w:p w14:paraId="0EA8CB96" w14:textId="2525F79A" w:rsidR="00967B9D" w:rsidRPr="00116AEF" w:rsidRDefault="00967B9D" w:rsidP="009402B5">
            <w:pPr>
              <w:spacing w:line="276" w:lineRule="auto"/>
              <w:jc w:val="center"/>
              <w:rPr>
                <w:rFonts w:ascii="Arial" w:hAnsi="Arial" w:cs="Arial"/>
                <w:noProof/>
                <w:color w:val="000000" w:themeColor="text1"/>
                <w:sz w:val="18"/>
                <w:szCs w:val="18"/>
              </w:rPr>
            </w:pPr>
            <w:r w:rsidRPr="00116AEF">
              <w:rPr>
                <w:rFonts w:ascii="Arial" w:hAnsi="Arial" w:cs="Arial"/>
                <w:noProof/>
                <w:color w:val="000000" w:themeColor="text1"/>
                <w:sz w:val="18"/>
                <w:szCs w:val="18"/>
              </w:rPr>
              <w:t>TP</w:t>
            </w:r>
          </w:p>
          <w:p w14:paraId="695CC1E4" w14:textId="529FFC9C"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 xml:space="preserve">(mg </w:t>
            </w:r>
            <w:r w:rsidR="00C10A48" w:rsidRPr="00116AEF">
              <w:rPr>
                <w:rFonts w:cs="Arial"/>
                <w:color w:val="000000" w:themeColor="text1"/>
                <w:sz w:val="20"/>
                <w:szCs w:val="22"/>
              </w:rPr>
              <w:t xml:space="preserve">· </w:t>
            </w:r>
            <w:r w:rsidRPr="00116AEF">
              <w:rPr>
                <w:rFonts w:cs="Arial"/>
                <w:noProof/>
                <w:color w:val="000000" w:themeColor="text1"/>
                <w:szCs w:val="18"/>
              </w:rPr>
              <w:t>L</w:t>
            </w:r>
            <w:r w:rsidRPr="00116AEF">
              <w:rPr>
                <w:rFonts w:cs="Arial"/>
                <w:noProof/>
                <w:color w:val="000000" w:themeColor="text1"/>
                <w:szCs w:val="18"/>
                <w:vertAlign w:val="superscript"/>
              </w:rPr>
              <w:t>-1</w:t>
            </w:r>
            <w:r w:rsidRPr="00116AEF">
              <w:rPr>
                <w:rFonts w:cs="Arial"/>
                <w:noProof/>
                <w:color w:val="000000" w:themeColor="text1"/>
                <w:szCs w:val="18"/>
              </w:rPr>
              <w:t>)</w:t>
            </w:r>
          </w:p>
        </w:tc>
        <w:tc>
          <w:tcPr>
            <w:tcW w:w="1368" w:type="dxa"/>
            <w:tcBorders>
              <w:bottom w:val="single" w:sz="4" w:space="0" w:color="008000"/>
            </w:tcBorders>
            <w:vAlign w:val="center"/>
          </w:tcPr>
          <w:p w14:paraId="16097B6C" w14:textId="77777777" w:rsidR="00967B9D" w:rsidRPr="00116AEF" w:rsidRDefault="00967B9D" w:rsidP="009402B5">
            <w:pPr>
              <w:pStyle w:val="CETBodytext"/>
              <w:spacing w:line="276" w:lineRule="auto"/>
              <w:jc w:val="center"/>
              <w:rPr>
                <w:rFonts w:cs="Arial"/>
                <w:noProof/>
                <w:color w:val="000000" w:themeColor="text1"/>
                <w:szCs w:val="18"/>
              </w:rPr>
            </w:pPr>
            <w:r w:rsidRPr="00116AEF">
              <w:rPr>
                <w:rFonts w:cs="Arial"/>
                <w:noProof/>
                <w:color w:val="000000" w:themeColor="text1"/>
                <w:szCs w:val="18"/>
              </w:rPr>
              <w:t>Electrical conductivity</w:t>
            </w:r>
          </w:p>
          <w:p w14:paraId="3B12951E" w14:textId="58606354"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 xml:space="preserve">(mS </w:t>
            </w:r>
            <w:r w:rsidR="00C10A48" w:rsidRPr="00116AEF">
              <w:rPr>
                <w:rFonts w:cs="Arial"/>
                <w:color w:val="000000" w:themeColor="text1"/>
                <w:sz w:val="20"/>
                <w:szCs w:val="22"/>
              </w:rPr>
              <w:t xml:space="preserve">· </w:t>
            </w:r>
            <w:r w:rsidRPr="00116AEF">
              <w:rPr>
                <w:rFonts w:cs="Arial"/>
                <w:noProof/>
                <w:color w:val="000000" w:themeColor="text1"/>
                <w:szCs w:val="18"/>
              </w:rPr>
              <w:t>cm</w:t>
            </w:r>
            <w:r w:rsidRPr="00116AEF">
              <w:rPr>
                <w:rFonts w:cs="Arial"/>
                <w:noProof/>
                <w:color w:val="000000" w:themeColor="text1"/>
                <w:szCs w:val="18"/>
                <w:vertAlign w:val="superscript"/>
              </w:rPr>
              <w:t>-1</w:t>
            </w:r>
            <w:r w:rsidRPr="00116AEF">
              <w:rPr>
                <w:rFonts w:cs="Arial"/>
                <w:noProof/>
                <w:color w:val="000000" w:themeColor="text1"/>
                <w:szCs w:val="18"/>
              </w:rPr>
              <w:t>)</w:t>
            </w:r>
          </w:p>
        </w:tc>
        <w:tc>
          <w:tcPr>
            <w:tcW w:w="709" w:type="dxa"/>
            <w:tcBorders>
              <w:top w:val="single" w:sz="12" w:space="0" w:color="008000"/>
              <w:bottom w:val="single" w:sz="4" w:space="0" w:color="008000"/>
            </w:tcBorders>
            <w:shd w:val="clear" w:color="auto" w:fill="FFFFFF"/>
            <w:vAlign w:val="center"/>
          </w:tcPr>
          <w:p w14:paraId="00972106" w14:textId="246AFE30" w:rsidR="00967B9D" w:rsidRPr="00116AEF" w:rsidRDefault="00967B9D" w:rsidP="009402B5">
            <w:pPr>
              <w:pStyle w:val="CETBodytext"/>
              <w:spacing w:line="276" w:lineRule="auto"/>
              <w:ind w:right="-1"/>
              <w:jc w:val="center"/>
              <w:rPr>
                <w:rFonts w:cs="Arial"/>
                <w:color w:val="000000" w:themeColor="text1"/>
                <w:szCs w:val="18"/>
                <w:lang w:val="en-GB"/>
              </w:rPr>
            </w:pPr>
            <w:r w:rsidRPr="00116AEF">
              <w:rPr>
                <w:rFonts w:cs="Arial"/>
                <w:noProof/>
                <w:color w:val="000000" w:themeColor="text1"/>
                <w:szCs w:val="18"/>
              </w:rPr>
              <w:t>pH</w:t>
            </w:r>
          </w:p>
        </w:tc>
        <w:tc>
          <w:tcPr>
            <w:tcW w:w="1559" w:type="dxa"/>
            <w:tcBorders>
              <w:top w:val="single" w:sz="12" w:space="0" w:color="008000"/>
              <w:bottom w:val="single" w:sz="4" w:space="0" w:color="008000"/>
            </w:tcBorders>
            <w:shd w:val="clear" w:color="auto" w:fill="FFFFFF"/>
            <w:vAlign w:val="center"/>
          </w:tcPr>
          <w:p w14:paraId="40DAA4E4" w14:textId="37A63554" w:rsidR="00967B9D" w:rsidRPr="00116AEF" w:rsidRDefault="00967B9D" w:rsidP="009402B5">
            <w:pPr>
              <w:pStyle w:val="CETBodytext"/>
              <w:spacing w:line="276" w:lineRule="auto"/>
              <w:ind w:right="-1"/>
              <w:jc w:val="center"/>
              <w:rPr>
                <w:rFonts w:cs="Arial"/>
                <w:color w:val="000000" w:themeColor="text1"/>
                <w:szCs w:val="18"/>
                <w:lang w:val="en-GB"/>
              </w:rPr>
            </w:pPr>
            <w:r w:rsidRPr="00116AEF">
              <w:rPr>
                <w:rFonts w:cs="Arial"/>
                <w:noProof/>
                <w:color w:val="000000" w:themeColor="text1"/>
                <w:szCs w:val="18"/>
              </w:rPr>
              <w:t>Reference</w:t>
            </w:r>
          </w:p>
        </w:tc>
      </w:tr>
      <w:tr w:rsidR="00116AEF" w:rsidRPr="00116AEF" w14:paraId="571CB543" w14:textId="77777777" w:rsidTr="009446E5">
        <w:trPr>
          <w:trHeight w:val="502"/>
          <w:jc w:val="center"/>
        </w:trPr>
        <w:tc>
          <w:tcPr>
            <w:tcW w:w="976" w:type="dxa"/>
            <w:tcBorders>
              <w:top w:val="single" w:sz="4" w:space="0" w:color="008000"/>
              <w:bottom w:val="nil"/>
            </w:tcBorders>
            <w:shd w:val="clear" w:color="auto" w:fill="FFFFFF"/>
            <w:vAlign w:val="center"/>
          </w:tcPr>
          <w:p w14:paraId="2A498179" w14:textId="3B48FCE1"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4.80</w:t>
            </w:r>
          </w:p>
        </w:tc>
        <w:tc>
          <w:tcPr>
            <w:tcW w:w="1306" w:type="dxa"/>
            <w:tcBorders>
              <w:top w:val="single" w:sz="4" w:space="0" w:color="008000"/>
              <w:bottom w:val="nil"/>
            </w:tcBorders>
            <w:shd w:val="clear" w:color="auto" w:fill="FFFFFF"/>
            <w:vAlign w:val="center"/>
          </w:tcPr>
          <w:p w14:paraId="60F8BF9E" w14:textId="7A1A1F13"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10.00</w:t>
            </w:r>
          </w:p>
        </w:tc>
        <w:tc>
          <w:tcPr>
            <w:tcW w:w="922" w:type="dxa"/>
            <w:tcBorders>
              <w:top w:val="single" w:sz="4" w:space="0" w:color="008000"/>
              <w:bottom w:val="nil"/>
            </w:tcBorders>
            <w:vAlign w:val="center"/>
          </w:tcPr>
          <w:p w14:paraId="43B9333E" w14:textId="572705DA"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150.19</w:t>
            </w:r>
          </w:p>
        </w:tc>
        <w:tc>
          <w:tcPr>
            <w:tcW w:w="1114" w:type="dxa"/>
            <w:tcBorders>
              <w:top w:val="single" w:sz="4" w:space="0" w:color="008000"/>
              <w:bottom w:val="nil"/>
            </w:tcBorders>
            <w:shd w:val="clear" w:color="auto" w:fill="FFFFFF"/>
            <w:vAlign w:val="center"/>
          </w:tcPr>
          <w:p w14:paraId="41DC073C" w14:textId="0F18500B"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w:t>
            </w:r>
          </w:p>
        </w:tc>
        <w:tc>
          <w:tcPr>
            <w:tcW w:w="835" w:type="dxa"/>
            <w:tcBorders>
              <w:top w:val="single" w:sz="4" w:space="0" w:color="008000"/>
              <w:bottom w:val="nil"/>
            </w:tcBorders>
            <w:vAlign w:val="center"/>
          </w:tcPr>
          <w:p w14:paraId="2E8FD054" w14:textId="32C3734A"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w:t>
            </w:r>
          </w:p>
        </w:tc>
        <w:tc>
          <w:tcPr>
            <w:tcW w:w="1368" w:type="dxa"/>
            <w:tcBorders>
              <w:top w:val="single" w:sz="4" w:space="0" w:color="008000"/>
              <w:bottom w:val="nil"/>
            </w:tcBorders>
            <w:vAlign w:val="center"/>
          </w:tcPr>
          <w:p w14:paraId="4757C241" w14:textId="0F2AA7B1"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2.00</w:t>
            </w:r>
          </w:p>
        </w:tc>
        <w:tc>
          <w:tcPr>
            <w:tcW w:w="709" w:type="dxa"/>
            <w:tcBorders>
              <w:top w:val="single" w:sz="4" w:space="0" w:color="008000"/>
              <w:bottom w:val="nil"/>
            </w:tcBorders>
            <w:shd w:val="clear" w:color="auto" w:fill="FFFFFF"/>
            <w:vAlign w:val="center"/>
          </w:tcPr>
          <w:p w14:paraId="310E65C9" w14:textId="726FE18D" w:rsidR="00967B9D" w:rsidRPr="00116AEF" w:rsidRDefault="00967B9D" w:rsidP="009402B5">
            <w:pPr>
              <w:pStyle w:val="CETBodytext"/>
              <w:spacing w:line="276" w:lineRule="auto"/>
              <w:ind w:right="-1"/>
              <w:jc w:val="center"/>
              <w:rPr>
                <w:rFonts w:cs="Arial"/>
                <w:color w:val="000000" w:themeColor="text1"/>
                <w:szCs w:val="18"/>
                <w:lang w:val="en-GB"/>
              </w:rPr>
            </w:pPr>
            <w:r w:rsidRPr="00116AEF">
              <w:rPr>
                <w:rFonts w:cs="Arial"/>
                <w:noProof/>
                <w:color w:val="000000" w:themeColor="text1"/>
                <w:szCs w:val="18"/>
              </w:rPr>
              <w:t>4.00</w:t>
            </w:r>
          </w:p>
        </w:tc>
        <w:tc>
          <w:tcPr>
            <w:tcW w:w="1559" w:type="dxa"/>
            <w:tcBorders>
              <w:top w:val="single" w:sz="4" w:space="0" w:color="008000"/>
              <w:bottom w:val="nil"/>
            </w:tcBorders>
            <w:shd w:val="clear" w:color="auto" w:fill="FFFFFF"/>
            <w:vAlign w:val="center"/>
          </w:tcPr>
          <w:p w14:paraId="10639375" w14:textId="492CDD87" w:rsidR="00967B9D" w:rsidRPr="00116AEF" w:rsidRDefault="00967B9D" w:rsidP="009402B5">
            <w:pPr>
              <w:pStyle w:val="CETBodytext"/>
              <w:spacing w:line="276" w:lineRule="auto"/>
              <w:ind w:right="-1"/>
              <w:jc w:val="center"/>
              <w:rPr>
                <w:rFonts w:cs="Arial"/>
                <w:color w:val="000000" w:themeColor="text1"/>
                <w:szCs w:val="18"/>
                <w:lang w:val="en-GB"/>
              </w:rPr>
            </w:pPr>
            <w:r w:rsidRPr="00116AEF">
              <w:rPr>
                <w:rFonts w:cs="Arial"/>
                <w:noProof/>
                <w:color w:val="000000" w:themeColor="text1"/>
                <w:szCs w:val="18"/>
              </w:rPr>
              <w:t>Yılmaz et al., 2018</w:t>
            </w:r>
          </w:p>
        </w:tc>
      </w:tr>
      <w:tr w:rsidR="00116AEF" w:rsidRPr="00116AEF" w14:paraId="0C709338" w14:textId="77777777" w:rsidTr="009446E5">
        <w:trPr>
          <w:trHeight w:val="502"/>
          <w:jc w:val="center"/>
        </w:trPr>
        <w:tc>
          <w:tcPr>
            <w:tcW w:w="976" w:type="dxa"/>
            <w:tcBorders>
              <w:top w:val="nil"/>
              <w:bottom w:val="nil"/>
            </w:tcBorders>
            <w:shd w:val="clear" w:color="auto" w:fill="FFFFFF"/>
            <w:vAlign w:val="center"/>
          </w:tcPr>
          <w:p w14:paraId="7C01AC45" w14:textId="593B4EE5"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w:t>
            </w:r>
          </w:p>
        </w:tc>
        <w:tc>
          <w:tcPr>
            <w:tcW w:w="1306" w:type="dxa"/>
            <w:tcBorders>
              <w:top w:val="nil"/>
              <w:bottom w:val="nil"/>
            </w:tcBorders>
            <w:shd w:val="clear" w:color="auto" w:fill="FFFFFF"/>
            <w:vAlign w:val="center"/>
          </w:tcPr>
          <w:p w14:paraId="673ABE49" w14:textId="534E92A3"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0.74</w:t>
            </w:r>
          </w:p>
        </w:tc>
        <w:tc>
          <w:tcPr>
            <w:tcW w:w="922" w:type="dxa"/>
            <w:tcBorders>
              <w:top w:val="nil"/>
              <w:bottom w:val="nil"/>
            </w:tcBorders>
            <w:vAlign w:val="center"/>
          </w:tcPr>
          <w:p w14:paraId="53A2F406" w14:textId="085C6331"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w:t>
            </w:r>
          </w:p>
        </w:tc>
        <w:tc>
          <w:tcPr>
            <w:tcW w:w="1114" w:type="dxa"/>
            <w:tcBorders>
              <w:top w:val="nil"/>
              <w:bottom w:val="nil"/>
            </w:tcBorders>
            <w:shd w:val="clear" w:color="auto" w:fill="FFFFFF"/>
            <w:vAlign w:val="center"/>
          </w:tcPr>
          <w:p w14:paraId="2D786D89" w14:textId="5B55F876"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20.50</w:t>
            </w:r>
          </w:p>
        </w:tc>
        <w:tc>
          <w:tcPr>
            <w:tcW w:w="835" w:type="dxa"/>
            <w:tcBorders>
              <w:top w:val="nil"/>
              <w:bottom w:val="nil"/>
            </w:tcBorders>
            <w:vAlign w:val="center"/>
          </w:tcPr>
          <w:p w14:paraId="000EF511" w14:textId="0C29A069"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7.40</w:t>
            </w:r>
          </w:p>
        </w:tc>
        <w:tc>
          <w:tcPr>
            <w:tcW w:w="1368" w:type="dxa"/>
            <w:tcBorders>
              <w:top w:val="nil"/>
              <w:bottom w:val="nil"/>
            </w:tcBorders>
            <w:vAlign w:val="center"/>
          </w:tcPr>
          <w:p w14:paraId="58DC4DEA" w14:textId="77777777" w:rsidR="00967B9D" w:rsidRPr="00116AEF" w:rsidRDefault="00967B9D" w:rsidP="009402B5">
            <w:pPr>
              <w:pStyle w:val="CETBodytext"/>
              <w:spacing w:line="276" w:lineRule="auto"/>
              <w:jc w:val="center"/>
              <w:rPr>
                <w:color w:val="000000" w:themeColor="text1"/>
                <w:lang w:val="en-GB"/>
              </w:rPr>
            </w:pPr>
          </w:p>
        </w:tc>
        <w:tc>
          <w:tcPr>
            <w:tcW w:w="709" w:type="dxa"/>
            <w:tcBorders>
              <w:top w:val="nil"/>
              <w:bottom w:val="nil"/>
            </w:tcBorders>
            <w:shd w:val="clear" w:color="auto" w:fill="FFFFFF"/>
            <w:vAlign w:val="center"/>
          </w:tcPr>
          <w:p w14:paraId="16A5E174" w14:textId="33FB91F2" w:rsidR="00967B9D" w:rsidRPr="00116AEF" w:rsidRDefault="00967B9D" w:rsidP="009402B5">
            <w:pPr>
              <w:pStyle w:val="CETBodytext"/>
              <w:spacing w:line="276" w:lineRule="auto"/>
              <w:ind w:right="-1"/>
              <w:jc w:val="center"/>
              <w:rPr>
                <w:rFonts w:cs="Arial"/>
                <w:color w:val="000000" w:themeColor="text1"/>
                <w:szCs w:val="18"/>
                <w:lang w:val="en-GB"/>
              </w:rPr>
            </w:pPr>
            <w:r w:rsidRPr="00116AEF">
              <w:rPr>
                <w:rFonts w:cs="Arial"/>
                <w:noProof/>
                <w:color w:val="000000" w:themeColor="text1"/>
                <w:szCs w:val="18"/>
              </w:rPr>
              <w:t>5.60</w:t>
            </w:r>
          </w:p>
        </w:tc>
        <w:tc>
          <w:tcPr>
            <w:tcW w:w="1559" w:type="dxa"/>
            <w:tcBorders>
              <w:top w:val="nil"/>
              <w:bottom w:val="nil"/>
            </w:tcBorders>
            <w:shd w:val="clear" w:color="auto" w:fill="FFFFFF"/>
            <w:vAlign w:val="center"/>
          </w:tcPr>
          <w:p w14:paraId="74C6DF47" w14:textId="551AB46C" w:rsidR="00967B9D" w:rsidRPr="00116AEF" w:rsidRDefault="00967B9D" w:rsidP="009402B5">
            <w:pPr>
              <w:pStyle w:val="CETBodytext"/>
              <w:spacing w:line="276" w:lineRule="auto"/>
              <w:ind w:right="-1"/>
              <w:jc w:val="center"/>
              <w:rPr>
                <w:rFonts w:cs="Arial"/>
                <w:color w:val="000000" w:themeColor="text1"/>
                <w:szCs w:val="18"/>
                <w:lang w:val="en-GB"/>
              </w:rPr>
            </w:pPr>
            <w:r w:rsidRPr="00116AEF">
              <w:rPr>
                <w:rFonts w:cs="Arial"/>
                <w:noProof/>
                <w:color w:val="000000" w:themeColor="text1"/>
                <w:szCs w:val="18"/>
              </w:rPr>
              <w:t>Huo et al., 2020</w:t>
            </w:r>
          </w:p>
        </w:tc>
      </w:tr>
      <w:tr w:rsidR="009446E5" w:rsidRPr="00116AEF" w14:paraId="72390898" w14:textId="77777777" w:rsidTr="009446E5">
        <w:trPr>
          <w:trHeight w:val="502"/>
          <w:jc w:val="center"/>
        </w:trPr>
        <w:tc>
          <w:tcPr>
            <w:tcW w:w="976" w:type="dxa"/>
            <w:tcBorders>
              <w:top w:val="nil"/>
            </w:tcBorders>
            <w:shd w:val="clear" w:color="auto" w:fill="FFFFFF"/>
            <w:vAlign w:val="center"/>
          </w:tcPr>
          <w:p w14:paraId="0362A94E" w14:textId="7C888652" w:rsidR="00967B9D" w:rsidRPr="00116AEF" w:rsidRDefault="00967B9D" w:rsidP="009402B5">
            <w:pPr>
              <w:pStyle w:val="CETBodytext"/>
              <w:spacing w:line="276" w:lineRule="auto"/>
              <w:ind w:right="-1"/>
              <w:jc w:val="center"/>
              <w:rPr>
                <w:rFonts w:cs="Arial"/>
                <w:color w:val="000000" w:themeColor="text1"/>
                <w:szCs w:val="18"/>
                <w:lang w:val="en-GB"/>
              </w:rPr>
            </w:pPr>
            <w:r w:rsidRPr="00116AEF">
              <w:rPr>
                <w:rFonts w:cs="Arial"/>
                <w:noProof/>
                <w:color w:val="000000" w:themeColor="text1"/>
                <w:szCs w:val="18"/>
              </w:rPr>
              <w:t>-</w:t>
            </w:r>
          </w:p>
        </w:tc>
        <w:tc>
          <w:tcPr>
            <w:tcW w:w="1306" w:type="dxa"/>
            <w:tcBorders>
              <w:top w:val="nil"/>
            </w:tcBorders>
            <w:shd w:val="clear" w:color="auto" w:fill="FFFFFF"/>
            <w:vAlign w:val="center"/>
          </w:tcPr>
          <w:p w14:paraId="7B05C044" w14:textId="1C95F7FE" w:rsidR="00967B9D" w:rsidRPr="00116AEF" w:rsidRDefault="00967B9D" w:rsidP="009402B5">
            <w:pPr>
              <w:pStyle w:val="CETBodytext"/>
              <w:spacing w:line="276" w:lineRule="auto"/>
              <w:ind w:right="-1"/>
              <w:jc w:val="center"/>
              <w:rPr>
                <w:rFonts w:cs="Arial"/>
                <w:color w:val="000000" w:themeColor="text1"/>
                <w:szCs w:val="18"/>
                <w:lang w:val="en-GB"/>
              </w:rPr>
            </w:pPr>
            <w:r w:rsidRPr="00116AEF">
              <w:rPr>
                <w:rFonts w:cs="Arial"/>
                <w:noProof/>
                <w:color w:val="000000" w:themeColor="text1"/>
                <w:szCs w:val="18"/>
              </w:rPr>
              <w:t>33.16</w:t>
            </w:r>
          </w:p>
        </w:tc>
        <w:tc>
          <w:tcPr>
            <w:tcW w:w="922" w:type="dxa"/>
            <w:tcBorders>
              <w:top w:val="nil"/>
            </w:tcBorders>
            <w:vAlign w:val="center"/>
          </w:tcPr>
          <w:p w14:paraId="31654B40" w14:textId="40579D05" w:rsidR="00967B9D" w:rsidRPr="00116AEF" w:rsidRDefault="00967B9D" w:rsidP="009402B5">
            <w:pPr>
              <w:pStyle w:val="CETBodytext"/>
              <w:spacing w:line="276" w:lineRule="auto"/>
              <w:ind w:right="-1"/>
              <w:jc w:val="center"/>
              <w:rPr>
                <w:rFonts w:cs="Arial"/>
                <w:color w:val="000000" w:themeColor="text1"/>
                <w:szCs w:val="18"/>
                <w:lang w:val="en-GB"/>
              </w:rPr>
            </w:pPr>
            <w:r w:rsidRPr="00116AEF">
              <w:rPr>
                <w:rFonts w:cs="Arial"/>
                <w:noProof/>
                <w:color w:val="000000" w:themeColor="text1"/>
                <w:szCs w:val="18"/>
              </w:rPr>
              <w:t>650.00</w:t>
            </w:r>
          </w:p>
        </w:tc>
        <w:tc>
          <w:tcPr>
            <w:tcW w:w="1114" w:type="dxa"/>
            <w:tcBorders>
              <w:top w:val="nil"/>
            </w:tcBorders>
            <w:shd w:val="clear" w:color="auto" w:fill="FFFFFF"/>
            <w:vAlign w:val="center"/>
          </w:tcPr>
          <w:p w14:paraId="26ADF3FB" w14:textId="7C2FA92C" w:rsidR="00967B9D" w:rsidRPr="00116AEF" w:rsidRDefault="00967B9D" w:rsidP="009402B5">
            <w:pPr>
              <w:pStyle w:val="CETBodytext"/>
              <w:spacing w:line="276" w:lineRule="auto"/>
              <w:ind w:right="-1"/>
              <w:jc w:val="center"/>
              <w:rPr>
                <w:rFonts w:cs="Arial"/>
                <w:color w:val="000000" w:themeColor="text1"/>
                <w:szCs w:val="18"/>
                <w:lang w:val="en-GB"/>
              </w:rPr>
            </w:pPr>
            <w:r w:rsidRPr="00116AEF">
              <w:rPr>
                <w:rFonts w:cs="Arial"/>
                <w:noProof/>
                <w:color w:val="000000" w:themeColor="text1"/>
                <w:szCs w:val="18"/>
              </w:rPr>
              <w:t>-</w:t>
            </w:r>
          </w:p>
        </w:tc>
        <w:tc>
          <w:tcPr>
            <w:tcW w:w="835" w:type="dxa"/>
            <w:tcBorders>
              <w:top w:val="nil"/>
            </w:tcBorders>
            <w:vAlign w:val="center"/>
          </w:tcPr>
          <w:p w14:paraId="260ACDE1" w14:textId="4B79ED74"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w:t>
            </w:r>
          </w:p>
        </w:tc>
        <w:tc>
          <w:tcPr>
            <w:tcW w:w="1368" w:type="dxa"/>
            <w:tcBorders>
              <w:top w:val="nil"/>
            </w:tcBorders>
            <w:vAlign w:val="center"/>
          </w:tcPr>
          <w:p w14:paraId="5B2BA64D" w14:textId="1F974758" w:rsidR="00967B9D" w:rsidRPr="00116AEF" w:rsidRDefault="00967B9D" w:rsidP="009402B5">
            <w:pPr>
              <w:pStyle w:val="CETBodytext"/>
              <w:spacing w:line="276" w:lineRule="auto"/>
              <w:jc w:val="center"/>
              <w:rPr>
                <w:color w:val="000000" w:themeColor="text1"/>
                <w:lang w:val="en-GB"/>
              </w:rPr>
            </w:pPr>
            <w:r w:rsidRPr="00116AEF">
              <w:rPr>
                <w:rFonts w:cs="Arial"/>
                <w:noProof/>
                <w:color w:val="000000" w:themeColor="text1"/>
                <w:szCs w:val="18"/>
              </w:rPr>
              <w:t>1.80</w:t>
            </w:r>
          </w:p>
        </w:tc>
        <w:tc>
          <w:tcPr>
            <w:tcW w:w="709" w:type="dxa"/>
            <w:tcBorders>
              <w:top w:val="nil"/>
            </w:tcBorders>
            <w:shd w:val="clear" w:color="auto" w:fill="FFFFFF"/>
            <w:vAlign w:val="center"/>
          </w:tcPr>
          <w:p w14:paraId="7A75A0A6" w14:textId="0998CA65" w:rsidR="00967B9D" w:rsidRPr="00116AEF" w:rsidRDefault="00967B9D" w:rsidP="009402B5">
            <w:pPr>
              <w:pStyle w:val="CETBodytext"/>
              <w:spacing w:line="276" w:lineRule="auto"/>
              <w:ind w:right="-1"/>
              <w:jc w:val="center"/>
              <w:rPr>
                <w:rFonts w:cs="Arial"/>
                <w:color w:val="000000" w:themeColor="text1"/>
                <w:szCs w:val="18"/>
                <w:lang w:val="en-GB"/>
              </w:rPr>
            </w:pPr>
            <w:r w:rsidRPr="00116AEF">
              <w:rPr>
                <w:rFonts w:cs="Arial"/>
                <w:noProof/>
                <w:color w:val="000000" w:themeColor="text1"/>
                <w:szCs w:val="18"/>
              </w:rPr>
              <w:t>3.03</w:t>
            </w:r>
          </w:p>
        </w:tc>
        <w:tc>
          <w:tcPr>
            <w:tcW w:w="1559" w:type="dxa"/>
            <w:tcBorders>
              <w:top w:val="nil"/>
            </w:tcBorders>
            <w:shd w:val="clear" w:color="auto" w:fill="FFFFFF"/>
            <w:vAlign w:val="center"/>
          </w:tcPr>
          <w:p w14:paraId="0DA0F08D" w14:textId="45994CD9" w:rsidR="00967B9D" w:rsidRPr="00116AEF" w:rsidRDefault="00967B9D" w:rsidP="009402B5">
            <w:pPr>
              <w:pStyle w:val="CETBodytext"/>
              <w:spacing w:line="276" w:lineRule="auto"/>
              <w:ind w:right="-1"/>
              <w:jc w:val="center"/>
              <w:rPr>
                <w:rFonts w:cs="Arial"/>
                <w:color w:val="000000" w:themeColor="text1"/>
                <w:szCs w:val="18"/>
                <w:lang w:val="en-GB"/>
              </w:rPr>
            </w:pPr>
            <w:r w:rsidRPr="00116AEF">
              <w:rPr>
                <w:rFonts w:cs="Arial"/>
                <w:noProof/>
                <w:color w:val="000000" w:themeColor="text1"/>
                <w:szCs w:val="18"/>
              </w:rPr>
              <w:t>Kargi et al., 2013</w:t>
            </w:r>
          </w:p>
        </w:tc>
      </w:tr>
    </w:tbl>
    <w:p w14:paraId="5E09A000" w14:textId="77777777" w:rsidR="00967B9D" w:rsidRPr="00116AEF" w:rsidRDefault="00967B9D" w:rsidP="009402B5">
      <w:pPr>
        <w:pStyle w:val="CETBodytext"/>
        <w:spacing w:line="276" w:lineRule="auto"/>
        <w:rPr>
          <w:rFonts w:cs="Arial"/>
          <w:noProof/>
          <w:color w:val="000000" w:themeColor="text1"/>
          <w:szCs w:val="18"/>
        </w:rPr>
      </w:pPr>
    </w:p>
    <w:p w14:paraId="6ADA0479" w14:textId="0C88253F" w:rsidR="00A7541D" w:rsidRPr="00116AEF" w:rsidRDefault="002179B9" w:rsidP="009402B5">
      <w:pPr>
        <w:pStyle w:val="CETBodytext"/>
        <w:spacing w:line="276" w:lineRule="auto"/>
        <w:rPr>
          <w:rFonts w:cs="Arial"/>
          <w:noProof/>
          <w:color w:val="000000" w:themeColor="text1"/>
          <w:szCs w:val="18"/>
        </w:rPr>
      </w:pPr>
      <w:r w:rsidRPr="00116AEF">
        <w:rPr>
          <w:rFonts w:cs="Arial"/>
          <w:noProof/>
          <w:color w:val="000000" w:themeColor="text1"/>
          <w:szCs w:val="18"/>
        </w:rPr>
        <w:t>Note: BOD = biological</w:t>
      </w:r>
      <w:r w:rsidR="00D31A76" w:rsidRPr="00116AEF">
        <w:rPr>
          <w:rFonts w:cs="Arial"/>
          <w:noProof/>
          <w:color w:val="000000" w:themeColor="text1"/>
          <w:szCs w:val="18"/>
        </w:rPr>
        <w:t xml:space="preserve"> oxygen demand, COD = chemcial oxygen demand, TSS = total suspended solids, TN = total nitrogen, TP = total phosphororus. </w:t>
      </w:r>
    </w:p>
    <w:p w14:paraId="1EF6BFC5" w14:textId="77777777" w:rsidR="00C3529D" w:rsidRPr="00116AEF" w:rsidRDefault="00C3529D" w:rsidP="009402B5">
      <w:pPr>
        <w:pStyle w:val="CETBodytext"/>
        <w:spacing w:line="276" w:lineRule="auto"/>
        <w:rPr>
          <w:rFonts w:cs="Arial"/>
          <w:noProof/>
          <w:color w:val="000000" w:themeColor="text1"/>
          <w:szCs w:val="18"/>
        </w:rPr>
      </w:pPr>
    </w:p>
    <w:p w14:paraId="68956A0D" w14:textId="61E6A688" w:rsidR="00E4681E" w:rsidRPr="00116AEF" w:rsidRDefault="00E4681E" w:rsidP="009402B5">
      <w:pPr>
        <w:pStyle w:val="CETheadingx"/>
        <w:spacing w:line="276" w:lineRule="auto"/>
        <w:rPr>
          <w:rFonts w:cs="Arial"/>
          <w:color w:val="000000" w:themeColor="text1"/>
          <w:szCs w:val="18"/>
        </w:rPr>
      </w:pPr>
      <w:r w:rsidRPr="00116AEF">
        <w:rPr>
          <w:rFonts w:cs="Arial"/>
          <w:color w:val="000000" w:themeColor="text1"/>
          <w:szCs w:val="18"/>
        </w:rPr>
        <w:lastRenderedPageBreak/>
        <w:t>Effect of vinegar supplementation under mixotrophic conditions</w:t>
      </w:r>
    </w:p>
    <w:p w14:paraId="4DF22C37" w14:textId="6AE098E8" w:rsidR="00E47E9C" w:rsidRPr="00116AEF" w:rsidRDefault="00E47E9C" w:rsidP="009402B5">
      <w:pPr>
        <w:pStyle w:val="CETBodytext"/>
        <w:spacing w:line="276" w:lineRule="auto"/>
        <w:rPr>
          <w:rFonts w:cs="Arial"/>
          <w:noProof/>
          <w:color w:val="000000" w:themeColor="text1"/>
          <w:szCs w:val="18"/>
        </w:rPr>
      </w:pPr>
      <w:r w:rsidRPr="00116AEF">
        <w:rPr>
          <w:rFonts w:cs="Arial"/>
          <w:noProof/>
          <w:color w:val="000000" w:themeColor="text1"/>
          <w:szCs w:val="18"/>
        </w:rPr>
        <w:t>To overcome these limitations, a two-stage cultivation strategy was adopted. During the first week cultures were grown under autotrophic conditions in JM, whereas during the second week vinegar was added to induce mixotrophic growth.</w:t>
      </w:r>
    </w:p>
    <w:p w14:paraId="637BC0FF" w14:textId="5CBA1461" w:rsidR="00E47E9C" w:rsidRPr="00116AEF" w:rsidRDefault="00E47E9C" w:rsidP="009402B5">
      <w:pPr>
        <w:pStyle w:val="CETBodytext"/>
        <w:spacing w:line="276" w:lineRule="auto"/>
        <w:rPr>
          <w:rFonts w:cs="Arial"/>
          <w:noProof/>
          <w:color w:val="000000" w:themeColor="text1"/>
          <w:szCs w:val="18"/>
        </w:rPr>
      </w:pPr>
      <w:r w:rsidRPr="00116AEF">
        <w:rPr>
          <w:rFonts w:cs="Arial"/>
          <w:noProof/>
          <w:color w:val="000000" w:themeColor="text1"/>
          <w:szCs w:val="18"/>
        </w:rPr>
        <w:t xml:space="preserve">Vinegar supplementation significantly enhanced biomass accumulation and growth kinetics compared with the control medium (Table </w:t>
      </w:r>
      <w:r w:rsidR="00C3529D" w:rsidRPr="00116AEF">
        <w:rPr>
          <w:rFonts w:cs="Arial"/>
          <w:noProof/>
          <w:color w:val="000000" w:themeColor="text1"/>
          <w:szCs w:val="18"/>
        </w:rPr>
        <w:t>2</w:t>
      </w:r>
      <w:r w:rsidRPr="00116AEF">
        <w:rPr>
          <w:rFonts w:cs="Arial"/>
          <w:noProof/>
          <w:color w:val="000000" w:themeColor="text1"/>
          <w:szCs w:val="18"/>
        </w:rPr>
        <w:t xml:space="preserve">). The addition of 0.5 mL vinegar increased the </w:t>
      </w:r>
      <w:r w:rsidR="00300D6F" w:rsidRPr="00116AEF">
        <w:rPr>
          <w:rFonts w:cs="Arial"/>
          <w:noProof/>
          <w:color w:val="000000" w:themeColor="text1"/>
          <w:szCs w:val="18"/>
        </w:rPr>
        <w:t>X</w:t>
      </w:r>
      <w:r w:rsidR="00300D6F" w:rsidRPr="00116AEF">
        <w:rPr>
          <w:rFonts w:cs="Arial"/>
          <w:noProof/>
          <w:color w:val="000000" w:themeColor="text1"/>
          <w:szCs w:val="18"/>
          <w:vertAlign w:val="subscript"/>
        </w:rPr>
        <w:t>max</w:t>
      </w:r>
      <w:r w:rsidRPr="00116AEF">
        <w:rPr>
          <w:rFonts w:cs="Arial"/>
          <w:noProof/>
          <w:color w:val="000000" w:themeColor="text1"/>
          <w:szCs w:val="18"/>
        </w:rPr>
        <w:t xml:space="preserve"> to 3.52 ± 0.31 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with a µ of 0.14 ± 0.01 day</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and a Q</w:t>
      </w:r>
      <w:r w:rsidRPr="00116AEF">
        <w:rPr>
          <w:rFonts w:cs="Arial"/>
          <w:noProof/>
          <w:color w:val="000000" w:themeColor="text1"/>
          <w:szCs w:val="18"/>
          <w:vertAlign w:val="subscript"/>
        </w:rPr>
        <w:t>x</w:t>
      </w:r>
      <w:r w:rsidRPr="00116AEF">
        <w:rPr>
          <w:rFonts w:cs="Arial"/>
          <w:noProof/>
          <w:color w:val="000000" w:themeColor="text1"/>
          <w:szCs w:val="18"/>
        </w:rPr>
        <w:t xml:space="preserve"> of 400 ± 50 mg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w:t>
      </w:r>
      <w:r w:rsidR="00C10A48" w:rsidRPr="00116AEF">
        <w:rPr>
          <w:rFonts w:cs="Arial"/>
          <w:color w:val="000000" w:themeColor="text1"/>
          <w:sz w:val="20"/>
          <w:szCs w:val="22"/>
        </w:rPr>
        <w:t xml:space="preserve">· </w:t>
      </w:r>
      <w:r w:rsidRPr="00116AEF">
        <w:rPr>
          <w:rFonts w:cs="Arial"/>
          <w:noProof/>
          <w:color w:val="000000" w:themeColor="text1"/>
          <w:szCs w:val="18"/>
        </w:rPr>
        <w:t>day</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w:t>
      </w:r>
    </w:p>
    <w:p w14:paraId="4BBBD58F" w14:textId="01CF417C" w:rsidR="00E47E9C" w:rsidRPr="00116AEF" w:rsidRDefault="00E47E9C" w:rsidP="009402B5">
      <w:pPr>
        <w:pStyle w:val="CETBodytext"/>
        <w:spacing w:line="276" w:lineRule="auto"/>
        <w:rPr>
          <w:rFonts w:cs="Arial"/>
          <w:noProof/>
          <w:color w:val="000000" w:themeColor="text1"/>
          <w:szCs w:val="18"/>
        </w:rPr>
      </w:pPr>
      <w:r w:rsidRPr="00116AEF">
        <w:rPr>
          <w:rFonts w:cs="Arial"/>
          <w:noProof/>
          <w:color w:val="000000" w:themeColor="text1"/>
          <w:szCs w:val="18"/>
        </w:rPr>
        <w:t xml:space="preserve">Increasing the supplementation to 1 mL vinegar further increased </w:t>
      </w:r>
      <w:r w:rsidR="008E23B3" w:rsidRPr="00116AEF">
        <w:rPr>
          <w:rFonts w:cs="Arial"/>
          <w:noProof/>
          <w:color w:val="000000" w:themeColor="text1"/>
          <w:szCs w:val="18"/>
        </w:rPr>
        <w:t xml:space="preserve">biomass productivity </w:t>
      </w:r>
      <w:r w:rsidRPr="00116AEF">
        <w:rPr>
          <w:rFonts w:cs="Arial"/>
          <w:noProof/>
          <w:color w:val="000000" w:themeColor="text1"/>
          <w:szCs w:val="18"/>
        </w:rPr>
        <w:t>(</w:t>
      </w:r>
      <w:r w:rsidR="008E23B3" w:rsidRPr="00116AEF">
        <w:rPr>
          <w:rFonts w:cs="Arial"/>
          <w:noProof/>
          <w:color w:val="000000" w:themeColor="text1"/>
          <w:szCs w:val="18"/>
        </w:rPr>
        <w:t>Q</w:t>
      </w:r>
      <w:r w:rsidR="008E23B3" w:rsidRPr="00116AEF">
        <w:rPr>
          <w:rFonts w:cs="Arial"/>
          <w:noProof/>
          <w:color w:val="000000" w:themeColor="text1"/>
          <w:szCs w:val="18"/>
          <w:vertAlign w:val="subscript"/>
        </w:rPr>
        <w:t>x</w:t>
      </w:r>
      <w:r w:rsidR="008E23B3" w:rsidRPr="00116AEF">
        <w:rPr>
          <w:rFonts w:cs="Arial"/>
          <w:noProof/>
          <w:color w:val="000000" w:themeColor="text1"/>
          <w:szCs w:val="18"/>
        </w:rPr>
        <w:t xml:space="preserve"> = </w:t>
      </w:r>
      <w:r w:rsidRPr="00116AEF">
        <w:rPr>
          <w:rFonts w:cs="Arial"/>
          <w:noProof/>
          <w:color w:val="000000" w:themeColor="text1"/>
          <w:szCs w:val="18"/>
        </w:rPr>
        <w:t xml:space="preserve">440 ± 100 mg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day</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and </w:t>
      </w:r>
      <w:r w:rsidR="002179B9" w:rsidRPr="00116AEF">
        <w:rPr>
          <w:rFonts w:cs="Arial"/>
          <w:noProof/>
          <w:color w:val="000000" w:themeColor="text1"/>
          <w:szCs w:val="18"/>
        </w:rPr>
        <w:t>biomass concentration</w:t>
      </w:r>
      <w:r w:rsidRPr="00116AEF">
        <w:rPr>
          <w:rFonts w:cs="Arial"/>
          <w:noProof/>
          <w:color w:val="000000" w:themeColor="text1"/>
          <w:szCs w:val="18"/>
        </w:rPr>
        <w:t xml:space="preserve"> (</w:t>
      </w:r>
      <w:r w:rsidR="008E23B3" w:rsidRPr="00116AEF">
        <w:rPr>
          <w:rFonts w:cs="Arial"/>
          <w:noProof/>
          <w:color w:val="000000" w:themeColor="text1"/>
          <w:szCs w:val="18"/>
        </w:rPr>
        <w:t>X</w:t>
      </w:r>
      <w:r w:rsidR="008E23B3" w:rsidRPr="00116AEF">
        <w:rPr>
          <w:rFonts w:cs="Arial"/>
          <w:noProof/>
          <w:color w:val="000000" w:themeColor="text1"/>
          <w:szCs w:val="18"/>
          <w:vertAlign w:val="subscript"/>
        </w:rPr>
        <w:t>max</w:t>
      </w:r>
      <w:r w:rsidR="008E23B3" w:rsidRPr="00116AEF">
        <w:rPr>
          <w:rFonts w:cs="Arial"/>
          <w:noProof/>
          <w:color w:val="000000" w:themeColor="text1"/>
          <w:szCs w:val="18"/>
        </w:rPr>
        <w:t xml:space="preserve"> = </w:t>
      </w:r>
      <w:r w:rsidRPr="00116AEF">
        <w:rPr>
          <w:rFonts w:cs="Arial"/>
          <w:noProof/>
          <w:color w:val="000000" w:themeColor="text1"/>
          <w:szCs w:val="18"/>
        </w:rPr>
        <w:t xml:space="preserve">4.28 ± 0.8 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although the growth rate slightly decreased (µ = 0.11 ± 0.02 day</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and doubling time increased (</w:t>
      </w:r>
      <w:r w:rsidR="002179B9" w:rsidRPr="00116AEF">
        <w:rPr>
          <w:rFonts w:cs="Arial"/>
          <w:noProof/>
          <w:color w:val="000000" w:themeColor="text1"/>
          <w:szCs w:val="18"/>
        </w:rPr>
        <w:t>t</w:t>
      </w:r>
      <w:r w:rsidR="002179B9" w:rsidRPr="00116AEF">
        <w:rPr>
          <w:rFonts w:cs="Arial"/>
          <w:noProof/>
          <w:color w:val="000000" w:themeColor="text1"/>
          <w:szCs w:val="18"/>
          <w:vertAlign w:val="subscript"/>
        </w:rPr>
        <w:t>d</w:t>
      </w:r>
      <w:r w:rsidR="002179B9" w:rsidRPr="00116AEF">
        <w:rPr>
          <w:rFonts w:cs="Arial"/>
          <w:noProof/>
          <w:color w:val="000000" w:themeColor="text1"/>
          <w:szCs w:val="18"/>
        </w:rPr>
        <w:t xml:space="preserve"> = </w:t>
      </w:r>
      <w:r w:rsidRPr="00116AEF">
        <w:rPr>
          <w:rFonts w:cs="Arial"/>
          <w:noProof/>
          <w:color w:val="000000" w:themeColor="text1"/>
          <w:szCs w:val="18"/>
        </w:rPr>
        <w:t>6.82 ± 1 days).</w:t>
      </w:r>
    </w:p>
    <w:p w14:paraId="23759349" w14:textId="066108D1" w:rsidR="00334653" w:rsidRPr="00116AEF" w:rsidRDefault="00E47E9C" w:rsidP="009402B5">
      <w:pPr>
        <w:pStyle w:val="CETBodytext"/>
        <w:spacing w:line="276" w:lineRule="auto"/>
        <w:rPr>
          <w:rFonts w:cs="Arial"/>
          <w:noProof/>
          <w:color w:val="000000" w:themeColor="text1"/>
          <w:szCs w:val="18"/>
        </w:rPr>
      </w:pPr>
      <w:r w:rsidRPr="00116AEF">
        <w:rPr>
          <w:rFonts w:cs="Arial"/>
          <w:noProof/>
          <w:color w:val="000000" w:themeColor="text1"/>
          <w:szCs w:val="18"/>
        </w:rPr>
        <w:t xml:space="preserve">The highest biomass concentration was obtained with 2 mL vinegar, reaching 6.3 ± 1.28 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although growth kinetics were slightly lower (µ = 0.10 ± 0.01 day</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compared with the control medium. These results suggest that increasing the availability of organic carbon enhances biomass accumulation under mixotrophic conditions.</w:t>
      </w:r>
      <w:r w:rsidR="00296FCB" w:rsidRPr="00116AEF">
        <w:rPr>
          <w:rFonts w:cs="Arial"/>
          <w:noProof/>
          <w:color w:val="000000" w:themeColor="text1"/>
          <w:szCs w:val="18"/>
        </w:rPr>
        <w:t xml:space="preserve"> However, the relationship between organic carbon availability and growth performance was not linear. While higher vinegar supplementation increased final biomass concentration, it did not lead to a proportional improvement in growth kinetics. This suggests that, beyond a certain threshold, the addition of organic substrates may induce metabolic constraints or shifts in cellular energy allocation, potentially affecting the efficiency of biomass production. Therefore, maximizing organic input does not necessarily correspond to optimal process performance.</w:t>
      </w:r>
    </w:p>
    <w:p w14:paraId="1B61782D" w14:textId="1FD6E974" w:rsidR="00300D6F" w:rsidRPr="00116AEF" w:rsidRDefault="00300D6F" w:rsidP="009402B5">
      <w:pPr>
        <w:pStyle w:val="CETTabletitle"/>
        <w:numPr>
          <w:ilvl w:val="0"/>
          <w:numId w:val="13"/>
        </w:numPr>
        <w:spacing w:line="276" w:lineRule="auto"/>
        <w:rPr>
          <w:rFonts w:cs="Arial"/>
          <w:i w:val="0"/>
          <w:noProof/>
          <w:color w:val="000000" w:themeColor="text1"/>
          <w:szCs w:val="18"/>
          <w:lang w:val="en-US"/>
        </w:rPr>
      </w:pPr>
      <w:r w:rsidRPr="00116AEF">
        <w:rPr>
          <w:rFonts w:cs="Arial"/>
          <w:color w:val="000000" w:themeColor="text1"/>
          <w:szCs w:val="18"/>
        </w:rPr>
        <w:t xml:space="preserve">Table </w:t>
      </w:r>
      <w:r w:rsidR="00C3529D" w:rsidRPr="00116AEF">
        <w:rPr>
          <w:rFonts w:cs="Arial"/>
          <w:color w:val="000000" w:themeColor="text1"/>
          <w:szCs w:val="18"/>
        </w:rPr>
        <w:t>2</w:t>
      </w:r>
      <w:r w:rsidRPr="00116AEF">
        <w:rPr>
          <w:rFonts w:cs="Arial"/>
          <w:color w:val="000000" w:themeColor="text1"/>
          <w:szCs w:val="18"/>
        </w:rPr>
        <w:t xml:space="preserve">: Growth kinetics of </w:t>
      </w:r>
      <w:r w:rsidRPr="00116AEF">
        <w:rPr>
          <w:rFonts w:cs="Arial"/>
          <w:iCs/>
          <w:color w:val="000000" w:themeColor="text1"/>
          <w:szCs w:val="18"/>
        </w:rPr>
        <w:t>Limnospira platensis</w:t>
      </w:r>
      <w:r w:rsidRPr="00116AEF">
        <w:rPr>
          <w:rFonts w:cs="Arial"/>
          <w:color w:val="000000" w:themeColor="text1"/>
          <w:szCs w:val="18"/>
        </w:rPr>
        <w:t xml:space="preserve"> under mixotrophic cultivation with vinegar supplementation and varying salinity.</w:t>
      </w:r>
    </w:p>
    <w:tbl>
      <w:tblPr>
        <w:tblpPr w:leftFromText="141" w:rightFromText="141" w:vertAnchor="text" w:horzAnchor="margin" w:tblpY="-40"/>
        <w:tblW w:w="8800"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60"/>
        <w:gridCol w:w="1760"/>
        <w:gridCol w:w="1760"/>
        <w:gridCol w:w="1760"/>
        <w:gridCol w:w="1760"/>
      </w:tblGrid>
      <w:tr w:rsidR="00116AEF" w:rsidRPr="00116AEF" w14:paraId="480C1EAB" w14:textId="77777777" w:rsidTr="00967B9D">
        <w:trPr>
          <w:trHeight w:val="506"/>
        </w:trPr>
        <w:tc>
          <w:tcPr>
            <w:tcW w:w="1760" w:type="dxa"/>
            <w:tcBorders>
              <w:top w:val="single" w:sz="12" w:space="0" w:color="008000"/>
              <w:bottom w:val="single" w:sz="6" w:space="0" w:color="008000"/>
            </w:tcBorders>
            <w:shd w:val="clear" w:color="auto" w:fill="FFFFFF"/>
            <w:vAlign w:val="center"/>
          </w:tcPr>
          <w:p w14:paraId="78D6DF8F"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Growth medium</w:t>
            </w:r>
          </w:p>
        </w:tc>
        <w:tc>
          <w:tcPr>
            <w:tcW w:w="1760" w:type="dxa"/>
            <w:tcBorders>
              <w:top w:val="single" w:sz="12" w:space="0" w:color="008000"/>
              <w:bottom w:val="single" w:sz="6" w:space="0" w:color="008000"/>
            </w:tcBorders>
            <w:shd w:val="clear" w:color="auto" w:fill="FFFFFF"/>
            <w:vAlign w:val="center"/>
          </w:tcPr>
          <w:p w14:paraId="664B7532"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μ (day</w:t>
            </w:r>
            <w:r w:rsidRPr="00116AEF">
              <w:rPr>
                <w:rFonts w:cs="Arial"/>
                <w:color w:val="000000" w:themeColor="text1"/>
                <w:szCs w:val="18"/>
                <w:vertAlign w:val="superscript"/>
                <w:lang w:val="it-IT" w:eastAsia="it-IT"/>
              </w:rPr>
              <w:t>-1</w:t>
            </w:r>
            <w:r w:rsidRPr="00116AEF">
              <w:rPr>
                <w:rFonts w:cs="Arial"/>
                <w:color w:val="000000" w:themeColor="text1"/>
                <w:szCs w:val="18"/>
                <w:lang w:val="it-IT" w:eastAsia="it-IT"/>
              </w:rPr>
              <w:t>)</w:t>
            </w:r>
          </w:p>
        </w:tc>
        <w:tc>
          <w:tcPr>
            <w:tcW w:w="1760" w:type="dxa"/>
            <w:tcBorders>
              <w:top w:val="single" w:sz="12" w:space="0" w:color="008000"/>
              <w:bottom w:val="single" w:sz="6" w:space="0" w:color="008000"/>
            </w:tcBorders>
            <w:shd w:val="clear" w:color="auto" w:fill="FFFFFF"/>
            <w:vAlign w:val="center"/>
          </w:tcPr>
          <w:p w14:paraId="77DBEFEE" w14:textId="77777777" w:rsidR="00967B9D" w:rsidRPr="00116AEF" w:rsidRDefault="00967B9D" w:rsidP="009402B5">
            <w:pPr>
              <w:pStyle w:val="CETBodytext"/>
              <w:spacing w:line="276" w:lineRule="auto"/>
              <w:rPr>
                <w:color w:val="000000" w:themeColor="text1"/>
                <w:lang w:val="en-GB"/>
              </w:rPr>
            </w:pPr>
            <w:r w:rsidRPr="00116AEF">
              <w:rPr>
                <w:rFonts w:cs="Arial"/>
                <w:noProof/>
                <w:color w:val="000000" w:themeColor="text1"/>
                <w:szCs w:val="18"/>
              </w:rPr>
              <w:t>t</w:t>
            </w:r>
            <w:r w:rsidRPr="00116AEF">
              <w:rPr>
                <w:rFonts w:cs="Arial"/>
                <w:noProof/>
                <w:color w:val="000000" w:themeColor="text1"/>
                <w:szCs w:val="18"/>
                <w:vertAlign w:val="subscript"/>
              </w:rPr>
              <w:t>d</w:t>
            </w:r>
            <w:r w:rsidRPr="00116AEF">
              <w:rPr>
                <w:rFonts w:cs="Arial"/>
                <w:color w:val="000000" w:themeColor="text1"/>
                <w:szCs w:val="18"/>
                <w:lang w:val="it-IT" w:eastAsia="it-IT"/>
              </w:rPr>
              <w:t xml:space="preserve"> (day</w:t>
            </w:r>
            <w:r w:rsidRPr="00116AEF">
              <w:rPr>
                <w:rFonts w:cs="Arial"/>
                <w:color w:val="000000" w:themeColor="text1"/>
                <w:szCs w:val="18"/>
                <w:vertAlign w:val="superscript"/>
                <w:lang w:val="it-IT" w:eastAsia="it-IT"/>
              </w:rPr>
              <w:t>-1</w:t>
            </w:r>
            <w:r w:rsidRPr="00116AEF">
              <w:rPr>
                <w:rFonts w:cs="Arial"/>
                <w:color w:val="000000" w:themeColor="text1"/>
                <w:szCs w:val="18"/>
                <w:lang w:val="it-IT" w:eastAsia="it-IT"/>
              </w:rPr>
              <w:t>)</w:t>
            </w:r>
          </w:p>
        </w:tc>
        <w:tc>
          <w:tcPr>
            <w:tcW w:w="1760" w:type="dxa"/>
            <w:tcBorders>
              <w:top w:val="single" w:sz="12" w:space="0" w:color="008000"/>
              <w:bottom w:val="single" w:sz="6" w:space="0" w:color="008000"/>
            </w:tcBorders>
            <w:shd w:val="clear" w:color="auto" w:fill="FFFFFF"/>
            <w:vAlign w:val="center"/>
          </w:tcPr>
          <w:p w14:paraId="4B906576" w14:textId="20733829" w:rsidR="00967B9D" w:rsidRPr="00116AEF" w:rsidRDefault="00967B9D" w:rsidP="009402B5">
            <w:pPr>
              <w:pStyle w:val="CETBodytext"/>
              <w:spacing w:line="276" w:lineRule="auto"/>
              <w:ind w:right="-1"/>
              <w:rPr>
                <w:rFonts w:cs="Arial"/>
                <w:color w:val="000000" w:themeColor="text1"/>
                <w:szCs w:val="18"/>
                <w:lang w:val="en-GB"/>
              </w:rPr>
            </w:pPr>
            <w:r w:rsidRPr="00116AEF">
              <w:rPr>
                <w:rFonts w:cs="Arial"/>
                <w:noProof/>
                <w:color w:val="000000" w:themeColor="text1"/>
                <w:szCs w:val="18"/>
              </w:rPr>
              <w:t>X</w:t>
            </w:r>
            <w:r w:rsidRPr="00116AEF">
              <w:rPr>
                <w:rFonts w:cs="Arial"/>
                <w:noProof/>
                <w:color w:val="000000" w:themeColor="text1"/>
                <w:szCs w:val="18"/>
                <w:vertAlign w:val="subscript"/>
              </w:rPr>
              <w:t>max</w:t>
            </w:r>
            <w:r w:rsidRPr="00116AEF">
              <w:rPr>
                <w:rFonts w:cs="Arial"/>
                <w:color w:val="000000" w:themeColor="text1"/>
                <w:szCs w:val="18"/>
                <w:lang w:val="it-IT" w:eastAsia="it-IT"/>
              </w:rPr>
              <w:t xml:space="preserve"> (g </w:t>
            </w:r>
            <w:r w:rsidR="00C10A48" w:rsidRPr="00116AEF">
              <w:rPr>
                <w:rFonts w:cs="Arial"/>
                <w:color w:val="000000" w:themeColor="text1"/>
                <w:sz w:val="20"/>
                <w:szCs w:val="22"/>
              </w:rPr>
              <w:t xml:space="preserve">· </w:t>
            </w:r>
            <w:r w:rsidRPr="00116AEF">
              <w:rPr>
                <w:rFonts w:cs="Arial"/>
                <w:color w:val="000000" w:themeColor="text1"/>
                <w:szCs w:val="18"/>
                <w:lang w:val="it-IT" w:eastAsia="it-IT"/>
              </w:rPr>
              <w:t>L</w:t>
            </w:r>
            <w:r w:rsidRPr="00116AEF">
              <w:rPr>
                <w:rFonts w:cs="Arial"/>
                <w:color w:val="000000" w:themeColor="text1"/>
                <w:szCs w:val="18"/>
                <w:vertAlign w:val="superscript"/>
                <w:lang w:val="it-IT" w:eastAsia="it-IT"/>
              </w:rPr>
              <w:t>-1</w:t>
            </w:r>
            <w:r w:rsidRPr="00116AEF">
              <w:rPr>
                <w:rFonts w:cs="Arial"/>
                <w:color w:val="000000" w:themeColor="text1"/>
                <w:szCs w:val="18"/>
                <w:lang w:val="it-IT" w:eastAsia="it-IT"/>
              </w:rPr>
              <w:t>)</w:t>
            </w:r>
          </w:p>
        </w:tc>
        <w:tc>
          <w:tcPr>
            <w:tcW w:w="1760" w:type="dxa"/>
            <w:tcBorders>
              <w:top w:val="single" w:sz="12" w:space="0" w:color="008000"/>
              <w:bottom w:val="single" w:sz="6" w:space="0" w:color="008000"/>
            </w:tcBorders>
            <w:shd w:val="clear" w:color="auto" w:fill="FFFFFF"/>
            <w:vAlign w:val="center"/>
          </w:tcPr>
          <w:p w14:paraId="7D913E33" w14:textId="73D00896" w:rsidR="00967B9D" w:rsidRPr="00116AEF" w:rsidRDefault="00967B9D" w:rsidP="009402B5">
            <w:pPr>
              <w:pStyle w:val="CETBodytext"/>
              <w:spacing w:line="276" w:lineRule="auto"/>
              <w:ind w:right="-1"/>
              <w:rPr>
                <w:rFonts w:cs="Arial"/>
                <w:color w:val="000000" w:themeColor="text1"/>
                <w:szCs w:val="18"/>
                <w:lang w:val="en-GB"/>
              </w:rPr>
            </w:pPr>
            <w:r w:rsidRPr="00116AEF">
              <w:rPr>
                <w:rFonts w:cs="Arial"/>
                <w:color w:val="000000" w:themeColor="text1"/>
                <w:szCs w:val="18"/>
                <w:lang w:val="it-IT" w:eastAsia="it-IT"/>
              </w:rPr>
              <w:t>Q</w:t>
            </w:r>
            <w:r w:rsidRPr="00116AEF">
              <w:rPr>
                <w:rFonts w:cs="Arial"/>
                <w:color w:val="000000" w:themeColor="text1"/>
                <w:szCs w:val="18"/>
                <w:vertAlign w:val="subscript"/>
                <w:lang w:val="it-IT" w:eastAsia="it-IT"/>
              </w:rPr>
              <w:t>X</w:t>
            </w:r>
            <w:r w:rsidRPr="00116AEF">
              <w:rPr>
                <w:rFonts w:cs="Arial"/>
                <w:color w:val="000000" w:themeColor="text1"/>
                <w:szCs w:val="18"/>
                <w:lang w:val="it-IT" w:eastAsia="it-IT"/>
              </w:rPr>
              <w:t xml:space="preserve"> (mg </w:t>
            </w:r>
            <w:r w:rsidR="00C10A48" w:rsidRPr="00116AEF">
              <w:rPr>
                <w:rFonts w:cs="Arial"/>
                <w:color w:val="000000" w:themeColor="text1"/>
                <w:sz w:val="20"/>
                <w:szCs w:val="22"/>
              </w:rPr>
              <w:t xml:space="preserve">· </w:t>
            </w:r>
            <w:r w:rsidRPr="00116AEF">
              <w:rPr>
                <w:rFonts w:cs="Arial"/>
                <w:color w:val="000000" w:themeColor="text1"/>
                <w:szCs w:val="18"/>
                <w:lang w:val="it-IT" w:eastAsia="it-IT"/>
              </w:rPr>
              <w:t>L</w:t>
            </w:r>
            <w:r w:rsidRPr="00116AEF">
              <w:rPr>
                <w:rFonts w:cs="Arial"/>
                <w:color w:val="000000" w:themeColor="text1"/>
                <w:szCs w:val="18"/>
                <w:vertAlign w:val="superscript"/>
                <w:lang w:val="it-IT" w:eastAsia="it-IT"/>
              </w:rPr>
              <w:t>-1</w:t>
            </w:r>
            <w:r w:rsidRPr="00116AEF">
              <w:rPr>
                <w:rFonts w:cs="Arial"/>
                <w:color w:val="000000" w:themeColor="text1"/>
                <w:szCs w:val="18"/>
                <w:lang w:val="it-IT" w:eastAsia="it-IT"/>
              </w:rPr>
              <w:t xml:space="preserve"> </w:t>
            </w:r>
            <w:r w:rsidR="00C10A48" w:rsidRPr="00116AEF">
              <w:rPr>
                <w:rFonts w:cs="Arial"/>
                <w:color w:val="000000" w:themeColor="text1"/>
                <w:sz w:val="20"/>
                <w:szCs w:val="22"/>
              </w:rPr>
              <w:t xml:space="preserve">· </w:t>
            </w:r>
            <w:r w:rsidRPr="00116AEF">
              <w:rPr>
                <w:rFonts w:cs="Arial"/>
                <w:color w:val="000000" w:themeColor="text1"/>
                <w:szCs w:val="18"/>
                <w:lang w:val="it-IT" w:eastAsia="it-IT"/>
              </w:rPr>
              <w:t>day</w:t>
            </w:r>
            <w:r w:rsidRPr="00116AEF">
              <w:rPr>
                <w:rFonts w:cs="Arial"/>
                <w:color w:val="000000" w:themeColor="text1"/>
                <w:szCs w:val="18"/>
                <w:vertAlign w:val="superscript"/>
                <w:lang w:val="it-IT" w:eastAsia="it-IT"/>
              </w:rPr>
              <w:t>-1</w:t>
            </w:r>
            <w:r w:rsidRPr="00116AEF">
              <w:rPr>
                <w:rFonts w:cs="Arial"/>
                <w:color w:val="000000" w:themeColor="text1"/>
                <w:szCs w:val="18"/>
                <w:lang w:val="it-IT" w:eastAsia="it-IT"/>
              </w:rPr>
              <w:t>)</w:t>
            </w:r>
          </w:p>
        </w:tc>
      </w:tr>
      <w:tr w:rsidR="00116AEF" w:rsidRPr="00116AEF" w14:paraId="77A1D186" w14:textId="77777777" w:rsidTr="00967B9D">
        <w:trPr>
          <w:trHeight w:val="273"/>
        </w:trPr>
        <w:tc>
          <w:tcPr>
            <w:tcW w:w="1760" w:type="dxa"/>
            <w:shd w:val="clear" w:color="auto" w:fill="FFFFFF"/>
            <w:vAlign w:val="center"/>
          </w:tcPr>
          <w:p w14:paraId="14014E94"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JM</w:t>
            </w:r>
          </w:p>
        </w:tc>
        <w:tc>
          <w:tcPr>
            <w:tcW w:w="1760" w:type="dxa"/>
            <w:shd w:val="clear" w:color="auto" w:fill="FFFFFF"/>
            <w:vAlign w:val="center"/>
          </w:tcPr>
          <w:p w14:paraId="1130500C"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0.18 ± 0.03</w:t>
            </w:r>
          </w:p>
        </w:tc>
        <w:tc>
          <w:tcPr>
            <w:tcW w:w="1760" w:type="dxa"/>
            <w:shd w:val="clear" w:color="auto" w:fill="FFFFFF"/>
            <w:vAlign w:val="center"/>
          </w:tcPr>
          <w:p w14:paraId="057B8C64"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4.00 ± 0.70</w:t>
            </w:r>
          </w:p>
        </w:tc>
        <w:tc>
          <w:tcPr>
            <w:tcW w:w="1760" w:type="dxa"/>
            <w:shd w:val="clear" w:color="auto" w:fill="FFFFFF"/>
            <w:vAlign w:val="center"/>
          </w:tcPr>
          <w:p w14:paraId="6FC59C5C" w14:textId="77777777" w:rsidR="00967B9D" w:rsidRPr="00116AEF" w:rsidRDefault="00967B9D" w:rsidP="009402B5">
            <w:pPr>
              <w:pStyle w:val="CETBodytext"/>
              <w:spacing w:line="276" w:lineRule="auto"/>
              <w:ind w:right="-1"/>
              <w:rPr>
                <w:rFonts w:cs="Arial"/>
                <w:color w:val="000000" w:themeColor="text1"/>
                <w:szCs w:val="18"/>
                <w:lang w:val="en-GB"/>
              </w:rPr>
            </w:pPr>
            <w:r w:rsidRPr="00116AEF">
              <w:rPr>
                <w:rFonts w:cs="Arial"/>
                <w:color w:val="000000" w:themeColor="text1"/>
                <w:szCs w:val="18"/>
                <w:lang w:val="it-IT" w:eastAsia="it-IT"/>
              </w:rPr>
              <w:t>2.42 ± 0.48</w:t>
            </w:r>
          </w:p>
        </w:tc>
        <w:tc>
          <w:tcPr>
            <w:tcW w:w="1760" w:type="dxa"/>
            <w:shd w:val="clear" w:color="auto" w:fill="FFFFFF"/>
            <w:vAlign w:val="center"/>
          </w:tcPr>
          <w:p w14:paraId="0B0C72EE" w14:textId="77777777" w:rsidR="00967B9D" w:rsidRPr="00116AEF" w:rsidRDefault="00967B9D" w:rsidP="009402B5">
            <w:pPr>
              <w:pStyle w:val="CETBodytext"/>
              <w:spacing w:line="276" w:lineRule="auto"/>
              <w:ind w:right="-1"/>
              <w:rPr>
                <w:rFonts w:cs="Arial"/>
                <w:color w:val="000000" w:themeColor="text1"/>
                <w:szCs w:val="18"/>
                <w:lang w:val="en-GB"/>
              </w:rPr>
            </w:pPr>
            <w:r w:rsidRPr="00116AEF">
              <w:rPr>
                <w:rFonts w:cs="Arial"/>
                <w:color w:val="000000" w:themeColor="text1"/>
                <w:szCs w:val="18"/>
                <w:lang w:val="it-IT" w:eastAsia="it-IT"/>
              </w:rPr>
              <w:t>260 ± 6.2</w:t>
            </w:r>
          </w:p>
        </w:tc>
      </w:tr>
      <w:tr w:rsidR="00116AEF" w:rsidRPr="00116AEF" w14:paraId="04645132" w14:textId="77777777" w:rsidTr="00967B9D">
        <w:trPr>
          <w:trHeight w:val="259"/>
        </w:trPr>
        <w:tc>
          <w:tcPr>
            <w:tcW w:w="1760" w:type="dxa"/>
            <w:shd w:val="clear" w:color="auto" w:fill="FFFFFF"/>
            <w:vAlign w:val="center"/>
          </w:tcPr>
          <w:p w14:paraId="15F0034F"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V</w:t>
            </w:r>
          </w:p>
        </w:tc>
        <w:tc>
          <w:tcPr>
            <w:tcW w:w="1760" w:type="dxa"/>
            <w:shd w:val="clear" w:color="auto" w:fill="FFFFFF"/>
            <w:vAlign w:val="center"/>
          </w:tcPr>
          <w:p w14:paraId="33BBAA78"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0.02 ± 0.02</w:t>
            </w:r>
          </w:p>
        </w:tc>
        <w:tc>
          <w:tcPr>
            <w:tcW w:w="1760" w:type="dxa"/>
            <w:shd w:val="clear" w:color="auto" w:fill="FFFFFF"/>
            <w:vAlign w:val="center"/>
          </w:tcPr>
          <w:p w14:paraId="41877CFC"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w:t>
            </w:r>
          </w:p>
        </w:tc>
        <w:tc>
          <w:tcPr>
            <w:tcW w:w="1760" w:type="dxa"/>
            <w:shd w:val="clear" w:color="auto" w:fill="FFFFFF"/>
            <w:vAlign w:val="center"/>
          </w:tcPr>
          <w:p w14:paraId="05D29CA7" w14:textId="77777777" w:rsidR="00967B9D" w:rsidRPr="00116AEF" w:rsidRDefault="00967B9D" w:rsidP="009402B5">
            <w:pPr>
              <w:pStyle w:val="CETBodytext"/>
              <w:spacing w:line="276" w:lineRule="auto"/>
              <w:ind w:right="-1"/>
              <w:rPr>
                <w:rFonts w:cs="Arial"/>
                <w:color w:val="000000" w:themeColor="text1"/>
                <w:szCs w:val="18"/>
                <w:lang w:val="en-GB"/>
              </w:rPr>
            </w:pPr>
            <w:r w:rsidRPr="00116AEF">
              <w:rPr>
                <w:rFonts w:cs="Arial"/>
                <w:color w:val="000000" w:themeColor="text1"/>
                <w:szCs w:val="18"/>
                <w:lang w:val="it-IT" w:eastAsia="it-IT"/>
              </w:rPr>
              <w:t>0.56 ± 0.04</w:t>
            </w:r>
          </w:p>
        </w:tc>
        <w:tc>
          <w:tcPr>
            <w:tcW w:w="1760" w:type="dxa"/>
            <w:shd w:val="clear" w:color="auto" w:fill="FFFFFF"/>
            <w:vAlign w:val="center"/>
          </w:tcPr>
          <w:p w14:paraId="7BD0629E" w14:textId="77777777" w:rsidR="00967B9D" w:rsidRPr="00116AEF" w:rsidRDefault="00967B9D" w:rsidP="009402B5">
            <w:pPr>
              <w:pStyle w:val="CETBodytext"/>
              <w:spacing w:line="276" w:lineRule="auto"/>
              <w:ind w:right="-1"/>
              <w:rPr>
                <w:rFonts w:cs="Arial"/>
                <w:color w:val="000000" w:themeColor="text1"/>
                <w:szCs w:val="18"/>
                <w:lang w:val="en-GB"/>
              </w:rPr>
            </w:pPr>
            <w:r w:rsidRPr="00116AEF">
              <w:rPr>
                <w:rFonts w:cs="Arial"/>
                <w:color w:val="000000" w:themeColor="text1"/>
                <w:szCs w:val="18"/>
                <w:lang w:val="it-IT" w:eastAsia="it-IT"/>
              </w:rPr>
              <w:t>10 ± 3</w:t>
            </w:r>
          </w:p>
        </w:tc>
      </w:tr>
      <w:tr w:rsidR="00116AEF" w:rsidRPr="00116AEF" w14:paraId="51937CF6" w14:textId="77777777" w:rsidTr="00967B9D">
        <w:trPr>
          <w:trHeight w:val="259"/>
        </w:trPr>
        <w:tc>
          <w:tcPr>
            <w:tcW w:w="1760" w:type="dxa"/>
            <w:shd w:val="clear" w:color="auto" w:fill="FFFFFF"/>
            <w:vAlign w:val="center"/>
          </w:tcPr>
          <w:p w14:paraId="178BA024"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VM</w:t>
            </w:r>
          </w:p>
        </w:tc>
        <w:tc>
          <w:tcPr>
            <w:tcW w:w="1760" w:type="dxa"/>
            <w:shd w:val="clear" w:color="auto" w:fill="FFFFFF"/>
            <w:vAlign w:val="center"/>
          </w:tcPr>
          <w:p w14:paraId="628B48A9"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0.04 ± 0.06</w:t>
            </w:r>
          </w:p>
        </w:tc>
        <w:tc>
          <w:tcPr>
            <w:tcW w:w="1760" w:type="dxa"/>
            <w:shd w:val="clear" w:color="auto" w:fill="FFFFFF"/>
            <w:vAlign w:val="center"/>
          </w:tcPr>
          <w:p w14:paraId="146F7575"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w:t>
            </w:r>
          </w:p>
        </w:tc>
        <w:tc>
          <w:tcPr>
            <w:tcW w:w="1760" w:type="dxa"/>
            <w:shd w:val="clear" w:color="auto" w:fill="FFFFFF"/>
            <w:vAlign w:val="center"/>
          </w:tcPr>
          <w:p w14:paraId="12F9B8DD" w14:textId="77777777" w:rsidR="00967B9D" w:rsidRPr="00116AEF" w:rsidRDefault="00967B9D" w:rsidP="009402B5">
            <w:pPr>
              <w:pStyle w:val="CETBodytext"/>
              <w:spacing w:line="276" w:lineRule="auto"/>
              <w:ind w:right="-1"/>
              <w:rPr>
                <w:rFonts w:cs="Arial"/>
                <w:color w:val="000000" w:themeColor="text1"/>
                <w:szCs w:val="18"/>
                <w:lang w:val="en-GB"/>
              </w:rPr>
            </w:pPr>
            <w:r w:rsidRPr="00116AEF">
              <w:rPr>
                <w:rFonts w:cs="Arial"/>
                <w:color w:val="000000" w:themeColor="text1"/>
                <w:szCs w:val="18"/>
                <w:lang w:val="it-IT" w:eastAsia="it-IT"/>
              </w:rPr>
              <w:t>0.46 ± 0.06</w:t>
            </w:r>
          </w:p>
        </w:tc>
        <w:tc>
          <w:tcPr>
            <w:tcW w:w="1760" w:type="dxa"/>
            <w:shd w:val="clear" w:color="auto" w:fill="FFFFFF"/>
            <w:vAlign w:val="center"/>
          </w:tcPr>
          <w:p w14:paraId="1135A1F9" w14:textId="77777777" w:rsidR="00967B9D" w:rsidRPr="00116AEF" w:rsidRDefault="00967B9D" w:rsidP="009402B5">
            <w:pPr>
              <w:pStyle w:val="CETBodytext"/>
              <w:spacing w:line="276" w:lineRule="auto"/>
              <w:ind w:right="-1"/>
              <w:rPr>
                <w:rFonts w:cs="Arial"/>
                <w:color w:val="000000" w:themeColor="text1"/>
                <w:szCs w:val="18"/>
                <w:lang w:val="en-GB"/>
              </w:rPr>
            </w:pPr>
            <w:r w:rsidRPr="00116AEF">
              <w:rPr>
                <w:rFonts w:cs="Arial"/>
                <w:color w:val="000000" w:themeColor="text1"/>
                <w:szCs w:val="18"/>
                <w:lang w:val="it-IT" w:eastAsia="it-IT"/>
              </w:rPr>
              <w:t>20 ± 4</w:t>
            </w:r>
          </w:p>
        </w:tc>
      </w:tr>
      <w:tr w:rsidR="00116AEF" w:rsidRPr="00116AEF" w14:paraId="70E1C723" w14:textId="77777777" w:rsidTr="00967B9D">
        <w:trPr>
          <w:trHeight w:val="259"/>
        </w:trPr>
        <w:tc>
          <w:tcPr>
            <w:tcW w:w="1760" w:type="dxa"/>
            <w:shd w:val="clear" w:color="auto" w:fill="FFFFFF"/>
            <w:vAlign w:val="center"/>
          </w:tcPr>
          <w:p w14:paraId="222DC95A"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JM+V0.5</w:t>
            </w:r>
          </w:p>
        </w:tc>
        <w:tc>
          <w:tcPr>
            <w:tcW w:w="1760" w:type="dxa"/>
            <w:shd w:val="clear" w:color="auto" w:fill="FFFFFF"/>
            <w:vAlign w:val="center"/>
          </w:tcPr>
          <w:p w14:paraId="51924F52"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0.14 ± 0.01</w:t>
            </w:r>
          </w:p>
        </w:tc>
        <w:tc>
          <w:tcPr>
            <w:tcW w:w="1760" w:type="dxa"/>
            <w:shd w:val="clear" w:color="auto" w:fill="FFFFFF"/>
            <w:vAlign w:val="center"/>
          </w:tcPr>
          <w:p w14:paraId="74F9DD85"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5.11 ± 0.42</w:t>
            </w:r>
          </w:p>
        </w:tc>
        <w:tc>
          <w:tcPr>
            <w:tcW w:w="1760" w:type="dxa"/>
            <w:shd w:val="clear" w:color="auto" w:fill="FFFFFF"/>
            <w:vAlign w:val="center"/>
          </w:tcPr>
          <w:p w14:paraId="30B42443" w14:textId="77777777" w:rsidR="00967B9D" w:rsidRPr="00116AEF" w:rsidRDefault="00967B9D" w:rsidP="009402B5">
            <w:pPr>
              <w:pStyle w:val="CETBodytext"/>
              <w:spacing w:line="276" w:lineRule="auto"/>
              <w:ind w:right="-1"/>
              <w:rPr>
                <w:rFonts w:cs="Arial"/>
                <w:color w:val="000000" w:themeColor="text1"/>
                <w:szCs w:val="18"/>
                <w:lang w:val="en-GB"/>
              </w:rPr>
            </w:pPr>
            <w:r w:rsidRPr="00116AEF">
              <w:rPr>
                <w:rFonts w:cs="Arial"/>
                <w:color w:val="000000" w:themeColor="text1"/>
                <w:szCs w:val="18"/>
                <w:lang w:val="it-IT" w:eastAsia="it-IT"/>
              </w:rPr>
              <w:t>3.52 ± 0.31</w:t>
            </w:r>
          </w:p>
        </w:tc>
        <w:tc>
          <w:tcPr>
            <w:tcW w:w="1760" w:type="dxa"/>
            <w:shd w:val="clear" w:color="auto" w:fill="FFFFFF"/>
            <w:vAlign w:val="center"/>
          </w:tcPr>
          <w:p w14:paraId="09DFFC61" w14:textId="77777777" w:rsidR="00967B9D" w:rsidRPr="00116AEF" w:rsidRDefault="00967B9D" w:rsidP="009402B5">
            <w:pPr>
              <w:pStyle w:val="CETBodytext"/>
              <w:spacing w:line="276" w:lineRule="auto"/>
              <w:ind w:right="-1"/>
              <w:rPr>
                <w:rFonts w:cs="Arial"/>
                <w:color w:val="000000" w:themeColor="text1"/>
                <w:szCs w:val="18"/>
                <w:lang w:val="en-GB"/>
              </w:rPr>
            </w:pPr>
            <w:r w:rsidRPr="00116AEF">
              <w:rPr>
                <w:rFonts w:cs="Arial"/>
                <w:color w:val="000000" w:themeColor="text1"/>
                <w:szCs w:val="18"/>
                <w:lang w:val="it-IT" w:eastAsia="it-IT"/>
              </w:rPr>
              <w:t>400 ± 50</w:t>
            </w:r>
          </w:p>
        </w:tc>
      </w:tr>
      <w:tr w:rsidR="00116AEF" w:rsidRPr="00116AEF" w14:paraId="2DF4663E" w14:textId="77777777" w:rsidTr="00967B9D">
        <w:trPr>
          <w:trHeight w:val="259"/>
        </w:trPr>
        <w:tc>
          <w:tcPr>
            <w:tcW w:w="1760" w:type="dxa"/>
            <w:shd w:val="clear" w:color="auto" w:fill="FFFFFF"/>
            <w:vAlign w:val="center"/>
          </w:tcPr>
          <w:p w14:paraId="20A188DF"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JM+V1</w:t>
            </w:r>
          </w:p>
        </w:tc>
        <w:tc>
          <w:tcPr>
            <w:tcW w:w="1760" w:type="dxa"/>
            <w:shd w:val="clear" w:color="auto" w:fill="FFFFFF"/>
            <w:vAlign w:val="center"/>
          </w:tcPr>
          <w:p w14:paraId="700C8FED"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0.11 ± 0.02</w:t>
            </w:r>
          </w:p>
        </w:tc>
        <w:tc>
          <w:tcPr>
            <w:tcW w:w="1760" w:type="dxa"/>
            <w:shd w:val="clear" w:color="auto" w:fill="FFFFFF"/>
            <w:vAlign w:val="center"/>
          </w:tcPr>
          <w:p w14:paraId="2CFA6ACA"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6.82 ± 1.00</w:t>
            </w:r>
          </w:p>
        </w:tc>
        <w:tc>
          <w:tcPr>
            <w:tcW w:w="1760" w:type="dxa"/>
            <w:shd w:val="clear" w:color="auto" w:fill="FFFFFF"/>
            <w:vAlign w:val="center"/>
          </w:tcPr>
          <w:p w14:paraId="1DDF8C3F" w14:textId="77777777" w:rsidR="00967B9D" w:rsidRPr="00116AEF" w:rsidRDefault="00967B9D" w:rsidP="009402B5">
            <w:pPr>
              <w:pStyle w:val="CETBodytext"/>
              <w:spacing w:line="276" w:lineRule="auto"/>
              <w:ind w:right="-1"/>
              <w:rPr>
                <w:rFonts w:cs="Arial"/>
                <w:color w:val="000000" w:themeColor="text1"/>
                <w:szCs w:val="18"/>
                <w:lang w:val="en-GB"/>
              </w:rPr>
            </w:pPr>
            <w:r w:rsidRPr="00116AEF">
              <w:rPr>
                <w:rFonts w:cs="Arial"/>
                <w:color w:val="000000" w:themeColor="text1"/>
                <w:szCs w:val="18"/>
                <w:lang w:val="it-IT" w:eastAsia="it-IT"/>
              </w:rPr>
              <w:t>4.28 ± 0.80</w:t>
            </w:r>
          </w:p>
        </w:tc>
        <w:tc>
          <w:tcPr>
            <w:tcW w:w="1760" w:type="dxa"/>
            <w:shd w:val="clear" w:color="auto" w:fill="FFFFFF"/>
            <w:vAlign w:val="center"/>
          </w:tcPr>
          <w:p w14:paraId="2413FD98" w14:textId="77777777" w:rsidR="00967B9D" w:rsidRPr="00116AEF" w:rsidRDefault="00967B9D" w:rsidP="009402B5">
            <w:pPr>
              <w:pStyle w:val="CETBodytext"/>
              <w:spacing w:line="276" w:lineRule="auto"/>
              <w:ind w:right="-1"/>
              <w:rPr>
                <w:rFonts w:cs="Arial"/>
                <w:color w:val="000000" w:themeColor="text1"/>
                <w:szCs w:val="18"/>
                <w:lang w:val="en-GB"/>
              </w:rPr>
            </w:pPr>
            <w:r w:rsidRPr="00116AEF">
              <w:rPr>
                <w:rFonts w:cs="Arial"/>
                <w:color w:val="000000" w:themeColor="text1"/>
                <w:szCs w:val="18"/>
                <w:lang w:val="it-IT" w:eastAsia="it-IT"/>
              </w:rPr>
              <w:t>440 ± 100</w:t>
            </w:r>
          </w:p>
        </w:tc>
      </w:tr>
      <w:tr w:rsidR="00116AEF" w:rsidRPr="00116AEF" w14:paraId="35ECE9E2" w14:textId="77777777" w:rsidTr="00967B9D">
        <w:trPr>
          <w:trHeight w:val="246"/>
        </w:trPr>
        <w:tc>
          <w:tcPr>
            <w:tcW w:w="1760" w:type="dxa"/>
            <w:shd w:val="clear" w:color="auto" w:fill="FFFFFF"/>
            <w:vAlign w:val="center"/>
          </w:tcPr>
          <w:p w14:paraId="140330F1"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JM+V2</w:t>
            </w:r>
          </w:p>
        </w:tc>
        <w:tc>
          <w:tcPr>
            <w:tcW w:w="1760" w:type="dxa"/>
            <w:shd w:val="clear" w:color="auto" w:fill="FFFFFF"/>
            <w:vAlign w:val="center"/>
          </w:tcPr>
          <w:p w14:paraId="59794DEA"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0.10 ± 0.01</w:t>
            </w:r>
          </w:p>
        </w:tc>
        <w:tc>
          <w:tcPr>
            <w:tcW w:w="1760" w:type="dxa"/>
            <w:shd w:val="clear" w:color="auto" w:fill="FFFFFF"/>
            <w:vAlign w:val="center"/>
          </w:tcPr>
          <w:p w14:paraId="1DAEE4F9" w14:textId="77777777" w:rsidR="00967B9D" w:rsidRPr="00116AEF" w:rsidRDefault="00967B9D" w:rsidP="009402B5">
            <w:pPr>
              <w:pStyle w:val="CETBodytext"/>
              <w:spacing w:line="276" w:lineRule="auto"/>
              <w:rPr>
                <w:color w:val="000000" w:themeColor="text1"/>
                <w:lang w:val="en-GB"/>
              </w:rPr>
            </w:pPr>
            <w:r w:rsidRPr="00116AEF">
              <w:rPr>
                <w:rFonts w:cs="Arial"/>
                <w:color w:val="000000" w:themeColor="text1"/>
                <w:szCs w:val="18"/>
                <w:lang w:val="it-IT" w:eastAsia="it-IT"/>
              </w:rPr>
              <w:t>6.87 ± 0.60</w:t>
            </w:r>
          </w:p>
        </w:tc>
        <w:tc>
          <w:tcPr>
            <w:tcW w:w="1760" w:type="dxa"/>
            <w:shd w:val="clear" w:color="auto" w:fill="FFFFFF"/>
            <w:vAlign w:val="center"/>
          </w:tcPr>
          <w:p w14:paraId="5992EB90" w14:textId="77777777" w:rsidR="00967B9D" w:rsidRPr="00116AEF" w:rsidRDefault="00967B9D" w:rsidP="009402B5">
            <w:pPr>
              <w:pStyle w:val="CETBodytext"/>
              <w:spacing w:line="276" w:lineRule="auto"/>
              <w:ind w:right="-1"/>
              <w:rPr>
                <w:rFonts w:cs="Arial"/>
                <w:color w:val="000000" w:themeColor="text1"/>
                <w:szCs w:val="18"/>
                <w:lang w:val="en-GB"/>
              </w:rPr>
            </w:pPr>
            <w:r w:rsidRPr="00116AEF">
              <w:rPr>
                <w:rFonts w:cs="Arial"/>
                <w:color w:val="000000" w:themeColor="text1"/>
                <w:szCs w:val="18"/>
                <w:lang w:val="it-IT" w:eastAsia="it-IT"/>
              </w:rPr>
              <w:t>6.30 ± 1.28</w:t>
            </w:r>
          </w:p>
        </w:tc>
        <w:tc>
          <w:tcPr>
            <w:tcW w:w="1760" w:type="dxa"/>
            <w:shd w:val="clear" w:color="auto" w:fill="FFFFFF"/>
            <w:vAlign w:val="center"/>
          </w:tcPr>
          <w:p w14:paraId="7463DB9C" w14:textId="77777777" w:rsidR="00967B9D" w:rsidRPr="00116AEF" w:rsidRDefault="00967B9D" w:rsidP="009402B5">
            <w:pPr>
              <w:pStyle w:val="CETBodytext"/>
              <w:spacing w:line="276" w:lineRule="auto"/>
              <w:ind w:right="-1"/>
              <w:rPr>
                <w:rFonts w:cs="Arial"/>
                <w:color w:val="000000" w:themeColor="text1"/>
                <w:szCs w:val="18"/>
                <w:lang w:val="en-GB"/>
              </w:rPr>
            </w:pPr>
            <w:r w:rsidRPr="00116AEF">
              <w:rPr>
                <w:rFonts w:cs="Arial"/>
                <w:color w:val="000000" w:themeColor="text1"/>
                <w:szCs w:val="18"/>
                <w:lang w:val="it-IT" w:eastAsia="it-IT"/>
              </w:rPr>
              <w:t>390 ± 70</w:t>
            </w:r>
          </w:p>
        </w:tc>
      </w:tr>
    </w:tbl>
    <w:p w14:paraId="326720B9" w14:textId="77777777" w:rsidR="009446E5" w:rsidRPr="00116AEF" w:rsidRDefault="009446E5" w:rsidP="009402B5">
      <w:pPr>
        <w:pStyle w:val="CETBodytext"/>
        <w:spacing w:line="276" w:lineRule="auto"/>
        <w:rPr>
          <w:rFonts w:cs="Arial"/>
          <w:noProof/>
          <w:color w:val="000000" w:themeColor="text1"/>
          <w:szCs w:val="18"/>
        </w:rPr>
      </w:pPr>
    </w:p>
    <w:p w14:paraId="15E671EC" w14:textId="628C10A3" w:rsidR="00334653" w:rsidRPr="00116AEF" w:rsidRDefault="004D40AB" w:rsidP="009402B5">
      <w:pPr>
        <w:pStyle w:val="CETBodytext"/>
        <w:spacing w:line="276" w:lineRule="auto"/>
        <w:rPr>
          <w:rFonts w:cs="Arial"/>
          <w:noProof/>
          <w:color w:val="000000" w:themeColor="text1"/>
          <w:szCs w:val="18"/>
        </w:rPr>
      </w:pPr>
      <w:r w:rsidRPr="00116AEF">
        <w:rPr>
          <w:rFonts w:cs="Arial"/>
          <w:noProof/>
          <w:color w:val="000000" w:themeColor="text1"/>
          <w:szCs w:val="18"/>
        </w:rPr>
        <w:t>Note: JM = Jourdan medium</w:t>
      </w:r>
      <w:r w:rsidR="008E23B3" w:rsidRPr="00116AEF">
        <w:rPr>
          <w:rFonts w:cs="Arial"/>
          <w:noProof/>
          <w:color w:val="000000" w:themeColor="text1"/>
          <w:szCs w:val="18"/>
        </w:rPr>
        <w:t xml:space="preserve"> as control</w:t>
      </w:r>
      <w:r w:rsidRPr="00116AEF">
        <w:rPr>
          <w:rFonts w:cs="Arial"/>
          <w:noProof/>
          <w:color w:val="000000" w:themeColor="text1"/>
          <w:szCs w:val="18"/>
        </w:rPr>
        <w:t xml:space="preserve">, V = vinegar, VM = vinegar + must, </w:t>
      </w:r>
      <w:r w:rsidR="008E23B3" w:rsidRPr="00116AEF">
        <w:rPr>
          <w:rFonts w:cs="Arial"/>
          <w:noProof/>
          <w:color w:val="000000" w:themeColor="text1"/>
          <w:szCs w:val="18"/>
        </w:rPr>
        <w:t>JM + V0.5 = control + 0.5 mL vinegar, JM + V1 = control + 1 mL vinegar, JM + V2 = control + 2 mL vinegar</w:t>
      </w:r>
      <w:r w:rsidR="00967B9D" w:rsidRPr="00116AEF">
        <w:rPr>
          <w:rFonts w:cs="Arial"/>
          <w:noProof/>
          <w:color w:val="000000" w:themeColor="text1"/>
          <w:szCs w:val="18"/>
        </w:rPr>
        <w:t>.</w:t>
      </w:r>
    </w:p>
    <w:p w14:paraId="21EEE28A" w14:textId="77777777" w:rsidR="004D40AB" w:rsidRPr="00116AEF" w:rsidRDefault="004D40AB" w:rsidP="009402B5">
      <w:pPr>
        <w:pStyle w:val="CETBodytext"/>
        <w:spacing w:line="276" w:lineRule="auto"/>
        <w:rPr>
          <w:rFonts w:cs="Arial"/>
          <w:noProof/>
          <w:color w:val="000000" w:themeColor="text1"/>
          <w:szCs w:val="18"/>
        </w:rPr>
      </w:pPr>
    </w:p>
    <w:p w14:paraId="3A3A37D2" w14:textId="6AF19BBD" w:rsidR="00E47E9C" w:rsidRPr="00116AEF" w:rsidRDefault="00E47E9C" w:rsidP="009402B5">
      <w:pPr>
        <w:pStyle w:val="CETBodytext"/>
        <w:spacing w:line="276" w:lineRule="auto"/>
        <w:rPr>
          <w:rFonts w:cs="Arial"/>
          <w:noProof/>
          <w:color w:val="000000" w:themeColor="text1"/>
          <w:szCs w:val="18"/>
        </w:rPr>
      </w:pPr>
      <w:r w:rsidRPr="00116AEF">
        <w:rPr>
          <w:rFonts w:cs="Arial"/>
          <w:noProof/>
          <w:color w:val="000000" w:themeColor="text1"/>
          <w:szCs w:val="18"/>
        </w:rPr>
        <w:t>The improved growth performance can be attributed to the simultaneous assimilation of organic carbon derived from acetic acid together with inorganic carbon sources present in the medium (bicarbonate and CO</w:t>
      </w:r>
      <w:r w:rsidRPr="00116AEF">
        <w:rPr>
          <w:rFonts w:ascii="Cambria Math" w:hAnsi="Cambria Math" w:cs="Cambria Math"/>
          <w:noProof/>
          <w:color w:val="000000" w:themeColor="text1"/>
          <w:szCs w:val="18"/>
        </w:rPr>
        <w:t>₂</w:t>
      </w:r>
      <w:r w:rsidRPr="00116AEF">
        <w:rPr>
          <w:rFonts w:cs="Arial"/>
          <w:noProof/>
          <w:color w:val="000000" w:themeColor="text1"/>
          <w:szCs w:val="18"/>
        </w:rPr>
        <w:t xml:space="preserve">). Similar improvements in biomass production under mixotrophic conditions have been reported for </w:t>
      </w:r>
      <w:r w:rsidRPr="00116AEF">
        <w:rPr>
          <w:rFonts w:cs="Arial"/>
          <w:i/>
          <w:iCs/>
          <w:noProof/>
          <w:color w:val="000000" w:themeColor="text1"/>
          <w:szCs w:val="18"/>
        </w:rPr>
        <w:t xml:space="preserve">Limnospira </w:t>
      </w:r>
      <w:r w:rsidRPr="00116AEF">
        <w:rPr>
          <w:rFonts w:cs="Arial"/>
          <w:noProof/>
          <w:color w:val="000000" w:themeColor="text1"/>
          <w:szCs w:val="18"/>
        </w:rPr>
        <w:t>sp</w:t>
      </w:r>
      <w:r w:rsidR="00265DF2" w:rsidRPr="00116AEF">
        <w:rPr>
          <w:rFonts w:cs="Arial"/>
          <w:noProof/>
          <w:color w:val="000000" w:themeColor="text1"/>
          <w:szCs w:val="18"/>
        </w:rPr>
        <w:t>.</w:t>
      </w:r>
      <w:r w:rsidRPr="00116AEF">
        <w:rPr>
          <w:rFonts w:cs="Arial"/>
          <w:noProof/>
          <w:color w:val="000000" w:themeColor="text1"/>
          <w:szCs w:val="18"/>
        </w:rPr>
        <w:t xml:space="preserve"> and other microalgae cultivated using organic substrates such as acetate or molasses (Andrade</w:t>
      </w:r>
      <w:r w:rsidR="00247E74" w:rsidRPr="00116AEF">
        <w:rPr>
          <w:rFonts w:cs="Arial"/>
          <w:noProof/>
          <w:color w:val="000000" w:themeColor="text1"/>
          <w:szCs w:val="18"/>
        </w:rPr>
        <w:t xml:space="preserve"> et al.</w:t>
      </w:r>
      <w:r w:rsidRPr="00116AEF">
        <w:rPr>
          <w:rFonts w:cs="Arial"/>
          <w:noProof/>
          <w:color w:val="000000" w:themeColor="text1"/>
          <w:szCs w:val="18"/>
        </w:rPr>
        <w:t>, 2007; Setyoningrum</w:t>
      </w:r>
      <w:r w:rsidR="00247E74" w:rsidRPr="00116AEF">
        <w:rPr>
          <w:rFonts w:cs="Arial"/>
          <w:noProof/>
          <w:color w:val="000000" w:themeColor="text1"/>
          <w:szCs w:val="18"/>
        </w:rPr>
        <w:t xml:space="preserve"> et al.</w:t>
      </w:r>
      <w:r w:rsidRPr="00116AEF">
        <w:rPr>
          <w:rFonts w:cs="Arial"/>
          <w:noProof/>
          <w:color w:val="000000" w:themeColor="text1"/>
          <w:szCs w:val="18"/>
        </w:rPr>
        <w:t>, 2015).</w:t>
      </w:r>
      <w:r w:rsidR="00296FCB" w:rsidRPr="00116AEF">
        <w:rPr>
          <w:color w:val="000000" w:themeColor="text1"/>
        </w:rPr>
        <w:t xml:space="preserve"> </w:t>
      </w:r>
      <w:r w:rsidR="00296FCB" w:rsidRPr="00116AEF">
        <w:rPr>
          <w:rFonts w:cs="Arial"/>
          <w:noProof/>
          <w:color w:val="000000" w:themeColor="text1"/>
          <w:szCs w:val="18"/>
        </w:rPr>
        <w:t>Nevertheless, unlike approaches that primarily focus on the use of organic substrates as simple growth enhancers, the present results indicate that the effectiveness of mixotrophic cultivation strongly depends on the way organic carbon is introduced into the system. The controlled supplementation strategy adopted in this study allowed the decoupling of biomass growth and metabolic stimulation, highlighting the importance of process control in achieving stable and reproducible outcomes.</w:t>
      </w:r>
    </w:p>
    <w:p w14:paraId="421C26EB" w14:textId="48970594" w:rsidR="00E4681E" w:rsidRPr="00116AEF" w:rsidRDefault="00E47E9C" w:rsidP="009402B5">
      <w:pPr>
        <w:pStyle w:val="CETBodytext"/>
        <w:spacing w:line="276" w:lineRule="auto"/>
        <w:rPr>
          <w:rFonts w:cs="Arial"/>
          <w:noProof/>
          <w:color w:val="000000" w:themeColor="text1"/>
          <w:szCs w:val="18"/>
        </w:rPr>
      </w:pPr>
      <w:r w:rsidRPr="00116AEF">
        <w:rPr>
          <w:rFonts w:cs="Arial"/>
          <w:noProof/>
          <w:color w:val="000000" w:themeColor="text1"/>
          <w:szCs w:val="18"/>
        </w:rPr>
        <w:t>Since the increase in biomass between 1 and 2 mL vinegar supplementation did not correspond to a significant improvement in growth kinetics, 1 mL vinegar was selected as the optimal condition for the subsequent salinity experiments.</w:t>
      </w:r>
    </w:p>
    <w:p w14:paraId="279233CB" w14:textId="10559E64" w:rsidR="00E4681E" w:rsidRPr="00116AEF" w:rsidRDefault="00E4681E" w:rsidP="009402B5">
      <w:pPr>
        <w:pStyle w:val="CETheadingx"/>
        <w:spacing w:line="276" w:lineRule="auto"/>
        <w:rPr>
          <w:rFonts w:cs="Arial"/>
          <w:color w:val="000000" w:themeColor="text1"/>
          <w:szCs w:val="18"/>
        </w:rPr>
      </w:pPr>
      <w:r w:rsidRPr="00116AEF">
        <w:rPr>
          <w:rFonts w:cs="Arial"/>
          <w:color w:val="000000" w:themeColor="text1"/>
          <w:szCs w:val="18"/>
        </w:rPr>
        <w:t>Influence of salinity on growth kinetics</w:t>
      </w:r>
    </w:p>
    <w:p w14:paraId="718C9C0B" w14:textId="4659C25B" w:rsidR="00C3529D" w:rsidRPr="00116AEF" w:rsidRDefault="00E47E9C" w:rsidP="009402B5">
      <w:pPr>
        <w:pStyle w:val="CETBodytext"/>
        <w:spacing w:line="276" w:lineRule="auto"/>
        <w:rPr>
          <w:rFonts w:cs="Arial"/>
          <w:noProof/>
          <w:color w:val="000000" w:themeColor="text1"/>
          <w:szCs w:val="18"/>
        </w:rPr>
      </w:pPr>
      <w:r w:rsidRPr="00116AEF">
        <w:rPr>
          <w:rFonts w:cs="Arial"/>
          <w:noProof/>
          <w:color w:val="000000" w:themeColor="text1"/>
          <w:szCs w:val="18"/>
        </w:rPr>
        <w:t>Using the optimal vinegar supplementation (J</w:t>
      </w:r>
      <w:r w:rsidR="00C16816" w:rsidRPr="00116AEF">
        <w:rPr>
          <w:rFonts w:cs="Arial"/>
          <w:noProof/>
          <w:color w:val="000000" w:themeColor="text1"/>
          <w:szCs w:val="18"/>
        </w:rPr>
        <w:t>M</w:t>
      </w:r>
      <w:r w:rsidRPr="00116AEF">
        <w:rPr>
          <w:rFonts w:cs="Arial"/>
          <w:noProof/>
          <w:color w:val="000000" w:themeColor="text1"/>
          <w:szCs w:val="18"/>
        </w:rPr>
        <w:t>+</w:t>
      </w:r>
      <w:r w:rsidR="00065D57" w:rsidRPr="00116AEF">
        <w:rPr>
          <w:rFonts w:cs="Arial"/>
          <w:noProof/>
          <w:color w:val="000000" w:themeColor="text1"/>
          <w:szCs w:val="18"/>
        </w:rPr>
        <w:t>V</w:t>
      </w:r>
      <w:r w:rsidRPr="00116AEF">
        <w:rPr>
          <w:rFonts w:cs="Arial"/>
          <w:noProof/>
          <w:color w:val="000000" w:themeColor="text1"/>
          <w:szCs w:val="18"/>
        </w:rPr>
        <w:t xml:space="preserve">1), the influence of salinity was investigated by modifying the NaCl concentration in the culture medium (0.5, 1, and 2 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w:t>
      </w:r>
      <w:r w:rsidR="003B5AB1" w:rsidRPr="00116AEF">
        <w:rPr>
          <w:rFonts w:cs="Arial"/>
          <w:noProof/>
          <w:color w:val="000000" w:themeColor="text1"/>
          <w:szCs w:val="18"/>
        </w:rPr>
        <w:t xml:space="preserve"> </w:t>
      </w:r>
      <w:r w:rsidRPr="00116AEF">
        <w:rPr>
          <w:rFonts w:cs="Arial"/>
          <w:noProof/>
          <w:color w:val="000000" w:themeColor="text1"/>
          <w:szCs w:val="18"/>
        </w:rPr>
        <w:t xml:space="preserve">The highest growth performance was observed at 1 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NaCl, corresponding to the standard salinity of the JM (Table 2). </w:t>
      </w:r>
    </w:p>
    <w:p w14:paraId="4A87BABB" w14:textId="3ADD3BD9" w:rsidR="003B5AB1" w:rsidRPr="00116AEF" w:rsidRDefault="00E47E9C" w:rsidP="009402B5">
      <w:pPr>
        <w:pStyle w:val="CETBodytext"/>
        <w:spacing w:line="276" w:lineRule="auto"/>
        <w:rPr>
          <w:rFonts w:cs="Arial"/>
          <w:noProof/>
          <w:color w:val="000000" w:themeColor="text1"/>
          <w:szCs w:val="18"/>
        </w:rPr>
      </w:pPr>
      <w:r w:rsidRPr="00116AEF">
        <w:rPr>
          <w:rFonts w:cs="Arial"/>
          <w:noProof/>
          <w:color w:val="000000" w:themeColor="text1"/>
          <w:szCs w:val="18"/>
        </w:rPr>
        <w:t>Under these conditions, cultures exhibited the highest specific growth rate (µ = 0.24 ± 0.02 day</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and the shortest </w:t>
      </w:r>
      <w:r w:rsidR="008E23B3" w:rsidRPr="00116AEF">
        <w:rPr>
          <w:rFonts w:cs="Arial"/>
          <w:noProof/>
          <w:color w:val="000000" w:themeColor="text1"/>
          <w:szCs w:val="18"/>
        </w:rPr>
        <w:t>doubling time</w:t>
      </w:r>
      <w:r w:rsidRPr="00116AEF">
        <w:rPr>
          <w:rFonts w:cs="Arial"/>
          <w:noProof/>
          <w:color w:val="000000" w:themeColor="text1"/>
          <w:szCs w:val="18"/>
        </w:rPr>
        <w:t xml:space="preserve"> (</w:t>
      </w:r>
      <w:r w:rsidR="008E23B3" w:rsidRPr="00116AEF">
        <w:rPr>
          <w:rFonts w:cs="Arial"/>
          <w:noProof/>
          <w:color w:val="000000" w:themeColor="text1"/>
          <w:szCs w:val="18"/>
        </w:rPr>
        <w:t>t</w:t>
      </w:r>
      <w:r w:rsidR="008E23B3" w:rsidRPr="00116AEF">
        <w:rPr>
          <w:rFonts w:cs="Arial"/>
          <w:noProof/>
          <w:color w:val="000000" w:themeColor="text1"/>
          <w:szCs w:val="18"/>
          <w:vertAlign w:val="subscript"/>
        </w:rPr>
        <w:t>d</w:t>
      </w:r>
      <w:r w:rsidR="008E23B3" w:rsidRPr="00116AEF">
        <w:rPr>
          <w:rFonts w:cs="Arial"/>
          <w:noProof/>
          <w:color w:val="000000" w:themeColor="text1"/>
          <w:szCs w:val="18"/>
        </w:rPr>
        <w:t xml:space="preserve"> = </w:t>
      </w:r>
      <w:r w:rsidRPr="00116AEF">
        <w:rPr>
          <w:rFonts w:cs="Arial"/>
          <w:noProof/>
          <w:color w:val="000000" w:themeColor="text1"/>
          <w:szCs w:val="18"/>
        </w:rPr>
        <w:t xml:space="preserve">2.94 ± 0.17 days), with a </w:t>
      </w:r>
      <w:r w:rsidR="00300D6F" w:rsidRPr="00116AEF">
        <w:rPr>
          <w:rFonts w:cs="Arial"/>
          <w:noProof/>
          <w:color w:val="000000" w:themeColor="text1"/>
          <w:szCs w:val="18"/>
        </w:rPr>
        <w:t>Q</w:t>
      </w:r>
      <w:r w:rsidR="00300D6F" w:rsidRPr="00116AEF">
        <w:rPr>
          <w:rFonts w:cs="Arial"/>
          <w:noProof/>
          <w:color w:val="000000" w:themeColor="text1"/>
          <w:szCs w:val="18"/>
          <w:vertAlign w:val="subscript"/>
        </w:rPr>
        <w:t>x</w:t>
      </w:r>
      <w:r w:rsidRPr="00116AEF">
        <w:rPr>
          <w:rFonts w:cs="Arial"/>
          <w:noProof/>
          <w:color w:val="000000" w:themeColor="text1"/>
          <w:szCs w:val="18"/>
        </w:rPr>
        <w:t xml:space="preserve"> of 560 ± 144 mg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w:t>
      </w:r>
      <w:r w:rsidR="00C10A48" w:rsidRPr="00116AEF">
        <w:rPr>
          <w:rFonts w:cs="Arial"/>
          <w:color w:val="000000" w:themeColor="text1"/>
          <w:sz w:val="20"/>
          <w:szCs w:val="22"/>
        </w:rPr>
        <w:t xml:space="preserve">· </w:t>
      </w:r>
      <w:r w:rsidRPr="00116AEF">
        <w:rPr>
          <w:rFonts w:cs="Arial"/>
          <w:noProof/>
          <w:color w:val="000000" w:themeColor="text1"/>
          <w:szCs w:val="18"/>
        </w:rPr>
        <w:t>day</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w:t>
      </w:r>
      <w:r w:rsidR="003B5AB1" w:rsidRPr="00116AEF">
        <w:rPr>
          <w:rFonts w:cs="Arial"/>
          <w:noProof/>
          <w:color w:val="000000" w:themeColor="text1"/>
          <w:szCs w:val="18"/>
        </w:rPr>
        <w:t xml:space="preserve"> </w:t>
      </w:r>
      <w:r w:rsidRPr="00116AEF">
        <w:rPr>
          <w:rFonts w:cs="Arial"/>
          <w:noProof/>
          <w:color w:val="000000" w:themeColor="text1"/>
          <w:szCs w:val="18"/>
        </w:rPr>
        <w:t xml:space="preserve">At 0.5 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NaCl, the </w:t>
      </w:r>
      <w:r w:rsidRPr="00116AEF">
        <w:rPr>
          <w:rFonts w:cs="Arial"/>
          <w:noProof/>
          <w:color w:val="000000" w:themeColor="text1"/>
          <w:szCs w:val="18"/>
        </w:rPr>
        <w:lastRenderedPageBreak/>
        <w:t>growth rate decreased (µ = 0.086 ± 0.01 day</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and doubling time increased (8.63 ± 0.98 days), although biomass accumulation remained relatively high (5.9</w:t>
      </w:r>
      <w:r w:rsidR="008E23B3" w:rsidRPr="00116AEF">
        <w:rPr>
          <w:rFonts w:cs="Arial"/>
          <w:noProof/>
          <w:color w:val="000000" w:themeColor="text1"/>
          <w:szCs w:val="18"/>
        </w:rPr>
        <w:t>0</w:t>
      </w:r>
      <w:r w:rsidRPr="00116AEF">
        <w:rPr>
          <w:rFonts w:cs="Arial"/>
          <w:noProof/>
          <w:color w:val="000000" w:themeColor="text1"/>
          <w:szCs w:val="18"/>
        </w:rPr>
        <w:t xml:space="preserve"> ± 0.07 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w:t>
      </w:r>
    </w:p>
    <w:p w14:paraId="09F4DF9D" w14:textId="0DD73017" w:rsidR="003B5AB1" w:rsidRPr="00116AEF" w:rsidRDefault="009446E5" w:rsidP="009402B5">
      <w:pPr>
        <w:pStyle w:val="CETBodytext"/>
        <w:spacing w:line="276" w:lineRule="auto"/>
        <w:rPr>
          <w:rFonts w:cs="Arial"/>
          <w:noProof/>
          <w:color w:val="000000" w:themeColor="text1"/>
          <w:szCs w:val="18"/>
        </w:rPr>
      </w:pPr>
      <w:r w:rsidRPr="00116AEF">
        <w:rPr>
          <w:rFonts w:cs="Arial"/>
          <w:noProof/>
          <w:color w:val="000000" w:themeColor="text1"/>
          <w:szCs w:val="18"/>
        </w:rPr>
        <w:drawing>
          <wp:anchor distT="0" distB="0" distL="114300" distR="114300" simplePos="0" relativeHeight="251661312" behindDoc="0" locked="0" layoutInCell="1" allowOverlap="1" wp14:anchorId="5A51EC03" wp14:editId="4E96515F">
            <wp:simplePos x="0" y="0"/>
            <wp:positionH relativeFrom="margin">
              <wp:posOffset>2729865</wp:posOffset>
            </wp:positionH>
            <wp:positionV relativeFrom="paragraph">
              <wp:posOffset>212725</wp:posOffset>
            </wp:positionV>
            <wp:extent cx="2819400" cy="2125980"/>
            <wp:effectExtent l="0" t="0" r="0" b="7620"/>
            <wp:wrapTopAndBottom/>
            <wp:docPr id="1611212708" name="Grafico 2">
              <a:extLst xmlns:a="http://schemas.openxmlformats.org/drawingml/2006/main">
                <a:ext uri="{FF2B5EF4-FFF2-40B4-BE49-F238E27FC236}">
                  <a16:creationId xmlns:a16="http://schemas.microsoft.com/office/drawing/2014/main" id="{C081AEA5-51AB-4336-9FF5-1ECA9ED169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116AEF">
        <w:rPr>
          <w:rFonts w:cs="Arial"/>
          <w:noProof/>
          <w:color w:val="000000" w:themeColor="text1"/>
          <w:szCs w:val="18"/>
        </w:rPr>
        <w:drawing>
          <wp:anchor distT="0" distB="0" distL="114300" distR="114300" simplePos="0" relativeHeight="251663360" behindDoc="0" locked="0" layoutInCell="1" allowOverlap="1" wp14:anchorId="5C81EDEB" wp14:editId="1339786C">
            <wp:simplePos x="0" y="0"/>
            <wp:positionH relativeFrom="margin">
              <wp:posOffset>-51435</wp:posOffset>
            </wp:positionH>
            <wp:positionV relativeFrom="paragraph">
              <wp:posOffset>205105</wp:posOffset>
            </wp:positionV>
            <wp:extent cx="2781300" cy="2133600"/>
            <wp:effectExtent l="0" t="0" r="0" b="0"/>
            <wp:wrapTopAndBottom/>
            <wp:docPr id="1782666998" name="Grafico 1">
              <a:extLst xmlns:a="http://schemas.openxmlformats.org/drawingml/2006/main">
                <a:ext uri="{FF2B5EF4-FFF2-40B4-BE49-F238E27FC236}">
                  <a16:creationId xmlns:a16="http://schemas.microsoft.com/office/drawing/2014/main" id="{F22B6A8C-46AF-E482-E345-8ADB234825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679E7447" w14:textId="227EF4FE" w:rsidR="00C019CE" w:rsidRPr="00116AEF" w:rsidRDefault="00653735" w:rsidP="009402B5">
      <w:pPr>
        <w:pStyle w:val="CETBodytext"/>
        <w:spacing w:line="276" w:lineRule="auto"/>
        <w:rPr>
          <w:rFonts w:cs="Arial"/>
          <w:i/>
          <w:iCs/>
          <w:noProof/>
          <w:color w:val="000000" w:themeColor="text1"/>
          <w:szCs w:val="18"/>
        </w:rPr>
      </w:pPr>
      <w:r w:rsidRPr="00116AEF">
        <w:rPr>
          <w:rFonts w:cs="Arial"/>
          <w:i/>
          <w:iCs/>
          <w:color w:val="000000" w:themeColor="text1"/>
          <w:szCs w:val="18"/>
        </w:rPr>
        <w:t>Figure 1</w:t>
      </w:r>
      <w:r w:rsidR="00247E74" w:rsidRPr="00116AEF">
        <w:rPr>
          <w:rFonts w:cs="Arial"/>
          <w:i/>
          <w:iCs/>
          <w:color w:val="000000" w:themeColor="text1"/>
          <w:szCs w:val="18"/>
        </w:rPr>
        <w:t>. Relationship between growth parameters of Limnospira platensis under mixotrophic conditions with vinegar supplementation and varying NaCl concentrations</w:t>
      </w:r>
      <w:r w:rsidR="00B90305" w:rsidRPr="00116AEF">
        <w:rPr>
          <w:rFonts w:cs="Arial"/>
          <w:i/>
          <w:iCs/>
          <w:color w:val="000000" w:themeColor="text1"/>
          <w:szCs w:val="18"/>
        </w:rPr>
        <w:t xml:space="preserve"> (0.5, 1 and 2 g </w:t>
      </w:r>
      <w:r w:rsidR="00C10A48" w:rsidRPr="00116AEF">
        <w:rPr>
          <w:rFonts w:cs="Arial"/>
          <w:color w:val="000000" w:themeColor="text1"/>
          <w:sz w:val="20"/>
          <w:szCs w:val="22"/>
        </w:rPr>
        <w:t xml:space="preserve">· </w:t>
      </w:r>
      <w:r w:rsidR="00B90305" w:rsidRPr="00116AEF">
        <w:rPr>
          <w:rFonts w:cs="Arial"/>
          <w:i/>
          <w:iCs/>
          <w:color w:val="000000" w:themeColor="text1"/>
          <w:szCs w:val="18"/>
        </w:rPr>
        <w:t>L</w:t>
      </w:r>
      <w:r w:rsidR="00B90305" w:rsidRPr="00116AEF">
        <w:rPr>
          <w:rFonts w:cs="Arial"/>
          <w:i/>
          <w:iCs/>
          <w:color w:val="000000" w:themeColor="text1"/>
          <w:szCs w:val="18"/>
          <w:vertAlign w:val="superscript"/>
        </w:rPr>
        <w:t>-1</w:t>
      </w:r>
      <w:r w:rsidR="00B90305" w:rsidRPr="00116AEF">
        <w:rPr>
          <w:rFonts w:cs="Arial"/>
          <w:i/>
          <w:iCs/>
          <w:color w:val="000000" w:themeColor="text1"/>
          <w:szCs w:val="18"/>
        </w:rPr>
        <w:t>)</w:t>
      </w:r>
      <w:r w:rsidR="00247E74" w:rsidRPr="00116AEF">
        <w:rPr>
          <w:rFonts w:cs="Arial"/>
          <w:i/>
          <w:iCs/>
          <w:color w:val="000000" w:themeColor="text1"/>
          <w:szCs w:val="18"/>
        </w:rPr>
        <w:t xml:space="preserve">. (a) </w:t>
      </w:r>
      <w:r w:rsidR="00A91178" w:rsidRPr="00116AEF">
        <w:rPr>
          <w:rFonts w:cs="Arial"/>
          <w:i/>
          <w:iCs/>
          <w:color w:val="000000" w:themeColor="text1"/>
          <w:szCs w:val="18"/>
        </w:rPr>
        <w:t>Biomass concentration (</w:t>
      </w:r>
      <w:proofErr w:type="spellStart"/>
      <w:r w:rsidR="00247E74" w:rsidRPr="00116AEF">
        <w:rPr>
          <w:rFonts w:cs="Arial"/>
          <w:i/>
          <w:iCs/>
          <w:color w:val="000000" w:themeColor="text1"/>
          <w:szCs w:val="18"/>
        </w:rPr>
        <w:t>X</w:t>
      </w:r>
      <w:r w:rsidR="00247E74" w:rsidRPr="00116AEF">
        <w:rPr>
          <w:rFonts w:cs="Arial"/>
          <w:i/>
          <w:iCs/>
          <w:color w:val="000000" w:themeColor="text1"/>
          <w:szCs w:val="18"/>
          <w:vertAlign w:val="subscript"/>
        </w:rPr>
        <w:t>max</w:t>
      </w:r>
      <w:proofErr w:type="spellEnd"/>
      <w:r w:rsidR="00A91178" w:rsidRPr="00116AEF">
        <w:rPr>
          <w:rFonts w:cs="Arial"/>
          <w:i/>
          <w:iCs/>
          <w:color w:val="000000" w:themeColor="text1"/>
          <w:szCs w:val="18"/>
        </w:rPr>
        <w:t>)</w:t>
      </w:r>
      <w:r w:rsidR="00247E74" w:rsidRPr="00116AEF">
        <w:rPr>
          <w:rFonts w:cs="Arial"/>
          <w:i/>
          <w:iCs/>
          <w:color w:val="000000" w:themeColor="text1"/>
          <w:szCs w:val="18"/>
        </w:rPr>
        <w:t xml:space="preserve"> vs </w:t>
      </w:r>
      <w:r w:rsidR="00A91178" w:rsidRPr="00116AEF">
        <w:rPr>
          <w:rFonts w:cs="Arial"/>
          <w:i/>
          <w:iCs/>
          <w:color w:val="000000" w:themeColor="text1"/>
          <w:szCs w:val="18"/>
        </w:rPr>
        <w:t>specific growth rate (</w:t>
      </w:r>
      <w:r w:rsidR="00247E74" w:rsidRPr="00116AEF">
        <w:rPr>
          <w:rFonts w:cs="Arial"/>
          <w:i/>
          <w:iCs/>
          <w:color w:val="000000" w:themeColor="text1"/>
          <w:szCs w:val="18"/>
        </w:rPr>
        <w:t>µ</w:t>
      </w:r>
      <w:r w:rsidR="00A91178" w:rsidRPr="00116AEF">
        <w:rPr>
          <w:rFonts w:cs="Arial"/>
          <w:i/>
          <w:iCs/>
          <w:color w:val="000000" w:themeColor="text1"/>
          <w:szCs w:val="18"/>
        </w:rPr>
        <w:t>)</w:t>
      </w:r>
      <w:r w:rsidR="00247E74" w:rsidRPr="00116AEF">
        <w:rPr>
          <w:rFonts w:cs="Arial"/>
          <w:i/>
          <w:iCs/>
          <w:color w:val="000000" w:themeColor="text1"/>
          <w:szCs w:val="18"/>
        </w:rPr>
        <w:t xml:space="preserve">, (b) </w:t>
      </w:r>
      <w:r w:rsidR="00A91178" w:rsidRPr="00116AEF">
        <w:rPr>
          <w:rFonts w:cs="Arial"/>
          <w:i/>
          <w:iCs/>
          <w:color w:val="000000" w:themeColor="text1"/>
          <w:szCs w:val="18"/>
        </w:rPr>
        <w:t>Biomass productivity (</w:t>
      </w:r>
      <w:proofErr w:type="spellStart"/>
      <w:r w:rsidR="00247E74" w:rsidRPr="00116AEF">
        <w:rPr>
          <w:rFonts w:cs="Arial"/>
          <w:i/>
          <w:iCs/>
          <w:color w:val="000000" w:themeColor="text1"/>
          <w:szCs w:val="18"/>
        </w:rPr>
        <w:t>Q</w:t>
      </w:r>
      <w:r w:rsidR="00247E74" w:rsidRPr="00116AEF">
        <w:rPr>
          <w:rFonts w:cs="Arial"/>
          <w:i/>
          <w:iCs/>
          <w:color w:val="000000" w:themeColor="text1"/>
          <w:szCs w:val="18"/>
          <w:vertAlign w:val="subscript"/>
        </w:rPr>
        <w:t>x</w:t>
      </w:r>
      <w:proofErr w:type="spellEnd"/>
      <w:r w:rsidR="00A91178" w:rsidRPr="00116AEF">
        <w:rPr>
          <w:rFonts w:cs="Arial"/>
          <w:i/>
          <w:iCs/>
          <w:color w:val="000000" w:themeColor="text1"/>
          <w:szCs w:val="18"/>
        </w:rPr>
        <w:t xml:space="preserve">) </w:t>
      </w:r>
      <w:r w:rsidR="00247E74" w:rsidRPr="00116AEF">
        <w:rPr>
          <w:rFonts w:cs="Arial"/>
          <w:i/>
          <w:iCs/>
          <w:color w:val="000000" w:themeColor="text1"/>
          <w:szCs w:val="18"/>
        </w:rPr>
        <w:t>vs t</w:t>
      </w:r>
      <w:r w:rsidR="00247E74" w:rsidRPr="00116AEF">
        <w:rPr>
          <w:rFonts w:cs="Arial"/>
          <w:i/>
          <w:iCs/>
          <w:color w:val="000000" w:themeColor="text1"/>
          <w:szCs w:val="18"/>
          <w:vertAlign w:val="subscript"/>
        </w:rPr>
        <w:t>d</w:t>
      </w:r>
      <w:r w:rsidR="00A91178" w:rsidRPr="00116AEF">
        <w:rPr>
          <w:rFonts w:cs="Arial"/>
          <w:i/>
          <w:iCs/>
          <w:color w:val="000000" w:themeColor="text1"/>
          <w:szCs w:val="18"/>
          <w:vertAlign w:val="subscript"/>
        </w:rPr>
        <w:t xml:space="preserve"> </w:t>
      </w:r>
      <w:r w:rsidR="00A91178" w:rsidRPr="00116AEF">
        <w:rPr>
          <w:rFonts w:cs="Arial"/>
          <w:i/>
          <w:iCs/>
          <w:color w:val="000000" w:themeColor="text1"/>
          <w:szCs w:val="18"/>
        </w:rPr>
        <w:t>(doubling time)</w:t>
      </w:r>
    </w:p>
    <w:p w14:paraId="6025A742" w14:textId="0F4BEF42" w:rsidR="00B90305" w:rsidRPr="00116AEF" w:rsidRDefault="00B90305" w:rsidP="009402B5">
      <w:pPr>
        <w:pStyle w:val="CETBodytext"/>
        <w:spacing w:line="276" w:lineRule="auto"/>
        <w:rPr>
          <w:rFonts w:cs="Arial"/>
          <w:noProof/>
          <w:color w:val="000000" w:themeColor="text1"/>
          <w:szCs w:val="18"/>
        </w:rPr>
      </w:pPr>
    </w:p>
    <w:p w14:paraId="6B8BE55B" w14:textId="2CF759B0" w:rsidR="00E47E9C" w:rsidRPr="00116AEF" w:rsidRDefault="00E47E9C" w:rsidP="009402B5">
      <w:pPr>
        <w:pStyle w:val="CETBodytext"/>
        <w:spacing w:line="276" w:lineRule="auto"/>
        <w:rPr>
          <w:rFonts w:cs="Arial"/>
          <w:noProof/>
          <w:color w:val="000000" w:themeColor="text1"/>
          <w:szCs w:val="18"/>
        </w:rPr>
      </w:pPr>
      <w:r w:rsidRPr="00116AEF">
        <w:rPr>
          <w:rFonts w:cs="Arial"/>
          <w:noProof/>
          <w:color w:val="000000" w:themeColor="text1"/>
          <w:szCs w:val="18"/>
        </w:rPr>
        <w:t xml:space="preserve">Conversely, the highest salinity tested (2 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NaCl) resulted in a substantial reduction in growth performance, with a growth rate of 0.05 ± 0.03 day</w:t>
      </w:r>
      <w:r w:rsidRPr="00116AEF">
        <w:rPr>
          <w:rFonts w:ascii="Cambria Math" w:hAnsi="Cambria Math" w:cs="Cambria Math"/>
          <w:noProof/>
          <w:color w:val="000000" w:themeColor="text1"/>
          <w:szCs w:val="18"/>
        </w:rPr>
        <w:t>⁻</w:t>
      </w:r>
      <w:r w:rsidRPr="00116AEF">
        <w:rPr>
          <w:rFonts w:cs="Arial"/>
          <w:noProof/>
          <w:color w:val="000000" w:themeColor="text1"/>
          <w:szCs w:val="18"/>
        </w:rPr>
        <w:t xml:space="preserve">¹, a doubling time of 9.23 ± 2.43 days, and </w:t>
      </w:r>
      <w:r w:rsidR="00300D6F" w:rsidRPr="00116AEF">
        <w:rPr>
          <w:rFonts w:cs="Arial"/>
          <w:noProof/>
          <w:color w:val="000000" w:themeColor="text1"/>
          <w:szCs w:val="18"/>
        </w:rPr>
        <w:t>Q</w:t>
      </w:r>
      <w:r w:rsidR="00300D6F" w:rsidRPr="00116AEF">
        <w:rPr>
          <w:rFonts w:cs="Arial"/>
          <w:noProof/>
          <w:color w:val="000000" w:themeColor="text1"/>
          <w:szCs w:val="18"/>
          <w:vertAlign w:val="subscript"/>
        </w:rPr>
        <w:t>x</w:t>
      </w:r>
      <w:r w:rsidRPr="00116AEF">
        <w:rPr>
          <w:rFonts w:cs="Arial"/>
          <w:noProof/>
          <w:color w:val="000000" w:themeColor="text1"/>
          <w:szCs w:val="18"/>
        </w:rPr>
        <w:t xml:space="preserve"> of 230 ± 120 mg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day</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w:t>
      </w:r>
    </w:p>
    <w:p w14:paraId="3D2C3A8B" w14:textId="77777777" w:rsidR="00C3529D" w:rsidRPr="00116AEF" w:rsidRDefault="00E47E9C" w:rsidP="009402B5">
      <w:pPr>
        <w:pStyle w:val="CETBodytext"/>
        <w:spacing w:line="276" w:lineRule="auto"/>
        <w:rPr>
          <w:rFonts w:ascii="Times New Roman" w:eastAsia="SimSun" w:hAnsi="Times New Roman"/>
          <w:color w:val="000000" w:themeColor="text1"/>
          <w:sz w:val="20"/>
          <w:lang w:val="en-GB"/>
        </w:rPr>
      </w:pPr>
      <w:r w:rsidRPr="00116AEF">
        <w:rPr>
          <w:rFonts w:cs="Arial"/>
          <w:noProof/>
          <w:color w:val="000000" w:themeColor="text1"/>
          <w:szCs w:val="18"/>
        </w:rPr>
        <w:t xml:space="preserve">These results indicate that both hypo-saline and hyper-saline conditions negatively affect growth kinetics, likely due to osmotic stress that disrupts cellular ion homeostasis and metabolic activity. Similar responses to salinity stress have been reported in </w:t>
      </w:r>
      <w:r w:rsidRPr="00116AEF">
        <w:rPr>
          <w:rFonts w:cs="Arial"/>
          <w:i/>
          <w:iCs/>
          <w:noProof/>
          <w:color w:val="000000" w:themeColor="text1"/>
          <w:szCs w:val="18"/>
        </w:rPr>
        <w:t>Limnospira</w:t>
      </w:r>
      <w:r w:rsidRPr="00116AEF">
        <w:rPr>
          <w:rFonts w:cs="Arial"/>
          <w:noProof/>
          <w:color w:val="000000" w:themeColor="text1"/>
          <w:szCs w:val="18"/>
        </w:rPr>
        <w:t xml:space="preserve"> sp</w:t>
      </w:r>
      <w:r w:rsidR="00815F86" w:rsidRPr="00116AEF">
        <w:rPr>
          <w:rFonts w:cs="Arial"/>
          <w:i/>
          <w:iCs/>
          <w:noProof/>
          <w:color w:val="000000" w:themeColor="text1"/>
          <w:szCs w:val="18"/>
        </w:rPr>
        <w:t>.</w:t>
      </w:r>
      <w:r w:rsidRPr="00116AEF">
        <w:rPr>
          <w:rFonts w:cs="Arial"/>
          <w:noProof/>
          <w:color w:val="000000" w:themeColor="text1"/>
          <w:szCs w:val="18"/>
        </w:rPr>
        <w:t xml:space="preserve"> (</w:t>
      </w:r>
      <w:r w:rsidR="0055318D" w:rsidRPr="00116AEF">
        <w:rPr>
          <w:rFonts w:cs="Arial"/>
          <w:noProof/>
          <w:color w:val="000000" w:themeColor="text1"/>
          <w:szCs w:val="18"/>
        </w:rPr>
        <w:t>Russo et al., 2024</w:t>
      </w:r>
      <w:r w:rsidR="00265DF2" w:rsidRPr="00116AEF">
        <w:rPr>
          <w:rFonts w:cs="Arial"/>
          <w:noProof/>
          <w:color w:val="000000" w:themeColor="text1"/>
          <w:szCs w:val="18"/>
        </w:rPr>
        <w:t>)</w:t>
      </w:r>
      <w:r w:rsidRPr="00116AEF">
        <w:rPr>
          <w:rFonts w:cs="Arial"/>
          <w:noProof/>
          <w:color w:val="000000" w:themeColor="text1"/>
          <w:szCs w:val="18"/>
        </w:rPr>
        <w:t>.</w:t>
      </w:r>
      <w:r w:rsidR="008476FC" w:rsidRPr="00116AEF">
        <w:rPr>
          <w:rFonts w:ascii="Times New Roman" w:eastAsia="SimSun" w:hAnsi="Times New Roman"/>
          <w:color w:val="000000" w:themeColor="text1"/>
          <w:sz w:val="20"/>
          <w:lang w:val="en-GB"/>
        </w:rPr>
        <w:t xml:space="preserve"> </w:t>
      </w:r>
    </w:p>
    <w:p w14:paraId="443A41EA" w14:textId="2F76C841" w:rsidR="00E47E9C" w:rsidRPr="00116AEF" w:rsidRDefault="00296FCB" w:rsidP="009402B5">
      <w:pPr>
        <w:pStyle w:val="CETBodytext"/>
        <w:spacing w:line="276" w:lineRule="auto"/>
        <w:rPr>
          <w:rFonts w:cs="Arial"/>
          <w:noProof/>
          <w:color w:val="000000" w:themeColor="text1"/>
          <w:szCs w:val="18"/>
        </w:rPr>
      </w:pPr>
      <w:r w:rsidRPr="00116AEF">
        <w:rPr>
          <w:rFonts w:cs="Arial"/>
          <w:noProof/>
          <w:color w:val="000000" w:themeColor="text1"/>
          <w:szCs w:val="18"/>
          <w:lang w:val="en-GB"/>
        </w:rPr>
        <w:t xml:space="preserve">Overall, the results demonstrate that the successful integration of agro-industrial </w:t>
      </w:r>
      <w:r w:rsidR="00C3529D" w:rsidRPr="00116AEF">
        <w:rPr>
          <w:rFonts w:cs="Arial"/>
          <w:noProof/>
          <w:color w:val="000000" w:themeColor="text1"/>
          <w:szCs w:val="18"/>
          <w:lang w:val="en-GB"/>
        </w:rPr>
        <w:t>WW</w:t>
      </w:r>
      <w:r w:rsidRPr="00116AEF">
        <w:rPr>
          <w:rFonts w:cs="Arial"/>
          <w:noProof/>
          <w:color w:val="000000" w:themeColor="text1"/>
          <w:szCs w:val="18"/>
          <w:lang w:val="en-GB"/>
        </w:rPr>
        <w:t>s into microalgal cultivation systems relies on a multi-factor optimization approach, in which organic carbon supplementation and environmental conditions must be jointly controlled. The identification of an operational window, where biomass productivity is enhanced without compromising culture stability, represents a key outcome of this work and provides a basis for the development of more robust and scalable cultivation processes.</w:t>
      </w:r>
    </w:p>
    <w:p w14:paraId="4178F7DA" w14:textId="5E2C9D62" w:rsidR="00E4681E" w:rsidRPr="00116AEF" w:rsidRDefault="00E4681E" w:rsidP="009402B5">
      <w:pPr>
        <w:pStyle w:val="CETHeading1"/>
        <w:spacing w:line="276" w:lineRule="auto"/>
        <w:rPr>
          <w:rFonts w:cs="Arial"/>
          <w:color w:val="000000" w:themeColor="text1"/>
        </w:rPr>
      </w:pPr>
      <w:r w:rsidRPr="00116AEF">
        <w:rPr>
          <w:rFonts w:cs="Arial"/>
          <w:color w:val="000000" w:themeColor="text1"/>
        </w:rPr>
        <w:t>Conclusions</w:t>
      </w:r>
    </w:p>
    <w:p w14:paraId="7C85531E" w14:textId="77777777" w:rsidR="00E47E9C" w:rsidRPr="00116AEF" w:rsidRDefault="00E47E9C" w:rsidP="009402B5">
      <w:pPr>
        <w:pStyle w:val="CETBodytext"/>
        <w:spacing w:line="276" w:lineRule="auto"/>
        <w:rPr>
          <w:rFonts w:cs="Arial"/>
          <w:noProof/>
          <w:color w:val="000000" w:themeColor="text1"/>
          <w:szCs w:val="18"/>
        </w:rPr>
      </w:pPr>
      <w:r w:rsidRPr="00116AEF">
        <w:rPr>
          <w:rFonts w:cs="Arial"/>
          <w:noProof/>
          <w:color w:val="000000" w:themeColor="text1"/>
          <w:szCs w:val="18"/>
        </w:rPr>
        <w:t xml:space="preserve">Vinegar-derived effluents alone cannot sustain efficient growth of </w:t>
      </w:r>
      <w:r w:rsidRPr="00116AEF">
        <w:rPr>
          <w:rFonts w:cs="Arial"/>
          <w:i/>
          <w:iCs/>
          <w:noProof/>
          <w:color w:val="000000" w:themeColor="text1"/>
          <w:szCs w:val="18"/>
        </w:rPr>
        <w:t>Limnospira platensis</w:t>
      </w:r>
      <w:r w:rsidRPr="00116AEF">
        <w:rPr>
          <w:rFonts w:cs="Arial"/>
          <w:noProof/>
          <w:color w:val="000000" w:themeColor="text1"/>
          <w:szCs w:val="18"/>
        </w:rPr>
        <w:t xml:space="preserve"> due to their low nutrient content and acidic pH. However, when used as an organic supplement under mixotrophic conditions, vinegar significantly enhanced biomass production.</w:t>
      </w:r>
    </w:p>
    <w:p w14:paraId="296B3792" w14:textId="17AAE41D" w:rsidR="00C3529D" w:rsidRPr="00116AEF" w:rsidRDefault="00E47E9C" w:rsidP="009402B5">
      <w:pPr>
        <w:pStyle w:val="CETBodytext"/>
        <w:spacing w:line="276" w:lineRule="auto"/>
        <w:rPr>
          <w:color w:val="000000" w:themeColor="text1"/>
        </w:rPr>
      </w:pPr>
      <w:r w:rsidRPr="00116AEF">
        <w:rPr>
          <w:rFonts w:cs="Arial"/>
          <w:noProof/>
          <w:color w:val="000000" w:themeColor="text1"/>
          <w:szCs w:val="18"/>
        </w:rPr>
        <w:t>Among the tested conditions, the highest biomass concentration (6.3</w:t>
      </w:r>
      <w:r w:rsidR="00B90305" w:rsidRPr="00116AEF">
        <w:rPr>
          <w:rFonts w:cs="Arial"/>
          <w:noProof/>
          <w:color w:val="000000" w:themeColor="text1"/>
          <w:szCs w:val="18"/>
        </w:rPr>
        <w:t>0</w:t>
      </w:r>
      <w:r w:rsidRPr="00116AEF">
        <w:rPr>
          <w:rFonts w:cs="Arial"/>
          <w:noProof/>
          <w:color w:val="000000" w:themeColor="text1"/>
          <w:szCs w:val="18"/>
        </w:rPr>
        <w:t xml:space="preserve"> 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was obtained with 2 mL vinegar supplementation, while the best growth performance in terms of growth kinetics was observed with 1 mL vinegar combined with 1 g </w:t>
      </w:r>
      <w:r w:rsidR="00C10A48" w:rsidRPr="00116AEF">
        <w:rPr>
          <w:rFonts w:cs="Arial"/>
          <w:color w:val="000000" w:themeColor="text1"/>
          <w:sz w:val="20"/>
          <w:szCs w:val="22"/>
        </w:rPr>
        <w:t xml:space="preserve">· </w:t>
      </w:r>
      <w:r w:rsidRPr="00116AEF">
        <w:rPr>
          <w:rFonts w:cs="Arial"/>
          <w:noProof/>
          <w:color w:val="000000" w:themeColor="text1"/>
          <w:szCs w:val="18"/>
        </w:rPr>
        <w:t>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NaCl, resulting in the highest </w:t>
      </w:r>
      <w:r w:rsidR="00300D6F" w:rsidRPr="00116AEF">
        <w:rPr>
          <w:rFonts w:cs="Arial"/>
          <w:noProof/>
          <w:color w:val="000000" w:themeColor="text1"/>
          <w:szCs w:val="18"/>
        </w:rPr>
        <w:t xml:space="preserve">µ </w:t>
      </w:r>
      <w:r w:rsidRPr="00116AEF">
        <w:rPr>
          <w:rFonts w:cs="Arial"/>
          <w:noProof/>
          <w:color w:val="000000" w:themeColor="text1"/>
          <w:szCs w:val="18"/>
        </w:rPr>
        <w:t>(0.24 day</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and </w:t>
      </w:r>
      <w:r w:rsidR="00300D6F" w:rsidRPr="00116AEF">
        <w:rPr>
          <w:rFonts w:cs="Arial"/>
          <w:noProof/>
          <w:color w:val="000000" w:themeColor="text1"/>
          <w:szCs w:val="18"/>
        </w:rPr>
        <w:t>Q</w:t>
      </w:r>
      <w:r w:rsidR="00300D6F" w:rsidRPr="00116AEF">
        <w:rPr>
          <w:rFonts w:cs="Arial"/>
          <w:noProof/>
          <w:color w:val="000000" w:themeColor="text1"/>
          <w:szCs w:val="18"/>
          <w:vertAlign w:val="subscript"/>
        </w:rPr>
        <w:t>x</w:t>
      </w:r>
      <w:r w:rsidRPr="00116AEF">
        <w:rPr>
          <w:rFonts w:cs="Arial"/>
          <w:noProof/>
          <w:color w:val="000000" w:themeColor="text1"/>
          <w:szCs w:val="18"/>
        </w:rPr>
        <w:t xml:space="preserve"> (560 mg</w:t>
      </w:r>
      <w:r w:rsidR="00C10A48" w:rsidRPr="00116AEF">
        <w:rPr>
          <w:rFonts w:cs="Arial"/>
          <w:noProof/>
          <w:color w:val="000000" w:themeColor="text1"/>
          <w:szCs w:val="18"/>
        </w:rPr>
        <w:t xml:space="preserve"> </w:t>
      </w:r>
      <w:r w:rsidR="00C10A48" w:rsidRPr="00116AEF">
        <w:rPr>
          <w:rFonts w:cs="Arial"/>
          <w:color w:val="000000" w:themeColor="text1"/>
          <w:sz w:val="20"/>
          <w:szCs w:val="22"/>
        </w:rPr>
        <w:t>·</w:t>
      </w:r>
      <w:r w:rsidRPr="00116AEF">
        <w:rPr>
          <w:rFonts w:cs="Arial"/>
          <w:noProof/>
          <w:color w:val="000000" w:themeColor="text1"/>
          <w:szCs w:val="18"/>
        </w:rPr>
        <w:t xml:space="preserve"> L</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 xml:space="preserve"> </w:t>
      </w:r>
      <w:r w:rsidR="00C10A48" w:rsidRPr="00116AEF">
        <w:rPr>
          <w:rFonts w:cs="Arial"/>
          <w:color w:val="000000" w:themeColor="text1"/>
          <w:sz w:val="20"/>
          <w:szCs w:val="22"/>
        </w:rPr>
        <w:t xml:space="preserve">· </w:t>
      </w:r>
      <w:r w:rsidRPr="00116AEF">
        <w:rPr>
          <w:rFonts w:cs="Arial"/>
          <w:noProof/>
          <w:color w:val="000000" w:themeColor="text1"/>
          <w:szCs w:val="18"/>
        </w:rPr>
        <w:t>day</w:t>
      </w:r>
      <w:r w:rsidR="00C3158C" w:rsidRPr="00116AEF">
        <w:rPr>
          <w:rFonts w:ascii="Cambria Math" w:hAnsi="Cambria Math" w:cs="Cambria Math"/>
          <w:noProof/>
          <w:color w:val="000000" w:themeColor="text1"/>
          <w:szCs w:val="18"/>
        </w:rPr>
        <w:t>⁻</w:t>
      </w:r>
      <w:r w:rsidR="00C3158C" w:rsidRPr="00116AEF">
        <w:rPr>
          <w:rFonts w:cs="Arial"/>
          <w:noProof/>
          <w:color w:val="000000" w:themeColor="text1"/>
          <w:szCs w:val="18"/>
          <w:vertAlign w:val="superscript"/>
        </w:rPr>
        <w:t>1</w:t>
      </w:r>
      <w:r w:rsidRPr="00116AEF">
        <w:rPr>
          <w:rFonts w:cs="Arial"/>
          <w:noProof/>
          <w:color w:val="000000" w:themeColor="text1"/>
          <w:szCs w:val="18"/>
        </w:rPr>
        <w:t>).</w:t>
      </w:r>
      <w:r w:rsidR="00B36F43" w:rsidRPr="00116AEF">
        <w:rPr>
          <w:rFonts w:cs="Arial"/>
          <w:noProof/>
          <w:color w:val="000000" w:themeColor="text1"/>
          <w:szCs w:val="18"/>
        </w:rPr>
        <w:t xml:space="preserve"> </w:t>
      </w:r>
      <w:r w:rsidRPr="00116AEF">
        <w:rPr>
          <w:rFonts w:cs="Arial"/>
          <w:noProof/>
          <w:color w:val="000000" w:themeColor="text1"/>
          <w:szCs w:val="18"/>
        </w:rPr>
        <w:t xml:space="preserve">These findings demonstrate the potential of vinegar-derived waste streams as supplementary carbon sources for </w:t>
      </w:r>
      <w:r w:rsidRPr="00116AEF">
        <w:rPr>
          <w:rFonts w:cs="Arial"/>
          <w:i/>
          <w:iCs/>
          <w:noProof/>
          <w:color w:val="000000" w:themeColor="text1"/>
          <w:szCs w:val="18"/>
        </w:rPr>
        <w:t>L. platensis</w:t>
      </w:r>
      <w:r w:rsidRPr="00116AEF">
        <w:rPr>
          <w:rFonts w:cs="Arial"/>
          <w:noProof/>
          <w:color w:val="000000" w:themeColor="text1"/>
          <w:szCs w:val="18"/>
        </w:rPr>
        <w:t xml:space="preserve"> cultivation and highlight their possible role in the valorization of agro-industrial by-products within sustainable microalgae-based bioprocesses.</w:t>
      </w:r>
      <w:r w:rsidR="008476FC" w:rsidRPr="00116AEF">
        <w:rPr>
          <w:color w:val="000000" w:themeColor="text1"/>
        </w:rPr>
        <w:t xml:space="preserve"> </w:t>
      </w:r>
    </w:p>
    <w:p w14:paraId="346E8E90" w14:textId="46E615BA" w:rsidR="006C20AF" w:rsidRPr="00116AEF" w:rsidRDefault="008476FC" w:rsidP="009402B5">
      <w:pPr>
        <w:pStyle w:val="CETBodytext"/>
        <w:spacing w:line="276" w:lineRule="auto"/>
        <w:rPr>
          <w:rFonts w:cs="Arial"/>
          <w:noProof/>
          <w:color w:val="000000" w:themeColor="text1"/>
          <w:szCs w:val="18"/>
        </w:rPr>
      </w:pPr>
      <w:r w:rsidRPr="00116AEF">
        <w:rPr>
          <w:rFonts w:cs="Arial"/>
          <w:noProof/>
          <w:color w:val="000000" w:themeColor="text1"/>
          <w:szCs w:val="18"/>
        </w:rPr>
        <w:t xml:space="preserve">This study provides a process-oriented framework for integrating agro-industrial waste streams into microalgal cultivation systems through controlled supplementation strategies, moving beyond conventional approaches based on direct </w:t>
      </w:r>
      <w:r w:rsidR="00C3529D" w:rsidRPr="00116AEF">
        <w:rPr>
          <w:rFonts w:cs="Arial"/>
          <w:noProof/>
          <w:color w:val="000000" w:themeColor="text1"/>
          <w:szCs w:val="18"/>
        </w:rPr>
        <w:t>WW</w:t>
      </w:r>
      <w:r w:rsidRPr="00116AEF">
        <w:rPr>
          <w:rFonts w:cs="Arial"/>
          <w:noProof/>
          <w:color w:val="000000" w:themeColor="text1"/>
          <w:szCs w:val="18"/>
        </w:rPr>
        <w:t xml:space="preserve"> utilization.</w:t>
      </w:r>
    </w:p>
    <w:p w14:paraId="7A49F9E3" w14:textId="77777777" w:rsidR="00F50589" w:rsidRPr="00116AEF" w:rsidRDefault="00F50589" w:rsidP="009402B5">
      <w:pPr>
        <w:pStyle w:val="CETBodytext"/>
        <w:spacing w:line="276" w:lineRule="auto"/>
        <w:rPr>
          <w:rFonts w:cs="Arial"/>
          <w:b/>
          <w:bCs/>
          <w:noProof/>
          <w:color w:val="000000" w:themeColor="text1"/>
          <w:szCs w:val="18"/>
        </w:rPr>
      </w:pPr>
    </w:p>
    <w:p w14:paraId="4CB517AC" w14:textId="77777777" w:rsidR="00F50589" w:rsidRPr="00116AEF" w:rsidRDefault="00F50589" w:rsidP="009402B5">
      <w:pPr>
        <w:pStyle w:val="CETBodytext"/>
        <w:spacing w:line="276" w:lineRule="auto"/>
        <w:rPr>
          <w:rFonts w:cs="Arial"/>
          <w:b/>
          <w:bCs/>
          <w:noProof/>
          <w:color w:val="000000" w:themeColor="text1"/>
          <w:szCs w:val="18"/>
        </w:rPr>
      </w:pPr>
    </w:p>
    <w:p w14:paraId="7F5A4006" w14:textId="279CFD7B" w:rsidR="00D57562" w:rsidRPr="00116AEF" w:rsidRDefault="00232EE2" w:rsidP="009402B5">
      <w:pPr>
        <w:pStyle w:val="CETBodytext"/>
        <w:spacing w:line="276" w:lineRule="auto"/>
        <w:rPr>
          <w:rFonts w:cs="Arial"/>
          <w:b/>
          <w:bCs/>
          <w:noProof/>
          <w:color w:val="000000" w:themeColor="text1"/>
          <w:sz w:val="20"/>
        </w:rPr>
      </w:pPr>
      <w:r w:rsidRPr="00116AEF">
        <w:rPr>
          <w:rFonts w:cs="Arial"/>
          <w:b/>
          <w:bCs/>
          <w:noProof/>
          <w:color w:val="000000" w:themeColor="text1"/>
          <w:sz w:val="20"/>
        </w:rPr>
        <w:t>References</w:t>
      </w:r>
    </w:p>
    <w:p w14:paraId="0E1A1591" w14:textId="3B2BE31E" w:rsidR="00247E74" w:rsidRPr="00116AEF" w:rsidRDefault="00247E74" w:rsidP="009402B5">
      <w:pPr>
        <w:pStyle w:val="CETBodytext"/>
        <w:spacing w:line="276" w:lineRule="auto"/>
        <w:ind w:left="284" w:hanging="284"/>
        <w:rPr>
          <w:rFonts w:cs="Arial"/>
          <w:noProof/>
          <w:color w:val="000000" w:themeColor="text1"/>
          <w:szCs w:val="18"/>
          <w:lang w:val="en-GB"/>
        </w:rPr>
      </w:pPr>
      <w:r w:rsidRPr="00116AEF">
        <w:rPr>
          <w:rFonts w:cs="Arial"/>
          <w:noProof/>
          <w:color w:val="000000" w:themeColor="text1"/>
          <w:szCs w:val="18"/>
        </w:rPr>
        <w:t>Andrade, M.D., Costa, J.A.</w:t>
      </w:r>
      <w:r w:rsidR="00A91AF1" w:rsidRPr="00116AEF">
        <w:rPr>
          <w:rFonts w:cs="Arial"/>
          <w:noProof/>
          <w:color w:val="000000" w:themeColor="text1"/>
          <w:szCs w:val="18"/>
        </w:rPr>
        <w:t xml:space="preserve">, </w:t>
      </w:r>
      <w:r w:rsidRPr="00116AEF">
        <w:rPr>
          <w:rFonts w:cs="Arial"/>
          <w:noProof/>
          <w:color w:val="000000" w:themeColor="text1"/>
          <w:szCs w:val="18"/>
        </w:rPr>
        <w:t>2007</w:t>
      </w:r>
      <w:r w:rsidR="00A91AF1" w:rsidRPr="00116AEF">
        <w:rPr>
          <w:rFonts w:cs="Arial"/>
          <w:noProof/>
          <w:color w:val="000000" w:themeColor="text1"/>
          <w:szCs w:val="18"/>
        </w:rPr>
        <w:t>,</w:t>
      </w:r>
      <w:r w:rsidRPr="00116AEF">
        <w:rPr>
          <w:rFonts w:cs="Arial"/>
          <w:noProof/>
          <w:color w:val="000000" w:themeColor="text1"/>
          <w:szCs w:val="18"/>
        </w:rPr>
        <w:t xml:space="preserve"> </w:t>
      </w:r>
      <w:r w:rsidRPr="00116AEF">
        <w:rPr>
          <w:rFonts w:cs="Arial"/>
          <w:noProof/>
          <w:color w:val="000000" w:themeColor="text1"/>
          <w:szCs w:val="18"/>
          <w:lang w:val="en-GB"/>
        </w:rPr>
        <w:t xml:space="preserve">Mixotrophic cultivation of microalga </w:t>
      </w:r>
      <w:r w:rsidRPr="00116AEF">
        <w:rPr>
          <w:rFonts w:cs="Arial"/>
          <w:i/>
          <w:iCs/>
          <w:noProof/>
          <w:color w:val="000000" w:themeColor="text1"/>
          <w:szCs w:val="18"/>
          <w:lang w:val="en-GB"/>
        </w:rPr>
        <w:t>Spirulina platensis</w:t>
      </w:r>
      <w:r w:rsidRPr="00116AEF">
        <w:rPr>
          <w:rFonts w:cs="Arial"/>
          <w:noProof/>
          <w:color w:val="000000" w:themeColor="text1"/>
          <w:szCs w:val="18"/>
          <w:lang w:val="en-GB"/>
        </w:rPr>
        <w:t xml:space="preserve"> using molasses as organic substrate. Aquaculture, 264, 130-134.</w:t>
      </w:r>
    </w:p>
    <w:p w14:paraId="4D75CD6D" w14:textId="12DD3097" w:rsidR="00175E54" w:rsidRPr="00116AEF" w:rsidRDefault="00D87D64" w:rsidP="009402B5">
      <w:pPr>
        <w:pStyle w:val="CETBodytext"/>
        <w:spacing w:line="276" w:lineRule="auto"/>
        <w:ind w:left="284" w:hanging="284"/>
        <w:rPr>
          <w:rFonts w:cs="Arial"/>
          <w:noProof/>
          <w:color w:val="000000" w:themeColor="text1"/>
          <w:szCs w:val="18"/>
          <w:lang w:val="en-GB"/>
        </w:rPr>
      </w:pPr>
      <w:r w:rsidRPr="00116AEF">
        <w:rPr>
          <w:rFonts w:cs="Arial"/>
          <w:noProof/>
          <w:color w:val="000000" w:themeColor="text1"/>
          <w:szCs w:val="18"/>
          <w:lang w:val="en-GB"/>
        </w:rPr>
        <w:t>Baraldi, L.</w:t>
      </w:r>
      <w:r w:rsidR="002C1219" w:rsidRPr="00116AEF">
        <w:rPr>
          <w:rFonts w:cs="Arial"/>
          <w:noProof/>
          <w:color w:val="000000" w:themeColor="text1"/>
          <w:szCs w:val="18"/>
          <w:lang w:val="en-GB"/>
        </w:rPr>
        <w:t>,</w:t>
      </w:r>
      <w:r w:rsidRPr="00116AEF">
        <w:rPr>
          <w:rFonts w:cs="Arial"/>
          <w:noProof/>
          <w:color w:val="000000" w:themeColor="text1"/>
          <w:szCs w:val="18"/>
          <w:lang w:val="en-GB"/>
        </w:rPr>
        <w:t xml:space="preserve"> Usai, L.</w:t>
      </w:r>
      <w:r w:rsidR="002C1219" w:rsidRPr="00116AEF">
        <w:rPr>
          <w:rFonts w:cs="Arial"/>
          <w:noProof/>
          <w:color w:val="000000" w:themeColor="text1"/>
          <w:szCs w:val="18"/>
          <w:lang w:val="en-GB"/>
        </w:rPr>
        <w:t>,</w:t>
      </w:r>
      <w:r w:rsidRPr="00116AEF">
        <w:rPr>
          <w:rFonts w:cs="Arial"/>
          <w:noProof/>
          <w:color w:val="000000" w:themeColor="text1"/>
          <w:szCs w:val="18"/>
          <w:lang w:val="en-GB"/>
        </w:rPr>
        <w:t xml:space="preserve"> Torre, S.</w:t>
      </w:r>
      <w:r w:rsidR="002C1219" w:rsidRPr="00116AEF">
        <w:rPr>
          <w:rFonts w:cs="Arial"/>
          <w:noProof/>
          <w:color w:val="000000" w:themeColor="text1"/>
          <w:szCs w:val="18"/>
          <w:lang w:val="en-GB"/>
        </w:rPr>
        <w:t>,</w:t>
      </w:r>
      <w:r w:rsidRPr="00116AEF">
        <w:rPr>
          <w:rFonts w:cs="Arial"/>
          <w:noProof/>
          <w:color w:val="000000" w:themeColor="text1"/>
          <w:szCs w:val="18"/>
          <w:lang w:val="en-GB"/>
        </w:rPr>
        <w:t xml:space="preserve"> Fais, G.</w:t>
      </w:r>
      <w:r w:rsidR="002C1219" w:rsidRPr="00116AEF">
        <w:rPr>
          <w:rFonts w:cs="Arial"/>
          <w:noProof/>
          <w:color w:val="000000" w:themeColor="text1"/>
          <w:szCs w:val="18"/>
          <w:lang w:val="en-GB"/>
        </w:rPr>
        <w:t>,</w:t>
      </w:r>
      <w:r w:rsidRPr="00116AEF">
        <w:rPr>
          <w:rFonts w:cs="Arial"/>
          <w:noProof/>
          <w:color w:val="000000" w:themeColor="text1"/>
          <w:szCs w:val="18"/>
          <w:lang w:val="en-GB"/>
        </w:rPr>
        <w:t xml:space="preserve"> Casula, M.</w:t>
      </w:r>
      <w:r w:rsidR="002C1219" w:rsidRPr="00116AEF">
        <w:rPr>
          <w:rFonts w:cs="Arial"/>
          <w:noProof/>
          <w:color w:val="000000" w:themeColor="text1"/>
          <w:szCs w:val="18"/>
          <w:lang w:val="en-GB"/>
        </w:rPr>
        <w:t>,</w:t>
      </w:r>
      <w:r w:rsidRPr="00116AEF">
        <w:rPr>
          <w:rFonts w:cs="Arial"/>
          <w:noProof/>
          <w:color w:val="000000" w:themeColor="text1"/>
          <w:szCs w:val="18"/>
          <w:lang w:val="en-GB"/>
        </w:rPr>
        <w:t xml:space="preserve"> Dessi, D.</w:t>
      </w:r>
      <w:r w:rsidR="002C1219" w:rsidRPr="00116AEF">
        <w:rPr>
          <w:rFonts w:cs="Arial"/>
          <w:noProof/>
          <w:color w:val="000000" w:themeColor="text1"/>
          <w:szCs w:val="18"/>
          <w:lang w:val="en-GB"/>
        </w:rPr>
        <w:t>,</w:t>
      </w:r>
      <w:r w:rsidRPr="00116AEF">
        <w:rPr>
          <w:rFonts w:cs="Arial"/>
          <w:noProof/>
          <w:color w:val="000000" w:themeColor="text1"/>
          <w:szCs w:val="18"/>
          <w:lang w:val="en-GB"/>
        </w:rPr>
        <w:t xml:space="preserve"> Nieri, P.</w:t>
      </w:r>
      <w:r w:rsidR="002C1219" w:rsidRPr="00116AEF">
        <w:rPr>
          <w:rFonts w:cs="Arial"/>
          <w:noProof/>
          <w:color w:val="000000" w:themeColor="text1"/>
          <w:szCs w:val="18"/>
          <w:lang w:val="en-GB"/>
        </w:rPr>
        <w:t>,</w:t>
      </w:r>
      <w:r w:rsidRPr="00116AEF">
        <w:rPr>
          <w:rFonts w:cs="Arial"/>
          <w:noProof/>
          <w:color w:val="000000" w:themeColor="text1"/>
          <w:szCs w:val="18"/>
          <w:lang w:val="en-GB"/>
        </w:rPr>
        <w:t xml:space="preserve"> Concas, A.</w:t>
      </w:r>
      <w:r w:rsidR="002C1219" w:rsidRPr="00116AEF">
        <w:rPr>
          <w:rFonts w:cs="Arial"/>
          <w:noProof/>
          <w:color w:val="000000" w:themeColor="text1"/>
          <w:szCs w:val="18"/>
          <w:lang w:val="en-GB"/>
        </w:rPr>
        <w:t>,</w:t>
      </w:r>
      <w:r w:rsidRPr="00116AEF">
        <w:rPr>
          <w:rFonts w:cs="Arial"/>
          <w:noProof/>
          <w:color w:val="000000" w:themeColor="text1"/>
          <w:szCs w:val="18"/>
          <w:lang w:val="en-GB"/>
        </w:rPr>
        <w:t xml:space="preserve"> Lutzu, G.A.</w:t>
      </w:r>
      <w:r w:rsidR="00EE355F" w:rsidRPr="00116AEF">
        <w:rPr>
          <w:rFonts w:cs="Arial"/>
          <w:noProof/>
          <w:color w:val="000000" w:themeColor="text1"/>
          <w:szCs w:val="18"/>
          <w:lang w:val="en-GB"/>
        </w:rPr>
        <w:t>, 2025,</w:t>
      </w:r>
      <w:r w:rsidRPr="00116AEF">
        <w:rPr>
          <w:rFonts w:cs="Arial"/>
          <w:noProof/>
          <w:color w:val="000000" w:themeColor="text1"/>
          <w:szCs w:val="18"/>
          <w:lang w:val="en-GB"/>
        </w:rPr>
        <w:t xml:space="preserve"> Dairy Wastewaters to Promote Mixotrophic Metabolism in </w:t>
      </w:r>
      <w:r w:rsidRPr="00116AEF">
        <w:rPr>
          <w:rFonts w:cs="Arial"/>
          <w:i/>
          <w:iCs/>
          <w:noProof/>
          <w:color w:val="000000" w:themeColor="text1"/>
          <w:szCs w:val="18"/>
          <w:lang w:val="en-GB"/>
        </w:rPr>
        <w:t>Limnospira</w:t>
      </w:r>
      <w:r w:rsidRPr="00116AEF">
        <w:rPr>
          <w:rFonts w:cs="Arial"/>
          <w:noProof/>
          <w:color w:val="000000" w:themeColor="text1"/>
          <w:szCs w:val="18"/>
          <w:lang w:val="en-GB"/>
        </w:rPr>
        <w:t> (</w:t>
      </w:r>
      <w:r w:rsidRPr="00116AEF">
        <w:rPr>
          <w:rFonts w:cs="Arial"/>
          <w:i/>
          <w:iCs/>
          <w:noProof/>
          <w:color w:val="000000" w:themeColor="text1"/>
          <w:szCs w:val="18"/>
          <w:lang w:val="en-GB"/>
        </w:rPr>
        <w:t>Spirulina</w:t>
      </w:r>
      <w:r w:rsidRPr="00116AEF">
        <w:rPr>
          <w:rFonts w:cs="Arial"/>
          <w:noProof/>
          <w:color w:val="000000" w:themeColor="text1"/>
          <w:szCs w:val="18"/>
          <w:lang w:val="en-GB"/>
        </w:rPr>
        <w:t>) </w:t>
      </w:r>
      <w:r w:rsidRPr="00116AEF">
        <w:rPr>
          <w:rFonts w:cs="Arial"/>
          <w:i/>
          <w:iCs/>
          <w:noProof/>
          <w:color w:val="000000" w:themeColor="text1"/>
          <w:szCs w:val="18"/>
          <w:lang w:val="en-GB"/>
        </w:rPr>
        <w:t>platensis</w:t>
      </w:r>
      <w:r w:rsidRPr="00116AEF">
        <w:rPr>
          <w:rFonts w:cs="Arial"/>
          <w:noProof/>
          <w:color w:val="000000" w:themeColor="text1"/>
          <w:szCs w:val="18"/>
          <w:lang w:val="en-GB"/>
        </w:rPr>
        <w:t xml:space="preserve">: Effect on Biomass Composition, Phycocyanin Content, and Fatty Acid Methyl Ester Profile. Life 15, 184. </w:t>
      </w:r>
    </w:p>
    <w:p w14:paraId="46FB9B20" w14:textId="3CDCA899" w:rsidR="00046F20" w:rsidRPr="00116AEF" w:rsidRDefault="00046F20" w:rsidP="009402B5">
      <w:pPr>
        <w:pStyle w:val="CETBodytext"/>
        <w:spacing w:line="276" w:lineRule="auto"/>
        <w:ind w:left="284" w:hanging="284"/>
        <w:rPr>
          <w:rFonts w:cs="Arial"/>
          <w:noProof/>
          <w:color w:val="000000" w:themeColor="text1"/>
          <w:szCs w:val="18"/>
        </w:rPr>
      </w:pPr>
      <w:r w:rsidRPr="00116AEF">
        <w:rPr>
          <w:rFonts w:cs="Arial"/>
          <w:noProof/>
          <w:color w:val="000000" w:themeColor="text1"/>
          <w:szCs w:val="18"/>
          <w:lang w:val="en-GB"/>
        </w:rPr>
        <w:lastRenderedPageBreak/>
        <w:t>Cavallini, A., Torre, S</w:t>
      </w:r>
      <w:r w:rsidR="002C1219" w:rsidRPr="00116AEF">
        <w:rPr>
          <w:rFonts w:cs="Arial"/>
          <w:noProof/>
          <w:color w:val="000000" w:themeColor="text1"/>
          <w:szCs w:val="18"/>
          <w:lang w:val="en-GB"/>
        </w:rPr>
        <w:t>.,</w:t>
      </w:r>
      <w:r w:rsidRPr="00116AEF">
        <w:rPr>
          <w:rFonts w:cs="Arial"/>
          <w:noProof/>
          <w:color w:val="000000" w:themeColor="text1"/>
          <w:szCs w:val="18"/>
          <w:lang w:val="en-GB"/>
        </w:rPr>
        <w:t xml:space="preserve"> Usai, L</w:t>
      </w:r>
      <w:r w:rsidR="002C1219" w:rsidRPr="00116AEF">
        <w:rPr>
          <w:rFonts w:cs="Arial"/>
          <w:noProof/>
          <w:color w:val="000000" w:themeColor="text1"/>
          <w:szCs w:val="18"/>
          <w:lang w:val="en-GB"/>
        </w:rPr>
        <w:t xml:space="preserve">., </w:t>
      </w:r>
      <w:r w:rsidRPr="00116AEF">
        <w:rPr>
          <w:rFonts w:cs="Arial"/>
          <w:noProof/>
          <w:color w:val="000000" w:themeColor="text1"/>
          <w:szCs w:val="18"/>
          <w:lang w:val="en-GB"/>
        </w:rPr>
        <w:t>Casula, M</w:t>
      </w:r>
      <w:r w:rsidR="002C1219" w:rsidRPr="00116AEF">
        <w:rPr>
          <w:rFonts w:cs="Arial"/>
          <w:noProof/>
          <w:color w:val="000000" w:themeColor="text1"/>
          <w:szCs w:val="18"/>
          <w:lang w:val="en-GB"/>
        </w:rPr>
        <w:t>.,</w:t>
      </w:r>
      <w:r w:rsidRPr="00116AEF">
        <w:rPr>
          <w:rFonts w:cs="Arial"/>
          <w:noProof/>
          <w:color w:val="000000" w:themeColor="text1"/>
          <w:szCs w:val="18"/>
          <w:lang w:val="en-GB"/>
        </w:rPr>
        <w:t xml:space="preserve"> Fais, G</w:t>
      </w:r>
      <w:r w:rsidR="002C1219" w:rsidRPr="00116AEF">
        <w:rPr>
          <w:rFonts w:cs="Arial"/>
          <w:noProof/>
          <w:color w:val="000000" w:themeColor="text1"/>
          <w:szCs w:val="18"/>
          <w:lang w:val="en-GB"/>
        </w:rPr>
        <w:t xml:space="preserve">., </w:t>
      </w:r>
      <w:r w:rsidRPr="00116AEF">
        <w:rPr>
          <w:rFonts w:cs="Arial"/>
          <w:noProof/>
          <w:color w:val="000000" w:themeColor="text1"/>
          <w:szCs w:val="18"/>
          <w:lang w:val="en-GB"/>
        </w:rPr>
        <w:t>Nieri, P</w:t>
      </w:r>
      <w:r w:rsidR="002C1219" w:rsidRPr="00116AEF">
        <w:rPr>
          <w:rFonts w:cs="Arial"/>
          <w:noProof/>
          <w:color w:val="000000" w:themeColor="text1"/>
          <w:szCs w:val="18"/>
          <w:lang w:val="en-GB"/>
        </w:rPr>
        <w:t>.,</w:t>
      </w:r>
      <w:r w:rsidRPr="00116AEF">
        <w:rPr>
          <w:rFonts w:cs="Arial"/>
          <w:noProof/>
          <w:color w:val="000000" w:themeColor="text1"/>
          <w:szCs w:val="18"/>
          <w:lang w:val="en-GB"/>
        </w:rPr>
        <w:t xml:space="preserve"> </w:t>
      </w:r>
      <w:r w:rsidR="002C1219" w:rsidRPr="00116AEF">
        <w:rPr>
          <w:rFonts w:cs="Arial"/>
          <w:noProof/>
          <w:color w:val="000000" w:themeColor="text1"/>
          <w:szCs w:val="18"/>
          <w:lang w:val="en-GB"/>
        </w:rPr>
        <w:t>Concas, A., Lutzu, G.A</w:t>
      </w:r>
      <w:r w:rsidRPr="00116AEF">
        <w:rPr>
          <w:rFonts w:cs="Arial"/>
          <w:noProof/>
          <w:color w:val="000000" w:themeColor="text1"/>
          <w:szCs w:val="18"/>
          <w:lang w:val="en-GB"/>
        </w:rPr>
        <w:t>.</w:t>
      </w:r>
      <w:r w:rsidR="00EE355F" w:rsidRPr="00116AEF">
        <w:rPr>
          <w:rFonts w:cs="Arial"/>
          <w:noProof/>
          <w:color w:val="000000" w:themeColor="text1"/>
          <w:szCs w:val="18"/>
          <w:lang w:val="en-GB"/>
        </w:rPr>
        <w:t>, 2024,</w:t>
      </w:r>
      <w:r w:rsidRPr="00116AEF">
        <w:rPr>
          <w:rFonts w:cs="Arial"/>
          <w:noProof/>
          <w:color w:val="000000" w:themeColor="text1"/>
          <w:szCs w:val="18"/>
          <w:lang w:val="en-GB"/>
        </w:rPr>
        <w:t xml:space="preserve"> Effect of cheese whey on phycobiliproteins production and fatty acids methyl ester profile by </w:t>
      </w:r>
      <w:r w:rsidRPr="00116AEF">
        <w:rPr>
          <w:rFonts w:cs="Arial"/>
          <w:i/>
          <w:iCs/>
          <w:noProof/>
          <w:color w:val="000000" w:themeColor="text1"/>
          <w:szCs w:val="18"/>
          <w:lang w:val="en-GB"/>
        </w:rPr>
        <w:t>Arthrospira platensis</w:t>
      </w:r>
      <w:r w:rsidRPr="00116AEF">
        <w:rPr>
          <w:rFonts w:cs="Arial"/>
          <w:noProof/>
          <w:color w:val="000000" w:themeColor="text1"/>
          <w:szCs w:val="18"/>
          <w:lang w:val="en-GB"/>
        </w:rPr>
        <w:t xml:space="preserve"> (</w:t>
      </w:r>
      <w:r w:rsidRPr="00116AEF">
        <w:rPr>
          <w:rFonts w:cs="Arial"/>
          <w:i/>
          <w:iCs/>
          <w:noProof/>
          <w:color w:val="000000" w:themeColor="text1"/>
          <w:szCs w:val="18"/>
          <w:lang w:val="en-GB"/>
        </w:rPr>
        <w:t>Spirulina</w:t>
      </w:r>
      <w:r w:rsidRPr="00116AEF">
        <w:rPr>
          <w:rFonts w:cs="Arial"/>
          <w:noProof/>
          <w:color w:val="000000" w:themeColor="text1"/>
          <w:szCs w:val="18"/>
          <w:lang w:val="en-GB"/>
        </w:rPr>
        <w:t xml:space="preserve">). Promoting the concept of a circular bio-economy. </w:t>
      </w:r>
      <w:r w:rsidRPr="00116AEF">
        <w:rPr>
          <w:rFonts w:cs="Arial"/>
          <w:noProof/>
          <w:color w:val="000000" w:themeColor="text1"/>
          <w:szCs w:val="18"/>
        </w:rPr>
        <w:t>Sustainable Chemistry and Pharmacy</w:t>
      </w:r>
      <w:r w:rsidR="002C1219" w:rsidRPr="00116AEF">
        <w:rPr>
          <w:rFonts w:cs="Arial"/>
          <w:noProof/>
          <w:color w:val="000000" w:themeColor="text1"/>
          <w:szCs w:val="18"/>
        </w:rPr>
        <w:t xml:space="preserve"> </w:t>
      </w:r>
      <w:r w:rsidRPr="00116AEF">
        <w:rPr>
          <w:rFonts w:cs="Arial"/>
          <w:noProof/>
          <w:color w:val="000000" w:themeColor="text1"/>
          <w:szCs w:val="18"/>
        </w:rPr>
        <w:t>40</w:t>
      </w:r>
      <w:r w:rsidR="00EE355F" w:rsidRPr="00116AEF">
        <w:rPr>
          <w:rFonts w:cs="Arial"/>
          <w:noProof/>
          <w:color w:val="000000" w:themeColor="text1"/>
          <w:szCs w:val="18"/>
        </w:rPr>
        <w:t xml:space="preserve">, </w:t>
      </w:r>
      <w:r w:rsidRPr="00116AEF">
        <w:rPr>
          <w:rFonts w:cs="Arial"/>
          <w:noProof/>
          <w:color w:val="000000" w:themeColor="text1"/>
          <w:szCs w:val="18"/>
        </w:rPr>
        <w:t>101625.</w:t>
      </w:r>
    </w:p>
    <w:p w14:paraId="1556B6B8" w14:textId="568FC1D8" w:rsidR="00F50589" w:rsidRPr="00116AEF" w:rsidRDefault="00F50589" w:rsidP="009402B5">
      <w:pPr>
        <w:pStyle w:val="CETBodytext"/>
        <w:spacing w:line="276" w:lineRule="auto"/>
        <w:ind w:left="284" w:hanging="284"/>
        <w:rPr>
          <w:rFonts w:cs="Arial"/>
          <w:noProof/>
          <w:color w:val="000000" w:themeColor="text1"/>
          <w:szCs w:val="18"/>
          <w:lang w:val="it-IT"/>
        </w:rPr>
      </w:pPr>
      <w:r w:rsidRPr="00116AEF">
        <w:rPr>
          <w:rFonts w:cs="Arial"/>
          <w:noProof/>
          <w:color w:val="000000" w:themeColor="text1"/>
          <w:szCs w:val="18"/>
        </w:rPr>
        <w:t xml:space="preserve">Concas, A., Pisu, M., Cago, G., 2013, Mathematical Modelling of </w:t>
      </w:r>
      <w:r w:rsidRPr="00116AEF">
        <w:rPr>
          <w:rFonts w:cs="Arial"/>
          <w:i/>
          <w:iCs/>
          <w:noProof/>
          <w:color w:val="000000" w:themeColor="text1"/>
          <w:szCs w:val="18"/>
        </w:rPr>
        <w:t xml:space="preserve">Chlorella </w:t>
      </w:r>
      <w:r w:rsidR="00C10A48" w:rsidRPr="00116AEF">
        <w:rPr>
          <w:rFonts w:cs="Arial"/>
          <w:i/>
          <w:iCs/>
          <w:noProof/>
          <w:color w:val="000000" w:themeColor="text1"/>
          <w:szCs w:val="18"/>
        </w:rPr>
        <w:t>v</w:t>
      </w:r>
      <w:r w:rsidRPr="00116AEF">
        <w:rPr>
          <w:rFonts w:cs="Arial"/>
          <w:i/>
          <w:iCs/>
          <w:noProof/>
          <w:color w:val="000000" w:themeColor="text1"/>
          <w:szCs w:val="18"/>
        </w:rPr>
        <w:t>ulgaris</w:t>
      </w:r>
      <w:r w:rsidRPr="00116AEF">
        <w:rPr>
          <w:rFonts w:cs="Arial"/>
          <w:noProof/>
          <w:color w:val="000000" w:themeColor="text1"/>
          <w:szCs w:val="18"/>
        </w:rPr>
        <w:t xml:space="preserve"> Growth in Semi-Batch Photobioreactors Fed with Pure CO</w:t>
      </w:r>
      <w:r w:rsidRPr="00116AEF">
        <w:rPr>
          <w:rFonts w:cs="Arial"/>
          <w:noProof/>
          <w:color w:val="000000" w:themeColor="text1"/>
          <w:szCs w:val="18"/>
          <w:vertAlign w:val="subscript"/>
        </w:rPr>
        <w:t>2</w:t>
      </w:r>
      <w:r w:rsidRPr="00116AEF">
        <w:rPr>
          <w:rFonts w:cs="Arial"/>
          <w:noProof/>
          <w:color w:val="000000" w:themeColor="text1"/>
          <w:szCs w:val="18"/>
        </w:rPr>
        <w:t xml:space="preserve">. </w:t>
      </w:r>
      <w:r w:rsidRPr="00116AEF">
        <w:rPr>
          <w:rFonts w:cs="Arial"/>
          <w:noProof/>
          <w:color w:val="000000" w:themeColor="text1"/>
          <w:szCs w:val="18"/>
          <w:lang w:val="it-IT"/>
        </w:rPr>
        <w:t>Chemical Engineering Transactions 32, 1021 – 1026.</w:t>
      </w:r>
    </w:p>
    <w:p w14:paraId="16460C89" w14:textId="6A6EF41E" w:rsidR="000625B3" w:rsidRDefault="000625B3" w:rsidP="009402B5">
      <w:pPr>
        <w:pStyle w:val="CETBodytext"/>
        <w:spacing w:line="276" w:lineRule="auto"/>
        <w:ind w:left="284" w:hanging="284"/>
        <w:rPr>
          <w:rFonts w:cs="Arial"/>
          <w:noProof/>
          <w:color w:val="000000" w:themeColor="text1"/>
          <w:szCs w:val="18"/>
          <w:lang w:val="en-GB"/>
        </w:rPr>
      </w:pPr>
      <w:r w:rsidRPr="00116AEF">
        <w:rPr>
          <w:rFonts w:cs="Arial"/>
          <w:noProof/>
          <w:color w:val="000000" w:themeColor="text1"/>
          <w:szCs w:val="18"/>
          <w:lang w:val="it-IT"/>
        </w:rPr>
        <w:t xml:space="preserve">Cosenza, B., Allodi, R., Usai, L., Minardi, R., Cosenza, A., Soto-Ramirez, R., </w:t>
      </w:r>
      <w:r w:rsidR="00B5585D" w:rsidRPr="00116AEF">
        <w:rPr>
          <w:rFonts w:cs="Arial"/>
          <w:noProof/>
          <w:color w:val="000000" w:themeColor="text1"/>
          <w:szCs w:val="18"/>
          <w:lang w:val="it-IT"/>
        </w:rPr>
        <w:t xml:space="preserve">Concas A., Lutzu G.A., </w:t>
      </w:r>
      <w:r w:rsidRPr="00116AEF">
        <w:rPr>
          <w:rFonts w:cs="Arial"/>
          <w:noProof/>
          <w:color w:val="000000" w:themeColor="text1"/>
          <w:szCs w:val="18"/>
          <w:lang w:val="it-IT"/>
        </w:rPr>
        <w:t xml:space="preserve">2026. </w:t>
      </w:r>
      <w:r w:rsidRPr="00116AEF">
        <w:rPr>
          <w:rFonts w:cs="Arial"/>
          <w:noProof/>
          <w:color w:val="000000" w:themeColor="text1"/>
          <w:szCs w:val="18"/>
          <w:lang w:val="en-GB"/>
        </w:rPr>
        <w:t xml:space="preserve">Advanced feature engineering and Gradient Boosting optimization for predicting </w:t>
      </w:r>
      <w:r w:rsidRPr="00116AEF">
        <w:rPr>
          <w:rFonts w:cs="Arial"/>
          <w:i/>
          <w:iCs/>
          <w:noProof/>
          <w:color w:val="000000" w:themeColor="text1"/>
          <w:szCs w:val="18"/>
          <w:lang w:val="en-GB"/>
        </w:rPr>
        <w:t>Limnospira platensis</w:t>
      </w:r>
      <w:r w:rsidRPr="00116AEF">
        <w:rPr>
          <w:rFonts w:cs="Arial"/>
          <w:noProof/>
          <w:color w:val="000000" w:themeColor="text1"/>
          <w:szCs w:val="18"/>
          <w:lang w:val="en-GB"/>
        </w:rPr>
        <w:t xml:space="preserve"> growth dynamics under mixotrophic conditions using agro-industrial byproducts. Algal Research, 93</w:t>
      </w:r>
      <w:r w:rsidR="003B5AB1" w:rsidRPr="00116AEF">
        <w:rPr>
          <w:rFonts w:cs="Arial"/>
          <w:noProof/>
          <w:color w:val="000000" w:themeColor="text1"/>
          <w:szCs w:val="18"/>
          <w:lang w:val="en-GB"/>
        </w:rPr>
        <w:t>, 104445.</w:t>
      </w:r>
    </w:p>
    <w:p w14:paraId="6B3E5DFA" w14:textId="56AF443D" w:rsidR="008455EA" w:rsidRPr="008455EA" w:rsidRDefault="008455EA" w:rsidP="009402B5">
      <w:pPr>
        <w:pStyle w:val="CETBodytext"/>
        <w:spacing w:line="276" w:lineRule="auto"/>
        <w:ind w:left="284" w:hanging="284"/>
        <w:rPr>
          <w:rFonts w:cs="Arial"/>
          <w:noProof/>
          <w:color w:val="000000" w:themeColor="text1"/>
          <w:szCs w:val="18"/>
        </w:rPr>
      </w:pPr>
      <w:r w:rsidRPr="008455EA">
        <w:rPr>
          <w:rFonts w:cs="Arial"/>
          <w:noProof/>
          <w:color w:val="000000" w:themeColor="text1"/>
          <w:szCs w:val="18"/>
        </w:rPr>
        <w:t>Lutzu</w:t>
      </w:r>
      <w:r>
        <w:rPr>
          <w:rFonts w:cs="Arial"/>
          <w:noProof/>
          <w:color w:val="000000" w:themeColor="text1"/>
          <w:szCs w:val="18"/>
        </w:rPr>
        <w:t>, G. A.</w:t>
      </w:r>
      <w:r w:rsidRPr="008455EA">
        <w:rPr>
          <w:rFonts w:cs="Arial"/>
          <w:noProof/>
          <w:color w:val="000000" w:themeColor="text1"/>
          <w:szCs w:val="18"/>
        </w:rPr>
        <w:t>, Marin</w:t>
      </w:r>
      <w:r>
        <w:rPr>
          <w:rFonts w:cs="Arial"/>
          <w:noProof/>
          <w:color w:val="000000" w:themeColor="text1"/>
          <w:szCs w:val="18"/>
        </w:rPr>
        <w:t xml:space="preserve">, M. A., </w:t>
      </w:r>
      <w:r w:rsidRPr="008455EA">
        <w:rPr>
          <w:rFonts w:cs="Arial"/>
          <w:noProof/>
          <w:color w:val="000000" w:themeColor="text1"/>
          <w:szCs w:val="18"/>
        </w:rPr>
        <w:t>Concas,</w:t>
      </w:r>
      <w:r>
        <w:rPr>
          <w:rFonts w:cs="Arial"/>
          <w:noProof/>
          <w:color w:val="000000" w:themeColor="text1"/>
          <w:szCs w:val="18"/>
        </w:rPr>
        <w:t xml:space="preserve"> A,</w:t>
      </w:r>
      <w:r w:rsidRPr="008455EA">
        <w:rPr>
          <w:rFonts w:cs="Arial"/>
          <w:noProof/>
          <w:color w:val="000000" w:themeColor="text1"/>
          <w:szCs w:val="18"/>
        </w:rPr>
        <w:t xml:space="preserve"> Dunford</w:t>
      </w:r>
      <w:r w:rsidRPr="008455EA">
        <w:rPr>
          <w:rFonts w:cs="Arial"/>
          <w:noProof/>
          <w:color w:val="000000" w:themeColor="text1"/>
          <w:szCs w:val="18"/>
        </w:rPr>
        <w:t>,</w:t>
      </w:r>
      <w:r>
        <w:rPr>
          <w:rFonts w:cs="Arial"/>
          <w:noProof/>
          <w:color w:val="000000" w:themeColor="text1"/>
          <w:szCs w:val="18"/>
        </w:rPr>
        <w:t xml:space="preserve"> N.T.,</w:t>
      </w:r>
      <w:r w:rsidRPr="008455EA">
        <w:rPr>
          <w:rFonts w:cs="Arial"/>
          <w:noProof/>
          <w:color w:val="000000" w:themeColor="text1"/>
          <w:szCs w:val="18"/>
        </w:rPr>
        <w:t xml:space="preserve"> 2020, </w:t>
      </w:r>
      <w:r w:rsidRPr="008455EA">
        <w:rPr>
          <w:rFonts w:cs="Arial"/>
          <w:noProof/>
          <w:color w:val="000000" w:themeColor="text1"/>
          <w:szCs w:val="18"/>
        </w:rPr>
        <w:t xml:space="preserve">Growing </w:t>
      </w:r>
      <w:r w:rsidRPr="008455EA">
        <w:rPr>
          <w:rFonts w:cs="Arial"/>
          <w:i/>
          <w:iCs/>
          <w:noProof/>
          <w:color w:val="000000" w:themeColor="text1"/>
          <w:szCs w:val="18"/>
        </w:rPr>
        <w:t>Picochlorum oklahomensis</w:t>
      </w:r>
      <w:r w:rsidRPr="008455EA">
        <w:rPr>
          <w:rFonts w:cs="Arial"/>
          <w:noProof/>
          <w:color w:val="000000" w:themeColor="text1"/>
          <w:szCs w:val="18"/>
        </w:rPr>
        <w:t xml:space="preserve"> in Hydraulic Fracturing Wastewater Supplemented with Animal Wastewater</w:t>
      </w:r>
      <w:r>
        <w:rPr>
          <w:rFonts w:cs="Arial"/>
          <w:noProof/>
          <w:color w:val="000000" w:themeColor="text1"/>
          <w:szCs w:val="18"/>
        </w:rPr>
        <w:t xml:space="preserve">. </w:t>
      </w:r>
      <w:r w:rsidRPr="008455EA">
        <w:rPr>
          <w:rFonts w:cs="Arial"/>
          <w:noProof/>
          <w:color w:val="000000" w:themeColor="text1"/>
          <w:szCs w:val="18"/>
        </w:rPr>
        <w:t>Water, Air, &amp; Soil Pollution</w:t>
      </w:r>
      <w:r>
        <w:rPr>
          <w:rFonts w:cs="Arial"/>
          <w:noProof/>
          <w:color w:val="000000" w:themeColor="text1"/>
          <w:szCs w:val="18"/>
        </w:rPr>
        <w:t xml:space="preserve">, 232, 457. </w:t>
      </w:r>
      <w:r w:rsidRPr="008455EA">
        <w:rPr>
          <w:rFonts w:cs="Arial"/>
          <w:noProof/>
          <w:color w:val="000000" w:themeColor="text1"/>
          <w:szCs w:val="18"/>
          <w:lang w:val="en-GB"/>
        </w:rPr>
        <w:t>https://doi.org/10.1007/s11270-020-04826</w:t>
      </w:r>
      <w:r>
        <w:rPr>
          <w:rFonts w:cs="Arial"/>
          <w:noProof/>
          <w:color w:val="000000" w:themeColor="text1"/>
          <w:szCs w:val="18"/>
          <w:lang w:val="en-GB"/>
        </w:rPr>
        <w:t>.</w:t>
      </w:r>
      <w:r>
        <w:rPr>
          <w:rFonts w:cs="Arial"/>
          <w:noProof/>
          <w:color w:val="000000" w:themeColor="text1"/>
          <w:szCs w:val="18"/>
        </w:rPr>
        <w:t xml:space="preserve"> </w:t>
      </w:r>
      <w:r w:rsidRPr="008455EA">
        <w:rPr>
          <w:rFonts w:cs="Arial"/>
          <w:noProof/>
          <w:color w:val="000000" w:themeColor="text1"/>
          <w:szCs w:val="18"/>
        </w:rPr>
        <w:t xml:space="preserve"> </w:t>
      </w:r>
    </w:p>
    <w:p w14:paraId="4E75C438" w14:textId="4AF0A57B" w:rsidR="00265DF2" w:rsidRPr="00116AEF" w:rsidRDefault="00265DF2" w:rsidP="009402B5">
      <w:pPr>
        <w:pStyle w:val="CETBodytext"/>
        <w:spacing w:line="276" w:lineRule="auto"/>
        <w:ind w:left="284" w:hanging="284"/>
        <w:rPr>
          <w:rFonts w:cs="Arial"/>
          <w:noProof/>
          <w:color w:val="000000" w:themeColor="text1"/>
          <w:szCs w:val="18"/>
          <w:lang w:val="en-GB"/>
        </w:rPr>
      </w:pPr>
      <w:r w:rsidRPr="00116AEF">
        <w:rPr>
          <w:rFonts w:cs="Arial"/>
          <w:noProof/>
          <w:color w:val="000000" w:themeColor="text1"/>
          <w:szCs w:val="18"/>
          <w:lang w:val="en-GB"/>
        </w:rPr>
        <w:t>Di Stasi, M.</w:t>
      </w:r>
      <w:r w:rsidR="00EE355F" w:rsidRPr="00116AEF">
        <w:rPr>
          <w:rFonts w:cs="Arial"/>
          <w:noProof/>
          <w:color w:val="000000" w:themeColor="text1"/>
          <w:szCs w:val="18"/>
          <w:lang w:val="en-GB"/>
        </w:rPr>
        <w:t>,</w:t>
      </w:r>
      <w:r w:rsidRPr="00116AEF">
        <w:rPr>
          <w:rFonts w:cs="Arial"/>
          <w:noProof/>
          <w:color w:val="000000" w:themeColor="text1"/>
          <w:szCs w:val="18"/>
          <w:lang w:val="en-GB"/>
        </w:rPr>
        <w:t xml:space="preserve"> Banti, M.</w:t>
      </w:r>
      <w:r w:rsidR="00EE355F" w:rsidRPr="00116AEF">
        <w:rPr>
          <w:rFonts w:cs="Arial"/>
          <w:noProof/>
          <w:color w:val="000000" w:themeColor="text1"/>
          <w:szCs w:val="18"/>
          <w:lang w:val="en-GB"/>
        </w:rPr>
        <w:t>,</w:t>
      </w:r>
      <w:r w:rsidRPr="00116AEF">
        <w:rPr>
          <w:rFonts w:cs="Arial"/>
          <w:noProof/>
          <w:color w:val="000000" w:themeColor="text1"/>
          <w:szCs w:val="18"/>
          <w:lang w:val="en-GB"/>
        </w:rPr>
        <w:t xml:space="preserve"> Büyükdağ, M.H.</w:t>
      </w:r>
      <w:r w:rsidR="00EE355F" w:rsidRPr="00116AEF">
        <w:rPr>
          <w:rFonts w:cs="Arial"/>
          <w:noProof/>
          <w:color w:val="000000" w:themeColor="text1"/>
          <w:szCs w:val="18"/>
          <w:lang w:val="en-GB"/>
        </w:rPr>
        <w:t>,</w:t>
      </w:r>
      <w:r w:rsidRPr="00116AEF">
        <w:rPr>
          <w:rFonts w:cs="Arial"/>
          <w:noProof/>
          <w:color w:val="000000" w:themeColor="text1"/>
          <w:szCs w:val="18"/>
          <w:lang w:val="en-GB"/>
        </w:rPr>
        <w:t xml:space="preserve"> Torre, S.</w:t>
      </w:r>
      <w:r w:rsidR="00EE355F" w:rsidRPr="00116AEF">
        <w:rPr>
          <w:rFonts w:cs="Arial"/>
          <w:noProof/>
          <w:color w:val="000000" w:themeColor="text1"/>
          <w:szCs w:val="18"/>
          <w:lang w:val="en-GB"/>
        </w:rPr>
        <w:t>,</w:t>
      </w:r>
      <w:r w:rsidRPr="00116AEF">
        <w:rPr>
          <w:rFonts w:cs="Arial"/>
          <w:noProof/>
          <w:color w:val="000000" w:themeColor="text1"/>
          <w:szCs w:val="18"/>
          <w:lang w:val="en-GB"/>
        </w:rPr>
        <w:t xml:space="preserve"> Citi, V.</w:t>
      </w:r>
      <w:r w:rsidR="00EE355F" w:rsidRPr="00116AEF">
        <w:rPr>
          <w:rFonts w:cs="Arial"/>
          <w:noProof/>
          <w:color w:val="000000" w:themeColor="text1"/>
          <w:szCs w:val="18"/>
          <w:lang w:val="en-GB"/>
        </w:rPr>
        <w:t>,</w:t>
      </w:r>
      <w:r w:rsidRPr="00116AEF">
        <w:rPr>
          <w:rFonts w:cs="Arial"/>
          <w:noProof/>
          <w:color w:val="000000" w:themeColor="text1"/>
          <w:szCs w:val="18"/>
          <w:lang w:val="en-GB"/>
        </w:rPr>
        <w:t xml:space="preserve"> Rapposelli, S.</w:t>
      </w:r>
      <w:r w:rsidR="00EE355F" w:rsidRPr="00116AEF">
        <w:rPr>
          <w:rFonts w:cs="Arial"/>
          <w:noProof/>
          <w:color w:val="000000" w:themeColor="text1"/>
          <w:szCs w:val="18"/>
          <w:lang w:val="en-GB"/>
        </w:rPr>
        <w:t>,</w:t>
      </w:r>
      <w:r w:rsidRPr="00116AEF">
        <w:rPr>
          <w:rFonts w:cs="Arial"/>
          <w:noProof/>
          <w:color w:val="000000" w:themeColor="text1"/>
          <w:szCs w:val="18"/>
          <w:lang w:val="en-GB"/>
        </w:rPr>
        <w:t xml:space="preserve"> Lutzu, G.A.</w:t>
      </w:r>
      <w:r w:rsidR="00EE355F" w:rsidRPr="00116AEF">
        <w:rPr>
          <w:rFonts w:cs="Arial"/>
          <w:noProof/>
          <w:color w:val="000000" w:themeColor="text1"/>
          <w:szCs w:val="18"/>
          <w:lang w:val="en-GB"/>
        </w:rPr>
        <w:t>,</w:t>
      </w:r>
      <w:r w:rsidRPr="00116AEF">
        <w:rPr>
          <w:rFonts w:cs="Arial"/>
          <w:noProof/>
          <w:color w:val="000000" w:themeColor="text1"/>
          <w:szCs w:val="18"/>
          <w:lang w:val="en-GB"/>
        </w:rPr>
        <w:t xml:space="preserve"> Thomas, O.P.</w:t>
      </w:r>
      <w:r w:rsidR="00EE355F" w:rsidRPr="00116AEF">
        <w:rPr>
          <w:rFonts w:cs="Arial"/>
          <w:noProof/>
          <w:color w:val="000000" w:themeColor="text1"/>
          <w:szCs w:val="18"/>
          <w:lang w:val="en-GB"/>
        </w:rPr>
        <w:t>,</w:t>
      </w:r>
      <w:r w:rsidRPr="00116AEF">
        <w:rPr>
          <w:rFonts w:cs="Arial"/>
          <w:noProof/>
          <w:color w:val="000000" w:themeColor="text1"/>
          <w:szCs w:val="18"/>
          <w:lang w:val="en-GB"/>
        </w:rPr>
        <w:t xml:space="preserve"> Manera, C.</w:t>
      </w:r>
      <w:r w:rsidR="00EE355F" w:rsidRPr="00116AEF">
        <w:rPr>
          <w:rFonts w:cs="Arial"/>
          <w:noProof/>
          <w:color w:val="000000" w:themeColor="text1"/>
          <w:szCs w:val="18"/>
          <w:lang w:val="en-GB"/>
        </w:rPr>
        <w:t>,</w:t>
      </w:r>
      <w:r w:rsidRPr="00116AEF">
        <w:rPr>
          <w:rFonts w:cs="Arial"/>
          <w:noProof/>
          <w:color w:val="000000" w:themeColor="text1"/>
          <w:szCs w:val="18"/>
          <w:lang w:val="en-GB"/>
        </w:rPr>
        <w:t xml:space="preserve"> Nieri, P.</w:t>
      </w:r>
      <w:r w:rsidR="00EE355F" w:rsidRPr="00116AEF">
        <w:rPr>
          <w:rFonts w:cs="Arial"/>
          <w:noProof/>
          <w:color w:val="000000" w:themeColor="text1"/>
          <w:szCs w:val="18"/>
          <w:lang w:val="en-GB"/>
        </w:rPr>
        <w:t>, 2026,</w:t>
      </w:r>
      <w:r w:rsidRPr="00116AEF">
        <w:rPr>
          <w:rFonts w:cs="Arial"/>
          <w:noProof/>
          <w:color w:val="000000" w:themeColor="text1"/>
          <w:szCs w:val="18"/>
          <w:lang w:val="en-GB"/>
        </w:rPr>
        <w:t xml:space="preserve"> Protective Effects on Keratinocytes by Extracts Enriched in Polysaccharides from </w:t>
      </w:r>
      <w:r w:rsidRPr="00116AEF">
        <w:rPr>
          <w:rFonts w:cs="Arial"/>
          <w:i/>
          <w:iCs/>
          <w:noProof/>
          <w:color w:val="000000" w:themeColor="text1"/>
          <w:szCs w:val="18"/>
          <w:lang w:val="en-GB"/>
        </w:rPr>
        <w:t>Limnospira platensis</w:t>
      </w:r>
      <w:r w:rsidRPr="00116AEF">
        <w:rPr>
          <w:rFonts w:cs="Arial"/>
          <w:noProof/>
          <w:color w:val="000000" w:themeColor="text1"/>
          <w:szCs w:val="18"/>
          <w:lang w:val="en-GB"/>
        </w:rPr>
        <w:t> Grown Under Autotrophic and Mixotrophic Conditions. Nutrients 18, 823. </w:t>
      </w:r>
    </w:p>
    <w:p w14:paraId="2ACABE2E" w14:textId="57B70CEA" w:rsidR="000625B3" w:rsidRPr="00116AEF" w:rsidRDefault="000625B3" w:rsidP="009402B5">
      <w:pPr>
        <w:pStyle w:val="CETBodytext"/>
        <w:spacing w:line="276" w:lineRule="auto"/>
        <w:ind w:left="284" w:hanging="284"/>
        <w:rPr>
          <w:rFonts w:cs="Arial"/>
          <w:noProof/>
          <w:color w:val="000000" w:themeColor="text1"/>
          <w:szCs w:val="18"/>
        </w:rPr>
      </w:pPr>
      <w:r w:rsidRPr="00116AEF">
        <w:rPr>
          <w:rFonts w:cs="Arial"/>
          <w:noProof/>
          <w:color w:val="000000" w:themeColor="text1"/>
          <w:szCs w:val="18"/>
          <w:lang w:val="en-GB"/>
        </w:rPr>
        <w:t>Gao, Z</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Gao, K</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Li, L</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Yang, M</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Cheng, P</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Zheng, Q</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Zhang, M</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Ning, R</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Liu, Q</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Ruan, R</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Deng, X.</w:t>
      </w:r>
      <w:r w:rsidR="00EE355F" w:rsidRPr="00116AEF">
        <w:rPr>
          <w:rFonts w:cs="Arial"/>
          <w:noProof/>
          <w:color w:val="000000" w:themeColor="text1"/>
          <w:szCs w:val="18"/>
          <w:lang w:val="en-GB"/>
        </w:rPr>
        <w:t xml:space="preserve">, </w:t>
      </w:r>
      <w:r w:rsidRPr="00116AEF">
        <w:rPr>
          <w:rFonts w:cs="Arial"/>
          <w:noProof/>
          <w:color w:val="000000" w:themeColor="text1"/>
          <w:szCs w:val="18"/>
          <w:lang w:val="en-GB"/>
        </w:rPr>
        <w:t>2023</w:t>
      </w:r>
      <w:r w:rsidR="00EE355F" w:rsidRPr="00116AEF">
        <w:rPr>
          <w:rFonts w:cs="Arial"/>
          <w:noProof/>
          <w:color w:val="000000" w:themeColor="text1"/>
          <w:szCs w:val="18"/>
          <w:lang w:val="en-GB"/>
        </w:rPr>
        <w:t>,</w:t>
      </w:r>
      <w:r w:rsidRPr="00116AEF">
        <w:rPr>
          <w:rFonts w:cs="Arial"/>
          <w:noProof/>
          <w:color w:val="000000" w:themeColor="text1"/>
          <w:szCs w:val="18"/>
          <w:lang w:val="en-GB"/>
        </w:rPr>
        <w:t xml:space="preserve"> Feasibility of growing microalgae on wastewaters collected from a vinegar plant for, concurrently, nutrient removal and biomass production. </w:t>
      </w:r>
      <w:r w:rsidRPr="00116AEF">
        <w:rPr>
          <w:rFonts w:cs="Arial"/>
          <w:noProof/>
          <w:color w:val="000000" w:themeColor="text1"/>
          <w:szCs w:val="18"/>
        </w:rPr>
        <w:t>Algal Research 74</w:t>
      </w:r>
      <w:r w:rsidR="003B5AB1" w:rsidRPr="00116AEF">
        <w:rPr>
          <w:rFonts w:cs="Arial"/>
          <w:noProof/>
          <w:color w:val="000000" w:themeColor="text1"/>
          <w:szCs w:val="18"/>
        </w:rPr>
        <w:t>, 103188.</w:t>
      </w:r>
    </w:p>
    <w:p w14:paraId="37D6B3F6" w14:textId="6E95E8F0" w:rsidR="000625B3" w:rsidRPr="00116AEF" w:rsidRDefault="000625B3" w:rsidP="009402B5">
      <w:pPr>
        <w:pStyle w:val="CETBodytext"/>
        <w:spacing w:line="276" w:lineRule="auto"/>
        <w:ind w:left="284" w:hanging="284"/>
        <w:rPr>
          <w:rFonts w:cs="Arial"/>
          <w:noProof/>
          <w:color w:val="000000" w:themeColor="text1"/>
          <w:szCs w:val="18"/>
        </w:rPr>
      </w:pPr>
      <w:r w:rsidRPr="00116AEF">
        <w:rPr>
          <w:rFonts w:cs="Arial"/>
          <w:noProof/>
          <w:color w:val="000000" w:themeColor="text1"/>
          <w:szCs w:val="18"/>
          <w:lang w:val="en-GB"/>
        </w:rPr>
        <w:t>Huo, S., Kong, M., Zhu, F., Qian, J., Huang, D., Chen, P., Ruan, R.</w:t>
      </w:r>
      <w:r w:rsidR="00EE355F" w:rsidRPr="00116AEF">
        <w:rPr>
          <w:rFonts w:cs="Arial"/>
          <w:noProof/>
          <w:color w:val="000000" w:themeColor="text1"/>
          <w:szCs w:val="18"/>
          <w:lang w:val="en-GB"/>
        </w:rPr>
        <w:t>, 2020,</w:t>
      </w:r>
      <w:r w:rsidRPr="00116AEF">
        <w:rPr>
          <w:rFonts w:cs="Arial"/>
          <w:noProof/>
          <w:color w:val="000000" w:themeColor="text1"/>
          <w:szCs w:val="18"/>
          <w:lang w:val="en-GB"/>
        </w:rPr>
        <w:t xml:space="preserve"> Co-culture of </w:t>
      </w:r>
      <w:r w:rsidRPr="00116AEF">
        <w:rPr>
          <w:rFonts w:cs="Arial"/>
          <w:i/>
          <w:iCs/>
          <w:noProof/>
          <w:color w:val="000000" w:themeColor="text1"/>
          <w:szCs w:val="18"/>
          <w:lang w:val="en-GB"/>
        </w:rPr>
        <w:t>Chlorella</w:t>
      </w:r>
      <w:r w:rsidRPr="00116AEF">
        <w:rPr>
          <w:rFonts w:cs="Arial"/>
          <w:noProof/>
          <w:color w:val="000000" w:themeColor="text1"/>
          <w:szCs w:val="18"/>
          <w:lang w:val="en-GB"/>
        </w:rPr>
        <w:t xml:space="preserve"> and wastewater-borne bacteria in vinegar production wastewater: Enhancement of nutrients removal and influence of algal biomass generation. </w:t>
      </w:r>
      <w:r w:rsidRPr="00116AEF">
        <w:rPr>
          <w:rFonts w:cs="Arial"/>
          <w:noProof/>
          <w:color w:val="000000" w:themeColor="text1"/>
          <w:szCs w:val="18"/>
        </w:rPr>
        <w:t>Algal Research 45</w:t>
      </w:r>
      <w:r w:rsidR="00EE355F" w:rsidRPr="00116AEF">
        <w:rPr>
          <w:rFonts w:cs="Arial"/>
          <w:noProof/>
          <w:color w:val="000000" w:themeColor="text1"/>
          <w:szCs w:val="18"/>
        </w:rPr>
        <w:t>,</w:t>
      </w:r>
      <w:r w:rsidRPr="00116AEF">
        <w:rPr>
          <w:rFonts w:cs="Arial"/>
          <w:noProof/>
          <w:color w:val="000000" w:themeColor="text1"/>
          <w:szCs w:val="18"/>
        </w:rPr>
        <w:t xml:space="preserve"> 101744.</w:t>
      </w:r>
    </w:p>
    <w:p w14:paraId="2B5A1886" w14:textId="09302171" w:rsidR="00175E54" w:rsidRPr="00116AEF" w:rsidRDefault="00175E54" w:rsidP="009402B5">
      <w:pPr>
        <w:pStyle w:val="CETBodytext"/>
        <w:spacing w:line="276" w:lineRule="auto"/>
        <w:ind w:left="284" w:hanging="284"/>
        <w:rPr>
          <w:rFonts w:cs="Arial"/>
          <w:noProof/>
          <w:color w:val="000000" w:themeColor="text1"/>
          <w:szCs w:val="18"/>
          <w:lang w:val="en-GB"/>
        </w:rPr>
      </w:pPr>
      <w:r w:rsidRPr="00116AEF">
        <w:rPr>
          <w:rFonts w:cs="Arial"/>
          <w:noProof/>
          <w:color w:val="000000" w:themeColor="text1"/>
          <w:szCs w:val="18"/>
          <w:lang w:val="en-GB"/>
        </w:rPr>
        <w:t>Kargı, F., Arikan, S.</w:t>
      </w:r>
      <w:r w:rsidR="00EE355F" w:rsidRPr="00116AEF">
        <w:rPr>
          <w:rFonts w:cs="Arial"/>
          <w:noProof/>
          <w:color w:val="000000" w:themeColor="text1"/>
          <w:szCs w:val="18"/>
          <w:lang w:val="en-GB"/>
        </w:rPr>
        <w:t>, 2013,</w:t>
      </w:r>
      <w:r w:rsidRPr="00116AEF">
        <w:rPr>
          <w:rFonts w:cs="Arial"/>
          <w:noProof/>
          <w:color w:val="000000" w:themeColor="text1"/>
          <w:szCs w:val="18"/>
          <w:lang w:val="en-GB"/>
        </w:rPr>
        <w:t xml:space="preserve"> Improved hydrogen gas production in electrohydrolysis of vinegar fermentation wastewater by scrap aluminum and salt addition</w:t>
      </w:r>
      <w:r w:rsidR="00EE355F" w:rsidRPr="00116AEF">
        <w:rPr>
          <w:rFonts w:cs="Arial"/>
          <w:noProof/>
          <w:color w:val="000000" w:themeColor="text1"/>
          <w:szCs w:val="18"/>
          <w:lang w:val="en-GB"/>
        </w:rPr>
        <w:t>.</w:t>
      </w:r>
      <w:r w:rsidRPr="00116AEF">
        <w:rPr>
          <w:rFonts w:cs="Arial"/>
          <w:noProof/>
          <w:color w:val="000000" w:themeColor="text1"/>
          <w:szCs w:val="18"/>
          <w:lang w:val="en-GB"/>
        </w:rPr>
        <w:t> International Journal of Hydrogen Energy 38</w:t>
      </w:r>
      <w:r w:rsidR="00EE355F" w:rsidRPr="00116AEF">
        <w:rPr>
          <w:rFonts w:cs="Arial"/>
          <w:noProof/>
          <w:color w:val="000000" w:themeColor="text1"/>
          <w:szCs w:val="18"/>
          <w:lang w:val="en-GB"/>
        </w:rPr>
        <w:t xml:space="preserve">, </w:t>
      </w:r>
      <w:r w:rsidRPr="00116AEF">
        <w:rPr>
          <w:rFonts w:cs="Arial"/>
          <w:noProof/>
          <w:color w:val="000000" w:themeColor="text1"/>
          <w:szCs w:val="18"/>
          <w:lang w:val="en-GB"/>
        </w:rPr>
        <w:t>4389-4396.</w:t>
      </w:r>
    </w:p>
    <w:p w14:paraId="7C54ED7A" w14:textId="6F09AB6D" w:rsidR="00B5585D" w:rsidRPr="00116AEF" w:rsidRDefault="00B5585D" w:rsidP="009402B5">
      <w:pPr>
        <w:pStyle w:val="CETBodytext"/>
        <w:spacing w:line="276" w:lineRule="auto"/>
        <w:ind w:left="284" w:hanging="284"/>
        <w:rPr>
          <w:rFonts w:cs="Arial"/>
          <w:noProof/>
          <w:color w:val="000000" w:themeColor="text1"/>
          <w:szCs w:val="18"/>
        </w:rPr>
      </w:pPr>
      <w:r w:rsidRPr="00116AEF">
        <w:rPr>
          <w:rFonts w:cs="Arial"/>
          <w:noProof/>
          <w:color w:val="000000" w:themeColor="text1"/>
          <w:szCs w:val="18"/>
          <w:lang w:val="en-GB"/>
        </w:rPr>
        <w:t>Lutzu, G.A.</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Concas, A.</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Damergi, E.</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Chen, L.</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Zhang, W.</w:t>
      </w:r>
      <w:r w:rsidR="00533D93" w:rsidRPr="00116AEF">
        <w:rPr>
          <w:rFonts w:cs="Arial"/>
          <w:noProof/>
          <w:color w:val="000000" w:themeColor="text1"/>
          <w:szCs w:val="18"/>
          <w:lang w:val="en-GB"/>
        </w:rPr>
        <w:t>,</w:t>
      </w:r>
      <w:r w:rsidRPr="00116AEF">
        <w:rPr>
          <w:rFonts w:cs="Arial"/>
          <w:noProof/>
          <w:color w:val="000000" w:themeColor="text1"/>
          <w:szCs w:val="18"/>
          <w:lang w:val="en-GB"/>
        </w:rPr>
        <w:t xml:space="preserve"> Liu, T.</w:t>
      </w:r>
      <w:r w:rsidR="00EE355F" w:rsidRPr="00116AEF">
        <w:rPr>
          <w:rFonts w:cs="Arial"/>
          <w:noProof/>
          <w:color w:val="000000" w:themeColor="text1"/>
          <w:szCs w:val="18"/>
          <w:lang w:val="en-GB"/>
        </w:rPr>
        <w:t>, 2024,</w:t>
      </w:r>
      <w:r w:rsidRPr="00116AEF">
        <w:rPr>
          <w:rFonts w:cs="Arial"/>
          <w:noProof/>
          <w:color w:val="000000" w:themeColor="text1"/>
          <w:szCs w:val="18"/>
          <w:lang w:val="en-GB"/>
        </w:rPr>
        <w:t xml:space="preserve"> Production of Carotenoids and Astaxanthin from </w:t>
      </w:r>
      <w:r w:rsidRPr="00116AEF">
        <w:rPr>
          <w:rFonts w:cs="Arial"/>
          <w:i/>
          <w:iCs/>
          <w:noProof/>
          <w:color w:val="000000" w:themeColor="text1"/>
          <w:szCs w:val="18"/>
          <w:lang w:val="en-GB"/>
        </w:rPr>
        <w:t>Haematococcus pluvialis</w:t>
      </w:r>
      <w:r w:rsidRPr="00116AEF">
        <w:rPr>
          <w:rFonts w:cs="Arial"/>
          <w:noProof/>
          <w:color w:val="000000" w:themeColor="text1"/>
          <w:szCs w:val="18"/>
          <w:lang w:val="en-GB"/>
        </w:rPr>
        <w:t> Cultivated Under Mixotrophy Using Brewery Wastewater: Effect of Light Intensity and Cultivation Time. </w:t>
      </w:r>
      <w:r w:rsidRPr="00116AEF">
        <w:rPr>
          <w:rFonts w:cs="Arial"/>
          <w:noProof/>
          <w:color w:val="000000" w:themeColor="text1"/>
          <w:szCs w:val="18"/>
        </w:rPr>
        <w:t>Appl</w:t>
      </w:r>
      <w:r w:rsidR="00EE355F" w:rsidRPr="00116AEF">
        <w:rPr>
          <w:rFonts w:cs="Arial"/>
          <w:noProof/>
          <w:color w:val="000000" w:themeColor="text1"/>
          <w:szCs w:val="18"/>
        </w:rPr>
        <w:t>ied</w:t>
      </w:r>
      <w:r w:rsidRPr="00116AEF">
        <w:rPr>
          <w:rFonts w:cs="Arial"/>
          <w:noProof/>
          <w:color w:val="000000" w:themeColor="text1"/>
          <w:szCs w:val="18"/>
        </w:rPr>
        <w:t xml:space="preserve"> Sci</w:t>
      </w:r>
      <w:r w:rsidR="00EE355F" w:rsidRPr="00116AEF">
        <w:rPr>
          <w:rFonts w:cs="Arial"/>
          <w:noProof/>
          <w:color w:val="000000" w:themeColor="text1"/>
          <w:szCs w:val="18"/>
        </w:rPr>
        <w:t>ence</w:t>
      </w:r>
      <w:r w:rsidRPr="00116AEF">
        <w:rPr>
          <w:rFonts w:cs="Arial"/>
          <w:noProof/>
          <w:color w:val="000000" w:themeColor="text1"/>
          <w:szCs w:val="18"/>
        </w:rPr>
        <w:t> 14, 9704. </w:t>
      </w:r>
    </w:p>
    <w:p w14:paraId="5F94F458" w14:textId="1ACC6F01" w:rsidR="00533D93" w:rsidRPr="00116AEF" w:rsidRDefault="00533D93" w:rsidP="009402B5">
      <w:pPr>
        <w:pStyle w:val="CETBodytext"/>
        <w:spacing w:line="276" w:lineRule="auto"/>
        <w:ind w:left="284" w:hanging="284"/>
        <w:rPr>
          <w:rFonts w:cs="Arial"/>
          <w:noProof/>
          <w:color w:val="000000" w:themeColor="text1"/>
          <w:szCs w:val="18"/>
        </w:rPr>
      </w:pPr>
      <w:r w:rsidRPr="00116AEF">
        <w:rPr>
          <w:rFonts w:cs="Arial"/>
          <w:noProof/>
          <w:color w:val="000000" w:themeColor="text1"/>
          <w:szCs w:val="18"/>
        </w:rPr>
        <w:t>Miotti T., Pivetti, L., Lolli V., Sansone F., Concas A., Lutzu G.A.</w:t>
      </w:r>
      <w:r w:rsidR="00EE355F" w:rsidRPr="00116AEF">
        <w:rPr>
          <w:rFonts w:cs="Arial"/>
          <w:noProof/>
          <w:color w:val="000000" w:themeColor="text1"/>
          <w:szCs w:val="18"/>
        </w:rPr>
        <w:t xml:space="preserve">, </w:t>
      </w:r>
      <w:r w:rsidRPr="00116AEF">
        <w:rPr>
          <w:rFonts w:cs="Arial"/>
          <w:noProof/>
          <w:color w:val="000000" w:themeColor="text1"/>
          <w:szCs w:val="18"/>
        </w:rPr>
        <w:t>2022</w:t>
      </w:r>
      <w:r w:rsidR="00EE355F" w:rsidRPr="00116AEF">
        <w:rPr>
          <w:rFonts w:cs="Arial"/>
          <w:noProof/>
          <w:color w:val="000000" w:themeColor="text1"/>
          <w:szCs w:val="18"/>
        </w:rPr>
        <w:t>,</w:t>
      </w:r>
      <w:r w:rsidRPr="00116AEF">
        <w:rPr>
          <w:rFonts w:cs="Arial"/>
          <w:noProof/>
          <w:color w:val="000000" w:themeColor="text1"/>
          <w:szCs w:val="18"/>
        </w:rPr>
        <w:t xml:space="preserve"> </w:t>
      </w:r>
      <w:r w:rsidRPr="00116AEF">
        <w:rPr>
          <w:rFonts w:cs="Arial"/>
          <w:noProof/>
          <w:color w:val="000000" w:themeColor="text1"/>
          <w:szCs w:val="18"/>
          <w:lang w:val="en-GB"/>
        </w:rPr>
        <w:t xml:space="preserve">On the Use of Agro-industrial Wastewaters to Promote Mixotrophic Metabolism in </w:t>
      </w:r>
      <w:r w:rsidRPr="00116AEF">
        <w:rPr>
          <w:rFonts w:cs="Arial"/>
          <w:i/>
          <w:iCs/>
          <w:noProof/>
          <w:color w:val="000000" w:themeColor="text1"/>
          <w:szCs w:val="18"/>
          <w:lang w:val="en-GB"/>
        </w:rPr>
        <w:t>Chlorella vulgaris</w:t>
      </w:r>
      <w:r w:rsidRPr="00116AEF">
        <w:rPr>
          <w:rFonts w:cs="Arial"/>
          <w:noProof/>
          <w:color w:val="000000" w:themeColor="text1"/>
          <w:szCs w:val="18"/>
          <w:lang w:val="en-GB"/>
        </w:rPr>
        <w:t xml:space="preserve">: Effect on FAME Profile and Biodiesel Properties. </w:t>
      </w:r>
      <w:r w:rsidRPr="00116AEF">
        <w:rPr>
          <w:rFonts w:cs="Arial"/>
          <w:noProof/>
          <w:color w:val="000000" w:themeColor="text1"/>
          <w:szCs w:val="18"/>
        </w:rPr>
        <w:t>Chemical Engineering Transactions</w:t>
      </w:r>
      <w:r w:rsidR="00EE355F" w:rsidRPr="00116AEF">
        <w:rPr>
          <w:rFonts w:cs="Arial"/>
          <w:noProof/>
          <w:color w:val="000000" w:themeColor="text1"/>
          <w:szCs w:val="18"/>
        </w:rPr>
        <w:t xml:space="preserve"> </w:t>
      </w:r>
      <w:r w:rsidRPr="00116AEF">
        <w:rPr>
          <w:rFonts w:cs="Arial"/>
          <w:noProof/>
          <w:color w:val="000000" w:themeColor="text1"/>
          <w:szCs w:val="18"/>
        </w:rPr>
        <w:t>99</w:t>
      </w:r>
      <w:r w:rsidR="00EE355F" w:rsidRPr="00116AEF">
        <w:rPr>
          <w:rFonts w:cs="Arial"/>
          <w:noProof/>
          <w:color w:val="000000" w:themeColor="text1"/>
          <w:szCs w:val="18"/>
        </w:rPr>
        <w:t xml:space="preserve">, </w:t>
      </w:r>
      <w:r w:rsidRPr="00116AEF">
        <w:rPr>
          <w:rFonts w:cs="Arial"/>
          <w:noProof/>
          <w:color w:val="000000" w:themeColor="text1"/>
          <w:szCs w:val="18"/>
        </w:rPr>
        <w:t>55-60.</w:t>
      </w:r>
    </w:p>
    <w:p w14:paraId="69B2AE69" w14:textId="20B70A67" w:rsidR="0055318D" w:rsidRPr="00116AEF" w:rsidRDefault="0055318D" w:rsidP="009402B5">
      <w:pPr>
        <w:pStyle w:val="CETBodytext"/>
        <w:spacing w:line="276" w:lineRule="auto"/>
        <w:ind w:left="284" w:hanging="284"/>
        <w:rPr>
          <w:rFonts w:cs="Arial"/>
          <w:noProof/>
          <w:color w:val="000000" w:themeColor="text1"/>
          <w:szCs w:val="18"/>
        </w:rPr>
      </w:pPr>
      <w:r w:rsidRPr="00116AEF">
        <w:rPr>
          <w:rFonts w:cs="Arial"/>
          <w:noProof/>
          <w:color w:val="000000" w:themeColor="text1"/>
          <w:szCs w:val="18"/>
        </w:rPr>
        <w:t>Russo, N.P.</w:t>
      </w:r>
      <w:r w:rsidR="003B5AB1" w:rsidRPr="00116AEF">
        <w:rPr>
          <w:rFonts w:cs="Arial"/>
          <w:noProof/>
          <w:color w:val="000000" w:themeColor="text1"/>
          <w:szCs w:val="18"/>
        </w:rPr>
        <w:t>,</w:t>
      </w:r>
      <w:r w:rsidRPr="00116AEF">
        <w:rPr>
          <w:rFonts w:cs="Arial"/>
          <w:noProof/>
          <w:color w:val="000000" w:themeColor="text1"/>
          <w:szCs w:val="18"/>
        </w:rPr>
        <w:t xml:space="preserve"> Ballotta, M.</w:t>
      </w:r>
      <w:r w:rsidR="003B5AB1" w:rsidRPr="00116AEF">
        <w:rPr>
          <w:rFonts w:cs="Arial"/>
          <w:noProof/>
          <w:color w:val="000000" w:themeColor="text1"/>
          <w:szCs w:val="18"/>
        </w:rPr>
        <w:t>,</w:t>
      </w:r>
      <w:r w:rsidRPr="00116AEF">
        <w:rPr>
          <w:rFonts w:cs="Arial"/>
          <w:noProof/>
          <w:color w:val="000000" w:themeColor="text1"/>
          <w:szCs w:val="18"/>
        </w:rPr>
        <w:t xml:space="preserve"> Usai, L.</w:t>
      </w:r>
      <w:r w:rsidR="003B5AB1" w:rsidRPr="00116AEF">
        <w:rPr>
          <w:rFonts w:cs="Arial"/>
          <w:noProof/>
          <w:color w:val="000000" w:themeColor="text1"/>
          <w:szCs w:val="18"/>
        </w:rPr>
        <w:t>,</w:t>
      </w:r>
      <w:r w:rsidRPr="00116AEF">
        <w:rPr>
          <w:rFonts w:cs="Arial"/>
          <w:noProof/>
          <w:color w:val="000000" w:themeColor="text1"/>
          <w:szCs w:val="18"/>
        </w:rPr>
        <w:t xml:space="preserve"> Torre, S.</w:t>
      </w:r>
      <w:r w:rsidR="003B5AB1" w:rsidRPr="00116AEF">
        <w:rPr>
          <w:rFonts w:cs="Arial"/>
          <w:noProof/>
          <w:color w:val="000000" w:themeColor="text1"/>
          <w:szCs w:val="18"/>
        </w:rPr>
        <w:t>,</w:t>
      </w:r>
      <w:r w:rsidRPr="00116AEF">
        <w:rPr>
          <w:rFonts w:cs="Arial"/>
          <w:noProof/>
          <w:color w:val="000000" w:themeColor="text1"/>
          <w:szCs w:val="18"/>
        </w:rPr>
        <w:t xml:space="preserve"> Giordano, M.</w:t>
      </w:r>
      <w:r w:rsidR="003B5AB1" w:rsidRPr="00116AEF">
        <w:rPr>
          <w:rFonts w:cs="Arial"/>
          <w:noProof/>
          <w:color w:val="000000" w:themeColor="text1"/>
          <w:szCs w:val="18"/>
        </w:rPr>
        <w:t>,</w:t>
      </w:r>
      <w:r w:rsidRPr="00116AEF">
        <w:rPr>
          <w:rFonts w:cs="Arial"/>
          <w:noProof/>
          <w:color w:val="000000" w:themeColor="text1"/>
          <w:szCs w:val="18"/>
        </w:rPr>
        <w:t xml:space="preserve"> Fais, G.</w:t>
      </w:r>
      <w:r w:rsidR="003B5AB1" w:rsidRPr="00116AEF">
        <w:rPr>
          <w:rFonts w:cs="Arial"/>
          <w:noProof/>
          <w:color w:val="000000" w:themeColor="text1"/>
          <w:szCs w:val="18"/>
        </w:rPr>
        <w:t>,</w:t>
      </w:r>
      <w:r w:rsidRPr="00116AEF">
        <w:rPr>
          <w:rFonts w:cs="Arial"/>
          <w:noProof/>
          <w:color w:val="000000" w:themeColor="text1"/>
          <w:szCs w:val="18"/>
        </w:rPr>
        <w:t xml:space="preserve"> Casula, M.</w:t>
      </w:r>
      <w:r w:rsidR="003B5AB1" w:rsidRPr="00116AEF">
        <w:rPr>
          <w:rFonts w:cs="Arial"/>
          <w:noProof/>
          <w:color w:val="000000" w:themeColor="text1"/>
          <w:szCs w:val="18"/>
        </w:rPr>
        <w:t>,</w:t>
      </w:r>
      <w:r w:rsidRPr="00116AEF">
        <w:rPr>
          <w:rFonts w:cs="Arial"/>
          <w:noProof/>
          <w:color w:val="000000" w:themeColor="text1"/>
          <w:szCs w:val="18"/>
        </w:rPr>
        <w:t xml:space="preserve"> Dessì, D.</w:t>
      </w:r>
      <w:r w:rsidR="003B5AB1" w:rsidRPr="00116AEF">
        <w:rPr>
          <w:rFonts w:cs="Arial"/>
          <w:noProof/>
          <w:color w:val="000000" w:themeColor="text1"/>
          <w:szCs w:val="18"/>
        </w:rPr>
        <w:t>,</w:t>
      </w:r>
      <w:r w:rsidRPr="00116AEF">
        <w:rPr>
          <w:rFonts w:cs="Arial"/>
          <w:noProof/>
          <w:color w:val="000000" w:themeColor="text1"/>
          <w:szCs w:val="18"/>
        </w:rPr>
        <w:t xml:space="preserve"> Nieri, P.</w:t>
      </w:r>
      <w:r w:rsidR="003B5AB1" w:rsidRPr="00116AEF">
        <w:rPr>
          <w:rFonts w:cs="Arial"/>
          <w:noProof/>
          <w:color w:val="000000" w:themeColor="text1"/>
          <w:szCs w:val="18"/>
        </w:rPr>
        <w:t>,</w:t>
      </w:r>
      <w:r w:rsidRPr="00116AEF">
        <w:rPr>
          <w:rFonts w:cs="Arial"/>
          <w:noProof/>
          <w:color w:val="000000" w:themeColor="text1"/>
          <w:szCs w:val="18"/>
        </w:rPr>
        <w:t xml:space="preserve"> Damergi, E.</w:t>
      </w:r>
      <w:r w:rsidR="003B5AB1" w:rsidRPr="00116AEF">
        <w:rPr>
          <w:rFonts w:cs="Arial"/>
          <w:noProof/>
          <w:color w:val="000000" w:themeColor="text1"/>
          <w:szCs w:val="18"/>
        </w:rPr>
        <w:t>,</w:t>
      </w:r>
      <w:r w:rsidRPr="00116AEF">
        <w:rPr>
          <w:rFonts w:cs="Arial"/>
          <w:noProof/>
          <w:color w:val="000000" w:themeColor="text1"/>
          <w:szCs w:val="18"/>
        </w:rPr>
        <w:t xml:space="preserve"> </w:t>
      </w:r>
      <w:r w:rsidR="00A443EF" w:rsidRPr="00116AEF">
        <w:rPr>
          <w:rFonts w:cs="Arial"/>
          <w:noProof/>
          <w:color w:val="000000" w:themeColor="text1"/>
          <w:szCs w:val="18"/>
        </w:rPr>
        <w:t xml:space="preserve">Lutzu G.A., Concas A., </w:t>
      </w:r>
      <w:r w:rsidR="003B5AB1" w:rsidRPr="00116AEF">
        <w:rPr>
          <w:rFonts w:cs="Arial"/>
          <w:noProof/>
          <w:color w:val="000000" w:themeColor="text1"/>
          <w:szCs w:val="18"/>
        </w:rPr>
        <w:t>2024,</w:t>
      </w:r>
      <w:r w:rsidRPr="00116AEF">
        <w:rPr>
          <w:rFonts w:cs="Arial"/>
          <w:noProof/>
          <w:color w:val="000000" w:themeColor="text1"/>
          <w:szCs w:val="18"/>
        </w:rPr>
        <w:t xml:space="preserve"> Mixotrophic Cultivation of </w:t>
      </w:r>
      <w:r w:rsidRPr="00116AEF">
        <w:rPr>
          <w:rFonts w:cs="Arial"/>
          <w:i/>
          <w:iCs/>
          <w:noProof/>
          <w:color w:val="000000" w:themeColor="text1"/>
          <w:szCs w:val="18"/>
        </w:rPr>
        <w:t>Arthrospira platensis</w:t>
      </w:r>
      <w:r w:rsidRPr="00116AEF">
        <w:rPr>
          <w:rFonts w:cs="Arial"/>
          <w:noProof/>
          <w:color w:val="000000" w:themeColor="text1"/>
          <w:szCs w:val="18"/>
        </w:rPr>
        <w:t> (Spirulina) under Salt Stress: Effect on Biomass Composition, FAME Profile and Phycocyanin Content. Mar</w:t>
      </w:r>
      <w:r w:rsidR="003B5AB1" w:rsidRPr="00116AEF">
        <w:rPr>
          <w:rFonts w:cs="Arial"/>
          <w:noProof/>
          <w:color w:val="000000" w:themeColor="text1"/>
          <w:szCs w:val="18"/>
        </w:rPr>
        <w:t>ine</w:t>
      </w:r>
      <w:r w:rsidRPr="00116AEF">
        <w:rPr>
          <w:rFonts w:cs="Arial"/>
          <w:noProof/>
          <w:color w:val="000000" w:themeColor="text1"/>
          <w:szCs w:val="18"/>
        </w:rPr>
        <w:t xml:space="preserve"> Drugs 22, 381.</w:t>
      </w:r>
    </w:p>
    <w:p w14:paraId="64036F1C" w14:textId="54335501" w:rsidR="00247E74" w:rsidRPr="00116AEF" w:rsidRDefault="00247E74" w:rsidP="009402B5">
      <w:pPr>
        <w:pStyle w:val="CETBodytext"/>
        <w:spacing w:line="276" w:lineRule="auto"/>
        <w:ind w:left="284" w:hanging="284"/>
        <w:rPr>
          <w:rFonts w:cs="Arial"/>
          <w:noProof/>
          <w:color w:val="000000" w:themeColor="text1"/>
          <w:szCs w:val="18"/>
        </w:rPr>
      </w:pPr>
      <w:r w:rsidRPr="00116AEF">
        <w:rPr>
          <w:rFonts w:cs="Arial"/>
          <w:noProof/>
          <w:color w:val="000000" w:themeColor="text1"/>
          <w:szCs w:val="18"/>
          <w:lang w:val="en-GB"/>
        </w:rPr>
        <w:t>Setyoningrum, T</w:t>
      </w:r>
      <w:r w:rsidR="003B5AB1" w:rsidRPr="00116AEF">
        <w:rPr>
          <w:rFonts w:cs="Arial"/>
          <w:noProof/>
          <w:color w:val="000000" w:themeColor="text1"/>
          <w:szCs w:val="18"/>
          <w:lang w:val="en-GB"/>
        </w:rPr>
        <w:t>.</w:t>
      </w:r>
      <w:r w:rsidRPr="00116AEF">
        <w:rPr>
          <w:rFonts w:cs="Arial"/>
          <w:noProof/>
          <w:color w:val="000000" w:themeColor="text1"/>
          <w:szCs w:val="18"/>
          <w:lang w:val="en-GB"/>
        </w:rPr>
        <w:t>M</w:t>
      </w:r>
      <w:r w:rsidR="003B5AB1" w:rsidRPr="00116AEF">
        <w:rPr>
          <w:rFonts w:cs="Arial"/>
          <w:noProof/>
          <w:color w:val="000000" w:themeColor="text1"/>
          <w:szCs w:val="18"/>
          <w:lang w:val="en-GB"/>
        </w:rPr>
        <w:t>.,</w:t>
      </w:r>
      <w:r w:rsidRPr="00116AEF">
        <w:rPr>
          <w:rFonts w:cs="Arial"/>
          <w:noProof/>
          <w:color w:val="000000" w:themeColor="text1"/>
          <w:szCs w:val="18"/>
          <w:lang w:val="en-GB"/>
        </w:rPr>
        <w:t xml:space="preserve"> Azimatun Nur</w:t>
      </w:r>
      <w:r w:rsidR="003B5AB1" w:rsidRPr="00116AEF">
        <w:rPr>
          <w:rFonts w:cs="Arial"/>
          <w:noProof/>
          <w:color w:val="000000" w:themeColor="text1"/>
          <w:szCs w:val="18"/>
          <w:lang w:val="en-GB"/>
        </w:rPr>
        <w:t>, M.M.,</w:t>
      </w:r>
      <w:r w:rsidRPr="00116AEF">
        <w:rPr>
          <w:rFonts w:cs="Arial"/>
          <w:noProof/>
          <w:color w:val="000000" w:themeColor="text1"/>
          <w:szCs w:val="18"/>
          <w:lang w:val="en-GB"/>
        </w:rPr>
        <w:t xml:space="preserve"> </w:t>
      </w:r>
      <w:r w:rsidR="003B5AB1" w:rsidRPr="00116AEF">
        <w:rPr>
          <w:rFonts w:cs="Arial"/>
          <w:noProof/>
          <w:color w:val="000000" w:themeColor="text1"/>
          <w:szCs w:val="18"/>
          <w:lang w:val="en-GB"/>
        </w:rPr>
        <w:t xml:space="preserve">2015, </w:t>
      </w:r>
      <w:r w:rsidRPr="00116AEF">
        <w:rPr>
          <w:rFonts w:cs="Arial"/>
          <w:noProof/>
          <w:color w:val="000000" w:themeColor="text1"/>
          <w:szCs w:val="18"/>
          <w:lang w:val="en-GB"/>
        </w:rPr>
        <w:t xml:space="preserve">Optimization of C-phycocyanin production from </w:t>
      </w:r>
      <w:r w:rsidRPr="00116AEF">
        <w:rPr>
          <w:rFonts w:cs="Arial"/>
          <w:i/>
          <w:iCs/>
          <w:noProof/>
          <w:color w:val="000000" w:themeColor="text1"/>
          <w:szCs w:val="18"/>
          <w:lang w:val="en-GB"/>
        </w:rPr>
        <w:t>S. platensis</w:t>
      </w:r>
      <w:r w:rsidRPr="00116AEF">
        <w:rPr>
          <w:rFonts w:cs="Arial"/>
          <w:noProof/>
          <w:color w:val="000000" w:themeColor="text1"/>
          <w:szCs w:val="18"/>
          <w:lang w:val="en-GB"/>
        </w:rPr>
        <w:t xml:space="preserve"> cultivated on mixotrophic condition by using response surface methodology</w:t>
      </w:r>
      <w:r w:rsidR="003B5AB1" w:rsidRPr="00116AEF">
        <w:rPr>
          <w:rFonts w:cs="Arial"/>
          <w:noProof/>
          <w:color w:val="000000" w:themeColor="text1"/>
          <w:szCs w:val="18"/>
          <w:lang w:val="en-GB"/>
        </w:rPr>
        <w:t>.</w:t>
      </w:r>
      <w:r w:rsidRPr="00116AEF">
        <w:rPr>
          <w:rFonts w:cs="Arial"/>
          <w:noProof/>
          <w:color w:val="000000" w:themeColor="text1"/>
          <w:szCs w:val="18"/>
          <w:lang w:val="en-GB"/>
        </w:rPr>
        <w:t xml:space="preserve"> Biocatalysis and </w:t>
      </w:r>
      <w:r w:rsidR="003B5AB1" w:rsidRPr="00116AEF">
        <w:rPr>
          <w:rFonts w:cs="Arial"/>
          <w:noProof/>
          <w:color w:val="000000" w:themeColor="text1"/>
          <w:szCs w:val="18"/>
          <w:lang w:val="en-GB"/>
        </w:rPr>
        <w:t>A</w:t>
      </w:r>
      <w:r w:rsidRPr="00116AEF">
        <w:rPr>
          <w:rFonts w:cs="Arial"/>
          <w:noProof/>
          <w:color w:val="000000" w:themeColor="text1"/>
          <w:szCs w:val="18"/>
          <w:lang w:val="en-GB"/>
        </w:rPr>
        <w:t xml:space="preserve">gricultural </w:t>
      </w:r>
      <w:r w:rsidR="003B5AB1" w:rsidRPr="00116AEF">
        <w:rPr>
          <w:rFonts w:cs="Arial"/>
          <w:noProof/>
          <w:color w:val="000000" w:themeColor="text1"/>
          <w:szCs w:val="18"/>
          <w:lang w:val="en-GB"/>
        </w:rPr>
        <w:t>B</w:t>
      </w:r>
      <w:r w:rsidRPr="00116AEF">
        <w:rPr>
          <w:rFonts w:cs="Arial"/>
          <w:noProof/>
          <w:color w:val="000000" w:themeColor="text1"/>
          <w:szCs w:val="18"/>
          <w:lang w:val="en-GB"/>
        </w:rPr>
        <w:t>iotechnology 4</w:t>
      </w:r>
      <w:r w:rsidR="003B5AB1" w:rsidRPr="00116AEF">
        <w:rPr>
          <w:rFonts w:cs="Arial"/>
          <w:noProof/>
          <w:color w:val="000000" w:themeColor="text1"/>
          <w:szCs w:val="18"/>
          <w:lang w:val="en-GB"/>
        </w:rPr>
        <w:t xml:space="preserve">, </w:t>
      </w:r>
      <w:r w:rsidRPr="00116AEF">
        <w:rPr>
          <w:rFonts w:cs="Arial"/>
          <w:noProof/>
          <w:color w:val="000000" w:themeColor="text1"/>
          <w:szCs w:val="18"/>
          <w:lang w:val="en-GB"/>
        </w:rPr>
        <w:t>603-607.</w:t>
      </w:r>
      <w:r w:rsidRPr="00116AEF">
        <w:rPr>
          <w:rFonts w:cs="Arial"/>
          <w:noProof/>
          <w:color w:val="000000" w:themeColor="text1"/>
          <w:szCs w:val="18"/>
        </w:rPr>
        <w:t xml:space="preserve"> </w:t>
      </w:r>
    </w:p>
    <w:p w14:paraId="649EE4F3" w14:textId="2FD622FE" w:rsidR="000625B3" w:rsidRPr="00116AEF" w:rsidRDefault="000625B3" w:rsidP="009402B5">
      <w:pPr>
        <w:pStyle w:val="CETBodytext"/>
        <w:spacing w:line="276" w:lineRule="auto"/>
        <w:ind w:left="284" w:hanging="284"/>
        <w:rPr>
          <w:rFonts w:cs="Arial"/>
          <w:noProof/>
          <w:color w:val="000000" w:themeColor="text1"/>
          <w:szCs w:val="18"/>
          <w:lang w:val="en-GB"/>
        </w:rPr>
      </w:pPr>
      <w:r w:rsidRPr="00116AEF">
        <w:rPr>
          <w:rFonts w:cs="Arial"/>
          <w:noProof/>
          <w:color w:val="000000" w:themeColor="text1"/>
          <w:szCs w:val="18"/>
        </w:rPr>
        <w:t>Seval Y</w:t>
      </w:r>
      <w:r w:rsidR="00533D93" w:rsidRPr="00116AEF">
        <w:rPr>
          <w:rFonts w:cs="Arial"/>
          <w:noProof/>
          <w:color w:val="000000" w:themeColor="text1"/>
          <w:szCs w:val="18"/>
        </w:rPr>
        <w:t>.</w:t>
      </w:r>
      <w:r w:rsidRPr="00116AEF">
        <w:rPr>
          <w:rFonts w:cs="Arial"/>
          <w:noProof/>
          <w:color w:val="000000" w:themeColor="text1"/>
          <w:szCs w:val="18"/>
        </w:rPr>
        <w:t>, Emine E</w:t>
      </w:r>
      <w:r w:rsidR="00533D93" w:rsidRPr="00116AEF">
        <w:rPr>
          <w:rFonts w:cs="Arial"/>
          <w:noProof/>
          <w:color w:val="000000" w:themeColor="text1"/>
          <w:szCs w:val="18"/>
        </w:rPr>
        <w:t>.</w:t>
      </w:r>
      <w:r w:rsidRPr="00116AEF">
        <w:rPr>
          <w:rFonts w:cs="Arial"/>
          <w:noProof/>
          <w:color w:val="000000" w:themeColor="text1"/>
          <w:szCs w:val="18"/>
        </w:rPr>
        <w:t>G</w:t>
      </w:r>
      <w:r w:rsidR="00533D93" w:rsidRPr="00116AEF">
        <w:rPr>
          <w:rFonts w:cs="Arial"/>
          <w:noProof/>
          <w:color w:val="000000" w:themeColor="text1"/>
          <w:szCs w:val="18"/>
        </w:rPr>
        <w:t>.</w:t>
      </w:r>
      <w:r w:rsidRPr="00116AEF">
        <w:rPr>
          <w:rFonts w:cs="Arial"/>
          <w:noProof/>
          <w:color w:val="000000" w:themeColor="text1"/>
          <w:szCs w:val="18"/>
        </w:rPr>
        <w:t>, Yusuf Y</w:t>
      </w:r>
      <w:r w:rsidR="00533D93" w:rsidRPr="00116AEF">
        <w:rPr>
          <w:rFonts w:cs="Arial"/>
          <w:noProof/>
          <w:color w:val="000000" w:themeColor="text1"/>
          <w:szCs w:val="18"/>
        </w:rPr>
        <w:t>.</w:t>
      </w:r>
      <w:r w:rsidRPr="00116AEF">
        <w:rPr>
          <w:rFonts w:cs="Arial"/>
          <w:noProof/>
          <w:color w:val="000000" w:themeColor="text1"/>
          <w:szCs w:val="18"/>
        </w:rPr>
        <w:t>, Koparal</w:t>
      </w:r>
      <w:r w:rsidR="003B5AB1" w:rsidRPr="00116AEF">
        <w:rPr>
          <w:rFonts w:cs="Arial"/>
          <w:noProof/>
          <w:color w:val="000000" w:themeColor="text1"/>
          <w:szCs w:val="18"/>
        </w:rPr>
        <w:t>, A.S., 2018,</w:t>
      </w:r>
      <w:r w:rsidRPr="00116AEF">
        <w:rPr>
          <w:rFonts w:cs="Arial"/>
          <w:noProof/>
          <w:color w:val="000000" w:themeColor="text1"/>
          <w:szCs w:val="18"/>
        </w:rPr>
        <w:t xml:space="preserve"> </w:t>
      </w:r>
      <w:r w:rsidRPr="00116AEF">
        <w:rPr>
          <w:rFonts w:cs="Arial"/>
          <w:noProof/>
          <w:color w:val="000000" w:themeColor="text1"/>
          <w:szCs w:val="18"/>
          <w:lang w:val="en-GB"/>
        </w:rPr>
        <w:t>Treatment of vinegar industry wastewater by electrocoagulation with monopolar aluminum and iron electrodes and toxicity evaluation. Water Sci Technolology 78(12)</w:t>
      </w:r>
      <w:r w:rsidR="003B5AB1" w:rsidRPr="00116AEF">
        <w:rPr>
          <w:rFonts w:cs="Arial"/>
          <w:noProof/>
          <w:color w:val="000000" w:themeColor="text1"/>
          <w:szCs w:val="18"/>
          <w:lang w:val="en-GB"/>
        </w:rPr>
        <w:t xml:space="preserve">, </w:t>
      </w:r>
      <w:r w:rsidRPr="00116AEF">
        <w:rPr>
          <w:rFonts w:cs="Arial"/>
          <w:noProof/>
          <w:color w:val="000000" w:themeColor="text1"/>
          <w:szCs w:val="18"/>
          <w:lang w:val="en-GB"/>
        </w:rPr>
        <w:t>2542–2552.</w:t>
      </w:r>
    </w:p>
    <w:p w14:paraId="7DFE420A" w14:textId="03D6BE5A" w:rsidR="000625B3" w:rsidRPr="00116AEF" w:rsidRDefault="000625B3" w:rsidP="009402B5">
      <w:pPr>
        <w:pStyle w:val="CETBodytext"/>
        <w:spacing w:line="276" w:lineRule="auto"/>
        <w:ind w:left="284" w:hanging="284"/>
        <w:rPr>
          <w:rFonts w:cs="Arial"/>
          <w:noProof/>
          <w:color w:val="000000" w:themeColor="text1"/>
          <w:szCs w:val="18"/>
        </w:rPr>
      </w:pPr>
      <w:r w:rsidRPr="00116AEF">
        <w:rPr>
          <w:rFonts w:cs="Arial"/>
          <w:noProof/>
          <w:color w:val="000000" w:themeColor="text1"/>
          <w:szCs w:val="18"/>
          <w:lang w:val="en-GB"/>
        </w:rPr>
        <w:t>Sousa, A.C., Dias, C., Martins, A.R. </w:t>
      </w:r>
      <w:r w:rsidR="00265DF2" w:rsidRPr="00116AEF">
        <w:rPr>
          <w:rFonts w:cs="Arial"/>
          <w:noProof/>
          <w:color w:val="000000" w:themeColor="text1"/>
          <w:szCs w:val="18"/>
          <w:lang w:val="en-GB"/>
        </w:rPr>
        <w:t>Gomes, A.G., Santos C.A</w:t>
      </w:r>
      <w:r w:rsidRPr="00116AEF">
        <w:rPr>
          <w:rFonts w:cs="Arial"/>
          <w:noProof/>
          <w:color w:val="000000" w:themeColor="text1"/>
          <w:szCs w:val="18"/>
          <w:lang w:val="en-GB"/>
        </w:rPr>
        <w:t>.</w:t>
      </w:r>
      <w:r w:rsidR="003B5AB1" w:rsidRPr="00116AEF">
        <w:rPr>
          <w:rFonts w:cs="Arial"/>
          <w:noProof/>
          <w:color w:val="000000" w:themeColor="text1"/>
          <w:szCs w:val="18"/>
          <w:lang w:val="en-GB"/>
        </w:rPr>
        <w:t>, 2025,</w:t>
      </w:r>
      <w:r w:rsidRPr="00116AEF">
        <w:rPr>
          <w:rFonts w:cs="Arial"/>
          <w:noProof/>
          <w:color w:val="000000" w:themeColor="text1"/>
          <w:szCs w:val="18"/>
          <w:lang w:val="en-GB"/>
        </w:rPr>
        <w:t> Using winery effluents for cultivating microalgae as bio-additives for vineyards. </w:t>
      </w:r>
      <w:r w:rsidRPr="00116AEF">
        <w:rPr>
          <w:rFonts w:cs="Arial"/>
          <w:noProof/>
          <w:color w:val="000000" w:themeColor="text1"/>
          <w:szCs w:val="18"/>
        </w:rPr>
        <w:t>J</w:t>
      </w:r>
      <w:r w:rsidR="003B5AB1" w:rsidRPr="00116AEF">
        <w:rPr>
          <w:rFonts w:cs="Arial"/>
          <w:noProof/>
          <w:color w:val="000000" w:themeColor="text1"/>
          <w:szCs w:val="18"/>
        </w:rPr>
        <w:t>ournal of</w:t>
      </w:r>
      <w:r w:rsidRPr="00116AEF">
        <w:rPr>
          <w:rFonts w:cs="Arial"/>
          <w:noProof/>
          <w:color w:val="000000" w:themeColor="text1"/>
          <w:szCs w:val="18"/>
        </w:rPr>
        <w:t xml:space="preserve"> Appl</w:t>
      </w:r>
      <w:r w:rsidR="003B5AB1" w:rsidRPr="00116AEF">
        <w:rPr>
          <w:rFonts w:cs="Arial"/>
          <w:noProof/>
          <w:color w:val="000000" w:themeColor="text1"/>
          <w:szCs w:val="18"/>
        </w:rPr>
        <w:t>ied</w:t>
      </w:r>
      <w:r w:rsidRPr="00116AEF">
        <w:rPr>
          <w:rFonts w:cs="Arial"/>
          <w:noProof/>
          <w:color w:val="000000" w:themeColor="text1"/>
          <w:szCs w:val="18"/>
        </w:rPr>
        <w:t xml:space="preserve"> Phycol</w:t>
      </w:r>
      <w:r w:rsidR="003B5AB1" w:rsidRPr="00116AEF">
        <w:rPr>
          <w:rFonts w:cs="Arial"/>
          <w:noProof/>
          <w:color w:val="000000" w:themeColor="text1"/>
          <w:szCs w:val="18"/>
        </w:rPr>
        <w:t>ogy</w:t>
      </w:r>
      <w:r w:rsidRPr="00116AEF">
        <w:rPr>
          <w:rFonts w:cs="Arial"/>
          <w:noProof/>
          <w:color w:val="000000" w:themeColor="text1"/>
          <w:szCs w:val="18"/>
        </w:rPr>
        <w:t> 37, 1619–1632.</w:t>
      </w:r>
    </w:p>
    <w:p w14:paraId="5ABB48E4" w14:textId="5A59FFF8" w:rsidR="00DA1906" w:rsidRPr="00116AEF" w:rsidRDefault="00DA1906" w:rsidP="009402B5">
      <w:pPr>
        <w:pStyle w:val="CETBodytext"/>
        <w:spacing w:line="276" w:lineRule="auto"/>
        <w:ind w:left="284" w:hanging="284"/>
        <w:rPr>
          <w:rFonts w:cs="Arial"/>
          <w:noProof/>
          <w:color w:val="000000" w:themeColor="text1"/>
          <w:szCs w:val="18"/>
          <w:lang w:val="en-GB"/>
        </w:rPr>
      </w:pPr>
      <w:r w:rsidRPr="00116AEF">
        <w:rPr>
          <w:rFonts w:cs="Arial"/>
          <w:noProof/>
          <w:color w:val="000000" w:themeColor="text1"/>
          <w:szCs w:val="18"/>
        </w:rPr>
        <w:t>Rizzoli M</w:t>
      </w:r>
      <w:r w:rsidR="00533D93" w:rsidRPr="00116AEF">
        <w:rPr>
          <w:rFonts w:cs="Arial"/>
          <w:noProof/>
          <w:color w:val="000000" w:themeColor="text1"/>
          <w:szCs w:val="18"/>
        </w:rPr>
        <w:t>.</w:t>
      </w:r>
      <w:r w:rsidRPr="00116AEF">
        <w:rPr>
          <w:rFonts w:cs="Arial"/>
          <w:noProof/>
          <w:color w:val="000000" w:themeColor="text1"/>
          <w:szCs w:val="18"/>
        </w:rPr>
        <w:t>, Usai L</w:t>
      </w:r>
      <w:r w:rsidR="00533D93" w:rsidRPr="00116AEF">
        <w:rPr>
          <w:rFonts w:cs="Arial"/>
          <w:noProof/>
          <w:color w:val="000000" w:themeColor="text1"/>
          <w:szCs w:val="18"/>
        </w:rPr>
        <w:t>.</w:t>
      </w:r>
      <w:r w:rsidRPr="00116AEF">
        <w:rPr>
          <w:rFonts w:cs="Arial"/>
          <w:noProof/>
          <w:color w:val="000000" w:themeColor="text1"/>
          <w:szCs w:val="18"/>
        </w:rPr>
        <w:t>, Fais G</w:t>
      </w:r>
      <w:r w:rsidR="00533D93" w:rsidRPr="00116AEF">
        <w:rPr>
          <w:rFonts w:cs="Arial"/>
          <w:noProof/>
          <w:color w:val="000000" w:themeColor="text1"/>
          <w:szCs w:val="18"/>
        </w:rPr>
        <w:t>.</w:t>
      </w:r>
      <w:r w:rsidRPr="00116AEF">
        <w:rPr>
          <w:rFonts w:cs="Arial"/>
          <w:noProof/>
          <w:color w:val="000000" w:themeColor="text1"/>
          <w:szCs w:val="18"/>
        </w:rPr>
        <w:t>, Dessi D</w:t>
      </w:r>
      <w:r w:rsidR="00533D93" w:rsidRPr="00116AEF">
        <w:rPr>
          <w:rFonts w:cs="Arial"/>
          <w:noProof/>
          <w:color w:val="000000" w:themeColor="text1"/>
          <w:szCs w:val="18"/>
        </w:rPr>
        <w:t>.</w:t>
      </w:r>
      <w:r w:rsidRPr="00116AEF">
        <w:rPr>
          <w:rFonts w:cs="Arial"/>
          <w:noProof/>
          <w:color w:val="000000" w:themeColor="text1"/>
          <w:szCs w:val="18"/>
        </w:rPr>
        <w:t>, Soto-Ramirez R</w:t>
      </w:r>
      <w:r w:rsidR="00533D93" w:rsidRPr="00116AEF">
        <w:rPr>
          <w:rFonts w:cs="Arial"/>
          <w:noProof/>
          <w:color w:val="000000" w:themeColor="text1"/>
          <w:szCs w:val="18"/>
        </w:rPr>
        <w:t>.</w:t>
      </w:r>
      <w:r w:rsidRPr="00116AEF">
        <w:rPr>
          <w:rFonts w:cs="Arial"/>
          <w:noProof/>
          <w:color w:val="000000" w:themeColor="text1"/>
          <w:szCs w:val="18"/>
        </w:rPr>
        <w:t>, Cosenza B</w:t>
      </w:r>
      <w:r w:rsidR="00533D93" w:rsidRPr="00116AEF">
        <w:rPr>
          <w:rFonts w:cs="Arial"/>
          <w:noProof/>
          <w:color w:val="000000" w:themeColor="text1"/>
          <w:szCs w:val="18"/>
        </w:rPr>
        <w:t>.</w:t>
      </w:r>
      <w:r w:rsidRPr="00116AEF">
        <w:rPr>
          <w:rFonts w:cs="Arial"/>
          <w:noProof/>
          <w:color w:val="000000" w:themeColor="text1"/>
          <w:szCs w:val="18"/>
        </w:rPr>
        <w:t>, Concas A</w:t>
      </w:r>
      <w:r w:rsidR="00533D93" w:rsidRPr="00116AEF">
        <w:rPr>
          <w:rFonts w:cs="Arial"/>
          <w:noProof/>
          <w:color w:val="000000" w:themeColor="text1"/>
          <w:szCs w:val="18"/>
        </w:rPr>
        <w:t>.</w:t>
      </w:r>
      <w:r w:rsidRPr="00116AEF">
        <w:rPr>
          <w:rFonts w:cs="Arial"/>
          <w:noProof/>
          <w:color w:val="000000" w:themeColor="text1"/>
          <w:szCs w:val="18"/>
        </w:rPr>
        <w:t>, Lutzu G</w:t>
      </w:r>
      <w:r w:rsidR="00533D93" w:rsidRPr="00116AEF">
        <w:rPr>
          <w:rFonts w:cs="Arial"/>
          <w:noProof/>
          <w:color w:val="000000" w:themeColor="text1"/>
          <w:szCs w:val="18"/>
        </w:rPr>
        <w:t>.</w:t>
      </w:r>
      <w:r w:rsidRPr="00116AEF">
        <w:rPr>
          <w:rFonts w:cs="Arial"/>
          <w:noProof/>
          <w:color w:val="000000" w:themeColor="text1"/>
          <w:szCs w:val="18"/>
        </w:rPr>
        <w:t>A.</w:t>
      </w:r>
      <w:r w:rsidR="003B5AB1" w:rsidRPr="00116AEF">
        <w:rPr>
          <w:rFonts w:cs="Arial"/>
          <w:noProof/>
          <w:color w:val="000000" w:themeColor="text1"/>
          <w:szCs w:val="18"/>
        </w:rPr>
        <w:t xml:space="preserve">, 2025, </w:t>
      </w:r>
      <w:r w:rsidRPr="00116AEF">
        <w:rPr>
          <w:rFonts w:cs="Arial"/>
          <w:noProof/>
          <w:color w:val="000000" w:themeColor="text1"/>
          <w:szCs w:val="18"/>
        </w:rPr>
        <w:t xml:space="preserve"> </w:t>
      </w:r>
      <w:r w:rsidRPr="00116AEF">
        <w:rPr>
          <w:rFonts w:cs="Arial"/>
          <w:noProof/>
          <w:color w:val="000000" w:themeColor="text1"/>
          <w:szCs w:val="18"/>
          <w:lang w:val="en-GB"/>
        </w:rPr>
        <w:t xml:space="preserve">Photoautotrophic cultivation of </w:t>
      </w:r>
      <w:r w:rsidRPr="00116AEF">
        <w:rPr>
          <w:rFonts w:cs="Arial"/>
          <w:i/>
          <w:iCs/>
          <w:noProof/>
          <w:color w:val="000000" w:themeColor="text1"/>
          <w:szCs w:val="18"/>
          <w:lang w:val="en-GB"/>
        </w:rPr>
        <w:t>Limnospira</w:t>
      </w:r>
      <w:r w:rsidRPr="00116AEF">
        <w:rPr>
          <w:rFonts w:cs="Arial"/>
          <w:noProof/>
          <w:color w:val="000000" w:themeColor="text1"/>
          <w:szCs w:val="18"/>
          <w:lang w:val="en-GB"/>
        </w:rPr>
        <w:t xml:space="preserve"> (</w:t>
      </w:r>
      <w:r w:rsidRPr="00116AEF">
        <w:rPr>
          <w:rFonts w:cs="Arial"/>
          <w:i/>
          <w:iCs/>
          <w:noProof/>
          <w:color w:val="000000" w:themeColor="text1"/>
          <w:szCs w:val="18"/>
          <w:lang w:val="en-GB"/>
        </w:rPr>
        <w:t>Spirulina</w:t>
      </w:r>
      <w:r w:rsidRPr="00116AEF">
        <w:rPr>
          <w:rFonts w:cs="Arial"/>
          <w:noProof/>
          <w:color w:val="000000" w:themeColor="text1"/>
          <w:szCs w:val="18"/>
          <w:lang w:val="en-GB"/>
        </w:rPr>
        <w:t xml:space="preserve">) </w:t>
      </w:r>
      <w:r w:rsidRPr="00116AEF">
        <w:rPr>
          <w:rFonts w:cs="Arial"/>
          <w:i/>
          <w:iCs/>
          <w:noProof/>
          <w:color w:val="000000" w:themeColor="text1"/>
          <w:szCs w:val="18"/>
          <w:lang w:val="en-GB"/>
        </w:rPr>
        <w:t xml:space="preserve">platensis </w:t>
      </w:r>
      <w:r w:rsidRPr="00116AEF">
        <w:rPr>
          <w:rFonts w:cs="Arial"/>
          <w:noProof/>
          <w:color w:val="000000" w:themeColor="text1"/>
          <w:szCs w:val="18"/>
          <w:lang w:val="en-GB"/>
        </w:rPr>
        <w:t>in batch photobioreactors: How salinity and alkalinity affect biomass composition, phycocyanin content and antioxidant activity. Marine Drugs 23(7), 281.</w:t>
      </w:r>
    </w:p>
    <w:sectPr w:rsidR="00DA1906" w:rsidRPr="00116AEF" w:rsidSect="009E788A">
      <w:headerReference w:type="first" r:id="rId10"/>
      <w:pgSz w:w="11906" w:h="16838" w:code="9"/>
      <w:pgMar w:top="1701" w:right="1418" w:bottom="1701" w:left="1701" w:header="170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5B73" w14:textId="77777777" w:rsidR="00AE40E9" w:rsidRDefault="00AE40E9" w:rsidP="000E414A">
      <w:pPr>
        <w:spacing w:line="240" w:lineRule="auto"/>
      </w:pPr>
      <w:r>
        <w:separator/>
      </w:r>
    </w:p>
  </w:endnote>
  <w:endnote w:type="continuationSeparator" w:id="0">
    <w:p w14:paraId="58AEB756" w14:textId="77777777" w:rsidR="00AE40E9" w:rsidRDefault="00AE40E9" w:rsidP="000E4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32CDA" w14:textId="77777777" w:rsidR="00AE40E9" w:rsidRDefault="00AE40E9" w:rsidP="000E414A">
      <w:pPr>
        <w:spacing w:line="240" w:lineRule="auto"/>
      </w:pPr>
      <w:r>
        <w:separator/>
      </w:r>
    </w:p>
  </w:footnote>
  <w:footnote w:type="continuationSeparator" w:id="0">
    <w:p w14:paraId="5F3A91D3" w14:textId="77777777" w:rsidR="00AE40E9" w:rsidRDefault="00AE40E9" w:rsidP="000E41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1E0" w:firstRow="1" w:lastRow="1" w:firstColumn="1" w:lastColumn="1" w:noHBand="0" w:noVBand="0"/>
    </w:tblPr>
    <w:tblGrid>
      <w:gridCol w:w="6948"/>
      <w:gridCol w:w="1834"/>
    </w:tblGrid>
    <w:tr w:rsidR="0018260F" w14:paraId="2F86ABE8" w14:textId="77777777" w:rsidTr="00B41DB4">
      <w:trPr>
        <w:trHeight w:val="852"/>
      </w:trPr>
      <w:tc>
        <w:tcPr>
          <w:tcW w:w="7054" w:type="dxa"/>
          <w:vMerge w:val="restart"/>
          <w:tcBorders>
            <w:right w:val="single" w:sz="4" w:space="0" w:color="auto"/>
          </w:tcBorders>
        </w:tcPr>
        <w:p w14:paraId="3C981775" w14:textId="77777777" w:rsidR="0018260F" w:rsidRPr="0030469C" w:rsidRDefault="0018260F" w:rsidP="0018260F">
          <w:pPr>
            <w:ind w:right="-74"/>
            <w:jc w:val="left"/>
            <w:rPr>
              <w:rFonts w:ascii="Arial" w:hAnsi="Arial" w:cs="Arial"/>
              <w:b/>
              <w:bCs/>
              <w:i/>
              <w:iCs/>
              <w:color w:val="000066"/>
              <w:sz w:val="12"/>
              <w:szCs w:val="12"/>
              <w:lang w:eastAsia="it-IT"/>
            </w:rPr>
          </w:pPr>
          <w:r>
            <w:rPr>
              <w:rFonts w:ascii="AdvP6960" w:hAnsi="AdvP6960" w:cs="AdvP6960"/>
              <w:noProof/>
              <w:color w:val="241F20"/>
              <w:sz w:val="18"/>
              <w:szCs w:val="18"/>
              <w:lang w:val="it-IT" w:eastAsia="it-IT"/>
            </w:rPr>
            <w:drawing>
              <wp:inline distT="0" distB="0" distL="0" distR="0" wp14:anchorId="5BF8ADFD" wp14:editId="6E37B613">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C0335A">
            <w:rPr>
              <w:rFonts w:ascii="AdvP6960" w:hAnsi="AdvP6960" w:cs="AdvP6960"/>
              <w:color w:val="241F20"/>
              <w:sz w:val="18"/>
              <w:szCs w:val="18"/>
              <w:lang w:eastAsia="it-IT"/>
            </w:rPr>
            <w:t xml:space="preserve"> </w:t>
          </w:r>
          <w:r w:rsidRPr="000E414A">
            <w:rPr>
              <w:rFonts w:ascii="Arial" w:hAnsi="Arial" w:cs="Arial"/>
              <w:b/>
              <w:bCs/>
              <w:i/>
              <w:iCs/>
              <w:color w:val="000066"/>
              <w:sz w:val="24"/>
              <w:szCs w:val="24"/>
              <w:lang w:eastAsia="it-IT"/>
              <w14:shadow w14:blurRad="50800" w14:dist="38100" w14:dir="2700000" w14:sx="100000" w14:sy="100000" w14:kx="0" w14:ky="0" w14:algn="tl">
                <w14:srgbClr w14:val="000000">
                  <w14:alpha w14:val="60000"/>
                </w14:srgbClr>
              </w14:shadow>
            </w:rPr>
            <w:t>CHEMICAL ENGINEERING</w:t>
          </w:r>
          <w:r w:rsidRPr="000E414A">
            <w:rPr>
              <w:rFonts w:ascii="Arial" w:hAnsi="Arial" w:cs="Arial"/>
              <w:b/>
              <w:bCs/>
              <w:i/>
              <w:iCs/>
              <w:color w:val="0033FF"/>
              <w:sz w:val="24"/>
              <w:szCs w:val="24"/>
              <w:lang w:eastAsia="it-IT"/>
              <w14:shadow w14:blurRad="50800" w14:dist="38100" w14:dir="2700000" w14:sx="100000" w14:sy="100000" w14:kx="0" w14:ky="0" w14:algn="tl">
                <w14:srgbClr w14:val="000000">
                  <w14:alpha w14:val="60000"/>
                </w14:srgbClr>
              </w14:shadow>
            </w:rPr>
            <w:t xml:space="preserve"> </w:t>
          </w:r>
          <w:r w:rsidRPr="000E414A">
            <w:rPr>
              <w:rFonts w:ascii="Arial" w:hAnsi="Arial" w:cs="Arial"/>
              <w:b/>
              <w:bCs/>
              <w:i/>
              <w:iCs/>
              <w:color w:val="666666"/>
              <w:sz w:val="24"/>
              <w:szCs w:val="24"/>
              <w:lang w:eastAsia="it-IT"/>
              <w14:shadow w14:blurRad="50800" w14:dist="38100" w14:dir="2700000" w14:sx="100000" w14:sy="100000" w14:kx="0" w14:ky="0" w14:algn="tl">
                <w14:srgbClr w14:val="000000">
                  <w14:alpha w14:val="60000"/>
                </w14:srgbClr>
              </w14:shadow>
            </w:rPr>
            <w:t>TRANSACTIONS</w:t>
          </w:r>
          <w:r w:rsidRPr="00C0335A">
            <w:rPr>
              <w:color w:val="333333"/>
              <w:sz w:val="24"/>
              <w:szCs w:val="24"/>
              <w:lang w:eastAsia="it-IT"/>
            </w:rPr>
            <w:t xml:space="preserve"> </w:t>
          </w:r>
          <w:r w:rsidRPr="00C0335A">
            <w:rPr>
              <w:rFonts w:ascii="Arial" w:hAnsi="Arial" w:cs="Arial"/>
              <w:b/>
              <w:bCs/>
              <w:i/>
              <w:iCs/>
              <w:color w:val="000066"/>
              <w:sz w:val="27"/>
              <w:szCs w:val="27"/>
              <w:lang w:eastAsia="it-IT"/>
            </w:rPr>
            <w:br/>
          </w:r>
        </w:p>
        <w:p w14:paraId="31C8C25D" w14:textId="6CB376B9" w:rsidR="0018260F" w:rsidRPr="0030469C" w:rsidRDefault="0018260F" w:rsidP="0018260F">
          <w:pPr>
            <w:ind w:right="-74"/>
            <w:rPr>
              <w:rFonts w:ascii="Arial" w:hAnsi="Arial" w:cs="Arial"/>
              <w:b/>
              <w:bCs/>
              <w:i/>
              <w:iCs/>
              <w:color w:val="000066"/>
              <w:lang w:eastAsia="it-IT"/>
            </w:rPr>
          </w:pPr>
          <w:r>
            <w:rPr>
              <w:rFonts w:ascii="Arial" w:hAnsi="Arial" w:cs="Arial"/>
              <w:b/>
              <w:bCs/>
              <w:i/>
              <w:iCs/>
              <w:color w:val="000066"/>
              <w:lang w:eastAsia="it-IT"/>
            </w:rPr>
            <w:t>VOL. x, 2026</w:t>
          </w:r>
        </w:p>
      </w:tc>
      <w:tc>
        <w:tcPr>
          <w:tcW w:w="1843" w:type="dxa"/>
          <w:tcBorders>
            <w:left w:val="single" w:sz="4" w:space="0" w:color="auto"/>
            <w:bottom w:val="nil"/>
            <w:right w:val="single" w:sz="4" w:space="0" w:color="auto"/>
          </w:tcBorders>
        </w:tcPr>
        <w:p w14:paraId="7DD541F9" w14:textId="77777777" w:rsidR="0018260F" w:rsidRDefault="0018260F" w:rsidP="0018260F">
          <w:pPr>
            <w:spacing w:line="140" w:lineRule="atLeast"/>
            <w:jc w:val="right"/>
            <w:rPr>
              <w:rFonts w:ascii="Arial" w:hAnsi="Arial" w:cs="Arial"/>
              <w:sz w:val="14"/>
              <w:szCs w:val="14"/>
            </w:rPr>
          </w:pPr>
          <w:r w:rsidRPr="00C0335A">
            <w:rPr>
              <w:rFonts w:ascii="Arial" w:hAnsi="Arial" w:cs="Arial"/>
              <w:sz w:val="14"/>
              <w:szCs w:val="14"/>
            </w:rPr>
            <w:t>A publication of</w:t>
          </w:r>
        </w:p>
        <w:p w14:paraId="7950E5A4" w14:textId="77777777" w:rsidR="0018260F" w:rsidRDefault="0018260F" w:rsidP="0018260F">
          <w:pPr>
            <w:ind w:left="155"/>
            <w:jc w:val="right"/>
          </w:pPr>
          <w:r>
            <w:rPr>
              <w:noProof/>
              <w:lang w:val="it-IT" w:eastAsia="it-IT"/>
            </w:rPr>
            <w:drawing>
              <wp:inline distT="0" distB="0" distL="0" distR="0" wp14:anchorId="6A50D7B5" wp14:editId="3A702EAB">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18260F" w:rsidRPr="005346C8" w14:paraId="7F951497" w14:textId="77777777" w:rsidTr="00B41DB4">
      <w:trPr>
        <w:trHeight w:val="567"/>
      </w:trPr>
      <w:tc>
        <w:tcPr>
          <w:tcW w:w="7054" w:type="dxa"/>
          <w:vMerge/>
          <w:tcBorders>
            <w:right w:val="single" w:sz="4" w:space="0" w:color="auto"/>
          </w:tcBorders>
        </w:tcPr>
        <w:p w14:paraId="5C7DA956" w14:textId="77777777" w:rsidR="0018260F" w:rsidRDefault="0018260F" w:rsidP="0018260F"/>
      </w:tc>
      <w:tc>
        <w:tcPr>
          <w:tcW w:w="1843" w:type="dxa"/>
          <w:tcBorders>
            <w:left w:val="single" w:sz="4" w:space="0" w:color="auto"/>
            <w:bottom w:val="nil"/>
            <w:right w:val="single" w:sz="4" w:space="0" w:color="auto"/>
          </w:tcBorders>
        </w:tcPr>
        <w:p w14:paraId="5BD64213" w14:textId="77777777" w:rsidR="0018260F" w:rsidRPr="000E414A" w:rsidRDefault="0018260F" w:rsidP="0018260F">
          <w:pPr>
            <w:spacing w:line="140" w:lineRule="atLeast"/>
            <w:jc w:val="right"/>
            <w:rPr>
              <w:rFonts w:ascii="Arial" w:hAnsi="Arial" w:cs="Arial"/>
              <w:sz w:val="14"/>
              <w:szCs w:val="14"/>
              <w:lang w:val="en-US"/>
            </w:rPr>
          </w:pPr>
          <w:r w:rsidRPr="000E414A">
            <w:rPr>
              <w:rFonts w:ascii="Arial" w:hAnsi="Arial" w:cs="Arial"/>
              <w:sz w:val="14"/>
              <w:szCs w:val="14"/>
              <w:lang w:val="en-US"/>
            </w:rPr>
            <w:t>The Italian Association</w:t>
          </w:r>
        </w:p>
        <w:p w14:paraId="45B1BA14" w14:textId="77777777" w:rsidR="0018260F" w:rsidRPr="000E414A" w:rsidRDefault="0018260F" w:rsidP="0018260F">
          <w:pPr>
            <w:spacing w:line="140" w:lineRule="atLeast"/>
            <w:ind w:left="-145"/>
            <w:jc w:val="right"/>
            <w:rPr>
              <w:rFonts w:ascii="Arial" w:hAnsi="Arial" w:cs="Arial"/>
              <w:sz w:val="14"/>
              <w:szCs w:val="14"/>
              <w:lang w:val="en-US"/>
            </w:rPr>
          </w:pPr>
          <w:r w:rsidRPr="000E414A">
            <w:rPr>
              <w:rFonts w:ascii="Arial" w:hAnsi="Arial" w:cs="Arial"/>
              <w:sz w:val="14"/>
              <w:szCs w:val="14"/>
              <w:lang w:val="en-US"/>
            </w:rPr>
            <w:t>of Chemical Engineering</w:t>
          </w:r>
        </w:p>
        <w:p w14:paraId="4E3C6FAD" w14:textId="77777777" w:rsidR="0018260F" w:rsidRPr="00996483" w:rsidRDefault="0018260F" w:rsidP="0018260F">
          <w:pPr>
            <w:spacing w:line="140" w:lineRule="atLeast"/>
            <w:ind w:left="-145"/>
            <w:jc w:val="right"/>
            <w:rPr>
              <w:rFonts w:ascii="Arial" w:hAnsi="Arial" w:cs="Arial"/>
              <w:sz w:val="14"/>
              <w:szCs w:val="14"/>
              <w:lang w:val="en-US"/>
            </w:rPr>
          </w:pPr>
          <w:r w:rsidRPr="0064184D">
            <w:rPr>
              <w:rFonts w:ascii="Arial" w:hAnsi="Arial" w:cs="Arial"/>
              <w:sz w:val="14"/>
              <w:szCs w:val="14"/>
              <w:lang w:val="en-US"/>
            </w:rPr>
            <w:t xml:space="preserve">Online at </w:t>
          </w:r>
          <w:r>
            <w:rPr>
              <w:rFonts w:ascii="Arial" w:hAnsi="Arial" w:cs="Arial"/>
              <w:sz w:val="14"/>
              <w:szCs w:val="14"/>
              <w:lang w:val="en-US"/>
            </w:rPr>
            <w:t>www.aidic.it/cet</w:t>
          </w:r>
        </w:p>
      </w:tc>
    </w:tr>
    <w:tr w:rsidR="0018260F" w:rsidRPr="005346C8" w14:paraId="657887A5" w14:textId="77777777" w:rsidTr="00B41DB4">
      <w:trPr>
        <w:trHeight w:val="68"/>
      </w:trPr>
      <w:tc>
        <w:tcPr>
          <w:tcW w:w="8897" w:type="dxa"/>
          <w:gridSpan w:val="2"/>
        </w:tcPr>
        <w:p w14:paraId="1543CF68" w14:textId="77777777" w:rsidR="0018260F" w:rsidRPr="00462DCD" w:rsidRDefault="0018260F" w:rsidP="0018260F">
          <w:pPr>
            <w:spacing w:line="140" w:lineRule="atLeast"/>
            <w:ind w:right="-108"/>
            <w:jc w:val="left"/>
            <w:rPr>
              <w:lang w:val="en-US"/>
            </w:rPr>
          </w:pPr>
          <w:r w:rsidRPr="00462DCD">
            <w:rPr>
              <w:rFonts w:ascii="Tahoma" w:hAnsi="Tahoma" w:cs="Tahoma"/>
              <w:iCs/>
              <w:sz w:val="14"/>
              <w:szCs w:val="14"/>
              <w:lang w:val="en-US" w:eastAsia="it-IT"/>
            </w:rPr>
            <w:t>Chief Editors:</w:t>
          </w:r>
          <w:r w:rsidRPr="00462DCD">
            <w:rPr>
              <w:rFonts w:ascii="Tahoma" w:hAnsi="Tahoma" w:cs="Tahoma"/>
              <w:i/>
              <w:iCs/>
              <w:sz w:val="14"/>
              <w:szCs w:val="14"/>
              <w:lang w:val="en-US" w:eastAsia="it-IT"/>
            </w:rPr>
            <w:t xml:space="preserve"> </w:t>
          </w:r>
          <w:r w:rsidRPr="00462DCD">
            <w:rPr>
              <w:rFonts w:ascii="Tahoma" w:hAnsi="Tahoma" w:cs="Tahoma"/>
              <w:iCs/>
              <w:sz w:val="14"/>
              <w:szCs w:val="14"/>
              <w:lang w:val="en-US" w:eastAsia="it-IT"/>
            </w:rPr>
            <w:t xml:space="preserve">Sauro Pierucci, </w:t>
          </w:r>
          <w:r w:rsidRPr="00462DCD">
            <w:rPr>
              <w:rFonts w:ascii="Tahoma" w:hAnsi="Tahoma" w:cs="Tahoma"/>
              <w:bCs/>
              <w:sz w:val="14"/>
              <w:szCs w:val="14"/>
              <w:lang w:val="en-US"/>
            </w:rPr>
            <w:t>Jiří</w:t>
          </w:r>
          <w:r w:rsidRPr="00462DCD">
            <w:rPr>
              <w:rFonts w:ascii="Tahoma" w:hAnsi="Tahoma" w:cs="Tahoma"/>
              <w:b/>
              <w:bCs/>
              <w:sz w:val="14"/>
              <w:szCs w:val="14"/>
              <w:lang w:val="en-US"/>
            </w:rPr>
            <w:t xml:space="preserve"> </w:t>
          </w:r>
          <w:r w:rsidRPr="00462DCD">
            <w:rPr>
              <w:rFonts w:ascii="Tahoma" w:hAnsi="Tahoma" w:cs="Tahoma"/>
              <w:sz w:val="14"/>
              <w:szCs w:val="14"/>
              <w:lang w:val="en-US"/>
            </w:rPr>
            <w:t xml:space="preserve">J. </w:t>
          </w:r>
          <w:proofErr w:type="spellStart"/>
          <w:r w:rsidRPr="00462DCD">
            <w:rPr>
              <w:rFonts w:ascii="Tahoma" w:hAnsi="Tahoma" w:cs="Tahoma"/>
              <w:sz w:val="14"/>
              <w:szCs w:val="14"/>
              <w:lang w:val="en-US"/>
            </w:rPr>
            <w:t>Klemeš</w:t>
          </w:r>
          <w:proofErr w:type="spellEnd"/>
          <w:r w:rsidRPr="00462DCD">
            <w:rPr>
              <w:rFonts w:ascii="Tahoma" w:hAnsi="Tahoma" w:cs="Tahoma"/>
              <w:iCs/>
              <w:color w:val="333333"/>
              <w:sz w:val="14"/>
              <w:szCs w:val="14"/>
              <w:lang w:val="en-US" w:eastAsia="it-IT"/>
            </w:rPr>
            <w:br/>
            <w:t xml:space="preserve">Copyright © 2015, AIDIC Servizi </w:t>
          </w:r>
          <w:proofErr w:type="spellStart"/>
          <w:r w:rsidRPr="00462DCD">
            <w:rPr>
              <w:rFonts w:ascii="Tahoma" w:hAnsi="Tahoma" w:cs="Tahoma"/>
              <w:iCs/>
              <w:color w:val="333333"/>
              <w:sz w:val="14"/>
              <w:szCs w:val="14"/>
              <w:lang w:val="en-US" w:eastAsia="it-IT"/>
            </w:rPr>
            <w:t>S.r.l</w:t>
          </w:r>
          <w:proofErr w:type="spellEnd"/>
          <w:r w:rsidRPr="00462DCD">
            <w:rPr>
              <w:rFonts w:ascii="Tahoma" w:hAnsi="Tahoma" w:cs="Tahoma"/>
              <w:iCs/>
              <w:color w:val="333333"/>
              <w:sz w:val="14"/>
              <w:szCs w:val="14"/>
              <w:lang w:val="en-US" w:eastAsia="it-IT"/>
            </w:rPr>
            <w:t>.,</w:t>
          </w:r>
          <w:r w:rsidRPr="00462DCD">
            <w:rPr>
              <w:rFonts w:ascii="Tahoma" w:hAnsi="Tahoma" w:cs="Tahoma"/>
              <w:iCs/>
              <w:color w:val="333333"/>
              <w:sz w:val="14"/>
              <w:szCs w:val="14"/>
              <w:lang w:val="en-US" w:eastAsia="it-IT"/>
            </w:rPr>
            <w:br/>
          </w:r>
          <w:r w:rsidRPr="00462DCD">
            <w:rPr>
              <w:rFonts w:ascii="Tahoma" w:hAnsi="Tahoma" w:cs="Tahoma"/>
              <w:b/>
              <w:iCs/>
              <w:color w:val="000000"/>
              <w:sz w:val="14"/>
              <w:szCs w:val="14"/>
              <w:lang w:val="en-US" w:eastAsia="it-IT"/>
            </w:rPr>
            <w:t>ISBN</w:t>
          </w:r>
          <w:r w:rsidRPr="00462DCD">
            <w:rPr>
              <w:rFonts w:ascii="Tahoma" w:hAnsi="Tahoma" w:cs="Tahoma"/>
              <w:iCs/>
              <w:color w:val="000000"/>
              <w:sz w:val="14"/>
              <w:szCs w:val="14"/>
              <w:lang w:val="en-US" w:eastAsia="it-IT"/>
            </w:rPr>
            <w:t xml:space="preserve"> </w:t>
          </w:r>
          <w:r w:rsidRPr="00662E74">
            <w:rPr>
              <w:rFonts w:ascii="Tahoma" w:hAnsi="Tahoma" w:cs="Tahoma"/>
              <w:iCs/>
              <w:color w:val="000000"/>
              <w:sz w:val="14"/>
              <w:szCs w:val="14"/>
              <w:lang w:val="en-US" w:eastAsia="it-IT"/>
            </w:rPr>
            <w:t>978-88-95608-34-1</w:t>
          </w:r>
          <w:r w:rsidRPr="00462DCD">
            <w:rPr>
              <w:rFonts w:ascii="Tahoma" w:hAnsi="Tahoma" w:cs="Tahoma"/>
              <w:iCs/>
              <w:color w:val="333333"/>
              <w:sz w:val="14"/>
              <w:szCs w:val="14"/>
              <w:lang w:val="en-US" w:eastAsia="it-IT"/>
            </w:rPr>
            <w:t xml:space="preserve">; </w:t>
          </w:r>
          <w:r w:rsidRPr="00462DCD">
            <w:rPr>
              <w:rFonts w:ascii="Tahoma" w:hAnsi="Tahoma" w:cs="Tahoma"/>
              <w:b/>
              <w:iCs/>
              <w:color w:val="333333"/>
              <w:sz w:val="14"/>
              <w:szCs w:val="14"/>
              <w:lang w:val="en-US" w:eastAsia="it-IT"/>
            </w:rPr>
            <w:t>ISSN</w:t>
          </w:r>
          <w:r w:rsidRPr="00462DCD">
            <w:rPr>
              <w:rFonts w:ascii="Tahoma" w:hAnsi="Tahoma" w:cs="Tahoma"/>
              <w:iCs/>
              <w:color w:val="333333"/>
              <w:sz w:val="14"/>
              <w:szCs w:val="14"/>
              <w:lang w:val="en-US" w:eastAsia="it-IT"/>
            </w:rPr>
            <w:t xml:space="preserve"> 2283-9216                                                                               </w:t>
          </w:r>
        </w:p>
      </w:tc>
    </w:tr>
  </w:tbl>
  <w:p w14:paraId="226C42D3" w14:textId="77777777" w:rsidR="0018260F" w:rsidRDefault="0018260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17E6194"/>
    <w:multiLevelType w:val="hybridMultilevel"/>
    <w:tmpl w:val="1B1697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32F80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38217E"/>
    <w:multiLevelType w:val="multilevel"/>
    <w:tmpl w:val="66820D24"/>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num w:numId="1" w16cid:durableId="109591506">
    <w:abstractNumId w:val="12"/>
  </w:num>
  <w:num w:numId="2" w16cid:durableId="511341089">
    <w:abstractNumId w:val="8"/>
  </w:num>
  <w:num w:numId="3" w16cid:durableId="2035419053">
    <w:abstractNumId w:val="3"/>
  </w:num>
  <w:num w:numId="4" w16cid:durableId="2124764482">
    <w:abstractNumId w:val="2"/>
  </w:num>
  <w:num w:numId="5" w16cid:durableId="1636720952">
    <w:abstractNumId w:val="1"/>
  </w:num>
  <w:num w:numId="6" w16cid:durableId="142358919">
    <w:abstractNumId w:val="0"/>
  </w:num>
  <w:num w:numId="7" w16cid:durableId="1494955614">
    <w:abstractNumId w:val="9"/>
  </w:num>
  <w:num w:numId="8" w16cid:durableId="12465015">
    <w:abstractNumId w:val="7"/>
  </w:num>
  <w:num w:numId="9" w16cid:durableId="740638417">
    <w:abstractNumId w:val="6"/>
  </w:num>
  <w:num w:numId="10" w16cid:durableId="1569029370">
    <w:abstractNumId w:val="5"/>
  </w:num>
  <w:num w:numId="11" w16cid:durableId="1322392675">
    <w:abstractNumId w:val="4"/>
  </w:num>
  <w:num w:numId="12" w16cid:durableId="1898513806">
    <w:abstractNumId w:val="13"/>
  </w:num>
  <w:num w:numId="13" w16cid:durableId="285426003">
    <w:abstractNumId w:val="11"/>
  </w:num>
  <w:num w:numId="14" w16cid:durableId="782846244">
    <w:abstractNumId w:val="10"/>
  </w:num>
  <w:num w:numId="15" w16cid:durableId="823358258">
    <w:abstractNumId w:val="12"/>
  </w:num>
  <w:num w:numId="16" w16cid:durableId="554045234">
    <w:abstractNumId w:val="12"/>
  </w:num>
  <w:num w:numId="17" w16cid:durableId="1201936410">
    <w:abstractNumId w:val="12"/>
  </w:num>
  <w:num w:numId="18" w16cid:durableId="1749570418">
    <w:abstractNumId w:val="12"/>
  </w:num>
  <w:num w:numId="19" w16cid:durableId="349768464">
    <w:abstractNumId w:val="12"/>
  </w:num>
  <w:num w:numId="20" w16cid:durableId="690958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4A"/>
    <w:rsid w:val="000027C0"/>
    <w:rsid w:val="000200FE"/>
    <w:rsid w:val="0003148D"/>
    <w:rsid w:val="0003595F"/>
    <w:rsid w:val="00046F20"/>
    <w:rsid w:val="00052E79"/>
    <w:rsid w:val="000625B3"/>
    <w:rsid w:val="00062A9A"/>
    <w:rsid w:val="00065D57"/>
    <w:rsid w:val="00070AE6"/>
    <w:rsid w:val="00072B54"/>
    <w:rsid w:val="000730CF"/>
    <w:rsid w:val="00083B18"/>
    <w:rsid w:val="0009102B"/>
    <w:rsid w:val="000A4C69"/>
    <w:rsid w:val="000C34E6"/>
    <w:rsid w:val="000D34BE"/>
    <w:rsid w:val="000E3A73"/>
    <w:rsid w:val="000E414A"/>
    <w:rsid w:val="000F645A"/>
    <w:rsid w:val="0010442B"/>
    <w:rsid w:val="00116AEF"/>
    <w:rsid w:val="00153F45"/>
    <w:rsid w:val="001546B5"/>
    <w:rsid w:val="00157B8D"/>
    <w:rsid w:val="00175E54"/>
    <w:rsid w:val="0018260F"/>
    <w:rsid w:val="001D1CFB"/>
    <w:rsid w:val="001D53FC"/>
    <w:rsid w:val="001E7AF8"/>
    <w:rsid w:val="00202962"/>
    <w:rsid w:val="002179B9"/>
    <w:rsid w:val="00232EE2"/>
    <w:rsid w:val="002447EF"/>
    <w:rsid w:val="00247E74"/>
    <w:rsid w:val="00251550"/>
    <w:rsid w:val="00265DF2"/>
    <w:rsid w:val="00283CB6"/>
    <w:rsid w:val="0029210D"/>
    <w:rsid w:val="00296FCB"/>
    <w:rsid w:val="002C1219"/>
    <w:rsid w:val="002D12A5"/>
    <w:rsid w:val="00300D6F"/>
    <w:rsid w:val="0030469C"/>
    <w:rsid w:val="0031106A"/>
    <w:rsid w:val="00314499"/>
    <w:rsid w:val="00334653"/>
    <w:rsid w:val="00367961"/>
    <w:rsid w:val="003767B6"/>
    <w:rsid w:val="003A2CC2"/>
    <w:rsid w:val="003A31AE"/>
    <w:rsid w:val="003B2BBE"/>
    <w:rsid w:val="003B5AB1"/>
    <w:rsid w:val="003D5E82"/>
    <w:rsid w:val="003E2E55"/>
    <w:rsid w:val="003F1412"/>
    <w:rsid w:val="004107A2"/>
    <w:rsid w:val="004114D3"/>
    <w:rsid w:val="00426DFE"/>
    <w:rsid w:val="00462DCD"/>
    <w:rsid w:val="00495A25"/>
    <w:rsid w:val="00497B63"/>
    <w:rsid w:val="004C2498"/>
    <w:rsid w:val="004C6A9B"/>
    <w:rsid w:val="004D40AB"/>
    <w:rsid w:val="004E3949"/>
    <w:rsid w:val="005119A5"/>
    <w:rsid w:val="00533D93"/>
    <w:rsid w:val="005346C8"/>
    <w:rsid w:val="00536613"/>
    <w:rsid w:val="0054030F"/>
    <w:rsid w:val="0055318D"/>
    <w:rsid w:val="00555A0A"/>
    <w:rsid w:val="005D2EE9"/>
    <w:rsid w:val="005D3F9D"/>
    <w:rsid w:val="005E1A82"/>
    <w:rsid w:val="005F0A28"/>
    <w:rsid w:val="005F3B85"/>
    <w:rsid w:val="005F72F4"/>
    <w:rsid w:val="00600E46"/>
    <w:rsid w:val="00625639"/>
    <w:rsid w:val="006374CE"/>
    <w:rsid w:val="0064184D"/>
    <w:rsid w:val="00653735"/>
    <w:rsid w:val="006627A7"/>
    <w:rsid w:val="00662E74"/>
    <w:rsid w:val="00691830"/>
    <w:rsid w:val="006A191B"/>
    <w:rsid w:val="006B48FC"/>
    <w:rsid w:val="006C20AF"/>
    <w:rsid w:val="006C5579"/>
    <w:rsid w:val="006E3876"/>
    <w:rsid w:val="006E5772"/>
    <w:rsid w:val="007059B6"/>
    <w:rsid w:val="007447F3"/>
    <w:rsid w:val="00747151"/>
    <w:rsid w:val="00747D84"/>
    <w:rsid w:val="0076493E"/>
    <w:rsid w:val="00793E6D"/>
    <w:rsid w:val="007A513C"/>
    <w:rsid w:val="007D2701"/>
    <w:rsid w:val="007E6C4C"/>
    <w:rsid w:val="00804151"/>
    <w:rsid w:val="008100C8"/>
    <w:rsid w:val="00813288"/>
    <w:rsid w:val="00815F86"/>
    <w:rsid w:val="008228F5"/>
    <w:rsid w:val="00843595"/>
    <w:rsid w:val="008455EA"/>
    <w:rsid w:val="008476FC"/>
    <w:rsid w:val="0085700D"/>
    <w:rsid w:val="0088238C"/>
    <w:rsid w:val="00883BC0"/>
    <w:rsid w:val="00893D27"/>
    <w:rsid w:val="008A1512"/>
    <w:rsid w:val="008E23B3"/>
    <w:rsid w:val="008E566E"/>
    <w:rsid w:val="008F0B35"/>
    <w:rsid w:val="00934169"/>
    <w:rsid w:val="009402B5"/>
    <w:rsid w:val="009446E5"/>
    <w:rsid w:val="00967B9D"/>
    <w:rsid w:val="00996483"/>
    <w:rsid w:val="009E3320"/>
    <w:rsid w:val="009E788A"/>
    <w:rsid w:val="009F17CB"/>
    <w:rsid w:val="00A00D55"/>
    <w:rsid w:val="00A111A0"/>
    <w:rsid w:val="00A1763D"/>
    <w:rsid w:val="00A17CEC"/>
    <w:rsid w:val="00A443EF"/>
    <w:rsid w:val="00A663D8"/>
    <w:rsid w:val="00A7541D"/>
    <w:rsid w:val="00A91178"/>
    <w:rsid w:val="00A91AF1"/>
    <w:rsid w:val="00AB0964"/>
    <w:rsid w:val="00AC5016"/>
    <w:rsid w:val="00AE40E9"/>
    <w:rsid w:val="00AE55DA"/>
    <w:rsid w:val="00AF22E2"/>
    <w:rsid w:val="00B003CE"/>
    <w:rsid w:val="00B1313D"/>
    <w:rsid w:val="00B239D6"/>
    <w:rsid w:val="00B369BD"/>
    <w:rsid w:val="00B36F43"/>
    <w:rsid w:val="00B511B4"/>
    <w:rsid w:val="00B53A5D"/>
    <w:rsid w:val="00B5585D"/>
    <w:rsid w:val="00B57270"/>
    <w:rsid w:val="00B6575E"/>
    <w:rsid w:val="00B81F3B"/>
    <w:rsid w:val="00B90305"/>
    <w:rsid w:val="00B95272"/>
    <w:rsid w:val="00BC30C9"/>
    <w:rsid w:val="00BD7AA7"/>
    <w:rsid w:val="00C01616"/>
    <w:rsid w:val="00C0162B"/>
    <w:rsid w:val="00C019CE"/>
    <w:rsid w:val="00C10A48"/>
    <w:rsid w:val="00C13E80"/>
    <w:rsid w:val="00C16816"/>
    <w:rsid w:val="00C169E6"/>
    <w:rsid w:val="00C23376"/>
    <w:rsid w:val="00C3158C"/>
    <w:rsid w:val="00C345B1"/>
    <w:rsid w:val="00C3529D"/>
    <w:rsid w:val="00C44096"/>
    <w:rsid w:val="00C5360A"/>
    <w:rsid w:val="00C9233A"/>
    <w:rsid w:val="00C94434"/>
    <w:rsid w:val="00CA087B"/>
    <w:rsid w:val="00CA7FD7"/>
    <w:rsid w:val="00CC4335"/>
    <w:rsid w:val="00CF0641"/>
    <w:rsid w:val="00D23091"/>
    <w:rsid w:val="00D31A76"/>
    <w:rsid w:val="00D57562"/>
    <w:rsid w:val="00D65C86"/>
    <w:rsid w:val="00D66CF3"/>
    <w:rsid w:val="00D83DD8"/>
    <w:rsid w:val="00D84576"/>
    <w:rsid w:val="00D87D64"/>
    <w:rsid w:val="00DA1906"/>
    <w:rsid w:val="00DC2C96"/>
    <w:rsid w:val="00DC70AE"/>
    <w:rsid w:val="00DE5697"/>
    <w:rsid w:val="00E041E7"/>
    <w:rsid w:val="00E23CA1"/>
    <w:rsid w:val="00E409A8"/>
    <w:rsid w:val="00E4681E"/>
    <w:rsid w:val="00E47E9C"/>
    <w:rsid w:val="00E65CAF"/>
    <w:rsid w:val="00E7209D"/>
    <w:rsid w:val="00E74E4B"/>
    <w:rsid w:val="00E84A97"/>
    <w:rsid w:val="00EA6053"/>
    <w:rsid w:val="00EE0441"/>
    <w:rsid w:val="00EE355F"/>
    <w:rsid w:val="00F12C7B"/>
    <w:rsid w:val="00F30C64"/>
    <w:rsid w:val="00F50589"/>
    <w:rsid w:val="00F50AA0"/>
    <w:rsid w:val="00F93AE3"/>
    <w:rsid w:val="00F95692"/>
    <w:rsid w:val="00FA11F7"/>
    <w:rsid w:val="00FB4955"/>
    <w:rsid w:val="00FC27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5DA5"/>
  <w15:docId w15:val="{2F922A27-EEB7-4A54-8C58-0A10BF95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46C8"/>
    <w:pPr>
      <w:spacing w:after="0" w:line="264" w:lineRule="auto"/>
      <w:jc w:val="both"/>
    </w:pPr>
    <w:rPr>
      <w:rFonts w:ascii="Times New Roman" w:eastAsia="SimSun" w:hAnsi="Times New Roman" w:cs="Times New Roman"/>
      <w:sz w:val="20"/>
      <w:szCs w:val="20"/>
      <w:lang w:val="en-GB"/>
    </w:rPr>
  </w:style>
  <w:style w:type="paragraph" w:styleId="Titolo1">
    <w:name w:val="heading 1"/>
    <w:basedOn w:val="Normale"/>
    <w:next w:val="Normale"/>
    <w:link w:val="Titolo1Carattere"/>
    <w:uiPriority w:val="9"/>
    <w:rsid w:val="000314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0E414A"/>
    <w:pPr>
      <w:suppressAutoHyphens/>
      <w:spacing w:before="30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0E414A"/>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qFormat/>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_Reference"/>
    <w:next w:val="CETReference-text"/>
    <w:rsid w:val="009E788A"/>
    <w:pPr>
      <w:spacing w:line="264" w:lineRule="auto"/>
    </w:pPr>
    <w:rPr>
      <w:rFonts w:ascii="Arial" w:eastAsia="Times New Roman" w:hAnsi="Arial" w:cs="Times New Roman"/>
      <w:b/>
      <w:sz w:val="18"/>
      <w:szCs w:val="20"/>
      <w:lang w:val="en-US"/>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Footnote">
    <w:name w:val="CET_Footnote"/>
    <w:rsid w:val="000E414A"/>
    <w:pPr>
      <w:spacing w:after="0" w:line="240" w:lineRule="auto"/>
      <w:jc w:val="both"/>
    </w:pPr>
    <w:rPr>
      <w:rFonts w:ascii="Arial" w:eastAsia="Times New Roman" w:hAnsi="Arial" w:cs="Times New Roman"/>
      <w:sz w:val="16"/>
      <w:szCs w:val="20"/>
      <w:lang w:val="en-US"/>
    </w:rPr>
  </w:style>
  <w:style w:type="paragraph" w:customStyle="1" w:styleId="CETAcknowledgements">
    <w:name w:val="CET_Acknowledgements"/>
    <w:qFormat/>
    <w:rsid w:val="009E788A"/>
    <w:rPr>
      <w:rFonts w:ascii="Arial" w:eastAsia="Times New Roman" w:hAnsi="Arial" w:cs="Times New Roman"/>
      <w:b/>
      <w:sz w:val="18"/>
      <w:szCs w:val="20"/>
      <w:lang w:val="en-GB"/>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Normale"/>
    <w:next w:val="Normale"/>
    <w:uiPriority w:val="37"/>
    <w:semiHidden/>
    <w:unhideWhenUsed/>
    <w:rsid w:val="0003148D"/>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 w:val="18"/>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semiHidden/>
    <w:unhideWhenUsed/>
    <w:rsid w:val="0003148D"/>
    <w:pPr>
      <w:spacing w:line="240" w:lineRule="auto"/>
    </w:pPr>
  </w:style>
  <w:style w:type="character" w:customStyle="1" w:styleId="TestocommentoCarattere">
    <w:name w:val="Testo commento Carattere"/>
    <w:basedOn w:val="Carpredefinitoparagrafo"/>
    <w:link w:val="Testocommento"/>
    <w:uiPriority w:val="99"/>
    <w:semiHidden/>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03148D"/>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styleId="Intestazione">
    <w:name w:val="header"/>
    <w:basedOn w:val="Normale"/>
    <w:link w:val="IntestazioneCarattere"/>
    <w:uiPriority w:val="99"/>
    <w:unhideWhenUsed/>
    <w:rsid w:val="00D84576"/>
    <w:pPr>
      <w:tabs>
        <w:tab w:val="center" w:pos="4680"/>
        <w:tab w:val="right" w:pos="9360"/>
      </w:tabs>
      <w:spacing w:line="240" w:lineRule="auto"/>
    </w:pPr>
  </w:style>
  <w:style w:type="character" w:customStyle="1" w:styleId="IntestazioneCarattere">
    <w:name w:val="Intestazione Carattere"/>
    <w:basedOn w:val="Carpredefinitoparagrafo"/>
    <w:link w:val="Intestazione"/>
    <w:uiPriority w:val="99"/>
    <w:rsid w:val="00D84576"/>
  </w:style>
  <w:style w:type="paragraph" w:styleId="Pidipagina">
    <w:name w:val="footer"/>
    <w:basedOn w:val="Normale"/>
    <w:link w:val="PidipaginaCarattere"/>
    <w:uiPriority w:val="99"/>
    <w:unhideWhenUsed/>
    <w:rsid w:val="00D84576"/>
    <w:pPr>
      <w:tabs>
        <w:tab w:val="center" w:pos="4680"/>
        <w:tab w:val="right" w:pos="9360"/>
      </w:tabs>
      <w:spacing w:line="240" w:lineRule="auto"/>
    </w:pPr>
  </w:style>
  <w:style w:type="character" w:customStyle="1" w:styleId="PidipaginaCarattere">
    <w:name w:val="Piè di pagina Carattere"/>
    <w:basedOn w:val="Carpredefinitoparagrafo"/>
    <w:link w:val="Pidipagina"/>
    <w:uiPriority w:val="99"/>
    <w:rsid w:val="00D84576"/>
  </w:style>
  <w:style w:type="character" w:styleId="Collegamentoipertestuale">
    <w:name w:val="Hyperlink"/>
    <w:basedOn w:val="Carpredefinitoparagrafo"/>
    <w:uiPriority w:val="99"/>
    <w:unhideWhenUsed/>
    <w:rsid w:val="005346C8"/>
    <w:rPr>
      <w:color w:val="0000FF" w:themeColor="hyperlink"/>
      <w:u w:val="single"/>
    </w:rPr>
  </w:style>
  <w:style w:type="character" w:styleId="Menzionenonrisolta">
    <w:name w:val="Unresolved Mention"/>
    <w:basedOn w:val="Carpredefinitoparagrafo"/>
    <w:uiPriority w:val="99"/>
    <w:semiHidden/>
    <w:unhideWhenUsed/>
    <w:rsid w:val="00934169"/>
    <w:rPr>
      <w:color w:val="605E5C"/>
      <w:shd w:val="clear" w:color="auto" w:fill="E1DFDD"/>
    </w:rPr>
  </w:style>
  <w:style w:type="table" w:styleId="Grigliatabella">
    <w:name w:val="Table Grid"/>
    <w:basedOn w:val="Tabellanormale"/>
    <w:uiPriority w:val="39"/>
    <w:rsid w:val="00AF22E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3">
    <w:name w:val="Plain Table 3"/>
    <w:basedOn w:val="Tabellanormale"/>
    <w:uiPriority w:val="43"/>
    <w:rsid w:val="00D66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2">
    <w:name w:val="Plain Table 2"/>
    <w:basedOn w:val="Tabellanormale"/>
    <w:uiPriority w:val="42"/>
    <w:rsid w:val="00D66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4">
    <w:name w:val="Plain Table 4"/>
    <w:basedOn w:val="Tabellanormale"/>
    <w:uiPriority w:val="44"/>
    <w:rsid w:val="005366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ETTabletitle">
    <w:name w:val="CET Table title"/>
    <w:qFormat/>
    <w:rsid w:val="008F0B35"/>
    <w:pPr>
      <w:keepNext/>
      <w:spacing w:before="240" w:after="80" w:line="240" w:lineRule="exact"/>
    </w:pPr>
    <w:rPr>
      <w:rFonts w:ascii="Arial" w:eastAsia="Times New Roman" w:hAnsi="Arial" w:cs="Times New Roman"/>
      <w:i/>
      <w:sz w:val="18"/>
      <w:szCs w:val="20"/>
      <w:lang w:val="en-GB"/>
    </w:rPr>
  </w:style>
  <w:style w:type="character" w:styleId="Enfasicorsivo">
    <w:name w:val="Emphasis"/>
    <w:basedOn w:val="Carpredefinitoparagrafo"/>
    <w:uiPriority w:val="20"/>
    <w:qFormat/>
    <w:rsid w:val="00E4681E"/>
    <w:rPr>
      <w:i/>
      <w:iCs/>
    </w:rPr>
  </w:style>
  <w:style w:type="character" w:styleId="Enfasigrassetto">
    <w:name w:val="Strong"/>
    <w:basedOn w:val="Carpredefinitoparagrafo"/>
    <w:uiPriority w:val="22"/>
    <w:qFormat/>
    <w:rsid w:val="00E4681E"/>
    <w:rPr>
      <w:b/>
      <w:bCs/>
    </w:rPr>
  </w:style>
  <w:style w:type="paragraph" w:styleId="Paragrafoelenco">
    <w:name w:val="List Paragraph"/>
    <w:basedOn w:val="Normale"/>
    <w:uiPriority w:val="34"/>
    <w:qFormat/>
    <w:rsid w:val="00E47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alessandro.concas@unic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lucau\Desktop\articolo\Usai%20et%20al.,%202026%20CET\Dati%20Pramazzoni.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6138742150902"/>
          <c:y val="7.8161773652465627E-2"/>
          <c:w val="0.67851351351351341"/>
          <c:h val="0.82077998714804201"/>
        </c:manualLayout>
      </c:layout>
      <c:barChart>
        <c:barDir val="col"/>
        <c:grouping val="clustered"/>
        <c:varyColors val="0"/>
        <c:ser>
          <c:idx val="1"/>
          <c:order val="1"/>
          <c:tx>
            <c:strRef>
              <c:f>'Exp 1'!$AY$2</c:f>
              <c:strCache>
                <c:ptCount val="1"/>
                <c:pt idx="0">
                  <c:v> QX (mg L-1 day-1)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'Exp 1'!$BE$9:$BE$11</c:f>
                <c:numCache>
                  <c:formatCode>General</c:formatCode>
                  <c:ptCount val="3"/>
                  <c:pt idx="0">
                    <c:v>70</c:v>
                  </c:pt>
                  <c:pt idx="1">
                    <c:v>144</c:v>
                  </c:pt>
                  <c:pt idx="2">
                    <c:v>120</c:v>
                  </c:pt>
                </c:numCache>
              </c:numRef>
            </c:plus>
            <c:minus>
              <c:numRef>
                <c:f>'Exp 1'!$BE$9:$BE$11</c:f>
                <c:numCache>
                  <c:formatCode>General</c:formatCode>
                  <c:ptCount val="3"/>
                  <c:pt idx="0">
                    <c:v>70</c:v>
                  </c:pt>
                  <c:pt idx="1">
                    <c:v>144</c:v>
                  </c:pt>
                  <c:pt idx="2">
                    <c:v>120</c:v>
                  </c:pt>
                </c:numCache>
              </c:numRef>
            </c:minus>
            <c:spPr>
              <a:noFill/>
              <a:ln w="9525">
                <a:solidFill>
                  <a:schemeClr val="tx2">
                    <a:lumMod val="75000"/>
                  </a:schemeClr>
                </a:solidFill>
                <a:round/>
              </a:ln>
              <a:effectLst/>
            </c:spPr>
          </c:errBars>
          <c:cat>
            <c:strRef>
              <c:f>'Exp 1'!$AU$9:$AU$11</c:f>
              <c:strCache>
                <c:ptCount val="3"/>
                <c:pt idx="0">
                  <c:v>JM+V1+0.5</c:v>
                </c:pt>
                <c:pt idx="1">
                  <c:v>JM+V1+1</c:v>
                </c:pt>
                <c:pt idx="2">
                  <c:v>JM+V1+2</c:v>
                </c:pt>
              </c:strCache>
            </c:strRef>
          </c:cat>
          <c:val>
            <c:numRef>
              <c:f>'Exp 1'!$AY$9:$AY$11</c:f>
              <c:numCache>
                <c:formatCode>General</c:formatCode>
                <c:ptCount val="3"/>
                <c:pt idx="0">
                  <c:v>468</c:v>
                </c:pt>
                <c:pt idx="1">
                  <c:v>560</c:v>
                </c:pt>
                <c:pt idx="2">
                  <c:v>230</c:v>
                </c:pt>
              </c:numCache>
            </c:numRef>
          </c:val>
          <c:extLst>
            <c:ext xmlns:c16="http://schemas.microsoft.com/office/drawing/2014/chart" uri="{C3380CC4-5D6E-409C-BE32-E72D297353CC}">
              <c16:uniqueId val="{00000000-9D73-4817-8A18-48035E739092}"/>
            </c:ext>
          </c:extLst>
        </c:ser>
        <c:dLbls>
          <c:showLegendKey val="0"/>
          <c:showVal val="0"/>
          <c:showCatName val="0"/>
          <c:showSerName val="0"/>
          <c:showPercent val="0"/>
          <c:showBubbleSize val="0"/>
        </c:dLbls>
        <c:gapWidth val="219"/>
        <c:axId val="1047800527"/>
        <c:axId val="1047797167"/>
      </c:barChart>
      <c:lineChart>
        <c:grouping val="standard"/>
        <c:varyColors val="0"/>
        <c:ser>
          <c:idx val="0"/>
          <c:order val="0"/>
          <c:tx>
            <c:strRef>
              <c:f>'Exp 1'!$AW$2</c:f>
              <c:strCache>
                <c:ptCount val="1"/>
                <c:pt idx="0">
                  <c:v>td (day)</c:v>
                </c:pt>
              </c:strCache>
            </c:strRef>
          </c:tx>
          <c:spPr>
            <a:ln w="31750" cap="rnd">
              <a:solidFill>
                <a:schemeClr val="accent1"/>
              </a:solidFill>
              <a:round/>
            </a:ln>
            <a:effectLst/>
          </c:spPr>
          <c:marker>
            <c:symbol val="none"/>
          </c:marker>
          <c:errBars>
            <c:errDir val="y"/>
            <c:errBarType val="both"/>
            <c:errValType val="cust"/>
            <c:noEndCap val="0"/>
            <c:plus>
              <c:numRef>
                <c:f>'Exp 1'!$BC$9:$BC$11</c:f>
                <c:numCache>
                  <c:formatCode>General</c:formatCode>
                  <c:ptCount val="3"/>
                  <c:pt idx="0">
                    <c:v>0.98</c:v>
                  </c:pt>
                  <c:pt idx="1">
                    <c:v>0.17</c:v>
                  </c:pt>
                  <c:pt idx="2">
                    <c:v>2.4300000000000002</c:v>
                  </c:pt>
                </c:numCache>
              </c:numRef>
            </c:plus>
            <c:minus>
              <c:numRef>
                <c:f>'Exp 1'!$BC$9:$BC$11</c:f>
                <c:numCache>
                  <c:formatCode>General</c:formatCode>
                  <c:ptCount val="3"/>
                  <c:pt idx="0">
                    <c:v>0.98</c:v>
                  </c:pt>
                  <c:pt idx="1">
                    <c:v>0.17</c:v>
                  </c:pt>
                  <c:pt idx="2">
                    <c:v>2.4300000000000002</c:v>
                  </c:pt>
                </c:numCache>
              </c:numRef>
            </c:minus>
            <c:spPr>
              <a:noFill/>
              <a:ln w="9525">
                <a:solidFill>
                  <a:schemeClr val="tx2">
                    <a:lumMod val="75000"/>
                  </a:schemeClr>
                </a:solidFill>
                <a:round/>
              </a:ln>
              <a:effectLst/>
            </c:spPr>
          </c:errBars>
          <c:cat>
            <c:strRef>
              <c:f>'Exp 1'!$AU$9:$AU$11</c:f>
              <c:strCache>
                <c:ptCount val="3"/>
                <c:pt idx="0">
                  <c:v>JM+V1+0.5</c:v>
                </c:pt>
                <c:pt idx="1">
                  <c:v>JM+V1+1</c:v>
                </c:pt>
                <c:pt idx="2">
                  <c:v>JM+V1+2</c:v>
                </c:pt>
              </c:strCache>
            </c:strRef>
          </c:cat>
          <c:val>
            <c:numRef>
              <c:f>'Exp 1'!$AW$9:$AW$11</c:f>
              <c:numCache>
                <c:formatCode>General</c:formatCode>
                <c:ptCount val="3"/>
                <c:pt idx="0">
                  <c:v>8.6300000000000008</c:v>
                </c:pt>
                <c:pt idx="1">
                  <c:v>2.94</c:v>
                </c:pt>
                <c:pt idx="2">
                  <c:v>9.23</c:v>
                </c:pt>
              </c:numCache>
            </c:numRef>
          </c:val>
          <c:smooth val="0"/>
          <c:extLst>
            <c:ext xmlns:c16="http://schemas.microsoft.com/office/drawing/2014/chart" uri="{C3380CC4-5D6E-409C-BE32-E72D297353CC}">
              <c16:uniqueId val="{00000001-9D73-4817-8A18-48035E739092}"/>
            </c:ext>
          </c:extLst>
        </c:ser>
        <c:dLbls>
          <c:showLegendKey val="0"/>
          <c:showVal val="0"/>
          <c:showCatName val="0"/>
          <c:showSerName val="0"/>
          <c:showPercent val="0"/>
          <c:showBubbleSize val="0"/>
        </c:dLbls>
        <c:marker val="1"/>
        <c:smooth val="0"/>
        <c:axId val="1242667023"/>
        <c:axId val="1242663663"/>
      </c:lineChart>
      <c:catAx>
        <c:axId val="104780052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it-IT"/>
          </a:p>
        </c:txPr>
        <c:crossAx val="1047797167"/>
        <c:crosses val="autoZero"/>
        <c:auto val="1"/>
        <c:lblAlgn val="ctr"/>
        <c:lblOffset val="100"/>
        <c:noMultiLvlLbl val="0"/>
      </c:catAx>
      <c:valAx>
        <c:axId val="1047797167"/>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it-IT" b="0"/>
                  <a:t> Q</a:t>
                </a:r>
                <a:r>
                  <a:rPr lang="it-IT" b="0" baseline="-25000"/>
                  <a:t>x</a:t>
                </a:r>
                <a:r>
                  <a:rPr lang="it-IT" b="0"/>
                  <a:t> (mg L</a:t>
                </a:r>
                <a:r>
                  <a:rPr lang="it-IT" b="0" baseline="30000"/>
                  <a:t>-1</a:t>
                </a:r>
                <a:r>
                  <a:rPr lang="it-IT" b="0"/>
                  <a:t> day</a:t>
                </a:r>
                <a:r>
                  <a:rPr lang="it-IT" b="0" baseline="30000"/>
                  <a:t>-1</a:t>
                </a:r>
                <a:r>
                  <a:rPr lang="it-IT" b="0"/>
                  <a:t>)</a:t>
                </a:r>
              </a:p>
            </c:rich>
          </c:tx>
          <c:layout>
            <c:manualLayout>
              <c:xMode val="edge"/>
              <c:yMode val="edge"/>
              <c:x val="6.3051928635502845E-3"/>
              <c:y val="0.2636482939632546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it-I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it-IT"/>
          </a:p>
        </c:txPr>
        <c:crossAx val="1047800527"/>
        <c:crosses val="autoZero"/>
        <c:crossBetween val="between"/>
      </c:valAx>
      <c:valAx>
        <c:axId val="1242663663"/>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it-IT" b="0"/>
                  <a:t>t</a:t>
                </a:r>
                <a:r>
                  <a:rPr lang="it-IT" b="0" baseline="-25000"/>
                  <a:t>d</a:t>
                </a:r>
                <a:r>
                  <a:rPr lang="it-IT" b="0"/>
                  <a:t> (day </a:t>
                </a:r>
                <a:r>
                  <a:rPr lang="it-IT" b="0" baseline="30000"/>
                  <a:t>-1</a:t>
                </a:r>
                <a:r>
                  <a:rPr lang="it-IT" b="0"/>
                  <a: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it-I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it-IT"/>
          </a:p>
        </c:txPr>
        <c:crossAx val="1242667023"/>
        <c:crosses val="max"/>
        <c:crossBetween val="between"/>
      </c:valAx>
      <c:catAx>
        <c:axId val="1242667023"/>
        <c:scaling>
          <c:orientation val="minMax"/>
        </c:scaling>
        <c:delete val="1"/>
        <c:axPos val="b"/>
        <c:numFmt formatCode="General" sourceLinked="1"/>
        <c:majorTickMark val="none"/>
        <c:minorTickMark val="none"/>
        <c:tickLblPos val="nextTo"/>
        <c:crossAx val="1242663663"/>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it-IT"/>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10121148649523"/>
          <c:y val="6.6139559541812235E-2"/>
          <c:w val="0.67642359922401007"/>
          <c:h val="0.83296515018955974"/>
        </c:manualLayout>
      </c:layout>
      <c:barChart>
        <c:barDir val="col"/>
        <c:grouping val="clustered"/>
        <c:varyColors val="0"/>
        <c:ser>
          <c:idx val="1"/>
          <c:order val="1"/>
          <c:tx>
            <c:strRef>
              <c:f>'Exp 1'!$AX$2</c:f>
              <c:strCache>
                <c:ptCount val="1"/>
                <c:pt idx="0">
                  <c:v>Xmax (g L-1)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'Exp 1'!$BD$9:$BD$11</c:f>
                <c:numCache>
                  <c:formatCode>General</c:formatCode>
                  <c:ptCount val="3"/>
                  <c:pt idx="0">
                    <c:v>7.0000000000000007E-2</c:v>
                  </c:pt>
                  <c:pt idx="1">
                    <c:v>0.156</c:v>
                  </c:pt>
                  <c:pt idx="2">
                    <c:v>0.2</c:v>
                  </c:pt>
                </c:numCache>
              </c:numRef>
            </c:plus>
            <c:minus>
              <c:numRef>
                <c:f>'Exp 1'!$BD$9:$BD$11</c:f>
                <c:numCache>
                  <c:formatCode>General</c:formatCode>
                  <c:ptCount val="3"/>
                  <c:pt idx="0">
                    <c:v>7.0000000000000007E-2</c:v>
                  </c:pt>
                  <c:pt idx="1">
                    <c:v>0.156</c:v>
                  </c:pt>
                  <c:pt idx="2">
                    <c:v>0.2</c:v>
                  </c:pt>
                </c:numCache>
              </c:numRef>
            </c:minus>
            <c:spPr>
              <a:noFill/>
              <a:ln w="9525">
                <a:solidFill>
                  <a:schemeClr val="tx2">
                    <a:lumMod val="75000"/>
                  </a:schemeClr>
                </a:solidFill>
                <a:round/>
              </a:ln>
              <a:effectLst/>
            </c:spPr>
          </c:errBars>
          <c:cat>
            <c:strRef>
              <c:f>'Exp 1'!$AU$9:$AU$11</c:f>
              <c:strCache>
                <c:ptCount val="3"/>
                <c:pt idx="0">
                  <c:v>JM+V1+0.5</c:v>
                </c:pt>
                <c:pt idx="1">
                  <c:v>JM+V1+1</c:v>
                </c:pt>
                <c:pt idx="2">
                  <c:v>JM+V1+2</c:v>
                </c:pt>
              </c:strCache>
            </c:strRef>
          </c:cat>
          <c:val>
            <c:numRef>
              <c:f>'Exp 1'!$AX$9:$AX$11</c:f>
              <c:numCache>
                <c:formatCode>General</c:formatCode>
                <c:ptCount val="3"/>
                <c:pt idx="0">
                  <c:v>5.9</c:v>
                </c:pt>
                <c:pt idx="1">
                  <c:v>5.29</c:v>
                </c:pt>
                <c:pt idx="2">
                  <c:v>4.83</c:v>
                </c:pt>
              </c:numCache>
            </c:numRef>
          </c:val>
          <c:extLst>
            <c:ext xmlns:c16="http://schemas.microsoft.com/office/drawing/2014/chart" uri="{C3380CC4-5D6E-409C-BE32-E72D297353CC}">
              <c16:uniqueId val="{00000000-852A-4A1D-9AC3-250E142C095B}"/>
            </c:ext>
          </c:extLst>
        </c:ser>
        <c:dLbls>
          <c:showLegendKey val="0"/>
          <c:showVal val="0"/>
          <c:showCatName val="0"/>
          <c:showSerName val="0"/>
          <c:showPercent val="0"/>
          <c:showBubbleSize val="0"/>
        </c:dLbls>
        <c:gapWidth val="219"/>
        <c:axId val="1047800527"/>
        <c:axId val="1047797167"/>
      </c:barChart>
      <c:lineChart>
        <c:grouping val="standard"/>
        <c:varyColors val="0"/>
        <c:ser>
          <c:idx val="0"/>
          <c:order val="0"/>
          <c:tx>
            <c:strRef>
              <c:f>'Exp 1'!$AV$2</c:f>
              <c:strCache>
                <c:ptCount val="1"/>
                <c:pt idx="0">
                  <c:v>μ (day-1)</c:v>
                </c:pt>
              </c:strCache>
            </c:strRef>
          </c:tx>
          <c:spPr>
            <a:ln w="31750" cap="rnd">
              <a:solidFill>
                <a:schemeClr val="accent1"/>
              </a:solidFill>
              <a:round/>
            </a:ln>
            <a:effectLst/>
          </c:spPr>
          <c:marker>
            <c:symbol val="none"/>
          </c:marker>
          <c:errBars>
            <c:errDir val="y"/>
            <c:errBarType val="both"/>
            <c:errValType val="cust"/>
            <c:noEndCap val="0"/>
            <c:plus>
              <c:numRef>
                <c:f>'Exp 1'!$BB$9:$BB$11</c:f>
                <c:numCache>
                  <c:formatCode>General</c:formatCode>
                  <c:ptCount val="3"/>
                  <c:pt idx="0">
                    <c:v>0.01</c:v>
                  </c:pt>
                  <c:pt idx="1">
                    <c:v>0.02</c:v>
                  </c:pt>
                  <c:pt idx="2">
                    <c:v>0.03</c:v>
                  </c:pt>
                </c:numCache>
              </c:numRef>
            </c:plus>
            <c:minus>
              <c:numRef>
                <c:f>'Exp 1'!$BB$9:$BB$11</c:f>
                <c:numCache>
                  <c:formatCode>General</c:formatCode>
                  <c:ptCount val="3"/>
                  <c:pt idx="0">
                    <c:v>0.01</c:v>
                  </c:pt>
                  <c:pt idx="1">
                    <c:v>0.02</c:v>
                  </c:pt>
                  <c:pt idx="2">
                    <c:v>0.03</c:v>
                  </c:pt>
                </c:numCache>
              </c:numRef>
            </c:minus>
            <c:spPr>
              <a:noFill/>
              <a:ln w="9525">
                <a:solidFill>
                  <a:schemeClr val="tx2">
                    <a:lumMod val="75000"/>
                  </a:schemeClr>
                </a:solidFill>
                <a:round/>
              </a:ln>
              <a:effectLst/>
            </c:spPr>
          </c:errBars>
          <c:cat>
            <c:strRef>
              <c:f>'Exp 1'!$AU$9:$AU$11</c:f>
              <c:strCache>
                <c:ptCount val="3"/>
                <c:pt idx="0">
                  <c:v>JM+V1+0.5</c:v>
                </c:pt>
                <c:pt idx="1">
                  <c:v>JM+V1+1</c:v>
                </c:pt>
                <c:pt idx="2">
                  <c:v>JM+V1+2</c:v>
                </c:pt>
              </c:strCache>
            </c:strRef>
          </c:cat>
          <c:val>
            <c:numRef>
              <c:f>'Exp 1'!$AV$9:$AV$11</c:f>
              <c:numCache>
                <c:formatCode>General</c:formatCode>
                <c:ptCount val="3"/>
                <c:pt idx="0">
                  <c:v>8.5999999999999993E-2</c:v>
                </c:pt>
                <c:pt idx="1">
                  <c:v>0.24</c:v>
                </c:pt>
                <c:pt idx="2">
                  <c:v>0.05</c:v>
                </c:pt>
              </c:numCache>
            </c:numRef>
          </c:val>
          <c:smooth val="0"/>
          <c:extLst>
            <c:ext xmlns:c16="http://schemas.microsoft.com/office/drawing/2014/chart" uri="{C3380CC4-5D6E-409C-BE32-E72D297353CC}">
              <c16:uniqueId val="{00000001-852A-4A1D-9AC3-250E142C095B}"/>
            </c:ext>
          </c:extLst>
        </c:ser>
        <c:dLbls>
          <c:showLegendKey val="0"/>
          <c:showVal val="0"/>
          <c:showCatName val="0"/>
          <c:showSerName val="0"/>
          <c:showPercent val="0"/>
          <c:showBubbleSize val="0"/>
        </c:dLbls>
        <c:marker val="1"/>
        <c:smooth val="0"/>
        <c:axId val="1242667023"/>
        <c:axId val="1242663663"/>
      </c:lineChart>
      <c:catAx>
        <c:axId val="104780052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it-IT"/>
          </a:p>
        </c:txPr>
        <c:crossAx val="1047797167"/>
        <c:crosses val="autoZero"/>
        <c:auto val="1"/>
        <c:lblAlgn val="ctr"/>
        <c:lblOffset val="100"/>
        <c:noMultiLvlLbl val="0"/>
      </c:catAx>
      <c:valAx>
        <c:axId val="1047797167"/>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it-IT" b="0"/>
                  <a:t> X</a:t>
                </a:r>
                <a:r>
                  <a:rPr lang="it-IT" b="0" baseline="-25000"/>
                  <a:t>max</a:t>
                </a:r>
                <a:r>
                  <a:rPr lang="it-IT" b="0"/>
                  <a:t> (g L</a:t>
                </a:r>
                <a:r>
                  <a:rPr lang="it-IT" b="0" baseline="30000"/>
                  <a:t>-1</a:t>
                </a:r>
                <a:r>
                  <a:rPr lang="it-IT" b="0"/>
                  <a: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it-I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it-IT"/>
          </a:p>
        </c:txPr>
        <c:crossAx val="1047800527"/>
        <c:crosses val="autoZero"/>
        <c:crossBetween val="between"/>
      </c:valAx>
      <c:valAx>
        <c:axId val="1242663663"/>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l-GR" b="0"/>
                  <a:t>μ (</a:t>
                </a:r>
                <a:r>
                  <a:rPr lang="it-IT" b="0"/>
                  <a:t>day</a:t>
                </a:r>
                <a:r>
                  <a:rPr lang="it-IT" b="0" baseline="30000"/>
                  <a:t>-1</a:t>
                </a:r>
                <a:r>
                  <a:rPr lang="it-IT" b="0"/>
                  <a: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it-I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it-IT"/>
          </a:p>
        </c:txPr>
        <c:crossAx val="1242667023"/>
        <c:crosses val="max"/>
        <c:crossBetween val="between"/>
      </c:valAx>
      <c:catAx>
        <c:axId val="1242667023"/>
        <c:scaling>
          <c:orientation val="minMax"/>
        </c:scaling>
        <c:delete val="1"/>
        <c:axPos val="b"/>
        <c:numFmt formatCode="General" sourceLinked="1"/>
        <c:majorTickMark val="none"/>
        <c:minorTickMark val="none"/>
        <c:tickLblPos val="nextTo"/>
        <c:crossAx val="1242663663"/>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it-IT"/>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0.95529</cdr:x>
      <cdr:y>0.01838</cdr:y>
    </cdr:from>
    <cdr:to>
      <cdr:x>1</cdr:x>
      <cdr:y>0.11484</cdr:y>
    </cdr:to>
    <cdr:sp macro="" textlink="">
      <cdr:nvSpPr>
        <cdr:cNvPr id="2" name="Casella di testo 1"/>
        <cdr:cNvSpPr txBox="1"/>
      </cdr:nvSpPr>
      <cdr:spPr>
        <a:xfrm xmlns:a="http://schemas.openxmlformats.org/drawingml/2006/main">
          <a:off x="2875339" y="42286"/>
          <a:ext cx="134561" cy="221992"/>
        </a:xfrm>
        <a:prstGeom xmlns:a="http://schemas.openxmlformats.org/drawingml/2006/main" prst="rect">
          <a:avLst/>
        </a:prstGeom>
        <a:solidFill xmlns:a="http://schemas.openxmlformats.org/drawingml/2006/main">
          <a:prstClr val="white"/>
        </a:solidFill>
        <a:ln xmlns:a="http://schemas.openxmlformats.org/drawingml/2006/main">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just">
            <a:lnSpc>
              <a:spcPct val="110000"/>
            </a:lnSpc>
            <a:buNone/>
          </a:pPr>
          <a:r>
            <a:rPr lang="en-GB" sz="1000" b="0">
              <a:solidFill>
                <a:sysClr val="windowText" lastClr="000000"/>
              </a:solidFill>
              <a:effectLst/>
              <a:latin typeface="Arial" panose="020B0604020202020204" pitchFamily="34" charset="0"/>
              <a:ea typeface="SimSun" panose="02010600030101010101" pitchFamily="2" charset="-122"/>
            </a:rPr>
            <a:t>b)</a:t>
          </a:r>
          <a:endParaRPr lang="it-IT" sz="900" b="1">
            <a:solidFill>
              <a:sysClr val="windowText" lastClr="000000"/>
            </a:solidFill>
            <a:effectLst/>
            <a:latin typeface="Times New Roman" panose="02020603050405020304" pitchFamily="18" charset="0"/>
            <a:ea typeface="SimSun" panose="02010600030101010101" pitchFamily="2" charset="-122"/>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0.92163</cdr:x>
      <cdr:y>0.00331</cdr:y>
    </cdr:from>
    <cdr:to>
      <cdr:x>0.96677</cdr:x>
      <cdr:y>0.09978</cdr:y>
    </cdr:to>
    <cdr:sp macro="" textlink="">
      <cdr:nvSpPr>
        <cdr:cNvPr id="2" name="Casella di testo 1"/>
        <cdr:cNvSpPr txBox="1"/>
      </cdr:nvSpPr>
      <cdr:spPr>
        <a:xfrm xmlns:a="http://schemas.openxmlformats.org/drawingml/2006/main">
          <a:off x="2747082" y="7620"/>
          <a:ext cx="134548" cy="222001"/>
        </a:xfrm>
        <a:prstGeom xmlns:a="http://schemas.openxmlformats.org/drawingml/2006/main" prst="rect">
          <a:avLst/>
        </a:prstGeom>
        <a:solidFill xmlns:a="http://schemas.openxmlformats.org/drawingml/2006/main">
          <a:prstClr val="white"/>
        </a:solidFill>
        <a:ln xmlns:a="http://schemas.openxmlformats.org/drawingml/2006/main">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10000"/>
            </a:lnSpc>
            <a:buNone/>
          </a:pPr>
          <a:r>
            <a:rPr lang="en-GB" sz="1000" b="0">
              <a:solidFill>
                <a:sysClr val="windowText" lastClr="000000"/>
              </a:solidFill>
              <a:effectLst/>
              <a:latin typeface="Arial" panose="020B0604020202020204" pitchFamily="34" charset="0"/>
              <a:ea typeface="SimSun" panose="02010600030101010101" pitchFamily="2" charset="-122"/>
            </a:rPr>
            <a:t>a)</a:t>
          </a:r>
          <a:endParaRPr lang="it-IT" sz="900" b="1">
            <a:solidFill>
              <a:sysClr val="windowText" lastClr="000000"/>
            </a:solidFill>
            <a:effectLst/>
            <a:latin typeface="Times New Roman" panose="02020603050405020304" pitchFamily="18" charset="0"/>
            <a:ea typeface="SimSun" panose="02010600030101010101" pitchFamily="2" charset="-122"/>
          </a:endParaRPr>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3369</Words>
  <Characters>19204</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Dipartimento CMIC - Politecnico di Milano</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Alessandro Concas</cp:lastModifiedBy>
  <cp:revision>12</cp:revision>
  <cp:lastPrinted>2014-03-24T07:52:00Z</cp:lastPrinted>
  <dcterms:created xsi:type="dcterms:W3CDTF">2026-03-24T11:37:00Z</dcterms:created>
  <dcterms:modified xsi:type="dcterms:W3CDTF">2026-03-26T12:42:00Z</dcterms:modified>
</cp:coreProperties>
</file>