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9C71C4">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9C71C4">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9C71C4">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770AE42" w:rsidR="00E978D0" w:rsidRPr="008E77B0" w:rsidRDefault="00DF6B90" w:rsidP="00E978D0">
      <w:pPr>
        <w:pStyle w:val="CETTitle"/>
      </w:pPr>
      <w:r>
        <w:t>SDBS Adsorption on Palm Kernel Activated Carbon and Its Effect on API 80Q Steel Corrosion</w:t>
      </w:r>
    </w:p>
    <w:p w14:paraId="63FA2FEF" w14:textId="0897C917" w:rsidR="001606A3" w:rsidRPr="001404F6" w:rsidRDefault="00327315" w:rsidP="00561832">
      <w:pPr>
        <w:pStyle w:val="CETAuthors"/>
        <w:jc w:val="center"/>
        <w:rPr>
          <w:szCs w:val="24"/>
          <w:lang w:val="es-CO"/>
        </w:rPr>
      </w:pPr>
      <w:r w:rsidRPr="001404F6">
        <w:rPr>
          <w:szCs w:val="24"/>
          <w:lang w:val="es-CO"/>
        </w:rPr>
        <w:t>Darío Peña</w:t>
      </w:r>
      <w:r w:rsidRPr="001404F6">
        <w:rPr>
          <w:szCs w:val="24"/>
          <w:vertAlign w:val="superscript"/>
          <w:lang w:val="es-CO"/>
        </w:rPr>
        <w:t>*,a</w:t>
      </w:r>
      <w:r w:rsidRPr="001404F6">
        <w:rPr>
          <w:szCs w:val="24"/>
          <w:lang w:val="es-CO"/>
        </w:rPr>
        <w:t>, Oscar Higuera</w:t>
      </w:r>
      <w:r w:rsidRPr="001404F6">
        <w:rPr>
          <w:szCs w:val="24"/>
          <w:vertAlign w:val="superscript"/>
          <w:lang w:val="es-CO"/>
        </w:rPr>
        <w:t xml:space="preserve"> a</w:t>
      </w:r>
      <w:r w:rsidRPr="001404F6">
        <w:rPr>
          <w:szCs w:val="24"/>
          <w:lang w:val="es-CO"/>
        </w:rPr>
        <w:t>, Carlos Galán</w:t>
      </w:r>
      <w:r w:rsidRPr="001404F6">
        <w:rPr>
          <w:szCs w:val="24"/>
          <w:vertAlign w:val="superscript"/>
          <w:lang w:val="es-CO"/>
        </w:rPr>
        <w:t xml:space="preserve"> a</w:t>
      </w:r>
      <w:r w:rsidRPr="001404F6">
        <w:rPr>
          <w:szCs w:val="24"/>
          <w:lang w:val="es-CO"/>
        </w:rPr>
        <w:t>, Nicolas Santos</w:t>
      </w:r>
      <w:r w:rsidRPr="001404F6">
        <w:rPr>
          <w:szCs w:val="24"/>
          <w:vertAlign w:val="superscript"/>
          <w:lang w:val="es-CO"/>
        </w:rPr>
        <w:t xml:space="preserve"> c</w:t>
      </w:r>
      <w:r w:rsidRPr="001404F6">
        <w:rPr>
          <w:szCs w:val="24"/>
          <w:lang w:val="es-CO"/>
        </w:rPr>
        <w:t>,</w:t>
      </w:r>
      <w:r w:rsidR="003E31D0" w:rsidRPr="001404F6">
        <w:rPr>
          <w:lang w:val="es-CO"/>
        </w:rPr>
        <w:t xml:space="preserve"> </w:t>
      </w:r>
      <w:r w:rsidR="003E31D0" w:rsidRPr="001404F6">
        <w:rPr>
          <w:szCs w:val="24"/>
          <w:lang w:val="es-CO"/>
        </w:rPr>
        <w:t>Hugo</w:t>
      </w:r>
      <w:r w:rsidR="00B4219E" w:rsidRPr="001404F6">
        <w:rPr>
          <w:szCs w:val="24"/>
          <w:lang w:val="es-CO"/>
        </w:rPr>
        <w:t xml:space="preserve"> </w:t>
      </w:r>
      <w:r w:rsidR="003E31D0" w:rsidRPr="001404F6">
        <w:rPr>
          <w:szCs w:val="24"/>
          <w:lang w:val="es-CO"/>
        </w:rPr>
        <w:t>Estupiñan</w:t>
      </w:r>
      <w:r w:rsidR="00B4219E" w:rsidRPr="001404F6">
        <w:rPr>
          <w:szCs w:val="24"/>
          <w:vertAlign w:val="superscript"/>
          <w:lang w:val="es-CO"/>
        </w:rPr>
        <w:t xml:space="preserve"> d</w:t>
      </w:r>
      <w:r w:rsidRPr="001404F6">
        <w:rPr>
          <w:szCs w:val="24"/>
          <w:lang w:val="es-CO"/>
        </w:rPr>
        <w:t xml:space="preserve">  </w:t>
      </w:r>
      <w:r w:rsidR="003E31D0" w:rsidRPr="001404F6">
        <w:rPr>
          <w:szCs w:val="24"/>
          <w:lang w:val="es-CO"/>
        </w:rPr>
        <w:t xml:space="preserve">, </w:t>
      </w:r>
      <w:r w:rsidRPr="001404F6">
        <w:rPr>
          <w:szCs w:val="24"/>
          <w:lang w:val="es-CO"/>
        </w:rPr>
        <w:t>Adan León</w:t>
      </w:r>
      <w:r w:rsidRPr="001404F6">
        <w:rPr>
          <w:szCs w:val="24"/>
          <w:vertAlign w:val="superscript"/>
          <w:lang w:val="es-CO"/>
        </w:rPr>
        <w:t xml:space="preserve"> a,b</w:t>
      </w:r>
    </w:p>
    <w:p w14:paraId="34AA50C0" w14:textId="77777777" w:rsidR="00B4219E" w:rsidRPr="008E77B0" w:rsidRDefault="00B4219E" w:rsidP="00B4219E">
      <w:pPr>
        <w:rPr>
          <w:rFonts w:cs="Arial"/>
          <w:sz w:val="16"/>
          <w:szCs w:val="16"/>
          <w:lang w:val="es-CO"/>
        </w:rPr>
      </w:pPr>
      <w:r w:rsidRPr="008E77B0">
        <w:rPr>
          <w:rFonts w:cs="Arial"/>
          <w:sz w:val="16"/>
          <w:szCs w:val="16"/>
          <w:vertAlign w:val="superscript"/>
          <w:lang w:val="es-CO"/>
        </w:rPr>
        <w:t>a</w:t>
      </w:r>
      <w:r w:rsidRPr="008E77B0">
        <w:rPr>
          <w:rFonts w:cs="Arial"/>
          <w:sz w:val="16"/>
          <w:szCs w:val="16"/>
          <w:lang w:val="es-CO"/>
        </w:rPr>
        <w:t>Universidad Industrial Santander, Escuela de Ingeniería Metalúrgica y Ciencia de los Materiales, Grupo de Investigaciones en Corrosión – GIC, cra 27 calle 9, Bucaramanga –Santander, Colombia</w:t>
      </w:r>
    </w:p>
    <w:p w14:paraId="04E8AF38" w14:textId="77777777" w:rsidR="00B4219E" w:rsidRPr="008E77B0" w:rsidRDefault="00B4219E" w:rsidP="00B4219E">
      <w:pPr>
        <w:rPr>
          <w:rFonts w:cs="Arial"/>
          <w:sz w:val="16"/>
          <w:szCs w:val="16"/>
          <w:lang w:val="es-CO"/>
        </w:rPr>
      </w:pPr>
      <w:r w:rsidRPr="008E77B0">
        <w:rPr>
          <w:rFonts w:cs="Arial"/>
          <w:sz w:val="16"/>
          <w:szCs w:val="16"/>
          <w:vertAlign w:val="superscript"/>
          <w:lang w:val="es-CO"/>
        </w:rPr>
        <w:t>b</w:t>
      </w:r>
      <w:r w:rsidRPr="008E77B0">
        <w:rPr>
          <w:rFonts w:cs="Arial"/>
          <w:sz w:val="16"/>
          <w:szCs w:val="16"/>
          <w:lang w:val="es-CO"/>
        </w:rPr>
        <w:t>Universidad Industrial Santander, Escuela de Ingeniería de Petróleos, Grupo de Investigación Recobro Mejorado – GRM, cra 27 calle 9, Bucaramanga –Santander, Colombia</w:t>
      </w:r>
    </w:p>
    <w:p w14:paraId="6D96A62C" w14:textId="1534867A" w:rsidR="00B4219E" w:rsidRPr="008E77B0" w:rsidRDefault="00B4219E" w:rsidP="00B4219E">
      <w:pPr>
        <w:rPr>
          <w:rFonts w:cs="Arial"/>
          <w:sz w:val="16"/>
          <w:szCs w:val="16"/>
          <w:lang w:val="es-CO"/>
        </w:rPr>
      </w:pPr>
      <w:r w:rsidRPr="008E77B0">
        <w:rPr>
          <w:rFonts w:cs="Arial"/>
          <w:sz w:val="16"/>
          <w:szCs w:val="16"/>
          <w:vertAlign w:val="superscript"/>
          <w:lang w:val="es-CO"/>
        </w:rPr>
        <w:t>c</w:t>
      </w:r>
      <w:r w:rsidRPr="008E77B0">
        <w:rPr>
          <w:rFonts w:cs="Arial"/>
          <w:sz w:val="16"/>
          <w:szCs w:val="16"/>
          <w:lang w:val="es-CO"/>
        </w:rPr>
        <w:t>Universidad Industrial Santander, Escuela de Ingeniería de Petróleos, Grupo de Investigación en Tomografía Computarizada para Caracterización de Yacimientos GIT, cra 27 calle 9, Bucaramanga –Santander, Colombia.</w:t>
      </w:r>
    </w:p>
    <w:p w14:paraId="1B17AEAB" w14:textId="699490FF" w:rsidR="008233C7" w:rsidRPr="008E77B0" w:rsidRDefault="00AF315E" w:rsidP="00B4219E">
      <w:pPr>
        <w:rPr>
          <w:rFonts w:cs="Arial"/>
          <w:sz w:val="16"/>
          <w:szCs w:val="16"/>
          <w:lang w:val="es-CO"/>
        </w:rPr>
      </w:pPr>
      <w:r w:rsidRPr="008E77B0">
        <w:rPr>
          <w:rFonts w:cs="Arial"/>
          <w:sz w:val="16"/>
          <w:szCs w:val="16"/>
          <w:vertAlign w:val="superscript"/>
          <w:lang w:val="es-CO"/>
        </w:rPr>
        <w:t>d</w:t>
      </w:r>
      <w:r w:rsidR="008233C7" w:rsidRPr="008E77B0">
        <w:rPr>
          <w:rFonts w:cs="Arial"/>
          <w:sz w:val="16"/>
          <w:szCs w:val="16"/>
          <w:lang w:val="es-CO"/>
        </w:rPr>
        <w:t xml:space="preserve">Universidad Nacional de Colombia, Facultad de Minas, </w:t>
      </w:r>
      <w:r w:rsidR="00A814D5" w:rsidRPr="008E77B0">
        <w:rPr>
          <w:rFonts w:cs="Arial"/>
          <w:sz w:val="16"/>
          <w:szCs w:val="16"/>
          <w:lang w:val="es-CO"/>
        </w:rPr>
        <w:t xml:space="preserve">cra </w:t>
      </w:r>
      <w:r w:rsidRPr="008E77B0">
        <w:rPr>
          <w:rFonts w:cs="Arial"/>
          <w:sz w:val="16"/>
          <w:szCs w:val="16"/>
          <w:lang w:val="es-CO"/>
        </w:rPr>
        <w:t>80 No 65-223</w:t>
      </w:r>
      <w:r w:rsidR="00A814D5" w:rsidRPr="008E77B0">
        <w:rPr>
          <w:rFonts w:cs="Arial"/>
          <w:sz w:val="16"/>
          <w:szCs w:val="16"/>
          <w:lang w:val="es-CO"/>
        </w:rPr>
        <w:t xml:space="preserve"> </w:t>
      </w:r>
      <w:r w:rsidRPr="008E77B0">
        <w:rPr>
          <w:rFonts w:cs="Arial"/>
          <w:sz w:val="16"/>
          <w:szCs w:val="16"/>
          <w:lang w:val="es-CO"/>
        </w:rPr>
        <w:t>- Campus Robledo Medellín, Colombia</w:t>
      </w:r>
      <w:r w:rsidR="00A814D5" w:rsidRPr="008E77B0">
        <w:rPr>
          <w:rFonts w:cs="Arial"/>
          <w:sz w:val="16"/>
          <w:szCs w:val="16"/>
          <w:lang w:val="es-CO"/>
        </w:rPr>
        <w:t>.</w:t>
      </w:r>
    </w:p>
    <w:p w14:paraId="56567FFA" w14:textId="77777777" w:rsidR="008233C7" w:rsidRPr="001404F6" w:rsidRDefault="008233C7" w:rsidP="00B4219E">
      <w:pPr>
        <w:rPr>
          <w:rFonts w:ascii="Times New Roman" w:hAnsi="Times New Roman"/>
          <w:i/>
          <w:sz w:val="21"/>
          <w:szCs w:val="21"/>
          <w:lang w:val="es-CO"/>
        </w:rPr>
      </w:pPr>
    </w:p>
    <w:p w14:paraId="4771D3FB" w14:textId="548A02D4" w:rsidR="00B4219E" w:rsidRPr="00DF6B90" w:rsidRDefault="00E34557" w:rsidP="00B4219E">
      <w:pPr>
        <w:rPr>
          <w:rFonts w:ascii="Times New Roman" w:hAnsi="Times New Roman"/>
          <w:lang w:val="en-US"/>
        </w:rPr>
      </w:pPr>
      <w:hyperlink r:id="rId10" w:history="1">
        <w:r w:rsidR="00B4219E" w:rsidRPr="00DF6B90">
          <w:rPr>
            <w:rStyle w:val="Hipervnculo"/>
            <w:rFonts w:ascii="Times New Roman" w:hAnsi="Times New Roman"/>
            <w:color w:val="auto"/>
            <w:lang w:val="en-US"/>
          </w:rPr>
          <w:t>dypena@uis.edu.co</w:t>
        </w:r>
      </w:hyperlink>
    </w:p>
    <w:p w14:paraId="1DA96191" w14:textId="77777777" w:rsidR="00B4219E" w:rsidRPr="00DF6B90" w:rsidRDefault="00B4219E" w:rsidP="0067403B">
      <w:pPr>
        <w:rPr>
          <w:rFonts w:cs="Arial"/>
          <w:sz w:val="16"/>
          <w:szCs w:val="16"/>
          <w:vertAlign w:val="superscript"/>
          <w:lang w:val="en-US"/>
        </w:rPr>
      </w:pPr>
    </w:p>
    <w:p w14:paraId="32EBC5E9" w14:textId="3052EEFB" w:rsidR="00DE077F" w:rsidRPr="00246963" w:rsidRDefault="001765D8" w:rsidP="00DE077F">
      <w:pPr>
        <w:rPr>
          <w:lang w:val="en-US"/>
        </w:rPr>
      </w:pPr>
      <w:r w:rsidRPr="001765D8">
        <w:rPr>
          <w:lang w:val="en-US"/>
        </w:rPr>
        <w:t>Approximately 300 million barrels of w</w:t>
      </w:r>
      <w:r>
        <w:rPr>
          <w:lang w:val="en-US"/>
        </w:rPr>
        <w:t>ater are produced daily from hydrocarbon extraction worldwide, highlighting the need for improved treatment and disposal methods. In chemical oil recovery</w:t>
      </w:r>
      <w:r w:rsidR="00246963">
        <w:rPr>
          <w:lang w:val="en-US"/>
        </w:rPr>
        <w:t xml:space="preserve"> using SDBS (sodium dodecyl benzene sulfonate), surfactant-emulsified water is generated, which can affect the integrity of production and transport pipelines. This study evaluates activated carbon derived from palm kernel shells for two purposes: removal of SDBS from produced water and analysis of its impact on the corrosion of API N-80Q steel. Activated carbon was prepared using an H</w:t>
      </w:r>
      <w:r w:rsidR="00246963">
        <w:rPr>
          <w:vertAlign w:val="subscript"/>
          <w:lang w:val="en-US"/>
        </w:rPr>
        <w:t>3</w:t>
      </w:r>
      <w:r w:rsidR="00246963">
        <w:rPr>
          <w:lang w:val="en-US"/>
        </w:rPr>
        <w:t>PO</w:t>
      </w:r>
      <w:r w:rsidR="00246963">
        <w:rPr>
          <w:vertAlign w:val="subscript"/>
          <w:lang w:val="en-US"/>
        </w:rPr>
        <w:t>4</w:t>
      </w:r>
      <w:r w:rsidR="00246963">
        <w:rPr>
          <w:lang w:val="en-US"/>
        </w:rPr>
        <w:t xml:space="preserve"> impregnation ratio (0.2:1) and pyrolyzed at 430 °C for 30 minutes. Bet analysis showed a surfaces area of approximately 800 m</w:t>
      </w:r>
      <w:r w:rsidR="00246963">
        <w:rPr>
          <w:vertAlign w:val="superscript"/>
          <w:lang w:val="en-US"/>
        </w:rPr>
        <w:t>2</w:t>
      </w:r>
      <w:r w:rsidR="00246963">
        <w:rPr>
          <w:lang w:val="en-US"/>
        </w:rPr>
        <w:t>/g, while FTIR-ATR confirmed the presence of aromatic, alkyl, and carbonyl functional groups. In synthetic water containing 1000 ppm of SDBS, the activated carbon achieved around 90% removal efficiency, attributed to its pore distribution and active sites. Tests were conducted ad 25 °C and 65 °C. Electrochemical measurements, including open circuit potential (OCP), linear polarization, and Tafel extrapolation, were performed using an EMSTAT 4SHR potentiostat. Results indicate that temperature and SDBS concentration are the main factors influencing the corrosion rate of API N-80Q steel.</w:t>
      </w:r>
    </w:p>
    <w:p w14:paraId="5F08148F" w14:textId="26851AFD" w:rsidR="001765D8" w:rsidRPr="001765D8" w:rsidRDefault="001765D8" w:rsidP="00DE077F">
      <w:pPr>
        <w:rPr>
          <w:lang w:val="en-US"/>
        </w:rPr>
      </w:pPr>
    </w:p>
    <w:p w14:paraId="24C36A00" w14:textId="59E5AF3B" w:rsidR="00DE077F" w:rsidRPr="008E77B0" w:rsidRDefault="00404EF7" w:rsidP="00DE077F">
      <w:pPr>
        <w:rPr>
          <w:rFonts w:cs="Arial"/>
        </w:rPr>
      </w:pPr>
      <w:r w:rsidRPr="008E77B0">
        <w:rPr>
          <w:rFonts w:cs="Arial"/>
        </w:rPr>
        <w:t xml:space="preserve">Approximately 300 million barrels of water are </w:t>
      </w:r>
      <w:r w:rsidR="0075626D">
        <w:rPr>
          <w:rFonts w:cs="Arial"/>
        </w:rPr>
        <w:t>p</w:t>
      </w:r>
      <w:r w:rsidRPr="008E77B0">
        <w:rPr>
          <w:rFonts w:cs="Arial"/>
        </w:rPr>
        <w:t>roduced by the hydrocarbon extraction process worldwide each day. Therefore, new studies and tools are needed to treat and dispose of this water in surface projects. During the process of chemical oil recovery using SDBS (sodium dodecylbenzene sulfonate), surfactant-emulsified water is produced. The composition of this water can affect the integrity of production and transport pipelines. This research explores the use of activated carbons derived from palm kernel shells for two purposes: firstly, to remove the surfactant S</w:t>
      </w:r>
      <w:r w:rsidR="00326130">
        <w:rPr>
          <w:rFonts w:cs="Arial"/>
        </w:rPr>
        <w:t>DB</w:t>
      </w:r>
      <w:r w:rsidRPr="008E77B0">
        <w:rPr>
          <w:rFonts w:cs="Arial"/>
        </w:rPr>
        <w:t>S from production waters; and secondly, to analyses the impact of water quality on the integrity of API N-80Q steel. In the first stage, activated carbon was prepared from palm kernel shell with an H</w:t>
      </w:r>
      <w:r w:rsidRPr="006A1BFB">
        <w:rPr>
          <w:rFonts w:cs="Arial"/>
          <w:vertAlign w:val="subscript"/>
        </w:rPr>
        <w:t>3</w:t>
      </w:r>
      <w:r w:rsidRPr="008E77B0">
        <w:rPr>
          <w:rFonts w:cs="Arial"/>
        </w:rPr>
        <w:t>PO</w:t>
      </w:r>
      <w:r w:rsidRPr="006A1BFB">
        <w:rPr>
          <w:rFonts w:cs="Arial"/>
          <w:vertAlign w:val="subscript"/>
        </w:rPr>
        <w:t>4</w:t>
      </w:r>
      <w:r w:rsidRPr="008E77B0">
        <w:rPr>
          <w:rFonts w:cs="Arial"/>
        </w:rPr>
        <w:t xml:space="preserve"> impregnation ratio (0.2:1). The pyrolysis test was then performed in a tubular reactor at 4</w:t>
      </w:r>
      <w:r w:rsidR="00326130">
        <w:rPr>
          <w:rFonts w:cs="Arial"/>
        </w:rPr>
        <w:t>3</w:t>
      </w:r>
      <w:r w:rsidRPr="008E77B0">
        <w:rPr>
          <w:rFonts w:cs="Arial"/>
        </w:rPr>
        <w:t xml:space="preserve">0 °C for </w:t>
      </w:r>
      <w:r w:rsidR="00326130">
        <w:rPr>
          <w:rFonts w:cs="Arial"/>
        </w:rPr>
        <w:t>30 minutes</w:t>
      </w:r>
      <w:r w:rsidRPr="008E77B0">
        <w:rPr>
          <w:rFonts w:cs="Arial"/>
        </w:rPr>
        <w:t>. The BET (</w:t>
      </w:r>
      <w:proofErr w:type="spellStart"/>
      <w:r w:rsidRPr="008E77B0">
        <w:rPr>
          <w:rFonts w:cs="Arial"/>
        </w:rPr>
        <w:t>Brun</w:t>
      </w:r>
      <w:r w:rsidR="00326130">
        <w:rPr>
          <w:rFonts w:cs="Arial"/>
        </w:rPr>
        <w:t>au</w:t>
      </w:r>
      <w:r w:rsidRPr="008E77B0">
        <w:rPr>
          <w:rFonts w:cs="Arial"/>
        </w:rPr>
        <w:t>er</w:t>
      </w:r>
      <w:proofErr w:type="spellEnd"/>
      <w:r w:rsidRPr="008E77B0">
        <w:rPr>
          <w:rFonts w:cs="Arial"/>
        </w:rPr>
        <w:t>-Emmett-Teller) results showed that the surface area of the activated carbon was approximately 8</w:t>
      </w:r>
      <w:r w:rsidR="00BB1A76">
        <w:rPr>
          <w:rFonts w:cs="Arial"/>
        </w:rPr>
        <w:t>0</w:t>
      </w:r>
      <w:r w:rsidRPr="008E77B0">
        <w:rPr>
          <w:rFonts w:cs="Arial"/>
        </w:rPr>
        <w:t>0 m</w:t>
      </w:r>
      <w:r w:rsidRPr="00BB1A76">
        <w:rPr>
          <w:rFonts w:cs="Arial"/>
          <w:vertAlign w:val="superscript"/>
        </w:rPr>
        <w:t>2</w:t>
      </w:r>
      <w:r w:rsidRPr="008E77B0">
        <w:rPr>
          <w:rFonts w:cs="Arial"/>
        </w:rPr>
        <w:t>/g. Additionally, FTIR-ATR infrared spectroscopy data revealed the presence of functional groups associated with aromatic, alkyl, and carbonyl species. In synthetic water containing 1000 ppm of SDBS, activated carbon demonstrated an efficiency of around 9</w:t>
      </w:r>
      <w:r w:rsidR="00CB10F7">
        <w:rPr>
          <w:rFonts w:cs="Arial"/>
        </w:rPr>
        <w:t>0</w:t>
      </w:r>
      <w:r w:rsidRPr="008E77B0">
        <w:rPr>
          <w:rFonts w:cs="Arial"/>
        </w:rPr>
        <w:t>% in removing the substance. This can be attributed to the availability of active sites and the pore distribution of the activated carbon. The tests were performed at ambient (25 °C) and reservoir (65 °C) temperatures. To this purpose, an electrochemical cell was constructed for open circuit potential (OCP) measurements, linear polarization techniques and Tafel extrapolation using an EMSTAT 4SHR potentiostat. The electrochemical results revealed that temperature and SDBS are the key factors influencing the corrosion rate of API N80Q steel.</w:t>
      </w:r>
    </w:p>
    <w:p w14:paraId="12EFF7D1" w14:textId="77777777" w:rsidR="00DE077F" w:rsidRPr="008E77B0" w:rsidRDefault="00DE077F" w:rsidP="00DE077F"/>
    <w:p w14:paraId="476B2F2E" w14:textId="52B36035" w:rsidR="00600535" w:rsidRPr="008E77B0" w:rsidRDefault="00600535" w:rsidP="00600535">
      <w:pPr>
        <w:pStyle w:val="CETHeading1"/>
        <w:rPr>
          <w:lang w:val="en-GB"/>
        </w:rPr>
      </w:pPr>
      <w:r w:rsidRPr="008E77B0">
        <w:rPr>
          <w:lang w:val="en-GB"/>
        </w:rPr>
        <w:t>Introduction</w:t>
      </w:r>
    </w:p>
    <w:p w14:paraId="7E7E8C3E" w14:textId="5AD4C691" w:rsidR="00293CD2" w:rsidRDefault="00293CD2" w:rsidP="00293CD2">
      <w:pPr>
        <w:pStyle w:val="Prrafodelista"/>
        <w:ind w:left="0"/>
      </w:pPr>
      <w:r w:rsidRPr="00B44659">
        <w:t>During crude oil production, large volumes of produced water are generated, and water cut values can exceed 90% in mature reservoirs, as reflected by the water oil ratio (WOR). The water cut is strongly influenced by reservoir conditions and production strategy. Recent estimates indicate that global produced water generation in oil and gas operations has reached approximately 250 million barrels per day (Patni &amp; Ragunathan, 2023). At the same time, increasing demand for fuels and petroleum-derived products, together with the decline of conventional hydrocarbon reserves, has driven the Oil &amp; Gas industry to improve and develop technologies aimed at sustaining and enhancing crude oil recovery. In this context, enhanced oil recovery (EOR) methods are increasingly important. Among them, chemically enhanced oil recovery (CEOR) has received significant attention due to the use of chemical agents, such as surfactants, designed to improve the mobility ratio and ultimately increase the recovery factor (Quintella et al., 2025).</w:t>
      </w:r>
    </w:p>
    <w:p w14:paraId="224A47AC" w14:textId="01E21F3B" w:rsidR="00293CD2" w:rsidRPr="00B44659" w:rsidRDefault="00293CD2" w:rsidP="00293CD2">
      <w:pPr>
        <w:pStyle w:val="Prrafodelista"/>
        <w:ind w:left="0"/>
      </w:pPr>
      <w:r w:rsidRPr="00B44659">
        <w:t>Produced water exhibits a complex chemical composition due to the presence of both organic and inorganic species. In addition, the use of surfactants in chemically enhanced oil recovery can increase the load of dissolved hydrocarbons, inorganic salts, and trace metals, among other constituents</w:t>
      </w:r>
      <w:r w:rsidR="00663155">
        <w:t xml:space="preserve"> (</w:t>
      </w:r>
      <w:r w:rsidR="00663155" w:rsidRPr="006F090B">
        <w:rPr>
          <w:color w:val="000000" w:themeColor="text1"/>
        </w:rPr>
        <w:t>Hussain</w:t>
      </w:r>
      <w:r w:rsidR="00663155">
        <w:rPr>
          <w:color w:val="000000" w:themeColor="text1"/>
        </w:rPr>
        <w:t xml:space="preserve"> et al., 2019</w:t>
      </w:r>
      <w:r w:rsidR="00663155">
        <w:t>)</w:t>
      </w:r>
      <w:r w:rsidRPr="00B44659">
        <w:t xml:space="preserve">. Sodium dodecylbenzene sulfonate (SDBS) is an anionic surfactant widely applied in the hydrocarbon sector to improve interfacial properties and fluid–rock interactions. However, during crude oil production, SDBS can alter the physicochemical characteristics of produced water. Moreover, the presence of such additives, together with dissolved ionic species and elevated operating temperatures, may intensify corrosion mechanisms in metallic materials continuously exposed to these environments (Luo et al., 1998; </w:t>
      </w:r>
      <w:proofErr w:type="spellStart"/>
      <w:r w:rsidRPr="00B44659">
        <w:t>Branzoi</w:t>
      </w:r>
      <w:proofErr w:type="spellEnd"/>
      <w:r w:rsidRPr="00B44659">
        <w:t xml:space="preserve"> et al., 2016). API N-80Q steel is commonly used in tubing, piping, and production equipment due to its high mechanical strength and adequate performance under reservoir conditions. Nevertheless, its </w:t>
      </w:r>
      <w:proofErr w:type="spellStart"/>
      <w:r w:rsidRPr="00B44659">
        <w:t>behavior</w:t>
      </w:r>
      <w:proofErr w:type="spellEnd"/>
      <w:r w:rsidRPr="00B44659">
        <w:t xml:space="preserve"> in complex aqueous media, particularly those enriched with surfactants and evaluated at representative operating temperatures, still requires detailed investigation. The interaction between the steel surface, the electrolyte composition, and operating conditions can promote both uniform and localized corrosion, ultimately compromising service life.</w:t>
      </w:r>
    </w:p>
    <w:p w14:paraId="65F16227" w14:textId="1ED23904" w:rsidR="00253F60" w:rsidRPr="00B44659" w:rsidRDefault="00293CD2" w:rsidP="00056217">
      <w:pPr>
        <w:pStyle w:val="Prrafodelista"/>
        <w:ind w:left="0"/>
      </w:pPr>
      <w:r w:rsidRPr="00B44659">
        <w:t>To address this issue, several studies have explored adsorbent materials based on activated carbons produced from the thermochemical processing of residual biomass (León et al., 2025). However, the removal of metals and other heavy contaminants using activated carbon can vary significantly depending on the physicochemical characteristics of the treated effluent. Although activated carbons are capable of removing high contaminant loads, their performance is strongly influenced by textural properties, such as specific surface area and pore volume, as well as by the availability of surface functional groups that act as active sites (Zeng et al., 2023; Zaini et al., 2023). Accordingly, this work investigates activated carbons derived from palm kernel shells as an alternative treatment approach with two objectives: (</w:t>
      </w:r>
      <w:proofErr w:type="spellStart"/>
      <w:r w:rsidRPr="00B44659">
        <w:t>i</w:t>
      </w:r>
      <w:proofErr w:type="spellEnd"/>
      <w:r w:rsidRPr="00B44659">
        <w:t>) to evaluate the removal of the anionic surfactant SDBS from synthetic produced water and (ii) to assess the impact of the treated water on the integrity of API N-80Q steel using electrochemical techniques.</w:t>
      </w:r>
    </w:p>
    <w:p w14:paraId="784F5765" w14:textId="77777777" w:rsidR="00253F60" w:rsidRPr="00B44659" w:rsidRDefault="00253F60" w:rsidP="00253F60">
      <w:pPr>
        <w:pStyle w:val="CETHeading1"/>
        <w:rPr>
          <w:sz w:val="18"/>
          <w:szCs w:val="18"/>
        </w:rPr>
      </w:pPr>
      <w:r w:rsidRPr="00B44659">
        <w:rPr>
          <w:sz w:val="18"/>
          <w:szCs w:val="18"/>
        </w:rPr>
        <w:t>Materials and methods</w:t>
      </w:r>
    </w:p>
    <w:p w14:paraId="16D8A6BE" w14:textId="77777777" w:rsidR="00253F60" w:rsidRPr="00B44659" w:rsidRDefault="00253F60" w:rsidP="00253F60">
      <w:pPr>
        <w:pStyle w:val="CETHeading1"/>
        <w:numPr>
          <w:ilvl w:val="2"/>
          <w:numId w:val="1"/>
        </w:numPr>
        <w:rPr>
          <w:sz w:val="18"/>
          <w:szCs w:val="18"/>
        </w:rPr>
      </w:pPr>
      <w:r w:rsidRPr="00B44659">
        <w:rPr>
          <w:sz w:val="18"/>
          <w:szCs w:val="18"/>
        </w:rPr>
        <w:t>Materials</w:t>
      </w:r>
    </w:p>
    <w:p w14:paraId="108193FA" w14:textId="3B21B3EF" w:rsidR="00253F60" w:rsidRPr="00B44659" w:rsidRDefault="00253F60" w:rsidP="00253F60">
      <w:pPr>
        <w:pStyle w:val="CETBodytext"/>
        <w:rPr>
          <w:szCs w:val="18"/>
        </w:rPr>
      </w:pPr>
      <w:r w:rsidRPr="00B44659">
        <w:rPr>
          <w:szCs w:val="18"/>
        </w:rPr>
        <w:t>In this study, residual palm kernel shell biomass was used as the precursor material. The biomass was milled using a TRAPP TRF 300 mill and then air-dried under ambient conditions for 70 h. The dried material was sieved using a Gran Test–Pinzuar sieve shaker to obtain a 20 – 40 mesh particle size fraction. Analytical-grade SDBS was purchased from Sigma-Aldrich.</w:t>
      </w:r>
    </w:p>
    <w:p w14:paraId="5616A633" w14:textId="77777777" w:rsidR="00253F60" w:rsidRPr="00B44659" w:rsidRDefault="00253F60" w:rsidP="00253F60">
      <w:pPr>
        <w:pStyle w:val="CETheadingx"/>
        <w:numPr>
          <w:ilvl w:val="2"/>
          <w:numId w:val="1"/>
        </w:numPr>
      </w:pPr>
      <w:r w:rsidRPr="00B44659">
        <w:t>Preparation of activated carbon from palm kernel shell</w:t>
      </w:r>
    </w:p>
    <w:p w14:paraId="3DF2DE33" w14:textId="3B78ACEC" w:rsidR="00253F60" w:rsidRPr="00B44659" w:rsidRDefault="00253F60" w:rsidP="00253F60">
      <w:pPr>
        <w:pStyle w:val="CETBodytext"/>
        <w:rPr>
          <w:i/>
        </w:rPr>
      </w:pPr>
      <w:r w:rsidRPr="00B44659">
        <w:t>Chemical activation of the residual palm kernel shell biomass was performed using phosphoric acid (H</w:t>
      </w:r>
      <w:r w:rsidRPr="00B44659">
        <w:rPr>
          <w:vertAlign w:val="subscript"/>
        </w:rPr>
        <w:t>3</w:t>
      </w:r>
      <w:r w:rsidRPr="00B44659">
        <w:t>PO</w:t>
      </w:r>
      <w:r w:rsidRPr="00B44659">
        <w:rPr>
          <w:vertAlign w:val="subscript"/>
        </w:rPr>
        <w:t>4</w:t>
      </w:r>
      <w:r w:rsidRPr="00B44659">
        <w:t xml:space="preserve">) at an acid-to-biomass impregnation ratio of </w:t>
      </w:r>
      <w:r w:rsidR="009E6140">
        <w:t>0.2</w:t>
      </w:r>
      <w:r w:rsidRPr="00B44659">
        <w:t>:</w:t>
      </w:r>
      <w:r w:rsidR="009E6140">
        <w:t>1</w:t>
      </w:r>
      <w:r w:rsidRPr="00B44659">
        <w:t xml:space="preserve">, with a contact time of 1 h. The impregnated material was then aged for an additional 8 h and dried at 150 </w:t>
      </w:r>
      <w:r w:rsidRPr="00B44659">
        <w:rPr>
          <w:rFonts w:cs="Arial"/>
        </w:rPr>
        <w:t>°</w:t>
      </w:r>
      <w:r w:rsidRPr="00B44659">
        <w:t xml:space="preserve">C. Subsequently, pyrolysis was conducted at 430 </w:t>
      </w:r>
      <w:r w:rsidRPr="00B44659">
        <w:rPr>
          <w:rFonts w:cs="Arial"/>
        </w:rPr>
        <w:t>°</w:t>
      </w:r>
      <w:r w:rsidRPr="00B44659">
        <w:t>C for 30 min in a tubular reactor placed inside a Carbolite UN 110 furnace under an inert nitrogen atmosphere at a flow rate of 50 mL min</w:t>
      </w:r>
      <w:r w:rsidRPr="00B44659">
        <w:rPr>
          <w:vertAlign w:val="superscript"/>
        </w:rPr>
        <w:t>-1</w:t>
      </w:r>
      <w:r w:rsidRPr="00B44659">
        <w:t>. The selected operating temperature was based on prior thermogravimetric analysis (TGA). Both the precursor biomass and the resulting activated carbon were characterized by FTIR – ATR spectroscopy.</w:t>
      </w:r>
    </w:p>
    <w:p w14:paraId="2943250B" w14:textId="77777777" w:rsidR="00253F60" w:rsidRPr="00B44659" w:rsidRDefault="00253F60" w:rsidP="00253F60">
      <w:pPr>
        <w:pStyle w:val="CETheadingx"/>
        <w:numPr>
          <w:ilvl w:val="2"/>
          <w:numId w:val="29"/>
        </w:numPr>
      </w:pPr>
      <w:r w:rsidRPr="00B44659">
        <w:t>Characterization</w:t>
      </w:r>
    </w:p>
    <w:p w14:paraId="260139B2" w14:textId="1700BAA8" w:rsidR="00253F60" w:rsidRPr="00B44659" w:rsidRDefault="00253F60" w:rsidP="00253F60">
      <w:pPr>
        <w:pStyle w:val="CETBodytext"/>
      </w:pPr>
      <w:r w:rsidRPr="00B44659">
        <w:t>Thermogravimetric analysis (TGA) was performed using a TA Instruments Discovery 5500 analyzer. Approximately 10 mg of dried biomass was analyzed in accordance with ASTM E1131. Measurements were conducted from 25 to 800 °C at a heating rate of 10 °C min</w:t>
      </w:r>
      <w:r w:rsidRPr="00B44659">
        <w:rPr>
          <w:vertAlign w:val="superscript"/>
        </w:rPr>
        <w:t>-1</w:t>
      </w:r>
      <w:r w:rsidRPr="00B44659">
        <w:t xml:space="preserve"> under a nitrogen flow of 50 mL min</w:t>
      </w:r>
      <w:r w:rsidRPr="00B44659">
        <w:rPr>
          <w:vertAlign w:val="superscript"/>
        </w:rPr>
        <w:t>-1</w:t>
      </w:r>
      <w:r w:rsidRPr="00B44659">
        <w:t>.</w:t>
      </w:r>
    </w:p>
    <w:p w14:paraId="1A2E63C3" w14:textId="120588EA" w:rsidR="00253F60" w:rsidRPr="00B44659" w:rsidRDefault="00253F60" w:rsidP="00253F60">
      <w:pPr>
        <w:pStyle w:val="CETBodytext"/>
      </w:pPr>
      <w:r w:rsidRPr="00B44659">
        <w:lastRenderedPageBreak/>
        <w:t>ATR–FTIR spectroscopy: The palm kernel biomass and the resulting activated carbon were characterized using a Thermo Scientific Nicolet Summit X spectrometer. Prior to each measurement, a background spectrum was collected using air, and spectra were acquired using 32 scans.</w:t>
      </w:r>
    </w:p>
    <w:p w14:paraId="00B60231" w14:textId="77777777" w:rsidR="00253F60" w:rsidRPr="00B44659" w:rsidRDefault="00253F60" w:rsidP="00253F60">
      <w:pPr>
        <w:pStyle w:val="CETBodytext"/>
      </w:pPr>
      <w:r w:rsidRPr="00B44659">
        <w:t>BET surface area analysis: Textural properties were determined by N</w:t>
      </w:r>
      <w:r w:rsidRPr="00B44659">
        <w:rPr>
          <w:vertAlign w:val="subscript"/>
        </w:rPr>
        <w:t>2</w:t>
      </w:r>
      <w:r w:rsidRPr="00B44659">
        <w:t xml:space="preserve"> physisorption at 77 K using a Micromeritics 3Flex instrument. Before analysis, the activated carbon was degassed at 200 °C under vacuum (6 Pa) for 8 h.</w:t>
      </w:r>
    </w:p>
    <w:p w14:paraId="617EB6D0" w14:textId="77777777" w:rsidR="00253F60" w:rsidRPr="00B44659" w:rsidRDefault="00253F60" w:rsidP="00253F60">
      <w:pPr>
        <w:pStyle w:val="CETheadingx"/>
        <w:numPr>
          <w:ilvl w:val="1"/>
          <w:numId w:val="29"/>
        </w:numPr>
      </w:pPr>
      <w:r w:rsidRPr="00B44659">
        <w:t>Adsorption tests of sodium dodecylbenzene sulfonate SDBS</w:t>
      </w:r>
    </w:p>
    <w:p w14:paraId="55383F6D" w14:textId="77777777" w:rsidR="00253F60" w:rsidRPr="00B44659" w:rsidRDefault="00253F60" w:rsidP="00253F60">
      <w:pPr>
        <w:pStyle w:val="CETBodytext"/>
      </w:pPr>
      <w:r w:rsidRPr="00B44659">
        <w:t>Adsorption experiments were conducted using synthetic solutions containing sodium dodecylbenzene sulfonate (SDBS) at concentrations of 50 and 250 mg L</w:t>
      </w:r>
      <w:r w:rsidRPr="00B44659">
        <w:rPr>
          <w:vertAlign w:val="superscript"/>
        </w:rPr>
        <w:t>-1</w:t>
      </w:r>
      <w:r w:rsidRPr="00B44659">
        <w:t>. Activated carbon (0.05 g) was added to 5 mL of solution, and the suspensions were agitated on an orbital shaker at 150 rpm for 24 h to ensure equilibrium. The solid and liquid phases were subsequently separated by centrifugation at 6000 rpm for 10 min. The residual SDBS concentration was determined by UV</w:t>
      </w:r>
      <w:r w:rsidRPr="00B44659">
        <w:rPr>
          <w:rFonts w:cs="Arial"/>
        </w:rPr>
        <w:t>–</w:t>
      </w:r>
      <w:r w:rsidRPr="00B44659">
        <w:t xml:space="preserve">Vis spectrophotometry using a previously established calibration curve. Adsorption capacity and removal efficiency were calculated according to Eq (1) and (2). </w:t>
      </w:r>
    </w:p>
    <w:p w14:paraId="69E6132F" w14:textId="6C6FF247" w:rsidR="00253F60" w:rsidRDefault="00253F60" w:rsidP="00253F60">
      <w:pPr>
        <w:pStyle w:val="CETBodytext"/>
      </w:pPr>
    </w:p>
    <w:tbl>
      <w:tblPr>
        <w:tblStyle w:val="Tablanormal3"/>
        <w:tblW w:w="0" w:type="auto"/>
        <w:tblLook w:val="0600" w:firstRow="0" w:lastRow="0" w:firstColumn="0" w:lastColumn="0" w:noHBand="1" w:noVBand="1"/>
      </w:tblPr>
      <w:tblGrid>
        <w:gridCol w:w="4388"/>
        <w:gridCol w:w="4389"/>
      </w:tblGrid>
      <w:tr w:rsidR="00546E12" w14:paraId="236294B0" w14:textId="77777777" w:rsidTr="00546E12">
        <w:tc>
          <w:tcPr>
            <w:tcW w:w="4388" w:type="dxa"/>
          </w:tcPr>
          <w:p w14:paraId="605980CB" w14:textId="3AC31A92" w:rsidR="00546E12" w:rsidRPr="00056217" w:rsidRDefault="005F53B8" w:rsidP="00546E12">
            <w:pPr>
              <w:jc w:val="center"/>
              <w:rPr>
                <w:rFonts w:cs="Arial"/>
                <w:color w:val="000000" w:themeColor="text1"/>
                <w:szCs w:val="18"/>
                <w:lang w:val="en-US"/>
              </w:rPr>
            </w:pPr>
            <m:oMathPara>
              <m:oMathParaPr>
                <m:jc m:val="left"/>
              </m:oMathParaPr>
              <m:oMath>
                <m:sSub>
                  <m:sSubPr>
                    <m:ctrlPr>
                      <w:rPr>
                        <w:rFonts w:ascii="Cambria Math" w:hAnsi="Cambria Math" w:cs="Arial"/>
                        <w:i/>
                      </w:rPr>
                    </m:ctrlPr>
                  </m:sSubPr>
                  <m:e>
                    <m:r>
                      <w:rPr>
                        <w:rFonts w:ascii="Cambria Math" w:hAnsi="Cambria Math" w:cs="Arial"/>
                      </w:rPr>
                      <m:t>q</m:t>
                    </m:r>
                  </m:e>
                  <m:sub>
                    <m:r>
                      <w:rPr>
                        <w:rFonts w:ascii="Cambria Math" w:hAnsi="Cambria Math" w:cs="Arial"/>
                      </w:rPr>
                      <m:t>e</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C</m:t>
                            </m:r>
                          </m:e>
                          <m:sub>
                            <m:r>
                              <w:rPr>
                                <w:rFonts w:ascii="Cambria Math" w:hAnsi="Cambria Math" w:cs="Arial"/>
                              </w:rPr>
                              <m:t>o</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f</m:t>
                            </m:r>
                          </m:sub>
                        </m:sSub>
                      </m:e>
                    </m:d>
                    <m:r>
                      <w:rPr>
                        <w:rFonts w:ascii="Cambria Math" w:hAnsi="Cambria Math" w:cs="Arial"/>
                      </w:rPr>
                      <m:t>*V</m:t>
                    </m:r>
                  </m:num>
                  <m:den>
                    <m:r>
                      <w:rPr>
                        <w:rFonts w:ascii="Cambria Math" w:hAnsi="Cambria Math" w:cs="Arial"/>
                      </w:rPr>
                      <m:t>W</m:t>
                    </m:r>
                  </m:den>
                </m:f>
              </m:oMath>
            </m:oMathPara>
          </w:p>
        </w:tc>
        <w:tc>
          <w:tcPr>
            <w:tcW w:w="4389" w:type="dxa"/>
          </w:tcPr>
          <w:p w14:paraId="64AEDD09" w14:textId="404AD9B6" w:rsidR="00546E12" w:rsidRDefault="00546E12" w:rsidP="00546E12">
            <w:pPr>
              <w:jc w:val="right"/>
              <w:rPr>
                <w:rFonts w:cs="Arial"/>
                <w:color w:val="000000" w:themeColor="text1"/>
                <w:szCs w:val="18"/>
                <w:lang w:val="en-US"/>
              </w:rPr>
            </w:pPr>
            <w:r>
              <w:rPr>
                <w:rFonts w:cs="Arial"/>
                <w:color w:val="000000" w:themeColor="text1"/>
                <w:szCs w:val="18"/>
                <w:lang w:val="en-US"/>
              </w:rPr>
              <w:t>(1)</w:t>
            </w:r>
          </w:p>
        </w:tc>
      </w:tr>
      <w:tr w:rsidR="00546E12" w14:paraId="52F70689" w14:textId="77777777" w:rsidTr="00546E12">
        <w:tc>
          <w:tcPr>
            <w:tcW w:w="4388" w:type="dxa"/>
          </w:tcPr>
          <w:p w14:paraId="4639B1BB" w14:textId="430C6572" w:rsidR="00546E12" w:rsidRPr="00546E12" w:rsidRDefault="00546E12" w:rsidP="00546E12">
            <w:pPr>
              <w:jc w:val="center"/>
            </w:pPr>
            <m:oMathPara>
              <m:oMathParaPr>
                <m:jc m:val="left"/>
              </m:oMathParaPr>
              <m:oMath>
                <m:r>
                  <w:rPr>
                    <w:rFonts w:ascii="Cambria Math" w:hAnsi="Cambria Math"/>
                  </w:rPr>
                  <m:t>RE=</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e>
                    </m:d>
                  </m:num>
                  <m:den>
                    <m:sSub>
                      <m:sSubPr>
                        <m:ctrlPr>
                          <w:rPr>
                            <w:rFonts w:ascii="Cambria Math" w:hAnsi="Cambria Math"/>
                            <w:i/>
                          </w:rPr>
                        </m:ctrlPr>
                      </m:sSubPr>
                      <m:e>
                        <m:r>
                          <w:rPr>
                            <w:rFonts w:ascii="Cambria Math" w:hAnsi="Cambria Math"/>
                          </w:rPr>
                          <m:t>C</m:t>
                        </m:r>
                      </m:e>
                      <m:sub>
                        <m:r>
                          <w:rPr>
                            <w:rFonts w:ascii="Cambria Math" w:hAnsi="Cambria Math"/>
                          </w:rPr>
                          <m:t>o</m:t>
                        </m:r>
                      </m:sub>
                    </m:sSub>
                  </m:den>
                </m:f>
                <m:r>
                  <w:rPr>
                    <w:rFonts w:ascii="Cambria Math" w:hAnsi="Cambria Math"/>
                  </w:rPr>
                  <m:t>*100</m:t>
                </m:r>
              </m:oMath>
            </m:oMathPara>
          </w:p>
        </w:tc>
        <w:tc>
          <w:tcPr>
            <w:tcW w:w="4389" w:type="dxa"/>
          </w:tcPr>
          <w:p w14:paraId="2E642548" w14:textId="5078C993" w:rsidR="00546E12" w:rsidRDefault="00546E12" w:rsidP="00546E12">
            <w:pPr>
              <w:jc w:val="right"/>
              <w:rPr>
                <w:rFonts w:cs="Arial"/>
                <w:color w:val="000000" w:themeColor="text1"/>
                <w:szCs w:val="18"/>
                <w:lang w:val="en-US"/>
              </w:rPr>
            </w:pPr>
            <w:r>
              <w:rPr>
                <w:rFonts w:cs="Arial"/>
                <w:color w:val="000000" w:themeColor="text1"/>
                <w:szCs w:val="18"/>
                <w:lang w:val="en-US"/>
              </w:rPr>
              <w:t>(2)</w:t>
            </w:r>
          </w:p>
        </w:tc>
      </w:tr>
    </w:tbl>
    <w:p w14:paraId="591FC189" w14:textId="77777777" w:rsidR="00546E12" w:rsidRDefault="00546E12" w:rsidP="00253F60"/>
    <w:p w14:paraId="201D01D4" w14:textId="0F1FFC53" w:rsidR="00253F60" w:rsidRPr="00B44659" w:rsidRDefault="00253F60" w:rsidP="00253F60">
      <w:r w:rsidRPr="00B44659">
        <w:t>Where:</w:t>
      </w:r>
    </w:p>
    <w:p w14:paraId="13DBD6D8" w14:textId="77777777" w:rsidR="00253F60" w:rsidRPr="00B44659" w:rsidRDefault="00253F60" w:rsidP="00253F60">
      <w:pPr>
        <w:pStyle w:val="CETBodytext"/>
      </w:pPr>
      <w:proofErr w:type="spellStart"/>
      <w:r w:rsidRPr="00B44659">
        <w:t>q</w:t>
      </w:r>
      <w:r w:rsidRPr="00B44659">
        <w:rPr>
          <w:sz w:val="14"/>
        </w:rPr>
        <w:t>e</w:t>
      </w:r>
      <w:proofErr w:type="spellEnd"/>
      <w:r w:rsidRPr="00B44659">
        <w:rPr>
          <w:sz w:val="14"/>
        </w:rPr>
        <w:t xml:space="preserve">: </w:t>
      </w:r>
      <w:r w:rsidRPr="00B44659">
        <w:t xml:space="preserve">adsorption capacity </w:t>
      </w:r>
      <w:r>
        <w:t>(</w:t>
      </w:r>
      <w:r w:rsidRPr="00B44659">
        <w:t>mg/g</w:t>
      </w:r>
      <w:r>
        <w:t>)</w:t>
      </w:r>
    </w:p>
    <w:p w14:paraId="73CDD21D" w14:textId="77777777" w:rsidR="00253F60" w:rsidRPr="00B44659" w:rsidRDefault="00253F60" w:rsidP="00253F60">
      <w:pPr>
        <w:pStyle w:val="CETBodytext"/>
      </w:pPr>
      <w:r w:rsidRPr="00B44659">
        <w:t>C</w:t>
      </w:r>
      <w:r w:rsidRPr="00B44659">
        <w:rPr>
          <w:sz w:val="14"/>
        </w:rPr>
        <w:t>o</w:t>
      </w:r>
      <w:r w:rsidRPr="00B44659">
        <w:t xml:space="preserve">: </w:t>
      </w:r>
      <w:r>
        <w:t>initial concentration</w:t>
      </w:r>
      <w:r w:rsidRPr="00B44659">
        <w:t xml:space="preserve"> </w:t>
      </w:r>
      <w:r>
        <w:t>(</w:t>
      </w:r>
      <w:r w:rsidRPr="00B44659">
        <w:t>mg/L</w:t>
      </w:r>
      <w:r>
        <w:t>)</w:t>
      </w:r>
    </w:p>
    <w:p w14:paraId="3A02A4D6" w14:textId="77777777" w:rsidR="00253F60" w:rsidRPr="00B44659" w:rsidRDefault="00253F60" w:rsidP="00253F60">
      <w:pPr>
        <w:pStyle w:val="CETBodytext"/>
      </w:pPr>
      <w:r w:rsidRPr="00B44659">
        <w:t>C</w:t>
      </w:r>
      <w:r w:rsidRPr="00B44659">
        <w:rPr>
          <w:vertAlign w:val="subscript"/>
        </w:rPr>
        <w:t>f</w:t>
      </w:r>
      <w:r w:rsidRPr="00B44659">
        <w:t xml:space="preserve">: </w:t>
      </w:r>
      <w:r>
        <w:t xml:space="preserve">final </w:t>
      </w:r>
      <w:r w:rsidRPr="00B44659">
        <w:t xml:space="preserve">concentration </w:t>
      </w:r>
      <w:r>
        <w:t>(</w:t>
      </w:r>
      <w:r w:rsidRPr="00B44659">
        <w:t>mg/L</w:t>
      </w:r>
      <w:r>
        <w:t>)</w:t>
      </w:r>
    </w:p>
    <w:p w14:paraId="127A7ACA" w14:textId="77777777" w:rsidR="00253F60" w:rsidRPr="00B44659" w:rsidRDefault="00253F60" w:rsidP="00253F60">
      <w:pPr>
        <w:pStyle w:val="CETBodytext"/>
      </w:pPr>
      <w:r w:rsidRPr="00B44659">
        <w:t xml:space="preserve">W: </w:t>
      </w:r>
      <w:r>
        <w:t>mass of activated carbon</w:t>
      </w:r>
      <w:r w:rsidRPr="00B44659">
        <w:t xml:space="preserve"> </w:t>
      </w:r>
      <w:r>
        <w:t>(</w:t>
      </w:r>
      <w:r w:rsidRPr="00B44659">
        <w:t>g</w:t>
      </w:r>
      <w:r>
        <w:t>)</w:t>
      </w:r>
    </w:p>
    <w:p w14:paraId="7FC55113" w14:textId="77777777" w:rsidR="00253F60" w:rsidRPr="00B44659" w:rsidRDefault="00253F60" w:rsidP="00253F60">
      <w:pPr>
        <w:pStyle w:val="CETBodytext"/>
      </w:pPr>
      <w:r w:rsidRPr="00B44659">
        <w:t>V: solu</w:t>
      </w:r>
      <w:r>
        <w:t>t</w:t>
      </w:r>
      <w:r w:rsidRPr="00B44659">
        <w:t>i</w:t>
      </w:r>
      <w:r>
        <w:t>o</w:t>
      </w:r>
      <w:r w:rsidRPr="00B44659">
        <w:t>n</w:t>
      </w:r>
      <w:r>
        <w:t xml:space="preserve"> </w:t>
      </w:r>
      <w:r w:rsidRPr="00B44659">
        <w:t xml:space="preserve">volume </w:t>
      </w:r>
      <w:r>
        <w:t>(</w:t>
      </w:r>
      <w:r w:rsidRPr="00B44659">
        <w:t>L</w:t>
      </w:r>
      <w:r>
        <w:t>)</w:t>
      </w:r>
    </w:p>
    <w:p w14:paraId="4FC440DC" w14:textId="77777777" w:rsidR="00253F60" w:rsidRPr="00B44659" w:rsidRDefault="00253F60" w:rsidP="00253F60">
      <w:pPr>
        <w:pStyle w:val="CETBodytext"/>
      </w:pPr>
      <w:r w:rsidRPr="00B44659">
        <w:t xml:space="preserve">RE: </w:t>
      </w:r>
      <w:r>
        <w:t>removal efficiency</w:t>
      </w:r>
    </w:p>
    <w:p w14:paraId="36F9149C" w14:textId="77777777" w:rsidR="00253F60" w:rsidRPr="00B44659" w:rsidRDefault="00253F60" w:rsidP="00253F60"/>
    <w:p w14:paraId="0C98729A" w14:textId="77777777" w:rsidR="00253F60" w:rsidRPr="00B44659" w:rsidRDefault="00253F60" w:rsidP="00253F60">
      <w:pPr>
        <w:pStyle w:val="CETheadingx"/>
        <w:numPr>
          <w:ilvl w:val="1"/>
          <w:numId w:val="29"/>
        </w:numPr>
      </w:pPr>
      <w:r w:rsidRPr="00B44659">
        <w:t>Electrochemical tests in API N-80Q steel</w:t>
      </w:r>
    </w:p>
    <w:p w14:paraId="66B33037" w14:textId="7962303A" w:rsidR="00E246D1" w:rsidRPr="00056217" w:rsidRDefault="00253F60" w:rsidP="00E246D1">
      <w:r w:rsidRPr="00B44659">
        <w:t xml:space="preserve">API N-80Q steel coupons were prepared with dimensions of 2.0 × 1.5 × 0.3 cm. The coupons were sequentially ground using silicon carbide abrasive papers (grit 120, 400, and 600) to obtain a uniform surface finish. They were then rinsed with acetone and ultrasonically cleaned to remove residual impurities. </w:t>
      </w:r>
    </w:p>
    <w:p w14:paraId="729C8F33" w14:textId="41A64257" w:rsidR="0048283B" w:rsidRPr="001404F6" w:rsidRDefault="001404F6" w:rsidP="001404F6">
      <w:pPr>
        <w:rPr>
          <w:rFonts w:cs="Arial"/>
          <w:color w:val="000000" w:themeColor="text1"/>
          <w:szCs w:val="18"/>
          <w:lang w:val="en-US"/>
        </w:rPr>
      </w:pPr>
      <w:r w:rsidRPr="001404F6">
        <w:rPr>
          <w:rFonts w:cs="Arial"/>
          <w:color w:val="000000" w:themeColor="text1"/>
          <w:szCs w:val="18"/>
          <w:lang w:val="en-US"/>
        </w:rPr>
        <w:t>Initially, the corrosion potential (Ecorr) of API N-80Q steel was recorded for 15 min using a potentiostat coupled with PSTrace V5.11 software to ensure stabilization of the open-circuit potential under different water types, a surfactant concentration of 1000 mg L</w:t>
      </w:r>
      <w:r w:rsidRPr="001404F6">
        <w:rPr>
          <w:rFonts w:cs="Arial"/>
          <w:color w:val="000000" w:themeColor="text1"/>
          <w:szCs w:val="18"/>
          <w:vertAlign w:val="superscript"/>
          <w:lang w:val="en-US"/>
        </w:rPr>
        <w:t>-1</w:t>
      </w:r>
      <w:r w:rsidRPr="001404F6">
        <w:rPr>
          <w:rFonts w:cs="Arial"/>
          <w:color w:val="000000" w:themeColor="text1"/>
          <w:szCs w:val="18"/>
          <w:lang w:val="en-US"/>
        </w:rPr>
        <w:t>, and temperatures ranging from 25 to 60 °C. Subsequently, anodic polarization tests were conducted by sweeping the potential from −0.25 V to +0.25 V relative to Ecorr, with 0.01 V increments, at a scan rate of 0.00016 V s</w:t>
      </w:r>
      <w:r w:rsidRPr="001404F6">
        <w:rPr>
          <w:rFonts w:cs="Arial"/>
          <w:color w:val="000000" w:themeColor="text1"/>
          <w:szCs w:val="18"/>
          <w:vertAlign w:val="superscript"/>
          <w:lang w:val="en-US"/>
        </w:rPr>
        <w:t>-1</w:t>
      </w:r>
      <w:r w:rsidRPr="001404F6">
        <w:rPr>
          <w:rFonts w:cs="Arial"/>
          <w:color w:val="000000" w:themeColor="text1"/>
          <w:szCs w:val="18"/>
          <w:lang w:val="en-US"/>
        </w:rPr>
        <w:t>. Tafel extrapolation analysis was then performed using a ±250 mV interval around Ecorr to determine the corrosion current density (Icorr). The corrosion rate was calculated in thousandths of an inch per year (mpy) from the Icorr values in accordance with the procedure described in ASTM G102 (2023), applying the relationship presented in Eq (3).</w:t>
      </w:r>
    </w:p>
    <w:p w14:paraId="411325A3" w14:textId="195E9F63" w:rsidR="0048283B" w:rsidRDefault="0048283B" w:rsidP="00D60A27">
      <w:pPr>
        <w:rPr>
          <w:rFonts w:cs="Arial"/>
          <w:color w:val="000000" w:themeColor="text1"/>
          <w:szCs w:val="18"/>
          <w:lang w:val="en-US"/>
        </w:rPr>
      </w:pPr>
    </w:p>
    <w:tbl>
      <w:tblPr>
        <w:tblStyle w:val="Tablanormal3"/>
        <w:tblW w:w="0" w:type="auto"/>
        <w:tblLook w:val="0600" w:firstRow="0" w:lastRow="0" w:firstColumn="0" w:lastColumn="0" w:noHBand="1" w:noVBand="1"/>
      </w:tblPr>
      <w:tblGrid>
        <w:gridCol w:w="4388"/>
        <w:gridCol w:w="4389"/>
      </w:tblGrid>
      <w:tr w:rsidR="00056217" w14:paraId="5965A932" w14:textId="77777777" w:rsidTr="00056217">
        <w:tc>
          <w:tcPr>
            <w:tcW w:w="4388" w:type="dxa"/>
            <w:vAlign w:val="center"/>
          </w:tcPr>
          <w:p w14:paraId="0FF6FE75" w14:textId="2C7A60D0" w:rsidR="00056217" w:rsidRPr="00056217" w:rsidRDefault="00056217" w:rsidP="00056217">
            <w:pPr>
              <w:jc w:val="left"/>
              <w:rPr>
                <w:rFonts w:cs="Arial"/>
                <w:color w:val="000000" w:themeColor="text1"/>
                <w:szCs w:val="18"/>
                <w:lang w:val="en-US"/>
              </w:rPr>
            </w:pPr>
            <w:bookmarkStart w:id="1" w:name="_Hlk224899957"/>
            <m:oMathPara>
              <m:oMathParaPr>
                <m:jc m:val="left"/>
              </m:oMathParaPr>
              <m:oMath>
                <m:r>
                  <w:rPr>
                    <w:rFonts w:ascii="Cambria Math" w:hAnsi="Cambria Math" w:cs="Arial"/>
                    <w:color w:val="000000" w:themeColor="text1"/>
                    <w:sz w:val="22"/>
                    <w:szCs w:val="22"/>
                    <w:lang w:val="es-EC"/>
                  </w:rPr>
                  <m:t>CR</m:t>
                </m:r>
                <m:r>
                  <w:rPr>
                    <w:rFonts w:ascii="Cambria Math" w:hAnsi="Cambria Math" w:cs="Arial"/>
                    <w:color w:val="000000" w:themeColor="text1"/>
                    <w:sz w:val="22"/>
                    <w:szCs w:val="22"/>
                    <w:lang w:val="en-US"/>
                  </w:rPr>
                  <m:t>=</m:t>
                </m:r>
                <m:f>
                  <m:fPr>
                    <m:ctrlPr>
                      <w:rPr>
                        <w:rFonts w:ascii="Cambria Math" w:hAnsi="Cambria Math" w:cs="Arial"/>
                        <w:i/>
                        <w:color w:val="000000" w:themeColor="text1"/>
                        <w:sz w:val="22"/>
                        <w:szCs w:val="22"/>
                        <w:lang w:val="es-EC"/>
                      </w:rPr>
                    </m:ctrlPr>
                  </m:fPr>
                  <m:num>
                    <m:r>
                      <w:rPr>
                        <w:rFonts w:ascii="Cambria Math" w:hAnsi="Cambria Math" w:cs="Arial"/>
                        <w:color w:val="000000" w:themeColor="text1"/>
                        <w:sz w:val="22"/>
                        <w:szCs w:val="22"/>
                        <w:lang w:val="es-EC"/>
                      </w:rPr>
                      <m:t>K</m:t>
                    </m:r>
                    <m:r>
                      <w:rPr>
                        <w:rFonts w:ascii="Cambria Math" w:hAnsi="Cambria Math" w:cs="Arial"/>
                        <w:color w:val="000000" w:themeColor="text1"/>
                        <w:sz w:val="22"/>
                        <w:szCs w:val="22"/>
                        <w:lang w:val="en-US"/>
                      </w:rPr>
                      <m:t>*</m:t>
                    </m:r>
                    <m:r>
                      <w:rPr>
                        <w:rFonts w:ascii="Cambria Math" w:hAnsi="Cambria Math" w:cs="Arial"/>
                        <w:color w:val="000000" w:themeColor="text1"/>
                        <w:sz w:val="22"/>
                        <w:szCs w:val="22"/>
                        <w:lang w:val="es-EC"/>
                      </w:rPr>
                      <m:t>Icorr</m:t>
                    </m:r>
                    <m:r>
                      <w:rPr>
                        <w:rFonts w:ascii="Cambria Math" w:hAnsi="Cambria Math" w:cs="Arial"/>
                        <w:color w:val="000000" w:themeColor="text1"/>
                        <w:sz w:val="22"/>
                        <w:szCs w:val="22"/>
                        <w:lang w:val="en-US"/>
                      </w:rPr>
                      <m:t>*</m:t>
                    </m:r>
                    <m:r>
                      <w:rPr>
                        <w:rFonts w:ascii="Cambria Math" w:hAnsi="Cambria Math" w:cs="Arial"/>
                        <w:color w:val="000000" w:themeColor="text1"/>
                        <w:sz w:val="22"/>
                        <w:szCs w:val="22"/>
                        <w:lang w:val="es-EC"/>
                      </w:rPr>
                      <m:t>EW</m:t>
                    </m:r>
                  </m:num>
                  <m:den>
                    <m:r>
                      <w:rPr>
                        <w:rFonts w:ascii="Cambria Math" w:hAnsi="Cambria Math" w:cs="Arial"/>
                        <w:color w:val="000000" w:themeColor="text1"/>
                        <w:sz w:val="22"/>
                        <w:szCs w:val="22"/>
                        <w:lang w:val="es-EC"/>
                      </w:rPr>
                      <m:t>ρ</m:t>
                    </m:r>
                  </m:den>
                </m:f>
              </m:oMath>
            </m:oMathPara>
          </w:p>
        </w:tc>
        <w:tc>
          <w:tcPr>
            <w:tcW w:w="4389" w:type="dxa"/>
          </w:tcPr>
          <w:p w14:paraId="118C9610" w14:textId="1D9F46DA" w:rsidR="00056217" w:rsidRDefault="00056217" w:rsidP="00056217">
            <w:pPr>
              <w:jc w:val="right"/>
              <w:rPr>
                <w:rFonts w:cs="Arial"/>
                <w:color w:val="000000" w:themeColor="text1"/>
                <w:szCs w:val="18"/>
                <w:lang w:val="en-US"/>
              </w:rPr>
            </w:pPr>
            <w:r>
              <w:rPr>
                <w:rFonts w:cs="Arial"/>
                <w:color w:val="000000" w:themeColor="text1"/>
                <w:szCs w:val="18"/>
                <w:lang w:val="en-US"/>
              </w:rPr>
              <w:t>(3)</w:t>
            </w:r>
          </w:p>
        </w:tc>
      </w:tr>
      <w:bookmarkEnd w:id="1"/>
    </w:tbl>
    <w:p w14:paraId="675D4A24" w14:textId="77777777" w:rsidR="001404F6" w:rsidRDefault="001404F6" w:rsidP="001404F6">
      <w:pPr>
        <w:spacing w:line="240" w:lineRule="auto"/>
        <w:rPr>
          <w:rFonts w:cs="Arial"/>
          <w:color w:val="000000" w:themeColor="text1"/>
          <w:szCs w:val="18"/>
          <w:lang w:val="en-US"/>
        </w:rPr>
      </w:pPr>
    </w:p>
    <w:p w14:paraId="288F99D1" w14:textId="2620DA1B" w:rsidR="001404F6" w:rsidRPr="001404F6" w:rsidRDefault="00617ABF" w:rsidP="001404F6">
      <w:pPr>
        <w:spacing w:line="240" w:lineRule="auto"/>
        <w:rPr>
          <w:rFonts w:cs="Arial"/>
          <w:color w:val="000000" w:themeColor="text1"/>
          <w:szCs w:val="18"/>
          <w:lang w:val="en-US"/>
        </w:rPr>
      </w:pPr>
      <w:r>
        <w:rPr>
          <w:rFonts w:cs="Arial"/>
          <w:color w:val="000000" w:themeColor="text1"/>
          <w:szCs w:val="18"/>
          <w:lang w:val="en-US"/>
        </w:rPr>
        <w:t>W</w:t>
      </w:r>
      <w:r w:rsidR="001404F6" w:rsidRPr="001404F6">
        <w:rPr>
          <w:rFonts w:cs="Arial"/>
          <w:color w:val="000000" w:themeColor="text1"/>
          <w:szCs w:val="18"/>
          <w:lang w:val="en-US"/>
        </w:rPr>
        <w:t>here K = 0.1288, Icorr denotes the corrosion current density (µA c</w:t>
      </w:r>
      <w:r w:rsidR="001404F6">
        <w:rPr>
          <w:rFonts w:cs="Arial"/>
          <w:color w:val="000000" w:themeColor="text1"/>
          <w:szCs w:val="18"/>
          <w:lang w:val="en-US"/>
        </w:rPr>
        <w:t>m</w:t>
      </w:r>
      <w:r w:rsidR="001404F6" w:rsidRPr="001404F6">
        <w:rPr>
          <w:rFonts w:cs="Arial"/>
          <w:color w:val="000000" w:themeColor="text1"/>
          <w:szCs w:val="18"/>
          <w:vertAlign w:val="superscript"/>
          <w:lang w:val="en-US"/>
        </w:rPr>
        <w:t>-2</w:t>
      </w:r>
      <w:r w:rsidR="001404F6" w:rsidRPr="001404F6">
        <w:rPr>
          <w:rFonts w:cs="Arial"/>
          <w:color w:val="000000" w:themeColor="text1"/>
          <w:szCs w:val="18"/>
          <w:lang w:val="en-US"/>
        </w:rPr>
        <w:t xml:space="preserve">), EW = 55.84, and </w:t>
      </w:r>
      <w:r w:rsidR="001404F6" w:rsidRPr="001404F6">
        <w:rPr>
          <w:rFonts w:cs="Arial"/>
          <w:color w:val="000000" w:themeColor="text1"/>
          <w:szCs w:val="18"/>
          <w:lang w:val="es-EC"/>
        </w:rPr>
        <w:t>ρ</w:t>
      </w:r>
      <w:r w:rsidR="001404F6" w:rsidRPr="001404F6">
        <w:rPr>
          <w:rFonts w:cs="Arial"/>
          <w:color w:val="000000" w:themeColor="text1"/>
          <w:szCs w:val="18"/>
          <w:lang w:val="en-US"/>
        </w:rPr>
        <w:t xml:space="preserve"> = 7.87 g c</w:t>
      </w:r>
      <w:r w:rsidR="001404F6">
        <w:rPr>
          <w:rFonts w:cs="Arial"/>
          <w:color w:val="000000" w:themeColor="text1"/>
          <w:szCs w:val="18"/>
          <w:lang w:val="en-US"/>
        </w:rPr>
        <w:t>m</w:t>
      </w:r>
      <w:r w:rsidR="001404F6" w:rsidRPr="001404F6">
        <w:rPr>
          <w:rFonts w:cs="Arial"/>
          <w:color w:val="000000" w:themeColor="text1"/>
          <w:szCs w:val="18"/>
          <w:vertAlign w:val="superscript"/>
          <w:lang w:val="en-US"/>
        </w:rPr>
        <w:t>-3</w:t>
      </w:r>
      <w:r w:rsidR="001404F6" w:rsidRPr="001404F6">
        <w:rPr>
          <w:rFonts w:cs="Arial"/>
          <w:color w:val="000000" w:themeColor="text1"/>
          <w:szCs w:val="18"/>
          <w:lang w:val="en-US"/>
        </w:rPr>
        <w:t>.</w:t>
      </w:r>
    </w:p>
    <w:p w14:paraId="280CA2A5" w14:textId="77777777" w:rsidR="001404F6" w:rsidRPr="001404F6" w:rsidRDefault="001404F6" w:rsidP="001404F6">
      <w:pPr>
        <w:spacing w:line="240" w:lineRule="auto"/>
        <w:rPr>
          <w:rFonts w:cs="Arial"/>
          <w:color w:val="000000" w:themeColor="text1"/>
          <w:szCs w:val="18"/>
          <w:lang w:val="en-US"/>
        </w:rPr>
      </w:pPr>
    </w:p>
    <w:p w14:paraId="6EEDD848" w14:textId="46E11C41" w:rsidR="001570BF" w:rsidRPr="00326130" w:rsidRDefault="001404F6" w:rsidP="001570BF">
      <w:pPr>
        <w:spacing w:line="240" w:lineRule="auto"/>
        <w:rPr>
          <w:rFonts w:cs="Arial"/>
          <w:color w:val="0070C0"/>
          <w:szCs w:val="18"/>
          <w:lang w:val="en-US"/>
        </w:rPr>
      </w:pPr>
      <w:r w:rsidRPr="001404F6">
        <w:rPr>
          <w:rFonts w:cs="Arial"/>
          <w:color w:val="000000" w:themeColor="text1"/>
          <w:szCs w:val="18"/>
          <w:lang w:val="en-US"/>
        </w:rPr>
        <w:t>Upon completion of the electrochemical tests, the steel coupons were rinsed with distilled water and air-dried at room temperature. The specimens were subsequently characterized by scanning electron microscopy coupled with energy-dispersive X-ray spectroscopy (SEM–EDS) and X-ray diffraction (XRD).</w:t>
      </w:r>
      <w:r w:rsidR="001570BF" w:rsidRPr="001404F6">
        <w:rPr>
          <w:rFonts w:cs="Arial"/>
          <w:color w:val="000000" w:themeColor="text1"/>
          <w:szCs w:val="18"/>
          <w:lang w:val="en-US"/>
        </w:rPr>
        <w:tab/>
      </w:r>
      <w:r w:rsidR="001570BF" w:rsidRPr="001404F6">
        <w:rPr>
          <w:rFonts w:cs="Arial"/>
          <w:color w:val="0070C0"/>
          <w:szCs w:val="18"/>
          <w:lang w:val="en-US"/>
        </w:rPr>
        <w:tab/>
      </w:r>
    </w:p>
    <w:p w14:paraId="7EFCCEF3" w14:textId="3D5EDF6C" w:rsidR="00BB2631" w:rsidRPr="00AB5605" w:rsidRDefault="00BB2631" w:rsidP="00BB2631">
      <w:pPr>
        <w:pStyle w:val="CETHeading1"/>
        <w:rPr>
          <w:color w:val="000000" w:themeColor="text1"/>
          <w:lang w:val="en-GB"/>
        </w:rPr>
      </w:pPr>
      <w:r w:rsidRPr="00AB5605">
        <w:rPr>
          <w:color w:val="000000" w:themeColor="text1"/>
          <w:lang w:val="en-GB"/>
        </w:rPr>
        <w:t>Results and Discussion</w:t>
      </w:r>
    </w:p>
    <w:p w14:paraId="7BAE0FF7" w14:textId="6962EE1F" w:rsidR="002E4116" w:rsidRPr="00AB5605" w:rsidRDefault="001404F6" w:rsidP="001404F6">
      <w:pPr>
        <w:pStyle w:val="CETBodytext"/>
        <w:rPr>
          <w:color w:val="000000" w:themeColor="text1"/>
        </w:rPr>
      </w:pPr>
      <w:r w:rsidRPr="00AB5605">
        <w:rPr>
          <w:color w:val="000000" w:themeColor="text1"/>
        </w:rPr>
        <w:t xml:space="preserve">Figure 1a illustrates the thermal decomposition behavior of palm kernel shells (PKS) as temperature increased. The thermogravimetric analysis curve exhibited cumulative mass losses of 12, 68, and 77.5 wt% within the temperature intervals of 20 – 200, 200 – 400, and 400 – 600 °C, respectively. These three regions were associated with moisture evaporation, release of volatile species, and primary pyrolysis. The results indicate that a pyrolysis temperature of approximately 400 °C led to the most significant mass loss and structural transformation of PKS, which may be attributed to secondary decomposition reactions of cellulose, </w:t>
      </w:r>
      <w:r w:rsidRPr="00AB5605">
        <w:rPr>
          <w:color w:val="000000" w:themeColor="text1"/>
        </w:rPr>
        <w:lastRenderedPageBreak/>
        <w:t>hemicellulose, and certain lignin fractions. These findings are consistent with previous reports (Hussain et al., 2019).</w:t>
      </w:r>
    </w:p>
    <w:p w14:paraId="37E09142" w14:textId="77777777" w:rsidR="002E4116" w:rsidRPr="001404F6" w:rsidRDefault="002E4116" w:rsidP="002E4116">
      <w:pPr>
        <w:pStyle w:val="CETBodytext"/>
        <w:rPr>
          <w:color w:val="0070C0"/>
        </w:rPr>
      </w:pPr>
    </w:p>
    <w:p w14:paraId="4E0C7D75" w14:textId="2059D4D8" w:rsidR="008E77B0" w:rsidRPr="00A8295C" w:rsidRDefault="002E6278" w:rsidP="001404F6">
      <w:pPr>
        <w:pStyle w:val="CETBodytext"/>
        <w:jc w:val="left"/>
        <w:rPr>
          <w:color w:val="0070C0"/>
          <w:lang w:val="es-CO"/>
        </w:rPr>
      </w:pPr>
      <w:r w:rsidRPr="00A8295C">
        <w:rPr>
          <w:noProof/>
          <w:color w:val="0070C0"/>
        </w:rPr>
        <mc:AlternateContent>
          <mc:Choice Requires="wps">
            <w:drawing>
              <wp:anchor distT="0" distB="0" distL="114300" distR="114300" simplePos="0" relativeHeight="251661312" behindDoc="0" locked="0" layoutInCell="1" allowOverlap="1" wp14:anchorId="31472947" wp14:editId="001CF97F">
                <wp:simplePos x="0" y="0"/>
                <wp:positionH relativeFrom="column">
                  <wp:posOffset>1411535</wp:posOffset>
                </wp:positionH>
                <wp:positionV relativeFrom="paragraph">
                  <wp:posOffset>87719</wp:posOffset>
                </wp:positionV>
                <wp:extent cx="0" cy="1155801"/>
                <wp:effectExtent l="0" t="0" r="38100" b="25400"/>
                <wp:wrapNone/>
                <wp:docPr id="9" name="Conector recto 9"/>
                <wp:cNvGraphicFramePr/>
                <a:graphic xmlns:a="http://schemas.openxmlformats.org/drawingml/2006/main">
                  <a:graphicData uri="http://schemas.microsoft.com/office/word/2010/wordprocessingShape">
                    <wps:wsp>
                      <wps:cNvCnPr/>
                      <wps:spPr>
                        <a:xfrm flipV="1">
                          <a:off x="0" y="0"/>
                          <a:ext cx="0" cy="11558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799FDE0F" id="Conector recto 9"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1.15pt,6.9pt" to="111.1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" strokecolor="#4579b8 [3044]"/>
            </w:pict>
          </mc:Fallback>
        </mc:AlternateContent>
      </w:r>
      <w:r w:rsidRPr="00A8295C">
        <w:rPr>
          <w:noProof/>
          <w:color w:val="0070C0"/>
        </w:rPr>
        <mc:AlternateContent>
          <mc:Choice Requires="wps">
            <w:drawing>
              <wp:anchor distT="0" distB="0" distL="114300" distR="114300" simplePos="0" relativeHeight="251659264" behindDoc="0" locked="0" layoutInCell="1" allowOverlap="1" wp14:anchorId="5EC98321" wp14:editId="7D36D757">
                <wp:simplePos x="0" y="0"/>
                <wp:positionH relativeFrom="column">
                  <wp:posOffset>953491</wp:posOffset>
                </wp:positionH>
                <wp:positionV relativeFrom="paragraph">
                  <wp:posOffset>78080</wp:posOffset>
                </wp:positionV>
                <wp:extent cx="0" cy="1155801"/>
                <wp:effectExtent l="0" t="0" r="38100" b="25400"/>
                <wp:wrapNone/>
                <wp:docPr id="8" name="Conector recto 8"/>
                <wp:cNvGraphicFramePr/>
                <a:graphic xmlns:a="http://schemas.openxmlformats.org/drawingml/2006/main">
                  <a:graphicData uri="http://schemas.microsoft.com/office/word/2010/wordprocessingShape">
                    <wps:wsp>
                      <wps:cNvCnPr/>
                      <wps:spPr>
                        <a:xfrm flipV="1">
                          <a:off x="0" y="0"/>
                          <a:ext cx="0" cy="11558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6C5080E" id="Conector recto 8"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5.1pt,6.15pt" to="75.1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" strokecolor="#4579b8 [3044]"/>
            </w:pict>
          </mc:Fallback>
        </mc:AlternateContent>
      </w:r>
      <w:r w:rsidR="002E4116" w:rsidRPr="00A8295C">
        <w:rPr>
          <w:noProof/>
          <w:color w:val="0070C0"/>
        </w:rPr>
        <w:drawing>
          <wp:inline distT="0" distB="0" distL="0" distR="0" wp14:anchorId="137F78B5" wp14:editId="2BD25159">
            <wp:extent cx="2765145" cy="14566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4646" cy="1466966"/>
                    </a:xfrm>
                    <a:prstGeom prst="rect">
                      <a:avLst/>
                    </a:prstGeom>
                    <a:noFill/>
                    <a:ln>
                      <a:noFill/>
                    </a:ln>
                  </pic:spPr>
                </pic:pic>
              </a:graphicData>
            </a:graphic>
          </wp:inline>
        </w:drawing>
      </w:r>
      <w:r w:rsidR="0035387B" w:rsidRPr="00A8295C">
        <w:rPr>
          <w:noProof/>
          <w:color w:val="0070C0"/>
          <w:lang w:val="es-CO"/>
        </w:rPr>
        <w:drawing>
          <wp:inline distT="0" distB="0" distL="0" distR="0" wp14:anchorId="0F88BEBB" wp14:editId="44F3457E">
            <wp:extent cx="2807611" cy="15066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2533" cy="1525366"/>
                    </a:xfrm>
                    <a:prstGeom prst="rect">
                      <a:avLst/>
                    </a:prstGeom>
                    <a:noFill/>
                    <a:ln>
                      <a:noFill/>
                    </a:ln>
                  </pic:spPr>
                </pic:pic>
              </a:graphicData>
            </a:graphic>
          </wp:inline>
        </w:drawing>
      </w:r>
    </w:p>
    <w:p w14:paraId="7D33E0ED" w14:textId="45A723FA" w:rsidR="008E77B0" w:rsidRPr="00326130" w:rsidRDefault="00CC788F" w:rsidP="00600535">
      <w:pPr>
        <w:pStyle w:val="CETBodytext"/>
        <w:rPr>
          <w:b/>
          <w:color w:val="000000" w:themeColor="text1"/>
        </w:rPr>
      </w:pPr>
      <w:r w:rsidRPr="00326130">
        <w:rPr>
          <w:b/>
          <w:color w:val="000000" w:themeColor="text1"/>
        </w:rPr>
        <w:t xml:space="preserve">                                              a                                                                                 b</w:t>
      </w:r>
    </w:p>
    <w:p w14:paraId="2EFEFFF2" w14:textId="2AE83AE7" w:rsidR="008E77B0" w:rsidRPr="001404F6" w:rsidRDefault="00E26080" w:rsidP="001404F6">
      <w:pPr>
        <w:pStyle w:val="sencillo"/>
        <w:jc w:val="left"/>
        <w:rPr>
          <w:b w:val="0"/>
          <w:i/>
          <w:color w:val="000000" w:themeColor="text1"/>
          <w:lang w:val="en-US"/>
        </w:rPr>
      </w:pPr>
      <w:r w:rsidRPr="001404F6">
        <w:rPr>
          <w:b w:val="0"/>
          <w:i/>
          <w:color w:val="000000" w:themeColor="text1"/>
          <w:lang w:val="en-US"/>
        </w:rPr>
        <w:t>Figure 1:</w:t>
      </w:r>
      <w:r w:rsidR="001404F6" w:rsidRPr="001404F6">
        <w:rPr>
          <w:color w:val="000000" w:themeColor="text1"/>
        </w:rPr>
        <w:t xml:space="preserve"> </w:t>
      </w:r>
      <w:r w:rsidR="001404F6" w:rsidRPr="001404F6">
        <w:rPr>
          <w:b w:val="0"/>
          <w:i/>
          <w:color w:val="000000" w:themeColor="text1"/>
          <w:lang w:val="en-US"/>
        </w:rPr>
        <w:t>Palm kernel shell characterization: (a) thermogravimetric analysis curve obtained at 10 °C min</w:t>
      </w:r>
      <w:r w:rsidR="001404F6" w:rsidRPr="001404F6">
        <w:rPr>
          <w:b w:val="0"/>
          <w:i/>
          <w:color w:val="000000" w:themeColor="text1"/>
          <w:vertAlign w:val="superscript"/>
          <w:lang w:val="en-US"/>
        </w:rPr>
        <w:t>-1</w:t>
      </w:r>
      <w:r w:rsidR="001404F6" w:rsidRPr="001404F6">
        <w:rPr>
          <w:b w:val="0"/>
          <w:i/>
          <w:color w:val="000000" w:themeColor="text1"/>
          <w:lang w:val="en-US"/>
        </w:rPr>
        <w:t>; (b) ATR</w:t>
      </w:r>
      <w:r w:rsidR="001404F6" w:rsidRPr="001404F6">
        <w:rPr>
          <w:rFonts w:cs="Arial"/>
          <w:b w:val="0"/>
          <w:i/>
          <w:color w:val="000000" w:themeColor="text1"/>
          <w:lang w:val="en-US"/>
        </w:rPr>
        <w:t>–</w:t>
      </w:r>
      <w:r w:rsidR="001404F6" w:rsidRPr="001404F6">
        <w:rPr>
          <w:b w:val="0"/>
          <w:i/>
          <w:color w:val="000000" w:themeColor="text1"/>
          <w:lang w:val="en-US"/>
        </w:rPr>
        <w:t>FTIR spectra of palm kernel shells (PKS) and activated carbon.</w:t>
      </w:r>
    </w:p>
    <w:p w14:paraId="2DA3767D" w14:textId="77777777" w:rsidR="008E77B0" w:rsidRPr="001404F6" w:rsidRDefault="008E77B0" w:rsidP="00600535">
      <w:pPr>
        <w:pStyle w:val="CETBodytext"/>
        <w:rPr>
          <w:color w:val="000000" w:themeColor="text1"/>
        </w:rPr>
      </w:pPr>
    </w:p>
    <w:p w14:paraId="486D1AC9" w14:textId="231936F8" w:rsidR="000230D3" w:rsidRPr="001404F6" w:rsidRDefault="001404F6" w:rsidP="00BA0146">
      <w:pPr>
        <w:pStyle w:val="CETBodytext"/>
        <w:rPr>
          <w:color w:val="000000" w:themeColor="text1"/>
        </w:rPr>
      </w:pPr>
      <w:r w:rsidRPr="001404F6">
        <w:rPr>
          <w:color w:val="000000" w:themeColor="text1"/>
        </w:rPr>
        <w:t>Figure 1b presents the ATR–FTIR spectra of PKS and the corresponding activated carbon. PKS exhibited a broad band in the 3100 – 3600 cm</w:t>
      </w:r>
      <w:r w:rsidRPr="001404F6">
        <w:rPr>
          <w:color w:val="000000" w:themeColor="text1"/>
          <w:vertAlign w:val="superscript"/>
        </w:rPr>
        <w:t>-1</w:t>
      </w:r>
      <w:r w:rsidRPr="001404F6">
        <w:rPr>
          <w:color w:val="000000" w:themeColor="text1"/>
        </w:rPr>
        <w:t xml:space="preserve"> region, attributed to O</w:t>
      </w:r>
      <w:r w:rsidRPr="001404F6">
        <w:rPr>
          <w:rFonts w:cs="Arial"/>
          <w:color w:val="000000" w:themeColor="text1"/>
        </w:rPr>
        <w:t>–</w:t>
      </w:r>
      <w:r w:rsidRPr="001404F6">
        <w:rPr>
          <w:color w:val="000000" w:themeColor="text1"/>
        </w:rPr>
        <w:t xml:space="preserve">H stretching vibrations associated with phenolic and carboxylic acid groups. Bands within the 900 </w:t>
      </w:r>
      <w:r w:rsidRPr="001404F6">
        <w:rPr>
          <w:rFonts w:cs="Arial"/>
          <w:color w:val="000000" w:themeColor="text1"/>
        </w:rPr>
        <w:t xml:space="preserve">– </w:t>
      </w:r>
      <w:r w:rsidRPr="001404F6">
        <w:rPr>
          <w:color w:val="000000" w:themeColor="text1"/>
        </w:rPr>
        <w:t>1200 cm</w:t>
      </w:r>
      <w:r w:rsidRPr="001404F6">
        <w:rPr>
          <w:color w:val="000000" w:themeColor="text1"/>
          <w:vertAlign w:val="superscript"/>
        </w:rPr>
        <w:t>-1</w:t>
      </w:r>
      <w:r w:rsidRPr="001404F6">
        <w:rPr>
          <w:color w:val="000000" w:themeColor="text1"/>
        </w:rPr>
        <w:t xml:space="preserve"> interval were assigned to C</w:t>
      </w:r>
      <w:r w:rsidRPr="001404F6">
        <w:rPr>
          <w:rFonts w:cs="Arial"/>
          <w:color w:val="000000" w:themeColor="text1"/>
        </w:rPr>
        <w:t>–</w:t>
      </w:r>
      <w:r w:rsidRPr="001404F6">
        <w:rPr>
          <w:color w:val="000000" w:themeColor="text1"/>
        </w:rPr>
        <w:t>O stretching vibrations characteristic of ether and hydroxyl functionalities. In contrast, the activated carbon showed a marked reduction in band intensity at 1350, 1450, 2850, and 2920 cm</w:t>
      </w:r>
      <w:r w:rsidRPr="001404F6">
        <w:rPr>
          <w:color w:val="000000" w:themeColor="text1"/>
          <w:vertAlign w:val="superscript"/>
        </w:rPr>
        <w:t>-1</w:t>
      </w:r>
      <w:r w:rsidRPr="001404F6">
        <w:rPr>
          <w:color w:val="000000" w:themeColor="text1"/>
        </w:rPr>
        <w:t>, corresponding to C</w:t>
      </w:r>
      <w:r w:rsidRPr="001404F6">
        <w:rPr>
          <w:rFonts w:cs="Arial"/>
          <w:color w:val="000000" w:themeColor="text1"/>
        </w:rPr>
        <w:t>–</w:t>
      </w:r>
      <w:r w:rsidRPr="001404F6">
        <w:rPr>
          <w:color w:val="000000" w:themeColor="text1"/>
        </w:rPr>
        <w:t>H stretching and bending vibrations, as well as near 1710 cm</w:t>
      </w:r>
      <w:r w:rsidRPr="001404F6">
        <w:rPr>
          <w:color w:val="000000" w:themeColor="text1"/>
          <w:vertAlign w:val="superscript"/>
        </w:rPr>
        <w:t>-1</w:t>
      </w:r>
      <w:r w:rsidRPr="001404F6">
        <w:rPr>
          <w:color w:val="000000" w:themeColor="text1"/>
        </w:rPr>
        <w:t>, associated with C=O stretching vibrations, indicating decomposition of oxygenated surface groups during thermochemical conversion. The persistence of a band around 1600 cm</w:t>
      </w:r>
      <w:r w:rsidRPr="001404F6">
        <w:rPr>
          <w:color w:val="000000" w:themeColor="text1"/>
          <w:vertAlign w:val="superscript"/>
        </w:rPr>
        <w:t>-1</w:t>
      </w:r>
      <w:r w:rsidRPr="001404F6">
        <w:rPr>
          <w:color w:val="000000" w:themeColor="text1"/>
        </w:rPr>
        <w:t xml:space="preserve"> suggests the presence of aromatic structures with a graphitized </w:t>
      </w:r>
      <w:r w:rsidR="00056217" w:rsidRPr="001404F6">
        <w:rPr>
          <w:color w:val="000000" w:themeColor="text1"/>
        </w:rPr>
        <w:t>arrangement.</w:t>
      </w:r>
    </w:p>
    <w:p w14:paraId="71960977" w14:textId="563B2B27" w:rsidR="005C31B2" w:rsidRDefault="006F090B" w:rsidP="005C31B2">
      <w:pPr>
        <w:pStyle w:val="CETBodytext"/>
        <w:rPr>
          <w:color w:val="000000" w:themeColor="text1"/>
        </w:rPr>
      </w:pPr>
      <w:r w:rsidRPr="006F090B">
        <w:rPr>
          <w:color w:val="000000" w:themeColor="text1"/>
        </w:rPr>
        <w:t>The BET characterization results established that the activated carbon has a pore volume of 0.26 c</w:t>
      </w:r>
      <w:r>
        <w:rPr>
          <w:color w:val="000000" w:themeColor="text1"/>
        </w:rPr>
        <w:t>m3</w:t>
      </w:r>
      <w:r w:rsidRPr="006F090B">
        <w:rPr>
          <w:color w:val="000000" w:themeColor="text1"/>
        </w:rPr>
        <w:t xml:space="preserve">/g and a surface area (ABET) close to 800 </w:t>
      </w:r>
      <w:r>
        <w:rPr>
          <w:color w:val="000000" w:themeColor="text1"/>
        </w:rPr>
        <w:t>m2</w:t>
      </w:r>
      <w:r w:rsidRPr="006F090B">
        <w:rPr>
          <w:color w:val="000000" w:themeColor="text1"/>
        </w:rPr>
        <w:t xml:space="preserve">/g. Furthermore, the activated carbon has an average pore size of 2.98 nm, classifying it as a mesoporous material. These results are consistent with the literature, indicating that activation with </w:t>
      </w:r>
      <w:r w:rsidR="00AB5605">
        <w:rPr>
          <w:color w:val="000000" w:themeColor="text1"/>
        </w:rPr>
        <w:t>H3</w:t>
      </w:r>
      <w:r w:rsidRPr="006F090B">
        <w:rPr>
          <w:color w:val="000000" w:themeColor="text1"/>
        </w:rPr>
        <w:t>P</w:t>
      </w:r>
      <w:r w:rsidR="00AB5605">
        <w:rPr>
          <w:color w:val="000000" w:themeColor="text1"/>
        </w:rPr>
        <w:t>O4</w:t>
      </w:r>
      <w:r w:rsidRPr="006F090B">
        <w:rPr>
          <w:color w:val="000000" w:themeColor="text1"/>
        </w:rPr>
        <w:t xml:space="preserve"> contributes to the formation of materials with larger surface areas (Thommes et al., 2021). For the sodium </w:t>
      </w:r>
      <w:r w:rsidR="00AB5605" w:rsidRPr="006F090B">
        <w:rPr>
          <w:color w:val="000000" w:themeColor="text1"/>
        </w:rPr>
        <w:t>dodecylbenzene sulfonate</w:t>
      </w:r>
      <w:r w:rsidRPr="006F090B">
        <w:rPr>
          <w:color w:val="000000" w:themeColor="text1"/>
        </w:rPr>
        <w:t xml:space="preserve"> adsorption tests, it was necessary to measure the intensity at the maximum wavelength of 220 nm using a UV-VIS spectrophotometer. The residual concentration (RC) of the SDBS was determined by correlating absorbance (A) with concentration, as shown in </w:t>
      </w:r>
      <w:r w:rsidR="00326130">
        <w:rPr>
          <w:color w:val="000000" w:themeColor="text1"/>
        </w:rPr>
        <w:t>Eq.</w:t>
      </w:r>
      <w:r w:rsidRPr="006F090B">
        <w:rPr>
          <w:color w:val="000000" w:themeColor="text1"/>
        </w:rPr>
        <w:t xml:space="preserve"> </w:t>
      </w:r>
      <w:r w:rsidR="00AB5605">
        <w:rPr>
          <w:color w:val="000000" w:themeColor="text1"/>
        </w:rPr>
        <w:t>(</w:t>
      </w:r>
      <w:r w:rsidRPr="006F090B">
        <w:rPr>
          <w:color w:val="000000" w:themeColor="text1"/>
        </w:rPr>
        <w:t>4</w:t>
      </w:r>
      <w:r w:rsidR="00AB5605">
        <w:rPr>
          <w:color w:val="000000" w:themeColor="text1"/>
        </w:rPr>
        <w:t>)</w:t>
      </w:r>
      <w:r w:rsidR="008C3B9A" w:rsidRPr="006F090B">
        <w:rPr>
          <w:color w:val="000000" w:themeColor="text1"/>
        </w:rPr>
        <w:t>.</w:t>
      </w:r>
    </w:p>
    <w:p w14:paraId="36F35235" w14:textId="2FA58955" w:rsidR="00546E12" w:rsidRDefault="00546E12" w:rsidP="005C31B2">
      <w:pPr>
        <w:pStyle w:val="CETBodytext"/>
        <w:rPr>
          <w:color w:val="000000" w:themeColor="text1"/>
        </w:rPr>
      </w:pPr>
    </w:p>
    <w:tbl>
      <w:tblPr>
        <w:tblStyle w:val="Tablanormal3"/>
        <w:tblW w:w="0" w:type="auto"/>
        <w:tblLook w:val="0600" w:firstRow="0" w:lastRow="0" w:firstColumn="0" w:lastColumn="0" w:noHBand="1" w:noVBand="1"/>
      </w:tblPr>
      <w:tblGrid>
        <w:gridCol w:w="4388"/>
        <w:gridCol w:w="4389"/>
      </w:tblGrid>
      <w:tr w:rsidR="00546E12" w14:paraId="62F5FE84" w14:textId="77777777" w:rsidTr="00546E12">
        <w:tc>
          <w:tcPr>
            <w:tcW w:w="4388" w:type="dxa"/>
            <w:vAlign w:val="center"/>
          </w:tcPr>
          <w:p w14:paraId="0F29CACD" w14:textId="570F0254" w:rsidR="00546E12" w:rsidRPr="00056217" w:rsidRDefault="00546E12" w:rsidP="00DB0186">
            <w:pPr>
              <w:jc w:val="left"/>
              <w:rPr>
                <w:rFonts w:cs="Arial"/>
                <w:color w:val="000000" w:themeColor="text1"/>
                <w:szCs w:val="18"/>
                <w:lang w:val="en-US"/>
              </w:rPr>
            </w:pPr>
            <m:oMathPara>
              <m:oMathParaPr>
                <m:jc m:val="left"/>
              </m:oMathParaPr>
              <m:oMath>
                <m:r>
                  <w:rPr>
                    <w:rFonts w:ascii="Cambria Math" w:hAnsi="Cambria Math"/>
                    <w:color w:val="000000" w:themeColor="text1"/>
                    <w:lang w:val="es-CO"/>
                  </w:rPr>
                  <m:t>A</m:t>
                </m:r>
                <m:r>
                  <w:rPr>
                    <w:rFonts w:ascii="Cambria Math" w:hAnsi="Cambria Math"/>
                    <w:color w:val="000000" w:themeColor="text1"/>
                    <w:lang w:val="en-US"/>
                  </w:rPr>
                  <m:t>=0.0093+0.0282.</m:t>
                </m:r>
                <m:sSub>
                  <m:sSubPr>
                    <m:ctrlPr>
                      <w:rPr>
                        <w:rFonts w:ascii="Cambria Math" w:hAnsi="Cambria Math"/>
                        <w:i/>
                        <w:color w:val="000000" w:themeColor="text1"/>
                        <w:lang w:val="es-CO"/>
                      </w:rPr>
                    </m:ctrlPr>
                  </m:sSubPr>
                  <m:e>
                    <m:r>
                      <w:rPr>
                        <w:rFonts w:ascii="Cambria Math" w:hAnsi="Cambria Math"/>
                        <w:color w:val="000000" w:themeColor="text1"/>
                        <w:lang w:val="es-CO"/>
                      </w:rPr>
                      <m:t>C</m:t>
                    </m:r>
                  </m:e>
                  <m:sub>
                    <m:r>
                      <w:rPr>
                        <w:rFonts w:ascii="Cambria Math" w:hAnsi="Cambria Math"/>
                        <w:color w:val="000000" w:themeColor="text1"/>
                        <w:lang w:val="es-CO"/>
                      </w:rPr>
                      <m:t>R</m:t>
                    </m:r>
                  </m:sub>
                </m:sSub>
              </m:oMath>
            </m:oMathPara>
          </w:p>
        </w:tc>
        <w:tc>
          <w:tcPr>
            <w:tcW w:w="4389" w:type="dxa"/>
            <w:vAlign w:val="center"/>
          </w:tcPr>
          <w:p w14:paraId="5155C867" w14:textId="269C9DD8" w:rsidR="00546E12" w:rsidRDefault="00546E12" w:rsidP="00546E12">
            <w:pPr>
              <w:jc w:val="right"/>
              <w:rPr>
                <w:rFonts w:cs="Arial"/>
                <w:color w:val="000000" w:themeColor="text1"/>
                <w:szCs w:val="18"/>
                <w:lang w:val="en-US"/>
              </w:rPr>
            </w:pPr>
            <w:r>
              <w:rPr>
                <w:rFonts w:cs="Arial"/>
                <w:color w:val="000000" w:themeColor="text1"/>
                <w:szCs w:val="18"/>
                <w:lang w:val="en-US"/>
              </w:rPr>
              <w:t>(4)</w:t>
            </w:r>
          </w:p>
        </w:tc>
      </w:tr>
    </w:tbl>
    <w:p w14:paraId="145931A7" w14:textId="3CD27F47" w:rsidR="00D53E25" w:rsidRPr="00326130" w:rsidRDefault="00D53E25" w:rsidP="005C31B2">
      <w:pPr>
        <w:pStyle w:val="CETBodytext"/>
        <w:rPr>
          <w:color w:val="000000" w:themeColor="text1"/>
        </w:rPr>
      </w:pPr>
    </w:p>
    <w:p w14:paraId="541E6655" w14:textId="64CFC8E0" w:rsidR="00E51E9B" w:rsidRPr="006F090B" w:rsidRDefault="001404F6" w:rsidP="00600535">
      <w:pPr>
        <w:pStyle w:val="CETBodytext"/>
        <w:rPr>
          <w:color w:val="000000" w:themeColor="text1"/>
        </w:rPr>
      </w:pPr>
      <w:r w:rsidRPr="006F090B">
        <w:rPr>
          <w:color w:val="000000" w:themeColor="text1"/>
        </w:rPr>
        <w:t>The adsorption performance of the activated carbon at contact times of 0.5, 1, and 2 h exhibited removal efficiency values of 52, 73, and 85%, respectively. After 2 h, the increase in removal efficiency became less pronounced, reaching an average value of approximately 90%. Based on these results, two synthetic produced water samples containing 0 and 1000 mg L</w:t>
      </w:r>
      <w:r w:rsidRPr="006F090B">
        <w:rPr>
          <w:color w:val="000000" w:themeColor="text1"/>
          <w:vertAlign w:val="superscript"/>
        </w:rPr>
        <w:t>-1</w:t>
      </w:r>
      <w:r w:rsidRPr="006F090B">
        <w:rPr>
          <w:color w:val="000000" w:themeColor="text1"/>
        </w:rPr>
        <w:t xml:space="preserve"> of sodium dodecyl</w:t>
      </w:r>
      <w:r w:rsidR="00326130">
        <w:rPr>
          <w:color w:val="000000" w:themeColor="text1"/>
        </w:rPr>
        <w:t xml:space="preserve"> </w:t>
      </w:r>
      <w:r w:rsidRPr="006F090B">
        <w:rPr>
          <w:color w:val="000000" w:themeColor="text1"/>
        </w:rPr>
        <w:t>benzene sulfonate were prepared to simulate produced water treatment conditions. Electrochemical tests using API N-80Q steel coupons were subsequently conducted in these synthetic waters under reservoir-relevant thermal conditions. Accordingly, the temperature of the electrochemical measurements was set at 25 and 65 °C.</w:t>
      </w:r>
    </w:p>
    <w:p w14:paraId="27943416" w14:textId="081347ED" w:rsidR="00056217" w:rsidRDefault="001404F6" w:rsidP="00600535">
      <w:pPr>
        <w:pStyle w:val="CETBodytext"/>
        <w:rPr>
          <w:color w:val="000000" w:themeColor="text1"/>
        </w:rPr>
      </w:pPr>
      <w:r w:rsidRPr="006F090B">
        <w:rPr>
          <w:color w:val="000000" w:themeColor="text1"/>
        </w:rPr>
        <w:t xml:space="preserve">Figure 2 presents the anodic polarization curves. The profiles indicate charge transfer control, and none of the systems exhibited a tendency toward passivation in the anodic region. The API N-80Q steel coupon immersed in synthetic water without sodium </w:t>
      </w:r>
      <w:r w:rsidR="006E1A51" w:rsidRPr="006F090B">
        <w:rPr>
          <w:color w:val="000000" w:themeColor="text1"/>
        </w:rPr>
        <w:t>dodecylbenzene sulfonate</w:t>
      </w:r>
      <w:r w:rsidRPr="006F090B">
        <w:rPr>
          <w:color w:val="000000" w:themeColor="text1"/>
        </w:rPr>
        <w:t xml:space="preserve"> showed corrosion rates of 0.44 and 1.37 mpy at 25 and 65 °C, respectively. In contrast, the presence of 1000 mg </w:t>
      </w:r>
      <w:r w:rsidR="006E1A51" w:rsidRPr="006F090B">
        <w:rPr>
          <w:color w:val="000000" w:themeColor="text1"/>
        </w:rPr>
        <w:t>L</w:t>
      </w:r>
      <w:r w:rsidR="006E1A51" w:rsidRPr="006F090B">
        <w:rPr>
          <w:color w:val="000000" w:themeColor="text1"/>
          <w:vertAlign w:val="superscript"/>
        </w:rPr>
        <w:t>-1</w:t>
      </w:r>
      <w:r w:rsidRPr="006F090B">
        <w:rPr>
          <w:color w:val="000000" w:themeColor="text1"/>
        </w:rPr>
        <w:t xml:space="preserve"> sodium </w:t>
      </w:r>
      <w:r w:rsidR="006E1A51" w:rsidRPr="006F090B">
        <w:rPr>
          <w:color w:val="000000" w:themeColor="text1"/>
        </w:rPr>
        <w:t>dodecylbenzene sulfonate</w:t>
      </w:r>
      <w:r w:rsidRPr="006F090B">
        <w:rPr>
          <w:color w:val="000000" w:themeColor="text1"/>
        </w:rPr>
        <w:t xml:space="preserve"> resulted in a marked increase in corrosion rate, reaching 1.37 and 1.46 mpy at 25 and 65 °C, respectively.</w:t>
      </w:r>
    </w:p>
    <w:p w14:paraId="6E000825" w14:textId="0E32EA1A" w:rsidR="00056217" w:rsidRPr="006F090B" w:rsidRDefault="00056217" w:rsidP="00056217">
      <w:pPr>
        <w:pStyle w:val="CETBodytext"/>
        <w:rPr>
          <w:color w:val="000000" w:themeColor="text1"/>
        </w:rPr>
      </w:pPr>
      <w:r w:rsidRPr="006E1A51">
        <w:rPr>
          <w:color w:val="000000" w:themeColor="text1"/>
        </w:rPr>
        <w:t>An interaction between the evaluated variables was observed, indicating that the corrosion rate depended on both thermal conditions and sodium dodecylbenzene sulfonate concentration in the electrolyte</w:t>
      </w:r>
      <w:r>
        <w:rPr>
          <w:color w:val="000000" w:themeColor="text1"/>
        </w:rPr>
        <w:t>.</w:t>
      </w:r>
    </w:p>
    <w:p w14:paraId="7A298D39" w14:textId="058B1FD9" w:rsidR="00546E12" w:rsidRDefault="00F71893" w:rsidP="00546E12">
      <w:pPr>
        <w:pStyle w:val="CETBodytext"/>
        <w:rPr>
          <w:b/>
          <w:i/>
          <w:color w:val="0070C0"/>
        </w:rPr>
      </w:pPr>
      <w:r w:rsidRPr="00A8295C">
        <w:rPr>
          <w:noProof/>
          <w:color w:val="0070C0"/>
          <w:lang w:val="es-CO"/>
        </w:rPr>
        <w:lastRenderedPageBreak/>
        <w:drawing>
          <wp:inline distT="0" distB="0" distL="0" distR="0" wp14:anchorId="2C021698" wp14:editId="344A24C5">
            <wp:extent cx="2707574" cy="2246659"/>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7574" cy="2246659"/>
                    </a:xfrm>
                    <a:prstGeom prst="rect">
                      <a:avLst/>
                    </a:prstGeom>
                    <a:noFill/>
                    <a:ln>
                      <a:noFill/>
                    </a:ln>
                  </pic:spPr>
                </pic:pic>
              </a:graphicData>
            </a:graphic>
          </wp:inline>
        </w:drawing>
      </w:r>
      <w:r w:rsidR="00CB75D9" w:rsidRPr="00A8295C">
        <w:rPr>
          <w:noProof/>
          <w:color w:val="0070C0"/>
          <w:lang w:val="es-CO"/>
        </w:rPr>
        <w:drawing>
          <wp:inline distT="0" distB="0" distL="0" distR="0" wp14:anchorId="4FA3E216" wp14:editId="338903F6">
            <wp:extent cx="2749137" cy="2254719"/>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9137" cy="2254719"/>
                    </a:xfrm>
                    <a:prstGeom prst="rect">
                      <a:avLst/>
                    </a:prstGeom>
                    <a:noFill/>
                    <a:ln>
                      <a:noFill/>
                    </a:ln>
                  </pic:spPr>
                </pic:pic>
              </a:graphicData>
            </a:graphic>
          </wp:inline>
        </w:drawing>
      </w:r>
    </w:p>
    <w:p w14:paraId="45516F52" w14:textId="4DE71DBA" w:rsidR="00546E12" w:rsidRPr="00546E12" w:rsidRDefault="00546E12" w:rsidP="00546E12">
      <w:pPr>
        <w:pStyle w:val="CETBodytext"/>
        <w:jc w:val="left"/>
        <w:rPr>
          <w:b/>
          <w:i/>
          <w:color w:val="000000" w:themeColor="text1"/>
        </w:rPr>
      </w:pPr>
      <w:r w:rsidRPr="00546E12">
        <w:rPr>
          <w:b/>
          <w:i/>
          <w:color w:val="000000" w:themeColor="text1"/>
        </w:rPr>
        <w:t xml:space="preserve">                                          a                                                                                        b</w:t>
      </w:r>
    </w:p>
    <w:p w14:paraId="4D9E69B0" w14:textId="17228760" w:rsidR="00F71893" w:rsidRPr="006E1A51" w:rsidRDefault="001A19EB" w:rsidP="006E1A51">
      <w:pPr>
        <w:pStyle w:val="sencillo"/>
        <w:jc w:val="left"/>
        <w:rPr>
          <w:b w:val="0"/>
          <w:i/>
          <w:color w:val="000000" w:themeColor="text1"/>
          <w:lang w:val="en-US"/>
        </w:rPr>
      </w:pPr>
      <w:r w:rsidRPr="006E1A51">
        <w:rPr>
          <w:b w:val="0"/>
          <w:i/>
          <w:color w:val="000000" w:themeColor="text1"/>
          <w:lang w:val="en-US"/>
        </w:rPr>
        <w:t>Figure 2:</w:t>
      </w:r>
      <w:r w:rsidR="006E1A51" w:rsidRPr="006E1A51">
        <w:rPr>
          <w:color w:val="000000" w:themeColor="text1"/>
        </w:rPr>
        <w:t xml:space="preserve"> </w:t>
      </w:r>
      <w:r w:rsidR="006E1A51" w:rsidRPr="006E1A51">
        <w:rPr>
          <w:b w:val="0"/>
          <w:i/>
          <w:color w:val="000000" w:themeColor="text1"/>
          <w:lang w:val="en-US"/>
        </w:rPr>
        <w:t>Anodic polarization curves obtained in synthetic produced water containing 0 and 1000 mg L</w:t>
      </w:r>
      <w:r w:rsidR="006E1A51" w:rsidRPr="006E1A51">
        <w:rPr>
          <w:b w:val="0"/>
          <w:i/>
          <w:color w:val="000000" w:themeColor="text1"/>
          <w:vertAlign w:val="superscript"/>
          <w:lang w:val="en-US"/>
        </w:rPr>
        <w:t>-1</w:t>
      </w:r>
      <w:r w:rsidR="006E1A51" w:rsidRPr="006E1A51">
        <w:rPr>
          <w:b w:val="0"/>
          <w:i/>
          <w:color w:val="000000" w:themeColor="text1"/>
          <w:lang w:val="en-US"/>
        </w:rPr>
        <w:t xml:space="preserve"> sodium dodecylbenzene sulfonate: (a) 25 </w:t>
      </w:r>
      <w:r w:rsidR="006E1A51" w:rsidRPr="006E1A51">
        <w:rPr>
          <w:rFonts w:cs="Arial"/>
          <w:b w:val="0"/>
          <w:i/>
          <w:color w:val="000000" w:themeColor="text1"/>
          <w:lang w:val="en-US"/>
        </w:rPr>
        <w:t>°</w:t>
      </w:r>
      <w:r w:rsidR="006E1A51" w:rsidRPr="006E1A51">
        <w:rPr>
          <w:b w:val="0"/>
          <w:i/>
          <w:color w:val="000000" w:themeColor="text1"/>
          <w:lang w:val="en-US"/>
        </w:rPr>
        <w:t xml:space="preserve">C and (b) 65 </w:t>
      </w:r>
      <w:r w:rsidR="006E1A51" w:rsidRPr="006E1A51">
        <w:rPr>
          <w:rFonts w:cs="Arial"/>
          <w:b w:val="0"/>
          <w:i/>
          <w:color w:val="000000" w:themeColor="text1"/>
          <w:lang w:val="en-US"/>
        </w:rPr>
        <w:t>°</w:t>
      </w:r>
      <w:r w:rsidR="006E1A51" w:rsidRPr="006E1A51">
        <w:rPr>
          <w:b w:val="0"/>
          <w:i/>
          <w:color w:val="000000" w:themeColor="text1"/>
          <w:lang w:val="en-US"/>
        </w:rPr>
        <w:t>C</w:t>
      </w:r>
      <w:r w:rsidR="00DF794B" w:rsidRPr="006E1A51">
        <w:rPr>
          <w:b w:val="0"/>
          <w:i/>
          <w:color w:val="000000" w:themeColor="text1"/>
          <w:lang w:val="en-US"/>
        </w:rPr>
        <w:t>.</w:t>
      </w:r>
    </w:p>
    <w:p w14:paraId="095DCC18" w14:textId="6E6B6EDC" w:rsidR="00F71893" w:rsidRPr="006E1A51" w:rsidRDefault="00F71893" w:rsidP="00600535">
      <w:pPr>
        <w:pStyle w:val="CETBodytext"/>
        <w:rPr>
          <w:color w:val="000000" w:themeColor="text1"/>
        </w:rPr>
      </w:pPr>
    </w:p>
    <w:p w14:paraId="4D84986C" w14:textId="4C523049" w:rsidR="004C37B4" w:rsidRPr="006E1A51" w:rsidRDefault="006E1A51" w:rsidP="006E1A51">
      <w:pPr>
        <w:pStyle w:val="CETBodytext"/>
        <w:rPr>
          <w:color w:val="000000" w:themeColor="text1"/>
        </w:rPr>
      </w:pPr>
      <w:r w:rsidRPr="006E1A51">
        <w:rPr>
          <w:color w:val="000000" w:themeColor="text1"/>
        </w:rPr>
        <w:t>Figure 3 presents the SEM–EDS analysis of the base steel coupon and the coupon immersed in synthetic produced water containing 1000 mg L</w:t>
      </w:r>
      <w:r w:rsidRPr="006E1A51">
        <w:rPr>
          <w:color w:val="000000" w:themeColor="text1"/>
          <w:vertAlign w:val="superscript"/>
        </w:rPr>
        <w:t>-1</w:t>
      </w:r>
      <w:r w:rsidRPr="006E1A51">
        <w:rPr>
          <w:color w:val="000000" w:themeColor="text1"/>
        </w:rPr>
        <w:t xml:space="preserve"> sodium dodecylbenzene sulfonate at 65 </w:t>
      </w:r>
      <w:r w:rsidRPr="006E1A51">
        <w:rPr>
          <w:rFonts w:cs="Arial"/>
          <w:color w:val="000000" w:themeColor="text1"/>
        </w:rPr>
        <w:t>°</w:t>
      </w:r>
      <w:r w:rsidRPr="006E1A51">
        <w:rPr>
          <w:color w:val="000000" w:themeColor="text1"/>
        </w:rPr>
        <w:t xml:space="preserve">C. The specimen exposed to 1000 mg </w:t>
      </w:r>
      <w:r w:rsidRPr="006E1A51">
        <w:rPr>
          <w:color w:val="000000" w:themeColor="text1"/>
          <w:lang w:val="en-GB"/>
        </w:rPr>
        <w:t>L</w:t>
      </w:r>
      <w:r w:rsidRPr="006E1A51">
        <w:rPr>
          <w:color w:val="000000" w:themeColor="text1"/>
          <w:vertAlign w:val="superscript"/>
          <w:lang w:val="en-GB"/>
        </w:rPr>
        <w:t>-1</w:t>
      </w:r>
      <w:r w:rsidRPr="006E1A51">
        <w:rPr>
          <w:color w:val="000000" w:themeColor="text1"/>
        </w:rPr>
        <w:t xml:space="preserve"> exhibited a surface covered with irregular deposits and an increased carbon (C) and oxygen (O) content, which may be attributed to the formation of corrosion products. Localized corrosion in the form of pitting was also observed, possibly associated with the presence of chloride species in the electrolyte.</w:t>
      </w:r>
    </w:p>
    <w:p w14:paraId="317D6402" w14:textId="4B096AC3" w:rsidR="00D30090" w:rsidRPr="006E1A51" w:rsidRDefault="00D30090" w:rsidP="00600535">
      <w:pPr>
        <w:pStyle w:val="CETBodytext"/>
        <w:rPr>
          <w:color w:val="0070C0"/>
        </w:rPr>
      </w:pPr>
    </w:p>
    <w:p w14:paraId="1F760415" w14:textId="2D174202" w:rsidR="007A452B" w:rsidRPr="00A8295C" w:rsidRDefault="003B45CB" w:rsidP="004F6165">
      <w:pPr>
        <w:pStyle w:val="CETBodytext"/>
        <w:jc w:val="left"/>
        <w:rPr>
          <w:color w:val="0070C0"/>
          <w:lang w:val="es-CO"/>
        </w:rPr>
      </w:pPr>
      <w:r w:rsidRPr="003B45CB">
        <w:rPr>
          <w:noProof/>
          <w:color w:val="0070C0"/>
          <w:lang w:val="en-GB"/>
        </w:rPr>
        <w:drawing>
          <wp:inline distT="0" distB="0" distL="0" distR="0" wp14:anchorId="466E718D" wp14:editId="5637D654">
            <wp:extent cx="1815152" cy="1671569"/>
            <wp:effectExtent l="0" t="0" r="0" b="5080"/>
            <wp:docPr id="18" name="Imagen 17">
              <a:extLst xmlns:a="http://schemas.openxmlformats.org/drawingml/2006/main">
                <a:ext uri="{FF2B5EF4-FFF2-40B4-BE49-F238E27FC236}">
                  <a16:creationId xmlns:a16="http://schemas.microsoft.com/office/drawing/2014/main" id="{117263C5-5599-4766-A257-3E88FCB37D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117263C5-5599-4766-A257-3E88FCB37DA5}"/>
                        </a:ext>
                      </a:extLst>
                    </pic:cNvPr>
                    <pic:cNvPicPr>
                      <a:picLocks noChangeAspect="1"/>
                    </pic:cNvPicPr>
                  </pic:nvPicPr>
                  <pic:blipFill>
                    <a:blip r:embed="rId15"/>
                    <a:stretch>
                      <a:fillRect/>
                    </a:stretch>
                  </pic:blipFill>
                  <pic:spPr>
                    <a:xfrm>
                      <a:off x="0" y="0"/>
                      <a:ext cx="1823133" cy="1678919"/>
                    </a:xfrm>
                    <a:prstGeom prst="rect">
                      <a:avLst/>
                    </a:prstGeom>
                  </pic:spPr>
                </pic:pic>
              </a:graphicData>
            </a:graphic>
          </wp:inline>
        </w:drawing>
      </w:r>
      <w:r w:rsidRPr="003B45CB">
        <w:rPr>
          <w:noProof/>
          <w:color w:val="0070C0"/>
          <w:lang w:val="en-GB"/>
        </w:rPr>
        <w:drawing>
          <wp:inline distT="0" distB="0" distL="0" distR="0" wp14:anchorId="2E9F1D2C" wp14:editId="17119B61">
            <wp:extent cx="2164591" cy="1564091"/>
            <wp:effectExtent l="19050" t="19050" r="26670" b="17145"/>
            <wp:docPr id="27" name="Picture 5">
              <a:extLst xmlns:a="http://schemas.openxmlformats.org/drawingml/2006/main">
                <a:ext uri="{FF2B5EF4-FFF2-40B4-BE49-F238E27FC236}">
                  <a16:creationId xmlns:a16="http://schemas.microsoft.com/office/drawing/2014/main" id="{30EEE047-F788-4107-A887-65A5D8DE4D86}"/>
                </a:ext>
              </a:extLst>
            </wp:docPr>
            <wp:cNvGraphicFramePr/>
            <a:graphic xmlns:a="http://schemas.openxmlformats.org/drawingml/2006/main">
              <a:graphicData uri="http://schemas.openxmlformats.org/drawingml/2006/picture">
                <pic:pic xmlns:pic="http://schemas.openxmlformats.org/drawingml/2006/picture">
                  <pic:nvPicPr>
                    <pic:cNvPr id="27" name="Picture 5">
                      <a:extLst>
                        <a:ext uri="{FF2B5EF4-FFF2-40B4-BE49-F238E27FC236}">
                          <a16:creationId xmlns:a16="http://schemas.microsoft.com/office/drawing/2014/main" id="{30EEE047-F788-4107-A887-65A5D8DE4D86}"/>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3972" cy="1570870"/>
                    </a:xfrm>
                    <a:prstGeom prst="rect">
                      <a:avLst/>
                    </a:prstGeom>
                    <a:solidFill>
                      <a:srgbClr val="FFFFFF"/>
                    </a:solidFill>
                    <a:ln w="9525" cap="flat" cmpd="sng">
                      <a:solidFill>
                        <a:srgbClr val="000000"/>
                      </a:solidFill>
                      <a:prstDash val="solid"/>
                      <a:miter lim="800000"/>
                      <a:headEnd/>
                      <a:tailEnd/>
                    </a:ln>
                  </pic:spPr>
                </pic:pic>
              </a:graphicData>
            </a:graphic>
          </wp:inline>
        </w:drawing>
      </w:r>
      <w:r w:rsidR="00E87969" w:rsidRPr="003B45CB">
        <w:rPr>
          <w:noProof/>
          <w:color w:val="0070C0"/>
          <w:lang w:val="es-CO"/>
        </w:rPr>
        <w:drawing>
          <wp:inline distT="0" distB="0" distL="0" distR="0" wp14:anchorId="704BFFD2" wp14:editId="228B981A">
            <wp:extent cx="1214650" cy="1199515"/>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0138"/>
                    <a:stretch/>
                  </pic:blipFill>
                  <pic:spPr bwMode="auto">
                    <a:xfrm>
                      <a:off x="0" y="0"/>
                      <a:ext cx="1230624" cy="1215290"/>
                    </a:xfrm>
                    <a:prstGeom prst="rect">
                      <a:avLst/>
                    </a:prstGeom>
                    <a:ln>
                      <a:noFill/>
                    </a:ln>
                    <a:extLst>
                      <a:ext uri="{53640926-AAD7-44D8-BBD7-CCE9431645EC}">
                        <a14:shadowObscured xmlns:a14="http://schemas.microsoft.com/office/drawing/2010/main"/>
                      </a:ext>
                    </a:extLst>
                  </pic:spPr>
                </pic:pic>
              </a:graphicData>
            </a:graphic>
          </wp:inline>
        </w:drawing>
      </w:r>
    </w:p>
    <w:p w14:paraId="19E4AF9E" w14:textId="050C9064" w:rsidR="004F6165" w:rsidRPr="00A8295C" w:rsidRDefault="004F6165" w:rsidP="00600535">
      <w:pPr>
        <w:pStyle w:val="CETBodytext"/>
        <w:rPr>
          <w:b/>
          <w:color w:val="0070C0"/>
          <w:lang w:val="es-CO"/>
        </w:rPr>
      </w:pPr>
      <w:r w:rsidRPr="00A8295C">
        <w:rPr>
          <w:b/>
          <w:color w:val="0070C0"/>
          <w:lang w:val="es-CO"/>
        </w:rPr>
        <w:t xml:space="preserve">                                                        </w:t>
      </w:r>
      <w:r w:rsidRPr="00546E12">
        <w:rPr>
          <w:b/>
          <w:color w:val="000000" w:themeColor="text1"/>
          <w:lang w:val="es-CO"/>
        </w:rPr>
        <w:t>a</w:t>
      </w:r>
    </w:p>
    <w:p w14:paraId="40F60CD5" w14:textId="730F5191" w:rsidR="000E7CBB" w:rsidRPr="00A8295C" w:rsidRDefault="00E87969" w:rsidP="004F6165">
      <w:pPr>
        <w:pStyle w:val="CETBodytext"/>
        <w:jc w:val="left"/>
        <w:rPr>
          <w:b/>
          <w:color w:val="0070C0"/>
          <w:lang w:val="es-CO"/>
        </w:rPr>
      </w:pPr>
      <w:r w:rsidRPr="00027E28">
        <w:rPr>
          <w:noProof/>
          <w:sz w:val="22"/>
          <w:szCs w:val="22"/>
        </w:rPr>
        <w:drawing>
          <wp:inline distT="0" distB="0" distL="0" distR="0" wp14:anchorId="56E94D38" wp14:editId="797797B5">
            <wp:extent cx="1908175" cy="175731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7785" cy="1775374"/>
                    </a:xfrm>
                    <a:prstGeom prst="rect">
                      <a:avLst/>
                    </a:prstGeom>
                    <a:noFill/>
                    <a:ln>
                      <a:noFill/>
                    </a:ln>
                  </pic:spPr>
                </pic:pic>
              </a:graphicData>
            </a:graphic>
          </wp:inline>
        </w:drawing>
      </w:r>
      <w:r>
        <w:rPr>
          <w:b/>
          <w:noProof/>
          <w:color w:val="0070C0"/>
          <w:lang w:val="es-CO"/>
        </w:rPr>
        <w:drawing>
          <wp:inline distT="0" distB="0" distL="0" distR="0" wp14:anchorId="3640EB36" wp14:editId="7CC2AE7F">
            <wp:extent cx="2183130" cy="1691483"/>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2868" cy="1706776"/>
                    </a:xfrm>
                    <a:prstGeom prst="rect">
                      <a:avLst/>
                    </a:prstGeom>
                    <a:noFill/>
                  </pic:spPr>
                </pic:pic>
              </a:graphicData>
            </a:graphic>
          </wp:inline>
        </w:drawing>
      </w:r>
      <w:r>
        <w:rPr>
          <w:b/>
          <w:noProof/>
          <w:color w:val="0070C0"/>
          <w:lang w:val="es-CO"/>
        </w:rPr>
        <w:drawing>
          <wp:inline distT="0" distB="0" distL="0" distR="0" wp14:anchorId="6604CFDA" wp14:editId="2844D34D">
            <wp:extent cx="1462957" cy="949297"/>
            <wp:effectExtent l="0" t="0" r="444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0236" cy="966998"/>
                    </a:xfrm>
                    <a:prstGeom prst="rect">
                      <a:avLst/>
                    </a:prstGeom>
                    <a:noFill/>
                  </pic:spPr>
                </pic:pic>
              </a:graphicData>
            </a:graphic>
          </wp:inline>
        </w:drawing>
      </w:r>
    </w:p>
    <w:p w14:paraId="11012EC9" w14:textId="09B7CD15" w:rsidR="004F6165" w:rsidRPr="00326130" w:rsidRDefault="004F6165" w:rsidP="00600535">
      <w:pPr>
        <w:pStyle w:val="CETBodytext"/>
        <w:rPr>
          <w:b/>
          <w:color w:val="0070C0"/>
        </w:rPr>
      </w:pPr>
      <w:r w:rsidRPr="00326130">
        <w:rPr>
          <w:b/>
          <w:color w:val="0070C0"/>
        </w:rPr>
        <w:t xml:space="preserve">                                                          </w:t>
      </w:r>
      <w:r w:rsidRPr="00546E12">
        <w:rPr>
          <w:b/>
          <w:color w:val="000000" w:themeColor="text1"/>
        </w:rPr>
        <w:t>b</w:t>
      </w:r>
    </w:p>
    <w:p w14:paraId="6726E9F2" w14:textId="1149F0A9" w:rsidR="004F6165" w:rsidRPr="006E1A51" w:rsidRDefault="004F6165" w:rsidP="0023234D">
      <w:pPr>
        <w:pStyle w:val="sencillo"/>
        <w:rPr>
          <w:b w:val="0"/>
          <w:i/>
          <w:color w:val="000000" w:themeColor="text1"/>
          <w:lang w:val="en-US"/>
        </w:rPr>
      </w:pPr>
      <w:r w:rsidRPr="006E1A51">
        <w:rPr>
          <w:b w:val="0"/>
          <w:i/>
          <w:color w:val="000000" w:themeColor="text1"/>
          <w:lang w:val="en-US"/>
        </w:rPr>
        <w:t>Figure 3:</w:t>
      </w:r>
      <w:r w:rsidR="006E1A51" w:rsidRPr="006E1A51">
        <w:rPr>
          <w:color w:val="000000" w:themeColor="text1"/>
        </w:rPr>
        <w:t xml:space="preserve"> </w:t>
      </w:r>
      <w:r w:rsidR="006E1A51" w:rsidRPr="006E1A51">
        <w:rPr>
          <w:b w:val="0"/>
          <w:i/>
          <w:color w:val="000000" w:themeColor="text1"/>
          <w:lang w:val="en-US"/>
        </w:rPr>
        <w:t>SEM–EDS analysis: (a) API N-80Q steel and (b) API N-80Q steel exposed to 1000 mg L</w:t>
      </w:r>
      <w:r w:rsidR="006E1A51" w:rsidRPr="006E1A51">
        <w:rPr>
          <w:b w:val="0"/>
          <w:i/>
          <w:color w:val="000000" w:themeColor="text1"/>
          <w:vertAlign w:val="superscript"/>
          <w:lang w:val="en-US"/>
        </w:rPr>
        <w:t>-1</w:t>
      </w:r>
      <w:r w:rsidR="006E1A51" w:rsidRPr="006E1A51">
        <w:rPr>
          <w:b w:val="0"/>
          <w:i/>
          <w:color w:val="000000" w:themeColor="text1"/>
          <w:lang w:val="en-US"/>
        </w:rPr>
        <w:t xml:space="preserve"> sodium dodecylbenzene sulfonate at 65 </w:t>
      </w:r>
      <w:r w:rsidR="006E1A51" w:rsidRPr="006E1A51">
        <w:rPr>
          <w:rFonts w:cs="Arial"/>
          <w:b w:val="0"/>
          <w:i/>
          <w:color w:val="000000" w:themeColor="text1"/>
          <w:lang w:val="en-US"/>
        </w:rPr>
        <w:t>°</w:t>
      </w:r>
      <w:r w:rsidR="006E1A51" w:rsidRPr="006E1A51">
        <w:rPr>
          <w:b w:val="0"/>
          <w:i/>
          <w:color w:val="000000" w:themeColor="text1"/>
          <w:lang w:val="en-US"/>
        </w:rPr>
        <w:t>C</w:t>
      </w:r>
      <w:r w:rsidRPr="006E1A51">
        <w:rPr>
          <w:b w:val="0"/>
          <w:i/>
          <w:color w:val="000000" w:themeColor="text1"/>
          <w:lang w:val="en-US"/>
        </w:rPr>
        <w:t>.</w:t>
      </w:r>
    </w:p>
    <w:p w14:paraId="3238EC22" w14:textId="4CC7A4E6" w:rsidR="004F6165" w:rsidRPr="006E1A51" w:rsidRDefault="004F6165" w:rsidP="00600535">
      <w:pPr>
        <w:pStyle w:val="CETBodytext"/>
        <w:rPr>
          <w:color w:val="000000" w:themeColor="text1"/>
        </w:rPr>
      </w:pPr>
    </w:p>
    <w:p w14:paraId="5285A513" w14:textId="76AC3404" w:rsidR="00C0769C" w:rsidRPr="006E1A51" w:rsidRDefault="006E1A51" w:rsidP="00600535">
      <w:pPr>
        <w:pStyle w:val="CETBodytext"/>
        <w:rPr>
          <w:color w:val="000000" w:themeColor="text1"/>
        </w:rPr>
      </w:pPr>
      <w:r w:rsidRPr="006E1A51">
        <w:rPr>
          <w:color w:val="000000" w:themeColor="text1"/>
        </w:rPr>
        <w:t>For X-ray diffraction analysis, DIFFRAC.EVA software was used, which applies a mathematical search against the PDF-2 2021 database to identify the crystalline phases present. API N-80Q steel in contact with sodium dodecylbenzene sulfonate exhibited the characteristic peaks of the ferritic phase. The most intense peak at 2</w:t>
      </w:r>
      <w:r w:rsidRPr="006E1A51">
        <w:rPr>
          <w:color w:val="000000" w:themeColor="text1"/>
          <w:lang w:val="es-CO"/>
        </w:rPr>
        <w:t>θ</w:t>
      </w:r>
      <w:r w:rsidRPr="006E1A51">
        <w:rPr>
          <w:color w:val="000000" w:themeColor="text1"/>
        </w:rPr>
        <w:t xml:space="preserve"> = 44° was assigned to the (110) crystallographic plane of </w:t>
      </w:r>
      <w:r w:rsidRPr="006E1A51">
        <w:rPr>
          <w:color w:val="000000" w:themeColor="text1"/>
          <w:lang w:val="es-CO"/>
        </w:rPr>
        <w:t>α</w:t>
      </w:r>
      <w:r w:rsidRPr="006E1A51">
        <w:rPr>
          <w:color w:val="000000" w:themeColor="text1"/>
        </w:rPr>
        <w:t>-Fe ferrite.</w:t>
      </w:r>
    </w:p>
    <w:p w14:paraId="68D26B83" w14:textId="2BC04230" w:rsidR="00600535" w:rsidRPr="006F090B" w:rsidRDefault="00600535" w:rsidP="00600535">
      <w:pPr>
        <w:pStyle w:val="CETHeading1"/>
        <w:rPr>
          <w:color w:val="000000" w:themeColor="text1"/>
          <w:lang w:val="en-GB"/>
        </w:rPr>
      </w:pPr>
      <w:r w:rsidRPr="006F090B">
        <w:rPr>
          <w:color w:val="000000" w:themeColor="text1"/>
          <w:lang w:val="en-GB"/>
        </w:rPr>
        <w:lastRenderedPageBreak/>
        <w:t>Conclusions</w:t>
      </w:r>
    </w:p>
    <w:p w14:paraId="1D39A42B" w14:textId="42D0E637" w:rsidR="001B13B0" w:rsidRPr="006F090B" w:rsidRDefault="006E1A51" w:rsidP="0091097C">
      <w:pPr>
        <w:pStyle w:val="CETBodytext"/>
        <w:rPr>
          <w:color w:val="000000" w:themeColor="text1"/>
        </w:rPr>
      </w:pPr>
      <w:r w:rsidRPr="006F090B">
        <w:rPr>
          <w:color w:val="000000" w:themeColor="text1"/>
        </w:rPr>
        <w:t>Activated carbon produced from palm kernel shells enabled sodium dodecylbenzene sulfonate removal with removal efficiency values exceeding 90%. This adsorption performance is consistent with the textural properties of the adsorbent. Accordingly, given the high adsorption performance and a BET surface area close to 800 m</w:t>
      </w:r>
      <w:r w:rsidRPr="006F090B">
        <w:rPr>
          <w:color w:val="000000" w:themeColor="text1"/>
          <w:vertAlign w:val="superscript"/>
        </w:rPr>
        <w:t>2</w:t>
      </w:r>
      <w:r w:rsidRPr="006F090B">
        <w:rPr>
          <w:color w:val="000000" w:themeColor="text1"/>
        </w:rPr>
        <w:t xml:space="preserve"> g</w:t>
      </w:r>
      <w:r w:rsidRPr="006F090B">
        <w:rPr>
          <w:color w:val="000000" w:themeColor="text1"/>
          <w:vertAlign w:val="superscript"/>
        </w:rPr>
        <w:t>-1</w:t>
      </w:r>
      <w:r w:rsidRPr="006F090B">
        <w:rPr>
          <w:color w:val="000000" w:themeColor="text1"/>
        </w:rPr>
        <w:t>, activated carbon derived from palm kernel shells represents a promising supplementary stage within produced water treatment schemes.</w:t>
      </w:r>
    </w:p>
    <w:p w14:paraId="0CDE5455" w14:textId="631CB33B" w:rsidR="00560B48" w:rsidRPr="00DF6B90" w:rsidRDefault="006E1A51" w:rsidP="008A1C16">
      <w:pPr>
        <w:pStyle w:val="CETBodytext"/>
        <w:rPr>
          <w:color w:val="000000" w:themeColor="text1"/>
        </w:rPr>
      </w:pPr>
      <w:r w:rsidRPr="006F090B">
        <w:rPr>
          <w:color w:val="000000" w:themeColor="text1"/>
        </w:rPr>
        <w:t xml:space="preserve">SEM–EDS analyses indicated the formation of oxide layers under all conditions, with increased oxygen and carbon contents as the aggressiveness of the medium increased. In addition, localized corrosion in the form of pitting was observed, which may be attributed primarily to chloride action and its synergy with temperature and sodium dodecylbenzene sulfonate. XRD analysis indicated that the predominant phase remained </w:t>
      </w:r>
      <w:r w:rsidRPr="006F090B">
        <w:rPr>
          <w:color w:val="000000" w:themeColor="text1"/>
          <w:lang w:val="es-CO"/>
        </w:rPr>
        <w:t>α</w:t>
      </w:r>
      <w:r w:rsidRPr="006F090B">
        <w:rPr>
          <w:color w:val="000000" w:themeColor="text1"/>
        </w:rPr>
        <w:t>-Fe ferrite, retaining the characteristic peaks of API N-80Q steel, while additional reflections were observed that are consistent with corrosion products such as magnetite (Fe</w:t>
      </w:r>
      <w:r w:rsidRPr="006F090B">
        <w:rPr>
          <w:color w:val="000000" w:themeColor="text1"/>
          <w:vertAlign w:val="subscript"/>
        </w:rPr>
        <w:t>3</w:t>
      </w:r>
      <w:r w:rsidRPr="006F090B">
        <w:rPr>
          <w:color w:val="000000" w:themeColor="text1"/>
        </w:rPr>
        <w:t>O</w:t>
      </w:r>
      <w:r w:rsidRPr="006F090B">
        <w:rPr>
          <w:color w:val="000000" w:themeColor="text1"/>
          <w:vertAlign w:val="subscript"/>
        </w:rPr>
        <w:t>4</w:t>
      </w:r>
      <w:r w:rsidRPr="006F090B">
        <w:rPr>
          <w:color w:val="000000" w:themeColor="text1"/>
        </w:rPr>
        <w:t>) and hematite (Fe</w:t>
      </w:r>
      <w:r w:rsidRPr="006F090B">
        <w:rPr>
          <w:color w:val="000000" w:themeColor="text1"/>
          <w:vertAlign w:val="subscript"/>
        </w:rPr>
        <w:t>2</w:t>
      </w:r>
      <w:r w:rsidRPr="006F090B">
        <w:rPr>
          <w:color w:val="000000" w:themeColor="text1"/>
        </w:rPr>
        <w:t>O</w:t>
      </w:r>
      <w:r w:rsidRPr="006F090B">
        <w:rPr>
          <w:color w:val="000000" w:themeColor="text1"/>
          <w:vertAlign w:val="subscript"/>
        </w:rPr>
        <w:t>3</w:t>
      </w:r>
      <w:r w:rsidRPr="006F090B">
        <w:rPr>
          <w:color w:val="000000" w:themeColor="text1"/>
        </w:rPr>
        <w:t>).</w:t>
      </w:r>
    </w:p>
    <w:p w14:paraId="459D05E6" w14:textId="2E3529B2" w:rsidR="00600535" w:rsidRPr="006F090B" w:rsidRDefault="00600535" w:rsidP="00D3239E">
      <w:pPr>
        <w:pStyle w:val="CETAcknowledgementstitle"/>
        <w:jc w:val="both"/>
        <w:rPr>
          <w:color w:val="000000" w:themeColor="text1"/>
        </w:rPr>
      </w:pPr>
      <w:r w:rsidRPr="006F090B">
        <w:rPr>
          <w:color w:val="000000" w:themeColor="text1"/>
        </w:rPr>
        <w:t>Acknowledgments</w:t>
      </w:r>
    </w:p>
    <w:p w14:paraId="473979D7" w14:textId="745D07C3" w:rsidR="0078635D" w:rsidRPr="006F090B" w:rsidRDefault="00536741" w:rsidP="00D3239E">
      <w:pPr>
        <w:pStyle w:val="CETReference"/>
        <w:jc w:val="both"/>
        <w:rPr>
          <w:b w:val="0"/>
          <w:color w:val="000000" w:themeColor="text1"/>
          <w:lang w:val="en-US"/>
        </w:rPr>
      </w:pPr>
      <w:r w:rsidRPr="006F090B">
        <w:rPr>
          <w:b w:val="0"/>
          <w:color w:val="000000" w:themeColor="text1"/>
          <w:lang w:val="en-US"/>
        </w:rPr>
        <w:t>The authors acknowledge the financial support provided by the Universidad Industrial de Santander (UIS) and its professional team through the internal VIE project</w:t>
      </w:r>
      <w:r w:rsidR="00820EE2" w:rsidRPr="006F090B">
        <w:rPr>
          <w:b w:val="0"/>
          <w:color w:val="000000" w:themeColor="text1"/>
          <w:lang w:val="en-US"/>
        </w:rPr>
        <w:t xml:space="preserve"> </w:t>
      </w:r>
      <w:r w:rsidRPr="006F090B">
        <w:rPr>
          <w:b w:val="0"/>
          <w:color w:val="000000" w:themeColor="text1"/>
          <w:lang w:val="en-US"/>
        </w:rPr>
        <w:t>4</w:t>
      </w:r>
      <w:r w:rsidR="00820EE2" w:rsidRPr="006F090B">
        <w:rPr>
          <w:b w:val="0"/>
          <w:color w:val="000000" w:themeColor="text1"/>
          <w:lang w:val="en-US"/>
        </w:rPr>
        <w:t>6</w:t>
      </w:r>
      <w:r w:rsidR="00CC7876" w:rsidRPr="006F090B">
        <w:rPr>
          <w:b w:val="0"/>
          <w:color w:val="000000" w:themeColor="text1"/>
          <w:lang w:val="en-US"/>
        </w:rPr>
        <w:t>16</w:t>
      </w:r>
      <w:r w:rsidR="005B4C93" w:rsidRPr="006F090B">
        <w:rPr>
          <w:b w:val="0"/>
          <w:color w:val="000000" w:themeColor="text1"/>
          <w:lang w:val="en-US"/>
        </w:rPr>
        <w:t>.</w:t>
      </w:r>
      <w:r w:rsidR="0049725B" w:rsidRPr="006F090B">
        <w:rPr>
          <w:b w:val="0"/>
          <w:color w:val="000000" w:themeColor="text1"/>
          <w:lang w:val="en-US"/>
        </w:rPr>
        <w:t xml:space="preserve"> </w:t>
      </w:r>
      <w:r w:rsidR="005B4C93" w:rsidRPr="006F090B">
        <w:rPr>
          <w:b w:val="0"/>
          <w:color w:val="000000" w:themeColor="text1"/>
          <w:lang w:val="en-US"/>
        </w:rPr>
        <w:t>The authors express their gratitude to the “</w:t>
      </w:r>
      <w:proofErr w:type="spellStart"/>
      <w:r w:rsidR="005B4C93" w:rsidRPr="006F090B">
        <w:rPr>
          <w:b w:val="0"/>
          <w:color w:val="000000" w:themeColor="text1"/>
          <w:lang w:val="en-US"/>
        </w:rPr>
        <w:t>Ministerio</w:t>
      </w:r>
      <w:proofErr w:type="spellEnd"/>
      <w:r w:rsidR="005B4C93" w:rsidRPr="006F090B">
        <w:rPr>
          <w:b w:val="0"/>
          <w:color w:val="000000" w:themeColor="text1"/>
          <w:lang w:val="en-US"/>
        </w:rPr>
        <w:t xml:space="preserve"> de </w:t>
      </w:r>
      <w:proofErr w:type="spellStart"/>
      <w:r w:rsidR="005B4C93" w:rsidRPr="006F090B">
        <w:rPr>
          <w:b w:val="0"/>
          <w:color w:val="000000" w:themeColor="text1"/>
          <w:lang w:val="en-US"/>
        </w:rPr>
        <w:t>Ciencia</w:t>
      </w:r>
      <w:proofErr w:type="spellEnd"/>
      <w:r w:rsidR="005B4C93" w:rsidRPr="006F090B">
        <w:rPr>
          <w:b w:val="0"/>
          <w:color w:val="000000" w:themeColor="text1"/>
          <w:lang w:val="en-US"/>
        </w:rPr>
        <w:t xml:space="preserve"> y </w:t>
      </w:r>
      <w:proofErr w:type="spellStart"/>
      <w:r w:rsidR="005B4C93" w:rsidRPr="006F090B">
        <w:rPr>
          <w:b w:val="0"/>
          <w:color w:val="000000" w:themeColor="text1"/>
          <w:lang w:val="en-US"/>
        </w:rPr>
        <w:t>Tecnología</w:t>
      </w:r>
      <w:proofErr w:type="spellEnd"/>
      <w:r w:rsidR="005B4C93" w:rsidRPr="006F090B">
        <w:rPr>
          <w:b w:val="0"/>
          <w:color w:val="000000" w:themeColor="text1"/>
          <w:lang w:val="en-US"/>
        </w:rPr>
        <w:t xml:space="preserve"> (MINCIENCIAS)”, “</w:t>
      </w:r>
      <w:proofErr w:type="spellStart"/>
      <w:r w:rsidR="005B4C93" w:rsidRPr="006F090B">
        <w:rPr>
          <w:b w:val="0"/>
          <w:color w:val="000000" w:themeColor="text1"/>
          <w:lang w:val="en-US"/>
        </w:rPr>
        <w:t>Agencia</w:t>
      </w:r>
      <w:proofErr w:type="spellEnd"/>
      <w:r w:rsidR="005B4C93" w:rsidRPr="006F090B">
        <w:rPr>
          <w:b w:val="0"/>
          <w:color w:val="000000" w:themeColor="text1"/>
          <w:lang w:val="en-US"/>
        </w:rPr>
        <w:t xml:space="preserve"> Nacional de </w:t>
      </w:r>
      <w:proofErr w:type="spellStart"/>
      <w:r w:rsidR="005B4C93" w:rsidRPr="006F090B">
        <w:rPr>
          <w:b w:val="0"/>
          <w:color w:val="000000" w:themeColor="text1"/>
          <w:lang w:val="en-US"/>
        </w:rPr>
        <w:t>Hidrocarburos</w:t>
      </w:r>
      <w:proofErr w:type="spellEnd"/>
      <w:r w:rsidR="005B4C93" w:rsidRPr="006F090B">
        <w:rPr>
          <w:b w:val="0"/>
          <w:color w:val="000000" w:themeColor="text1"/>
          <w:lang w:val="en-US"/>
        </w:rPr>
        <w:t xml:space="preserve"> (ANH)”, Energy Frontera and Universidad Industrial de Santander for the financial support. This work was financially supported by Project 1102-1035-92931 contract 036 2023</w:t>
      </w:r>
      <w:r w:rsidR="00AB40A0" w:rsidRPr="006F090B">
        <w:rPr>
          <w:b w:val="0"/>
          <w:color w:val="000000" w:themeColor="text1"/>
          <w:lang w:val="en-US"/>
        </w:rPr>
        <w:t>.</w:t>
      </w:r>
    </w:p>
    <w:p w14:paraId="4F1327F8" w14:textId="19CDC883" w:rsidR="00600535" w:rsidRPr="006F090B" w:rsidRDefault="00600535" w:rsidP="00D3239E">
      <w:pPr>
        <w:pStyle w:val="CETReference"/>
        <w:jc w:val="both"/>
        <w:rPr>
          <w:color w:val="000000" w:themeColor="text1"/>
        </w:rPr>
      </w:pPr>
      <w:r w:rsidRPr="006F090B">
        <w:rPr>
          <w:color w:val="000000" w:themeColor="text1"/>
        </w:rPr>
        <w:t>References</w:t>
      </w:r>
    </w:p>
    <w:p w14:paraId="1DEE4358" w14:textId="77777777" w:rsidR="00421831" w:rsidRPr="006F090B" w:rsidRDefault="00421831" w:rsidP="00BA48EC">
      <w:pPr>
        <w:widowControl w:val="0"/>
        <w:autoSpaceDE w:val="0"/>
        <w:autoSpaceDN w:val="0"/>
        <w:adjustRightInd w:val="0"/>
        <w:spacing w:line="240" w:lineRule="auto"/>
        <w:ind w:left="480" w:hanging="480"/>
        <w:rPr>
          <w:color w:val="000000" w:themeColor="text1"/>
        </w:rPr>
      </w:pPr>
      <w:proofErr w:type="spellStart"/>
      <w:r w:rsidRPr="006F090B">
        <w:rPr>
          <w:color w:val="000000" w:themeColor="text1"/>
        </w:rPr>
        <w:t>Branzoi</w:t>
      </w:r>
      <w:proofErr w:type="spellEnd"/>
      <w:r w:rsidRPr="006F090B">
        <w:rPr>
          <w:color w:val="000000" w:themeColor="text1"/>
        </w:rPr>
        <w:t xml:space="preserve"> F., </w:t>
      </w:r>
      <w:proofErr w:type="spellStart"/>
      <w:r w:rsidRPr="006F090B">
        <w:rPr>
          <w:color w:val="000000" w:themeColor="text1"/>
        </w:rPr>
        <w:t>Branzoi</w:t>
      </w:r>
      <w:proofErr w:type="spellEnd"/>
      <w:r w:rsidRPr="006F090B">
        <w:rPr>
          <w:color w:val="000000" w:themeColor="text1"/>
        </w:rPr>
        <w:t xml:space="preserve"> V., Stanca A., 2016, Corrosion inhibition of carbon steel by some anionic surfactants in 0.5 M H2SO4, Revue </w:t>
      </w:r>
      <w:proofErr w:type="spellStart"/>
      <w:r w:rsidRPr="006F090B">
        <w:rPr>
          <w:color w:val="000000" w:themeColor="text1"/>
        </w:rPr>
        <w:t>RoumaineChimie</w:t>
      </w:r>
      <w:proofErr w:type="spellEnd"/>
      <w:r w:rsidRPr="006F090B">
        <w:rPr>
          <w:color w:val="000000" w:themeColor="text1"/>
        </w:rPr>
        <w:t>, 61(11–12), 837-850.</w:t>
      </w:r>
    </w:p>
    <w:p w14:paraId="589A520C" w14:textId="77777777" w:rsidR="00421831" w:rsidRPr="006F090B" w:rsidRDefault="00421831" w:rsidP="00BA48EC">
      <w:pPr>
        <w:widowControl w:val="0"/>
        <w:autoSpaceDE w:val="0"/>
        <w:autoSpaceDN w:val="0"/>
        <w:adjustRightInd w:val="0"/>
        <w:spacing w:line="240" w:lineRule="auto"/>
        <w:ind w:left="480" w:hanging="480"/>
        <w:rPr>
          <w:color w:val="000000" w:themeColor="text1"/>
        </w:rPr>
      </w:pPr>
      <w:proofErr w:type="spellStart"/>
      <w:r w:rsidRPr="003E0C2E">
        <w:rPr>
          <w:color w:val="000000" w:themeColor="text1"/>
        </w:rPr>
        <w:t>Husein</w:t>
      </w:r>
      <w:proofErr w:type="spellEnd"/>
      <w:r w:rsidRPr="003E0C2E">
        <w:rPr>
          <w:color w:val="000000" w:themeColor="text1"/>
        </w:rPr>
        <w:t xml:space="preserve"> N., </w:t>
      </w:r>
      <w:proofErr w:type="spellStart"/>
      <w:r w:rsidRPr="003E0C2E">
        <w:rPr>
          <w:color w:val="000000" w:themeColor="text1"/>
        </w:rPr>
        <w:t>Yunan</w:t>
      </w:r>
      <w:proofErr w:type="spellEnd"/>
      <w:r w:rsidRPr="003E0C2E">
        <w:rPr>
          <w:color w:val="000000" w:themeColor="text1"/>
        </w:rPr>
        <w:t xml:space="preserve"> M. H., Ismail I., </w:t>
      </w:r>
      <w:proofErr w:type="spellStart"/>
      <w:r w:rsidRPr="003E0C2E">
        <w:rPr>
          <w:color w:val="000000" w:themeColor="text1"/>
        </w:rPr>
        <w:t>Sulaiman</w:t>
      </w:r>
      <w:proofErr w:type="spellEnd"/>
      <w:r w:rsidRPr="003E0C2E">
        <w:rPr>
          <w:color w:val="000000" w:themeColor="text1"/>
        </w:rPr>
        <w:t xml:space="preserve"> W. R. W., </w:t>
      </w:r>
      <w:proofErr w:type="spellStart"/>
      <w:r w:rsidRPr="003E0C2E">
        <w:rPr>
          <w:color w:val="000000" w:themeColor="text1"/>
        </w:rPr>
        <w:t>Boyou</w:t>
      </w:r>
      <w:proofErr w:type="spellEnd"/>
      <w:r w:rsidRPr="003E0C2E">
        <w:rPr>
          <w:color w:val="000000" w:themeColor="text1"/>
        </w:rPr>
        <w:t xml:space="preserve"> N. V.</w:t>
      </w:r>
      <w:r>
        <w:rPr>
          <w:color w:val="000000" w:themeColor="text1"/>
        </w:rPr>
        <w:t xml:space="preserve">, </w:t>
      </w:r>
      <w:r w:rsidRPr="003E0C2E">
        <w:rPr>
          <w:color w:val="000000" w:themeColor="text1"/>
        </w:rPr>
        <w:t>2018</w:t>
      </w:r>
      <w:r>
        <w:rPr>
          <w:color w:val="000000" w:themeColor="text1"/>
        </w:rPr>
        <w:t xml:space="preserve">, </w:t>
      </w:r>
      <w:r w:rsidRPr="003E0C2E">
        <w:rPr>
          <w:color w:val="000000" w:themeColor="text1"/>
        </w:rPr>
        <w:t>Enhanced oil recovery by alkaline-surfactant-polymer alternating with waterflooding</w:t>
      </w:r>
      <w:r>
        <w:rPr>
          <w:color w:val="000000" w:themeColor="text1"/>
        </w:rPr>
        <w:t xml:space="preserve">, </w:t>
      </w:r>
      <w:r w:rsidRPr="003E0C2E">
        <w:rPr>
          <w:color w:val="000000" w:themeColor="text1"/>
        </w:rPr>
        <w:t>Chemical Engineering Transactions, 63, 823-828.</w:t>
      </w:r>
    </w:p>
    <w:p w14:paraId="334A7059" w14:textId="77777777" w:rsidR="00421831" w:rsidRPr="006F090B" w:rsidRDefault="00421831" w:rsidP="00BA48EC">
      <w:pPr>
        <w:widowControl w:val="0"/>
        <w:autoSpaceDE w:val="0"/>
        <w:autoSpaceDN w:val="0"/>
        <w:adjustRightInd w:val="0"/>
        <w:spacing w:line="240" w:lineRule="auto"/>
        <w:ind w:left="480" w:hanging="480"/>
        <w:rPr>
          <w:color w:val="000000" w:themeColor="text1"/>
        </w:rPr>
      </w:pPr>
      <w:r w:rsidRPr="006F090B">
        <w:rPr>
          <w:color w:val="000000" w:themeColor="text1"/>
        </w:rPr>
        <w:t xml:space="preserve">Hussain M., Tufa L. D., Yusup S., Zabiri, H., 2019, Thermochemical </w:t>
      </w:r>
      <w:proofErr w:type="spellStart"/>
      <w:r w:rsidRPr="006F090B">
        <w:rPr>
          <w:color w:val="000000" w:themeColor="text1"/>
        </w:rPr>
        <w:t>behavior</w:t>
      </w:r>
      <w:proofErr w:type="spellEnd"/>
      <w:r w:rsidRPr="006F090B">
        <w:rPr>
          <w:color w:val="000000" w:themeColor="text1"/>
        </w:rPr>
        <w:t xml:space="preserve"> and characterization of palm kernel shell via TGA/DTG technique, Materials Today: Proceedings, 16, 1901-1908.</w:t>
      </w:r>
    </w:p>
    <w:p w14:paraId="49C4E5F1" w14:textId="77777777" w:rsidR="00421831" w:rsidRPr="006F090B" w:rsidRDefault="00421831" w:rsidP="00BA48EC">
      <w:pPr>
        <w:widowControl w:val="0"/>
        <w:autoSpaceDE w:val="0"/>
        <w:autoSpaceDN w:val="0"/>
        <w:adjustRightInd w:val="0"/>
        <w:spacing w:line="240" w:lineRule="auto"/>
        <w:ind w:left="480" w:hanging="480"/>
        <w:rPr>
          <w:color w:val="000000" w:themeColor="text1"/>
        </w:rPr>
      </w:pPr>
      <w:r w:rsidRPr="006F090B">
        <w:rPr>
          <w:color w:val="000000" w:themeColor="text1"/>
        </w:rPr>
        <w:t>León A. Y., Contreras-Arenas J. D., Garnica-Fuentes C. F., Jiménez-Caballero M. A., Pinto-Hernández D. F., Ariza-León E., Molina-Velasco D. R., 2025, Removal of organic compounds in wastewater using cocoa shell</w:t>
      </w:r>
      <w:r w:rsidRPr="006F090B">
        <w:rPr>
          <w:rFonts w:ascii="Cambria Math" w:hAnsi="Cambria Math" w:cs="Cambria Math"/>
          <w:color w:val="000000" w:themeColor="text1"/>
        </w:rPr>
        <w:t>‑</w:t>
      </w:r>
      <w:r w:rsidRPr="006F090B">
        <w:rPr>
          <w:color w:val="000000" w:themeColor="text1"/>
        </w:rPr>
        <w:t>based activated carbon</w:t>
      </w:r>
      <w:r w:rsidRPr="006F090B">
        <w:rPr>
          <w:rFonts w:cs="Arial"/>
          <w:color w:val="000000" w:themeColor="text1"/>
        </w:rPr>
        <w:t>–</w:t>
      </w:r>
      <w:r w:rsidRPr="006F090B">
        <w:rPr>
          <w:color w:val="000000" w:themeColor="text1"/>
        </w:rPr>
        <w:t>SiO2 nanoparticles, Environment, Development and Sustainability, 27(3), 6811-6830.</w:t>
      </w:r>
    </w:p>
    <w:p w14:paraId="21B61FB3" w14:textId="77777777" w:rsidR="00421831" w:rsidRPr="006F090B" w:rsidRDefault="00421831" w:rsidP="00BA48EC">
      <w:pPr>
        <w:widowControl w:val="0"/>
        <w:autoSpaceDE w:val="0"/>
        <w:autoSpaceDN w:val="0"/>
        <w:adjustRightInd w:val="0"/>
        <w:spacing w:line="240" w:lineRule="auto"/>
        <w:ind w:left="480" w:hanging="480"/>
        <w:rPr>
          <w:color w:val="000000" w:themeColor="text1"/>
        </w:rPr>
      </w:pPr>
      <w:r w:rsidRPr="006F090B">
        <w:rPr>
          <w:color w:val="000000" w:themeColor="text1"/>
        </w:rPr>
        <w:t>Luo H., Guan Y. C., Han K. N, 1998, Inhibition of mild steel corrosion by sodium dodecyl benzene sulfonate and sodium oleate in acidic solutions, Corrosion, 54(8), 619-627.</w:t>
      </w:r>
    </w:p>
    <w:p w14:paraId="62EAE500" w14:textId="77777777" w:rsidR="00421831" w:rsidRPr="006F090B" w:rsidRDefault="00421831" w:rsidP="00BA48EC">
      <w:pPr>
        <w:widowControl w:val="0"/>
        <w:autoSpaceDE w:val="0"/>
        <w:autoSpaceDN w:val="0"/>
        <w:adjustRightInd w:val="0"/>
        <w:spacing w:line="240" w:lineRule="auto"/>
        <w:ind w:left="480" w:hanging="480"/>
        <w:rPr>
          <w:color w:val="000000" w:themeColor="text1"/>
        </w:rPr>
      </w:pPr>
      <w:r w:rsidRPr="006F090B">
        <w:rPr>
          <w:color w:val="000000" w:themeColor="text1"/>
        </w:rPr>
        <w:t xml:space="preserve">Patni H., Ragunathan B., 2023, Recycling and Re-Usage of Oilfield Produced Water—A review, </w:t>
      </w:r>
      <w:proofErr w:type="spellStart"/>
      <w:r w:rsidRPr="006F090B">
        <w:rPr>
          <w:color w:val="000000" w:themeColor="text1"/>
        </w:rPr>
        <w:t>Materialstoday</w:t>
      </w:r>
      <w:proofErr w:type="spellEnd"/>
      <w:r w:rsidRPr="006F090B">
        <w:rPr>
          <w:color w:val="000000" w:themeColor="text1"/>
        </w:rPr>
        <w:t>: Proceedings, 77, 307-313.</w:t>
      </w:r>
    </w:p>
    <w:p w14:paraId="68601C12" w14:textId="77777777" w:rsidR="00421831" w:rsidRPr="006F090B" w:rsidRDefault="00421831" w:rsidP="00BA48EC">
      <w:pPr>
        <w:widowControl w:val="0"/>
        <w:autoSpaceDE w:val="0"/>
        <w:autoSpaceDN w:val="0"/>
        <w:adjustRightInd w:val="0"/>
        <w:spacing w:line="240" w:lineRule="auto"/>
        <w:ind w:left="480" w:hanging="480"/>
        <w:rPr>
          <w:color w:val="000000" w:themeColor="text1"/>
        </w:rPr>
      </w:pPr>
      <w:proofErr w:type="spellStart"/>
      <w:r w:rsidRPr="006F090B">
        <w:rPr>
          <w:color w:val="000000" w:themeColor="text1"/>
        </w:rPr>
        <w:t>Quintella</w:t>
      </w:r>
      <w:proofErr w:type="spellEnd"/>
      <w:r w:rsidRPr="006F090B">
        <w:rPr>
          <w:color w:val="000000" w:themeColor="text1"/>
        </w:rPr>
        <w:t xml:space="preserve"> C. M., Rodrigues P. D., Hanna S. A., </w:t>
      </w:r>
      <w:proofErr w:type="spellStart"/>
      <w:r w:rsidRPr="006F090B">
        <w:rPr>
          <w:color w:val="000000" w:themeColor="text1"/>
        </w:rPr>
        <w:t>Nicoleti</w:t>
      </w:r>
      <w:proofErr w:type="spellEnd"/>
      <w:r w:rsidRPr="006F090B">
        <w:rPr>
          <w:color w:val="000000" w:themeColor="text1"/>
        </w:rPr>
        <w:t xml:space="preserve"> J. L., Carvalho E. B., Medeiros A. C. G. D., Morais, V. C., 2025, Sustainable Enhanced Oil Recovery Fluid Based on Synergic Effects of Cationic, Anionic, and </w:t>
      </w:r>
      <w:proofErr w:type="spellStart"/>
      <w:r w:rsidRPr="006F090B">
        <w:rPr>
          <w:color w:val="000000" w:themeColor="text1"/>
        </w:rPr>
        <w:t>Nonionic</w:t>
      </w:r>
      <w:proofErr w:type="spellEnd"/>
      <w:r w:rsidRPr="006F090B">
        <w:rPr>
          <w:color w:val="000000" w:themeColor="text1"/>
        </w:rPr>
        <w:t xml:space="preserve"> Surfactants in Low Salinity: SLS; QA; and SDBS, ACS omega, 10(8), 8408-8419.</w:t>
      </w:r>
    </w:p>
    <w:p w14:paraId="4A21CE08" w14:textId="77777777" w:rsidR="00421831" w:rsidRDefault="00421831" w:rsidP="00BA48EC">
      <w:pPr>
        <w:widowControl w:val="0"/>
        <w:autoSpaceDE w:val="0"/>
        <w:autoSpaceDN w:val="0"/>
        <w:adjustRightInd w:val="0"/>
        <w:spacing w:line="240" w:lineRule="auto"/>
        <w:ind w:left="480" w:hanging="480"/>
        <w:rPr>
          <w:color w:val="000000" w:themeColor="text1"/>
        </w:rPr>
      </w:pPr>
      <w:proofErr w:type="spellStart"/>
      <w:r w:rsidRPr="006F090B">
        <w:rPr>
          <w:color w:val="000000" w:themeColor="text1"/>
          <w:lang w:val="es-CO"/>
        </w:rPr>
        <w:t>Thommes</w:t>
      </w:r>
      <w:proofErr w:type="spellEnd"/>
      <w:r w:rsidRPr="006F090B">
        <w:rPr>
          <w:color w:val="000000" w:themeColor="text1"/>
          <w:lang w:val="es-CO"/>
        </w:rPr>
        <w:t xml:space="preserve">, M., Kaneko, K., Neimark, A. V., Olivier, J. P., </w:t>
      </w:r>
      <w:proofErr w:type="spellStart"/>
      <w:r w:rsidRPr="006F090B">
        <w:rPr>
          <w:color w:val="000000" w:themeColor="text1"/>
          <w:lang w:val="es-CO"/>
        </w:rPr>
        <w:t>Rodriguez</w:t>
      </w:r>
      <w:proofErr w:type="spellEnd"/>
      <w:r w:rsidRPr="006F090B">
        <w:rPr>
          <w:color w:val="000000" w:themeColor="text1"/>
          <w:lang w:val="es-CO"/>
        </w:rPr>
        <w:t xml:space="preserve">-Reinoso, F., </w:t>
      </w:r>
      <w:proofErr w:type="spellStart"/>
      <w:r w:rsidRPr="006F090B">
        <w:rPr>
          <w:color w:val="000000" w:themeColor="text1"/>
          <w:lang w:val="es-CO"/>
        </w:rPr>
        <w:t>Rouquerol</w:t>
      </w:r>
      <w:proofErr w:type="spellEnd"/>
      <w:r w:rsidRPr="006F090B">
        <w:rPr>
          <w:color w:val="000000" w:themeColor="text1"/>
          <w:lang w:val="es-CO"/>
        </w:rPr>
        <w:t xml:space="preserve">, J., &amp; Sing, K. S. W. (2015). </w:t>
      </w:r>
      <w:r w:rsidRPr="006F090B">
        <w:rPr>
          <w:color w:val="000000" w:themeColor="text1"/>
        </w:rPr>
        <w:t>Physisorption of gases, with special reference to the evaluation of surface area and pore size distribution (IUPAC Technical Report). Pure and Applied Chemistry, 87(9–10), 1051–1069.</w:t>
      </w:r>
    </w:p>
    <w:p w14:paraId="0DE9ED8A" w14:textId="77777777" w:rsidR="00421831" w:rsidRPr="006F090B" w:rsidRDefault="00421831" w:rsidP="00BA48EC">
      <w:pPr>
        <w:widowControl w:val="0"/>
        <w:autoSpaceDE w:val="0"/>
        <w:autoSpaceDN w:val="0"/>
        <w:adjustRightInd w:val="0"/>
        <w:spacing w:line="240" w:lineRule="auto"/>
        <w:ind w:left="480" w:hanging="480"/>
        <w:rPr>
          <w:color w:val="000000" w:themeColor="text1"/>
        </w:rPr>
      </w:pPr>
      <w:proofErr w:type="spellStart"/>
      <w:r w:rsidRPr="006F090B">
        <w:rPr>
          <w:color w:val="000000" w:themeColor="text1"/>
        </w:rPr>
        <w:t>Zaini</w:t>
      </w:r>
      <w:proofErr w:type="spellEnd"/>
      <w:r w:rsidRPr="006F090B">
        <w:rPr>
          <w:color w:val="000000" w:themeColor="text1"/>
        </w:rPr>
        <w:t xml:space="preserve"> M. S. M., Arshad M., Syed-Hassan S. S. A., 2023, Adsorption isotherm and kinetic study of methane on palm kernel shell-derived activated carbon, Journal of Bioresources and Bioproducts, 8(1), 66-77.</w:t>
      </w:r>
    </w:p>
    <w:p w14:paraId="3F5A8EE7" w14:textId="514D2AED" w:rsidR="00712663" w:rsidRPr="00236F62" w:rsidRDefault="00421831" w:rsidP="00236F62">
      <w:pPr>
        <w:widowControl w:val="0"/>
        <w:autoSpaceDE w:val="0"/>
        <w:autoSpaceDN w:val="0"/>
        <w:adjustRightInd w:val="0"/>
        <w:spacing w:line="240" w:lineRule="auto"/>
        <w:ind w:left="480" w:hanging="480"/>
        <w:rPr>
          <w:color w:val="000000" w:themeColor="text1"/>
        </w:rPr>
      </w:pPr>
      <w:r w:rsidRPr="006F090B">
        <w:rPr>
          <w:color w:val="000000" w:themeColor="text1"/>
        </w:rPr>
        <w:t>Zeng, F., Meng, Z., Xu, Z., Xu, J., Shi, W., Wang, H., &amp; Tian, H. (2023). Biomass-derived porous activated carbon for ultra-high performance supercapacitor applications and high flux removal of pollutants from water. Ceramics International, 49(10), 15377-15386.</w:t>
      </w:r>
    </w:p>
    <w:sectPr w:rsidR="00712663" w:rsidRPr="00236F6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DB804" w14:textId="77777777" w:rsidR="005F53B8" w:rsidRDefault="005F53B8" w:rsidP="004F5E36">
      <w:r>
        <w:separator/>
      </w:r>
    </w:p>
  </w:endnote>
  <w:endnote w:type="continuationSeparator" w:id="0">
    <w:p w14:paraId="292A391D" w14:textId="77777777" w:rsidR="005F53B8" w:rsidRDefault="005F53B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6D0B8" w14:textId="77777777" w:rsidR="005F53B8" w:rsidRDefault="005F53B8" w:rsidP="004F5E36">
      <w:r>
        <w:separator/>
      </w:r>
    </w:p>
  </w:footnote>
  <w:footnote w:type="continuationSeparator" w:id="0">
    <w:p w14:paraId="07B31CE2" w14:textId="77777777" w:rsidR="005F53B8" w:rsidRDefault="005F53B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4B3BB4"/>
    <w:multiLevelType w:val="multilevel"/>
    <w:tmpl w:val="61B8462C"/>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EF33D8"/>
    <w:multiLevelType w:val="hybridMultilevel"/>
    <w:tmpl w:val="D3BEC992"/>
    <w:lvl w:ilvl="0" w:tplc="AD82F3CE">
      <w:start w:val="2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5BA3EB1"/>
    <w:multiLevelType w:val="multilevel"/>
    <w:tmpl w:val="91F28BB2"/>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8EC255D"/>
    <w:multiLevelType w:val="hybridMultilevel"/>
    <w:tmpl w:val="C5D068F6"/>
    <w:lvl w:ilvl="0" w:tplc="D15AFCFA">
      <w:start w:val="2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FA0197"/>
    <w:multiLevelType w:val="hybridMultilevel"/>
    <w:tmpl w:val="542C98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C186A2A"/>
    <w:multiLevelType w:val="hybridMultilevel"/>
    <w:tmpl w:val="141E40A0"/>
    <w:lvl w:ilvl="0" w:tplc="A03A3F66">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4"/>
  </w:num>
  <w:num w:numId="14">
    <w:abstractNumId w:val="23"/>
  </w:num>
  <w:num w:numId="15">
    <w:abstractNumId w:val="25"/>
  </w:num>
  <w:num w:numId="16">
    <w:abstractNumId w:val="24"/>
  </w:num>
  <w:num w:numId="17">
    <w:abstractNumId w:val="13"/>
  </w:num>
  <w:num w:numId="18">
    <w:abstractNumId w:val="14"/>
    <w:lvlOverride w:ilvl="0">
      <w:startOverride w:val="1"/>
    </w:lvlOverride>
  </w:num>
  <w:num w:numId="19">
    <w:abstractNumId w:val="20"/>
  </w:num>
  <w:num w:numId="20">
    <w:abstractNumId w:val="19"/>
  </w:num>
  <w:num w:numId="21">
    <w:abstractNumId w:val="17"/>
  </w:num>
  <w:num w:numId="22">
    <w:abstractNumId w:val="16"/>
  </w:num>
  <w:num w:numId="23">
    <w:abstractNumId w:val="10"/>
  </w:num>
  <w:num w:numId="24">
    <w:abstractNumId w:val="26"/>
  </w:num>
  <w:num w:numId="25">
    <w:abstractNumId w:val="15"/>
  </w:num>
  <w:num w:numId="26">
    <w:abstractNumId w:val="22"/>
  </w:num>
  <w:num w:numId="27">
    <w:abstractNumId w:val="18"/>
  </w:num>
  <w:num w:numId="28">
    <w:abstractNumId w:val="2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3F9"/>
    <w:rsid w:val="000027C0"/>
    <w:rsid w:val="000037F6"/>
    <w:rsid w:val="00003F34"/>
    <w:rsid w:val="00004B47"/>
    <w:rsid w:val="000052FB"/>
    <w:rsid w:val="00005A19"/>
    <w:rsid w:val="0001158E"/>
    <w:rsid w:val="000117CB"/>
    <w:rsid w:val="000126DA"/>
    <w:rsid w:val="00013492"/>
    <w:rsid w:val="000230D3"/>
    <w:rsid w:val="00030470"/>
    <w:rsid w:val="00030CFB"/>
    <w:rsid w:val="0003148D"/>
    <w:rsid w:val="00031EEC"/>
    <w:rsid w:val="0003213D"/>
    <w:rsid w:val="0003624F"/>
    <w:rsid w:val="000365DC"/>
    <w:rsid w:val="0004100C"/>
    <w:rsid w:val="00047D4B"/>
    <w:rsid w:val="00051566"/>
    <w:rsid w:val="000539A8"/>
    <w:rsid w:val="00056217"/>
    <w:rsid w:val="000562A9"/>
    <w:rsid w:val="00062A9A"/>
    <w:rsid w:val="000647BA"/>
    <w:rsid w:val="00065058"/>
    <w:rsid w:val="000671CE"/>
    <w:rsid w:val="00067ABD"/>
    <w:rsid w:val="00076E6F"/>
    <w:rsid w:val="00084461"/>
    <w:rsid w:val="00086C39"/>
    <w:rsid w:val="00086DFC"/>
    <w:rsid w:val="00086F0E"/>
    <w:rsid w:val="00090F74"/>
    <w:rsid w:val="00092BF7"/>
    <w:rsid w:val="0009473D"/>
    <w:rsid w:val="0009569A"/>
    <w:rsid w:val="00096182"/>
    <w:rsid w:val="000A03B2"/>
    <w:rsid w:val="000A107C"/>
    <w:rsid w:val="000A3334"/>
    <w:rsid w:val="000B01D9"/>
    <w:rsid w:val="000B125D"/>
    <w:rsid w:val="000B1FA2"/>
    <w:rsid w:val="000B1FA3"/>
    <w:rsid w:val="000B2B06"/>
    <w:rsid w:val="000B3BDA"/>
    <w:rsid w:val="000B4006"/>
    <w:rsid w:val="000B4252"/>
    <w:rsid w:val="000B4741"/>
    <w:rsid w:val="000B60B0"/>
    <w:rsid w:val="000C080F"/>
    <w:rsid w:val="000C0E6D"/>
    <w:rsid w:val="000C4902"/>
    <w:rsid w:val="000C4CAC"/>
    <w:rsid w:val="000D0268"/>
    <w:rsid w:val="000D2807"/>
    <w:rsid w:val="000D2A90"/>
    <w:rsid w:val="000D34BE"/>
    <w:rsid w:val="000D3D25"/>
    <w:rsid w:val="000D5DC2"/>
    <w:rsid w:val="000E0B3C"/>
    <w:rsid w:val="000E0F82"/>
    <w:rsid w:val="000E102F"/>
    <w:rsid w:val="000E2BBC"/>
    <w:rsid w:val="000E2D0B"/>
    <w:rsid w:val="000E36F1"/>
    <w:rsid w:val="000E3A73"/>
    <w:rsid w:val="000E414A"/>
    <w:rsid w:val="000E50E3"/>
    <w:rsid w:val="000E75FD"/>
    <w:rsid w:val="000E7CBB"/>
    <w:rsid w:val="000F015F"/>
    <w:rsid w:val="000F093C"/>
    <w:rsid w:val="000F1964"/>
    <w:rsid w:val="000F1CFB"/>
    <w:rsid w:val="000F2421"/>
    <w:rsid w:val="000F2D05"/>
    <w:rsid w:val="000F787B"/>
    <w:rsid w:val="00101368"/>
    <w:rsid w:val="0010348E"/>
    <w:rsid w:val="00104261"/>
    <w:rsid w:val="00104E48"/>
    <w:rsid w:val="00110C8C"/>
    <w:rsid w:val="0011184E"/>
    <w:rsid w:val="00112A45"/>
    <w:rsid w:val="00113F3F"/>
    <w:rsid w:val="00114872"/>
    <w:rsid w:val="00116E29"/>
    <w:rsid w:val="0012091F"/>
    <w:rsid w:val="00122B64"/>
    <w:rsid w:val="00122DAE"/>
    <w:rsid w:val="0012491E"/>
    <w:rsid w:val="001251F7"/>
    <w:rsid w:val="001261AF"/>
    <w:rsid w:val="00126BC2"/>
    <w:rsid w:val="001308B6"/>
    <w:rsid w:val="0013121F"/>
    <w:rsid w:val="00131FE6"/>
    <w:rsid w:val="0013263F"/>
    <w:rsid w:val="001329F8"/>
    <w:rsid w:val="001331DF"/>
    <w:rsid w:val="00134DE4"/>
    <w:rsid w:val="00134E90"/>
    <w:rsid w:val="00135080"/>
    <w:rsid w:val="0014005A"/>
    <w:rsid w:val="0014034D"/>
    <w:rsid w:val="001404F6"/>
    <w:rsid w:val="00140F0A"/>
    <w:rsid w:val="00140FCD"/>
    <w:rsid w:val="00140FE3"/>
    <w:rsid w:val="00143723"/>
    <w:rsid w:val="0014449F"/>
    <w:rsid w:val="00144D16"/>
    <w:rsid w:val="0014589D"/>
    <w:rsid w:val="00150870"/>
    <w:rsid w:val="00150E59"/>
    <w:rsid w:val="00152DE3"/>
    <w:rsid w:val="00154566"/>
    <w:rsid w:val="001570BF"/>
    <w:rsid w:val="001606A3"/>
    <w:rsid w:val="00164CF9"/>
    <w:rsid w:val="0016668E"/>
    <w:rsid w:val="001667A6"/>
    <w:rsid w:val="001675B6"/>
    <w:rsid w:val="0017126E"/>
    <w:rsid w:val="0017272A"/>
    <w:rsid w:val="0017418E"/>
    <w:rsid w:val="001765D8"/>
    <w:rsid w:val="0018171E"/>
    <w:rsid w:val="00182304"/>
    <w:rsid w:val="00182A89"/>
    <w:rsid w:val="00184AD6"/>
    <w:rsid w:val="001850B6"/>
    <w:rsid w:val="001858ED"/>
    <w:rsid w:val="00186B0F"/>
    <w:rsid w:val="001912D1"/>
    <w:rsid w:val="00191B6B"/>
    <w:rsid w:val="00191BB3"/>
    <w:rsid w:val="001922E7"/>
    <w:rsid w:val="00193F81"/>
    <w:rsid w:val="00194862"/>
    <w:rsid w:val="001963C4"/>
    <w:rsid w:val="001A0AC2"/>
    <w:rsid w:val="001A1307"/>
    <w:rsid w:val="001A19EB"/>
    <w:rsid w:val="001A208A"/>
    <w:rsid w:val="001A4AF7"/>
    <w:rsid w:val="001B0349"/>
    <w:rsid w:val="001B13B0"/>
    <w:rsid w:val="001B1E93"/>
    <w:rsid w:val="001B282B"/>
    <w:rsid w:val="001B29A4"/>
    <w:rsid w:val="001B3A24"/>
    <w:rsid w:val="001B65C1"/>
    <w:rsid w:val="001B7131"/>
    <w:rsid w:val="001C022C"/>
    <w:rsid w:val="001C17B3"/>
    <w:rsid w:val="001C260F"/>
    <w:rsid w:val="001C5203"/>
    <w:rsid w:val="001C5C3A"/>
    <w:rsid w:val="001C6439"/>
    <w:rsid w:val="001C684B"/>
    <w:rsid w:val="001C7B5E"/>
    <w:rsid w:val="001D07A2"/>
    <w:rsid w:val="001D0CFB"/>
    <w:rsid w:val="001D1FC1"/>
    <w:rsid w:val="001D21AF"/>
    <w:rsid w:val="001D3B4A"/>
    <w:rsid w:val="001D3D32"/>
    <w:rsid w:val="001D53FC"/>
    <w:rsid w:val="001D63EF"/>
    <w:rsid w:val="001D7680"/>
    <w:rsid w:val="001E1BD8"/>
    <w:rsid w:val="001F0981"/>
    <w:rsid w:val="001F1194"/>
    <w:rsid w:val="001F42A5"/>
    <w:rsid w:val="001F47AD"/>
    <w:rsid w:val="001F658D"/>
    <w:rsid w:val="001F68D8"/>
    <w:rsid w:val="001F7B9D"/>
    <w:rsid w:val="001F7E3B"/>
    <w:rsid w:val="00201C93"/>
    <w:rsid w:val="002023B8"/>
    <w:rsid w:val="00202A0C"/>
    <w:rsid w:val="0020334A"/>
    <w:rsid w:val="00204CF9"/>
    <w:rsid w:val="0021296C"/>
    <w:rsid w:val="00212F34"/>
    <w:rsid w:val="002220D5"/>
    <w:rsid w:val="002224B4"/>
    <w:rsid w:val="00222DE1"/>
    <w:rsid w:val="00223435"/>
    <w:rsid w:val="0022683E"/>
    <w:rsid w:val="002311FD"/>
    <w:rsid w:val="0023234D"/>
    <w:rsid w:val="002327D4"/>
    <w:rsid w:val="00232834"/>
    <w:rsid w:val="0023574F"/>
    <w:rsid w:val="00236F62"/>
    <w:rsid w:val="00237149"/>
    <w:rsid w:val="002447EF"/>
    <w:rsid w:val="00246963"/>
    <w:rsid w:val="0024728F"/>
    <w:rsid w:val="00251550"/>
    <w:rsid w:val="00253F60"/>
    <w:rsid w:val="002610D0"/>
    <w:rsid w:val="00262236"/>
    <w:rsid w:val="002629EF"/>
    <w:rsid w:val="00263B05"/>
    <w:rsid w:val="00264EE6"/>
    <w:rsid w:val="0027221A"/>
    <w:rsid w:val="00273793"/>
    <w:rsid w:val="00273E99"/>
    <w:rsid w:val="00275B61"/>
    <w:rsid w:val="00276CC3"/>
    <w:rsid w:val="0028047C"/>
    <w:rsid w:val="00280667"/>
    <w:rsid w:val="00280DE2"/>
    <w:rsid w:val="00280FAF"/>
    <w:rsid w:val="00281BC3"/>
    <w:rsid w:val="002822ED"/>
    <w:rsid w:val="00282656"/>
    <w:rsid w:val="002829B0"/>
    <w:rsid w:val="00283069"/>
    <w:rsid w:val="0028578E"/>
    <w:rsid w:val="002858D7"/>
    <w:rsid w:val="0028636F"/>
    <w:rsid w:val="00293CD2"/>
    <w:rsid w:val="00294594"/>
    <w:rsid w:val="00294944"/>
    <w:rsid w:val="00296B83"/>
    <w:rsid w:val="002A37BC"/>
    <w:rsid w:val="002A75C1"/>
    <w:rsid w:val="002A7C0E"/>
    <w:rsid w:val="002B4015"/>
    <w:rsid w:val="002B53FC"/>
    <w:rsid w:val="002B5A84"/>
    <w:rsid w:val="002B5EB1"/>
    <w:rsid w:val="002B6012"/>
    <w:rsid w:val="002B78CE"/>
    <w:rsid w:val="002C07D2"/>
    <w:rsid w:val="002C2F61"/>
    <w:rsid w:val="002C2FB6"/>
    <w:rsid w:val="002C4384"/>
    <w:rsid w:val="002C4B4F"/>
    <w:rsid w:val="002C74F5"/>
    <w:rsid w:val="002D10A4"/>
    <w:rsid w:val="002D2838"/>
    <w:rsid w:val="002D2D05"/>
    <w:rsid w:val="002D4508"/>
    <w:rsid w:val="002D4699"/>
    <w:rsid w:val="002D7154"/>
    <w:rsid w:val="002E2682"/>
    <w:rsid w:val="002E2C0F"/>
    <w:rsid w:val="002E4116"/>
    <w:rsid w:val="002E5FA7"/>
    <w:rsid w:val="002E6278"/>
    <w:rsid w:val="002F3309"/>
    <w:rsid w:val="002F572A"/>
    <w:rsid w:val="002F640B"/>
    <w:rsid w:val="003008CE"/>
    <w:rsid w:val="003009B7"/>
    <w:rsid w:val="00300E56"/>
    <w:rsid w:val="00301151"/>
    <w:rsid w:val="0030152C"/>
    <w:rsid w:val="0030469C"/>
    <w:rsid w:val="00304CE8"/>
    <w:rsid w:val="003071A1"/>
    <w:rsid w:val="00311000"/>
    <w:rsid w:val="00311597"/>
    <w:rsid w:val="00315E7E"/>
    <w:rsid w:val="00317921"/>
    <w:rsid w:val="00317962"/>
    <w:rsid w:val="003201DF"/>
    <w:rsid w:val="00321AFD"/>
    <w:rsid w:val="00321CA6"/>
    <w:rsid w:val="00323763"/>
    <w:rsid w:val="00323C5F"/>
    <w:rsid w:val="00325BF1"/>
    <w:rsid w:val="00326130"/>
    <w:rsid w:val="0032682F"/>
    <w:rsid w:val="00327315"/>
    <w:rsid w:val="00334C09"/>
    <w:rsid w:val="003352E3"/>
    <w:rsid w:val="003459D8"/>
    <w:rsid w:val="00346A0E"/>
    <w:rsid w:val="00347EDB"/>
    <w:rsid w:val="0035266E"/>
    <w:rsid w:val="0035387B"/>
    <w:rsid w:val="003570DD"/>
    <w:rsid w:val="0036512B"/>
    <w:rsid w:val="003651B2"/>
    <w:rsid w:val="003723D4"/>
    <w:rsid w:val="0037301F"/>
    <w:rsid w:val="00381905"/>
    <w:rsid w:val="00382EED"/>
    <w:rsid w:val="003837EC"/>
    <w:rsid w:val="00383ECC"/>
    <w:rsid w:val="00384CC8"/>
    <w:rsid w:val="003871FD"/>
    <w:rsid w:val="00390F36"/>
    <w:rsid w:val="003931F7"/>
    <w:rsid w:val="00395A7C"/>
    <w:rsid w:val="00395B2B"/>
    <w:rsid w:val="003963B2"/>
    <w:rsid w:val="00396BA6"/>
    <w:rsid w:val="00397A49"/>
    <w:rsid w:val="003A01CC"/>
    <w:rsid w:val="003A1E30"/>
    <w:rsid w:val="003A2829"/>
    <w:rsid w:val="003A450D"/>
    <w:rsid w:val="003A4F8F"/>
    <w:rsid w:val="003A6C81"/>
    <w:rsid w:val="003A7D1C"/>
    <w:rsid w:val="003A7E77"/>
    <w:rsid w:val="003B27F3"/>
    <w:rsid w:val="003B304B"/>
    <w:rsid w:val="003B3146"/>
    <w:rsid w:val="003B45CB"/>
    <w:rsid w:val="003B49CD"/>
    <w:rsid w:val="003B5E26"/>
    <w:rsid w:val="003B6269"/>
    <w:rsid w:val="003B6487"/>
    <w:rsid w:val="003C3D1E"/>
    <w:rsid w:val="003C3FFF"/>
    <w:rsid w:val="003C5FA9"/>
    <w:rsid w:val="003C63B5"/>
    <w:rsid w:val="003C667D"/>
    <w:rsid w:val="003C71F0"/>
    <w:rsid w:val="003D19B9"/>
    <w:rsid w:val="003D1E02"/>
    <w:rsid w:val="003D48DB"/>
    <w:rsid w:val="003E011A"/>
    <w:rsid w:val="003E0C2E"/>
    <w:rsid w:val="003E243A"/>
    <w:rsid w:val="003E31D0"/>
    <w:rsid w:val="003E74AD"/>
    <w:rsid w:val="003F015E"/>
    <w:rsid w:val="003F0B33"/>
    <w:rsid w:val="003F6960"/>
    <w:rsid w:val="003F7664"/>
    <w:rsid w:val="00400414"/>
    <w:rsid w:val="004016E6"/>
    <w:rsid w:val="00402DEF"/>
    <w:rsid w:val="00404EF7"/>
    <w:rsid w:val="00405D3B"/>
    <w:rsid w:val="004131E5"/>
    <w:rsid w:val="00413A64"/>
    <w:rsid w:val="0041446B"/>
    <w:rsid w:val="0042173F"/>
    <w:rsid w:val="00421831"/>
    <w:rsid w:val="004225D7"/>
    <w:rsid w:val="0042595C"/>
    <w:rsid w:val="00430450"/>
    <w:rsid w:val="0043124A"/>
    <w:rsid w:val="00434D9E"/>
    <w:rsid w:val="0043662F"/>
    <w:rsid w:val="0044071E"/>
    <w:rsid w:val="00441C00"/>
    <w:rsid w:val="00441E97"/>
    <w:rsid w:val="0044248B"/>
    <w:rsid w:val="0044329C"/>
    <w:rsid w:val="0044453C"/>
    <w:rsid w:val="00447BC7"/>
    <w:rsid w:val="00453E24"/>
    <w:rsid w:val="00455E78"/>
    <w:rsid w:val="00457456"/>
    <w:rsid w:val="004577FE"/>
    <w:rsid w:val="00457B9C"/>
    <w:rsid w:val="0046164A"/>
    <w:rsid w:val="004628D2"/>
    <w:rsid w:val="00462DCD"/>
    <w:rsid w:val="0046416A"/>
    <w:rsid w:val="004648AD"/>
    <w:rsid w:val="004669A6"/>
    <w:rsid w:val="004703A9"/>
    <w:rsid w:val="004717CB"/>
    <w:rsid w:val="00471FBB"/>
    <w:rsid w:val="004760DE"/>
    <w:rsid w:val="004763D7"/>
    <w:rsid w:val="004764B2"/>
    <w:rsid w:val="00476FD3"/>
    <w:rsid w:val="0048283B"/>
    <w:rsid w:val="00482932"/>
    <w:rsid w:val="00482AA6"/>
    <w:rsid w:val="0048418A"/>
    <w:rsid w:val="004851AA"/>
    <w:rsid w:val="004916A8"/>
    <w:rsid w:val="00492707"/>
    <w:rsid w:val="0049487B"/>
    <w:rsid w:val="0049725B"/>
    <w:rsid w:val="00497EB9"/>
    <w:rsid w:val="004A004E"/>
    <w:rsid w:val="004A24CF"/>
    <w:rsid w:val="004A2581"/>
    <w:rsid w:val="004A6E82"/>
    <w:rsid w:val="004B0866"/>
    <w:rsid w:val="004B2416"/>
    <w:rsid w:val="004B2E70"/>
    <w:rsid w:val="004B2FCC"/>
    <w:rsid w:val="004C37B4"/>
    <w:rsid w:val="004C3D1D"/>
    <w:rsid w:val="004C3D84"/>
    <w:rsid w:val="004C4EBE"/>
    <w:rsid w:val="004C6D40"/>
    <w:rsid w:val="004C7913"/>
    <w:rsid w:val="004D0309"/>
    <w:rsid w:val="004D0F55"/>
    <w:rsid w:val="004D1DC4"/>
    <w:rsid w:val="004D6F60"/>
    <w:rsid w:val="004E20E8"/>
    <w:rsid w:val="004E4DD6"/>
    <w:rsid w:val="004E751C"/>
    <w:rsid w:val="004E7907"/>
    <w:rsid w:val="004F0836"/>
    <w:rsid w:val="004F22E9"/>
    <w:rsid w:val="004F5E36"/>
    <w:rsid w:val="004F6165"/>
    <w:rsid w:val="00501D39"/>
    <w:rsid w:val="00507B47"/>
    <w:rsid w:val="00507BEF"/>
    <w:rsid w:val="00507CC9"/>
    <w:rsid w:val="00510394"/>
    <w:rsid w:val="005119A5"/>
    <w:rsid w:val="0051560E"/>
    <w:rsid w:val="0052692C"/>
    <w:rsid w:val="00527464"/>
    <w:rsid w:val="005278B7"/>
    <w:rsid w:val="005308F3"/>
    <w:rsid w:val="00530F17"/>
    <w:rsid w:val="0053101E"/>
    <w:rsid w:val="00532016"/>
    <w:rsid w:val="005335E6"/>
    <w:rsid w:val="00533771"/>
    <w:rsid w:val="00534503"/>
    <w:rsid w:val="005345AC"/>
    <w:rsid w:val="005346C8"/>
    <w:rsid w:val="00534C28"/>
    <w:rsid w:val="00536741"/>
    <w:rsid w:val="0054098E"/>
    <w:rsid w:val="0054247F"/>
    <w:rsid w:val="00543E7D"/>
    <w:rsid w:val="0054404E"/>
    <w:rsid w:val="00546570"/>
    <w:rsid w:val="00546E12"/>
    <w:rsid w:val="00547960"/>
    <w:rsid w:val="00547A68"/>
    <w:rsid w:val="005531C9"/>
    <w:rsid w:val="00554879"/>
    <w:rsid w:val="005579D3"/>
    <w:rsid w:val="005608E9"/>
    <w:rsid w:val="00560915"/>
    <w:rsid w:val="00560B48"/>
    <w:rsid w:val="00561832"/>
    <w:rsid w:val="00562456"/>
    <w:rsid w:val="005632A0"/>
    <w:rsid w:val="00570766"/>
    <w:rsid w:val="00570C43"/>
    <w:rsid w:val="00571B73"/>
    <w:rsid w:val="00573A29"/>
    <w:rsid w:val="00592274"/>
    <w:rsid w:val="0059566E"/>
    <w:rsid w:val="005A20B7"/>
    <w:rsid w:val="005B132A"/>
    <w:rsid w:val="005B1448"/>
    <w:rsid w:val="005B2110"/>
    <w:rsid w:val="005B350B"/>
    <w:rsid w:val="005B4C93"/>
    <w:rsid w:val="005B61E6"/>
    <w:rsid w:val="005C1F42"/>
    <w:rsid w:val="005C31B2"/>
    <w:rsid w:val="005C5E20"/>
    <w:rsid w:val="005C6BBD"/>
    <w:rsid w:val="005C77E1"/>
    <w:rsid w:val="005D5972"/>
    <w:rsid w:val="005D6279"/>
    <w:rsid w:val="005D668A"/>
    <w:rsid w:val="005D6A2F"/>
    <w:rsid w:val="005E0546"/>
    <w:rsid w:val="005E0592"/>
    <w:rsid w:val="005E1A02"/>
    <w:rsid w:val="005E1A82"/>
    <w:rsid w:val="005E3787"/>
    <w:rsid w:val="005E4045"/>
    <w:rsid w:val="005E488E"/>
    <w:rsid w:val="005E598F"/>
    <w:rsid w:val="005E68F1"/>
    <w:rsid w:val="005E794C"/>
    <w:rsid w:val="005F0A28"/>
    <w:rsid w:val="005F0E5E"/>
    <w:rsid w:val="005F4560"/>
    <w:rsid w:val="005F53B8"/>
    <w:rsid w:val="005F56EB"/>
    <w:rsid w:val="005F6120"/>
    <w:rsid w:val="005F671C"/>
    <w:rsid w:val="005F7355"/>
    <w:rsid w:val="00600535"/>
    <w:rsid w:val="00602DA1"/>
    <w:rsid w:val="00603F83"/>
    <w:rsid w:val="00604F82"/>
    <w:rsid w:val="00605DD6"/>
    <w:rsid w:val="00607662"/>
    <w:rsid w:val="00610CD6"/>
    <w:rsid w:val="00613C64"/>
    <w:rsid w:val="00615615"/>
    <w:rsid w:val="00617ABF"/>
    <w:rsid w:val="00620DEE"/>
    <w:rsid w:val="00621F92"/>
    <w:rsid w:val="00621FE0"/>
    <w:rsid w:val="006225AB"/>
    <w:rsid w:val="0062280A"/>
    <w:rsid w:val="006231AC"/>
    <w:rsid w:val="006231E1"/>
    <w:rsid w:val="00623909"/>
    <w:rsid w:val="00623D9E"/>
    <w:rsid w:val="00625639"/>
    <w:rsid w:val="00626342"/>
    <w:rsid w:val="00626B10"/>
    <w:rsid w:val="00630CA5"/>
    <w:rsid w:val="00631B33"/>
    <w:rsid w:val="00635326"/>
    <w:rsid w:val="00635CD1"/>
    <w:rsid w:val="00636FBF"/>
    <w:rsid w:val="00637EF2"/>
    <w:rsid w:val="0064184D"/>
    <w:rsid w:val="00641F43"/>
    <w:rsid w:val="006422CC"/>
    <w:rsid w:val="00643621"/>
    <w:rsid w:val="00646931"/>
    <w:rsid w:val="00646EFF"/>
    <w:rsid w:val="00647A86"/>
    <w:rsid w:val="0065056C"/>
    <w:rsid w:val="00650E4A"/>
    <w:rsid w:val="00651D18"/>
    <w:rsid w:val="00655D87"/>
    <w:rsid w:val="00660E3E"/>
    <w:rsid w:val="00662E74"/>
    <w:rsid w:val="00663155"/>
    <w:rsid w:val="0066457A"/>
    <w:rsid w:val="0066543E"/>
    <w:rsid w:val="00665D2E"/>
    <w:rsid w:val="0067073D"/>
    <w:rsid w:val="00671CCC"/>
    <w:rsid w:val="00674004"/>
    <w:rsid w:val="0067403B"/>
    <w:rsid w:val="00677646"/>
    <w:rsid w:val="0067769E"/>
    <w:rsid w:val="00677EE3"/>
    <w:rsid w:val="00680C23"/>
    <w:rsid w:val="00683E23"/>
    <w:rsid w:val="00693766"/>
    <w:rsid w:val="006948E7"/>
    <w:rsid w:val="006949AB"/>
    <w:rsid w:val="00695E0E"/>
    <w:rsid w:val="0069637B"/>
    <w:rsid w:val="00697B7B"/>
    <w:rsid w:val="006A1BFB"/>
    <w:rsid w:val="006A1DEC"/>
    <w:rsid w:val="006A212B"/>
    <w:rsid w:val="006A22A1"/>
    <w:rsid w:val="006A2DBB"/>
    <w:rsid w:val="006A3281"/>
    <w:rsid w:val="006A360F"/>
    <w:rsid w:val="006A5F1C"/>
    <w:rsid w:val="006A6DE5"/>
    <w:rsid w:val="006B4888"/>
    <w:rsid w:val="006B4BFA"/>
    <w:rsid w:val="006B59EB"/>
    <w:rsid w:val="006B6FF7"/>
    <w:rsid w:val="006C2E45"/>
    <w:rsid w:val="006C359C"/>
    <w:rsid w:val="006C5579"/>
    <w:rsid w:val="006C793B"/>
    <w:rsid w:val="006D00BF"/>
    <w:rsid w:val="006D0637"/>
    <w:rsid w:val="006D3B2B"/>
    <w:rsid w:val="006D6E8B"/>
    <w:rsid w:val="006D7209"/>
    <w:rsid w:val="006E01CF"/>
    <w:rsid w:val="006E0830"/>
    <w:rsid w:val="006E1015"/>
    <w:rsid w:val="006E1A51"/>
    <w:rsid w:val="006E276B"/>
    <w:rsid w:val="006E2C06"/>
    <w:rsid w:val="006E4E29"/>
    <w:rsid w:val="006E737D"/>
    <w:rsid w:val="006E7F84"/>
    <w:rsid w:val="006F090B"/>
    <w:rsid w:val="006F41E9"/>
    <w:rsid w:val="00700190"/>
    <w:rsid w:val="00703DB9"/>
    <w:rsid w:val="00703F4B"/>
    <w:rsid w:val="00703FCC"/>
    <w:rsid w:val="00706302"/>
    <w:rsid w:val="00707DD1"/>
    <w:rsid w:val="00710B39"/>
    <w:rsid w:val="00710F86"/>
    <w:rsid w:val="007124BB"/>
    <w:rsid w:val="00712663"/>
    <w:rsid w:val="00713973"/>
    <w:rsid w:val="0071568D"/>
    <w:rsid w:val="0071763C"/>
    <w:rsid w:val="00720A24"/>
    <w:rsid w:val="00720FDB"/>
    <w:rsid w:val="0072221C"/>
    <w:rsid w:val="00722985"/>
    <w:rsid w:val="00730B85"/>
    <w:rsid w:val="00732386"/>
    <w:rsid w:val="0073514D"/>
    <w:rsid w:val="00735B4D"/>
    <w:rsid w:val="0074466F"/>
    <w:rsid w:val="007447F3"/>
    <w:rsid w:val="0074669F"/>
    <w:rsid w:val="00747040"/>
    <w:rsid w:val="007475CF"/>
    <w:rsid w:val="00753CC7"/>
    <w:rsid w:val="0075499F"/>
    <w:rsid w:val="00755970"/>
    <w:rsid w:val="0075626D"/>
    <w:rsid w:val="00760DAC"/>
    <w:rsid w:val="00761C8A"/>
    <w:rsid w:val="00763FCE"/>
    <w:rsid w:val="00765720"/>
    <w:rsid w:val="007661C8"/>
    <w:rsid w:val="0077098D"/>
    <w:rsid w:val="007716C7"/>
    <w:rsid w:val="00775147"/>
    <w:rsid w:val="00775EAA"/>
    <w:rsid w:val="00776B08"/>
    <w:rsid w:val="0077742A"/>
    <w:rsid w:val="00780C51"/>
    <w:rsid w:val="007844F4"/>
    <w:rsid w:val="00785BF9"/>
    <w:rsid w:val="0078635D"/>
    <w:rsid w:val="007864A3"/>
    <w:rsid w:val="007931FA"/>
    <w:rsid w:val="00793F0F"/>
    <w:rsid w:val="00794A61"/>
    <w:rsid w:val="00794B0C"/>
    <w:rsid w:val="007952EA"/>
    <w:rsid w:val="007965A8"/>
    <w:rsid w:val="00796C98"/>
    <w:rsid w:val="007A0436"/>
    <w:rsid w:val="007A3F37"/>
    <w:rsid w:val="007A452B"/>
    <w:rsid w:val="007A46A0"/>
    <w:rsid w:val="007A4861"/>
    <w:rsid w:val="007A645B"/>
    <w:rsid w:val="007A6E71"/>
    <w:rsid w:val="007A7BBA"/>
    <w:rsid w:val="007B0C50"/>
    <w:rsid w:val="007B12F3"/>
    <w:rsid w:val="007B1AD3"/>
    <w:rsid w:val="007B33DE"/>
    <w:rsid w:val="007B48F9"/>
    <w:rsid w:val="007B5381"/>
    <w:rsid w:val="007B62E6"/>
    <w:rsid w:val="007B6434"/>
    <w:rsid w:val="007C0237"/>
    <w:rsid w:val="007C1A43"/>
    <w:rsid w:val="007C27FA"/>
    <w:rsid w:val="007C3F0C"/>
    <w:rsid w:val="007C4A78"/>
    <w:rsid w:val="007D0951"/>
    <w:rsid w:val="007D1691"/>
    <w:rsid w:val="007D610D"/>
    <w:rsid w:val="007E0E77"/>
    <w:rsid w:val="007E373F"/>
    <w:rsid w:val="007E3DF4"/>
    <w:rsid w:val="007E6604"/>
    <w:rsid w:val="007F3169"/>
    <w:rsid w:val="007F4509"/>
    <w:rsid w:val="0080013E"/>
    <w:rsid w:val="00801759"/>
    <w:rsid w:val="0080354D"/>
    <w:rsid w:val="008039F7"/>
    <w:rsid w:val="00807074"/>
    <w:rsid w:val="00811981"/>
    <w:rsid w:val="00813288"/>
    <w:rsid w:val="008168FC"/>
    <w:rsid w:val="0081752B"/>
    <w:rsid w:val="00820EE2"/>
    <w:rsid w:val="0082172B"/>
    <w:rsid w:val="008223A6"/>
    <w:rsid w:val="008233C7"/>
    <w:rsid w:val="00823DA0"/>
    <w:rsid w:val="00824025"/>
    <w:rsid w:val="0082503B"/>
    <w:rsid w:val="00830996"/>
    <w:rsid w:val="00830F32"/>
    <w:rsid w:val="008333E8"/>
    <w:rsid w:val="008345F1"/>
    <w:rsid w:val="00837B64"/>
    <w:rsid w:val="008470E6"/>
    <w:rsid w:val="008521B0"/>
    <w:rsid w:val="00856B14"/>
    <w:rsid w:val="00860A4A"/>
    <w:rsid w:val="0086416F"/>
    <w:rsid w:val="00865B07"/>
    <w:rsid w:val="008667EA"/>
    <w:rsid w:val="00867A42"/>
    <w:rsid w:val="008710F6"/>
    <w:rsid w:val="008714A0"/>
    <w:rsid w:val="00873B4B"/>
    <w:rsid w:val="0087637F"/>
    <w:rsid w:val="008817E9"/>
    <w:rsid w:val="00882682"/>
    <w:rsid w:val="0088490D"/>
    <w:rsid w:val="008876F9"/>
    <w:rsid w:val="00891217"/>
    <w:rsid w:val="00892AD5"/>
    <w:rsid w:val="00895283"/>
    <w:rsid w:val="008A1512"/>
    <w:rsid w:val="008A19B5"/>
    <w:rsid w:val="008A1C16"/>
    <w:rsid w:val="008A2907"/>
    <w:rsid w:val="008A743F"/>
    <w:rsid w:val="008B0576"/>
    <w:rsid w:val="008B066D"/>
    <w:rsid w:val="008B1990"/>
    <w:rsid w:val="008C1627"/>
    <w:rsid w:val="008C20E0"/>
    <w:rsid w:val="008C3B9A"/>
    <w:rsid w:val="008C4F3B"/>
    <w:rsid w:val="008C7EFB"/>
    <w:rsid w:val="008D32B9"/>
    <w:rsid w:val="008D433B"/>
    <w:rsid w:val="008D4A16"/>
    <w:rsid w:val="008E07E9"/>
    <w:rsid w:val="008E23A2"/>
    <w:rsid w:val="008E37FD"/>
    <w:rsid w:val="008E5401"/>
    <w:rsid w:val="008E566E"/>
    <w:rsid w:val="008E59C5"/>
    <w:rsid w:val="008E77B0"/>
    <w:rsid w:val="008F3912"/>
    <w:rsid w:val="008F6596"/>
    <w:rsid w:val="008F6B8F"/>
    <w:rsid w:val="008F6EEF"/>
    <w:rsid w:val="008F7110"/>
    <w:rsid w:val="008F7417"/>
    <w:rsid w:val="008F7B9D"/>
    <w:rsid w:val="0090161A"/>
    <w:rsid w:val="00901EB6"/>
    <w:rsid w:val="009021D7"/>
    <w:rsid w:val="009040C2"/>
    <w:rsid w:val="009041F8"/>
    <w:rsid w:val="00904723"/>
    <w:rsid w:val="00904C62"/>
    <w:rsid w:val="00904ED1"/>
    <w:rsid w:val="00907EB4"/>
    <w:rsid w:val="0091097C"/>
    <w:rsid w:val="009116D6"/>
    <w:rsid w:val="00911F48"/>
    <w:rsid w:val="00913644"/>
    <w:rsid w:val="00913FE6"/>
    <w:rsid w:val="0092176E"/>
    <w:rsid w:val="00922BA8"/>
    <w:rsid w:val="009248FF"/>
    <w:rsid w:val="00924DAC"/>
    <w:rsid w:val="009265AB"/>
    <w:rsid w:val="00927058"/>
    <w:rsid w:val="009301C3"/>
    <w:rsid w:val="00931E98"/>
    <w:rsid w:val="00935437"/>
    <w:rsid w:val="00940FC5"/>
    <w:rsid w:val="00942693"/>
    <w:rsid w:val="00942750"/>
    <w:rsid w:val="00943BBB"/>
    <w:rsid w:val="009450CE"/>
    <w:rsid w:val="009459BB"/>
    <w:rsid w:val="00945FB6"/>
    <w:rsid w:val="00946BED"/>
    <w:rsid w:val="00947179"/>
    <w:rsid w:val="00950380"/>
    <w:rsid w:val="0095164B"/>
    <w:rsid w:val="00951ABD"/>
    <w:rsid w:val="0095308D"/>
    <w:rsid w:val="00954090"/>
    <w:rsid w:val="009549FA"/>
    <w:rsid w:val="009573E7"/>
    <w:rsid w:val="00961D1A"/>
    <w:rsid w:val="00963080"/>
    <w:rsid w:val="00963D43"/>
    <w:rsid w:val="00963E05"/>
    <w:rsid w:val="00964A45"/>
    <w:rsid w:val="009665F2"/>
    <w:rsid w:val="00967843"/>
    <w:rsid w:val="00967D54"/>
    <w:rsid w:val="00971028"/>
    <w:rsid w:val="00971318"/>
    <w:rsid w:val="00972550"/>
    <w:rsid w:val="00972887"/>
    <w:rsid w:val="009746FB"/>
    <w:rsid w:val="0097559B"/>
    <w:rsid w:val="00975F7B"/>
    <w:rsid w:val="00975FB2"/>
    <w:rsid w:val="0098179D"/>
    <w:rsid w:val="00981824"/>
    <w:rsid w:val="00990695"/>
    <w:rsid w:val="00993615"/>
    <w:rsid w:val="00993B84"/>
    <w:rsid w:val="00994C6A"/>
    <w:rsid w:val="0099575E"/>
    <w:rsid w:val="00995F2E"/>
    <w:rsid w:val="00996483"/>
    <w:rsid w:val="00996F5A"/>
    <w:rsid w:val="0099706B"/>
    <w:rsid w:val="009A657A"/>
    <w:rsid w:val="009A7CCC"/>
    <w:rsid w:val="009B041A"/>
    <w:rsid w:val="009B5E7F"/>
    <w:rsid w:val="009B5F72"/>
    <w:rsid w:val="009B6402"/>
    <w:rsid w:val="009B6CBE"/>
    <w:rsid w:val="009B6E57"/>
    <w:rsid w:val="009B7E47"/>
    <w:rsid w:val="009C30B2"/>
    <w:rsid w:val="009C37C3"/>
    <w:rsid w:val="009C71C4"/>
    <w:rsid w:val="009C7C86"/>
    <w:rsid w:val="009D1084"/>
    <w:rsid w:val="009D15A6"/>
    <w:rsid w:val="009D2FF7"/>
    <w:rsid w:val="009D32DD"/>
    <w:rsid w:val="009D7A92"/>
    <w:rsid w:val="009E2B04"/>
    <w:rsid w:val="009E6140"/>
    <w:rsid w:val="009E745A"/>
    <w:rsid w:val="009E7884"/>
    <w:rsid w:val="009E788A"/>
    <w:rsid w:val="009F0E08"/>
    <w:rsid w:val="00A01998"/>
    <w:rsid w:val="00A02138"/>
    <w:rsid w:val="00A0430D"/>
    <w:rsid w:val="00A044DD"/>
    <w:rsid w:val="00A07814"/>
    <w:rsid w:val="00A079AE"/>
    <w:rsid w:val="00A118E2"/>
    <w:rsid w:val="00A13D45"/>
    <w:rsid w:val="00A146BF"/>
    <w:rsid w:val="00A15F58"/>
    <w:rsid w:val="00A16BD1"/>
    <w:rsid w:val="00A1763D"/>
    <w:rsid w:val="00A17643"/>
    <w:rsid w:val="00A17CEC"/>
    <w:rsid w:val="00A27EF0"/>
    <w:rsid w:val="00A318E0"/>
    <w:rsid w:val="00A33B35"/>
    <w:rsid w:val="00A33D08"/>
    <w:rsid w:val="00A34D05"/>
    <w:rsid w:val="00A42361"/>
    <w:rsid w:val="00A43BE9"/>
    <w:rsid w:val="00A454FB"/>
    <w:rsid w:val="00A46847"/>
    <w:rsid w:val="00A50059"/>
    <w:rsid w:val="00A50B20"/>
    <w:rsid w:val="00A51390"/>
    <w:rsid w:val="00A51749"/>
    <w:rsid w:val="00A53FCF"/>
    <w:rsid w:val="00A5552F"/>
    <w:rsid w:val="00A60D13"/>
    <w:rsid w:val="00A61620"/>
    <w:rsid w:val="00A62227"/>
    <w:rsid w:val="00A622CA"/>
    <w:rsid w:val="00A63312"/>
    <w:rsid w:val="00A64201"/>
    <w:rsid w:val="00A649C3"/>
    <w:rsid w:val="00A666B1"/>
    <w:rsid w:val="00A7223D"/>
    <w:rsid w:val="00A72745"/>
    <w:rsid w:val="00A75125"/>
    <w:rsid w:val="00A76EFC"/>
    <w:rsid w:val="00A77016"/>
    <w:rsid w:val="00A814D5"/>
    <w:rsid w:val="00A82309"/>
    <w:rsid w:val="00A82708"/>
    <w:rsid w:val="00A8295C"/>
    <w:rsid w:val="00A85661"/>
    <w:rsid w:val="00A8681D"/>
    <w:rsid w:val="00A86EED"/>
    <w:rsid w:val="00A87854"/>
    <w:rsid w:val="00A87D50"/>
    <w:rsid w:val="00A90DE2"/>
    <w:rsid w:val="00A91010"/>
    <w:rsid w:val="00A97F29"/>
    <w:rsid w:val="00AA2170"/>
    <w:rsid w:val="00AA3363"/>
    <w:rsid w:val="00AA393B"/>
    <w:rsid w:val="00AA702E"/>
    <w:rsid w:val="00AA7D26"/>
    <w:rsid w:val="00AB0964"/>
    <w:rsid w:val="00AB3226"/>
    <w:rsid w:val="00AB40A0"/>
    <w:rsid w:val="00AB5011"/>
    <w:rsid w:val="00AB5605"/>
    <w:rsid w:val="00AB677A"/>
    <w:rsid w:val="00AB7155"/>
    <w:rsid w:val="00AC1364"/>
    <w:rsid w:val="00AC301C"/>
    <w:rsid w:val="00AC6866"/>
    <w:rsid w:val="00AC7368"/>
    <w:rsid w:val="00AD16B9"/>
    <w:rsid w:val="00AD4B56"/>
    <w:rsid w:val="00AD62AE"/>
    <w:rsid w:val="00AE06D9"/>
    <w:rsid w:val="00AE377D"/>
    <w:rsid w:val="00AE5B93"/>
    <w:rsid w:val="00AE6CA5"/>
    <w:rsid w:val="00AF0EBA"/>
    <w:rsid w:val="00AF10E3"/>
    <w:rsid w:val="00AF12B9"/>
    <w:rsid w:val="00AF2463"/>
    <w:rsid w:val="00AF2C2B"/>
    <w:rsid w:val="00AF315E"/>
    <w:rsid w:val="00AF4962"/>
    <w:rsid w:val="00B02C8A"/>
    <w:rsid w:val="00B04F50"/>
    <w:rsid w:val="00B116F0"/>
    <w:rsid w:val="00B12301"/>
    <w:rsid w:val="00B168B5"/>
    <w:rsid w:val="00B16B64"/>
    <w:rsid w:val="00B17FBD"/>
    <w:rsid w:val="00B2261C"/>
    <w:rsid w:val="00B25B03"/>
    <w:rsid w:val="00B30B1B"/>
    <w:rsid w:val="00B315A6"/>
    <w:rsid w:val="00B31813"/>
    <w:rsid w:val="00B33365"/>
    <w:rsid w:val="00B3345E"/>
    <w:rsid w:val="00B37A28"/>
    <w:rsid w:val="00B4219E"/>
    <w:rsid w:val="00B42661"/>
    <w:rsid w:val="00B4509E"/>
    <w:rsid w:val="00B47C7E"/>
    <w:rsid w:val="00B50510"/>
    <w:rsid w:val="00B534D3"/>
    <w:rsid w:val="00B548AD"/>
    <w:rsid w:val="00B56AF6"/>
    <w:rsid w:val="00B57B36"/>
    <w:rsid w:val="00B57E6F"/>
    <w:rsid w:val="00B62157"/>
    <w:rsid w:val="00B73004"/>
    <w:rsid w:val="00B83210"/>
    <w:rsid w:val="00B83363"/>
    <w:rsid w:val="00B8686D"/>
    <w:rsid w:val="00B86A69"/>
    <w:rsid w:val="00B87E04"/>
    <w:rsid w:val="00B90439"/>
    <w:rsid w:val="00B90D0E"/>
    <w:rsid w:val="00B937DB"/>
    <w:rsid w:val="00B93F69"/>
    <w:rsid w:val="00B95964"/>
    <w:rsid w:val="00BA0146"/>
    <w:rsid w:val="00BA27C1"/>
    <w:rsid w:val="00BA48EC"/>
    <w:rsid w:val="00BA5368"/>
    <w:rsid w:val="00BA664C"/>
    <w:rsid w:val="00BA7034"/>
    <w:rsid w:val="00BB1A45"/>
    <w:rsid w:val="00BB1A76"/>
    <w:rsid w:val="00BB1DDC"/>
    <w:rsid w:val="00BB2631"/>
    <w:rsid w:val="00BB38B0"/>
    <w:rsid w:val="00BB623F"/>
    <w:rsid w:val="00BC1707"/>
    <w:rsid w:val="00BC30C9"/>
    <w:rsid w:val="00BC3D34"/>
    <w:rsid w:val="00BC765F"/>
    <w:rsid w:val="00BD077D"/>
    <w:rsid w:val="00BD19B5"/>
    <w:rsid w:val="00BD2A95"/>
    <w:rsid w:val="00BE01C5"/>
    <w:rsid w:val="00BE3E58"/>
    <w:rsid w:val="00BE4D78"/>
    <w:rsid w:val="00BE6CA7"/>
    <w:rsid w:val="00BF13CE"/>
    <w:rsid w:val="00BF1959"/>
    <w:rsid w:val="00BF2160"/>
    <w:rsid w:val="00C01616"/>
    <w:rsid w:val="00C0162B"/>
    <w:rsid w:val="00C035B2"/>
    <w:rsid w:val="00C05CB1"/>
    <w:rsid w:val="00C060A7"/>
    <w:rsid w:val="00C068ED"/>
    <w:rsid w:val="00C0769C"/>
    <w:rsid w:val="00C131AC"/>
    <w:rsid w:val="00C13F2B"/>
    <w:rsid w:val="00C1740D"/>
    <w:rsid w:val="00C22E0C"/>
    <w:rsid w:val="00C26FB4"/>
    <w:rsid w:val="00C27CB4"/>
    <w:rsid w:val="00C30F31"/>
    <w:rsid w:val="00C312CA"/>
    <w:rsid w:val="00C3239A"/>
    <w:rsid w:val="00C345B1"/>
    <w:rsid w:val="00C361F1"/>
    <w:rsid w:val="00C3632F"/>
    <w:rsid w:val="00C40142"/>
    <w:rsid w:val="00C420BB"/>
    <w:rsid w:val="00C46705"/>
    <w:rsid w:val="00C52426"/>
    <w:rsid w:val="00C52C3C"/>
    <w:rsid w:val="00C55020"/>
    <w:rsid w:val="00C56D19"/>
    <w:rsid w:val="00C57182"/>
    <w:rsid w:val="00C57863"/>
    <w:rsid w:val="00C637C9"/>
    <w:rsid w:val="00C640AF"/>
    <w:rsid w:val="00C655FD"/>
    <w:rsid w:val="00C665DD"/>
    <w:rsid w:val="00C71B84"/>
    <w:rsid w:val="00C742A2"/>
    <w:rsid w:val="00C75407"/>
    <w:rsid w:val="00C824D8"/>
    <w:rsid w:val="00C828C1"/>
    <w:rsid w:val="00C83028"/>
    <w:rsid w:val="00C841C6"/>
    <w:rsid w:val="00C84F04"/>
    <w:rsid w:val="00C8608F"/>
    <w:rsid w:val="00C863AA"/>
    <w:rsid w:val="00C870A8"/>
    <w:rsid w:val="00C9059A"/>
    <w:rsid w:val="00C90DC4"/>
    <w:rsid w:val="00C9217C"/>
    <w:rsid w:val="00C930CA"/>
    <w:rsid w:val="00C93A55"/>
    <w:rsid w:val="00C94434"/>
    <w:rsid w:val="00C96CC0"/>
    <w:rsid w:val="00C97ED2"/>
    <w:rsid w:val="00CA0D75"/>
    <w:rsid w:val="00CA1C95"/>
    <w:rsid w:val="00CA29C0"/>
    <w:rsid w:val="00CA44F8"/>
    <w:rsid w:val="00CA5A9C"/>
    <w:rsid w:val="00CA7C8B"/>
    <w:rsid w:val="00CB10F7"/>
    <w:rsid w:val="00CB22F2"/>
    <w:rsid w:val="00CB3570"/>
    <w:rsid w:val="00CB4D1A"/>
    <w:rsid w:val="00CB5717"/>
    <w:rsid w:val="00CB5C49"/>
    <w:rsid w:val="00CB7340"/>
    <w:rsid w:val="00CB75D9"/>
    <w:rsid w:val="00CC4C20"/>
    <w:rsid w:val="00CC760A"/>
    <w:rsid w:val="00CC7876"/>
    <w:rsid w:val="00CC788F"/>
    <w:rsid w:val="00CC7D81"/>
    <w:rsid w:val="00CD3517"/>
    <w:rsid w:val="00CD3EF1"/>
    <w:rsid w:val="00CD497C"/>
    <w:rsid w:val="00CD57DA"/>
    <w:rsid w:val="00CD5FE2"/>
    <w:rsid w:val="00CE08AE"/>
    <w:rsid w:val="00CE12D3"/>
    <w:rsid w:val="00CE5390"/>
    <w:rsid w:val="00CE59CE"/>
    <w:rsid w:val="00CE781F"/>
    <w:rsid w:val="00CE7C68"/>
    <w:rsid w:val="00CE7D29"/>
    <w:rsid w:val="00CF1150"/>
    <w:rsid w:val="00CF4574"/>
    <w:rsid w:val="00CF674A"/>
    <w:rsid w:val="00D02B4C"/>
    <w:rsid w:val="00D03464"/>
    <w:rsid w:val="00D040C4"/>
    <w:rsid w:val="00D04EC7"/>
    <w:rsid w:val="00D06736"/>
    <w:rsid w:val="00D06D13"/>
    <w:rsid w:val="00D154AC"/>
    <w:rsid w:val="00D17B25"/>
    <w:rsid w:val="00D20AD1"/>
    <w:rsid w:val="00D24FEB"/>
    <w:rsid w:val="00D2582C"/>
    <w:rsid w:val="00D30090"/>
    <w:rsid w:val="00D3116D"/>
    <w:rsid w:val="00D322E2"/>
    <w:rsid w:val="00D3239E"/>
    <w:rsid w:val="00D32B8E"/>
    <w:rsid w:val="00D335D5"/>
    <w:rsid w:val="00D33C88"/>
    <w:rsid w:val="00D35B22"/>
    <w:rsid w:val="00D41194"/>
    <w:rsid w:val="00D4138E"/>
    <w:rsid w:val="00D46B7E"/>
    <w:rsid w:val="00D5153C"/>
    <w:rsid w:val="00D52ACF"/>
    <w:rsid w:val="00D52DC1"/>
    <w:rsid w:val="00D53643"/>
    <w:rsid w:val="00D53E25"/>
    <w:rsid w:val="00D548B3"/>
    <w:rsid w:val="00D55637"/>
    <w:rsid w:val="00D57C84"/>
    <w:rsid w:val="00D6057D"/>
    <w:rsid w:val="00D60A27"/>
    <w:rsid w:val="00D6293D"/>
    <w:rsid w:val="00D70391"/>
    <w:rsid w:val="00D71640"/>
    <w:rsid w:val="00D7215C"/>
    <w:rsid w:val="00D72D95"/>
    <w:rsid w:val="00D734D2"/>
    <w:rsid w:val="00D75DA7"/>
    <w:rsid w:val="00D815F4"/>
    <w:rsid w:val="00D836C5"/>
    <w:rsid w:val="00D840D0"/>
    <w:rsid w:val="00D84576"/>
    <w:rsid w:val="00D85656"/>
    <w:rsid w:val="00D8648F"/>
    <w:rsid w:val="00D86CC7"/>
    <w:rsid w:val="00D90727"/>
    <w:rsid w:val="00D91F7E"/>
    <w:rsid w:val="00D9439D"/>
    <w:rsid w:val="00D94A2C"/>
    <w:rsid w:val="00D96DEC"/>
    <w:rsid w:val="00DA08B8"/>
    <w:rsid w:val="00DA0949"/>
    <w:rsid w:val="00DA1399"/>
    <w:rsid w:val="00DA16AC"/>
    <w:rsid w:val="00DA24C6"/>
    <w:rsid w:val="00DA3BFC"/>
    <w:rsid w:val="00DA4D7B"/>
    <w:rsid w:val="00DB00A1"/>
    <w:rsid w:val="00DB3BD5"/>
    <w:rsid w:val="00DB44C9"/>
    <w:rsid w:val="00DB5D8D"/>
    <w:rsid w:val="00DB5FED"/>
    <w:rsid w:val="00DB7463"/>
    <w:rsid w:val="00DC194D"/>
    <w:rsid w:val="00DC1C6C"/>
    <w:rsid w:val="00DC2334"/>
    <w:rsid w:val="00DC2840"/>
    <w:rsid w:val="00DC4CFD"/>
    <w:rsid w:val="00DC73EE"/>
    <w:rsid w:val="00DD0642"/>
    <w:rsid w:val="00DD271C"/>
    <w:rsid w:val="00DD58B6"/>
    <w:rsid w:val="00DD785D"/>
    <w:rsid w:val="00DD7B65"/>
    <w:rsid w:val="00DE077F"/>
    <w:rsid w:val="00DE170A"/>
    <w:rsid w:val="00DE264A"/>
    <w:rsid w:val="00DE3695"/>
    <w:rsid w:val="00DE6E68"/>
    <w:rsid w:val="00DE7529"/>
    <w:rsid w:val="00DF5072"/>
    <w:rsid w:val="00DF529C"/>
    <w:rsid w:val="00DF5C62"/>
    <w:rsid w:val="00DF6B90"/>
    <w:rsid w:val="00DF70BA"/>
    <w:rsid w:val="00DF794B"/>
    <w:rsid w:val="00E00E5A"/>
    <w:rsid w:val="00E02D18"/>
    <w:rsid w:val="00E041E7"/>
    <w:rsid w:val="00E04477"/>
    <w:rsid w:val="00E05E00"/>
    <w:rsid w:val="00E06021"/>
    <w:rsid w:val="00E11130"/>
    <w:rsid w:val="00E116FE"/>
    <w:rsid w:val="00E123EF"/>
    <w:rsid w:val="00E129BC"/>
    <w:rsid w:val="00E16794"/>
    <w:rsid w:val="00E16D7A"/>
    <w:rsid w:val="00E217F3"/>
    <w:rsid w:val="00E22640"/>
    <w:rsid w:val="00E23CA1"/>
    <w:rsid w:val="00E23F98"/>
    <w:rsid w:val="00E246D1"/>
    <w:rsid w:val="00E26080"/>
    <w:rsid w:val="00E262E6"/>
    <w:rsid w:val="00E3302D"/>
    <w:rsid w:val="00E34557"/>
    <w:rsid w:val="00E3561A"/>
    <w:rsid w:val="00E3756C"/>
    <w:rsid w:val="00E409A8"/>
    <w:rsid w:val="00E42C6A"/>
    <w:rsid w:val="00E50C12"/>
    <w:rsid w:val="00E51E9B"/>
    <w:rsid w:val="00E526DD"/>
    <w:rsid w:val="00E6143D"/>
    <w:rsid w:val="00E6475E"/>
    <w:rsid w:val="00E65035"/>
    <w:rsid w:val="00E65B91"/>
    <w:rsid w:val="00E66883"/>
    <w:rsid w:val="00E67898"/>
    <w:rsid w:val="00E70CA0"/>
    <w:rsid w:val="00E71E59"/>
    <w:rsid w:val="00E7209D"/>
    <w:rsid w:val="00E72EAD"/>
    <w:rsid w:val="00E73239"/>
    <w:rsid w:val="00E7587D"/>
    <w:rsid w:val="00E75D07"/>
    <w:rsid w:val="00E77223"/>
    <w:rsid w:val="00E804A8"/>
    <w:rsid w:val="00E82503"/>
    <w:rsid w:val="00E82C24"/>
    <w:rsid w:val="00E8528B"/>
    <w:rsid w:val="00E858A5"/>
    <w:rsid w:val="00E85B94"/>
    <w:rsid w:val="00E86706"/>
    <w:rsid w:val="00E87969"/>
    <w:rsid w:val="00E87E7F"/>
    <w:rsid w:val="00E978D0"/>
    <w:rsid w:val="00EA0629"/>
    <w:rsid w:val="00EA1915"/>
    <w:rsid w:val="00EA3407"/>
    <w:rsid w:val="00EA3496"/>
    <w:rsid w:val="00EA4290"/>
    <w:rsid w:val="00EA4613"/>
    <w:rsid w:val="00EA7F91"/>
    <w:rsid w:val="00EB1523"/>
    <w:rsid w:val="00EB2612"/>
    <w:rsid w:val="00EB44C4"/>
    <w:rsid w:val="00EC0E49"/>
    <w:rsid w:val="00EC101F"/>
    <w:rsid w:val="00EC1D9F"/>
    <w:rsid w:val="00EC2860"/>
    <w:rsid w:val="00EC63B6"/>
    <w:rsid w:val="00ED10FE"/>
    <w:rsid w:val="00ED2EF5"/>
    <w:rsid w:val="00ED3BC8"/>
    <w:rsid w:val="00ED60B1"/>
    <w:rsid w:val="00EE0131"/>
    <w:rsid w:val="00EE17B0"/>
    <w:rsid w:val="00EE1F0E"/>
    <w:rsid w:val="00EF007C"/>
    <w:rsid w:val="00EF06D9"/>
    <w:rsid w:val="00EF393A"/>
    <w:rsid w:val="00EF462B"/>
    <w:rsid w:val="00EF4B4A"/>
    <w:rsid w:val="00F01CD2"/>
    <w:rsid w:val="00F02352"/>
    <w:rsid w:val="00F111F2"/>
    <w:rsid w:val="00F13723"/>
    <w:rsid w:val="00F13A43"/>
    <w:rsid w:val="00F1421C"/>
    <w:rsid w:val="00F146B0"/>
    <w:rsid w:val="00F16112"/>
    <w:rsid w:val="00F16EFE"/>
    <w:rsid w:val="00F16F65"/>
    <w:rsid w:val="00F170BB"/>
    <w:rsid w:val="00F231B8"/>
    <w:rsid w:val="00F2478C"/>
    <w:rsid w:val="00F25C24"/>
    <w:rsid w:val="00F27565"/>
    <w:rsid w:val="00F3049E"/>
    <w:rsid w:val="00F30C64"/>
    <w:rsid w:val="00F316EB"/>
    <w:rsid w:val="00F31E21"/>
    <w:rsid w:val="00F3200C"/>
    <w:rsid w:val="00F3204C"/>
    <w:rsid w:val="00F32BA2"/>
    <w:rsid w:val="00F32CDB"/>
    <w:rsid w:val="00F32CF7"/>
    <w:rsid w:val="00F37B85"/>
    <w:rsid w:val="00F4063A"/>
    <w:rsid w:val="00F40C2E"/>
    <w:rsid w:val="00F41EE4"/>
    <w:rsid w:val="00F42D41"/>
    <w:rsid w:val="00F465F8"/>
    <w:rsid w:val="00F46BB5"/>
    <w:rsid w:val="00F51EEA"/>
    <w:rsid w:val="00F52068"/>
    <w:rsid w:val="00F53005"/>
    <w:rsid w:val="00F53789"/>
    <w:rsid w:val="00F565FE"/>
    <w:rsid w:val="00F63A70"/>
    <w:rsid w:val="00F63D8C"/>
    <w:rsid w:val="00F658F5"/>
    <w:rsid w:val="00F66329"/>
    <w:rsid w:val="00F66E99"/>
    <w:rsid w:val="00F71850"/>
    <w:rsid w:val="00F71893"/>
    <w:rsid w:val="00F71BC4"/>
    <w:rsid w:val="00F7301E"/>
    <w:rsid w:val="00F7534E"/>
    <w:rsid w:val="00F75798"/>
    <w:rsid w:val="00F7779C"/>
    <w:rsid w:val="00F800EA"/>
    <w:rsid w:val="00F80361"/>
    <w:rsid w:val="00F8144D"/>
    <w:rsid w:val="00F869CD"/>
    <w:rsid w:val="00F90BCA"/>
    <w:rsid w:val="00F92441"/>
    <w:rsid w:val="00F93EDF"/>
    <w:rsid w:val="00F95226"/>
    <w:rsid w:val="00F9613C"/>
    <w:rsid w:val="00F96E34"/>
    <w:rsid w:val="00FA1802"/>
    <w:rsid w:val="00FA21D0"/>
    <w:rsid w:val="00FA4055"/>
    <w:rsid w:val="00FA40D0"/>
    <w:rsid w:val="00FA53AE"/>
    <w:rsid w:val="00FA5F5F"/>
    <w:rsid w:val="00FA7425"/>
    <w:rsid w:val="00FB1470"/>
    <w:rsid w:val="00FB2F7A"/>
    <w:rsid w:val="00FB513F"/>
    <w:rsid w:val="00FB730C"/>
    <w:rsid w:val="00FC2695"/>
    <w:rsid w:val="00FC2DE8"/>
    <w:rsid w:val="00FC3E03"/>
    <w:rsid w:val="00FC3FC1"/>
    <w:rsid w:val="00FE2F51"/>
    <w:rsid w:val="00FE4493"/>
    <w:rsid w:val="00FE5611"/>
    <w:rsid w:val="00FE5B89"/>
    <w:rsid w:val="00FF0950"/>
    <w:rsid w:val="00FF0F77"/>
    <w:rsid w:val="00FF1319"/>
    <w:rsid w:val="00FF1A5B"/>
    <w:rsid w:val="00FF297A"/>
    <w:rsid w:val="00FF4E69"/>
    <w:rsid w:val="00FF5839"/>
    <w:rsid w:val="00FF58A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F9A5EDC1-5450-428A-8038-4DDD1216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546E12"/>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60A27"/>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60A2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aliases w:val="Figuras"/>
    <w:basedOn w:val="Normal"/>
    <w:next w:val="Normal"/>
    <w:link w:val="DescripcinCar"/>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styleId="Textodelmarcadordeposicin">
    <w:name w:val="Placeholder Text"/>
    <w:basedOn w:val="Fuentedeprrafopredeter"/>
    <w:uiPriority w:val="99"/>
    <w:semiHidden/>
    <w:rsid w:val="00C30F31"/>
    <w:rPr>
      <w:color w:val="808080"/>
    </w:rPr>
  </w:style>
  <w:style w:type="paragraph" w:customStyle="1" w:styleId="sencillo">
    <w:name w:val="sencillo"/>
    <w:basedOn w:val="CETBodytext"/>
    <w:rsid w:val="00CB5C49"/>
    <w:rPr>
      <w:b/>
      <w:lang w:val="en-GB"/>
    </w:rPr>
  </w:style>
  <w:style w:type="character" w:styleId="Mencinsinresolver">
    <w:name w:val="Unresolved Mention"/>
    <w:basedOn w:val="Fuentedeprrafopredeter"/>
    <w:uiPriority w:val="99"/>
    <w:semiHidden/>
    <w:unhideWhenUsed/>
    <w:rsid w:val="00DE077F"/>
    <w:rPr>
      <w:color w:val="605E5C"/>
      <w:shd w:val="clear" w:color="auto" w:fill="E1DFDD"/>
    </w:rPr>
  </w:style>
  <w:style w:type="paragraph" w:styleId="Sinespaciado">
    <w:name w:val="No Spacing"/>
    <w:aliases w:val="TItulo sin numero"/>
    <w:uiPriority w:val="1"/>
    <w:qFormat/>
    <w:rsid w:val="00E66883"/>
    <w:pPr>
      <w:spacing w:after="0" w:line="240" w:lineRule="auto"/>
    </w:pPr>
    <w:rPr>
      <w:lang w:val="es-CO"/>
    </w:rPr>
  </w:style>
  <w:style w:type="character" w:customStyle="1" w:styleId="DescripcinCar">
    <w:name w:val="Descripción Car"/>
    <w:aliases w:val="Figuras Car"/>
    <w:basedOn w:val="Fuentedeprrafopredeter"/>
    <w:link w:val="Descripcin"/>
    <w:uiPriority w:val="35"/>
    <w:rsid w:val="00A8681D"/>
    <w:rPr>
      <w:rFonts w:ascii="Arial" w:eastAsia="Times New Roman" w:hAnsi="Arial" w:cs="Times New Roman"/>
      <w:b/>
      <w:bCs/>
      <w:color w:val="4F81BD" w:themeColor="accent1"/>
      <w:sz w:val="18"/>
      <w:szCs w:val="18"/>
      <w:lang w:val="en-GB"/>
    </w:rPr>
  </w:style>
  <w:style w:type="table" w:styleId="Tablanormal2">
    <w:name w:val="Plain Table 2"/>
    <w:basedOn w:val="Tablanormal"/>
    <w:uiPriority w:val="42"/>
    <w:rsid w:val="002327D4"/>
    <w:pPr>
      <w:spacing w:after="0" w:line="240" w:lineRule="auto"/>
    </w:pPr>
    <w:rPr>
      <w:rFonts w:ascii="Times New Roman" w:eastAsia="Calibri" w:hAnsi="Times New Roman" w:cs="Times New Roman"/>
      <w:sz w:val="20"/>
      <w:szCs w:val="20"/>
      <w:lang w:val="es-CO"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0562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1693">
      <w:bodyDiv w:val="1"/>
      <w:marLeft w:val="0"/>
      <w:marRight w:val="0"/>
      <w:marTop w:val="0"/>
      <w:marBottom w:val="0"/>
      <w:divBdr>
        <w:top w:val="none" w:sz="0" w:space="0" w:color="auto"/>
        <w:left w:val="none" w:sz="0" w:space="0" w:color="auto"/>
        <w:bottom w:val="none" w:sz="0" w:space="0" w:color="auto"/>
        <w:right w:val="none" w:sz="0" w:space="0" w:color="auto"/>
      </w:divBdr>
    </w:div>
    <w:div w:id="948777058">
      <w:bodyDiv w:val="1"/>
      <w:marLeft w:val="0"/>
      <w:marRight w:val="0"/>
      <w:marTop w:val="0"/>
      <w:marBottom w:val="0"/>
      <w:divBdr>
        <w:top w:val="none" w:sz="0" w:space="0" w:color="auto"/>
        <w:left w:val="none" w:sz="0" w:space="0" w:color="auto"/>
        <w:bottom w:val="none" w:sz="0" w:space="0" w:color="auto"/>
        <w:right w:val="none" w:sz="0" w:space="0" w:color="auto"/>
      </w:divBdr>
    </w:div>
    <w:div w:id="1081298405">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58936436">
      <w:bodyDiv w:val="1"/>
      <w:marLeft w:val="0"/>
      <w:marRight w:val="0"/>
      <w:marTop w:val="0"/>
      <w:marBottom w:val="0"/>
      <w:divBdr>
        <w:top w:val="none" w:sz="0" w:space="0" w:color="auto"/>
        <w:left w:val="none" w:sz="0" w:space="0" w:color="auto"/>
        <w:bottom w:val="none" w:sz="0" w:space="0" w:color="auto"/>
        <w:right w:val="none" w:sz="0" w:space="0" w:color="auto"/>
      </w:divBdr>
    </w:div>
    <w:div w:id="2054379475">
      <w:bodyDiv w:val="1"/>
      <w:marLeft w:val="0"/>
      <w:marRight w:val="0"/>
      <w:marTop w:val="0"/>
      <w:marBottom w:val="0"/>
      <w:divBdr>
        <w:top w:val="none" w:sz="0" w:space="0" w:color="auto"/>
        <w:left w:val="none" w:sz="0" w:space="0" w:color="auto"/>
        <w:bottom w:val="none" w:sz="0" w:space="0" w:color="auto"/>
        <w:right w:val="none" w:sz="0" w:space="0" w:color="auto"/>
      </w:divBdr>
    </w:div>
    <w:div w:id="2095320540">
      <w:bodyDiv w:val="1"/>
      <w:marLeft w:val="0"/>
      <w:marRight w:val="0"/>
      <w:marTop w:val="0"/>
      <w:marBottom w:val="0"/>
      <w:divBdr>
        <w:top w:val="none" w:sz="0" w:space="0" w:color="auto"/>
        <w:left w:val="none" w:sz="0" w:space="0" w:color="auto"/>
        <w:bottom w:val="none" w:sz="0" w:space="0" w:color="auto"/>
        <w:right w:val="none" w:sz="0" w:space="0" w:color="auto"/>
      </w:divBdr>
    </w:div>
    <w:div w:id="211597405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hyperlink" Target="mailto:dypena@uis.edu.c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2BADD-9671-469E-940E-263C43D9C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3352</Words>
  <Characters>18440</Characters>
  <Application>Microsoft Office Word</Application>
  <DocSecurity>0</DocSecurity>
  <Lines>153</Lines>
  <Paragraphs>43</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OSCAR HIGUERA</cp:lastModifiedBy>
  <cp:revision>4</cp:revision>
  <cp:lastPrinted>2015-05-12T18:31:00Z</cp:lastPrinted>
  <dcterms:created xsi:type="dcterms:W3CDTF">2026-03-20T17:25:00Z</dcterms:created>
  <dcterms:modified xsi:type="dcterms:W3CDTF">2026-03-21T00:37:00Z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b0e34a4b-d024-4fc3-ba40-2ec92980e46d</vt:lpwstr>
  </property>
</Properties>
</file>