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DB3646" w14:paraId="2A131A54" w14:textId="77777777" w:rsidTr="00A52B45">
        <w:trPr>
          <w:trHeight w:val="852"/>
          <w:jc w:val="center"/>
        </w:trPr>
        <w:tc>
          <w:tcPr>
            <w:tcW w:w="6940" w:type="dxa"/>
            <w:vMerge w:val="restart"/>
            <w:tcBorders>
              <w:right w:val="single" w:sz="4" w:space="0" w:color="auto"/>
            </w:tcBorders>
          </w:tcPr>
          <w:p w14:paraId="38C3D2BA" w14:textId="77777777" w:rsidR="000A03B2" w:rsidRPr="00DB3646" w:rsidRDefault="000A03B2" w:rsidP="00DE264A">
            <w:pPr>
              <w:tabs>
                <w:tab w:val="left" w:pos="-108"/>
              </w:tabs>
              <w:ind w:left="-108"/>
              <w:jc w:val="left"/>
              <w:rPr>
                <w:rFonts w:cs="Arial"/>
                <w:b/>
                <w:bCs/>
                <w:i/>
                <w:iCs/>
                <w:color w:val="000066"/>
                <w:sz w:val="12"/>
                <w:szCs w:val="12"/>
                <w:lang w:eastAsia="it-IT"/>
              </w:rPr>
            </w:pPr>
            <w:r w:rsidRPr="00DB3646">
              <w:rPr>
                <w:rFonts w:cs="Arial"/>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DB3646">
              <w:rPr>
                <w:rFonts w:cs="Arial"/>
                <w:color w:val="241F20"/>
                <w:szCs w:val="18"/>
                <w:lang w:eastAsia="it-IT"/>
              </w:rPr>
              <w:t xml:space="preserve"> </w:t>
            </w:r>
            <w:r w:rsidRPr="00DB3646">
              <w:rPr>
                <w:rFonts w:cs="Arial"/>
                <w:b/>
                <w:bCs/>
                <w:i/>
                <w:iCs/>
                <w:color w:val="000066"/>
                <w:sz w:val="24"/>
                <w:szCs w:val="24"/>
                <w:lang w:eastAsia="it-IT"/>
              </w:rPr>
              <w:t>CHEMICAL ENGINEERING</w:t>
            </w:r>
            <w:r w:rsidRPr="00DB3646">
              <w:rPr>
                <w:rFonts w:cs="Arial"/>
                <w:b/>
                <w:bCs/>
                <w:i/>
                <w:iCs/>
                <w:color w:val="0033FF"/>
                <w:sz w:val="24"/>
                <w:szCs w:val="24"/>
                <w:lang w:eastAsia="it-IT"/>
              </w:rPr>
              <w:t xml:space="preserve"> </w:t>
            </w:r>
            <w:r w:rsidRPr="00DB3646">
              <w:rPr>
                <w:rFonts w:cs="Arial"/>
                <w:b/>
                <w:bCs/>
                <w:i/>
                <w:iCs/>
                <w:color w:val="666666"/>
                <w:sz w:val="24"/>
                <w:szCs w:val="24"/>
                <w:lang w:eastAsia="it-IT"/>
              </w:rPr>
              <w:t>TRANSACTIONS</w:t>
            </w:r>
            <w:r w:rsidRPr="00DB3646">
              <w:rPr>
                <w:rFonts w:cs="Arial"/>
                <w:color w:val="333333"/>
                <w:sz w:val="24"/>
                <w:szCs w:val="24"/>
                <w:lang w:eastAsia="it-IT"/>
              </w:rPr>
              <w:t xml:space="preserve"> </w:t>
            </w:r>
            <w:r w:rsidRPr="00DB3646">
              <w:rPr>
                <w:rFonts w:cs="Arial"/>
                <w:b/>
                <w:bCs/>
                <w:i/>
                <w:iCs/>
                <w:color w:val="000066"/>
                <w:sz w:val="27"/>
                <w:szCs w:val="27"/>
                <w:lang w:eastAsia="it-IT"/>
              </w:rPr>
              <w:br/>
            </w:r>
          </w:p>
          <w:p w14:paraId="4B780582" w14:textId="1087A532" w:rsidR="000A03B2" w:rsidRPr="00DB3646" w:rsidRDefault="00A76EFC" w:rsidP="001D21AF">
            <w:pPr>
              <w:tabs>
                <w:tab w:val="left" w:pos="-108"/>
              </w:tabs>
              <w:ind w:left="-108"/>
              <w:rPr>
                <w:rFonts w:cs="Arial"/>
                <w:b/>
                <w:bCs/>
                <w:i/>
                <w:iCs/>
                <w:color w:val="000066"/>
                <w:sz w:val="22"/>
                <w:szCs w:val="22"/>
                <w:lang w:eastAsia="it-IT"/>
              </w:rPr>
            </w:pPr>
            <w:r w:rsidRPr="00DB3646">
              <w:rPr>
                <w:rFonts w:cs="Arial"/>
                <w:b/>
                <w:bCs/>
                <w:i/>
                <w:iCs/>
                <w:color w:val="000066"/>
                <w:sz w:val="22"/>
                <w:szCs w:val="22"/>
                <w:lang w:eastAsia="it-IT"/>
              </w:rPr>
              <w:t xml:space="preserve">VOL. </w:t>
            </w:r>
            <w:r w:rsidR="0030152C" w:rsidRPr="00DB3646">
              <w:rPr>
                <w:rFonts w:cs="Arial"/>
                <w:b/>
                <w:bCs/>
                <w:i/>
                <w:iCs/>
                <w:color w:val="000066"/>
                <w:sz w:val="22"/>
                <w:szCs w:val="22"/>
                <w:lang w:eastAsia="it-IT"/>
              </w:rPr>
              <w:t xml:space="preserve"> </w:t>
            </w:r>
            <w:proofErr w:type="gramStart"/>
            <w:r w:rsidR="0030152C" w:rsidRPr="00DB3646">
              <w:rPr>
                <w:rFonts w:cs="Arial"/>
                <w:b/>
                <w:bCs/>
                <w:i/>
                <w:iCs/>
                <w:color w:val="000066"/>
                <w:sz w:val="22"/>
                <w:szCs w:val="22"/>
                <w:lang w:eastAsia="it-IT"/>
              </w:rPr>
              <w:t xml:space="preserve">  </w:t>
            </w:r>
            <w:r w:rsidR="007B48F9" w:rsidRPr="00DB3646">
              <w:rPr>
                <w:rFonts w:cs="Arial"/>
                <w:b/>
                <w:bCs/>
                <w:i/>
                <w:iCs/>
                <w:color w:val="000066"/>
                <w:sz w:val="22"/>
                <w:szCs w:val="22"/>
                <w:lang w:eastAsia="it-IT"/>
              </w:rPr>
              <w:t>,</w:t>
            </w:r>
            <w:proofErr w:type="gramEnd"/>
            <w:r w:rsidR="00FA5F5F" w:rsidRPr="00DB3646">
              <w:rPr>
                <w:rFonts w:cs="Arial"/>
                <w:b/>
                <w:bCs/>
                <w:i/>
                <w:iCs/>
                <w:color w:val="000066"/>
                <w:sz w:val="22"/>
                <w:szCs w:val="22"/>
                <w:lang w:eastAsia="it-IT"/>
              </w:rPr>
              <w:t xml:space="preserve"> </w:t>
            </w:r>
            <w:r w:rsidR="0030152C" w:rsidRPr="00DB3646">
              <w:rPr>
                <w:rFonts w:cs="Arial"/>
                <w:b/>
                <w:bCs/>
                <w:i/>
                <w:iCs/>
                <w:color w:val="000066"/>
                <w:sz w:val="22"/>
                <w:szCs w:val="22"/>
                <w:lang w:eastAsia="it-IT"/>
              </w:rPr>
              <w:t>202</w:t>
            </w:r>
            <w:r w:rsidR="0035009F" w:rsidRPr="00DB3646">
              <w:rPr>
                <w:rFonts w:cs="Arial"/>
                <w:b/>
                <w:bCs/>
                <w:i/>
                <w:iCs/>
                <w:color w:val="000066"/>
                <w:sz w:val="22"/>
                <w:szCs w:val="22"/>
                <w:lang w:eastAsia="it-IT"/>
              </w:rPr>
              <w:t>6</w:t>
            </w:r>
          </w:p>
        </w:tc>
        <w:tc>
          <w:tcPr>
            <w:tcW w:w="1842" w:type="dxa"/>
            <w:tcBorders>
              <w:left w:val="single" w:sz="4" w:space="0" w:color="auto"/>
              <w:bottom w:val="nil"/>
              <w:right w:val="single" w:sz="4" w:space="0" w:color="auto"/>
            </w:tcBorders>
          </w:tcPr>
          <w:p w14:paraId="56782132" w14:textId="77777777" w:rsidR="000A03B2" w:rsidRPr="00DB3646" w:rsidRDefault="000A03B2" w:rsidP="00CD5FE2">
            <w:pPr>
              <w:spacing w:line="140" w:lineRule="atLeast"/>
              <w:jc w:val="right"/>
              <w:rPr>
                <w:rFonts w:cs="Arial"/>
                <w:sz w:val="14"/>
                <w:szCs w:val="14"/>
              </w:rPr>
            </w:pPr>
            <w:r w:rsidRPr="00DB3646">
              <w:rPr>
                <w:rFonts w:cs="Arial"/>
                <w:sz w:val="14"/>
                <w:szCs w:val="14"/>
              </w:rPr>
              <w:t>A publication of</w:t>
            </w:r>
          </w:p>
          <w:p w14:paraId="599E5441" w14:textId="77777777" w:rsidR="000A03B2" w:rsidRPr="00DB3646" w:rsidRDefault="000A03B2" w:rsidP="00CD5FE2">
            <w:pPr>
              <w:jc w:val="right"/>
              <w:rPr>
                <w:rFonts w:cs="Arial"/>
              </w:rPr>
            </w:pPr>
            <w:r w:rsidRPr="00DB3646">
              <w:rPr>
                <w:rFonts w:cs="Arial"/>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DB3646" w14:paraId="380FA3CD" w14:textId="77777777" w:rsidTr="00A52B45">
        <w:trPr>
          <w:trHeight w:val="567"/>
          <w:jc w:val="center"/>
        </w:trPr>
        <w:tc>
          <w:tcPr>
            <w:tcW w:w="6940" w:type="dxa"/>
            <w:vMerge/>
            <w:tcBorders>
              <w:right w:val="single" w:sz="4" w:space="0" w:color="auto"/>
            </w:tcBorders>
          </w:tcPr>
          <w:p w14:paraId="39E5E4C1" w14:textId="77777777" w:rsidR="000A03B2" w:rsidRPr="00DB3646" w:rsidRDefault="000A03B2" w:rsidP="00CD5FE2">
            <w:pPr>
              <w:tabs>
                <w:tab w:val="left" w:pos="-108"/>
              </w:tabs>
              <w:rPr>
                <w:rFonts w:cs="Arial"/>
              </w:rPr>
            </w:pPr>
          </w:p>
        </w:tc>
        <w:tc>
          <w:tcPr>
            <w:tcW w:w="1842" w:type="dxa"/>
            <w:tcBorders>
              <w:left w:val="single" w:sz="4" w:space="0" w:color="auto"/>
              <w:bottom w:val="nil"/>
              <w:right w:val="single" w:sz="4" w:space="0" w:color="auto"/>
            </w:tcBorders>
          </w:tcPr>
          <w:p w14:paraId="43858A98" w14:textId="77777777" w:rsidR="000A03B2" w:rsidRPr="00DB3646" w:rsidRDefault="000A03B2" w:rsidP="00CD5FE2">
            <w:pPr>
              <w:spacing w:line="140" w:lineRule="atLeast"/>
              <w:jc w:val="right"/>
              <w:rPr>
                <w:rFonts w:cs="Arial"/>
                <w:sz w:val="14"/>
                <w:szCs w:val="14"/>
              </w:rPr>
            </w:pPr>
            <w:r w:rsidRPr="00DB3646">
              <w:rPr>
                <w:rFonts w:cs="Arial"/>
                <w:sz w:val="14"/>
                <w:szCs w:val="14"/>
              </w:rPr>
              <w:t>The Italian Association</w:t>
            </w:r>
          </w:p>
          <w:p w14:paraId="7522B1D2" w14:textId="77777777" w:rsidR="000A03B2" w:rsidRPr="00DB3646" w:rsidRDefault="000A03B2" w:rsidP="00CD5FE2">
            <w:pPr>
              <w:spacing w:line="140" w:lineRule="atLeast"/>
              <w:jc w:val="right"/>
              <w:rPr>
                <w:rFonts w:cs="Arial"/>
                <w:sz w:val="14"/>
                <w:szCs w:val="14"/>
              </w:rPr>
            </w:pPr>
            <w:r w:rsidRPr="00DB3646">
              <w:rPr>
                <w:rFonts w:cs="Arial"/>
                <w:sz w:val="14"/>
                <w:szCs w:val="14"/>
              </w:rPr>
              <w:t>of Chemical Engineering</w:t>
            </w:r>
          </w:p>
          <w:p w14:paraId="4F0CC5DE" w14:textId="47FDB2FC" w:rsidR="000A03B2" w:rsidRPr="00DB3646" w:rsidRDefault="000D0268" w:rsidP="00CD5FE2">
            <w:pPr>
              <w:spacing w:line="140" w:lineRule="atLeast"/>
              <w:jc w:val="right"/>
              <w:rPr>
                <w:rFonts w:cs="Arial"/>
                <w:sz w:val="13"/>
                <w:szCs w:val="13"/>
              </w:rPr>
            </w:pPr>
            <w:r w:rsidRPr="00DB3646">
              <w:rPr>
                <w:rFonts w:cs="Arial"/>
                <w:sz w:val="13"/>
                <w:szCs w:val="13"/>
              </w:rPr>
              <w:t>Online at www.cetjournal.it</w:t>
            </w:r>
          </w:p>
        </w:tc>
      </w:tr>
      <w:tr w:rsidR="000A03B2" w:rsidRPr="00DB3646" w14:paraId="2D1B7169" w14:textId="77777777" w:rsidTr="00A52B45">
        <w:trPr>
          <w:trHeight w:val="68"/>
          <w:jc w:val="center"/>
        </w:trPr>
        <w:tc>
          <w:tcPr>
            <w:tcW w:w="8782" w:type="dxa"/>
            <w:gridSpan w:val="2"/>
          </w:tcPr>
          <w:p w14:paraId="1D8DD3C9" w14:textId="086598E2" w:rsidR="00AA7D26" w:rsidRPr="00DB3646" w:rsidRDefault="00AA7D26" w:rsidP="00AA7D26">
            <w:pPr>
              <w:ind w:left="-107"/>
              <w:outlineLvl w:val="2"/>
              <w:rPr>
                <w:rFonts w:cs="Arial"/>
                <w:bCs/>
                <w:color w:val="000000"/>
                <w:sz w:val="14"/>
                <w:szCs w:val="14"/>
                <w:lang w:eastAsia="it-IT"/>
              </w:rPr>
            </w:pPr>
            <w:r w:rsidRPr="00DB3646">
              <w:rPr>
                <w:rFonts w:cs="Arial"/>
                <w:iCs/>
                <w:color w:val="333333"/>
                <w:sz w:val="14"/>
                <w:szCs w:val="14"/>
                <w:lang w:eastAsia="it-IT"/>
              </w:rPr>
              <w:t>Guest Editors:</w:t>
            </w:r>
            <w:r w:rsidRPr="00DB3646">
              <w:rPr>
                <w:rFonts w:cs="Arial"/>
                <w:color w:val="000000"/>
                <w:sz w:val="14"/>
                <w:szCs w:val="14"/>
                <w:shd w:val="clear" w:color="auto" w:fill="FFFFFF"/>
              </w:rPr>
              <w:t xml:space="preserve"> </w:t>
            </w:r>
          </w:p>
          <w:p w14:paraId="1B0F1814" w14:textId="57AA03EA" w:rsidR="000A03B2" w:rsidRPr="00DB3646" w:rsidRDefault="00AA7D26" w:rsidP="00AA7D26">
            <w:pPr>
              <w:tabs>
                <w:tab w:val="left" w:pos="-108"/>
              </w:tabs>
              <w:spacing w:line="140" w:lineRule="atLeast"/>
              <w:ind w:left="-107"/>
              <w:jc w:val="left"/>
              <w:rPr>
                <w:rFonts w:cs="Arial"/>
              </w:rPr>
            </w:pPr>
            <w:r w:rsidRPr="00DB3646">
              <w:rPr>
                <w:rFonts w:cs="Arial"/>
                <w:iCs/>
                <w:color w:val="333333"/>
                <w:sz w:val="14"/>
                <w:szCs w:val="14"/>
                <w:lang w:eastAsia="it-IT"/>
              </w:rPr>
              <w:t>Copyright © 202</w:t>
            </w:r>
            <w:r w:rsidR="00C24AF1" w:rsidRPr="00DB3646">
              <w:rPr>
                <w:rFonts w:cs="Arial"/>
                <w:iCs/>
                <w:color w:val="333333"/>
                <w:sz w:val="14"/>
                <w:szCs w:val="14"/>
                <w:lang w:eastAsia="it-IT"/>
              </w:rPr>
              <w:t>5</w:t>
            </w:r>
            <w:r w:rsidRPr="00DB3646">
              <w:rPr>
                <w:rFonts w:cs="Arial"/>
                <w:iCs/>
                <w:color w:val="333333"/>
                <w:sz w:val="14"/>
                <w:szCs w:val="14"/>
                <w:lang w:eastAsia="it-IT"/>
              </w:rPr>
              <w:t xml:space="preserve">, AIDIC Servizi </w:t>
            </w:r>
            <w:proofErr w:type="spellStart"/>
            <w:r w:rsidRPr="00DB3646">
              <w:rPr>
                <w:rFonts w:cs="Arial"/>
                <w:iCs/>
                <w:color w:val="333333"/>
                <w:sz w:val="14"/>
                <w:szCs w:val="14"/>
                <w:lang w:eastAsia="it-IT"/>
              </w:rPr>
              <w:t>S.r.l</w:t>
            </w:r>
            <w:proofErr w:type="spellEnd"/>
            <w:r w:rsidRPr="00DB3646">
              <w:rPr>
                <w:rFonts w:cs="Arial"/>
                <w:iCs/>
                <w:color w:val="333333"/>
                <w:sz w:val="14"/>
                <w:szCs w:val="14"/>
                <w:lang w:eastAsia="it-IT"/>
              </w:rPr>
              <w:t>.</w:t>
            </w:r>
            <w:r w:rsidRPr="00DB3646">
              <w:rPr>
                <w:rFonts w:cs="Arial"/>
                <w:iCs/>
                <w:color w:val="333333"/>
                <w:sz w:val="14"/>
                <w:szCs w:val="14"/>
                <w:lang w:eastAsia="it-IT"/>
              </w:rPr>
              <w:br/>
            </w:r>
            <w:r w:rsidRPr="00DB3646">
              <w:rPr>
                <w:rFonts w:cs="Arial"/>
                <w:b/>
                <w:iCs/>
                <w:color w:val="000000"/>
                <w:sz w:val="14"/>
                <w:szCs w:val="14"/>
                <w:lang w:eastAsia="it-IT"/>
              </w:rPr>
              <w:t>ISBN</w:t>
            </w:r>
            <w:r w:rsidRPr="00DB3646">
              <w:rPr>
                <w:rFonts w:cs="Arial"/>
                <w:iCs/>
                <w:color w:val="000000"/>
                <w:sz w:val="14"/>
                <w:szCs w:val="14"/>
                <w:lang w:eastAsia="it-IT"/>
              </w:rPr>
              <w:t xml:space="preserve"> </w:t>
            </w:r>
            <w:r w:rsidR="00D2582C" w:rsidRPr="00DB3646">
              <w:rPr>
                <w:rFonts w:cs="Arial"/>
                <w:sz w:val="14"/>
                <w:szCs w:val="14"/>
              </w:rPr>
              <w:t>979-12-81206-</w:t>
            </w:r>
            <w:r w:rsidR="00557E00" w:rsidRPr="00DB3646">
              <w:rPr>
                <w:rFonts w:cs="Arial"/>
                <w:sz w:val="14"/>
                <w:szCs w:val="14"/>
              </w:rPr>
              <w:t>XX</w:t>
            </w:r>
            <w:r w:rsidR="00D2582C" w:rsidRPr="00DB3646">
              <w:rPr>
                <w:rFonts w:cs="Arial"/>
                <w:sz w:val="14"/>
                <w:szCs w:val="14"/>
              </w:rPr>
              <w:t>-</w:t>
            </w:r>
            <w:r w:rsidR="00557E00" w:rsidRPr="00DB3646">
              <w:rPr>
                <w:rFonts w:cs="Arial"/>
                <w:sz w:val="14"/>
                <w:szCs w:val="14"/>
              </w:rPr>
              <w:t>X</w:t>
            </w:r>
            <w:r w:rsidRPr="00DB3646">
              <w:rPr>
                <w:rFonts w:cs="Arial"/>
                <w:iCs/>
                <w:color w:val="333333"/>
                <w:sz w:val="14"/>
                <w:szCs w:val="14"/>
                <w:lang w:eastAsia="it-IT"/>
              </w:rPr>
              <w:t xml:space="preserve">; </w:t>
            </w:r>
            <w:r w:rsidRPr="00DB3646">
              <w:rPr>
                <w:rFonts w:cs="Arial"/>
                <w:b/>
                <w:iCs/>
                <w:color w:val="333333"/>
                <w:sz w:val="14"/>
                <w:szCs w:val="14"/>
                <w:lang w:eastAsia="it-IT"/>
              </w:rPr>
              <w:t>ISSN</w:t>
            </w:r>
            <w:r w:rsidRPr="00DB3646">
              <w:rPr>
                <w:rFonts w:cs="Arial"/>
                <w:iCs/>
                <w:color w:val="333333"/>
                <w:sz w:val="14"/>
                <w:szCs w:val="14"/>
                <w:lang w:eastAsia="it-IT"/>
              </w:rPr>
              <w:t xml:space="preserve"> 2283-9216</w:t>
            </w:r>
          </w:p>
        </w:tc>
      </w:tr>
    </w:tbl>
    <w:p w14:paraId="2E667253" w14:textId="28BEE1F2" w:rsidR="00E978D0" w:rsidRPr="00DB3646" w:rsidRDefault="00A52B45" w:rsidP="00E978D0">
      <w:pPr>
        <w:pStyle w:val="CETTitle"/>
        <w:rPr>
          <w:rFonts w:cs="Arial"/>
          <w:sz w:val="24"/>
          <w:szCs w:val="16"/>
        </w:rPr>
      </w:pPr>
      <w:r w:rsidRPr="00DB3646">
        <w:rPr>
          <w:rFonts w:cs="Arial"/>
          <w:b/>
          <w:bCs/>
          <w:sz w:val="24"/>
          <w:szCs w:val="16"/>
        </w:rPr>
        <w:t xml:space="preserve">Organic Waste Recovery as a Circular Economy and Climate Change Mitigation Strategy in the Santa María </w:t>
      </w:r>
      <w:proofErr w:type="spellStart"/>
      <w:r w:rsidRPr="00DB3646">
        <w:rPr>
          <w:rFonts w:cs="Arial"/>
          <w:b/>
          <w:bCs/>
          <w:sz w:val="24"/>
          <w:szCs w:val="16"/>
        </w:rPr>
        <w:t>Recicla</w:t>
      </w:r>
      <w:proofErr w:type="spellEnd"/>
      <w:r w:rsidRPr="00DB3646">
        <w:rPr>
          <w:rFonts w:cs="Arial"/>
          <w:b/>
          <w:bCs/>
          <w:sz w:val="24"/>
          <w:szCs w:val="16"/>
        </w:rPr>
        <w:t xml:space="preserve"> Program, Santa María del Mar District (2023–2025)</w:t>
      </w:r>
    </w:p>
    <w:p w14:paraId="7B97EBE0" w14:textId="77777777" w:rsidR="00DB3646" w:rsidRDefault="00DB3646" w:rsidP="00A13524">
      <w:pPr>
        <w:pStyle w:val="CETAuthors"/>
        <w:spacing w:after="0"/>
        <w:rPr>
          <w:rFonts w:cs="Arial"/>
        </w:rPr>
      </w:pPr>
    </w:p>
    <w:p w14:paraId="1D944D35" w14:textId="33C73062" w:rsidR="00B013B0" w:rsidRPr="00DB3646" w:rsidRDefault="00B013B0" w:rsidP="00A13524">
      <w:pPr>
        <w:pStyle w:val="CETAuthors"/>
        <w:spacing w:after="0"/>
        <w:rPr>
          <w:rFonts w:cs="Arial"/>
          <w:vertAlign w:val="superscript"/>
        </w:rPr>
      </w:pPr>
      <w:r w:rsidRPr="00DB3646">
        <w:rPr>
          <w:rFonts w:cs="Arial"/>
        </w:rPr>
        <w:t>Gianmarco Jorge Mendoza Mogollón</w:t>
      </w:r>
      <w:r w:rsidRPr="00DB3646">
        <w:rPr>
          <w:rFonts w:cs="Arial"/>
          <w:vertAlign w:val="superscript"/>
        </w:rPr>
        <w:t>a</w:t>
      </w:r>
      <w:r w:rsidRPr="00DB3646">
        <w:rPr>
          <w:rFonts w:cs="Arial"/>
        </w:rPr>
        <w:t>, Jhoana J. Rivera Murillo</w:t>
      </w:r>
      <w:r w:rsidRPr="00DB3646">
        <w:rPr>
          <w:rFonts w:cs="Arial"/>
          <w:vertAlign w:val="superscript"/>
        </w:rPr>
        <w:t>b</w:t>
      </w:r>
      <w:r w:rsidRPr="00DB3646">
        <w:rPr>
          <w:rFonts w:cs="Arial"/>
        </w:rPr>
        <w:t>, Vanessa Johana</w:t>
      </w:r>
    </w:p>
    <w:p w14:paraId="3B6BAC4F" w14:textId="18CC19FE" w:rsidR="00B013B0" w:rsidRPr="00DB3646" w:rsidRDefault="00B013B0" w:rsidP="00A13524">
      <w:pPr>
        <w:pStyle w:val="CETAuthors"/>
        <w:spacing w:after="0"/>
        <w:rPr>
          <w:rFonts w:cs="Arial"/>
        </w:rPr>
      </w:pPr>
      <w:r w:rsidRPr="00DB3646">
        <w:rPr>
          <w:rFonts w:cs="Arial"/>
        </w:rPr>
        <w:t>Caldas Garnique</w:t>
      </w:r>
      <w:r w:rsidRPr="00DB3646">
        <w:rPr>
          <w:rFonts w:cs="Arial"/>
          <w:vertAlign w:val="superscript"/>
        </w:rPr>
        <w:t>a</w:t>
      </w:r>
      <w:r w:rsidRPr="00DB3646">
        <w:rPr>
          <w:rFonts w:cs="Arial"/>
        </w:rPr>
        <w:t>, Sixto Santiago Mendoza Vilca</w:t>
      </w:r>
      <w:r w:rsidRPr="00DB3646">
        <w:rPr>
          <w:rFonts w:cs="Arial"/>
          <w:vertAlign w:val="superscript"/>
        </w:rPr>
        <w:t>a</w:t>
      </w:r>
      <w:r w:rsidRPr="00DB3646">
        <w:rPr>
          <w:rFonts w:cs="Arial"/>
        </w:rPr>
        <w:t>, Zanhy Leonor Valencia Reyes</w:t>
      </w:r>
      <w:r w:rsidRPr="00DB3646">
        <w:rPr>
          <w:rFonts w:cs="Arial"/>
          <w:vertAlign w:val="superscript"/>
        </w:rPr>
        <w:t>c*</w:t>
      </w:r>
      <w:r w:rsidRPr="00DB3646">
        <w:rPr>
          <w:rFonts w:cs="Arial"/>
        </w:rPr>
        <w:t>,</w:t>
      </w:r>
    </w:p>
    <w:p w14:paraId="0488FED2" w14:textId="5769B5C8" w:rsidR="00B57E6F" w:rsidRDefault="00B013B0" w:rsidP="00A13524">
      <w:pPr>
        <w:pStyle w:val="CETAuthors"/>
        <w:spacing w:after="0"/>
        <w:rPr>
          <w:rFonts w:cs="Arial"/>
          <w:vertAlign w:val="superscript"/>
        </w:rPr>
      </w:pPr>
      <w:r w:rsidRPr="00DB3646">
        <w:rPr>
          <w:rFonts w:cs="Arial"/>
        </w:rPr>
        <w:t>Fiorella Vanessa Güere Salazar</w:t>
      </w:r>
      <w:r w:rsidRPr="00DB3646">
        <w:rPr>
          <w:rFonts w:cs="Arial"/>
          <w:vertAlign w:val="superscript"/>
        </w:rPr>
        <w:t>c</w:t>
      </w:r>
      <w:r w:rsidRPr="00DB3646">
        <w:rPr>
          <w:rFonts w:cs="Arial"/>
        </w:rPr>
        <w:t>, Alex Segundino Armas Blancas</w:t>
      </w:r>
      <w:r w:rsidRPr="00DB3646">
        <w:rPr>
          <w:rFonts w:cs="Arial"/>
          <w:vertAlign w:val="superscript"/>
        </w:rPr>
        <w:t>c</w:t>
      </w:r>
      <w:r w:rsidRPr="00DB3646">
        <w:rPr>
          <w:rFonts w:cs="Arial"/>
        </w:rPr>
        <w:t>, Elba Prieto</w:t>
      </w:r>
      <w:r w:rsidR="00A45686" w:rsidRPr="00DB3646">
        <w:rPr>
          <w:rFonts w:cs="Arial"/>
        </w:rPr>
        <w:t xml:space="preserve"> </w:t>
      </w:r>
      <w:r w:rsidRPr="00DB3646">
        <w:rPr>
          <w:rFonts w:cs="Arial"/>
        </w:rPr>
        <w:t>Rios</w:t>
      </w:r>
      <w:r w:rsidRPr="00DB3646">
        <w:rPr>
          <w:rFonts w:cs="Arial"/>
          <w:vertAlign w:val="superscript"/>
        </w:rPr>
        <w:t>c</w:t>
      </w:r>
      <w:r w:rsidRPr="00DB3646">
        <w:rPr>
          <w:rFonts w:cs="Arial"/>
        </w:rPr>
        <w:t>, William Cesar Santos Tello</w:t>
      </w:r>
      <w:r w:rsidRPr="00DB3646">
        <w:rPr>
          <w:rFonts w:cs="Arial"/>
          <w:vertAlign w:val="superscript"/>
        </w:rPr>
        <w:t>d</w:t>
      </w:r>
      <w:r w:rsidRPr="00DB3646">
        <w:rPr>
          <w:rFonts w:cs="Arial"/>
        </w:rPr>
        <w:t>, Giner Emerson Díaz Dávila</w:t>
      </w:r>
      <w:r w:rsidRPr="00DB3646">
        <w:rPr>
          <w:rFonts w:cs="Arial"/>
          <w:vertAlign w:val="superscript"/>
        </w:rPr>
        <w:t>e</w:t>
      </w:r>
    </w:p>
    <w:p w14:paraId="446A0ED1" w14:textId="77777777" w:rsidR="00DB3646" w:rsidRPr="00DB3646" w:rsidRDefault="00DB3646" w:rsidP="00A13524">
      <w:pPr>
        <w:pStyle w:val="CETAuthors"/>
        <w:spacing w:after="0"/>
        <w:rPr>
          <w:rFonts w:cs="Arial"/>
        </w:rPr>
      </w:pPr>
    </w:p>
    <w:p w14:paraId="6B2D21B3" w14:textId="2E56CC11" w:rsidR="00B57E6F" w:rsidRPr="00DB3646" w:rsidRDefault="00B57E6F" w:rsidP="00B57E6F">
      <w:pPr>
        <w:pStyle w:val="CETAddress"/>
        <w:rPr>
          <w:rFonts w:cs="Arial"/>
          <w:szCs w:val="16"/>
        </w:rPr>
      </w:pPr>
      <w:r w:rsidRPr="00DB3646">
        <w:rPr>
          <w:rFonts w:cs="Arial"/>
          <w:szCs w:val="16"/>
          <w:vertAlign w:val="superscript"/>
        </w:rPr>
        <w:t>a</w:t>
      </w:r>
      <w:r w:rsidR="00A45686" w:rsidRPr="00DB3646">
        <w:rPr>
          <w:rFonts w:cs="Arial"/>
          <w:noProof w:val="0"/>
          <w:szCs w:val="16"/>
        </w:rPr>
        <w:t xml:space="preserve"> </w:t>
      </w:r>
      <w:r w:rsidR="00A45686" w:rsidRPr="00DB3646">
        <w:rPr>
          <w:rFonts w:cs="Arial"/>
          <w:szCs w:val="16"/>
        </w:rPr>
        <w:t xml:space="preserve">Universidad Universidad César Vallejo, Alfredo Mendiola 6232, Los Olivos 15314, Lima, Perú </w:t>
      </w:r>
    </w:p>
    <w:p w14:paraId="30735A3C" w14:textId="77777777" w:rsidR="00A45686" w:rsidRPr="00DB3646" w:rsidRDefault="00B57E6F" w:rsidP="00B57E6F">
      <w:pPr>
        <w:pStyle w:val="CETAddress"/>
        <w:rPr>
          <w:rFonts w:cs="Arial"/>
          <w:szCs w:val="16"/>
          <w:lang w:val="es-PE"/>
        </w:rPr>
      </w:pPr>
      <w:r w:rsidRPr="00DB3646">
        <w:rPr>
          <w:rFonts w:cs="Arial"/>
          <w:szCs w:val="16"/>
          <w:vertAlign w:val="superscript"/>
          <w:lang w:val="es-PE"/>
        </w:rPr>
        <w:t>b</w:t>
      </w:r>
      <w:r w:rsidR="00A45686" w:rsidRPr="00DB3646">
        <w:rPr>
          <w:rFonts w:cs="Arial"/>
          <w:noProof w:val="0"/>
          <w:szCs w:val="16"/>
          <w:lang w:val="es-PE"/>
        </w:rPr>
        <w:t xml:space="preserve"> </w:t>
      </w:r>
      <w:r w:rsidR="00A45686" w:rsidRPr="00DB3646">
        <w:rPr>
          <w:rFonts w:cs="Arial"/>
          <w:szCs w:val="16"/>
          <w:lang w:val="es-PE"/>
        </w:rPr>
        <w:t>Universidad Nacional Federico Villareal, Prolongación Camaná N° 1014, Lima, Perú</w:t>
      </w:r>
    </w:p>
    <w:p w14:paraId="7DE900F0" w14:textId="77777777" w:rsidR="00CA540D" w:rsidRPr="00DB3646" w:rsidRDefault="00A45686" w:rsidP="00B57E6F">
      <w:pPr>
        <w:pStyle w:val="CETAddress"/>
        <w:rPr>
          <w:rFonts w:cs="Arial"/>
          <w:szCs w:val="16"/>
          <w:lang w:val="es-PE"/>
        </w:rPr>
      </w:pPr>
      <w:r w:rsidRPr="00DB3646">
        <w:rPr>
          <w:rFonts w:cs="Arial"/>
          <w:szCs w:val="16"/>
          <w:vertAlign w:val="superscript"/>
          <w:lang w:val="es-PE"/>
        </w:rPr>
        <w:t>c</w:t>
      </w:r>
      <w:r w:rsidRPr="00DB3646">
        <w:rPr>
          <w:rFonts w:cs="Arial"/>
          <w:szCs w:val="16"/>
          <w:lang w:val="es-PE"/>
        </w:rPr>
        <w:t xml:space="preserve"> </w:t>
      </w:r>
      <w:r w:rsidR="00CA540D" w:rsidRPr="00DB3646">
        <w:rPr>
          <w:rFonts w:cs="Arial"/>
          <w:szCs w:val="16"/>
          <w:lang w:val="es-PE"/>
        </w:rPr>
        <w:t xml:space="preserve">Universidad Nacional Mayor de San Marcos, Av. Universitaria cruce con Av. Venezuela cuadra 34, Lima, Perú </w:t>
      </w:r>
    </w:p>
    <w:p w14:paraId="07547428" w14:textId="77777777" w:rsidR="00CA540D" w:rsidRPr="00DB3646" w:rsidRDefault="00CA540D" w:rsidP="00B57E6F">
      <w:pPr>
        <w:pStyle w:val="CETAddress"/>
        <w:rPr>
          <w:rFonts w:cs="Arial"/>
          <w:szCs w:val="16"/>
          <w:lang w:val="es-PE"/>
        </w:rPr>
      </w:pPr>
      <w:r w:rsidRPr="00DB3646">
        <w:rPr>
          <w:rFonts w:cs="Arial"/>
          <w:szCs w:val="16"/>
          <w:vertAlign w:val="superscript"/>
          <w:lang w:val="es-PE"/>
        </w:rPr>
        <w:t>d</w:t>
      </w:r>
      <w:r w:rsidRPr="00DB3646">
        <w:rPr>
          <w:rFonts w:cs="Arial"/>
          <w:szCs w:val="16"/>
          <w:lang w:val="es-PE"/>
        </w:rPr>
        <w:t xml:space="preserve"> Universidad Continental, Av. Alfredo Mendiola 5210, Los Olivos 15306, Perú </w:t>
      </w:r>
    </w:p>
    <w:p w14:paraId="5B9BFA67" w14:textId="7338E184" w:rsidR="00CA540D" w:rsidRPr="00DB3646" w:rsidRDefault="00CA540D" w:rsidP="00B57E6F">
      <w:pPr>
        <w:pStyle w:val="CETAddress"/>
        <w:rPr>
          <w:rFonts w:cs="Arial"/>
          <w:szCs w:val="16"/>
          <w:lang w:val="es-PE"/>
        </w:rPr>
      </w:pPr>
      <w:r w:rsidRPr="00DB3646">
        <w:rPr>
          <w:rFonts w:cs="Arial"/>
          <w:szCs w:val="16"/>
          <w:vertAlign w:val="superscript"/>
          <w:lang w:val="es-PE"/>
        </w:rPr>
        <w:t>e</w:t>
      </w:r>
      <w:r w:rsidRPr="00DB3646">
        <w:rPr>
          <w:rFonts w:cs="Arial"/>
          <w:szCs w:val="16"/>
          <w:lang w:val="es-PE"/>
        </w:rPr>
        <w:t xml:space="preserve"> Universidad Pontificia de Cataluña, Av. Dr. </w:t>
      </w:r>
      <w:r w:rsidR="00DB3646">
        <w:rPr>
          <w:rFonts w:cs="Arial"/>
          <w:szCs w:val="16"/>
          <w:lang w:val="es-PE"/>
        </w:rPr>
        <w:t>M</w:t>
      </w:r>
      <w:r w:rsidRPr="00DB3646">
        <w:rPr>
          <w:rFonts w:cs="Arial"/>
          <w:szCs w:val="16"/>
          <w:lang w:val="es-PE"/>
        </w:rPr>
        <w:t>arañ</w:t>
      </w:r>
      <w:r w:rsidR="00DB3646">
        <w:rPr>
          <w:rFonts w:cs="Arial"/>
          <w:szCs w:val="16"/>
          <w:lang w:val="es-PE"/>
        </w:rPr>
        <w:t>ó</w:t>
      </w:r>
      <w:r w:rsidRPr="00DB3646">
        <w:rPr>
          <w:rFonts w:cs="Arial"/>
          <w:szCs w:val="16"/>
          <w:lang w:val="es-PE"/>
        </w:rPr>
        <w:t xml:space="preserve">n 44-50, Les Corts – Barcelona, España </w:t>
      </w:r>
    </w:p>
    <w:p w14:paraId="3D72B0B0" w14:textId="4DF8C4A0" w:rsidR="00B57E6F" w:rsidRPr="00DB3646" w:rsidRDefault="00CA540D" w:rsidP="00B57E6F">
      <w:pPr>
        <w:pStyle w:val="CETAddress"/>
        <w:rPr>
          <w:rFonts w:cs="Arial"/>
          <w:szCs w:val="16"/>
          <w:lang w:val="en-CA"/>
        </w:rPr>
      </w:pPr>
      <w:r w:rsidRPr="00DB3646">
        <w:rPr>
          <w:rFonts w:cs="Arial"/>
          <w:szCs w:val="16"/>
          <w:lang w:val="en-CA"/>
        </w:rPr>
        <w:t>*corresponding: zvalenciar@unmsm.edu.pe</w:t>
      </w:r>
      <w:r w:rsidR="00B57E6F" w:rsidRPr="00DB3646">
        <w:rPr>
          <w:rFonts w:cs="Arial"/>
          <w:szCs w:val="16"/>
          <w:lang w:val="en-CA"/>
        </w:rPr>
        <w:t xml:space="preserve"> </w:t>
      </w:r>
    </w:p>
    <w:p w14:paraId="01C0D25D" w14:textId="77777777" w:rsidR="0014185D" w:rsidRDefault="0014185D" w:rsidP="00EF19FA">
      <w:pPr>
        <w:pStyle w:val="CETBodytext"/>
        <w:rPr>
          <w:rFonts w:cs="Arial"/>
          <w:lang w:val="en-GB"/>
        </w:rPr>
      </w:pPr>
    </w:p>
    <w:p w14:paraId="4AEC3CB3" w14:textId="64C20182" w:rsidR="00EF19FA" w:rsidRPr="00DB3646" w:rsidRDefault="00EF19FA" w:rsidP="00EF19FA">
      <w:pPr>
        <w:pStyle w:val="CETBodytext"/>
        <w:rPr>
          <w:rFonts w:cs="Arial"/>
          <w:lang w:val="en-GB"/>
        </w:rPr>
      </w:pPr>
      <w:r w:rsidRPr="00DB3646">
        <w:rPr>
          <w:rFonts w:cs="Arial"/>
          <w:lang w:val="en-GB"/>
        </w:rPr>
        <w:t xml:space="preserve">This research </w:t>
      </w:r>
      <w:proofErr w:type="spellStart"/>
      <w:r w:rsidRPr="00DB3646">
        <w:rPr>
          <w:rFonts w:cs="Arial"/>
          <w:lang w:val="en-GB"/>
        </w:rPr>
        <w:t>analyzes</w:t>
      </w:r>
      <w:proofErr w:type="spellEnd"/>
      <w:r w:rsidRPr="00DB3646">
        <w:rPr>
          <w:rFonts w:cs="Arial"/>
          <w:lang w:val="en-GB"/>
        </w:rPr>
        <w:t xml:space="preserve"> the </w:t>
      </w:r>
      <w:proofErr w:type="spellStart"/>
      <w:r w:rsidRPr="00DB3646">
        <w:rPr>
          <w:rFonts w:cs="Arial"/>
          <w:lang w:val="en-GB"/>
        </w:rPr>
        <w:t>valorization</w:t>
      </w:r>
      <w:proofErr w:type="spellEnd"/>
      <w:r w:rsidRPr="00DB3646">
        <w:rPr>
          <w:rFonts w:cs="Arial"/>
          <w:lang w:val="en-GB"/>
        </w:rPr>
        <w:t xml:space="preserve"> of organic waste developed within the framework of the Santa María </w:t>
      </w:r>
      <w:proofErr w:type="spellStart"/>
      <w:r w:rsidRPr="00DB3646">
        <w:rPr>
          <w:rFonts w:cs="Arial"/>
          <w:lang w:val="en-GB"/>
        </w:rPr>
        <w:t>Recicla</w:t>
      </w:r>
      <w:proofErr w:type="spellEnd"/>
      <w:r w:rsidRPr="00DB3646">
        <w:rPr>
          <w:rFonts w:cs="Arial"/>
          <w:lang w:val="en-GB"/>
        </w:rPr>
        <w:t xml:space="preserve"> municipal program during the period 2023–2025, from the perspective of the circular economy applied to local solid waste management. The study examines the evolution of the tonnage </w:t>
      </w:r>
      <w:proofErr w:type="spellStart"/>
      <w:r w:rsidRPr="00DB3646">
        <w:rPr>
          <w:rFonts w:cs="Arial"/>
          <w:lang w:val="en-GB"/>
        </w:rPr>
        <w:t>valorized</w:t>
      </w:r>
      <w:proofErr w:type="spellEnd"/>
      <w:r w:rsidRPr="00DB3646">
        <w:rPr>
          <w:rFonts w:cs="Arial"/>
          <w:lang w:val="en-GB"/>
        </w:rPr>
        <w:t xml:space="preserve"> based on consolidated monthly records and estimates the potential reduction in greenhouse gas emissions resulting from diverting biodegradable waste to composting processes. The results demonstrate that transforming organic waste into compost not only reduces pressure on landfills and methane emissions, but also allows for the closing of nutrient cycles through its reincorporation into green areas and public spaces in the district.</w:t>
      </w:r>
    </w:p>
    <w:p w14:paraId="63E169BB" w14:textId="77777777" w:rsidR="00EF19FA" w:rsidRPr="00DB3646" w:rsidRDefault="00EF19FA" w:rsidP="00EF19FA">
      <w:pPr>
        <w:pStyle w:val="CETBodytext"/>
        <w:rPr>
          <w:rFonts w:cs="Arial"/>
          <w:lang w:val="en-GB"/>
        </w:rPr>
      </w:pPr>
    </w:p>
    <w:p w14:paraId="2AF0B085" w14:textId="59A20871" w:rsidR="00EF19FA" w:rsidRPr="00DB3646" w:rsidRDefault="00EF19FA" w:rsidP="00EF19FA">
      <w:pPr>
        <w:pStyle w:val="CETBodytext"/>
        <w:rPr>
          <w:rFonts w:cs="Arial"/>
          <w:lang w:val="en-GB"/>
        </w:rPr>
      </w:pPr>
      <w:r w:rsidRPr="00DB3646">
        <w:rPr>
          <w:rFonts w:cs="Arial"/>
          <w:lang w:val="en-GB"/>
        </w:rPr>
        <w:t xml:space="preserve">Under this approach, the program is configured as an operational model of a circular economy at the municipal level, converting waste into useful resources, promoting citizen participation, and optimizing the use of materials within the territory. Furthermore, the research highlights the importance of having reliable monitoring systems and quantitative data to assess environmental impacts and strengthen decision-making in local public policies. Overall, the experience shows that the </w:t>
      </w:r>
      <w:proofErr w:type="spellStart"/>
      <w:r w:rsidRPr="00DB3646">
        <w:rPr>
          <w:rFonts w:cs="Arial"/>
          <w:lang w:val="en-GB"/>
        </w:rPr>
        <w:t>valorization</w:t>
      </w:r>
      <w:proofErr w:type="spellEnd"/>
      <w:r w:rsidRPr="00DB3646">
        <w:rPr>
          <w:rFonts w:cs="Arial"/>
          <w:lang w:val="en-GB"/>
        </w:rPr>
        <w:t xml:space="preserve"> of organic waste can be consolidated as a strategic axis for urban sustainability, climate change mitigation and the replicability of good practices in other local governments.</w:t>
      </w:r>
    </w:p>
    <w:p w14:paraId="476B2F2E" w14:textId="45524E6D" w:rsidR="00600535" w:rsidRPr="00DB3646" w:rsidRDefault="00600535" w:rsidP="000F711D">
      <w:pPr>
        <w:pStyle w:val="CETHeading1"/>
        <w:numPr>
          <w:ilvl w:val="0"/>
          <w:numId w:val="23"/>
        </w:numPr>
        <w:rPr>
          <w:rFonts w:cs="Arial"/>
          <w:b w:val="0"/>
          <w:sz w:val="18"/>
          <w:lang w:val="en-GB"/>
        </w:rPr>
      </w:pPr>
      <w:r w:rsidRPr="00DB3646">
        <w:rPr>
          <w:rFonts w:cs="Arial"/>
          <w:lang w:val="en-GB"/>
        </w:rPr>
        <w:t>Introduction</w:t>
      </w:r>
    </w:p>
    <w:p w14:paraId="1925CB55" w14:textId="0C7DB4B0" w:rsidR="00C81497" w:rsidRDefault="00F8718D" w:rsidP="00C81497">
      <w:pPr>
        <w:pStyle w:val="CETBodytext"/>
        <w:rPr>
          <w:rFonts w:cs="Arial"/>
          <w:lang w:val="en-CA"/>
        </w:rPr>
      </w:pPr>
      <w:r w:rsidRPr="00F8718D">
        <w:rPr>
          <w:rFonts w:cs="Arial"/>
          <w:lang w:val="en-CA"/>
        </w:rPr>
        <w:t>Municipal solid waste management has become one of the main environmental and administrative challenges for local governments in the context of population growth, urban sprawl, and changing consumption patterns. Within this framework, organic waste represents a significant fraction of the total waste generated in urban environments, and its improper disposal in landfills directly contributes to greenhouse gas emissions, particularly methane (CH</w:t>
      </w:r>
      <w:r w:rsidRPr="00F8718D">
        <w:rPr>
          <w:rFonts w:ascii="Cambria Math" w:hAnsi="Cambria Math" w:cs="Cambria Math"/>
          <w:lang w:val="en-CA"/>
        </w:rPr>
        <w:t>₄</w:t>
      </w:r>
      <w:r w:rsidRPr="00F8718D">
        <w:rPr>
          <w:rFonts w:cs="Arial"/>
          <w:lang w:val="en-CA"/>
        </w:rPr>
        <w:t>), whose global warming potential far exceeds that of carbon dioxide (CO</w:t>
      </w:r>
      <w:r w:rsidRPr="00F8718D">
        <w:rPr>
          <w:rFonts w:ascii="Cambria Math" w:hAnsi="Cambria Math" w:cs="Cambria Math"/>
          <w:lang w:val="en-CA"/>
        </w:rPr>
        <w:t>₂</w:t>
      </w:r>
      <w:r w:rsidRPr="00F8718D">
        <w:rPr>
          <w:rFonts w:cs="Arial"/>
          <w:lang w:val="en-CA"/>
        </w:rPr>
        <w:t>). Various international organizations have indicated that the proper management of the organic fraction is a priority measure for reducing environmental impacts and moving towards more sustainable urban systems (Intergovernmental Panel on Climate Change [IPCC], 2019; United Nations Environment Programme [UNEP], 2022).</w:t>
      </w:r>
    </w:p>
    <w:p w14:paraId="2FDBF67B" w14:textId="77777777" w:rsidR="00F8718D" w:rsidRPr="00DB3646" w:rsidRDefault="00F8718D" w:rsidP="00C81497">
      <w:pPr>
        <w:pStyle w:val="CETBodytext"/>
        <w:rPr>
          <w:rFonts w:cs="Arial"/>
          <w:lang w:val="en-CA"/>
        </w:rPr>
      </w:pPr>
    </w:p>
    <w:p w14:paraId="54B185A9" w14:textId="3354C7A3" w:rsidR="00C81497" w:rsidRDefault="00DD18F9" w:rsidP="00C81497">
      <w:pPr>
        <w:pStyle w:val="CETBodytext"/>
        <w:rPr>
          <w:rFonts w:cs="Arial"/>
          <w:lang w:val="en-CA"/>
        </w:rPr>
      </w:pPr>
      <w:r w:rsidRPr="00DD18F9">
        <w:rPr>
          <w:rFonts w:cs="Arial"/>
          <w:lang w:val="en-CA"/>
        </w:rPr>
        <w:t xml:space="preserve">In this context, the valorization of organic waste through composting emerges as a technically and environmentally efficient alternative. Composting transforms biodegradable waste into a useful product for soil restoration, the maintenance of green spaces, and the development of urban gardens, promoting the closure of nutrient cycles and reducing dependence on synthetic fertilizers. Furthermore, by preventing anaerobic </w:t>
      </w:r>
      <w:r w:rsidRPr="00DD18F9">
        <w:rPr>
          <w:rFonts w:cs="Arial"/>
          <w:lang w:val="en-CA"/>
        </w:rPr>
        <w:lastRenderedPageBreak/>
        <w:t>decomposition in landfills, this practice significantly contributes to mitigating greenhouse gas emissions, potentially reducing them compared to traditional disposal methods (Wong, 2017).</w:t>
      </w:r>
    </w:p>
    <w:p w14:paraId="5EA1A91E" w14:textId="77777777" w:rsidR="00DD18F9" w:rsidRPr="00DB3646" w:rsidRDefault="00DD18F9" w:rsidP="00C81497">
      <w:pPr>
        <w:pStyle w:val="CETBodytext"/>
        <w:rPr>
          <w:rFonts w:cs="Arial"/>
          <w:lang w:val="en-CA"/>
        </w:rPr>
      </w:pPr>
    </w:p>
    <w:p w14:paraId="6DC1439F" w14:textId="1CC897A5" w:rsidR="00C81497" w:rsidRDefault="00DD18F9" w:rsidP="00C81497">
      <w:pPr>
        <w:pStyle w:val="CETBodytext"/>
        <w:rPr>
          <w:rFonts w:cs="Arial"/>
          <w:lang w:val="en-CA"/>
        </w:rPr>
      </w:pPr>
      <w:r w:rsidRPr="00DD18F9">
        <w:rPr>
          <w:rFonts w:cs="Arial"/>
          <w:lang w:val="en-CA"/>
        </w:rPr>
        <w:t>Furthermore, composting is recognized as one of the most applicable technologies for the valorization of organic waste, as it allows its transformation into value-added products, such as biofertilizers, contributing to the efficient use of resources and the reduction of environmental impacts (Lim et al., 2017). Recent studies also highlight that, under appropriate segregation and treatment conditions, composting can achieve significant reductions in the carbon footprint, establishing itself as a key alternative within strategies for transitioning to circular economy systems (</w:t>
      </w:r>
      <w:proofErr w:type="spellStart"/>
      <w:r w:rsidRPr="00DD18F9">
        <w:rPr>
          <w:rFonts w:cs="Arial"/>
          <w:lang w:val="en-CA"/>
        </w:rPr>
        <w:t>Klemeš</w:t>
      </w:r>
      <w:proofErr w:type="spellEnd"/>
      <w:r w:rsidRPr="00DD18F9">
        <w:rPr>
          <w:rFonts w:cs="Arial"/>
          <w:lang w:val="en-CA"/>
        </w:rPr>
        <w:t xml:space="preserve"> et al., 2020).</w:t>
      </w:r>
    </w:p>
    <w:p w14:paraId="639197DD" w14:textId="77777777" w:rsidR="00DD18F9" w:rsidRPr="00DB3646" w:rsidRDefault="00DD18F9" w:rsidP="00C81497">
      <w:pPr>
        <w:pStyle w:val="CETBodytext"/>
        <w:rPr>
          <w:rFonts w:cs="Arial"/>
          <w:lang w:val="en-CA"/>
        </w:rPr>
      </w:pPr>
    </w:p>
    <w:p w14:paraId="7EFA798B" w14:textId="77777777" w:rsidR="00DD18F9" w:rsidRPr="00DD18F9" w:rsidRDefault="00DD18F9" w:rsidP="00DD18F9">
      <w:pPr>
        <w:pStyle w:val="CETBodytext"/>
        <w:rPr>
          <w:rFonts w:cs="Arial"/>
          <w:lang w:val="en-CA"/>
        </w:rPr>
      </w:pPr>
      <w:r w:rsidRPr="00DD18F9">
        <w:rPr>
          <w:rFonts w:cs="Arial"/>
          <w:lang w:val="en-CA"/>
        </w:rPr>
        <w:t>From a local public management perspective, implementing organic waste segregation and valorization programs requires not only adequate infrastructure but also sustained environmental education processes, citizen participation, and monitoring systems based on quantitative evidence. Specialized literature highlights that the continuity and effectiveness of these initiatives depend on collaboration between municipal authorities, community stakeholders, and periodic evaluation mechanisms that allow for measuring results and adjusting strategies (Inter-American Development Bank [IDB], 2020).</w:t>
      </w:r>
    </w:p>
    <w:p w14:paraId="6A15B4A4" w14:textId="77777777" w:rsidR="00DD18F9" w:rsidRPr="00DD18F9" w:rsidRDefault="00DD18F9" w:rsidP="00DD18F9">
      <w:pPr>
        <w:pStyle w:val="CETBodytext"/>
        <w:rPr>
          <w:rFonts w:cs="Arial"/>
          <w:lang w:val="en-CA"/>
        </w:rPr>
      </w:pPr>
    </w:p>
    <w:p w14:paraId="13805D89" w14:textId="5DBFEE30" w:rsidR="00C81497" w:rsidRDefault="00DD18F9" w:rsidP="00DD18F9">
      <w:pPr>
        <w:pStyle w:val="CETBodytext"/>
        <w:rPr>
          <w:rFonts w:cs="Arial"/>
          <w:lang w:val="en-CA"/>
        </w:rPr>
      </w:pPr>
      <w:r w:rsidRPr="00DD18F9">
        <w:rPr>
          <w:rFonts w:cs="Arial"/>
          <w:lang w:val="en-CA"/>
        </w:rPr>
        <w:t>In Peru, the environmental regulatory framework promotes waste valorization as part of integrated solid waste management, emphasizing the need to strengthen local capacities and foster shared responsibility between citizens and authorities (Ministry of the Environment [MINAM], 2021).</w:t>
      </w:r>
    </w:p>
    <w:p w14:paraId="4E7FCEE6" w14:textId="77777777" w:rsidR="00DD18F9" w:rsidRPr="00DB3646" w:rsidRDefault="00DD18F9" w:rsidP="00DD18F9">
      <w:pPr>
        <w:pStyle w:val="CETBodytext"/>
        <w:rPr>
          <w:rFonts w:cs="Arial"/>
          <w:lang w:val="en-CA"/>
        </w:rPr>
      </w:pPr>
    </w:p>
    <w:p w14:paraId="7B2A3B03" w14:textId="3E9101A0" w:rsidR="00B22C0E" w:rsidRPr="00DB3646" w:rsidRDefault="00C81497" w:rsidP="00C81497">
      <w:pPr>
        <w:pStyle w:val="CETBodytext"/>
        <w:rPr>
          <w:rFonts w:cs="Arial"/>
          <w:lang w:val="en-CA"/>
        </w:rPr>
      </w:pPr>
      <w:r w:rsidRPr="00DB3646">
        <w:rPr>
          <w:rFonts w:cs="Arial"/>
          <w:lang w:val="en-CA"/>
        </w:rPr>
        <w:t xml:space="preserve">This research aims to evaluate the evolution of organic waste valorization within the framework of the Santa María </w:t>
      </w:r>
      <w:proofErr w:type="spellStart"/>
      <w:r w:rsidRPr="00DB3646">
        <w:rPr>
          <w:rFonts w:cs="Arial"/>
          <w:lang w:val="en-CA"/>
        </w:rPr>
        <w:t>Recicla</w:t>
      </w:r>
      <w:proofErr w:type="spellEnd"/>
      <w:r w:rsidRPr="00DB3646">
        <w:rPr>
          <w:rFonts w:cs="Arial"/>
          <w:lang w:val="en-CA"/>
        </w:rPr>
        <w:t xml:space="preserve"> program during the period 2023–2025, based on the analysis of consolidated monthly records and the estimation of the potential greenhouse gas emission reduction associated with diverting waste to composting processes. It also examines the program's contribution to consolidating a local circular economy model, providing technical evidence that contributes to strengthening environmental public policies and replicating best practices in other urban contexts.</w:t>
      </w:r>
    </w:p>
    <w:p w14:paraId="294F7B36" w14:textId="77777777" w:rsidR="00C81497" w:rsidRPr="00DB3646" w:rsidRDefault="00C81497" w:rsidP="00C81497">
      <w:pPr>
        <w:pStyle w:val="CETBodytext"/>
        <w:rPr>
          <w:rFonts w:cs="Arial"/>
        </w:rPr>
      </w:pPr>
    </w:p>
    <w:p w14:paraId="5254BBB4" w14:textId="20CAE15C" w:rsidR="000F711D" w:rsidRPr="0014185D" w:rsidRDefault="000F711D" w:rsidP="000F711D">
      <w:pPr>
        <w:pStyle w:val="CETBodytext"/>
        <w:numPr>
          <w:ilvl w:val="0"/>
          <w:numId w:val="23"/>
        </w:numPr>
        <w:rPr>
          <w:rFonts w:cs="Arial"/>
          <w:b/>
          <w:bCs/>
          <w:lang w:val="en-GB"/>
        </w:rPr>
      </w:pPr>
      <w:r w:rsidRPr="0014185D">
        <w:rPr>
          <w:rFonts w:cs="Arial"/>
          <w:b/>
          <w:bCs/>
          <w:lang w:val="en-GB"/>
        </w:rPr>
        <w:t>Methodology</w:t>
      </w:r>
    </w:p>
    <w:p w14:paraId="3AEF2E19" w14:textId="77777777" w:rsidR="000F711D" w:rsidRPr="00DB3646" w:rsidRDefault="000F711D" w:rsidP="000F711D">
      <w:pPr>
        <w:pStyle w:val="CETBodytext"/>
        <w:rPr>
          <w:rFonts w:cs="Arial"/>
          <w:lang w:val="en-GB"/>
        </w:rPr>
      </w:pPr>
    </w:p>
    <w:p w14:paraId="3822C4C0" w14:textId="542D965D" w:rsidR="00DE05D3" w:rsidRPr="00DB3646" w:rsidRDefault="00DE05D3" w:rsidP="00DE05D3">
      <w:pPr>
        <w:pStyle w:val="CETBodytext"/>
        <w:rPr>
          <w:rFonts w:cs="Arial"/>
          <w:b/>
          <w:bCs/>
          <w:lang w:val="en-CA"/>
        </w:rPr>
      </w:pPr>
      <w:r w:rsidRPr="00DB3646">
        <w:rPr>
          <w:rFonts w:cs="Arial"/>
          <w:b/>
          <w:bCs/>
          <w:lang w:val="en-CA"/>
        </w:rPr>
        <w:t>2.1 Methodological Approach</w:t>
      </w:r>
    </w:p>
    <w:p w14:paraId="39D560D3" w14:textId="5DF4887F" w:rsidR="00C81497" w:rsidRPr="00DB3646" w:rsidRDefault="00C81497" w:rsidP="00C81497">
      <w:pPr>
        <w:pStyle w:val="CETBodytext"/>
        <w:rPr>
          <w:rFonts w:cs="Arial"/>
          <w:lang w:val="en-CA"/>
        </w:rPr>
      </w:pPr>
      <w:r w:rsidRPr="00DB3646">
        <w:rPr>
          <w:rFonts w:cs="Arial"/>
          <w:lang w:val="en-CA"/>
        </w:rPr>
        <w:t>The research was conducted using a quantitative approach, focused on the numerical analysis of operational data related to organic waste valorization. This approach allows for measuring trends, comparing periods, and estimating environmental impacts using verifiable indicators. Furthermore, the study has a descriptive-analytical scope, as it not only characterizes the volumes valorized but also interprets their potential contribution to mitigating greenhouse gas (GHG) emissions and strengthening the local circular economy (Hernández-Sampieri &amp; Mendoza, 2018).</w:t>
      </w:r>
    </w:p>
    <w:p w14:paraId="1721D818" w14:textId="77777777" w:rsidR="00DE05D3" w:rsidRPr="00DB3646" w:rsidRDefault="00DE05D3" w:rsidP="00DE05D3">
      <w:pPr>
        <w:pStyle w:val="CETBodytext"/>
        <w:rPr>
          <w:rFonts w:cs="Arial"/>
          <w:lang w:val="en-CA"/>
        </w:rPr>
      </w:pPr>
    </w:p>
    <w:p w14:paraId="1F9FE7C1" w14:textId="344E4559" w:rsidR="00DE05D3" w:rsidRPr="00DB3646" w:rsidRDefault="00DE05D3" w:rsidP="00DE05D3">
      <w:pPr>
        <w:pStyle w:val="CETBodytext"/>
        <w:rPr>
          <w:rFonts w:cs="Arial"/>
          <w:b/>
          <w:bCs/>
          <w:lang w:val="en-CA"/>
        </w:rPr>
      </w:pPr>
      <w:r w:rsidRPr="00DB3646">
        <w:rPr>
          <w:rFonts w:cs="Arial"/>
          <w:b/>
          <w:bCs/>
          <w:lang w:val="en-CA"/>
        </w:rPr>
        <w:t xml:space="preserve">2.2 </w:t>
      </w:r>
      <w:r w:rsidR="009D7D05" w:rsidRPr="00DB3646">
        <w:rPr>
          <w:rFonts w:cs="Arial"/>
          <w:b/>
          <w:bCs/>
          <w:lang w:val="en-CA"/>
        </w:rPr>
        <w:t>Type and Design of Research</w:t>
      </w:r>
    </w:p>
    <w:p w14:paraId="49B542B4" w14:textId="77777777" w:rsidR="009D7D05" w:rsidRPr="00DB3646" w:rsidRDefault="009D7D05" w:rsidP="009D7D05">
      <w:pPr>
        <w:pStyle w:val="CETBodytext"/>
        <w:rPr>
          <w:rFonts w:cs="Arial"/>
          <w:lang w:val="en-CA"/>
        </w:rPr>
      </w:pPr>
      <w:r w:rsidRPr="00DB3646">
        <w:rPr>
          <w:rFonts w:cs="Arial"/>
          <w:lang w:val="en-CA"/>
        </w:rPr>
        <w:t>This study is applied research, as it focuses on evaluating a specific municipal program for the purpose of improving public management and generating technical evidence.</w:t>
      </w:r>
    </w:p>
    <w:p w14:paraId="49CCBE9E" w14:textId="77777777" w:rsidR="009D7D05" w:rsidRPr="00DB3646" w:rsidRDefault="009D7D05" w:rsidP="009D7D05">
      <w:pPr>
        <w:pStyle w:val="CETBodytext"/>
        <w:rPr>
          <w:rFonts w:cs="Arial"/>
          <w:lang w:val="en-CA"/>
        </w:rPr>
      </w:pPr>
    </w:p>
    <w:p w14:paraId="4EB99B53" w14:textId="77777777" w:rsidR="009D7D05" w:rsidRPr="00DB3646" w:rsidRDefault="009D7D05" w:rsidP="009D7D05">
      <w:pPr>
        <w:pStyle w:val="CETBodytext"/>
        <w:numPr>
          <w:ilvl w:val="0"/>
          <w:numId w:val="34"/>
        </w:numPr>
        <w:rPr>
          <w:rFonts w:cs="Arial"/>
          <w:lang w:val="en-CA"/>
        </w:rPr>
      </w:pPr>
      <w:r w:rsidRPr="00DB3646">
        <w:rPr>
          <w:rFonts w:cs="Arial"/>
          <w:lang w:val="en-CA"/>
        </w:rPr>
        <w:t>The design is non-experimental – retrospective longitudinal, since:</w:t>
      </w:r>
    </w:p>
    <w:p w14:paraId="30033E37" w14:textId="77777777" w:rsidR="009D7D05" w:rsidRPr="00DB3646" w:rsidRDefault="009D7D05" w:rsidP="009D7D05">
      <w:pPr>
        <w:pStyle w:val="CETBodytext"/>
        <w:numPr>
          <w:ilvl w:val="0"/>
          <w:numId w:val="34"/>
        </w:numPr>
        <w:rPr>
          <w:rFonts w:cs="Arial"/>
          <w:lang w:val="en-CA"/>
        </w:rPr>
      </w:pPr>
      <w:r w:rsidRPr="00DB3646">
        <w:rPr>
          <w:rFonts w:cs="Arial"/>
          <w:lang w:val="en-CA"/>
        </w:rPr>
        <w:t>Independent variables were not manipulated.</w:t>
      </w:r>
    </w:p>
    <w:p w14:paraId="69E251DE" w14:textId="77777777" w:rsidR="009D7D05" w:rsidRPr="00DB3646" w:rsidRDefault="009D7D05" w:rsidP="009D7D05">
      <w:pPr>
        <w:pStyle w:val="CETBodytext"/>
        <w:numPr>
          <w:ilvl w:val="0"/>
          <w:numId w:val="34"/>
        </w:numPr>
        <w:rPr>
          <w:rFonts w:cs="Arial"/>
          <w:lang w:val="en-CA"/>
        </w:rPr>
      </w:pPr>
      <w:r w:rsidRPr="00DB3646">
        <w:rPr>
          <w:rFonts w:cs="Arial"/>
          <w:lang w:val="en-CA"/>
        </w:rPr>
        <w:t>Previously recorded historical data were analyzed.</w:t>
      </w:r>
    </w:p>
    <w:p w14:paraId="7EA1803D" w14:textId="77777777" w:rsidR="009D7D05" w:rsidRPr="00DB3646" w:rsidRDefault="009D7D05" w:rsidP="009D7D05">
      <w:pPr>
        <w:pStyle w:val="CETBodytext"/>
        <w:numPr>
          <w:ilvl w:val="0"/>
          <w:numId w:val="34"/>
        </w:numPr>
        <w:rPr>
          <w:rFonts w:cs="Arial"/>
          <w:lang w:val="en-CA"/>
        </w:rPr>
      </w:pPr>
      <w:r w:rsidRPr="00DB3646">
        <w:rPr>
          <w:rFonts w:cs="Arial"/>
          <w:lang w:val="en-CA"/>
        </w:rPr>
        <w:t>The temporal evolution was evaluated over a three-year period (2023–2025).</w:t>
      </w:r>
    </w:p>
    <w:p w14:paraId="14C193F5" w14:textId="77777777" w:rsidR="009D7D05" w:rsidRPr="00DB3646" w:rsidRDefault="009D7D05" w:rsidP="009D7D05">
      <w:pPr>
        <w:pStyle w:val="CETBodytext"/>
        <w:rPr>
          <w:rFonts w:cs="Arial"/>
          <w:lang w:val="en-CA"/>
        </w:rPr>
      </w:pPr>
    </w:p>
    <w:p w14:paraId="3BFF072D" w14:textId="6155D1C7" w:rsidR="009D7D05" w:rsidRPr="00DB3646" w:rsidRDefault="009D7D05" w:rsidP="009D7D05">
      <w:pPr>
        <w:pStyle w:val="CETBodytext"/>
        <w:rPr>
          <w:rFonts w:cs="Arial"/>
          <w:lang w:val="en-CA"/>
        </w:rPr>
      </w:pPr>
      <w:r w:rsidRPr="00DB3646">
        <w:rPr>
          <w:rFonts w:cs="Arial"/>
          <w:lang w:val="en-CA"/>
        </w:rPr>
        <w:t>This type of design is suitable for environmental management studies based on administrative records, where the main objective is to observe behaviors and trends over time without direct intervention from the researcher (Creswell, 2014).</w:t>
      </w:r>
    </w:p>
    <w:p w14:paraId="284F2711" w14:textId="77777777" w:rsidR="00DE05D3" w:rsidRPr="00DB3646" w:rsidRDefault="00DE05D3" w:rsidP="00DE05D3">
      <w:pPr>
        <w:pStyle w:val="CETBodytext"/>
        <w:rPr>
          <w:rFonts w:cs="Arial"/>
          <w:lang w:val="en-CA"/>
        </w:rPr>
      </w:pPr>
    </w:p>
    <w:p w14:paraId="746D1EE5" w14:textId="77777777" w:rsidR="0069730A" w:rsidRPr="00DB3646" w:rsidRDefault="0069730A" w:rsidP="00DE05D3">
      <w:pPr>
        <w:pStyle w:val="CETBodytext"/>
        <w:rPr>
          <w:rFonts w:cs="Arial"/>
          <w:lang w:val="en-CA"/>
        </w:rPr>
      </w:pPr>
    </w:p>
    <w:p w14:paraId="5CB1C906" w14:textId="77777777" w:rsidR="0069730A" w:rsidRPr="00DB3646" w:rsidRDefault="0069730A" w:rsidP="00DE05D3">
      <w:pPr>
        <w:pStyle w:val="CETBodytext"/>
        <w:rPr>
          <w:rFonts w:cs="Arial"/>
          <w:lang w:val="en-CA"/>
        </w:rPr>
      </w:pPr>
    </w:p>
    <w:p w14:paraId="320C6EA9" w14:textId="48088555" w:rsidR="004C547C" w:rsidRPr="00DB3646" w:rsidRDefault="00DE05D3" w:rsidP="004C547C">
      <w:pPr>
        <w:pStyle w:val="CETBodytext"/>
        <w:rPr>
          <w:rFonts w:cs="Arial"/>
          <w:b/>
          <w:bCs/>
          <w:lang w:val="en-CA"/>
        </w:rPr>
      </w:pPr>
      <w:r w:rsidRPr="00DB3646">
        <w:rPr>
          <w:rFonts w:cs="Arial"/>
          <w:b/>
          <w:bCs/>
          <w:lang w:val="en-CA"/>
        </w:rPr>
        <w:t xml:space="preserve">2.3 </w:t>
      </w:r>
      <w:r w:rsidR="004C547C" w:rsidRPr="00DB3646">
        <w:rPr>
          <w:rFonts w:cs="Arial"/>
          <w:b/>
          <w:bCs/>
          <w:lang w:val="en-CA"/>
        </w:rPr>
        <w:t>Scope and Context of the Study</w:t>
      </w:r>
    </w:p>
    <w:p w14:paraId="21FE08A3" w14:textId="77777777" w:rsidR="004C547C" w:rsidRPr="00DB3646" w:rsidRDefault="004C547C" w:rsidP="004C547C">
      <w:pPr>
        <w:pStyle w:val="CETBodytext"/>
        <w:rPr>
          <w:rFonts w:cs="Arial"/>
          <w:b/>
          <w:bCs/>
          <w:lang w:val="en-CA"/>
        </w:rPr>
      </w:pPr>
    </w:p>
    <w:p w14:paraId="24B9286E" w14:textId="299E1462" w:rsidR="004C547C" w:rsidRPr="00DB3646" w:rsidRDefault="004C547C" w:rsidP="004C547C">
      <w:pPr>
        <w:pStyle w:val="CETBodytext"/>
        <w:rPr>
          <w:rFonts w:cs="Arial"/>
          <w:lang w:val="en-CA"/>
        </w:rPr>
      </w:pPr>
      <w:r w:rsidRPr="00DB3646">
        <w:rPr>
          <w:rFonts w:cs="Arial"/>
          <w:lang w:val="en-CA"/>
        </w:rPr>
        <w:t>The geographical scope corresponds to the district of Santa María del Mar, Lima, Peru, while the institutional scope is limited to the Municipal Program “Santa María Recycles,” which focuses on source separation, separate collection, and valorization of organic waste through composting. The context is framed within integrated solid waste management policies and local circular economy strategies promoted by municipal governments and guidelines from the Ministry of the Environment of Peru (MINAM, 2021).</w:t>
      </w:r>
    </w:p>
    <w:p w14:paraId="534B93CA" w14:textId="77777777" w:rsidR="004C547C" w:rsidRPr="00DB3646" w:rsidRDefault="004C547C" w:rsidP="004C547C">
      <w:pPr>
        <w:pStyle w:val="CETBodytext"/>
        <w:rPr>
          <w:rFonts w:cs="Arial"/>
          <w:b/>
          <w:bCs/>
          <w:lang w:val="en-CA"/>
        </w:rPr>
      </w:pPr>
    </w:p>
    <w:p w14:paraId="36958BCE" w14:textId="4ECBD439" w:rsidR="004C547C" w:rsidRPr="00DB3646" w:rsidRDefault="00DE05D3" w:rsidP="004C547C">
      <w:pPr>
        <w:pStyle w:val="CETBodytext"/>
        <w:rPr>
          <w:rFonts w:cs="Arial"/>
          <w:b/>
          <w:bCs/>
          <w:lang w:val="en-CA"/>
        </w:rPr>
      </w:pPr>
      <w:r w:rsidRPr="00DB3646">
        <w:rPr>
          <w:rFonts w:cs="Arial"/>
          <w:b/>
          <w:bCs/>
          <w:lang w:val="en-CA"/>
        </w:rPr>
        <w:t xml:space="preserve">2.4 </w:t>
      </w:r>
      <w:r w:rsidR="004C547C" w:rsidRPr="00DB3646">
        <w:rPr>
          <w:rFonts w:cs="Arial"/>
          <w:b/>
          <w:bCs/>
          <w:lang w:val="en-CA"/>
        </w:rPr>
        <w:t>Unit of Analysis</w:t>
      </w:r>
    </w:p>
    <w:p w14:paraId="22213042" w14:textId="77777777" w:rsidR="004C547C" w:rsidRPr="00DB3646" w:rsidRDefault="004C547C" w:rsidP="004C547C">
      <w:pPr>
        <w:pStyle w:val="CETBodytext"/>
        <w:rPr>
          <w:rFonts w:cs="Arial"/>
          <w:b/>
          <w:bCs/>
          <w:lang w:val="en-CA"/>
        </w:rPr>
      </w:pPr>
    </w:p>
    <w:p w14:paraId="52883BCD" w14:textId="6E452652" w:rsidR="004C547C" w:rsidRPr="00DB3646" w:rsidRDefault="004C547C" w:rsidP="004C547C">
      <w:pPr>
        <w:pStyle w:val="CETBodytext"/>
        <w:rPr>
          <w:rFonts w:cs="Arial"/>
          <w:lang w:val="en-CA"/>
        </w:rPr>
      </w:pPr>
      <w:r w:rsidRPr="00DB3646">
        <w:rPr>
          <w:rFonts w:cs="Arial"/>
          <w:lang w:val="en-CA"/>
        </w:rPr>
        <w:t>The unit of analysis consisted of the monthly quantity of organic waste recovered, expressed in metric tons (Tn). Each monthly record represents an independent observation within a time series, allowing for the evaluation of seasonal variations, year-on-year growth, and operational stability.</w:t>
      </w:r>
    </w:p>
    <w:p w14:paraId="54F8602B" w14:textId="77777777" w:rsidR="00DE05D3" w:rsidRPr="00DB3646" w:rsidRDefault="00DE05D3" w:rsidP="00DE05D3">
      <w:pPr>
        <w:pStyle w:val="CETBodytext"/>
        <w:rPr>
          <w:rFonts w:cs="Arial"/>
          <w:b/>
          <w:bCs/>
          <w:lang w:val="en-CA"/>
        </w:rPr>
      </w:pPr>
    </w:p>
    <w:p w14:paraId="3F635A91" w14:textId="4424C8FA" w:rsidR="00D50C83" w:rsidRDefault="00DE05D3" w:rsidP="00D50C83">
      <w:pPr>
        <w:pStyle w:val="CETBodytext"/>
        <w:rPr>
          <w:rFonts w:cs="Arial"/>
          <w:b/>
          <w:bCs/>
          <w:lang w:val="en-CA"/>
        </w:rPr>
      </w:pPr>
      <w:r w:rsidRPr="00DB3646">
        <w:rPr>
          <w:rFonts w:cs="Arial"/>
          <w:b/>
          <w:bCs/>
          <w:lang w:val="en-CA"/>
        </w:rPr>
        <w:t>2.5</w:t>
      </w:r>
      <w:r w:rsidR="00D50C83" w:rsidRPr="00DB3646">
        <w:rPr>
          <w:rFonts w:cs="Arial"/>
          <w:b/>
          <w:bCs/>
          <w:lang w:val="en-CA"/>
        </w:rPr>
        <w:t xml:space="preserve"> Data Collection Sources and Techniques</w:t>
      </w:r>
    </w:p>
    <w:p w14:paraId="51D23019" w14:textId="77777777" w:rsidR="0014185D" w:rsidRPr="00DB3646" w:rsidRDefault="0014185D" w:rsidP="00D50C83">
      <w:pPr>
        <w:pStyle w:val="CETBodytext"/>
        <w:rPr>
          <w:rFonts w:cs="Arial"/>
          <w:lang w:val="en-CA"/>
        </w:rPr>
      </w:pPr>
    </w:p>
    <w:p w14:paraId="5B0B1F6B" w14:textId="77777777" w:rsidR="00D50C83" w:rsidRPr="00DB3646" w:rsidRDefault="00D50C83" w:rsidP="00D50C83">
      <w:pPr>
        <w:pStyle w:val="CETBodytext"/>
        <w:rPr>
          <w:rFonts w:cs="Arial"/>
          <w:lang w:val="en-CA"/>
        </w:rPr>
      </w:pPr>
      <w:r w:rsidRPr="00DB3646">
        <w:rPr>
          <w:rFonts w:cs="Arial"/>
          <w:lang w:val="en-CA"/>
        </w:rPr>
        <w:t>Secondary sources of information were used, specifically municipal administrative records consolidated in a digital database in Excel format. These records come from internal program reports and constitute official operational management information.</w:t>
      </w:r>
    </w:p>
    <w:p w14:paraId="54C142A2" w14:textId="77777777" w:rsidR="00D50C83" w:rsidRPr="00DB3646" w:rsidRDefault="00D50C83" w:rsidP="00D50C83">
      <w:pPr>
        <w:pStyle w:val="CETBodytext"/>
        <w:rPr>
          <w:rFonts w:cs="Arial"/>
          <w:lang w:val="en-CA"/>
        </w:rPr>
      </w:pPr>
    </w:p>
    <w:p w14:paraId="152616DF" w14:textId="77777777" w:rsidR="00D50C83" w:rsidRPr="00DB3646" w:rsidRDefault="00D50C83" w:rsidP="00D50C83">
      <w:pPr>
        <w:pStyle w:val="CETBodytext"/>
        <w:numPr>
          <w:ilvl w:val="0"/>
          <w:numId w:val="35"/>
        </w:numPr>
        <w:rPr>
          <w:rFonts w:cs="Arial"/>
          <w:lang w:val="en-CA"/>
        </w:rPr>
      </w:pPr>
      <w:r w:rsidRPr="00DB3646">
        <w:rPr>
          <w:rFonts w:cs="Arial"/>
          <w:lang w:val="en-CA"/>
        </w:rPr>
        <w:t>The techniques employed were:</w:t>
      </w:r>
    </w:p>
    <w:p w14:paraId="797C166B" w14:textId="77777777" w:rsidR="00D50C83" w:rsidRPr="00DB3646" w:rsidRDefault="00D50C83" w:rsidP="00D50C83">
      <w:pPr>
        <w:pStyle w:val="CETBodytext"/>
        <w:numPr>
          <w:ilvl w:val="0"/>
          <w:numId w:val="35"/>
        </w:numPr>
        <w:rPr>
          <w:rFonts w:cs="Arial"/>
          <w:lang w:val="en-CA"/>
        </w:rPr>
      </w:pPr>
      <w:r w:rsidRPr="00DB3646">
        <w:rPr>
          <w:rFonts w:cs="Arial"/>
          <w:lang w:val="en-CA"/>
        </w:rPr>
        <w:t>Technical document review of operational reports.</w:t>
      </w:r>
    </w:p>
    <w:p w14:paraId="2DC82833" w14:textId="77777777" w:rsidR="00D50C83" w:rsidRPr="00DB3646" w:rsidRDefault="00D50C83" w:rsidP="00D50C83">
      <w:pPr>
        <w:pStyle w:val="CETBodytext"/>
        <w:numPr>
          <w:ilvl w:val="0"/>
          <w:numId w:val="35"/>
        </w:numPr>
        <w:rPr>
          <w:rFonts w:cs="Arial"/>
          <w:lang w:val="en-CA"/>
        </w:rPr>
      </w:pPr>
      <w:r w:rsidRPr="00DB3646">
        <w:rPr>
          <w:rFonts w:cs="Arial"/>
          <w:lang w:val="en-CA"/>
        </w:rPr>
        <w:t>Data consistency validation (ranges, units, and time sequence).</w:t>
      </w:r>
    </w:p>
    <w:p w14:paraId="0BED35F4" w14:textId="77777777" w:rsidR="00D50C83" w:rsidRPr="00DB3646" w:rsidRDefault="00D50C83" w:rsidP="00D50C83">
      <w:pPr>
        <w:pStyle w:val="CETBodytext"/>
        <w:numPr>
          <w:ilvl w:val="0"/>
          <w:numId w:val="35"/>
        </w:numPr>
        <w:rPr>
          <w:rFonts w:cs="Arial"/>
          <w:lang w:val="en-CA"/>
        </w:rPr>
      </w:pPr>
      <w:r w:rsidRPr="00DB3646">
        <w:rPr>
          <w:rFonts w:cs="Arial"/>
          <w:lang w:val="en-CA"/>
        </w:rPr>
        <w:t>Internal cross-checking of records to avoid duplication or gaps in information.</w:t>
      </w:r>
    </w:p>
    <w:p w14:paraId="263B88DD" w14:textId="77777777" w:rsidR="00D50C83" w:rsidRPr="00DB3646" w:rsidRDefault="00D50C83" w:rsidP="00D50C83">
      <w:pPr>
        <w:pStyle w:val="CETBodytext"/>
        <w:rPr>
          <w:rFonts w:cs="Arial"/>
          <w:lang w:val="en-CA"/>
        </w:rPr>
      </w:pPr>
    </w:p>
    <w:p w14:paraId="7F0B7F29" w14:textId="54FE5B1A" w:rsidR="00D50C83" w:rsidRPr="00DB3646" w:rsidRDefault="00D50C83" w:rsidP="00D50C83">
      <w:pPr>
        <w:pStyle w:val="CETBodytext"/>
        <w:rPr>
          <w:rFonts w:cs="Arial"/>
          <w:lang w:val="en-CA"/>
        </w:rPr>
      </w:pPr>
      <w:r w:rsidRPr="00DB3646">
        <w:rPr>
          <w:rFonts w:cs="Arial"/>
          <w:lang w:val="en-CA"/>
        </w:rPr>
        <w:t>Surveys and interviews were not conducted, as the study's objective is focused on the quantitative analysis of institutional data.</w:t>
      </w:r>
    </w:p>
    <w:p w14:paraId="73B5B2BC" w14:textId="77777777" w:rsidR="0001516E" w:rsidRPr="00DB3646" w:rsidRDefault="0001516E" w:rsidP="00DE05D3">
      <w:pPr>
        <w:pStyle w:val="CETBodytext"/>
        <w:rPr>
          <w:rFonts w:cs="Arial"/>
          <w:b/>
          <w:bCs/>
          <w:lang w:val="en-CA"/>
        </w:rPr>
      </w:pPr>
    </w:p>
    <w:p w14:paraId="0106DF9F" w14:textId="5F7977CC" w:rsidR="00DE05D3" w:rsidRPr="00DB3646" w:rsidRDefault="0001516E" w:rsidP="00DE05D3">
      <w:pPr>
        <w:pStyle w:val="CETBodytext"/>
        <w:rPr>
          <w:rFonts w:cs="Arial"/>
          <w:b/>
          <w:bCs/>
          <w:lang w:val="es-PE"/>
        </w:rPr>
      </w:pPr>
      <w:r w:rsidRPr="00DB3646">
        <w:rPr>
          <w:rFonts w:cs="Arial"/>
          <w:b/>
          <w:bCs/>
          <w:lang w:val="es-PE"/>
        </w:rPr>
        <w:t>2</w:t>
      </w:r>
      <w:r w:rsidR="00DE05D3" w:rsidRPr="00DB3646">
        <w:rPr>
          <w:rFonts w:cs="Arial"/>
          <w:b/>
          <w:bCs/>
          <w:lang w:val="es-PE"/>
        </w:rPr>
        <w:t>.6 Study Variables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4"/>
        <w:gridCol w:w="1733"/>
        <w:gridCol w:w="4240"/>
        <w:gridCol w:w="1000"/>
      </w:tblGrid>
      <w:tr w:rsidR="00DE05D3" w:rsidRPr="00DB3646" w14:paraId="434B2078" w14:textId="77777777" w:rsidTr="0001516E">
        <w:trPr>
          <w:tblHeader/>
          <w:tblCellSpacing w:w="15" w:type="dxa"/>
          <w:jc w:val="center"/>
        </w:trPr>
        <w:tc>
          <w:tcPr>
            <w:tcW w:w="0" w:type="auto"/>
            <w:vAlign w:val="center"/>
            <w:hideMark/>
          </w:tcPr>
          <w:p w14:paraId="7FBD94F3" w14:textId="77777777" w:rsidR="00DE05D3" w:rsidRPr="00DB3646" w:rsidRDefault="00DE05D3" w:rsidP="0001516E">
            <w:pPr>
              <w:pStyle w:val="CETBodytext"/>
              <w:jc w:val="center"/>
              <w:rPr>
                <w:rFonts w:cs="Arial"/>
                <w:b/>
                <w:bCs/>
                <w:lang w:val="es-PE"/>
              </w:rPr>
            </w:pPr>
            <w:r w:rsidRPr="00DB3646">
              <w:rPr>
                <w:rFonts w:cs="Arial"/>
                <w:b/>
                <w:bCs/>
                <w:lang w:val="es-PE"/>
              </w:rPr>
              <w:t>Variable</w:t>
            </w:r>
          </w:p>
        </w:tc>
        <w:tc>
          <w:tcPr>
            <w:tcW w:w="0" w:type="auto"/>
            <w:vAlign w:val="center"/>
            <w:hideMark/>
          </w:tcPr>
          <w:p w14:paraId="27082557" w14:textId="77777777" w:rsidR="00DE05D3" w:rsidRPr="00DB3646" w:rsidRDefault="00DE05D3" w:rsidP="0001516E">
            <w:pPr>
              <w:pStyle w:val="CETBodytext"/>
              <w:jc w:val="center"/>
              <w:rPr>
                <w:rFonts w:cs="Arial"/>
                <w:b/>
                <w:bCs/>
                <w:lang w:val="es-PE"/>
              </w:rPr>
            </w:pPr>
            <w:proofErr w:type="spellStart"/>
            <w:r w:rsidRPr="00DB3646">
              <w:rPr>
                <w:rFonts w:cs="Arial"/>
                <w:b/>
                <w:bCs/>
                <w:lang w:val="es-PE"/>
              </w:rPr>
              <w:t>Type</w:t>
            </w:r>
            <w:proofErr w:type="spellEnd"/>
          </w:p>
        </w:tc>
        <w:tc>
          <w:tcPr>
            <w:tcW w:w="0" w:type="auto"/>
            <w:vAlign w:val="center"/>
            <w:hideMark/>
          </w:tcPr>
          <w:p w14:paraId="7E8D51BE" w14:textId="77777777" w:rsidR="00DE05D3" w:rsidRPr="00DB3646" w:rsidRDefault="00DE05D3" w:rsidP="0001516E">
            <w:pPr>
              <w:pStyle w:val="CETBodytext"/>
              <w:jc w:val="center"/>
              <w:rPr>
                <w:rFonts w:cs="Arial"/>
                <w:b/>
                <w:bCs/>
                <w:lang w:val="es-PE"/>
              </w:rPr>
            </w:pPr>
            <w:proofErr w:type="spellStart"/>
            <w:r w:rsidRPr="00DB3646">
              <w:rPr>
                <w:rFonts w:cs="Arial"/>
                <w:b/>
                <w:bCs/>
                <w:lang w:val="es-PE"/>
              </w:rPr>
              <w:t>Description</w:t>
            </w:r>
            <w:proofErr w:type="spellEnd"/>
          </w:p>
        </w:tc>
        <w:tc>
          <w:tcPr>
            <w:tcW w:w="0" w:type="auto"/>
            <w:vAlign w:val="center"/>
            <w:hideMark/>
          </w:tcPr>
          <w:p w14:paraId="0E85EFBF" w14:textId="77777777" w:rsidR="00DE05D3" w:rsidRPr="00DB3646" w:rsidRDefault="00DE05D3" w:rsidP="0001516E">
            <w:pPr>
              <w:pStyle w:val="CETBodytext"/>
              <w:jc w:val="center"/>
              <w:rPr>
                <w:rFonts w:cs="Arial"/>
                <w:b/>
                <w:bCs/>
                <w:lang w:val="es-PE"/>
              </w:rPr>
            </w:pPr>
            <w:proofErr w:type="spellStart"/>
            <w:r w:rsidRPr="00DB3646">
              <w:rPr>
                <w:rFonts w:cs="Arial"/>
                <w:b/>
                <w:bCs/>
                <w:lang w:val="es-PE"/>
              </w:rPr>
              <w:t>Unit</w:t>
            </w:r>
            <w:proofErr w:type="spellEnd"/>
          </w:p>
        </w:tc>
      </w:tr>
      <w:tr w:rsidR="00DE05D3" w:rsidRPr="00DB3646" w14:paraId="562F7D6A" w14:textId="77777777" w:rsidTr="0001516E">
        <w:trPr>
          <w:tblCellSpacing w:w="15" w:type="dxa"/>
          <w:jc w:val="center"/>
        </w:trPr>
        <w:tc>
          <w:tcPr>
            <w:tcW w:w="0" w:type="auto"/>
            <w:vAlign w:val="center"/>
            <w:hideMark/>
          </w:tcPr>
          <w:p w14:paraId="34296A45" w14:textId="77777777" w:rsidR="00DE05D3" w:rsidRPr="00DB3646" w:rsidRDefault="00DE05D3" w:rsidP="0001516E">
            <w:pPr>
              <w:pStyle w:val="CETBodytext"/>
              <w:jc w:val="center"/>
              <w:rPr>
                <w:rFonts w:cs="Arial"/>
                <w:lang w:val="es-PE"/>
              </w:rPr>
            </w:pPr>
            <w:proofErr w:type="spellStart"/>
            <w:r w:rsidRPr="00DB3646">
              <w:rPr>
                <w:rFonts w:cs="Arial"/>
                <w:lang w:val="es-PE"/>
              </w:rPr>
              <w:t>Valorized</w:t>
            </w:r>
            <w:proofErr w:type="spellEnd"/>
            <w:r w:rsidRPr="00DB3646">
              <w:rPr>
                <w:rFonts w:cs="Arial"/>
                <w:lang w:val="es-PE"/>
              </w:rPr>
              <w:t xml:space="preserve"> </w:t>
            </w:r>
            <w:proofErr w:type="spellStart"/>
            <w:r w:rsidRPr="00DB3646">
              <w:rPr>
                <w:rFonts w:cs="Arial"/>
                <w:lang w:val="es-PE"/>
              </w:rPr>
              <w:t>organic</w:t>
            </w:r>
            <w:proofErr w:type="spellEnd"/>
            <w:r w:rsidRPr="00DB3646">
              <w:rPr>
                <w:rFonts w:cs="Arial"/>
                <w:lang w:val="es-PE"/>
              </w:rPr>
              <w:t xml:space="preserve"> </w:t>
            </w:r>
            <w:proofErr w:type="spellStart"/>
            <w:r w:rsidRPr="00DB3646">
              <w:rPr>
                <w:rFonts w:cs="Arial"/>
                <w:lang w:val="es-PE"/>
              </w:rPr>
              <w:t>waste</w:t>
            </w:r>
            <w:proofErr w:type="spellEnd"/>
          </w:p>
        </w:tc>
        <w:tc>
          <w:tcPr>
            <w:tcW w:w="0" w:type="auto"/>
            <w:vAlign w:val="center"/>
            <w:hideMark/>
          </w:tcPr>
          <w:p w14:paraId="33DEA844" w14:textId="77777777" w:rsidR="00DE05D3" w:rsidRPr="00DB3646" w:rsidRDefault="00DE05D3" w:rsidP="0001516E">
            <w:pPr>
              <w:pStyle w:val="CETBodytext"/>
              <w:jc w:val="center"/>
              <w:rPr>
                <w:rFonts w:cs="Arial"/>
                <w:lang w:val="es-PE"/>
              </w:rPr>
            </w:pPr>
            <w:proofErr w:type="spellStart"/>
            <w:r w:rsidRPr="00DB3646">
              <w:rPr>
                <w:rFonts w:cs="Arial"/>
                <w:lang w:val="es-PE"/>
              </w:rPr>
              <w:t>Continuous</w:t>
            </w:r>
            <w:proofErr w:type="spellEnd"/>
            <w:r w:rsidRPr="00DB3646">
              <w:rPr>
                <w:rFonts w:cs="Arial"/>
                <w:lang w:val="es-PE"/>
              </w:rPr>
              <w:t xml:space="preserve"> </w:t>
            </w:r>
            <w:proofErr w:type="spellStart"/>
            <w:r w:rsidRPr="00DB3646">
              <w:rPr>
                <w:rFonts w:cs="Arial"/>
                <w:lang w:val="es-PE"/>
              </w:rPr>
              <w:t>quantitative</w:t>
            </w:r>
            <w:proofErr w:type="spellEnd"/>
          </w:p>
        </w:tc>
        <w:tc>
          <w:tcPr>
            <w:tcW w:w="0" w:type="auto"/>
            <w:vAlign w:val="center"/>
            <w:hideMark/>
          </w:tcPr>
          <w:p w14:paraId="7FEA1250" w14:textId="77777777" w:rsidR="00DE05D3" w:rsidRPr="00DB3646" w:rsidRDefault="00DE05D3" w:rsidP="0001516E">
            <w:pPr>
              <w:pStyle w:val="CETBodytext"/>
              <w:jc w:val="center"/>
              <w:rPr>
                <w:rFonts w:cs="Arial"/>
                <w:lang w:val="en-CA"/>
              </w:rPr>
            </w:pPr>
            <w:r w:rsidRPr="00DB3646">
              <w:rPr>
                <w:rFonts w:cs="Arial"/>
                <w:lang w:val="en-CA"/>
              </w:rPr>
              <w:t>Monthly amount of organic waste processed through composting</w:t>
            </w:r>
          </w:p>
        </w:tc>
        <w:tc>
          <w:tcPr>
            <w:tcW w:w="0" w:type="auto"/>
            <w:vAlign w:val="center"/>
            <w:hideMark/>
          </w:tcPr>
          <w:p w14:paraId="51CD908E" w14:textId="77777777" w:rsidR="00DE05D3" w:rsidRPr="00DB3646" w:rsidRDefault="00DE05D3" w:rsidP="0001516E">
            <w:pPr>
              <w:pStyle w:val="CETBodytext"/>
              <w:jc w:val="center"/>
              <w:rPr>
                <w:rFonts w:cs="Arial"/>
                <w:lang w:val="es-PE"/>
              </w:rPr>
            </w:pPr>
            <w:proofErr w:type="spellStart"/>
            <w:r w:rsidRPr="00DB3646">
              <w:rPr>
                <w:rFonts w:cs="Arial"/>
                <w:lang w:val="es-PE"/>
              </w:rPr>
              <w:t>Tons</w:t>
            </w:r>
            <w:proofErr w:type="spellEnd"/>
          </w:p>
        </w:tc>
      </w:tr>
      <w:tr w:rsidR="00DE05D3" w:rsidRPr="00DB3646" w14:paraId="71DA3DD5" w14:textId="77777777" w:rsidTr="0001516E">
        <w:trPr>
          <w:tblCellSpacing w:w="15" w:type="dxa"/>
          <w:jc w:val="center"/>
        </w:trPr>
        <w:tc>
          <w:tcPr>
            <w:tcW w:w="0" w:type="auto"/>
            <w:vAlign w:val="center"/>
            <w:hideMark/>
          </w:tcPr>
          <w:p w14:paraId="76EB1F93" w14:textId="77777777" w:rsidR="00DE05D3" w:rsidRPr="00DB3646" w:rsidRDefault="00DE05D3" w:rsidP="0001516E">
            <w:pPr>
              <w:pStyle w:val="CETBodytext"/>
              <w:jc w:val="center"/>
              <w:rPr>
                <w:rFonts w:cs="Arial"/>
                <w:lang w:val="es-PE"/>
              </w:rPr>
            </w:pPr>
            <w:r w:rsidRPr="00DB3646">
              <w:rPr>
                <w:rFonts w:cs="Arial"/>
                <w:lang w:val="es-PE"/>
              </w:rPr>
              <w:t xml:space="preserve">Time </w:t>
            </w:r>
            <w:proofErr w:type="spellStart"/>
            <w:r w:rsidRPr="00DB3646">
              <w:rPr>
                <w:rFonts w:cs="Arial"/>
                <w:lang w:val="es-PE"/>
              </w:rPr>
              <w:t>period</w:t>
            </w:r>
            <w:proofErr w:type="spellEnd"/>
          </w:p>
        </w:tc>
        <w:tc>
          <w:tcPr>
            <w:tcW w:w="0" w:type="auto"/>
            <w:vAlign w:val="center"/>
            <w:hideMark/>
          </w:tcPr>
          <w:p w14:paraId="352742F7" w14:textId="77777777" w:rsidR="00DE05D3" w:rsidRPr="00DB3646" w:rsidRDefault="00DE05D3" w:rsidP="0001516E">
            <w:pPr>
              <w:pStyle w:val="CETBodytext"/>
              <w:jc w:val="center"/>
              <w:rPr>
                <w:rFonts w:cs="Arial"/>
                <w:lang w:val="es-PE"/>
              </w:rPr>
            </w:pPr>
            <w:r w:rsidRPr="00DB3646">
              <w:rPr>
                <w:rFonts w:cs="Arial"/>
                <w:lang w:val="es-PE"/>
              </w:rPr>
              <w:t xml:space="preserve">Ordinal </w:t>
            </w:r>
            <w:proofErr w:type="spellStart"/>
            <w:r w:rsidRPr="00DB3646">
              <w:rPr>
                <w:rFonts w:cs="Arial"/>
                <w:lang w:val="es-PE"/>
              </w:rPr>
              <w:t>categorical</w:t>
            </w:r>
            <w:proofErr w:type="spellEnd"/>
          </w:p>
        </w:tc>
        <w:tc>
          <w:tcPr>
            <w:tcW w:w="0" w:type="auto"/>
            <w:vAlign w:val="center"/>
            <w:hideMark/>
          </w:tcPr>
          <w:p w14:paraId="3E40BB3F" w14:textId="77777777" w:rsidR="00DE05D3" w:rsidRPr="00DB3646" w:rsidRDefault="00DE05D3" w:rsidP="0001516E">
            <w:pPr>
              <w:pStyle w:val="CETBodytext"/>
              <w:jc w:val="center"/>
              <w:rPr>
                <w:rFonts w:cs="Arial"/>
                <w:lang w:val="en-CA"/>
              </w:rPr>
            </w:pPr>
            <w:r w:rsidRPr="00DB3646">
              <w:rPr>
                <w:rFonts w:cs="Arial"/>
                <w:lang w:val="en-CA"/>
              </w:rPr>
              <w:t>Month and year of record</w:t>
            </w:r>
          </w:p>
        </w:tc>
        <w:tc>
          <w:tcPr>
            <w:tcW w:w="0" w:type="auto"/>
            <w:vAlign w:val="center"/>
            <w:hideMark/>
          </w:tcPr>
          <w:p w14:paraId="545C3E98" w14:textId="77777777" w:rsidR="00DE05D3" w:rsidRPr="00DB3646" w:rsidRDefault="00DE05D3" w:rsidP="0001516E">
            <w:pPr>
              <w:pStyle w:val="CETBodytext"/>
              <w:jc w:val="center"/>
              <w:rPr>
                <w:rFonts w:cs="Arial"/>
                <w:lang w:val="es-PE"/>
              </w:rPr>
            </w:pPr>
            <w:proofErr w:type="spellStart"/>
            <w:r w:rsidRPr="00DB3646">
              <w:rPr>
                <w:rFonts w:cs="Arial"/>
                <w:lang w:val="es-PE"/>
              </w:rPr>
              <w:t>Month</w:t>
            </w:r>
            <w:proofErr w:type="spellEnd"/>
            <w:r w:rsidRPr="00DB3646">
              <w:rPr>
                <w:rFonts w:cs="Arial"/>
                <w:lang w:val="es-PE"/>
              </w:rPr>
              <w:t xml:space="preserve"> / </w:t>
            </w:r>
            <w:proofErr w:type="spellStart"/>
            <w:r w:rsidRPr="00DB3646">
              <w:rPr>
                <w:rFonts w:cs="Arial"/>
                <w:lang w:val="es-PE"/>
              </w:rPr>
              <w:t>Year</w:t>
            </w:r>
            <w:proofErr w:type="spellEnd"/>
          </w:p>
        </w:tc>
      </w:tr>
      <w:tr w:rsidR="00DE05D3" w:rsidRPr="00DB3646" w14:paraId="543B35DB" w14:textId="77777777" w:rsidTr="0001516E">
        <w:trPr>
          <w:tblCellSpacing w:w="15" w:type="dxa"/>
          <w:jc w:val="center"/>
        </w:trPr>
        <w:tc>
          <w:tcPr>
            <w:tcW w:w="0" w:type="auto"/>
            <w:vAlign w:val="center"/>
            <w:hideMark/>
          </w:tcPr>
          <w:p w14:paraId="5C8314CE" w14:textId="77777777" w:rsidR="00DE05D3" w:rsidRPr="00DB3646" w:rsidRDefault="00DE05D3" w:rsidP="0001516E">
            <w:pPr>
              <w:pStyle w:val="CETBodytext"/>
              <w:jc w:val="center"/>
              <w:rPr>
                <w:rFonts w:cs="Arial"/>
                <w:lang w:val="es-PE"/>
              </w:rPr>
            </w:pPr>
            <w:proofErr w:type="spellStart"/>
            <w:r w:rsidRPr="00DB3646">
              <w:rPr>
                <w:rFonts w:cs="Arial"/>
                <w:lang w:val="es-PE"/>
              </w:rPr>
              <w:t>Avoided</w:t>
            </w:r>
            <w:proofErr w:type="spellEnd"/>
            <w:r w:rsidRPr="00DB3646">
              <w:rPr>
                <w:rFonts w:cs="Arial"/>
                <w:lang w:val="es-PE"/>
              </w:rPr>
              <w:t xml:space="preserve"> </w:t>
            </w:r>
            <w:proofErr w:type="spellStart"/>
            <w:r w:rsidRPr="00DB3646">
              <w:rPr>
                <w:rFonts w:cs="Arial"/>
                <w:lang w:val="es-PE"/>
              </w:rPr>
              <w:t>CO</w:t>
            </w:r>
            <w:r w:rsidRPr="00DB3646">
              <w:rPr>
                <w:rFonts w:ascii="Cambria Math" w:hAnsi="Cambria Math" w:cs="Cambria Math"/>
                <w:lang w:val="es-PE"/>
              </w:rPr>
              <w:t>₂</w:t>
            </w:r>
            <w:r w:rsidRPr="00DB3646">
              <w:rPr>
                <w:rFonts w:cs="Arial"/>
                <w:lang w:val="es-PE"/>
              </w:rPr>
              <w:t>e</w:t>
            </w:r>
            <w:proofErr w:type="spellEnd"/>
            <w:r w:rsidRPr="00DB3646">
              <w:rPr>
                <w:rFonts w:cs="Arial"/>
                <w:lang w:val="es-PE"/>
              </w:rPr>
              <w:t xml:space="preserve"> </w:t>
            </w:r>
            <w:proofErr w:type="spellStart"/>
            <w:r w:rsidRPr="00DB3646">
              <w:rPr>
                <w:rFonts w:cs="Arial"/>
                <w:lang w:val="es-PE"/>
              </w:rPr>
              <w:t>emissions</w:t>
            </w:r>
            <w:proofErr w:type="spellEnd"/>
          </w:p>
        </w:tc>
        <w:tc>
          <w:tcPr>
            <w:tcW w:w="0" w:type="auto"/>
            <w:vAlign w:val="center"/>
            <w:hideMark/>
          </w:tcPr>
          <w:p w14:paraId="2BC20990" w14:textId="77777777" w:rsidR="00DE05D3" w:rsidRPr="00DB3646" w:rsidRDefault="00DE05D3" w:rsidP="0001516E">
            <w:pPr>
              <w:pStyle w:val="CETBodytext"/>
              <w:jc w:val="center"/>
              <w:rPr>
                <w:rFonts w:cs="Arial"/>
                <w:lang w:val="es-PE"/>
              </w:rPr>
            </w:pPr>
            <w:proofErr w:type="spellStart"/>
            <w:r w:rsidRPr="00DB3646">
              <w:rPr>
                <w:rFonts w:cs="Arial"/>
                <w:lang w:val="es-PE"/>
              </w:rPr>
              <w:t>Derived</w:t>
            </w:r>
            <w:proofErr w:type="spellEnd"/>
            <w:r w:rsidRPr="00DB3646">
              <w:rPr>
                <w:rFonts w:cs="Arial"/>
                <w:lang w:val="es-PE"/>
              </w:rPr>
              <w:t xml:space="preserve"> </w:t>
            </w:r>
            <w:proofErr w:type="spellStart"/>
            <w:r w:rsidRPr="00DB3646">
              <w:rPr>
                <w:rFonts w:cs="Arial"/>
                <w:lang w:val="es-PE"/>
              </w:rPr>
              <w:t>quantitative</w:t>
            </w:r>
            <w:proofErr w:type="spellEnd"/>
          </w:p>
        </w:tc>
        <w:tc>
          <w:tcPr>
            <w:tcW w:w="0" w:type="auto"/>
            <w:vAlign w:val="center"/>
            <w:hideMark/>
          </w:tcPr>
          <w:p w14:paraId="4DF5B446" w14:textId="77777777" w:rsidR="00DE05D3" w:rsidRPr="00DB3646" w:rsidRDefault="00DE05D3" w:rsidP="0001516E">
            <w:pPr>
              <w:pStyle w:val="CETBodytext"/>
              <w:jc w:val="center"/>
              <w:rPr>
                <w:rFonts w:cs="Arial"/>
                <w:lang w:val="en-CA"/>
              </w:rPr>
            </w:pPr>
            <w:r w:rsidRPr="00DB3646">
              <w:rPr>
                <w:rFonts w:cs="Arial"/>
                <w:lang w:val="en-CA"/>
              </w:rPr>
              <w:t>Estimated mitigation due to waste diversion</w:t>
            </w:r>
          </w:p>
        </w:tc>
        <w:tc>
          <w:tcPr>
            <w:tcW w:w="0" w:type="auto"/>
            <w:vAlign w:val="center"/>
            <w:hideMark/>
          </w:tcPr>
          <w:p w14:paraId="6611CEE6" w14:textId="77777777" w:rsidR="00DE05D3" w:rsidRPr="00DB3646" w:rsidRDefault="00DE05D3" w:rsidP="0001516E">
            <w:pPr>
              <w:pStyle w:val="CETBodytext"/>
              <w:jc w:val="center"/>
              <w:rPr>
                <w:rFonts w:cs="Arial"/>
                <w:lang w:val="es-PE"/>
              </w:rPr>
            </w:pPr>
            <w:proofErr w:type="spellStart"/>
            <w:r w:rsidRPr="00DB3646">
              <w:rPr>
                <w:rFonts w:cs="Arial"/>
                <w:lang w:val="es-PE"/>
              </w:rPr>
              <w:t>Tons</w:t>
            </w:r>
            <w:proofErr w:type="spellEnd"/>
            <w:r w:rsidRPr="00DB3646">
              <w:rPr>
                <w:rFonts w:cs="Arial"/>
                <w:lang w:val="es-PE"/>
              </w:rPr>
              <w:t xml:space="preserve"> </w:t>
            </w:r>
            <w:proofErr w:type="spellStart"/>
            <w:r w:rsidRPr="00DB3646">
              <w:rPr>
                <w:rFonts w:cs="Arial"/>
                <w:lang w:val="es-PE"/>
              </w:rPr>
              <w:t>CO</w:t>
            </w:r>
            <w:r w:rsidRPr="00DB3646">
              <w:rPr>
                <w:rFonts w:ascii="Cambria Math" w:hAnsi="Cambria Math" w:cs="Cambria Math"/>
                <w:lang w:val="es-PE"/>
              </w:rPr>
              <w:t>₂</w:t>
            </w:r>
            <w:r w:rsidRPr="00DB3646">
              <w:rPr>
                <w:rFonts w:cs="Arial"/>
                <w:lang w:val="es-PE"/>
              </w:rPr>
              <w:t>e</w:t>
            </w:r>
            <w:proofErr w:type="spellEnd"/>
          </w:p>
        </w:tc>
      </w:tr>
    </w:tbl>
    <w:p w14:paraId="73696A2A" w14:textId="77777777" w:rsidR="0001516E" w:rsidRPr="00DB3646" w:rsidRDefault="0001516E" w:rsidP="00DE05D3">
      <w:pPr>
        <w:pStyle w:val="CETBodytext"/>
        <w:rPr>
          <w:rFonts w:cs="Arial"/>
          <w:b/>
          <w:bCs/>
          <w:lang w:val="es-PE"/>
        </w:rPr>
      </w:pPr>
    </w:p>
    <w:p w14:paraId="7E8DE666" w14:textId="52DC158C" w:rsidR="00DE05D3" w:rsidRPr="00DB3646" w:rsidRDefault="0001516E" w:rsidP="00DE05D3">
      <w:pPr>
        <w:pStyle w:val="CETBodytext"/>
        <w:rPr>
          <w:rFonts w:cs="Arial"/>
          <w:b/>
          <w:bCs/>
          <w:lang w:val="en-CA"/>
        </w:rPr>
      </w:pPr>
      <w:r w:rsidRPr="00DB3646">
        <w:rPr>
          <w:rFonts w:cs="Arial"/>
          <w:b/>
          <w:bCs/>
          <w:lang w:val="en-CA"/>
        </w:rPr>
        <w:t>2</w:t>
      </w:r>
      <w:r w:rsidR="00DE05D3" w:rsidRPr="00DB3646">
        <w:rPr>
          <w:rFonts w:cs="Arial"/>
          <w:b/>
          <w:bCs/>
          <w:lang w:val="en-CA"/>
        </w:rPr>
        <w:t>.7 Data Processing and Cleaning</w:t>
      </w:r>
    </w:p>
    <w:p w14:paraId="715A9BB8" w14:textId="77777777" w:rsidR="00BF7899" w:rsidRPr="00DB3646" w:rsidRDefault="00BF7899" w:rsidP="00BF7899">
      <w:pPr>
        <w:pStyle w:val="CETBodytext"/>
        <w:rPr>
          <w:rFonts w:cs="Arial"/>
          <w:lang w:val="en-CA"/>
        </w:rPr>
      </w:pPr>
      <w:r w:rsidRPr="00DB3646">
        <w:rPr>
          <w:rFonts w:cs="Arial"/>
          <w:lang w:val="en-CA"/>
        </w:rPr>
        <w:t>Data processing was performed using spreadsheets and basic statistical analysis tools, following these steps:</w:t>
      </w:r>
    </w:p>
    <w:p w14:paraId="06480E18" w14:textId="77777777" w:rsidR="00BF7899" w:rsidRPr="00DB3646" w:rsidRDefault="00BF7899" w:rsidP="00BF7899">
      <w:pPr>
        <w:pStyle w:val="CETBodytext"/>
        <w:numPr>
          <w:ilvl w:val="0"/>
          <w:numId w:val="36"/>
        </w:numPr>
        <w:rPr>
          <w:rFonts w:cs="Arial"/>
          <w:lang w:val="en-CA"/>
        </w:rPr>
      </w:pPr>
      <w:r w:rsidRPr="00DB3646">
        <w:rPr>
          <w:rFonts w:cs="Arial"/>
          <w:lang w:val="en-CA"/>
        </w:rPr>
        <w:t>Data cleaning: removal of empty cells and verification of duplicates.</w:t>
      </w:r>
    </w:p>
    <w:p w14:paraId="70AC2D41" w14:textId="77777777" w:rsidR="00BF7899" w:rsidRPr="00DB3646" w:rsidRDefault="00BF7899" w:rsidP="00BF7899">
      <w:pPr>
        <w:pStyle w:val="CETBodytext"/>
        <w:numPr>
          <w:ilvl w:val="0"/>
          <w:numId w:val="36"/>
        </w:numPr>
        <w:rPr>
          <w:rFonts w:cs="Arial"/>
          <w:lang w:val="en-CA"/>
        </w:rPr>
      </w:pPr>
      <w:r w:rsidRPr="00DB3646">
        <w:rPr>
          <w:rFonts w:cs="Arial"/>
          <w:lang w:val="en-CA"/>
        </w:rPr>
        <w:t>Unit standardization: all measurements were converted to metric tons.</w:t>
      </w:r>
    </w:p>
    <w:p w14:paraId="75927389" w14:textId="77777777" w:rsidR="00BF7899" w:rsidRPr="00DB3646" w:rsidRDefault="00BF7899" w:rsidP="00BF7899">
      <w:pPr>
        <w:pStyle w:val="CETBodytext"/>
        <w:numPr>
          <w:ilvl w:val="0"/>
          <w:numId w:val="36"/>
        </w:numPr>
        <w:rPr>
          <w:rFonts w:cs="Arial"/>
          <w:lang w:val="en-CA"/>
        </w:rPr>
      </w:pPr>
      <w:r w:rsidRPr="00DB3646">
        <w:rPr>
          <w:rFonts w:cs="Arial"/>
          <w:lang w:val="en-CA"/>
        </w:rPr>
        <w:t>Chronological ordering: organization by month and year to ensure temporal continuity.</w:t>
      </w:r>
    </w:p>
    <w:p w14:paraId="2AA12B8D" w14:textId="77777777" w:rsidR="00BF7899" w:rsidRPr="00DB3646" w:rsidRDefault="00BF7899" w:rsidP="00BF7899">
      <w:pPr>
        <w:pStyle w:val="CETBodytext"/>
        <w:numPr>
          <w:ilvl w:val="0"/>
          <w:numId w:val="36"/>
        </w:numPr>
        <w:rPr>
          <w:rFonts w:cs="Arial"/>
          <w:lang w:val="en-CA"/>
        </w:rPr>
      </w:pPr>
      <w:r w:rsidRPr="00DB3646">
        <w:rPr>
          <w:rFonts w:cs="Arial"/>
          <w:lang w:val="en-CA"/>
        </w:rPr>
        <w:t>Aggregate calculations: annual totals, monthly averages, and year-over-year percentage changes.</w:t>
      </w:r>
    </w:p>
    <w:p w14:paraId="2E04C49F" w14:textId="08417409" w:rsidR="00BF7899" w:rsidRPr="00DB3646" w:rsidRDefault="00BF7899" w:rsidP="00BF7899">
      <w:pPr>
        <w:pStyle w:val="CETBodytext"/>
        <w:rPr>
          <w:rFonts w:cs="Arial"/>
          <w:lang w:val="en-CA"/>
        </w:rPr>
      </w:pPr>
      <w:r w:rsidRPr="00DB3646">
        <w:rPr>
          <w:rFonts w:cs="Arial"/>
          <w:lang w:val="en-CA"/>
        </w:rPr>
        <w:t>These actions ensured the integrity and comparability of the database.</w:t>
      </w:r>
    </w:p>
    <w:p w14:paraId="335C2D00" w14:textId="77777777" w:rsidR="0001516E" w:rsidRPr="00DB3646" w:rsidRDefault="0001516E" w:rsidP="00DE05D3">
      <w:pPr>
        <w:pStyle w:val="CETBodytext"/>
        <w:rPr>
          <w:rFonts w:cs="Arial"/>
          <w:b/>
          <w:bCs/>
          <w:lang w:val="en-CA"/>
        </w:rPr>
      </w:pPr>
    </w:p>
    <w:p w14:paraId="2C6E87BD" w14:textId="479B36D3" w:rsidR="00DE05D3" w:rsidRPr="00DB3646" w:rsidRDefault="0001516E" w:rsidP="00DE05D3">
      <w:pPr>
        <w:pStyle w:val="CETBodytext"/>
        <w:rPr>
          <w:rFonts w:cs="Arial"/>
          <w:b/>
          <w:bCs/>
          <w:lang w:val="en-CA"/>
        </w:rPr>
      </w:pPr>
      <w:r w:rsidRPr="00DB3646">
        <w:rPr>
          <w:rFonts w:cs="Arial"/>
          <w:b/>
          <w:bCs/>
          <w:lang w:val="en-CA"/>
        </w:rPr>
        <w:t>2</w:t>
      </w:r>
      <w:r w:rsidR="00DE05D3" w:rsidRPr="00DB3646">
        <w:rPr>
          <w:rFonts w:cs="Arial"/>
          <w:b/>
          <w:bCs/>
          <w:lang w:val="en-CA"/>
        </w:rPr>
        <w:t>.8 Data Analysis Techniques</w:t>
      </w:r>
    </w:p>
    <w:p w14:paraId="365D17E7" w14:textId="77777777" w:rsidR="002E3ADC" w:rsidRPr="00DB3646" w:rsidRDefault="002E3ADC" w:rsidP="002E3ADC">
      <w:pPr>
        <w:pStyle w:val="CETBodytext"/>
        <w:rPr>
          <w:rFonts w:cs="Arial"/>
          <w:lang w:val="en-CA"/>
        </w:rPr>
      </w:pPr>
      <w:r w:rsidRPr="00DB3646">
        <w:rPr>
          <w:rFonts w:cs="Arial"/>
          <w:lang w:val="en-CA"/>
        </w:rPr>
        <w:t>Descriptive statistical techniques, considered appropriate for environmental management studies and operational time series (Field, 2013), were applied. These included:</w:t>
      </w:r>
    </w:p>
    <w:p w14:paraId="1A2122C5" w14:textId="77777777" w:rsidR="002E3ADC" w:rsidRPr="00DB3646" w:rsidRDefault="002E3ADC" w:rsidP="007D0F08">
      <w:pPr>
        <w:pStyle w:val="CETBodytext"/>
        <w:numPr>
          <w:ilvl w:val="0"/>
          <w:numId w:val="37"/>
        </w:numPr>
        <w:rPr>
          <w:rFonts w:cs="Arial"/>
          <w:lang w:val="en-CA"/>
        </w:rPr>
      </w:pPr>
      <w:r w:rsidRPr="00DB3646">
        <w:rPr>
          <w:rFonts w:cs="Arial"/>
          <w:lang w:val="en-CA"/>
        </w:rPr>
        <w:t>Annual cumulative total.</w:t>
      </w:r>
    </w:p>
    <w:p w14:paraId="190C7B3C" w14:textId="77777777" w:rsidR="002E3ADC" w:rsidRPr="00DB3646" w:rsidRDefault="002E3ADC" w:rsidP="007D0F08">
      <w:pPr>
        <w:pStyle w:val="CETBodytext"/>
        <w:numPr>
          <w:ilvl w:val="0"/>
          <w:numId w:val="37"/>
        </w:numPr>
        <w:rPr>
          <w:rFonts w:cs="Arial"/>
          <w:lang w:val="en-CA"/>
        </w:rPr>
      </w:pPr>
      <w:r w:rsidRPr="00DB3646">
        <w:rPr>
          <w:rFonts w:cs="Arial"/>
          <w:lang w:val="en-CA"/>
        </w:rPr>
        <w:t>Monthly average.</w:t>
      </w:r>
    </w:p>
    <w:p w14:paraId="540A8A5F" w14:textId="77777777" w:rsidR="002E3ADC" w:rsidRPr="00DB3646" w:rsidRDefault="002E3ADC" w:rsidP="007D0F08">
      <w:pPr>
        <w:pStyle w:val="CETBodytext"/>
        <w:numPr>
          <w:ilvl w:val="0"/>
          <w:numId w:val="37"/>
        </w:numPr>
        <w:rPr>
          <w:rFonts w:cs="Arial"/>
          <w:lang w:val="en-CA"/>
        </w:rPr>
      </w:pPr>
      <w:r w:rsidRPr="00DB3646">
        <w:rPr>
          <w:rFonts w:cs="Arial"/>
          <w:lang w:val="en-CA"/>
        </w:rPr>
        <w:t>Year-over-year percentage change.</w:t>
      </w:r>
    </w:p>
    <w:p w14:paraId="3620C68E" w14:textId="77777777" w:rsidR="002E3ADC" w:rsidRPr="00DB3646" w:rsidRDefault="002E3ADC" w:rsidP="007D0F08">
      <w:pPr>
        <w:pStyle w:val="CETBodytext"/>
        <w:numPr>
          <w:ilvl w:val="0"/>
          <w:numId w:val="37"/>
        </w:numPr>
        <w:rPr>
          <w:rFonts w:cs="Arial"/>
          <w:lang w:val="en-CA"/>
        </w:rPr>
      </w:pPr>
      <w:r w:rsidRPr="00DB3646">
        <w:rPr>
          <w:rFonts w:cs="Arial"/>
          <w:lang w:val="en-CA"/>
        </w:rPr>
        <w:t>Identification of peaks and seasonality.</w:t>
      </w:r>
    </w:p>
    <w:p w14:paraId="70CEB73C" w14:textId="77777777" w:rsidR="002E3ADC" w:rsidRPr="00DB3646" w:rsidRDefault="002E3ADC" w:rsidP="007D0F08">
      <w:pPr>
        <w:pStyle w:val="CETBodytext"/>
        <w:numPr>
          <w:ilvl w:val="0"/>
          <w:numId w:val="37"/>
        </w:numPr>
        <w:rPr>
          <w:rFonts w:cs="Arial"/>
          <w:lang w:val="en-CA"/>
        </w:rPr>
      </w:pPr>
      <w:r w:rsidRPr="00DB3646">
        <w:rPr>
          <w:rFonts w:cs="Arial"/>
          <w:lang w:val="en-CA"/>
        </w:rPr>
        <w:t>Graphical representation using bar charts and line graphs.</w:t>
      </w:r>
    </w:p>
    <w:p w14:paraId="349A27B1" w14:textId="6E718362" w:rsidR="002E3ADC" w:rsidRPr="00DB3646" w:rsidRDefault="002E3ADC" w:rsidP="002E3ADC">
      <w:pPr>
        <w:pStyle w:val="CETBodytext"/>
        <w:rPr>
          <w:rFonts w:cs="Arial"/>
          <w:lang w:val="en-CA"/>
        </w:rPr>
      </w:pPr>
      <w:r w:rsidRPr="00DB3646">
        <w:rPr>
          <w:rFonts w:cs="Arial"/>
          <w:lang w:val="en-CA"/>
        </w:rPr>
        <w:t>These techniques allowed for the visualization of behavioral patterns and the evaluation of the program's stability over time.</w:t>
      </w:r>
    </w:p>
    <w:p w14:paraId="7DB29281" w14:textId="77777777" w:rsidR="0069730A" w:rsidRPr="00DB3646" w:rsidRDefault="0069730A" w:rsidP="002E3ADC">
      <w:pPr>
        <w:pStyle w:val="CETBodytext"/>
        <w:rPr>
          <w:rFonts w:cs="Arial"/>
          <w:lang w:val="en-CA"/>
        </w:rPr>
      </w:pPr>
    </w:p>
    <w:p w14:paraId="389E320D" w14:textId="77777777" w:rsidR="007D0F08" w:rsidRPr="00DB3646" w:rsidRDefault="0001516E" w:rsidP="007D0F08">
      <w:pPr>
        <w:pStyle w:val="CETBodytext"/>
        <w:rPr>
          <w:rFonts w:cs="Arial"/>
          <w:b/>
          <w:bCs/>
          <w:lang w:val="en-CA"/>
        </w:rPr>
      </w:pPr>
      <w:r w:rsidRPr="00DB3646">
        <w:rPr>
          <w:rFonts w:cs="Arial"/>
          <w:b/>
          <w:bCs/>
          <w:lang w:val="en-CA"/>
        </w:rPr>
        <w:t>2</w:t>
      </w:r>
      <w:r w:rsidR="00DE05D3" w:rsidRPr="00DB3646">
        <w:rPr>
          <w:rFonts w:cs="Arial"/>
          <w:b/>
          <w:bCs/>
          <w:lang w:val="en-CA"/>
        </w:rPr>
        <w:t>.9 Estimation of GHG Emission Reductions</w:t>
      </w:r>
    </w:p>
    <w:p w14:paraId="1ED19680" w14:textId="1BE844A5" w:rsidR="007D0F08" w:rsidRPr="00DB3646" w:rsidRDefault="007D0F08" w:rsidP="007D0F08">
      <w:pPr>
        <w:pStyle w:val="CETBodytext"/>
        <w:rPr>
          <w:rFonts w:cs="Arial"/>
          <w:b/>
          <w:bCs/>
          <w:lang w:val="en-CA"/>
        </w:rPr>
      </w:pPr>
      <w:r w:rsidRPr="00DB3646">
        <w:rPr>
          <w:rFonts w:cs="Arial"/>
          <w:lang w:val="en-CA"/>
        </w:rPr>
        <w:t xml:space="preserve">The potential for emissions mitigation was estimated using </w:t>
      </w:r>
      <w:proofErr w:type="spellStart"/>
      <w:r w:rsidRPr="00DB3646">
        <w:rPr>
          <w:rFonts w:cs="Arial"/>
          <w:lang w:val="en-CA"/>
        </w:rPr>
        <w:t>CO</w:t>
      </w:r>
      <w:r w:rsidRPr="00DB3646">
        <w:rPr>
          <w:rFonts w:ascii="Cambria Math" w:hAnsi="Cambria Math" w:cs="Cambria Math"/>
          <w:lang w:val="en-CA"/>
        </w:rPr>
        <w:t>₂</w:t>
      </w:r>
      <w:r w:rsidRPr="00DB3646">
        <w:rPr>
          <w:rFonts w:cs="Arial"/>
          <w:lang w:val="en-CA"/>
        </w:rPr>
        <w:t>e</w:t>
      </w:r>
      <w:proofErr w:type="spellEnd"/>
      <w:r w:rsidRPr="00DB3646">
        <w:rPr>
          <w:rFonts w:cs="Arial"/>
          <w:lang w:val="en-CA"/>
        </w:rPr>
        <w:t>/ton conversion factors reported in international technical literature on waste management and composting (IPCC, 2019; UNEP, 2022). Two methodological scenarios were considered:</w:t>
      </w:r>
    </w:p>
    <w:p w14:paraId="0ACFDC1B" w14:textId="77777777" w:rsidR="007D0F08" w:rsidRPr="00DB3646" w:rsidRDefault="007D0F08" w:rsidP="007D0F08">
      <w:pPr>
        <w:pStyle w:val="CETBodytext"/>
        <w:numPr>
          <w:ilvl w:val="0"/>
          <w:numId w:val="38"/>
        </w:numPr>
        <w:rPr>
          <w:rFonts w:cs="Arial"/>
          <w:lang w:val="en-CA"/>
        </w:rPr>
      </w:pPr>
      <w:r w:rsidRPr="00DB3646">
        <w:rPr>
          <w:rFonts w:cs="Arial"/>
          <w:lang w:val="en-CA"/>
        </w:rPr>
        <w:t>Conservative Scenario: This scenario uses a low reduction factor, assuming lower process efficiency and variable organic composition.</w:t>
      </w:r>
    </w:p>
    <w:p w14:paraId="0454B39E" w14:textId="77777777" w:rsidR="007D0F08" w:rsidRPr="00DB3646" w:rsidRDefault="007D0F08" w:rsidP="007D0F08">
      <w:pPr>
        <w:pStyle w:val="CETBodytext"/>
        <w:numPr>
          <w:ilvl w:val="0"/>
          <w:numId w:val="38"/>
        </w:numPr>
        <w:rPr>
          <w:rFonts w:cs="Arial"/>
          <w:lang w:val="en-CA"/>
        </w:rPr>
      </w:pPr>
      <w:r w:rsidRPr="00DB3646">
        <w:rPr>
          <w:rFonts w:cs="Arial"/>
          <w:lang w:val="en-CA"/>
        </w:rPr>
        <w:t>Optimistic Scenario: This scenario uses a high reduction factor, associated with greater diversion efficiency and methane reduction in landfills.</w:t>
      </w:r>
    </w:p>
    <w:p w14:paraId="57A08151" w14:textId="77777777" w:rsidR="007D0F08" w:rsidRPr="00DB3646" w:rsidRDefault="007D0F08" w:rsidP="007D0F08">
      <w:pPr>
        <w:pStyle w:val="CETBodytext"/>
        <w:rPr>
          <w:rFonts w:cs="Arial"/>
          <w:lang w:val="en-CA"/>
        </w:rPr>
      </w:pPr>
      <w:r w:rsidRPr="00DB3646">
        <w:rPr>
          <w:rFonts w:cs="Arial"/>
          <w:lang w:val="en-CA"/>
        </w:rPr>
        <w:t>The general formula used was:</w:t>
      </w:r>
    </w:p>
    <w:p w14:paraId="33F294C4" w14:textId="77777777" w:rsidR="007D0F08" w:rsidRPr="00DB3646" w:rsidRDefault="007D0F08" w:rsidP="007D0F08">
      <w:pPr>
        <w:pStyle w:val="CETBodytext"/>
        <w:rPr>
          <w:rFonts w:cs="Arial"/>
          <w:lang w:val="en-CA"/>
        </w:rPr>
      </w:pPr>
      <w:r w:rsidRPr="00DB3646">
        <w:rPr>
          <w:rFonts w:cs="Arial"/>
          <w:lang w:val="en-CA"/>
        </w:rPr>
        <w:lastRenderedPageBreak/>
        <w:t>Emissions avoided (</w:t>
      </w:r>
      <w:proofErr w:type="spellStart"/>
      <w:r w:rsidRPr="00DB3646">
        <w:rPr>
          <w:rFonts w:cs="Arial"/>
          <w:lang w:val="en-CA"/>
        </w:rPr>
        <w:t>tCO</w:t>
      </w:r>
      <w:r w:rsidRPr="00DB3646">
        <w:rPr>
          <w:rFonts w:ascii="Cambria Math" w:hAnsi="Cambria Math" w:cs="Cambria Math"/>
          <w:lang w:val="en-CA"/>
        </w:rPr>
        <w:t>₂</w:t>
      </w:r>
      <w:r w:rsidRPr="00DB3646">
        <w:rPr>
          <w:rFonts w:cs="Arial"/>
          <w:lang w:val="en-CA"/>
        </w:rPr>
        <w:t>e</w:t>
      </w:r>
      <w:proofErr w:type="spellEnd"/>
      <w:r w:rsidRPr="00DB3646">
        <w:rPr>
          <w:rFonts w:cs="Arial"/>
          <w:lang w:val="en-CA"/>
        </w:rPr>
        <w:t>) = Tons recovered × Conversion Factor</w:t>
      </w:r>
    </w:p>
    <w:p w14:paraId="50F562A3" w14:textId="069EAE53" w:rsidR="007D0F08" w:rsidRPr="00DB3646" w:rsidRDefault="007D0F08" w:rsidP="007D0F08">
      <w:pPr>
        <w:pStyle w:val="CETBodytext"/>
        <w:rPr>
          <w:rFonts w:cs="Arial"/>
          <w:lang w:val="en-CA"/>
        </w:rPr>
      </w:pPr>
      <w:r w:rsidRPr="00DB3646">
        <w:rPr>
          <w:rFonts w:cs="Arial"/>
          <w:lang w:val="en-CA"/>
        </w:rPr>
        <w:t>This method is widely used in preliminary climate impact assessments when direct gas measurements are unavailable (IPCC, 2019).</w:t>
      </w:r>
    </w:p>
    <w:p w14:paraId="3C23A295" w14:textId="77777777" w:rsidR="0001516E" w:rsidRPr="00DB3646" w:rsidRDefault="0001516E" w:rsidP="00DE05D3">
      <w:pPr>
        <w:pStyle w:val="CETBodytext"/>
        <w:rPr>
          <w:rFonts w:cs="Arial"/>
          <w:b/>
          <w:bCs/>
          <w:lang w:val="en-CA"/>
        </w:rPr>
      </w:pPr>
    </w:p>
    <w:p w14:paraId="2B889DDE" w14:textId="3E2107D2" w:rsidR="00DE05D3" w:rsidRPr="00DB3646" w:rsidRDefault="0001516E" w:rsidP="00DE05D3">
      <w:pPr>
        <w:pStyle w:val="CETBodytext"/>
        <w:rPr>
          <w:rFonts w:cs="Arial"/>
          <w:b/>
          <w:bCs/>
          <w:lang w:val="en-CA"/>
        </w:rPr>
      </w:pPr>
      <w:r w:rsidRPr="00DB3646">
        <w:rPr>
          <w:rFonts w:cs="Arial"/>
          <w:b/>
          <w:bCs/>
          <w:lang w:val="en-CA"/>
        </w:rPr>
        <w:t>2</w:t>
      </w:r>
      <w:r w:rsidR="00DE05D3" w:rsidRPr="00DB3646">
        <w:rPr>
          <w:rFonts w:cs="Arial"/>
          <w:b/>
          <w:bCs/>
          <w:lang w:val="en-CA"/>
        </w:rPr>
        <w:t>.10 Validity and Reliability Criteria</w:t>
      </w:r>
    </w:p>
    <w:p w14:paraId="1D2BA0B5" w14:textId="77777777" w:rsidR="00CA587D" w:rsidRPr="00DB3646" w:rsidRDefault="00CA587D" w:rsidP="00CA587D">
      <w:pPr>
        <w:pStyle w:val="CETBodytext"/>
        <w:rPr>
          <w:rFonts w:cs="Arial"/>
          <w:lang w:val="en-CA"/>
        </w:rPr>
      </w:pPr>
      <w:r w:rsidRPr="00DB3646">
        <w:rPr>
          <w:rFonts w:cs="Arial"/>
          <w:lang w:val="en-CA"/>
        </w:rPr>
        <w:t>The reliability of the information is based on the official and administrative nature of the municipal records, used for institutional management reports. The following criteria were applied:</w:t>
      </w:r>
    </w:p>
    <w:p w14:paraId="630E38C1" w14:textId="77777777" w:rsidR="00CA587D" w:rsidRPr="00DB3646" w:rsidRDefault="00CA587D" w:rsidP="00CA587D">
      <w:pPr>
        <w:pStyle w:val="CETBodytext"/>
        <w:numPr>
          <w:ilvl w:val="0"/>
          <w:numId w:val="39"/>
        </w:numPr>
        <w:rPr>
          <w:rFonts w:cs="Arial"/>
          <w:lang w:val="en-CA"/>
        </w:rPr>
      </w:pPr>
      <w:r w:rsidRPr="00DB3646">
        <w:rPr>
          <w:rFonts w:cs="Arial"/>
          <w:lang w:val="en-CA"/>
        </w:rPr>
        <w:t>Temporal consistency (monthly continuity).</w:t>
      </w:r>
    </w:p>
    <w:p w14:paraId="3A2F2A8A" w14:textId="77777777" w:rsidR="00CA587D" w:rsidRPr="00DB3646" w:rsidRDefault="00CA587D" w:rsidP="00CA587D">
      <w:pPr>
        <w:pStyle w:val="CETBodytext"/>
        <w:numPr>
          <w:ilvl w:val="0"/>
          <w:numId w:val="39"/>
        </w:numPr>
        <w:rPr>
          <w:rFonts w:cs="Arial"/>
          <w:lang w:val="en-CA"/>
        </w:rPr>
      </w:pPr>
      <w:r w:rsidRPr="00DB3646">
        <w:rPr>
          <w:rFonts w:cs="Arial"/>
          <w:lang w:val="en-CA"/>
        </w:rPr>
        <w:t>Interannual comparability.</w:t>
      </w:r>
    </w:p>
    <w:p w14:paraId="43AE5295" w14:textId="77777777" w:rsidR="00CA587D" w:rsidRPr="00DB3646" w:rsidRDefault="00CA587D" w:rsidP="00CA587D">
      <w:pPr>
        <w:pStyle w:val="CETBodytext"/>
        <w:numPr>
          <w:ilvl w:val="0"/>
          <w:numId w:val="39"/>
        </w:numPr>
        <w:rPr>
          <w:rFonts w:cs="Arial"/>
          <w:lang w:val="en-CA"/>
        </w:rPr>
      </w:pPr>
      <w:r w:rsidRPr="00DB3646">
        <w:rPr>
          <w:rFonts w:cs="Arial"/>
          <w:lang w:val="en-CA"/>
        </w:rPr>
        <w:t>Coherence of operational ranges.</w:t>
      </w:r>
    </w:p>
    <w:p w14:paraId="5C5F4AB0" w14:textId="34887156" w:rsidR="00CA587D" w:rsidRPr="00DB3646" w:rsidRDefault="00CA587D" w:rsidP="00CA587D">
      <w:pPr>
        <w:pStyle w:val="CETBodytext"/>
        <w:rPr>
          <w:rFonts w:cs="Arial"/>
          <w:lang w:val="en-CA"/>
        </w:rPr>
      </w:pPr>
      <w:r w:rsidRPr="00DB3646">
        <w:rPr>
          <w:rFonts w:cs="Arial"/>
          <w:lang w:val="en-CA"/>
        </w:rPr>
        <w:t>Internal validity is based on the correspondence between the analyzed data and the study objectives, while external validity is linked to the possibility of replicating the method in other similar municipal programs.</w:t>
      </w:r>
    </w:p>
    <w:p w14:paraId="7B611057" w14:textId="77777777" w:rsidR="00CA587D" w:rsidRPr="00DB3646" w:rsidRDefault="00CA587D" w:rsidP="00CA587D">
      <w:pPr>
        <w:pStyle w:val="CETBodytext"/>
        <w:rPr>
          <w:rFonts w:cs="Arial"/>
          <w:lang w:val="en-CA"/>
        </w:rPr>
      </w:pPr>
    </w:p>
    <w:p w14:paraId="3F3418EA" w14:textId="05DB830B" w:rsidR="00DE05D3" w:rsidRPr="00DB3646" w:rsidRDefault="0001516E" w:rsidP="00DE05D3">
      <w:pPr>
        <w:pStyle w:val="CETBodytext"/>
        <w:rPr>
          <w:rFonts w:cs="Arial"/>
          <w:b/>
          <w:bCs/>
          <w:lang w:val="en-CA"/>
        </w:rPr>
      </w:pPr>
      <w:r w:rsidRPr="00DB3646">
        <w:rPr>
          <w:rFonts w:cs="Arial"/>
          <w:b/>
          <w:bCs/>
          <w:lang w:val="en-CA"/>
        </w:rPr>
        <w:t>2</w:t>
      </w:r>
      <w:r w:rsidR="00DE05D3" w:rsidRPr="00DB3646">
        <w:rPr>
          <w:rFonts w:cs="Arial"/>
          <w:b/>
          <w:bCs/>
          <w:lang w:val="en-CA"/>
        </w:rPr>
        <w:t>.11 Ethical Considerations</w:t>
      </w:r>
    </w:p>
    <w:p w14:paraId="484AF889" w14:textId="5F01B960" w:rsidR="001E5EC3" w:rsidRPr="00DB3646" w:rsidRDefault="001E5EC3" w:rsidP="001E5EC3">
      <w:pPr>
        <w:pStyle w:val="CETBodytext"/>
        <w:rPr>
          <w:rFonts w:cs="Arial"/>
          <w:lang w:val="en-CA"/>
        </w:rPr>
      </w:pPr>
      <w:r w:rsidRPr="00DB3646">
        <w:rPr>
          <w:rFonts w:cs="Arial"/>
          <w:lang w:val="en-CA"/>
        </w:rPr>
        <w:t xml:space="preserve">This study does not involve personal data or sensitive information; </w:t>
      </w:r>
      <w:proofErr w:type="gramStart"/>
      <w:r w:rsidRPr="00DB3646">
        <w:rPr>
          <w:rFonts w:cs="Arial"/>
          <w:lang w:val="en-CA"/>
        </w:rPr>
        <w:t>therefore</w:t>
      </w:r>
      <w:proofErr w:type="gramEnd"/>
      <w:r w:rsidRPr="00DB3646">
        <w:rPr>
          <w:rFonts w:cs="Arial"/>
          <w:lang w:val="en-CA"/>
        </w:rPr>
        <w:t xml:space="preserve"> informed consent is not required. The information used is institutional in nature and is employed exclusively for academic, technical, and public environmental management improvement purposes.</w:t>
      </w:r>
    </w:p>
    <w:p w14:paraId="094CCA69" w14:textId="77777777" w:rsidR="0001516E" w:rsidRPr="00DB3646" w:rsidRDefault="0001516E" w:rsidP="00DE05D3">
      <w:pPr>
        <w:pStyle w:val="CETBodytext"/>
        <w:rPr>
          <w:rFonts w:cs="Arial"/>
          <w:b/>
          <w:bCs/>
          <w:lang w:val="en-CA"/>
        </w:rPr>
      </w:pPr>
    </w:p>
    <w:p w14:paraId="146C2D6E" w14:textId="4894A362" w:rsidR="00DE05D3" w:rsidRPr="00DB3646" w:rsidRDefault="0001516E" w:rsidP="00DE05D3">
      <w:pPr>
        <w:pStyle w:val="CETBodytext"/>
        <w:rPr>
          <w:rFonts w:cs="Arial"/>
          <w:b/>
          <w:bCs/>
          <w:lang w:val="en-CA"/>
        </w:rPr>
      </w:pPr>
      <w:r w:rsidRPr="00DB3646">
        <w:rPr>
          <w:rFonts w:cs="Arial"/>
          <w:b/>
          <w:bCs/>
          <w:lang w:val="en-CA"/>
        </w:rPr>
        <w:t>2</w:t>
      </w:r>
      <w:r w:rsidR="00DE05D3" w:rsidRPr="00DB3646">
        <w:rPr>
          <w:rFonts w:cs="Arial"/>
          <w:b/>
          <w:bCs/>
          <w:lang w:val="en-CA"/>
        </w:rPr>
        <w:t>.12 Methodological Limitations</w:t>
      </w:r>
    </w:p>
    <w:p w14:paraId="4293561E" w14:textId="77777777" w:rsidR="001E5EC3" w:rsidRPr="00DB3646" w:rsidRDefault="001E5EC3" w:rsidP="001E5EC3">
      <w:pPr>
        <w:pStyle w:val="CETBodytext"/>
        <w:numPr>
          <w:ilvl w:val="0"/>
          <w:numId w:val="40"/>
        </w:numPr>
        <w:rPr>
          <w:rFonts w:cs="Arial"/>
          <w:lang w:val="en-CA"/>
        </w:rPr>
      </w:pPr>
      <w:r w:rsidRPr="00DB3646">
        <w:rPr>
          <w:rFonts w:cs="Arial"/>
          <w:lang w:val="en-CA"/>
        </w:rPr>
        <w:t>Lack of direct field measurement of methane emissions.</w:t>
      </w:r>
    </w:p>
    <w:p w14:paraId="394E06DC" w14:textId="77777777" w:rsidR="001E5EC3" w:rsidRPr="00DB3646" w:rsidRDefault="001E5EC3" w:rsidP="001E5EC3">
      <w:pPr>
        <w:pStyle w:val="CETBodytext"/>
        <w:numPr>
          <w:ilvl w:val="0"/>
          <w:numId w:val="40"/>
        </w:numPr>
        <w:rPr>
          <w:rFonts w:cs="Arial"/>
          <w:lang w:val="en-CA"/>
        </w:rPr>
      </w:pPr>
      <w:r w:rsidRPr="00DB3646">
        <w:rPr>
          <w:rFonts w:cs="Arial"/>
          <w:lang w:val="en-CA"/>
        </w:rPr>
        <w:t>Reliance on estimated conversion factors.</w:t>
      </w:r>
    </w:p>
    <w:p w14:paraId="5912DE32" w14:textId="77777777" w:rsidR="001E5EC3" w:rsidRPr="00DB3646" w:rsidRDefault="001E5EC3" w:rsidP="001E5EC3">
      <w:pPr>
        <w:pStyle w:val="CETBodytext"/>
        <w:numPr>
          <w:ilvl w:val="0"/>
          <w:numId w:val="40"/>
        </w:numPr>
        <w:rPr>
          <w:rFonts w:cs="Arial"/>
          <w:lang w:val="en-CA"/>
        </w:rPr>
      </w:pPr>
      <w:r w:rsidRPr="00DB3646">
        <w:rPr>
          <w:rFonts w:cs="Arial"/>
          <w:lang w:val="en-CA"/>
        </w:rPr>
        <w:t>No evaluation of the physicochemical composition of the waste.</w:t>
      </w:r>
    </w:p>
    <w:p w14:paraId="1C354226" w14:textId="755433B7" w:rsidR="001E5EC3" w:rsidRPr="00DB3646" w:rsidRDefault="001E5EC3" w:rsidP="001E5EC3">
      <w:pPr>
        <w:pStyle w:val="CETBodytext"/>
        <w:numPr>
          <w:ilvl w:val="0"/>
          <w:numId w:val="40"/>
        </w:numPr>
        <w:rPr>
          <w:rFonts w:cs="Arial"/>
          <w:lang w:val="en-CA"/>
        </w:rPr>
      </w:pPr>
      <w:r w:rsidRPr="00DB3646">
        <w:rPr>
          <w:rFonts w:cs="Arial"/>
          <w:lang w:val="en-CA"/>
        </w:rPr>
        <w:t>Possible operational variability not recorded in the administrative database.</w:t>
      </w:r>
    </w:p>
    <w:p w14:paraId="33CB35E2" w14:textId="77777777" w:rsidR="000F711D" w:rsidRPr="00DB3646" w:rsidRDefault="000F711D" w:rsidP="00B22C0E">
      <w:pPr>
        <w:pStyle w:val="CETBodytext"/>
        <w:rPr>
          <w:rFonts w:cs="Arial"/>
          <w:lang w:val="en-CA"/>
        </w:rPr>
      </w:pPr>
    </w:p>
    <w:p w14:paraId="085AB88D" w14:textId="6C3BB91F" w:rsidR="0001516E" w:rsidRPr="00DB3646" w:rsidRDefault="00F82A7C" w:rsidP="0040327C">
      <w:pPr>
        <w:pStyle w:val="CETBodytext"/>
        <w:numPr>
          <w:ilvl w:val="0"/>
          <w:numId w:val="23"/>
        </w:numPr>
        <w:rPr>
          <w:rFonts w:cs="Arial"/>
          <w:b/>
          <w:bCs/>
          <w:lang w:val="en-CA"/>
        </w:rPr>
      </w:pPr>
      <w:r w:rsidRPr="00DB3646">
        <w:rPr>
          <w:rFonts w:cs="Arial"/>
          <w:b/>
          <w:bCs/>
          <w:lang w:val="en-CA"/>
        </w:rPr>
        <w:t>Results and Discussion</w:t>
      </w:r>
    </w:p>
    <w:p w14:paraId="3D222E93" w14:textId="4DC16378" w:rsidR="001D45A7" w:rsidRPr="00DB3646" w:rsidRDefault="00F82A7C" w:rsidP="001D45A7">
      <w:pPr>
        <w:pStyle w:val="CETBodytext"/>
        <w:rPr>
          <w:rFonts w:cs="Arial"/>
          <w:b/>
          <w:bCs/>
          <w:lang w:val="en-CA"/>
        </w:rPr>
      </w:pPr>
      <w:r w:rsidRPr="00DB3646">
        <w:rPr>
          <w:rFonts w:cs="Arial"/>
          <w:b/>
          <w:bCs/>
          <w:lang w:val="en-CA"/>
        </w:rPr>
        <w:t>3.1</w:t>
      </w:r>
      <w:r w:rsidR="001D45A7" w:rsidRPr="00DB3646">
        <w:rPr>
          <w:rFonts w:cs="Arial"/>
          <w:b/>
          <w:bCs/>
          <w:lang w:val="en-CA"/>
        </w:rPr>
        <w:t xml:space="preserve"> Annual Organic Waste Valorization</w:t>
      </w:r>
    </w:p>
    <w:p w14:paraId="2FD4D36A" w14:textId="77777777" w:rsidR="008323F8" w:rsidRPr="00DB3646" w:rsidRDefault="008323F8" w:rsidP="008323F8">
      <w:pPr>
        <w:pStyle w:val="CETBodytext"/>
        <w:rPr>
          <w:rFonts w:cs="Arial"/>
          <w:lang w:val="en-CA"/>
        </w:rPr>
      </w:pPr>
      <w:r w:rsidRPr="00DB3646">
        <w:rPr>
          <w:rFonts w:cs="Arial"/>
          <w:lang w:val="en-CA"/>
        </w:rPr>
        <w:t xml:space="preserve">Analysis of the Santa María </w:t>
      </w:r>
      <w:proofErr w:type="spellStart"/>
      <w:r w:rsidRPr="00DB3646">
        <w:rPr>
          <w:rFonts w:cs="Arial"/>
          <w:lang w:val="en-CA"/>
        </w:rPr>
        <w:t>Recicla</w:t>
      </w:r>
      <w:proofErr w:type="spellEnd"/>
      <w:r w:rsidRPr="00DB3646">
        <w:rPr>
          <w:rFonts w:cs="Arial"/>
          <w:lang w:val="en-CA"/>
        </w:rPr>
        <w:t xml:space="preserve"> program database for the period 2023–2025 shows sustained growth in the recovery of organic waste. The total annual tonnage recovered demonstrates a significant improvement in the program's operational capacity between the first and second years, followed by a stabilization phase.</w:t>
      </w:r>
    </w:p>
    <w:p w14:paraId="50118482" w14:textId="77777777" w:rsidR="008323F8" w:rsidRPr="00DB3646" w:rsidRDefault="008323F8" w:rsidP="008323F8">
      <w:pPr>
        <w:pStyle w:val="CETBodytext"/>
        <w:rPr>
          <w:rFonts w:cs="Arial"/>
          <w:lang w:val="en-CA"/>
        </w:rPr>
      </w:pPr>
    </w:p>
    <w:p w14:paraId="333028F8" w14:textId="2C6167B8" w:rsidR="001D45A7" w:rsidRPr="00DB3646" w:rsidRDefault="001D45A7" w:rsidP="008323F8">
      <w:pPr>
        <w:pStyle w:val="CETBodytext"/>
        <w:jc w:val="center"/>
        <w:rPr>
          <w:rFonts w:cs="Arial"/>
          <w:lang w:val="en-CA"/>
        </w:rPr>
      </w:pPr>
      <w:r w:rsidRPr="00DB3646">
        <w:rPr>
          <w:rFonts w:cs="Arial"/>
          <w:b/>
          <w:bCs/>
          <w:lang w:val="en-CA"/>
        </w:rPr>
        <w:t>Table 1. Tons of Organic Waste Valorized per Year</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5"/>
        <w:gridCol w:w="1751"/>
        <w:gridCol w:w="1986"/>
      </w:tblGrid>
      <w:tr w:rsidR="001D45A7" w:rsidRPr="00DB3646" w14:paraId="2FDB411D" w14:textId="77777777" w:rsidTr="008323F8">
        <w:trPr>
          <w:tblHeader/>
          <w:tblCellSpacing w:w="15" w:type="dxa"/>
          <w:jc w:val="center"/>
        </w:trPr>
        <w:tc>
          <w:tcPr>
            <w:tcW w:w="0" w:type="auto"/>
            <w:vAlign w:val="center"/>
            <w:hideMark/>
          </w:tcPr>
          <w:p w14:paraId="59A09286" w14:textId="77777777" w:rsidR="001D45A7" w:rsidRPr="00DB3646" w:rsidRDefault="001D45A7" w:rsidP="008323F8">
            <w:pPr>
              <w:pStyle w:val="CETBodytext"/>
              <w:jc w:val="center"/>
              <w:rPr>
                <w:rFonts w:cs="Arial"/>
                <w:b/>
                <w:bCs/>
                <w:lang w:val="es-PE"/>
              </w:rPr>
            </w:pPr>
            <w:proofErr w:type="spellStart"/>
            <w:r w:rsidRPr="00DB3646">
              <w:rPr>
                <w:rFonts w:cs="Arial"/>
                <w:b/>
                <w:bCs/>
                <w:lang w:val="es-PE"/>
              </w:rPr>
              <w:t>Year</w:t>
            </w:r>
            <w:proofErr w:type="spellEnd"/>
          </w:p>
        </w:tc>
        <w:tc>
          <w:tcPr>
            <w:tcW w:w="0" w:type="auto"/>
            <w:vAlign w:val="center"/>
            <w:hideMark/>
          </w:tcPr>
          <w:p w14:paraId="0022161F" w14:textId="77777777" w:rsidR="001D45A7" w:rsidRPr="00DB3646" w:rsidRDefault="001D45A7" w:rsidP="008323F8">
            <w:pPr>
              <w:pStyle w:val="CETBodytext"/>
              <w:jc w:val="center"/>
              <w:rPr>
                <w:rFonts w:cs="Arial"/>
                <w:b/>
                <w:bCs/>
                <w:lang w:val="es-PE"/>
              </w:rPr>
            </w:pPr>
            <w:proofErr w:type="spellStart"/>
            <w:r w:rsidRPr="00DB3646">
              <w:rPr>
                <w:rFonts w:cs="Arial"/>
                <w:b/>
                <w:bCs/>
                <w:lang w:val="es-PE"/>
              </w:rPr>
              <w:t>Valorized</w:t>
            </w:r>
            <w:proofErr w:type="spellEnd"/>
            <w:r w:rsidRPr="00DB3646">
              <w:rPr>
                <w:rFonts w:cs="Arial"/>
                <w:b/>
                <w:bCs/>
                <w:lang w:val="es-PE"/>
              </w:rPr>
              <w:t xml:space="preserve"> </w:t>
            </w:r>
            <w:proofErr w:type="spellStart"/>
            <w:r w:rsidRPr="00DB3646">
              <w:rPr>
                <w:rFonts w:cs="Arial"/>
                <w:b/>
                <w:bCs/>
                <w:lang w:val="es-PE"/>
              </w:rPr>
              <w:t>Tons</w:t>
            </w:r>
            <w:proofErr w:type="spellEnd"/>
            <w:r w:rsidRPr="00DB3646">
              <w:rPr>
                <w:rFonts w:cs="Arial"/>
                <w:b/>
                <w:bCs/>
                <w:lang w:val="es-PE"/>
              </w:rPr>
              <w:t xml:space="preserve"> (</w:t>
            </w:r>
            <w:proofErr w:type="spellStart"/>
            <w:r w:rsidRPr="00DB3646">
              <w:rPr>
                <w:rFonts w:cs="Arial"/>
                <w:b/>
                <w:bCs/>
                <w:lang w:val="es-PE"/>
              </w:rPr>
              <w:t>Tn</w:t>
            </w:r>
            <w:proofErr w:type="spellEnd"/>
            <w:r w:rsidRPr="00DB3646">
              <w:rPr>
                <w:rFonts w:cs="Arial"/>
                <w:b/>
                <w:bCs/>
                <w:lang w:val="es-PE"/>
              </w:rPr>
              <w:t>)</w:t>
            </w:r>
          </w:p>
        </w:tc>
        <w:tc>
          <w:tcPr>
            <w:tcW w:w="0" w:type="auto"/>
            <w:vAlign w:val="center"/>
            <w:hideMark/>
          </w:tcPr>
          <w:p w14:paraId="36B744E8" w14:textId="77777777" w:rsidR="001D45A7" w:rsidRPr="00DB3646" w:rsidRDefault="001D45A7" w:rsidP="008323F8">
            <w:pPr>
              <w:pStyle w:val="CETBodytext"/>
              <w:jc w:val="center"/>
              <w:rPr>
                <w:rFonts w:cs="Arial"/>
                <w:b/>
                <w:bCs/>
                <w:lang w:val="es-PE"/>
              </w:rPr>
            </w:pPr>
            <w:proofErr w:type="spellStart"/>
            <w:r w:rsidRPr="00DB3646">
              <w:rPr>
                <w:rFonts w:cs="Arial"/>
                <w:b/>
                <w:bCs/>
                <w:lang w:val="es-PE"/>
              </w:rPr>
              <w:t>Year-to-Year</w:t>
            </w:r>
            <w:proofErr w:type="spellEnd"/>
            <w:r w:rsidRPr="00DB3646">
              <w:rPr>
                <w:rFonts w:cs="Arial"/>
                <w:b/>
                <w:bCs/>
                <w:lang w:val="es-PE"/>
              </w:rPr>
              <w:t xml:space="preserve"> </w:t>
            </w:r>
            <w:proofErr w:type="spellStart"/>
            <w:r w:rsidRPr="00DB3646">
              <w:rPr>
                <w:rFonts w:cs="Arial"/>
                <w:b/>
                <w:bCs/>
                <w:lang w:val="es-PE"/>
              </w:rPr>
              <w:t>Variation</w:t>
            </w:r>
            <w:proofErr w:type="spellEnd"/>
          </w:p>
        </w:tc>
      </w:tr>
      <w:tr w:rsidR="001D45A7" w:rsidRPr="00DB3646" w14:paraId="446A0140" w14:textId="77777777" w:rsidTr="008323F8">
        <w:trPr>
          <w:tblCellSpacing w:w="15" w:type="dxa"/>
          <w:jc w:val="center"/>
        </w:trPr>
        <w:tc>
          <w:tcPr>
            <w:tcW w:w="0" w:type="auto"/>
            <w:vAlign w:val="center"/>
            <w:hideMark/>
          </w:tcPr>
          <w:p w14:paraId="095DCCAE" w14:textId="77777777" w:rsidR="001D45A7" w:rsidRPr="00DB3646" w:rsidRDefault="001D45A7" w:rsidP="008323F8">
            <w:pPr>
              <w:pStyle w:val="CETBodytext"/>
              <w:jc w:val="center"/>
              <w:rPr>
                <w:rFonts w:cs="Arial"/>
                <w:lang w:val="es-PE"/>
              </w:rPr>
            </w:pPr>
            <w:r w:rsidRPr="00DB3646">
              <w:rPr>
                <w:rFonts w:cs="Arial"/>
                <w:lang w:val="es-PE"/>
              </w:rPr>
              <w:t>2023</w:t>
            </w:r>
          </w:p>
        </w:tc>
        <w:tc>
          <w:tcPr>
            <w:tcW w:w="0" w:type="auto"/>
            <w:vAlign w:val="center"/>
            <w:hideMark/>
          </w:tcPr>
          <w:p w14:paraId="6E81EC33" w14:textId="77777777" w:rsidR="001D45A7" w:rsidRPr="00DB3646" w:rsidRDefault="001D45A7" w:rsidP="008323F8">
            <w:pPr>
              <w:pStyle w:val="CETBodytext"/>
              <w:jc w:val="center"/>
              <w:rPr>
                <w:rFonts w:cs="Arial"/>
                <w:lang w:val="es-PE"/>
              </w:rPr>
            </w:pPr>
            <w:r w:rsidRPr="00DB3646">
              <w:rPr>
                <w:rFonts w:cs="Arial"/>
                <w:lang w:val="es-PE"/>
              </w:rPr>
              <w:t>31,911.91</w:t>
            </w:r>
          </w:p>
        </w:tc>
        <w:tc>
          <w:tcPr>
            <w:tcW w:w="0" w:type="auto"/>
            <w:vAlign w:val="center"/>
            <w:hideMark/>
          </w:tcPr>
          <w:p w14:paraId="094F5B30" w14:textId="77777777" w:rsidR="001D45A7" w:rsidRPr="00DB3646" w:rsidRDefault="001D45A7" w:rsidP="008323F8">
            <w:pPr>
              <w:pStyle w:val="CETBodytext"/>
              <w:jc w:val="center"/>
              <w:rPr>
                <w:rFonts w:cs="Arial"/>
                <w:lang w:val="es-PE"/>
              </w:rPr>
            </w:pPr>
            <w:r w:rsidRPr="00DB3646">
              <w:rPr>
                <w:rFonts w:cs="Arial"/>
                <w:lang w:val="es-PE"/>
              </w:rPr>
              <w:t>—</w:t>
            </w:r>
          </w:p>
        </w:tc>
      </w:tr>
      <w:tr w:rsidR="001D45A7" w:rsidRPr="00DB3646" w14:paraId="1A0D566C" w14:textId="77777777" w:rsidTr="008323F8">
        <w:trPr>
          <w:tblCellSpacing w:w="15" w:type="dxa"/>
          <w:jc w:val="center"/>
        </w:trPr>
        <w:tc>
          <w:tcPr>
            <w:tcW w:w="0" w:type="auto"/>
            <w:vAlign w:val="center"/>
            <w:hideMark/>
          </w:tcPr>
          <w:p w14:paraId="31BED2A9" w14:textId="77777777" w:rsidR="001D45A7" w:rsidRPr="00DB3646" w:rsidRDefault="001D45A7" w:rsidP="001D45A7">
            <w:pPr>
              <w:pStyle w:val="CETBodytext"/>
              <w:rPr>
                <w:rFonts w:cs="Arial"/>
                <w:lang w:val="es-PE"/>
              </w:rPr>
            </w:pPr>
            <w:r w:rsidRPr="00DB3646">
              <w:rPr>
                <w:rFonts w:cs="Arial"/>
                <w:lang w:val="es-PE"/>
              </w:rPr>
              <w:t>2024</w:t>
            </w:r>
          </w:p>
        </w:tc>
        <w:tc>
          <w:tcPr>
            <w:tcW w:w="0" w:type="auto"/>
            <w:vAlign w:val="center"/>
            <w:hideMark/>
          </w:tcPr>
          <w:p w14:paraId="00A47225" w14:textId="77777777" w:rsidR="001D45A7" w:rsidRPr="00DB3646" w:rsidRDefault="001D45A7" w:rsidP="001D45A7">
            <w:pPr>
              <w:pStyle w:val="CETBodytext"/>
              <w:rPr>
                <w:rFonts w:cs="Arial"/>
                <w:lang w:val="es-PE"/>
              </w:rPr>
            </w:pPr>
            <w:r w:rsidRPr="00DB3646">
              <w:rPr>
                <w:rFonts w:cs="Arial"/>
                <w:lang w:val="es-PE"/>
              </w:rPr>
              <w:t>53,292.66</w:t>
            </w:r>
          </w:p>
        </w:tc>
        <w:tc>
          <w:tcPr>
            <w:tcW w:w="0" w:type="auto"/>
            <w:vAlign w:val="center"/>
            <w:hideMark/>
          </w:tcPr>
          <w:p w14:paraId="3FBB9343" w14:textId="77777777" w:rsidR="001D45A7" w:rsidRPr="00DB3646" w:rsidRDefault="001D45A7" w:rsidP="001D45A7">
            <w:pPr>
              <w:pStyle w:val="CETBodytext"/>
              <w:rPr>
                <w:rFonts w:cs="Arial"/>
                <w:lang w:val="es-PE"/>
              </w:rPr>
            </w:pPr>
            <w:r w:rsidRPr="00DB3646">
              <w:rPr>
                <w:rFonts w:cs="Arial"/>
                <w:lang w:val="es-PE"/>
              </w:rPr>
              <w:t>+67%</w:t>
            </w:r>
          </w:p>
        </w:tc>
      </w:tr>
      <w:tr w:rsidR="001D45A7" w:rsidRPr="00DB3646" w14:paraId="660851A0" w14:textId="77777777" w:rsidTr="008323F8">
        <w:trPr>
          <w:tblCellSpacing w:w="15" w:type="dxa"/>
          <w:jc w:val="center"/>
        </w:trPr>
        <w:tc>
          <w:tcPr>
            <w:tcW w:w="0" w:type="auto"/>
            <w:vAlign w:val="center"/>
            <w:hideMark/>
          </w:tcPr>
          <w:p w14:paraId="0CB92D74" w14:textId="77777777" w:rsidR="001D45A7" w:rsidRPr="00DB3646" w:rsidRDefault="001D45A7" w:rsidP="001D45A7">
            <w:pPr>
              <w:pStyle w:val="CETBodytext"/>
              <w:rPr>
                <w:rFonts w:cs="Arial"/>
                <w:lang w:val="es-PE"/>
              </w:rPr>
            </w:pPr>
            <w:r w:rsidRPr="00DB3646">
              <w:rPr>
                <w:rFonts w:cs="Arial"/>
                <w:lang w:val="es-PE"/>
              </w:rPr>
              <w:t>2025</w:t>
            </w:r>
          </w:p>
        </w:tc>
        <w:tc>
          <w:tcPr>
            <w:tcW w:w="0" w:type="auto"/>
            <w:vAlign w:val="center"/>
            <w:hideMark/>
          </w:tcPr>
          <w:p w14:paraId="371161CE" w14:textId="77777777" w:rsidR="001D45A7" w:rsidRPr="00DB3646" w:rsidRDefault="001D45A7" w:rsidP="001D45A7">
            <w:pPr>
              <w:pStyle w:val="CETBodytext"/>
              <w:rPr>
                <w:rFonts w:cs="Arial"/>
                <w:lang w:val="es-PE"/>
              </w:rPr>
            </w:pPr>
            <w:r w:rsidRPr="00DB3646">
              <w:rPr>
                <w:rFonts w:cs="Arial"/>
                <w:lang w:val="es-PE"/>
              </w:rPr>
              <w:t>53,538.70</w:t>
            </w:r>
          </w:p>
        </w:tc>
        <w:tc>
          <w:tcPr>
            <w:tcW w:w="0" w:type="auto"/>
            <w:vAlign w:val="center"/>
            <w:hideMark/>
          </w:tcPr>
          <w:p w14:paraId="30E1EB30" w14:textId="77777777" w:rsidR="001D45A7" w:rsidRPr="00DB3646" w:rsidRDefault="001D45A7" w:rsidP="001D45A7">
            <w:pPr>
              <w:pStyle w:val="CETBodytext"/>
              <w:rPr>
                <w:rFonts w:cs="Arial"/>
                <w:lang w:val="es-PE"/>
              </w:rPr>
            </w:pPr>
            <w:r w:rsidRPr="00DB3646">
              <w:rPr>
                <w:rFonts w:cs="Arial"/>
                <w:lang w:val="es-PE"/>
              </w:rPr>
              <w:t>+0.46%</w:t>
            </w:r>
          </w:p>
        </w:tc>
      </w:tr>
      <w:tr w:rsidR="001D45A7" w:rsidRPr="00DB3646" w14:paraId="5FA0DB43" w14:textId="77777777" w:rsidTr="008323F8">
        <w:trPr>
          <w:tblCellSpacing w:w="15" w:type="dxa"/>
          <w:jc w:val="center"/>
        </w:trPr>
        <w:tc>
          <w:tcPr>
            <w:tcW w:w="0" w:type="auto"/>
            <w:vAlign w:val="center"/>
            <w:hideMark/>
          </w:tcPr>
          <w:p w14:paraId="68304203" w14:textId="77777777" w:rsidR="001D45A7" w:rsidRPr="00DB3646" w:rsidRDefault="001D45A7" w:rsidP="001D45A7">
            <w:pPr>
              <w:pStyle w:val="CETBodytext"/>
              <w:rPr>
                <w:rFonts w:cs="Arial"/>
                <w:lang w:val="es-PE"/>
              </w:rPr>
            </w:pPr>
            <w:r w:rsidRPr="00DB3646">
              <w:rPr>
                <w:rFonts w:cs="Arial"/>
                <w:b/>
                <w:bCs/>
                <w:lang w:val="es-PE"/>
              </w:rPr>
              <w:t>Total</w:t>
            </w:r>
          </w:p>
        </w:tc>
        <w:tc>
          <w:tcPr>
            <w:tcW w:w="0" w:type="auto"/>
            <w:vAlign w:val="center"/>
            <w:hideMark/>
          </w:tcPr>
          <w:p w14:paraId="1E615398" w14:textId="77777777" w:rsidR="001D45A7" w:rsidRPr="00DB3646" w:rsidRDefault="001D45A7" w:rsidP="001D45A7">
            <w:pPr>
              <w:pStyle w:val="CETBodytext"/>
              <w:rPr>
                <w:rFonts w:cs="Arial"/>
                <w:lang w:val="es-PE"/>
              </w:rPr>
            </w:pPr>
            <w:r w:rsidRPr="00DB3646">
              <w:rPr>
                <w:rFonts w:cs="Arial"/>
                <w:b/>
                <w:bCs/>
                <w:lang w:val="es-PE"/>
              </w:rPr>
              <w:t>138,743.27</w:t>
            </w:r>
          </w:p>
        </w:tc>
        <w:tc>
          <w:tcPr>
            <w:tcW w:w="0" w:type="auto"/>
            <w:vAlign w:val="center"/>
            <w:hideMark/>
          </w:tcPr>
          <w:p w14:paraId="16D0B448" w14:textId="77777777" w:rsidR="001D45A7" w:rsidRPr="00DB3646" w:rsidRDefault="001D45A7" w:rsidP="001D45A7">
            <w:pPr>
              <w:pStyle w:val="CETBodytext"/>
              <w:rPr>
                <w:rFonts w:cs="Arial"/>
                <w:lang w:val="es-PE"/>
              </w:rPr>
            </w:pPr>
            <w:r w:rsidRPr="00DB3646">
              <w:rPr>
                <w:rFonts w:cs="Arial"/>
                <w:lang w:val="es-PE"/>
              </w:rPr>
              <w:t>—</w:t>
            </w:r>
          </w:p>
        </w:tc>
      </w:tr>
    </w:tbl>
    <w:p w14:paraId="2369AE72" w14:textId="77777777" w:rsidR="00207E7E" w:rsidRPr="00DB3646" w:rsidRDefault="00207E7E" w:rsidP="001D45A7">
      <w:pPr>
        <w:pStyle w:val="CETBodytext"/>
        <w:rPr>
          <w:rFonts w:cs="Arial"/>
          <w:lang w:val="en-CA"/>
        </w:rPr>
      </w:pPr>
      <w:r w:rsidRPr="00DB3646">
        <w:rPr>
          <w:rFonts w:cs="Arial"/>
          <w:lang w:val="en-CA"/>
        </w:rPr>
        <w:t>The largest increase is observed between 2023 and 2024, suggesting a phase of expansion and logistical consolidation for the program. In 2025, the volume remains similar to the previous year, indicating operational stability and system maturity.</w:t>
      </w:r>
    </w:p>
    <w:p w14:paraId="245FFCED" w14:textId="77777777" w:rsidR="0069730A" w:rsidRPr="00DB3646" w:rsidRDefault="0069730A" w:rsidP="001D45A7">
      <w:pPr>
        <w:pStyle w:val="CETBodytext"/>
        <w:rPr>
          <w:rFonts w:cs="Arial"/>
          <w:lang w:val="en-CA"/>
        </w:rPr>
      </w:pPr>
    </w:p>
    <w:p w14:paraId="15F17C4A" w14:textId="77777777" w:rsidR="0069730A" w:rsidRPr="00DB3646" w:rsidRDefault="0069730A" w:rsidP="001D45A7">
      <w:pPr>
        <w:pStyle w:val="CETBodytext"/>
        <w:rPr>
          <w:rFonts w:cs="Arial"/>
          <w:lang w:val="en-CA"/>
        </w:rPr>
      </w:pPr>
    </w:p>
    <w:p w14:paraId="2416E7F7" w14:textId="2C4EDE99" w:rsidR="00207E7E" w:rsidRPr="00F8718D" w:rsidRDefault="001D45A7" w:rsidP="0069730A">
      <w:pPr>
        <w:pStyle w:val="CETBodytext"/>
        <w:jc w:val="center"/>
        <w:rPr>
          <w:rFonts w:cs="Arial"/>
          <w:lang w:val="en-CA"/>
        </w:rPr>
      </w:pPr>
      <w:r w:rsidRPr="00DB3646">
        <w:rPr>
          <w:rFonts w:cs="Arial"/>
          <w:b/>
          <w:bCs/>
          <w:lang w:val="en-CA"/>
        </w:rPr>
        <w:t>Figure 1. Valorized Tons per Year</w:t>
      </w:r>
      <w:r w:rsidRPr="00DB3646">
        <w:rPr>
          <w:rFonts w:cs="Arial"/>
          <w:lang w:val="en-CA"/>
        </w:rPr>
        <w:br/>
      </w:r>
    </w:p>
    <w:p w14:paraId="0445339E" w14:textId="6C6D316D" w:rsidR="00207E7E" w:rsidRPr="00DB3646" w:rsidRDefault="0069730A" w:rsidP="0069730A">
      <w:pPr>
        <w:pStyle w:val="CETBodytext"/>
        <w:jc w:val="center"/>
        <w:rPr>
          <w:rFonts w:cs="Arial"/>
          <w:lang w:val="es-PE"/>
        </w:rPr>
      </w:pPr>
      <w:r w:rsidRPr="00DB3646">
        <w:rPr>
          <w:rFonts w:cs="Arial"/>
          <w:noProof/>
          <w:lang w:val="es-PE"/>
        </w:rPr>
        <w:drawing>
          <wp:inline distT="0" distB="0" distL="0" distR="0" wp14:anchorId="01807910" wp14:editId="5F9959AA">
            <wp:extent cx="2772383" cy="2079368"/>
            <wp:effectExtent l="0" t="0" r="9525" b="0"/>
            <wp:docPr id="11335250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8594" cy="2084026"/>
                    </a:xfrm>
                    <a:prstGeom prst="rect">
                      <a:avLst/>
                    </a:prstGeom>
                    <a:noFill/>
                  </pic:spPr>
                </pic:pic>
              </a:graphicData>
            </a:graphic>
          </wp:inline>
        </w:drawing>
      </w:r>
    </w:p>
    <w:p w14:paraId="5CC79287" w14:textId="28562328" w:rsidR="001D45A7" w:rsidRPr="00DB3646" w:rsidRDefault="001D45A7" w:rsidP="001D45A7">
      <w:pPr>
        <w:pStyle w:val="CETBodytext"/>
        <w:rPr>
          <w:rFonts w:cs="Arial"/>
          <w:lang w:val="es-PE"/>
        </w:rPr>
      </w:pPr>
    </w:p>
    <w:p w14:paraId="6F4D2F97" w14:textId="7B6862CF" w:rsidR="001D45A7" w:rsidRPr="00DB3646" w:rsidRDefault="0040327C" w:rsidP="001D45A7">
      <w:pPr>
        <w:pStyle w:val="CETBodytext"/>
        <w:rPr>
          <w:rFonts w:cs="Arial"/>
          <w:b/>
          <w:bCs/>
          <w:lang w:val="en-CA"/>
        </w:rPr>
      </w:pPr>
      <w:r w:rsidRPr="00DB3646">
        <w:rPr>
          <w:rFonts w:cs="Arial"/>
          <w:b/>
          <w:bCs/>
          <w:lang w:val="en-CA"/>
        </w:rPr>
        <w:lastRenderedPageBreak/>
        <w:t>3</w:t>
      </w:r>
      <w:r w:rsidR="001D45A7" w:rsidRPr="00DB3646">
        <w:rPr>
          <w:rFonts w:cs="Arial"/>
          <w:b/>
          <w:bCs/>
          <w:lang w:val="en-CA"/>
        </w:rPr>
        <w:t>.2 Monthly Valorization Trend</w:t>
      </w:r>
    </w:p>
    <w:p w14:paraId="70EDA3C1" w14:textId="77777777" w:rsidR="00DB3537" w:rsidRPr="00DB3646" w:rsidRDefault="00DB3537" w:rsidP="00DB3537">
      <w:pPr>
        <w:pStyle w:val="CETBodytext"/>
        <w:rPr>
          <w:rFonts w:cs="Arial"/>
          <w:lang w:val="en-CA"/>
        </w:rPr>
      </w:pPr>
      <w:r w:rsidRPr="00DB3646">
        <w:rPr>
          <w:rFonts w:cs="Arial"/>
          <w:lang w:val="en-CA"/>
        </w:rPr>
        <w:t>Monthly analysis allows for the identification of patterns of behavior and stability. While greater variability is observed in 2023, the years 2024 and 2025 present relatively homogeneous monthly ranges, with values ​​close to or above 4,300 tons per month.</w:t>
      </w:r>
    </w:p>
    <w:p w14:paraId="2D22E403" w14:textId="4AB08510" w:rsidR="001D45A7" w:rsidRPr="00DB3646" w:rsidRDefault="001D45A7" w:rsidP="00DB3537">
      <w:pPr>
        <w:pStyle w:val="CETBodytext"/>
        <w:jc w:val="center"/>
        <w:rPr>
          <w:rFonts w:cs="Arial"/>
          <w:lang w:val="en-CA"/>
        </w:rPr>
      </w:pPr>
      <w:r w:rsidRPr="00DB3646">
        <w:rPr>
          <w:rFonts w:cs="Arial"/>
          <w:b/>
          <w:bCs/>
          <w:lang w:val="en-CA"/>
        </w:rPr>
        <w:t>Table 2. Average Monthly Valorization</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6"/>
        <w:gridCol w:w="1936"/>
      </w:tblGrid>
      <w:tr w:rsidR="001D45A7" w:rsidRPr="00DB3646" w14:paraId="6CB28675" w14:textId="77777777" w:rsidTr="00DB3537">
        <w:trPr>
          <w:tblHeader/>
          <w:tblCellSpacing w:w="15" w:type="dxa"/>
          <w:jc w:val="center"/>
        </w:trPr>
        <w:tc>
          <w:tcPr>
            <w:tcW w:w="0" w:type="auto"/>
            <w:vAlign w:val="center"/>
            <w:hideMark/>
          </w:tcPr>
          <w:p w14:paraId="2E92232E" w14:textId="77777777" w:rsidR="001D45A7" w:rsidRPr="00DB3646" w:rsidRDefault="001D45A7" w:rsidP="001D45A7">
            <w:pPr>
              <w:pStyle w:val="CETBodytext"/>
              <w:rPr>
                <w:rFonts w:cs="Arial"/>
                <w:b/>
                <w:bCs/>
                <w:lang w:val="es-PE"/>
              </w:rPr>
            </w:pPr>
            <w:proofErr w:type="spellStart"/>
            <w:r w:rsidRPr="00DB3646">
              <w:rPr>
                <w:rFonts w:cs="Arial"/>
                <w:b/>
                <w:bCs/>
                <w:lang w:val="es-PE"/>
              </w:rPr>
              <w:t>Year</w:t>
            </w:r>
            <w:proofErr w:type="spellEnd"/>
          </w:p>
        </w:tc>
        <w:tc>
          <w:tcPr>
            <w:tcW w:w="0" w:type="auto"/>
            <w:vAlign w:val="center"/>
            <w:hideMark/>
          </w:tcPr>
          <w:p w14:paraId="375C5841" w14:textId="77777777" w:rsidR="001D45A7" w:rsidRPr="00DB3646" w:rsidRDefault="001D45A7" w:rsidP="001D45A7">
            <w:pPr>
              <w:pStyle w:val="CETBodytext"/>
              <w:rPr>
                <w:rFonts w:cs="Arial"/>
                <w:b/>
                <w:bCs/>
                <w:lang w:val="es-PE"/>
              </w:rPr>
            </w:pPr>
            <w:proofErr w:type="spellStart"/>
            <w:r w:rsidRPr="00DB3646">
              <w:rPr>
                <w:rFonts w:cs="Arial"/>
                <w:b/>
                <w:bCs/>
                <w:lang w:val="es-PE"/>
              </w:rPr>
              <w:t>Monthly</w:t>
            </w:r>
            <w:proofErr w:type="spellEnd"/>
            <w:r w:rsidRPr="00DB3646">
              <w:rPr>
                <w:rFonts w:cs="Arial"/>
                <w:b/>
                <w:bCs/>
                <w:lang w:val="es-PE"/>
              </w:rPr>
              <w:t xml:space="preserve"> </w:t>
            </w:r>
            <w:proofErr w:type="spellStart"/>
            <w:r w:rsidRPr="00DB3646">
              <w:rPr>
                <w:rFonts w:cs="Arial"/>
                <w:b/>
                <w:bCs/>
                <w:lang w:val="es-PE"/>
              </w:rPr>
              <w:t>Average</w:t>
            </w:r>
            <w:proofErr w:type="spellEnd"/>
            <w:r w:rsidRPr="00DB3646">
              <w:rPr>
                <w:rFonts w:cs="Arial"/>
                <w:b/>
                <w:bCs/>
                <w:lang w:val="es-PE"/>
              </w:rPr>
              <w:t xml:space="preserve"> (</w:t>
            </w:r>
            <w:proofErr w:type="spellStart"/>
            <w:r w:rsidRPr="00DB3646">
              <w:rPr>
                <w:rFonts w:cs="Arial"/>
                <w:b/>
                <w:bCs/>
                <w:lang w:val="es-PE"/>
              </w:rPr>
              <w:t>Tn</w:t>
            </w:r>
            <w:proofErr w:type="spellEnd"/>
            <w:r w:rsidRPr="00DB3646">
              <w:rPr>
                <w:rFonts w:cs="Arial"/>
                <w:b/>
                <w:bCs/>
                <w:lang w:val="es-PE"/>
              </w:rPr>
              <w:t>)</w:t>
            </w:r>
          </w:p>
        </w:tc>
      </w:tr>
      <w:tr w:rsidR="001D45A7" w:rsidRPr="00DB3646" w14:paraId="1698D047" w14:textId="77777777" w:rsidTr="00DB3537">
        <w:trPr>
          <w:tblCellSpacing w:w="15" w:type="dxa"/>
          <w:jc w:val="center"/>
        </w:trPr>
        <w:tc>
          <w:tcPr>
            <w:tcW w:w="0" w:type="auto"/>
            <w:vAlign w:val="center"/>
            <w:hideMark/>
          </w:tcPr>
          <w:p w14:paraId="17DD3656" w14:textId="77777777" w:rsidR="001D45A7" w:rsidRPr="00DB3646" w:rsidRDefault="001D45A7" w:rsidP="001D45A7">
            <w:pPr>
              <w:pStyle w:val="CETBodytext"/>
              <w:rPr>
                <w:rFonts w:cs="Arial"/>
                <w:lang w:val="es-PE"/>
              </w:rPr>
            </w:pPr>
            <w:r w:rsidRPr="00DB3646">
              <w:rPr>
                <w:rFonts w:cs="Arial"/>
                <w:lang w:val="es-PE"/>
              </w:rPr>
              <w:t>2023</w:t>
            </w:r>
          </w:p>
        </w:tc>
        <w:tc>
          <w:tcPr>
            <w:tcW w:w="0" w:type="auto"/>
            <w:vAlign w:val="center"/>
            <w:hideMark/>
          </w:tcPr>
          <w:p w14:paraId="1C7A303A" w14:textId="77777777" w:rsidR="001D45A7" w:rsidRPr="00DB3646" w:rsidRDefault="001D45A7" w:rsidP="001D45A7">
            <w:pPr>
              <w:pStyle w:val="CETBodytext"/>
              <w:rPr>
                <w:rFonts w:cs="Arial"/>
                <w:lang w:val="es-PE"/>
              </w:rPr>
            </w:pPr>
            <w:r w:rsidRPr="00DB3646">
              <w:rPr>
                <w:rFonts w:cs="Arial"/>
                <w:lang w:val="es-PE"/>
              </w:rPr>
              <w:t>2,659.33</w:t>
            </w:r>
          </w:p>
        </w:tc>
      </w:tr>
      <w:tr w:rsidR="001D45A7" w:rsidRPr="00DB3646" w14:paraId="309CE6C7" w14:textId="77777777" w:rsidTr="00DB3537">
        <w:trPr>
          <w:tblCellSpacing w:w="15" w:type="dxa"/>
          <w:jc w:val="center"/>
        </w:trPr>
        <w:tc>
          <w:tcPr>
            <w:tcW w:w="0" w:type="auto"/>
            <w:vAlign w:val="center"/>
            <w:hideMark/>
          </w:tcPr>
          <w:p w14:paraId="7F7AF7E6" w14:textId="77777777" w:rsidR="001D45A7" w:rsidRPr="00DB3646" w:rsidRDefault="001D45A7" w:rsidP="001D45A7">
            <w:pPr>
              <w:pStyle w:val="CETBodytext"/>
              <w:rPr>
                <w:rFonts w:cs="Arial"/>
                <w:lang w:val="es-PE"/>
              </w:rPr>
            </w:pPr>
            <w:r w:rsidRPr="00DB3646">
              <w:rPr>
                <w:rFonts w:cs="Arial"/>
                <w:lang w:val="es-PE"/>
              </w:rPr>
              <w:t>2024</w:t>
            </w:r>
          </w:p>
        </w:tc>
        <w:tc>
          <w:tcPr>
            <w:tcW w:w="0" w:type="auto"/>
            <w:vAlign w:val="center"/>
            <w:hideMark/>
          </w:tcPr>
          <w:p w14:paraId="2B853708" w14:textId="77777777" w:rsidR="001D45A7" w:rsidRPr="00DB3646" w:rsidRDefault="001D45A7" w:rsidP="001D45A7">
            <w:pPr>
              <w:pStyle w:val="CETBodytext"/>
              <w:rPr>
                <w:rFonts w:cs="Arial"/>
                <w:lang w:val="es-PE"/>
              </w:rPr>
            </w:pPr>
            <w:r w:rsidRPr="00DB3646">
              <w:rPr>
                <w:rFonts w:cs="Arial"/>
                <w:lang w:val="es-PE"/>
              </w:rPr>
              <w:t>4,441.05</w:t>
            </w:r>
          </w:p>
        </w:tc>
      </w:tr>
      <w:tr w:rsidR="001D45A7" w:rsidRPr="00DB3646" w14:paraId="228EC11E" w14:textId="77777777" w:rsidTr="00DB3537">
        <w:trPr>
          <w:tblCellSpacing w:w="15" w:type="dxa"/>
          <w:jc w:val="center"/>
        </w:trPr>
        <w:tc>
          <w:tcPr>
            <w:tcW w:w="0" w:type="auto"/>
            <w:vAlign w:val="center"/>
            <w:hideMark/>
          </w:tcPr>
          <w:p w14:paraId="0E4E34F7" w14:textId="77777777" w:rsidR="001D45A7" w:rsidRPr="00DB3646" w:rsidRDefault="001D45A7" w:rsidP="001D45A7">
            <w:pPr>
              <w:pStyle w:val="CETBodytext"/>
              <w:rPr>
                <w:rFonts w:cs="Arial"/>
                <w:lang w:val="es-PE"/>
              </w:rPr>
            </w:pPr>
            <w:r w:rsidRPr="00DB3646">
              <w:rPr>
                <w:rFonts w:cs="Arial"/>
                <w:lang w:val="es-PE"/>
              </w:rPr>
              <w:t>2025</w:t>
            </w:r>
          </w:p>
        </w:tc>
        <w:tc>
          <w:tcPr>
            <w:tcW w:w="0" w:type="auto"/>
            <w:vAlign w:val="center"/>
            <w:hideMark/>
          </w:tcPr>
          <w:p w14:paraId="6952A4F2" w14:textId="77777777" w:rsidR="001D45A7" w:rsidRPr="00DB3646" w:rsidRDefault="001D45A7" w:rsidP="001D45A7">
            <w:pPr>
              <w:pStyle w:val="CETBodytext"/>
              <w:rPr>
                <w:rFonts w:cs="Arial"/>
                <w:lang w:val="es-PE"/>
              </w:rPr>
            </w:pPr>
            <w:r w:rsidRPr="00DB3646">
              <w:rPr>
                <w:rFonts w:cs="Arial"/>
                <w:lang w:val="es-PE"/>
              </w:rPr>
              <w:t>4,461.56</w:t>
            </w:r>
          </w:p>
        </w:tc>
      </w:tr>
    </w:tbl>
    <w:p w14:paraId="38FB4F40" w14:textId="77777777" w:rsidR="00796B6C" w:rsidRPr="00DB3646" w:rsidRDefault="00796B6C" w:rsidP="001D45A7">
      <w:pPr>
        <w:pStyle w:val="CETBodytext"/>
        <w:rPr>
          <w:rFonts w:cs="Arial"/>
          <w:lang w:val="en-CA"/>
        </w:rPr>
      </w:pPr>
      <w:r w:rsidRPr="00DB3646">
        <w:rPr>
          <w:rFonts w:cs="Arial"/>
          <w:lang w:val="en-CA"/>
        </w:rPr>
        <w:t>The months with the highest valuation peaks are generally concentrated in the last quarter of the year (October–November), which could be associated with municipal campaigns, increased commercial activity, or reinforcement of household segregation.</w:t>
      </w:r>
    </w:p>
    <w:p w14:paraId="7EF79425" w14:textId="77777777" w:rsidR="00796B6C" w:rsidRPr="00DB3646" w:rsidRDefault="00796B6C" w:rsidP="001D45A7">
      <w:pPr>
        <w:pStyle w:val="CETBodytext"/>
        <w:rPr>
          <w:rFonts w:cs="Arial"/>
          <w:lang w:val="en-CA"/>
        </w:rPr>
      </w:pPr>
    </w:p>
    <w:p w14:paraId="3004B5F0" w14:textId="0EF1C5C0" w:rsidR="001D45A7" w:rsidRPr="00F8718D" w:rsidRDefault="001D45A7" w:rsidP="0069730A">
      <w:pPr>
        <w:pStyle w:val="CETBodytext"/>
        <w:jc w:val="center"/>
        <w:rPr>
          <w:rFonts w:cs="Arial"/>
          <w:lang w:val="en-CA"/>
        </w:rPr>
      </w:pPr>
      <w:r w:rsidRPr="00DB3646">
        <w:rPr>
          <w:rFonts w:cs="Arial"/>
          <w:b/>
          <w:bCs/>
          <w:lang w:val="en-CA"/>
        </w:rPr>
        <w:t>Figure 2. Monthly Valorization Trend 2023–2025</w:t>
      </w:r>
      <w:r w:rsidRPr="00DB3646">
        <w:rPr>
          <w:rFonts w:cs="Arial"/>
          <w:lang w:val="en-CA"/>
        </w:rPr>
        <w:br/>
      </w:r>
      <w:r w:rsidR="0069730A" w:rsidRPr="00DB3646">
        <w:rPr>
          <w:rFonts w:cs="Arial"/>
          <w:noProof/>
        </w:rPr>
        <w:drawing>
          <wp:inline distT="0" distB="0" distL="0" distR="0" wp14:anchorId="6C3C14DD" wp14:editId="42938C6D">
            <wp:extent cx="2850009" cy="2137507"/>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Monthly_Trend.png"/>
                    <pic:cNvPicPr/>
                  </pic:nvPicPr>
                  <pic:blipFill>
                    <a:blip r:embed="rId11"/>
                    <a:stretch>
                      <a:fillRect/>
                    </a:stretch>
                  </pic:blipFill>
                  <pic:spPr>
                    <a:xfrm>
                      <a:off x="0" y="0"/>
                      <a:ext cx="2855805" cy="2141854"/>
                    </a:xfrm>
                    <a:prstGeom prst="rect">
                      <a:avLst/>
                    </a:prstGeom>
                  </pic:spPr>
                </pic:pic>
              </a:graphicData>
            </a:graphic>
          </wp:inline>
        </w:drawing>
      </w:r>
    </w:p>
    <w:p w14:paraId="3FC48AE9" w14:textId="159FEA2C" w:rsidR="001D45A7" w:rsidRPr="00DB3646" w:rsidRDefault="0040327C" w:rsidP="001D45A7">
      <w:pPr>
        <w:pStyle w:val="CETBodytext"/>
        <w:rPr>
          <w:rFonts w:cs="Arial"/>
          <w:b/>
          <w:bCs/>
          <w:lang w:val="en-CA"/>
        </w:rPr>
      </w:pPr>
      <w:r w:rsidRPr="00DB3646">
        <w:rPr>
          <w:rFonts w:cs="Arial"/>
          <w:b/>
          <w:bCs/>
          <w:lang w:val="en-CA"/>
        </w:rPr>
        <w:t>3</w:t>
      </w:r>
      <w:r w:rsidR="001D45A7" w:rsidRPr="00DB3646">
        <w:rPr>
          <w:rFonts w:cs="Arial"/>
          <w:b/>
          <w:bCs/>
          <w:lang w:val="en-CA"/>
        </w:rPr>
        <w:t>.3 Environmental Implications – Estimated Emission Mitigation</w:t>
      </w:r>
    </w:p>
    <w:p w14:paraId="7211D47F" w14:textId="51C3953B" w:rsidR="001D45A7" w:rsidRPr="00DB3646" w:rsidRDefault="00796B6C" w:rsidP="001D45A7">
      <w:pPr>
        <w:pStyle w:val="CETBodytext"/>
        <w:rPr>
          <w:rFonts w:cs="Arial"/>
          <w:lang w:val="en-CA"/>
        </w:rPr>
      </w:pPr>
      <w:r w:rsidRPr="00DB3646">
        <w:rPr>
          <w:rFonts w:cs="Arial"/>
          <w:lang w:val="en-CA"/>
        </w:rPr>
        <w:t>Based on the total valued volume (138,743.27 Tn) and the application of international conversion factors, a greenhouse gas emissions mitigation range was estimated:</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46"/>
        <w:gridCol w:w="1886"/>
      </w:tblGrid>
      <w:tr w:rsidR="001D45A7" w:rsidRPr="00DB3646" w14:paraId="3D462B1A" w14:textId="77777777" w:rsidTr="00796B6C">
        <w:trPr>
          <w:tblHeader/>
          <w:tblCellSpacing w:w="15" w:type="dxa"/>
          <w:jc w:val="center"/>
        </w:trPr>
        <w:tc>
          <w:tcPr>
            <w:tcW w:w="0" w:type="auto"/>
            <w:vAlign w:val="center"/>
            <w:hideMark/>
          </w:tcPr>
          <w:p w14:paraId="311213C2" w14:textId="77777777" w:rsidR="001D45A7" w:rsidRPr="00DB3646" w:rsidRDefault="001D45A7" w:rsidP="001D45A7">
            <w:pPr>
              <w:pStyle w:val="CETBodytext"/>
              <w:rPr>
                <w:rFonts w:cs="Arial"/>
                <w:b/>
                <w:bCs/>
                <w:lang w:val="es-PE"/>
              </w:rPr>
            </w:pPr>
            <w:proofErr w:type="spellStart"/>
            <w:r w:rsidRPr="00DB3646">
              <w:rPr>
                <w:rFonts w:cs="Arial"/>
                <w:b/>
                <w:bCs/>
                <w:lang w:val="es-PE"/>
              </w:rPr>
              <w:t>Scenario</w:t>
            </w:r>
            <w:proofErr w:type="spellEnd"/>
          </w:p>
        </w:tc>
        <w:tc>
          <w:tcPr>
            <w:tcW w:w="0" w:type="auto"/>
            <w:vAlign w:val="center"/>
            <w:hideMark/>
          </w:tcPr>
          <w:p w14:paraId="1D8CCAA0" w14:textId="77777777" w:rsidR="001D45A7" w:rsidRPr="00DB3646" w:rsidRDefault="001D45A7" w:rsidP="001D45A7">
            <w:pPr>
              <w:pStyle w:val="CETBodytext"/>
              <w:rPr>
                <w:rFonts w:cs="Arial"/>
                <w:b/>
                <w:bCs/>
                <w:lang w:val="es-PE"/>
              </w:rPr>
            </w:pPr>
            <w:proofErr w:type="spellStart"/>
            <w:r w:rsidRPr="00DB3646">
              <w:rPr>
                <w:rFonts w:cs="Arial"/>
                <w:b/>
                <w:bCs/>
                <w:lang w:val="es-PE"/>
              </w:rPr>
              <w:t>Estimated</w:t>
            </w:r>
            <w:proofErr w:type="spellEnd"/>
            <w:r w:rsidRPr="00DB3646">
              <w:rPr>
                <w:rFonts w:cs="Arial"/>
                <w:b/>
                <w:bCs/>
                <w:lang w:val="es-PE"/>
              </w:rPr>
              <w:t xml:space="preserve"> </w:t>
            </w:r>
            <w:proofErr w:type="spellStart"/>
            <w:r w:rsidRPr="00DB3646">
              <w:rPr>
                <w:rFonts w:cs="Arial"/>
                <w:b/>
                <w:bCs/>
                <w:lang w:val="es-PE"/>
              </w:rPr>
              <w:t>Reduction</w:t>
            </w:r>
            <w:proofErr w:type="spellEnd"/>
          </w:p>
        </w:tc>
      </w:tr>
      <w:tr w:rsidR="001D45A7" w:rsidRPr="00DB3646" w14:paraId="1310D407" w14:textId="77777777" w:rsidTr="00796B6C">
        <w:trPr>
          <w:tblCellSpacing w:w="15" w:type="dxa"/>
          <w:jc w:val="center"/>
        </w:trPr>
        <w:tc>
          <w:tcPr>
            <w:tcW w:w="0" w:type="auto"/>
            <w:vAlign w:val="center"/>
            <w:hideMark/>
          </w:tcPr>
          <w:p w14:paraId="47F04928" w14:textId="77777777" w:rsidR="001D45A7" w:rsidRPr="00DB3646" w:rsidRDefault="001D45A7" w:rsidP="001D45A7">
            <w:pPr>
              <w:pStyle w:val="CETBodytext"/>
              <w:rPr>
                <w:rFonts w:cs="Arial"/>
                <w:lang w:val="es-PE"/>
              </w:rPr>
            </w:pPr>
            <w:r w:rsidRPr="00DB3646">
              <w:rPr>
                <w:rFonts w:cs="Arial"/>
                <w:lang w:val="es-PE"/>
              </w:rPr>
              <w:t>Conservative</w:t>
            </w:r>
          </w:p>
        </w:tc>
        <w:tc>
          <w:tcPr>
            <w:tcW w:w="0" w:type="auto"/>
            <w:vAlign w:val="center"/>
            <w:hideMark/>
          </w:tcPr>
          <w:p w14:paraId="68334CA9" w14:textId="77777777" w:rsidR="001D45A7" w:rsidRPr="00DB3646" w:rsidRDefault="001D45A7" w:rsidP="001D45A7">
            <w:pPr>
              <w:pStyle w:val="CETBodytext"/>
              <w:rPr>
                <w:rFonts w:cs="Arial"/>
                <w:lang w:val="es-PE"/>
              </w:rPr>
            </w:pPr>
            <w:r w:rsidRPr="00DB3646">
              <w:rPr>
                <w:rFonts w:cs="Arial"/>
                <w:lang w:val="es-PE"/>
              </w:rPr>
              <w:t xml:space="preserve">≈ 5,000 </w:t>
            </w:r>
            <w:proofErr w:type="spellStart"/>
            <w:r w:rsidRPr="00DB3646">
              <w:rPr>
                <w:rFonts w:cs="Arial"/>
                <w:lang w:val="es-PE"/>
              </w:rPr>
              <w:t>tCO</w:t>
            </w:r>
            <w:r w:rsidRPr="00DB3646">
              <w:rPr>
                <w:rFonts w:ascii="Cambria Math" w:hAnsi="Cambria Math" w:cs="Cambria Math"/>
                <w:lang w:val="es-PE"/>
              </w:rPr>
              <w:t>₂</w:t>
            </w:r>
            <w:r w:rsidRPr="00DB3646">
              <w:rPr>
                <w:rFonts w:cs="Arial"/>
                <w:lang w:val="es-PE"/>
              </w:rPr>
              <w:t>e</w:t>
            </w:r>
            <w:proofErr w:type="spellEnd"/>
          </w:p>
        </w:tc>
      </w:tr>
      <w:tr w:rsidR="001D45A7" w:rsidRPr="00DB3646" w14:paraId="5A1926F8" w14:textId="77777777" w:rsidTr="00796B6C">
        <w:trPr>
          <w:tblCellSpacing w:w="15" w:type="dxa"/>
          <w:jc w:val="center"/>
        </w:trPr>
        <w:tc>
          <w:tcPr>
            <w:tcW w:w="0" w:type="auto"/>
            <w:vAlign w:val="center"/>
            <w:hideMark/>
          </w:tcPr>
          <w:p w14:paraId="07A2C1D9" w14:textId="77777777" w:rsidR="001D45A7" w:rsidRPr="00DB3646" w:rsidRDefault="001D45A7" w:rsidP="001D45A7">
            <w:pPr>
              <w:pStyle w:val="CETBodytext"/>
              <w:rPr>
                <w:rFonts w:cs="Arial"/>
                <w:lang w:val="es-PE"/>
              </w:rPr>
            </w:pPr>
            <w:proofErr w:type="spellStart"/>
            <w:r w:rsidRPr="00DB3646">
              <w:rPr>
                <w:rFonts w:cs="Arial"/>
                <w:lang w:val="es-PE"/>
              </w:rPr>
              <w:t>Optimistic</w:t>
            </w:r>
            <w:proofErr w:type="spellEnd"/>
          </w:p>
        </w:tc>
        <w:tc>
          <w:tcPr>
            <w:tcW w:w="0" w:type="auto"/>
            <w:vAlign w:val="center"/>
            <w:hideMark/>
          </w:tcPr>
          <w:p w14:paraId="09F3693E" w14:textId="77777777" w:rsidR="001D45A7" w:rsidRPr="00DB3646" w:rsidRDefault="001D45A7" w:rsidP="001D45A7">
            <w:pPr>
              <w:pStyle w:val="CETBodytext"/>
              <w:rPr>
                <w:rFonts w:cs="Arial"/>
                <w:lang w:val="es-PE"/>
              </w:rPr>
            </w:pPr>
            <w:r w:rsidRPr="00DB3646">
              <w:rPr>
                <w:rFonts w:cs="Arial"/>
                <w:lang w:val="es-PE"/>
              </w:rPr>
              <w:t xml:space="preserve">≈ 60,000 </w:t>
            </w:r>
            <w:proofErr w:type="spellStart"/>
            <w:r w:rsidRPr="00DB3646">
              <w:rPr>
                <w:rFonts w:cs="Arial"/>
                <w:lang w:val="es-PE"/>
              </w:rPr>
              <w:t>tCO</w:t>
            </w:r>
            <w:r w:rsidRPr="00DB3646">
              <w:rPr>
                <w:rFonts w:ascii="Cambria Math" w:hAnsi="Cambria Math" w:cs="Cambria Math"/>
                <w:lang w:val="es-PE"/>
              </w:rPr>
              <w:t>₂</w:t>
            </w:r>
            <w:r w:rsidRPr="00DB3646">
              <w:rPr>
                <w:rFonts w:cs="Arial"/>
                <w:lang w:val="es-PE"/>
              </w:rPr>
              <w:t>e</w:t>
            </w:r>
            <w:proofErr w:type="spellEnd"/>
          </w:p>
        </w:tc>
      </w:tr>
    </w:tbl>
    <w:p w14:paraId="13FBF415" w14:textId="166B828F" w:rsidR="001D45A7" w:rsidRPr="00F8718D" w:rsidRDefault="00796B6C" w:rsidP="001D45A7">
      <w:pPr>
        <w:pStyle w:val="CETBodytext"/>
        <w:rPr>
          <w:rFonts w:cs="Arial"/>
          <w:lang w:val="en-CA"/>
        </w:rPr>
      </w:pPr>
      <w:r w:rsidRPr="00DB3646">
        <w:rPr>
          <w:rFonts w:cs="Arial"/>
          <w:lang w:val="en-CA"/>
        </w:rPr>
        <w:t>This range shows that, even under prudent assumptions, the program generates a relevant positive climate impact, especially in the reduction of methane associated with anaerobic decomposition in landfills.</w:t>
      </w:r>
    </w:p>
    <w:p w14:paraId="02920AD2" w14:textId="77777777" w:rsidR="00796B6C" w:rsidRPr="00DB3646" w:rsidRDefault="00796B6C" w:rsidP="001D45A7">
      <w:pPr>
        <w:pStyle w:val="CETBodytext"/>
        <w:rPr>
          <w:rFonts w:cs="Arial"/>
          <w:lang w:val="en-CA"/>
        </w:rPr>
      </w:pPr>
    </w:p>
    <w:p w14:paraId="43CF8559" w14:textId="6D74FD0B" w:rsidR="001D45A7" w:rsidRPr="00DB3646" w:rsidRDefault="001D45A7" w:rsidP="0040327C">
      <w:pPr>
        <w:pStyle w:val="CETBodytext"/>
        <w:numPr>
          <w:ilvl w:val="0"/>
          <w:numId w:val="43"/>
        </w:numPr>
        <w:rPr>
          <w:rFonts w:cs="Arial"/>
          <w:b/>
          <w:bCs/>
          <w:lang w:val="en-CA"/>
        </w:rPr>
      </w:pPr>
      <w:r w:rsidRPr="00DB3646">
        <w:rPr>
          <w:rFonts w:cs="Arial"/>
          <w:b/>
          <w:bCs/>
          <w:lang w:val="en-CA"/>
        </w:rPr>
        <w:t>Discussion</w:t>
      </w:r>
    </w:p>
    <w:p w14:paraId="1B639603" w14:textId="77777777" w:rsidR="0069730A" w:rsidRPr="00DB3646" w:rsidRDefault="0069730A" w:rsidP="0069730A">
      <w:pPr>
        <w:pStyle w:val="CETBodytext"/>
        <w:rPr>
          <w:rFonts w:cs="Arial"/>
          <w:lang w:val="en-CA"/>
        </w:rPr>
      </w:pPr>
      <w:r w:rsidRPr="00DB3646">
        <w:rPr>
          <w:rFonts w:cs="Arial"/>
          <w:lang w:val="en-CA"/>
        </w:rPr>
        <w:t>The results obtained allow us to affirm that the Santa María Recycles program has evolved from an initial implementation phase to a stage of operational consolidation. The 67% increase between 2023 and 2024 reflects not only logistical improvements but also likely greater citizen participation and institutional strengthening. The stability observed in 2025 suggests that the program reached a threshold of sustained efficiency, which is characteristic of municipal initiatives that have successfully integrated environmental education processes with adequate infrastructure.</w:t>
      </w:r>
    </w:p>
    <w:p w14:paraId="567EBC8B" w14:textId="77777777" w:rsidR="0069730A" w:rsidRPr="00DB3646" w:rsidRDefault="0069730A" w:rsidP="0069730A">
      <w:pPr>
        <w:pStyle w:val="CETBodytext"/>
        <w:rPr>
          <w:rFonts w:cs="Arial"/>
          <w:lang w:val="en-CA"/>
        </w:rPr>
      </w:pPr>
    </w:p>
    <w:p w14:paraId="5713F6F6" w14:textId="77777777" w:rsidR="0069730A" w:rsidRPr="00DB3646" w:rsidRDefault="0069730A" w:rsidP="0069730A">
      <w:pPr>
        <w:pStyle w:val="CETBodytext"/>
        <w:numPr>
          <w:ilvl w:val="0"/>
          <w:numId w:val="41"/>
        </w:numPr>
        <w:rPr>
          <w:rFonts w:cs="Arial"/>
          <w:lang w:val="en-CA"/>
        </w:rPr>
      </w:pPr>
      <w:r w:rsidRPr="00DB3646">
        <w:rPr>
          <w:rFonts w:cs="Arial"/>
          <w:lang w:val="en-CA"/>
        </w:rPr>
        <w:t>From a circular economy perspective, the data demonstrate three main impacts:</w:t>
      </w:r>
    </w:p>
    <w:p w14:paraId="061EFB52" w14:textId="77777777" w:rsidR="0069730A" w:rsidRPr="00DB3646" w:rsidRDefault="0069730A" w:rsidP="0069730A">
      <w:pPr>
        <w:pStyle w:val="CETBodytext"/>
        <w:numPr>
          <w:ilvl w:val="0"/>
          <w:numId w:val="41"/>
        </w:numPr>
        <w:rPr>
          <w:rFonts w:cs="Arial"/>
          <w:lang w:val="en-CA"/>
        </w:rPr>
      </w:pPr>
      <w:r w:rsidRPr="00DB3646">
        <w:rPr>
          <w:rFonts w:cs="Arial"/>
          <w:lang w:val="en-CA"/>
        </w:rPr>
        <w:t>Reduced final disposal: Less pressure on landfills and an extension of their lifespan.</w:t>
      </w:r>
    </w:p>
    <w:p w14:paraId="1CD66D4E" w14:textId="77777777" w:rsidR="0069730A" w:rsidRPr="00DB3646" w:rsidRDefault="0069730A" w:rsidP="0069730A">
      <w:pPr>
        <w:pStyle w:val="CETBodytext"/>
        <w:numPr>
          <w:ilvl w:val="0"/>
          <w:numId w:val="41"/>
        </w:numPr>
        <w:rPr>
          <w:rFonts w:cs="Arial"/>
          <w:lang w:val="en-CA"/>
        </w:rPr>
      </w:pPr>
      <w:r w:rsidRPr="00DB3646">
        <w:rPr>
          <w:rFonts w:cs="Arial"/>
          <w:lang w:val="en-CA"/>
        </w:rPr>
        <w:t>Resource utilization: Production of compost usable in municipal green spaces, reducing chemical inputs.</w:t>
      </w:r>
    </w:p>
    <w:p w14:paraId="5C3A536F" w14:textId="77777777" w:rsidR="0069730A" w:rsidRPr="00DB3646" w:rsidRDefault="0069730A" w:rsidP="0069730A">
      <w:pPr>
        <w:pStyle w:val="CETBodytext"/>
        <w:numPr>
          <w:ilvl w:val="0"/>
          <w:numId w:val="41"/>
        </w:numPr>
        <w:rPr>
          <w:rFonts w:cs="Arial"/>
          <w:lang w:val="en-CA"/>
        </w:rPr>
      </w:pPr>
      <w:r w:rsidRPr="00DB3646">
        <w:rPr>
          <w:rFonts w:cs="Arial"/>
          <w:lang w:val="en-CA"/>
        </w:rPr>
        <w:t>Climate mitigation: Potential for a significant decrease in GHG emissions, especially methane.</w:t>
      </w:r>
    </w:p>
    <w:p w14:paraId="449FAEB4" w14:textId="77777777" w:rsidR="0069730A" w:rsidRPr="00DB3646" w:rsidRDefault="0069730A" w:rsidP="0069730A">
      <w:pPr>
        <w:pStyle w:val="CETBodytext"/>
        <w:rPr>
          <w:rFonts w:cs="Arial"/>
          <w:lang w:val="en-CA"/>
        </w:rPr>
      </w:pPr>
    </w:p>
    <w:p w14:paraId="3CFE0004" w14:textId="77777777" w:rsidR="0069730A" w:rsidRPr="00DB3646" w:rsidRDefault="0069730A" w:rsidP="0069730A">
      <w:pPr>
        <w:pStyle w:val="CETBodytext"/>
        <w:rPr>
          <w:rFonts w:cs="Arial"/>
          <w:lang w:val="en-CA"/>
        </w:rPr>
      </w:pPr>
      <w:r w:rsidRPr="00DB3646">
        <w:rPr>
          <w:rFonts w:cs="Arial"/>
          <w:lang w:val="en-CA"/>
        </w:rPr>
        <w:t>Comparatively, the annual volumes recovered are high for a local-scale district, which positions the program as a benchmark for municipal environmental management. However, the discussion also reveals certain opportunities for improvement:</w:t>
      </w:r>
    </w:p>
    <w:p w14:paraId="544A7AA5" w14:textId="77777777" w:rsidR="0069730A" w:rsidRPr="00DB3646" w:rsidRDefault="0069730A" w:rsidP="0069730A">
      <w:pPr>
        <w:pStyle w:val="CETBodytext"/>
        <w:numPr>
          <w:ilvl w:val="0"/>
          <w:numId w:val="42"/>
        </w:numPr>
        <w:rPr>
          <w:rFonts w:cs="Arial"/>
          <w:lang w:val="en-CA"/>
        </w:rPr>
      </w:pPr>
      <w:r w:rsidRPr="00DB3646">
        <w:rPr>
          <w:rFonts w:cs="Arial"/>
          <w:lang w:val="en-CA"/>
        </w:rPr>
        <w:t>Implementing direct emissions measurements for greater scientific precision.</w:t>
      </w:r>
    </w:p>
    <w:p w14:paraId="3F0EDA39" w14:textId="77777777" w:rsidR="0069730A" w:rsidRPr="00DB3646" w:rsidRDefault="0069730A" w:rsidP="0069730A">
      <w:pPr>
        <w:pStyle w:val="CETBodytext"/>
        <w:numPr>
          <w:ilvl w:val="0"/>
          <w:numId w:val="42"/>
        </w:numPr>
        <w:rPr>
          <w:rFonts w:cs="Arial"/>
          <w:lang w:val="en-CA"/>
        </w:rPr>
      </w:pPr>
      <w:r w:rsidRPr="00DB3646">
        <w:rPr>
          <w:rFonts w:cs="Arial"/>
          <w:lang w:val="en-CA"/>
        </w:rPr>
        <w:t>Incorporating waste composition analysis, which would allow for more refined impact estimates.</w:t>
      </w:r>
    </w:p>
    <w:p w14:paraId="3B692C6A" w14:textId="77777777" w:rsidR="0069730A" w:rsidRPr="00DB3646" w:rsidRDefault="0069730A" w:rsidP="0069730A">
      <w:pPr>
        <w:pStyle w:val="CETBodytext"/>
        <w:numPr>
          <w:ilvl w:val="0"/>
          <w:numId w:val="42"/>
        </w:numPr>
        <w:rPr>
          <w:rFonts w:cs="Arial"/>
          <w:lang w:val="en-CA"/>
        </w:rPr>
      </w:pPr>
      <w:r w:rsidRPr="00DB3646">
        <w:rPr>
          <w:rFonts w:cs="Arial"/>
          <w:lang w:val="en-CA"/>
        </w:rPr>
        <w:lastRenderedPageBreak/>
        <w:t>Integrating social indicators (citizen participation, environmental education) to complement the quantitative analysis.</w:t>
      </w:r>
    </w:p>
    <w:p w14:paraId="4AC2FA4E" w14:textId="58457735" w:rsidR="0001516E" w:rsidRPr="00DB3646" w:rsidRDefault="0069730A" w:rsidP="0069730A">
      <w:pPr>
        <w:pStyle w:val="CETBodytext"/>
        <w:rPr>
          <w:rFonts w:cs="Arial"/>
          <w:lang w:val="en-CA"/>
        </w:rPr>
      </w:pPr>
      <w:r w:rsidRPr="00DB3646">
        <w:rPr>
          <w:rFonts w:cs="Arial"/>
          <w:lang w:val="en-CA"/>
        </w:rPr>
        <w:t xml:space="preserve">In short, the results not only demonstrate operational efficiency but also strategic coherence with the principles of urban sustainability and climate resilience, showing that the valorization of organic waste can become a structural pillar of local environmental management when there </w:t>
      </w:r>
      <w:proofErr w:type="gramStart"/>
      <w:r w:rsidRPr="00DB3646">
        <w:rPr>
          <w:rFonts w:cs="Arial"/>
          <w:lang w:val="en-CA"/>
        </w:rPr>
        <w:t>is</w:t>
      </w:r>
      <w:proofErr w:type="gramEnd"/>
      <w:r w:rsidRPr="00DB3646">
        <w:rPr>
          <w:rFonts w:cs="Arial"/>
          <w:lang w:val="en-CA"/>
        </w:rPr>
        <w:t xml:space="preserve"> institutional continuity and technical support.</w:t>
      </w:r>
    </w:p>
    <w:p w14:paraId="449D6AF3" w14:textId="77777777" w:rsidR="0001516E" w:rsidRPr="00DB3646" w:rsidRDefault="0001516E" w:rsidP="00B22C0E">
      <w:pPr>
        <w:pStyle w:val="CETBodytext"/>
        <w:rPr>
          <w:rFonts w:cs="Arial"/>
          <w:lang w:val="en-CA"/>
        </w:rPr>
      </w:pPr>
    </w:p>
    <w:p w14:paraId="77CF8B3E" w14:textId="77777777" w:rsidR="0001516E" w:rsidRPr="00DB3646" w:rsidRDefault="0001516E" w:rsidP="00B22C0E">
      <w:pPr>
        <w:pStyle w:val="CETBodytext"/>
        <w:rPr>
          <w:rFonts w:cs="Arial"/>
          <w:lang w:val="en-CA"/>
        </w:rPr>
      </w:pPr>
    </w:p>
    <w:p w14:paraId="4A27AFEF" w14:textId="2A7FE7F7" w:rsidR="0040327C" w:rsidRPr="00DB3646" w:rsidRDefault="0040327C" w:rsidP="0040327C">
      <w:pPr>
        <w:pStyle w:val="CETBodytext"/>
        <w:numPr>
          <w:ilvl w:val="0"/>
          <w:numId w:val="43"/>
        </w:numPr>
        <w:rPr>
          <w:rFonts w:cs="Arial"/>
          <w:b/>
          <w:bCs/>
          <w:lang w:val="en-CA"/>
        </w:rPr>
      </w:pPr>
      <w:r w:rsidRPr="00DB3646">
        <w:rPr>
          <w:rFonts w:cs="Arial"/>
          <w:b/>
          <w:bCs/>
          <w:lang w:val="en-CA"/>
        </w:rPr>
        <w:t>Conclusion</w:t>
      </w:r>
    </w:p>
    <w:p w14:paraId="4DF7F712" w14:textId="77777777" w:rsidR="0040327C" w:rsidRPr="00DB3646" w:rsidRDefault="0040327C" w:rsidP="0040327C">
      <w:pPr>
        <w:pStyle w:val="CETBodytext"/>
        <w:rPr>
          <w:rFonts w:cs="Arial"/>
          <w:lang w:val="en-CA"/>
        </w:rPr>
      </w:pPr>
      <w:r w:rsidRPr="00DB3646">
        <w:rPr>
          <w:rFonts w:cs="Arial"/>
          <w:lang w:val="en-CA"/>
        </w:rPr>
        <w:t xml:space="preserve">This study demonstrates that the valorization of organic waste through the Santa María </w:t>
      </w:r>
      <w:proofErr w:type="spellStart"/>
      <w:r w:rsidRPr="00DB3646">
        <w:rPr>
          <w:rFonts w:cs="Arial"/>
          <w:lang w:val="en-CA"/>
        </w:rPr>
        <w:t>Recicla</w:t>
      </w:r>
      <w:proofErr w:type="spellEnd"/>
      <w:r w:rsidRPr="00DB3646">
        <w:rPr>
          <w:rFonts w:cs="Arial"/>
          <w:lang w:val="en-CA"/>
        </w:rPr>
        <w:t xml:space="preserve"> program is an effective circular economy strategy at the municipal level, transforming waste into useful resources and reducing pressure on landfills. The positive trend and subsequent stabilization of the volumes recovered reflect a consolidated operational management system and adequate institutional support. Furthermore, the estimated emissions avoided confirm composting's contribution to climate change mitigation. Overall, the results show that the valorization of organic waste can be consolidated as a key local public policy for urban sustainability and efficient environmental management.</w:t>
      </w:r>
    </w:p>
    <w:p w14:paraId="050513B6" w14:textId="77777777" w:rsidR="0001516E" w:rsidRDefault="0001516E" w:rsidP="00B22C0E">
      <w:pPr>
        <w:pStyle w:val="CETBodytext"/>
        <w:rPr>
          <w:rFonts w:cs="Arial"/>
          <w:lang w:val="en-CA"/>
        </w:rPr>
      </w:pPr>
    </w:p>
    <w:p w14:paraId="63957773" w14:textId="77777777" w:rsidR="009C6083" w:rsidRDefault="009C6083" w:rsidP="00B22C0E">
      <w:pPr>
        <w:pStyle w:val="CETBodytext"/>
        <w:rPr>
          <w:rFonts w:cs="Arial"/>
          <w:lang w:val="en-CA"/>
        </w:rPr>
      </w:pPr>
    </w:p>
    <w:p w14:paraId="3F48A4DB" w14:textId="77777777" w:rsidR="009C6083" w:rsidRPr="00DB3646" w:rsidRDefault="009C6083" w:rsidP="00B22C0E">
      <w:pPr>
        <w:pStyle w:val="CETBodytext"/>
        <w:rPr>
          <w:rFonts w:cs="Arial"/>
          <w:lang w:val="en-CA"/>
        </w:rPr>
      </w:pPr>
    </w:p>
    <w:p w14:paraId="465CA4F9" w14:textId="77777777" w:rsidR="0001516E" w:rsidRPr="00DB3646" w:rsidRDefault="0001516E" w:rsidP="00B22C0E">
      <w:pPr>
        <w:pStyle w:val="CETBodytext"/>
        <w:rPr>
          <w:rFonts w:cs="Arial"/>
          <w:lang w:val="en-CA"/>
        </w:rPr>
      </w:pPr>
    </w:p>
    <w:p w14:paraId="70ED9DCB" w14:textId="6A9C3769" w:rsidR="0001516E" w:rsidRPr="00DB3646" w:rsidRDefault="00FF6958" w:rsidP="00B22C0E">
      <w:pPr>
        <w:pStyle w:val="CETBodytext"/>
        <w:rPr>
          <w:rFonts w:cs="Arial"/>
          <w:b/>
          <w:bCs/>
          <w:lang w:val="en-GB"/>
        </w:rPr>
      </w:pPr>
      <w:r w:rsidRPr="00DB3646">
        <w:rPr>
          <w:rFonts w:cs="Arial"/>
          <w:b/>
          <w:bCs/>
          <w:lang w:val="en-GB"/>
        </w:rPr>
        <w:t xml:space="preserve">References </w:t>
      </w:r>
    </w:p>
    <w:p w14:paraId="2D65C27C" w14:textId="77777777" w:rsidR="0001516E" w:rsidRPr="00DB3646" w:rsidRDefault="0001516E" w:rsidP="0001516E">
      <w:pPr>
        <w:pStyle w:val="CETBodytext"/>
        <w:rPr>
          <w:rFonts w:cs="Arial"/>
          <w:lang w:val="en-CA"/>
        </w:rPr>
      </w:pPr>
      <w:r w:rsidRPr="00DB3646">
        <w:rPr>
          <w:rFonts w:cs="Arial"/>
          <w:lang w:val="en-CA"/>
        </w:rPr>
        <w:t xml:space="preserve">Creswell, J. W. (2014). </w:t>
      </w:r>
      <w:r w:rsidRPr="00DB3646">
        <w:rPr>
          <w:rFonts w:cs="Arial"/>
          <w:i/>
          <w:iCs/>
          <w:lang w:val="en-CA"/>
        </w:rPr>
        <w:t>Research Design: Qualitative, Quantitative, and Mixed Methods Approaches</w:t>
      </w:r>
      <w:r w:rsidRPr="00DB3646">
        <w:rPr>
          <w:rFonts w:cs="Arial"/>
          <w:lang w:val="en-CA"/>
        </w:rPr>
        <w:t>. SAGE Publications.</w:t>
      </w:r>
    </w:p>
    <w:p w14:paraId="33E2EBCF" w14:textId="77777777" w:rsidR="0001516E" w:rsidRPr="00DB3646" w:rsidRDefault="0001516E" w:rsidP="0001516E">
      <w:pPr>
        <w:pStyle w:val="CETBodytext"/>
        <w:rPr>
          <w:rFonts w:cs="Arial"/>
          <w:lang w:val="en-CA"/>
        </w:rPr>
      </w:pPr>
      <w:r w:rsidRPr="00DB3646">
        <w:rPr>
          <w:rFonts w:cs="Arial"/>
          <w:lang w:val="en-CA"/>
        </w:rPr>
        <w:t xml:space="preserve">Field, A. (2013). </w:t>
      </w:r>
      <w:r w:rsidRPr="00DB3646">
        <w:rPr>
          <w:rFonts w:cs="Arial"/>
          <w:i/>
          <w:iCs/>
          <w:lang w:val="en-CA"/>
        </w:rPr>
        <w:t>Discovering Statistics Using IBM SPSS Statistics</w:t>
      </w:r>
      <w:r w:rsidRPr="00DB3646">
        <w:rPr>
          <w:rFonts w:cs="Arial"/>
          <w:lang w:val="en-CA"/>
        </w:rPr>
        <w:t>. SAGE Publications.</w:t>
      </w:r>
    </w:p>
    <w:p w14:paraId="237D3918" w14:textId="77777777" w:rsidR="0001516E" w:rsidRPr="00DB3646" w:rsidRDefault="0001516E" w:rsidP="0001516E">
      <w:pPr>
        <w:pStyle w:val="CETBodytext"/>
        <w:rPr>
          <w:rFonts w:cs="Arial"/>
          <w:lang w:val="en-CA"/>
        </w:rPr>
      </w:pPr>
      <w:r w:rsidRPr="00DB3646">
        <w:rPr>
          <w:rFonts w:cs="Arial"/>
          <w:lang w:val="en-CA"/>
        </w:rPr>
        <w:t xml:space="preserve">Hernández-Sampieri, R., &amp; Mendoza, C. (2018). </w:t>
      </w:r>
      <w:r w:rsidRPr="00DB3646">
        <w:rPr>
          <w:rFonts w:cs="Arial"/>
          <w:i/>
          <w:iCs/>
          <w:lang w:val="en-CA"/>
        </w:rPr>
        <w:t>Research Methodology: Quantitative, Qualitative, and Mixed Approaches</w:t>
      </w:r>
      <w:r w:rsidRPr="00DB3646">
        <w:rPr>
          <w:rFonts w:cs="Arial"/>
          <w:lang w:val="en-CA"/>
        </w:rPr>
        <w:t>. McGraw-Hill.</w:t>
      </w:r>
    </w:p>
    <w:p w14:paraId="16041FD8" w14:textId="77777777" w:rsidR="0001516E" w:rsidRPr="00DB3646" w:rsidRDefault="0001516E" w:rsidP="0001516E">
      <w:pPr>
        <w:pStyle w:val="CETBodytext"/>
        <w:rPr>
          <w:rFonts w:cs="Arial"/>
          <w:lang w:val="en-CA"/>
        </w:rPr>
      </w:pPr>
      <w:r w:rsidRPr="00DB3646">
        <w:rPr>
          <w:rFonts w:cs="Arial"/>
          <w:lang w:val="en-CA"/>
        </w:rPr>
        <w:t xml:space="preserve">IPCC. (2019). </w:t>
      </w:r>
      <w:r w:rsidRPr="00DB3646">
        <w:rPr>
          <w:rFonts w:cs="Arial"/>
          <w:i/>
          <w:iCs/>
          <w:lang w:val="en-CA"/>
        </w:rPr>
        <w:t>2019 Refinement to the 2006 IPCC Guidelines for National Greenhouse Gas Inventories</w:t>
      </w:r>
      <w:r w:rsidRPr="00DB3646">
        <w:rPr>
          <w:rFonts w:cs="Arial"/>
          <w:lang w:val="en-CA"/>
        </w:rPr>
        <w:t>. Intergovernmental Panel on Climate Change.</w:t>
      </w:r>
    </w:p>
    <w:p w14:paraId="374657F1" w14:textId="77777777" w:rsidR="0001516E" w:rsidRPr="00DB3646" w:rsidRDefault="0001516E" w:rsidP="0001516E">
      <w:pPr>
        <w:pStyle w:val="CETBodytext"/>
        <w:rPr>
          <w:rFonts w:cs="Arial"/>
          <w:lang w:val="en-CA"/>
        </w:rPr>
      </w:pPr>
      <w:r w:rsidRPr="00DB3646">
        <w:rPr>
          <w:rFonts w:cs="Arial"/>
          <w:lang w:val="en-CA"/>
        </w:rPr>
        <w:t xml:space="preserve">MINAM. (2021). </w:t>
      </w:r>
      <w:r w:rsidRPr="00DB3646">
        <w:rPr>
          <w:rFonts w:cs="Arial"/>
          <w:i/>
          <w:iCs/>
          <w:lang w:val="en-CA"/>
        </w:rPr>
        <w:t>Guidelines for Municipal Organic Waste Management</w:t>
      </w:r>
      <w:r w:rsidRPr="00DB3646">
        <w:rPr>
          <w:rFonts w:cs="Arial"/>
          <w:lang w:val="en-CA"/>
        </w:rPr>
        <w:t>. Ministry of Environment of Peru.</w:t>
      </w:r>
    </w:p>
    <w:p w14:paraId="20A8946A" w14:textId="77777777" w:rsidR="0001516E" w:rsidRPr="00F8718D" w:rsidRDefault="0001516E" w:rsidP="00C30B09">
      <w:pPr>
        <w:pStyle w:val="CETBodytext"/>
        <w:ind w:left="7788" w:hanging="7788"/>
        <w:rPr>
          <w:rFonts w:cs="Arial"/>
          <w:lang w:val="en-CA"/>
        </w:rPr>
      </w:pPr>
      <w:r w:rsidRPr="00DB3646">
        <w:rPr>
          <w:rFonts w:cs="Arial"/>
          <w:lang w:val="en-CA"/>
        </w:rPr>
        <w:t xml:space="preserve">UNEP. (2022). </w:t>
      </w:r>
      <w:r w:rsidRPr="00DB3646">
        <w:rPr>
          <w:rFonts w:cs="Arial"/>
          <w:i/>
          <w:iCs/>
          <w:lang w:val="en-CA"/>
        </w:rPr>
        <w:t>Global Waste Management Outlook 2022</w:t>
      </w:r>
      <w:r w:rsidRPr="00DB3646">
        <w:rPr>
          <w:rFonts w:cs="Arial"/>
          <w:lang w:val="en-CA"/>
        </w:rPr>
        <w:t xml:space="preserve">. </w:t>
      </w:r>
      <w:r w:rsidRPr="00F8718D">
        <w:rPr>
          <w:rFonts w:cs="Arial"/>
          <w:lang w:val="en-CA"/>
        </w:rPr>
        <w:t>United Nations Environment Programme.</w:t>
      </w:r>
    </w:p>
    <w:p w14:paraId="39A504EE" w14:textId="77777777" w:rsidR="00801E9C" w:rsidRPr="00801E9C" w:rsidRDefault="00801E9C" w:rsidP="00801E9C">
      <w:pPr>
        <w:pStyle w:val="CETBodytext"/>
        <w:rPr>
          <w:rFonts w:cs="Arial"/>
          <w:lang w:val="en-CA"/>
        </w:rPr>
      </w:pPr>
      <w:r w:rsidRPr="00801E9C">
        <w:rPr>
          <w:rFonts w:cs="Arial"/>
          <w:lang w:val="en-CA"/>
        </w:rPr>
        <w:t>Inter-American Development Bank (IDB). (2020). Integrated Solid Waste Management in Latin America and the Caribbean. IDB.</w:t>
      </w:r>
    </w:p>
    <w:p w14:paraId="04C67644" w14:textId="41B1F532" w:rsidR="00C30B09" w:rsidRDefault="00801E9C" w:rsidP="00801E9C">
      <w:pPr>
        <w:pStyle w:val="CETBodytext"/>
        <w:rPr>
          <w:rFonts w:cs="Arial"/>
          <w:lang w:val="en-CA"/>
        </w:rPr>
      </w:pPr>
      <w:r w:rsidRPr="00801E9C">
        <w:rPr>
          <w:rFonts w:cs="Arial"/>
          <w:lang w:val="en-CA"/>
        </w:rPr>
        <w:t>Intergovernmental Panel on Climate Change (IPCC). (2019). 2019 Refinement to the 2006 IPCC Guidelines for National Greenhouse Gas Inventories. IPCC.</w:t>
      </w:r>
    </w:p>
    <w:p w14:paraId="55BBD18A" w14:textId="77777777" w:rsidR="00FF6958" w:rsidRDefault="00FF6958" w:rsidP="00FF6958">
      <w:pPr>
        <w:pStyle w:val="CETBodytext"/>
        <w:rPr>
          <w:rFonts w:cs="Arial"/>
          <w:lang w:val="en-CA"/>
        </w:rPr>
      </w:pPr>
      <w:r w:rsidRPr="00DB3646">
        <w:rPr>
          <w:rFonts w:cs="Arial"/>
          <w:lang w:val="en-CA"/>
        </w:rPr>
        <w:t xml:space="preserve">IPCC. (2019). </w:t>
      </w:r>
      <w:r w:rsidRPr="00DB3646">
        <w:rPr>
          <w:rFonts w:cs="Arial"/>
          <w:i/>
          <w:iCs/>
          <w:lang w:val="en-CA"/>
        </w:rPr>
        <w:t>2019 Refinement to the 2006 IPCC Guidelines for National Greenhouse Gas Inventories</w:t>
      </w:r>
      <w:r w:rsidRPr="00DB3646">
        <w:rPr>
          <w:rFonts w:cs="Arial"/>
          <w:lang w:val="en-CA"/>
        </w:rPr>
        <w:t>. Intergovernmental Panel on Climate Change.</w:t>
      </w:r>
    </w:p>
    <w:p w14:paraId="2F4ADDC9" w14:textId="77777777" w:rsidR="00801E9C" w:rsidRPr="00801E9C" w:rsidRDefault="00801E9C" w:rsidP="00801E9C">
      <w:pPr>
        <w:pStyle w:val="CETBodytext"/>
        <w:rPr>
          <w:rFonts w:cs="Arial"/>
          <w:lang w:val="en-CA"/>
        </w:rPr>
      </w:pPr>
      <w:proofErr w:type="spellStart"/>
      <w:r w:rsidRPr="00801E9C">
        <w:rPr>
          <w:rFonts w:cs="Arial"/>
          <w:lang w:val="es-PE"/>
        </w:rPr>
        <w:t>Klemeš</w:t>
      </w:r>
      <w:proofErr w:type="spellEnd"/>
      <w:r w:rsidRPr="00801E9C">
        <w:rPr>
          <w:rFonts w:cs="Arial"/>
          <w:lang w:val="es-PE"/>
        </w:rPr>
        <w:t xml:space="preserve">, J. J., Fan, Y. V., </w:t>
      </w:r>
      <w:proofErr w:type="spellStart"/>
      <w:r w:rsidRPr="00801E9C">
        <w:rPr>
          <w:rFonts w:cs="Arial"/>
          <w:lang w:val="es-PE"/>
        </w:rPr>
        <w:t>Jiang</w:t>
      </w:r>
      <w:proofErr w:type="spellEnd"/>
      <w:r w:rsidRPr="00801E9C">
        <w:rPr>
          <w:rFonts w:cs="Arial"/>
          <w:lang w:val="es-PE"/>
        </w:rPr>
        <w:t xml:space="preserve">, P., &amp; Van Fan, Y. (2020). </w:t>
      </w:r>
      <w:r w:rsidRPr="00801E9C">
        <w:rPr>
          <w:rFonts w:cs="Arial"/>
          <w:lang w:val="en-CA"/>
        </w:rPr>
        <w:t>The potential of carbon emission footprint reduction from waste management systems. Chemical Engineering Transactions, 81, 775–780.</w:t>
      </w:r>
    </w:p>
    <w:p w14:paraId="07573D6B" w14:textId="203A9842" w:rsidR="00801E9C" w:rsidRPr="00DB3646" w:rsidRDefault="00801E9C" w:rsidP="00801E9C">
      <w:pPr>
        <w:pStyle w:val="CETBodytext"/>
        <w:rPr>
          <w:rFonts w:cs="Arial"/>
          <w:lang w:val="en-CA"/>
        </w:rPr>
      </w:pPr>
      <w:r w:rsidRPr="00801E9C">
        <w:rPr>
          <w:rFonts w:cs="Arial"/>
          <w:lang w:val="en-CA"/>
        </w:rPr>
        <w:t>Lim, L. Y., Lee, C. T., &amp; Bong, C. P. C. (2017). Review on the current composting practices and the effectiveness of two-stage composting. Chemical Engineering Transactions, 56, 421–426</w:t>
      </w:r>
    </w:p>
    <w:p w14:paraId="216273DA" w14:textId="77777777" w:rsidR="00FF6958" w:rsidRPr="00DB3646" w:rsidRDefault="00FF6958" w:rsidP="00FF6958">
      <w:pPr>
        <w:pStyle w:val="CETBodytext"/>
        <w:rPr>
          <w:rFonts w:cs="Arial"/>
          <w:lang w:val="en-CA"/>
        </w:rPr>
      </w:pPr>
      <w:r w:rsidRPr="00DB3646">
        <w:rPr>
          <w:rFonts w:cs="Arial"/>
          <w:lang w:val="en-CA"/>
        </w:rPr>
        <w:t xml:space="preserve">MINAM. (2021). </w:t>
      </w:r>
      <w:r w:rsidRPr="00DB3646">
        <w:rPr>
          <w:rFonts w:cs="Arial"/>
          <w:i/>
          <w:iCs/>
          <w:lang w:val="en-CA"/>
        </w:rPr>
        <w:t>Guidelines for Municipal Organic Waste Management</w:t>
      </w:r>
      <w:r w:rsidRPr="00DB3646">
        <w:rPr>
          <w:rFonts w:cs="Arial"/>
          <w:lang w:val="en-CA"/>
        </w:rPr>
        <w:t>. Ministry of Environment of Peru.</w:t>
      </w:r>
    </w:p>
    <w:p w14:paraId="23728122" w14:textId="27084260" w:rsidR="0001516E" w:rsidRDefault="00FF6958" w:rsidP="00B22C0E">
      <w:pPr>
        <w:pStyle w:val="CETBodytext"/>
        <w:rPr>
          <w:rFonts w:cs="Arial"/>
          <w:lang w:val="es-PE"/>
        </w:rPr>
      </w:pPr>
      <w:r w:rsidRPr="00DB3646">
        <w:rPr>
          <w:rFonts w:cs="Arial"/>
          <w:lang w:val="en-CA"/>
        </w:rPr>
        <w:t xml:space="preserve">UNEP. (2022). </w:t>
      </w:r>
      <w:r w:rsidRPr="00DB3646">
        <w:rPr>
          <w:rFonts w:cs="Arial"/>
          <w:i/>
          <w:iCs/>
          <w:lang w:val="en-CA"/>
        </w:rPr>
        <w:t>Global Waste Management Outlook 2022</w:t>
      </w:r>
      <w:r w:rsidRPr="00DB3646">
        <w:rPr>
          <w:rFonts w:cs="Arial"/>
          <w:lang w:val="en-CA"/>
        </w:rPr>
        <w:t xml:space="preserve">. </w:t>
      </w:r>
      <w:proofErr w:type="spellStart"/>
      <w:r w:rsidRPr="00DB3646">
        <w:rPr>
          <w:rFonts w:cs="Arial"/>
          <w:lang w:val="es-PE"/>
        </w:rPr>
        <w:t>United</w:t>
      </w:r>
      <w:proofErr w:type="spellEnd"/>
      <w:r w:rsidRPr="00DB3646">
        <w:rPr>
          <w:rFonts w:cs="Arial"/>
          <w:lang w:val="es-PE"/>
        </w:rPr>
        <w:t xml:space="preserve"> Nations </w:t>
      </w:r>
      <w:proofErr w:type="spellStart"/>
      <w:r w:rsidRPr="00DB3646">
        <w:rPr>
          <w:rFonts w:cs="Arial"/>
          <w:lang w:val="es-PE"/>
        </w:rPr>
        <w:t>Environment</w:t>
      </w:r>
      <w:proofErr w:type="spellEnd"/>
      <w:r w:rsidRPr="00DB3646">
        <w:rPr>
          <w:rFonts w:cs="Arial"/>
          <w:lang w:val="es-PE"/>
        </w:rPr>
        <w:t xml:space="preserve"> </w:t>
      </w:r>
      <w:proofErr w:type="spellStart"/>
      <w:r w:rsidRPr="00DB3646">
        <w:rPr>
          <w:rFonts w:cs="Arial"/>
          <w:lang w:val="es-PE"/>
        </w:rPr>
        <w:t>Programme</w:t>
      </w:r>
      <w:proofErr w:type="spellEnd"/>
      <w:r w:rsidRPr="00DB3646">
        <w:rPr>
          <w:rFonts w:cs="Arial"/>
          <w:lang w:val="es-PE"/>
        </w:rPr>
        <w:t>.</w:t>
      </w:r>
    </w:p>
    <w:p w14:paraId="03E66263" w14:textId="77777777" w:rsidR="00BB092E" w:rsidRDefault="00BB092E" w:rsidP="00B22C0E">
      <w:pPr>
        <w:pStyle w:val="CETBodytext"/>
        <w:rPr>
          <w:rFonts w:cs="Arial"/>
          <w:lang w:val="es-PE"/>
        </w:rPr>
      </w:pPr>
    </w:p>
    <w:p w14:paraId="4E893988" w14:textId="77777777" w:rsidR="00BB092E" w:rsidRPr="00DB3646" w:rsidRDefault="00BB092E" w:rsidP="00B22C0E">
      <w:pPr>
        <w:pStyle w:val="CETBodytext"/>
        <w:rPr>
          <w:rFonts w:cs="Arial"/>
          <w:lang w:val="en-CA"/>
        </w:rPr>
      </w:pPr>
    </w:p>
    <w:sectPr w:rsidR="00BB092E" w:rsidRPr="00DB3646" w:rsidSect="00801E9C">
      <w:type w:val="continuous"/>
      <w:pgSz w:w="11906" w:h="16838" w:code="9"/>
      <w:pgMar w:top="1701" w:right="1418" w:bottom="1276"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76DED" w14:textId="77777777" w:rsidR="00AC1F54" w:rsidRDefault="00AC1F54" w:rsidP="004F5E36">
      <w:r>
        <w:separator/>
      </w:r>
    </w:p>
  </w:endnote>
  <w:endnote w:type="continuationSeparator" w:id="0">
    <w:p w14:paraId="217492E5" w14:textId="77777777" w:rsidR="00AC1F54" w:rsidRDefault="00AC1F54"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22359" w14:textId="77777777" w:rsidR="00AC1F54" w:rsidRDefault="00AC1F54" w:rsidP="004F5E36">
      <w:r>
        <w:separator/>
      </w:r>
    </w:p>
  </w:footnote>
  <w:footnote w:type="continuationSeparator" w:id="0">
    <w:p w14:paraId="7AE4B2DC" w14:textId="77777777" w:rsidR="00AC1F54" w:rsidRDefault="00AC1F54"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51F2458"/>
    <w:multiLevelType w:val="multilevel"/>
    <w:tmpl w:val="17964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EF4738"/>
    <w:multiLevelType w:val="hybridMultilevel"/>
    <w:tmpl w:val="E794A0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0D9072BD"/>
    <w:multiLevelType w:val="hybridMultilevel"/>
    <w:tmpl w:val="060AFA6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1C7E38BB"/>
    <w:multiLevelType w:val="multilevel"/>
    <w:tmpl w:val="5CAE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5E06E2"/>
    <w:multiLevelType w:val="multilevel"/>
    <w:tmpl w:val="707A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absica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6" w15:restartNumberingAfterBreak="0">
    <w:nsid w:val="250F7B87"/>
    <w:multiLevelType w:val="hybridMultilevel"/>
    <w:tmpl w:val="6E02D9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51F6060"/>
    <w:multiLevelType w:val="hybridMultilevel"/>
    <w:tmpl w:val="FD80A1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259F72B7"/>
    <w:multiLevelType w:val="hybridMultilevel"/>
    <w:tmpl w:val="319474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25C81393"/>
    <w:multiLevelType w:val="multilevel"/>
    <w:tmpl w:val="3124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A1221A"/>
    <w:multiLevelType w:val="hybridMultilevel"/>
    <w:tmpl w:val="2A02E420"/>
    <w:lvl w:ilvl="0" w:tplc="263EA0AA">
      <w:start w:val="1"/>
      <w:numFmt w:val="decimal"/>
      <w:lvlText w:val="%1."/>
      <w:lvlJc w:val="left"/>
      <w:pPr>
        <w:ind w:left="720" w:hanging="360"/>
      </w:pPr>
      <w:rPr>
        <w:rFonts w:hint="default"/>
        <w:b/>
        <w:sz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4B6678D"/>
    <w:multiLevelType w:val="hybridMultilevel"/>
    <w:tmpl w:val="C47E98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41383A51"/>
    <w:multiLevelType w:val="multilevel"/>
    <w:tmpl w:val="D9C86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A3166C"/>
    <w:multiLevelType w:val="multilevel"/>
    <w:tmpl w:val="C2722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D627FD"/>
    <w:multiLevelType w:val="hybridMultilevel"/>
    <w:tmpl w:val="89EA7F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4B717634"/>
    <w:multiLevelType w:val="multilevel"/>
    <w:tmpl w:val="EEE2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282137"/>
    <w:multiLevelType w:val="hybridMultilevel"/>
    <w:tmpl w:val="CD3643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4EDF7623"/>
    <w:multiLevelType w:val="hybridMultilevel"/>
    <w:tmpl w:val="D96A4A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0C56702"/>
    <w:multiLevelType w:val="hybridMultilevel"/>
    <w:tmpl w:val="0C5EDB5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3180876"/>
    <w:multiLevelType w:val="multilevel"/>
    <w:tmpl w:val="8DE05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37" w15:restartNumberingAfterBreak="0">
    <w:nsid w:val="56EF5073"/>
    <w:multiLevelType w:val="hybridMultilevel"/>
    <w:tmpl w:val="50FC22CA"/>
    <w:lvl w:ilvl="0" w:tplc="280A000F">
      <w:start w:val="4"/>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D3E50E3"/>
    <w:multiLevelType w:val="multilevel"/>
    <w:tmpl w:val="C9624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5"/>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36"/>
  </w:num>
  <w:num w:numId="13" w16cid:durableId="695733619">
    <w:abstractNumId w:val="23"/>
  </w:num>
  <w:num w:numId="14" w16cid:durableId="145903400">
    <w:abstractNumId w:val="38"/>
  </w:num>
  <w:num w:numId="15" w16cid:durableId="19162326">
    <w:abstractNumId w:val="41"/>
  </w:num>
  <w:num w:numId="16" w16cid:durableId="1977102699">
    <w:abstractNumId w:val="40"/>
  </w:num>
  <w:num w:numId="17" w16cid:durableId="860774865">
    <w:abstractNumId w:val="21"/>
  </w:num>
  <w:num w:numId="18" w16cid:durableId="313221457">
    <w:abstractNumId w:val="23"/>
    <w:lvlOverride w:ilvl="0">
      <w:startOverride w:val="1"/>
    </w:lvlOverride>
  </w:num>
  <w:num w:numId="19" w16cid:durableId="534971577">
    <w:abstractNumId w:val="34"/>
  </w:num>
  <w:num w:numId="20" w16cid:durableId="1150947773">
    <w:abstractNumId w:val="32"/>
  </w:num>
  <w:num w:numId="21" w16cid:durableId="124660497">
    <w:abstractNumId w:val="25"/>
  </w:num>
  <w:num w:numId="22" w16cid:durableId="2099861471">
    <w:abstractNumId w:val="24"/>
  </w:num>
  <w:num w:numId="23" w16cid:durableId="1300694953">
    <w:abstractNumId w:val="20"/>
  </w:num>
  <w:num w:numId="24" w16cid:durableId="1965698995">
    <w:abstractNumId w:val="27"/>
  </w:num>
  <w:num w:numId="25" w16cid:durableId="1668678488">
    <w:abstractNumId w:val="14"/>
  </w:num>
  <w:num w:numId="26" w16cid:durableId="771242306">
    <w:abstractNumId w:val="10"/>
  </w:num>
  <w:num w:numId="27" w16cid:durableId="114561348">
    <w:abstractNumId w:val="29"/>
  </w:num>
  <w:num w:numId="28" w16cid:durableId="1875576300">
    <w:abstractNumId w:val="13"/>
  </w:num>
  <w:num w:numId="29" w16cid:durableId="965887353">
    <w:abstractNumId w:val="39"/>
  </w:num>
  <w:num w:numId="30" w16cid:durableId="652681432">
    <w:abstractNumId w:val="22"/>
  </w:num>
  <w:num w:numId="31" w16cid:durableId="885413003">
    <w:abstractNumId w:val="26"/>
  </w:num>
  <w:num w:numId="32" w16cid:durableId="2017032575">
    <w:abstractNumId w:val="19"/>
  </w:num>
  <w:num w:numId="33" w16cid:durableId="84958668">
    <w:abstractNumId w:val="35"/>
  </w:num>
  <w:num w:numId="34" w16cid:durableId="583421704">
    <w:abstractNumId w:val="17"/>
  </w:num>
  <w:num w:numId="35" w16cid:durableId="1287738577">
    <w:abstractNumId w:val="18"/>
  </w:num>
  <w:num w:numId="36" w16cid:durableId="88892524">
    <w:abstractNumId w:val="30"/>
  </w:num>
  <w:num w:numId="37" w16cid:durableId="732045348">
    <w:abstractNumId w:val="28"/>
  </w:num>
  <w:num w:numId="38" w16cid:durableId="1755317608">
    <w:abstractNumId w:val="16"/>
  </w:num>
  <w:num w:numId="39" w16cid:durableId="299073462">
    <w:abstractNumId w:val="31"/>
  </w:num>
  <w:num w:numId="40" w16cid:durableId="1965110527">
    <w:abstractNumId w:val="33"/>
  </w:num>
  <w:num w:numId="41" w16cid:durableId="1579367464">
    <w:abstractNumId w:val="11"/>
  </w:num>
  <w:num w:numId="42" w16cid:durableId="1901940000">
    <w:abstractNumId w:val="12"/>
  </w:num>
  <w:num w:numId="43" w16cid:durableId="142476726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A19"/>
    <w:rsid w:val="000117CB"/>
    <w:rsid w:val="0001516E"/>
    <w:rsid w:val="0003148D"/>
    <w:rsid w:val="00031EEC"/>
    <w:rsid w:val="00051566"/>
    <w:rsid w:val="00054288"/>
    <w:rsid w:val="000562A9"/>
    <w:rsid w:val="00062A9A"/>
    <w:rsid w:val="00065058"/>
    <w:rsid w:val="00086C39"/>
    <w:rsid w:val="000A03B2"/>
    <w:rsid w:val="000D0268"/>
    <w:rsid w:val="000D34BE"/>
    <w:rsid w:val="000E102F"/>
    <w:rsid w:val="000E36F1"/>
    <w:rsid w:val="000E3A73"/>
    <w:rsid w:val="000E414A"/>
    <w:rsid w:val="000F093C"/>
    <w:rsid w:val="000F5541"/>
    <w:rsid w:val="000F711D"/>
    <w:rsid w:val="000F787B"/>
    <w:rsid w:val="0012091F"/>
    <w:rsid w:val="00126BC2"/>
    <w:rsid w:val="001308B6"/>
    <w:rsid w:val="0013121F"/>
    <w:rsid w:val="00131FE6"/>
    <w:rsid w:val="0013263F"/>
    <w:rsid w:val="001331DF"/>
    <w:rsid w:val="00134DE4"/>
    <w:rsid w:val="0014034D"/>
    <w:rsid w:val="0014185D"/>
    <w:rsid w:val="00144D16"/>
    <w:rsid w:val="00150E59"/>
    <w:rsid w:val="00152DE3"/>
    <w:rsid w:val="00164CF9"/>
    <w:rsid w:val="001667A6"/>
    <w:rsid w:val="00184AD6"/>
    <w:rsid w:val="001905C8"/>
    <w:rsid w:val="001A4AF7"/>
    <w:rsid w:val="001B0349"/>
    <w:rsid w:val="001B1E93"/>
    <w:rsid w:val="001B65C1"/>
    <w:rsid w:val="001C684B"/>
    <w:rsid w:val="001D0CFB"/>
    <w:rsid w:val="001D21AF"/>
    <w:rsid w:val="001D45A7"/>
    <w:rsid w:val="001D53FC"/>
    <w:rsid w:val="001E5EC3"/>
    <w:rsid w:val="001F42A5"/>
    <w:rsid w:val="001F7B9D"/>
    <w:rsid w:val="001F7F35"/>
    <w:rsid w:val="00201C93"/>
    <w:rsid w:val="0020221E"/>
    <w:rsid w:val="00207E7E"/>
    <w:rsid w:val="002224B4"/>
    <w:rsid w:val="002447EF"/>
    <w:rsid w:val="00251550"/>
    <w:rsid w:val="00262B11"/>
    <w:rsid w:val="00263B05"/>
    <w:rsid w:val="00267DAD"/>
    <w:rsid w:val="0027221A"/>
    <w:rsid w:val="00275B61"/>
    <w:rsid w:val="00280FAF"/>
    <w:rsid w:val="00282656"/>
    <w:rsid w:val="00296B83"/>
    <w:rsid w:val="002B4015"/>
    <w:rsid w:val="002B78CE"/>
    <w:rsid w:val="002C2FB6"/>
    <w:rsid w:val="002E3ADC"/>
    <w:rsid w:val="002E5FA7"/>
    <w:rsid w:val="002F3309"/>
    <w:rsid w:val="003008CE"/>
    <w:rsid w:val="003009B7"/>
    <w:rsid w:val="00300E56"/>
    <w:rsid w:val="0030152C"/>
    <w:rsid w:val="0030469C"/>
    <w:rsid w:val="00321CA6"/>
    <w:rsid w:val="00323763"/>
    <w:rsid w:val="00323C5F"/>
    <w:rsid w:val="00334C09"/>
    <w:rsid w:val="0035009F"/>
    <w:rsid w:val="00353985"/>
    <w:rsid w:val="003723D4"/>
    <w:rsid w:val="00374F0E"/>
    <w:rsid w:val="00381905"/>
    <w:rsid w:val="00384CC8"/>
    <w:rsid w:val="003871FD"/>
    <w:rsid w:val="003A1E30"/>
    <w:rsid w:val="003A2829"/>
    <w:rsid w:val="003A7D1C"/>
    <w:rsid w:val="003B304B"/>
    <w:rsid w:val="003B3146"/>
    <w:rsid w:val="003F015E"/>
    <w:rsid w:val="00400414"/>
    <w:rsid w:val="0040327C"/>
    <w:rsid w:val="0041446B"/>
    <w:rsid w:val="00431D67"/>
    <w:rsid w:val="0044071E"/>
    <w:rsid w:val="0044329C"/>
    <w:rsid w:val="00453E24"/>
    <w:rsid w:val="00457456"/>
    <w:rsid w:val="004577FE"/>
    <w:rsid w:val="00457B9C"/>
    <w:rsid w:val="0046164A"/>
    <w:rsid w:val="004628D2"/>
    <w:rsid w:val="00462DCD"/>
    <w:rsid w:val="004648AD"/>
    <w:rsid w:val="004703A9"/>
    <w:rsid w:val="004760DE"/>
    <w:rsid w:val="004763D7"/>
    <w:rsid w:val="004A004E"/>
    <w:rsid w:val="004A24CF"/>
    <w:rsid w:val="004C3D1D"/>
    <w:rsid w:val="004C3D84"/>
    <w:rsid w:val="004C547C"/>
    <w:rsid w:val="004C7913"/>
    <w:rsid w:val="004D482F"/>
    <w:rsid w:val="004E4DD6"/>
    <w:rsid w:val="004F5E36"/>
    <w:rsid w:val="00507B47"/>
    <w:rsid w:val="00507BEF"/>
    <w:rsid w:val="00507CC9"/>
    <w:rsid w:val="005119A5"/>
    <w:rsid w:val="005278B7"/>
    <w:rsid w:val="00532016"/>
    <w:rsid w:val="005346C8"/>
    <w:rsid w:val="00543E7D"/>
    <w:rsid w:val="00547A68"/>
    <w:rsid w:val="005531C9"/>
    <w:rsid w:val="00557E00"/>
    <w:rsid w:val="00570C43"/>
    <w:rsid w:val="005B2110"/>
    <w:rsid w:val="005B61E6"/>
    <w:rsid w:val="005C77E1"/>
    <w:rsid w:val="005D668A"/>
    <w:rsid w:val="005D6A2F"/>
    <w:rsid w:val="005E1A82"/>
    <w:rsid w:val="005E794C"/>
    <w:rsid w:val="005F0A28"/>
    <w:rsid w:val="005F0E5E"/>
    <w:rsid w:val="00600526"/>
    <w:rsid w:val="00600535"/>
    <w:rsid w:val="00610CD6"/>
    <w:rsid w:val="00620DEE"/>
    <w:rsid w:val="00621F92"/>
    <w:rsid w:val="0062280A"/>
    <w:rsid w:val="00625639"/>
    <w:rsid w:val="00631B33"/>
    <w:rsid w:val="0064184D"/>
    <w:rsid w:val="006422CC"/>
    <w:rsid w:val="00660E3E"/>
    <w:rsid w:val="00662E74"/>
    <w:rsid w:val="00680C23"/>
    <w:rsid w:val="00681460"/>
    <w:rsid w:val="00693766"/>
    <w:rsid w:val="0069730A"/>
    <w:rsid w:val="006A3281"/>
    <w:rsid w:val="006B4888"/>
    <w:rsid w:val="006C2E45"/>
    <w:rsid w:val="006C359C"/>
    <w:rsid w:val="006C5579"/>
    <w:rsid w:val="006D6E8B"/>
    <w:rsid w:val="006E737D"/>
    <w:rsid w:val="00707DD1"/>
    <w:rsid w:val="00713973"/>
    <w:rsid w:val="00720A24"/>
    <w:rsid w:val="00732386"/>
    <w:rsid w:val="0073514D"/>
    <w:rsid w:val="007447F3"/>
    <w:rsid w:val="0075499F"/>
    <w:rsid w:val="007661C8"/>
    <w:rsid w:val="0077098D"/>
    <w:rsid w:val="007931FA"/>
    <w:rsid w:val="00796B6C"/>
    <w:rsid w:val="007A4861"/>
    <w:rsid w:val="007A7BBA"/>
    <w:rsid w:val="007B0C50"/>
    <w:rsid w:val="007B48F9"/>
    <w:rsid w:val="007C1A43"/>
    <w:rsid w:val="007D0951"/>
    <w:rsid w:val="007D0F08"/>
    <w:rsid w:val="0080013E"/>
    <w:rsid w:val="00801E9C"/>
    <w:rsid w:val="008076B4"/>
    <w:rsid w:val="00813288"/>
    <w:rsid w:val="008168FC"/>
    <w:rsid w:val="00830996"/>
    <w:rsid w:val="008323F8"/>
    <w:rsid w:val="008345F1"/>
    <w:rsid w:val="00865B07"/>
    <w:rsid w:val="008667EA"/>
    <w:rsid w:val="0087637F"/>
    <w:rsid w:val="00892AD5"/>
    <w:rsid w:val="008A1512"/>
    <w:rsid w:val="008D32B9"/>
    <w:rsid w:val="008D433B"/>
    <w:rsid w:val="008D4A16"/>
    <w:rsid w:val="008E566E"/>
    <w:rsid w:val="008E58F7"/>
    <w:rsid w:val="008F5A18"/>
    <w:rsid w:val="0090161A"/>
    <w:rsid w:val="00901EB6"/>
    <w:rsid w:val="00904C62"/>
    <w:rsid w:val="00922BA8"/>
    <w:rsid w:val="00924DAC"/>
    <w:rsid w:val="00927058"/>
    <w:rsid w:val="00942750"/>
    <w:rsid w:val="009450CE"/>
    <w:rsid w:val="009459BB"/>
    <w:rsid w:val="00947179"/>
    <w:rsid w:val="0095164B"/>
    <w:rsid w:val="00954090"/>
    <w:rsid w:val="009573E7"/>
    <w:rsid w:val="00963E05"/>
    <w:rsid w:val="00964A45"/>
    <w:rsid w:val="00967843"/>
    <w:rsid w:val="00967D54"/>
    <w:rsid w:val="00971028"/>
    <w:rsid w:val="00993B84"/>
    <w:rsid w:val="00996483"/>
    <w:rsid w:val="00996F5A"/>
    <w:rsid w:val="009B041A"/>
    <w:rsid w:val="009C37C3"/>
    <w:rsid w:val="009C6083"/>
    <w:rsid w:val="009C7C86"/>
    <w:rsid w:val="009D2FF7"/>
    <w:rsid w:val="009D7D05"/>
    <w:rsid w:val="009E7884"/>
    <w:rsid w:val="009E788A"/>
    <w:rsid w:val="009F0E08"/>
    <w:rsid w:val="00A13524"/>
    <w:rsid w:val="00A1763D"/>
    <w:rsid w:val="00A17CEC"/>
    <w:rsid w:val="00A27EF0"/>
    <w:rsid w:val="00A42361"/>
    <w:rsid w:val="00A45686"/>
    <w:rsid w:val="00A50B20"/>
    <w:rsid w:val="00A51390"/>
    <w:rsid w:val="00A52B45"/>
    <w:rsid w:val="00A60D13"/>
    <w:rsid w:val="00A714EF"/>
    <w:rsid w:val="00A7223D"/>
    <w:rsid w:val="00A72745"/>
    <w:rsid w:val="00A76EFC"/>
    <w:rsid w:val="00A87D50"/>
    <w:rsid w:val="00A91010"/>
    <w:rsid w:val="00A97F29"/>
    <w:rsid w:val="00AA702E"/>
    <w:rsid w:val="00AA7D26"/>
    <w:rsid w:val="00AB0964"/>
    <w:rsid w:val="00AB5011"/>
    <w:rsid w:val="00AC1F54"/>
    <w:rsid w:val="00AC7368"/>
    <w:rsid w:val="00AC76C7"/>
    <w:rsid w:val="00AD16B9"/>
    <w:rsid w:val="00AE377D"/>
    <w:rsid w:val="00AF0EBA"/>
    <w:rsid w:val="00AF46C8"/>
    <w:rsid w:val="00B013B0"/>
    <w:rsid w:val="00B02C8A"/>
    <w:rsid w:val="00B17FBD"/>
    <w:rsid w:val="00B22C0E"/>
    <w:rsid w:val="00B25639"/>
    <w:rsid w:val="00B315A6"/>
    <w:rsid w:val="00B31813"/>
    <w:rsid w:val="00B33365"/>
    <w:rsid w:val="00B43B8E"/>
    <w:rsid w:val="00B57B36"/>
    <w:rsid w:val="00B57E6F"/>
    <w:rsid w:val="00B8686D"/>
    <w:rsid w:val="00B93F69"/>
    <w:rsid w:val="00BB092E"/>
    <w:rsid w:val="00BB1DDC"/>
    <w:rsid w:val="00BB46D6"/>
    <w:rsid w:val="00BC30C9"/>
    <w:rsid w:val="00BD077D"/>
    <w:rsid w:val="00BE3E58"/>
    <w:rsid w:val="00BF7899"/>
    <w:rsid w:val="00C01616"/>
    <w:rsid w:val="00C0162B"/>
    <w:rsid w:val="00C068ED"/>
    <w:rsid w:val="00C22E0C"/>
    <w:rsid w:val="00C24AF1"/>
    <w:rsid w:val="00C24FEA"/>
    <w:rsid w:val="00C30B09"/>
    <w:rsid w:val="00C345B1"/>
    <w:rsid w:val="00C40142"/>
    <w:rsid w:val="00C52C3C"/>
    <w:rsid w:val="00C57182"/>
    <w:rsid w:val="00C57863"/>
    <w:rsid w:val="00C640AF"/>
    <w:rsid w:val="00C655FD"/>
    <w:rsid w:val="00C75407"/>
    <w:rsid w:val="00C81497"/>
    <w:rsid w:val="00C841C6"/>
    <w:rsid w:val="00C870A8"/>
    <w:rsid w:val="00C94434"/>
    <w:rsid w:val="00C95740"/>
    <w:rsid w:val="00CA0D75"/>
    <w:rsid w:val="00CA1C95"/>
    <w:rsid w:val="00CA540D"/>
    <w:rsid w:val="00CA587D"/>
    <w:rsid w:val="00CA5A9C"/>
    <w:rsid w:val="00CC4C20"/>
    <w:rsid w:val="00CD3517"/>
    <w:rsid w:val="00CD5FE2"/>
    <w:rsid w:val="00CE7C68"/>
    <w:rsid w:val="00D02B4C"/>
    <w:rsid w:val="00D040C4"/>
    <w:rsid w:val="00D175F4"/>
    <w:rsid w:val="00D20AD1"/>
    <w:rsid w:val="00D2582C"/>
    <w:rsid w:val="00D44C6D"/>
    <w:rsid w:val="00D46B7E"/>
    <w:rsid w:val="00D50C83"/>
    <w:rsid w:val="00D57C84"/>
    <w:rsid w:val="00D6057D"/>
    <w:rsid w:val="00D71640"/>
    <w:rsid w:val="00D836C5"/>
    <w:rsid w:val="00D84576"/>
    <w:rsid w:val="00D916FE"/>
    <w:rsid w:val="00DA1399"/>
    <w:rsid w:val="00DA24C6"/>
    <w:rsid w:val="00DA4D7B"/>
    <w:rsid w:val="00DB3537"/>
    <w:rsid w:val="00DB3646"/>
    <w:rsid w:val="00DD18F9"/>
    <w:rsid w:val="00DD271C"/>
    <w:rsid w:val="00DE05D3"/>
    <w:rsid w:val="00DE264A"/>
    <w:rsid w:val="00DF5072"/>
    <w:rsid w:val="00E02D18"/>
    <w:rsid w:val="00E041E7"/>
    <w:rsid w:val="00E23CA1"/>
    <w:rsid w:val="00E409A8"/>
    <w:rsid w:val="00E44B21"/>
    <w:rsid w:val="00E50C12"/>
    <w:rsid w:val="00E65B91"/>
    <w:rsid w:val="00E7209D"/>
    <w:rsid w:val="00E72EAD"/>
    <w:rsid w:val="00E77223"/>
    <w:rsid w:val="00E8528B"/>
    <w:rsid w:val="00E85B94"/>
    <w:rsid w:val="00E978D0"/>
    <w:rsid w:val="00EA4613"/>
    <w:rsid w:val="00EA7F91"/>
    <w:rsid w:val="00EB1523"/>
    <w:rsid w:val="00EC0E49"/>
    <w:rsid w:val="00EC101F"/>
    <w:rsid w:val="00EC1D9F"/>
    <w:rsid w:val="00EE0131"/>
    <w:rsid w:val="00EE17B0"/>
    <w:rsid w:val="00EF06D9"/>
    <w:rsid w:val="00EF19FA"/>
    <w:rsid w:val="00F10DDA"/>
    <w:rsid w:val="00F3049E"/>
    <w:rsid w:val="00F30C64"/>
    <w:rsid w:val="00F32BA2"/>
    <w:rsid w:val="00F32CDB"/>
    <w:rsid w:val="00F565FE"/>
    <w:rsid w:val="00F63A70"/>
    <w:rsid w:val="00F63D8C"/>
    <w:rsid w:val="00F66807"/>
    <w:rsid w:val="00F67C0C"/>
    <w:rsid w:val="00F7534E"/>
    <w:rsid w:val="00F82A7C"/>
    <w:rsid w:val="00F8718D"/>
    <w:rsid w:val="00F93EDF"/>
    <w:rsid w:val="00FA1802"/>
    <w:rsid w:val="00FA21D0"/>
    <w:rsid w:val="00FA5F5F"/>
    <w:rsid w:val="00FB730C"/>
    <w:rsid w:val="00FC2695"/>
    <w:rsid w:val="00FC3E03"/>
    <w:rsid w:val="00FC3FC1"/>
    <w:rsid w:val="00FF6958"/>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ar"/>
    <w:uiPriority w:val="9"/>
    <w:rsid w:val="004F5E36"/>
    <w:pPr>
      <w:tabs>
        <w:tab w:val="clear" w:pos="360"/>
        <w:tab w:val="right" w:pos="7100"/>
      </w:tabs>
      <w:jc w:val="both"/>
      <w:outlineLvl w:val="0"/>
    </w:pPr>
    <w:rPr>
      <w:lang w:val="en-GB"/>
    </w:rPr>
  </w:style>
  <w:style w:type="paragraph" w:styleId="Ttulo2">
    <w:name w:val="heading 2"/>
    <w:basedOn w:val="Normal"/>
    <w:next w:val="Normal"/>
    <w:link w:val="Ttulo2C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absica1">
    <w:name w:val="Table Simple 1"/>
    <w:basedOn w:val="Tabla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ario">
    <w:name w:val="annotation reference"/>
    <w:basedOn w:val="Fuentedeprrafopredeter"/>
    <w:uiPriority w:val="99"/>
    <w:semiHidden/>
    <w:unhideWhenUsed/>
    <w:rsid w:val="004577FE"/>
    <w:rPr>
      <w:sz w:val="16"/>
      <w:szCs w:val="16"/>
    </w:rPr>
  </w:style>
  <w:style w:type="paragraph" w:styleId="Textodeglobo">
    <w:name w:val="Balloon Text"/>
    <w:basedOn w:val="Normal"/>
    <w:link w:val="TextodegloboCar"/>
    <w:uiPriority w:val="99"/>
    <w:semiHidden/>
    <w:unhideWhenUsed/>
    <w:rsid w:val="000D34B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34BE"/>
    <w:rPr>
      <w:rFonts w:ascii="Tahoma" w:hAnsi="Tahoma" w:cs="Tahoma"/>
      <w:sz w:val="16"/>
      <w:szCs w:val="16"/>
    </w:rPr>
  </w:style>
  <w:style w:type="paragraph" w:styleId="Bibliografa">
    <w:name w:val="Bibliography"/>
    <w:basedOn w:val="CETReferencetext"/>
    <w:uiPriority w:val="37"/>
    <w:unhideWhenUsed/>
    <w:rsid w:val="00631B33"/>
    <w:pPr>
      <w:spacing w:line="240" w:lineRule="auto"/>
      <w:ind w:left="720" w:hanging="720"/>
    </w:pPr>
  </w:style>
  <w:style w:type="paragraph" w:styleId="Textoindependiente2">
    <w:name w:val="Body Text 2"/>
    <w:basedOn w:val="Normal"/>
    <w:link w:val="Textoindependiente2Car"/>
    <w:uiPriority w:val="99"/>
    <w:semiHidden/>
    <w:unhideWhenUsed/>
    <w:rsid w:val="0003148D"/>
    <w:pPr>
      <w:spacing w:after="120" w:line="480" w:lineRule="auto"/>
    </w:pPr>
  </w:style>
  <w:style w:type="character" w:customStyle="1" w:styleId="Textoindependiente2Car">
    <w:name w:val="Texto independiente 2 Car"/>
    <w:basedOn w:val="Fuentedeprrafopredeter"/>
    <w:link w:val="Textoindependiente2"/>
    <w:uiPriority w:val="99"/>
    <w:semiHidden/>
    <w:rsid w:val="0003148D"/>
  </w:style>
  <w:style w:type="paragraph" w:styleId="Textoindependiente3">
    <w:name w:val="Body Text 3"/>
    <w:basedOn w:val="Normal"/>
    <w:link w:val="Textoindependiente3Car"/>
    <w:uiPriority w:val="99"/>
    <w:semiHidden/>
    <w:unhideWhenUsed/>
    <w:rsid w:val="0003148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3148D"/>
    <w:rPr>
      <w:sz w:val="16"/>
      <w:szCs w:val="16"/>
    </w:rPr>
  </w:style>
  <w:style w:type="paragraph" w:styleId="Textoindependiente">
    <w:name w:val="Body Text"/>
    <w:basedOn w:val="Normal"/>
    <w:link w:val="TextoindependienteCar"/>
    <w:uiPriority w:val="99"/>
    <w:semiHidden/>
    <w:unhideWhenUsed/>
    <w:rsid w:val="0003148D"/>
    <w:pPr>
      <w:spacing w:after="120"/>
    </w:pPr>
  </w:style>
  <w:style w:type="character" w:customStyle="1" w:styleId="TextoindependienteCar">
    <w:name w:val="Texto independiente Car"/>
    <w:basedOn w:val="Fuentedeprrafopredeter"/>
    <w:link w:val="Textoindependiente"/>
    <w:uiPriority w:val="99"/>
    <w:semiHidden/>
    <w:rsid w:val="0003148D"/>
  </w:style>
  <w:style w:type="paragraph" w:styleId="Fecha">
    <w:name w:val="Date"/>
    <w:basedOn w:val="Normal"/>
    <w:next w:val="Normal"/>
    <w:link w:val="FechaCar"/>
    <w:uiPriority w:val="99"/>
    <w:semiHidden/>
    <w:unhideWhenUsed/>
    <w:rsid w:val="0003148D"/>
  </w:style>
  <w:style w:type="character" w:customStyle="1" w:styleId="FechaCar">
    <w:name w:val="Fecha Car"/>
    <w:basedOn w:val="Fuentedeprrafopredeter"/>
    <w:link w:val="Fecha"/>
    <w:uiPriority w:val="99"/>
    <w:semiHidden/>
    <w:rsid w:val="0003148D"/>
  </w:style>
  <w:style w:type="paragraph" w:styleId="Descripci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Continuarlista">
    <w:name w:val="List Continue"/>
    <w:basedOn w:val="Normal"/>
    <w:uiPriority w:val="99"/>
    <w:semiHidden/>
    <w:unhideWhenUsed/>
    <w:rsid w:val="0003148D"/>
    <w:pPr>
      <w:spacing w:after="120"/>
      <w:ind w:left="283"/>
      <w:contextualSpacing/>
    </w:pPr>
  </w:style>
  <w:style w:type="paragraph" w:styleId="Continuarlista2">
    <w:name w:val="List Continue 2"/>
    <w:basedOn w:val="Normal"/>
    <w:uiPriority w:val="99"/>
    <w:semiHidden/>
    <w:unhideWhenUsed/>
    <w:rsid w:val="0003148D"/>
    <w:pPr>
      <w:spacing w:after="120"/>
      <w:ind w:left="566"/>
      <w:contextualSpacing/>
    </w:pPr>
  </w:style>
  <w:style w:type="paragraph" w:styleId="Continuarlista3">
    <w:name w:val="List Continue 3"/>
    <w:basedOn w:val="Normal"/>
    <w:uiPriority w:val="99"/>
    <w:semiHidden/>
    <w:unhideWhenUsed/>
    <w:rsid w:val="0003148D"/>
    <w:pPr>
      <w:spacing w:after="120"/>
      <w:ind w:left="849"/>
      <w:contextualSpacing/>
    </w:pPr>
  </w:style>
  <w:style w:type="paragraph" w:styleId="Continuarlista4">
    <w:name w:val="List Continue 4"/>
    <w:basedOn w:val="Normal"/>
    <w:uiPriority w:val="99"/>
    <w:semiHidden/>
    <w:unhideWhenUsed/>
    <w:rsid w:val="0003148D"/>
    <w:pPr>
      <w:spacing w:after="120"/>
      <w:ind w:left="1132"/>
      <w:contextualSpacing/>
    </w:pPr>
  </w:style>
  <w:style w:type="paragraph" w:styleId="Continuarlista5">
    <w:name w:val="List Continue 5"/>
    <w:basedOn w:val="Normal"/>
    <w:uiPriority w:val="99"/>
    <w:semiHidden/>
    <w:unhideWhenUsed/>
    <w:rsid w:val="0003148D"/>
    <w:pPr>
      <w:spacing w:after="120"/>
      <w:ind w:left="1415"/>
      <w:contextualSpacing/>
    </w:pPr>
  </w:style>
  <w:style w:type="paragraph" w:styleId="Firma">
    <w:name w:val="Signature"/>
    <w:basedOn w:val="Normal"/>
    <w:link w:val="FirmaCar"/>
    <w:uiPriority w:val="99"/>
    <w:semiHidden/>
    <w:unhideWhenUsed/>
    <w:rsid w:val="0003148D"/>
    <w:pPr>
      <w:spacing w:line="240" w:lineRule="auto"/>
      <w:ind w:left="4252"/>
    </w:pPr>
  </w:style>
  <w:style w:type="character" w:customStyle="1" w:styleId="FirmaCar">
    <w:name w:val="Firma Car"/>
    <w:basedOn w:val="Fuentedeprrafopredeter"/>
    <w:link w:val="Firma"/>
    <w:uiPriority w:val="99"/>
    <w:semiHidden/>
    <w:rsid w:val="0003148D"/>
  </w:style>
  <w:style w:type="paragraph" w:styleId="Firmadecorreoelectrnico">
    <w:name w:val="E-mail Signature"/>
    <w:basedOn w:val="Normal"/>
    <w:link w:val="FirmadecorreoelectrnicoCar"/>
    <w:uiPriority w:val="99"/>
    <w:semiHidden/>
    <w:unhideWhenUsed/>
    <w:rsid w:val="0003148D"/>
    <w:pPr>
      <w:spacing w:line="240" w:lineRule="auto"/>
    </w:pPr>
  </w:style>
  <w:style w:type="character" w:customStyle="1" w:styleId="FirmadecorreoelectrnicoCar">
    <w:name w:val="Firma de correo electrónico Car"/>
    <w:basedOn w:val="Fuentedeprrafopredeter"/>
    <w:link w:val="Firmadecorreoelectrnico"/>
    <w:uiPriority w:val="99"/>
    <w:semiHidden/>
    <w:rsid w:val="0003148D"/>
  </w:style>
  <w:style w:type="paragraph" w:styleId="Saludo">
    <w:name w:val="Salutation"/>
    <w:basedOn w:val="Normal"/>
    <w:next w:val="Normal"/>
    <w:link w:val="SaludoCar"/>
    <w:uiPriority w:val="99"/>
    <w:semiHidden/>
    <w:unhideWhenUsed/>
    <w:rsid w:val="0003148D"/>
  </w:style>
  <w:style w:type="character" w:customStyle="1" w:styleId="SaludoCar">
    <w:name w:val="Saludo Car"/>
    <w:basedOn w:val="Fuentedeprrafopredeter"/>
    <w:link w:val="Saludo"/>
    <w:uiPriority w:val="99"/>
    <w:semiHidden/>
    <w:rsid w:val="0003148D"/>
  </w:style>
  <w:style w:type="paragraph" w:styleId="Cierre">
    <w:name w:val="Closing"/>
    <w:basedOn w:val="Normal"/>
    <w:link w:val="CierreCar"/>
    <w:uiPriority w:val="99"/>
    <w:semiHidden/>
    <w:unhideWhenUsed/>
    <w:rsid w:val="0003148D"/>
    <w:pPr>
      <w:spacing w:line="240" w:lineRule="auto"/>
      <w:ind w:left="4252"/>
    </w:pPr>
  </w:style>
  <w:style w:type="character" w:customStyle="1" w:styleId="CierreCar">
    <w:name w:val="Cierre Car"/>
    <w:basedOn w:val="Fuentedeprrafopredeter"/>
    <w:link w:val="Cierre"/>
    <w:uiPriority w:val="99"/>
    <w:semiHidden/>
    <w:rsid w:val="0003148D"/>
  </w:style>
  <w:style w:type="paragraph" w:styleId="ndice1">
    <w:name w:val="index 1"/>
    <w:basedOn w:val="Normal"/>
    <w:next w:val="Normal"/>
    <w:autoRedefine/>
    <w:uiPriority w:val="99"/>
    <w:semiHidden/>
    <w:unhideWhenUsed/>
    <w:rsid w:val="0003148D"/>
    <w:pPr>
      <w:spacing w:line="240" w:lineRule="auto"/>
      <w:ind w:left="220" w:hanging="220"/>
    </w:pPr>
  </w:style>
  <w:style w:type="paragraph" w:styleId="ndice2">
    <w:name w:val="index 2"/>
    <w:basedOn w:val="Normal"/>
    <w:next w:val="Normal"/>
    <w:autoRedefine/>
    <w:uiPriority w:val="99"/>
    <w:semiHidden/>
    <w:unhideWhenUsed/>
    <w:rsid w:val="0003148D"/>
    <w:pPr>
      <w:spacing w:line="240" w:lineRule="auto"/>
      <w:ind w:left="440" w:hanging="220"/>
    </w:pPr>
  </w:style>
  <w:style w:type="paragraph" w:styleId="ndice3">
    <w:name w:val="index 3"/>
    <w:basedOn w:val="Normal"/>
    <w:next w:val="Normal"/>
    <w:autoRedefine/>
    <w:uiPriority w:val="99"/>
    <w:semiHidden/>
    <w:unhideWhenUsed/>
    <w:rsid w:val="0003148D"/>
    <w:pPr>
      <w:spacing w:line="240" w:lineRule="auto"/>
      <w:ind w:left="660" w:hanging="220"/>
    </w:pPr>
  </w:style>
  <w:style w:type="paragraph" w:styleId="ndice4">
    <w:name w:val="index 4"/>
    <w:basedOn w:val="Normal"/>
    <w:next w:val="Normal"/>
    <w:autoRedefine/>
    <w:uiPriority w:val="99"/>
    <w:semiHidden/>
    <w:unhideWhenUsed/>
    <w:rsid w:val="0003148D"/>
    <w:pPr>
      <w:spacing w:line="240" w:lineRule="auto"/>
      <w:ind w:left="880" w:hanging="220"/>
    </w:pPr>
  </w:style>
  <w:style w:type="paragraph" w:styleId="ndice5">
    <w:name w:val="index 5"/>
    <w:basedOn w:val="Normal"/>
    <w:next w:val="Normal"/>
    <w:autoRedefine/>
    <w:uiPriority w:val="99"/>
    <w:semiHidden/>
    <w:unhideWhenUsed/>
    <w:rsid w:val="0003148D"/>
    <w:pPr>
      <w:spacing w:line="240" w:lineRule="auto"/>
      <w:ind w:left="1100" w:hanging="220"/>
    </w:pPr>
  </w:style>
  <w:style w:type="paragraph" w:styleId="ndice6">
    <w:name w:val="index 6"/>
    <w:basedOn w:val="Normal"/>
    <w:next w:val="Normal"/>
    <w:autoRedefine/>
    <w:uiPriority w:val="99"/>
    <w:semiHidden/>
    <w:unhideWhenUsed/>
    <w:rsid w:val="0003148D"/>
    <w:pPr>
      <w:spacing w:line="240" w:lineRule="auto"/>
      <w:ind w:left="1320" w:hanging="220"/>
    </w:pPr>
  </w:style>
  <w:style w:type="paragraph" w:styleId="ndice7">
    <w:name w:val="index 7"/>
    <w:basedOn w:val="Normal"/>
    <w:next w:val="Normal"/>
    <w:autoRedefine/>
    <w:uiPriority w:val="99"/>
    <w:semiHidden/>
    <w:unhideWhenUsed/>
    <w:rsid w:val="0003148D"/>
    <w:pPr>
      <w:spacing w:line="240" w:lineRule="auto"/>
      <w:ind w:left="1540" w:hanging="220"/>
    </w:pPr>
  </w:style>
  <w:style w:type="paragraph" w:styleId="ndice8">
    <w:name w:val="index 8"/>
    <w:basedOn w:val="Normal"/>
    <w:next w:val="Normal"/>
    <w:autoRedefine/>
    <w:uiPriority w:val="99"/>
    <w:semiHidden/>
    <w:unhideWhenUsed/>
    <w:rsid w:val="0003148D"/>
    <w:pPr>
      <w:spacing w:line="240" w:lineRule="auto"/>
      <w:ind w:left="1760" w:hanging="220"/>
    </w:pPr>
  </w:style>
  <w:style w:type="paragraph" w:styleId="ndice9">
    <w:name w:val="index 9"/>
    <w:basedOn w:val="Normal"/>
    <w:next w:val="Normal"/>
    <w:autoRedefine/>
    <w:uiPriority w:val="99"/>
    <w:semiHidden/>
    <w:unhideWhenUsed/>
    <w:rsid w:val="0003148D"/>
    <w:pPr>
      <w:spacing w:line="240" w:lineRule="auto"/>
      <w:ind w:left="1980" w:hanging="220"/>
    </w:pPr>
  </w:style>
  <w:style w:type="paragraph" w:styleId="Tabladeilustraciones">
    <w:name w:val="table of figures"/>
    <w:basedOn w:val="Normal"/>
    <w:next w:val="Normal"/>
    <w:uiPriority w:val="99"/>
    <w:semiHidden/>
    <w:unhideWhenUsed/>
    <w:rsid w:val="0003148D"/>
  </w:style>
  <w:style w:type="paragraph" w:styleId="Textoconsangra">
    <w:name w:val="table of authorities"/>
    <w:basedOn w:val="Normal"/>
    <w:next w:val="Normal"/>
    <w:uiPriority w:val="99"/>
    <w:semiHidden/>
    <w:unhideWhenUsed/>
    <w:rsid w:val="0003148D"/>
    <w:pPr>
      <w:ind w:left="220" w:hanging="220"/>
    </w:pPr>
  </w:style>
  <w:style w:type="paragraph" w:styleId="Direccinsobre">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rsid w:val="0003148D"/>
    <w:pPr>
      <w:spacing w:line="240" w:lineRule="auto"/>
    </w:pPr>
    <w:rPr>
      <w:i/>
      <w:iCs/>
    </w:rPr>
  </w:style>
  <w:style w:type="character" w:customStyle="1" w:styleId="DireccinHTMLCar">
    <w:name w:val="Dirección HTML Car"/>
    <w:basedOn w:val="Fuentedeprrafopredeter"/>
    <w:link w:val="DireccinHTML"/>
    <w:uiPriority w:val="99"/>
    <w:semiHidden/>
    <w:rsid w:val="0003148D"/>
    <w:rPr>
      <w:i/>
      <w:iCs/>
    </w:rPr>
  </w:style>
  <w:style w:type="paragraph" w:styleId="Remitedesobr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Encabezadodemensaje">
    <w:name w:val="Message Header"/>
    <w:basedOn w:val="Normal"/>
    <w:link w:val="EncabezadodemensajeC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03148D"/>
    <w:rPr>
      <w:rFonts w:asciiTheme="majorHAnsi" w:eastAsiaTheme="majorEastAsia" w:hAnsiTheme="majorHAnsi" w:cstheme="majorBidi"/>
      <w:sz w:val="24"/>
      <w:szCs w:val="24"/>
      <w:shd w:val="pct20" w:color="auto" w:fill="auto"/>
    </w:rPr>
  </w:style>
  <w:style w:type="paragraph" w:styleId="Encabezadodenota">
    <w:name w:val="Note Heading"/>
    <w:basedOn w:val="Normal"/>
    <w:next w:val="Normal"/>
    <w:link w:val="EncabezadodenotaCar"/>
    <w:uiPriority w:val="99"/>
    <w:semiHidden/>
    <w:unhideWhenUsed/>
    <w:rsid w:val="0003148D"/>
    <w:pPr>
      <w:spacing w:line="240" w:lineRule="auto"/>
    </w:pPr>
  </w:style>
  <w:style w:type="character" w:customStyle="1" w:styleId="EncabezadodenotaCar">
    <w:name w:val="Encabezado de nota Car"/>
    <w:basedOn w:val="Fuentedeprrafopredeter"/>
    <w:link w:val="Encabezadodenota"/>
    <w:uiPriority w:val="99"/>
    <w:semiHidden/>
    <w:rsid w:val="0003148D"/>
  </w:style>
  <w:style w:type="paragraph" w:styleId="Mapadeldocumento">
    <w:name w:val="Document Map"/>
    <w:basedOn w:val="Normal"/>
    <w:link w:val="MapadeldocumentoCar"/>
    <w:uiPriority w:val="99"/>
    <w:semiHidden/>
    <w:unhideWhenUsed/>
    <w:rsid w:val="0003148D"/>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aconnmeros">
    <w:name w:val="List Number"/>
    <w:basedOn w:val="Normal"/>
    <w:uiPriority w:val="99"/>
    <w:semiHidden/>
    <w:unhideWhenUsed/>
    <w:rsid w:val="0003148D"/>
    <w:pPr>
      <w:numPr>
        <w:numId w:val="2"/>
      </w:numPr>
      <w:contextualSpacing/>
    </w:pPr>
  </w:style>
  <w:style w:type="paragraph" w:styleId="Listaconnmeros2">
    <w:name w:val="List Number 2"/>
    <w:basedOn w:val="Normal"/>
    <w:uiPriority w:val="99"/>
    <w:semiHidden/>
    <w:unhideWhenUsed/>
    <w:rsid w:val="0003148D"/>
    <w:pPr>
      <w:numPr>
        <w:numId w:val="3"/>
      </w:numPr>
      <w:contextualSpacing/>
    </w:pPr>
  </w:style>
  <w:style w:type="paragraph" w:styleId="Listaconnmeros3">
    <w:name w:val="List Number 3"/>
    <w:basedOn w:val="Normal"/>
    <w:uiPriority w:val="99"/>
    <w:semiHidden/>
    <w:unhideWhenUsed/>
    <w:rsid w:val="0003148D"/>
    <w:pPr>
      <w:numPr>
        <w:numId w:val="4"/>
      </w:numPr>
      <w:contextualSpacing/>
    </w:pPr>
  </w:style>
  <w:style w:type="paragraph" w:styleId="Listaconnmeros4">
    <w:name w:val="List Number 4"/>
    <w:basedOn w:val="Normal"/>
    <w:uiPriority w:val="99"/>
    <w:semiHidden/>
    <w:unhideWhenUsed/>
    <w:rsid w:val="0003148D"/>
    <w:pPr>
      <w:numPr>
        <w:numId w:val="5"/>
      </w:numPr>
      <w:contextualSpacing/>
    </w:pPr>
  </w:style>
  <w:style w:type="paragraph" w:styleId="Listaconnmeros5">
    <w:name w:val="List Number 5"/>
    <w:basedOn w:val="Normal"/>
    <w:uiPriority w:val="99"/>
    <w:semiHidden/>
    <w:unhideWhenUsed/>
    <w:rsid w:val="0003148D"/>
    <w:pPr>
      <w:numPr>
        <w:numId w:val="6"/>
      </w:numPr>
      <w:contextualSpacing/>
    </w:pPr>
  </w:style>
  <w:style w:type="paragraph" w:styleId="HTMLconformatoprevio">
    <w:name w:val="HTML Preformatted"/>
    <w:basedOn w:val="Normal"/>
    <w:link w:val="HTMLconformatoprevioCar"/>
    <w:uiPriority w:val="99"/>
    <w:semiHidden/>
    <w:unhideWhenUsed/>
    <w:rsid w:val="0003148D"/>
    <w:pPr>
      <w:spacing w:line="240" w:lineRule="auto"/>
    </w:pPr>
    <w:rPr>
      <w:rFonts w:ascii="Consolas" w:hAnsi="Consolas" w:cs="Consolas"/>
    </w:rPr>
  </w:style>
  <w:style w:type="character" w:customStyle="1" w:styleId="HTMLconformatoprevioCar">
    <w:name w:val="HTML con formato previo Car"/>
    <w:basedOn w:val="Fuentedeprrafopredeter"/>
    <w:link w:val="HTMLconformatoprevio"/>
    <w:uiPriority w:val="99"/>
    <w:semiHidden/>
    <w:rsid w:val="0003148D"/>
    <w:rPr>
      <w:rFonts w:ascii="Consolas" w:hAnsi="Consolas" w:cs="Consolas"/>
      <w:sz w:val="20"/>
      <w:szCs w:val="20"/>
    </w:rPr>
  </w:style>
  <w:style w:type="paragraph" w:styleId="Textoindependienteprimerasangra">
    <w:name w:val="Body Text First Indent"/>
    <w:basedOn w:val="Textoindependiente"/>
    <w:link w:val="TextoindependienteprimerasangraCar"/>
    <w:uiPriority w:val="99"/>
    <w:semiHidden/>
    <w:unhideWhenUsed/>
    <w:rsid w:val="0003148D"/>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3148D"/>
  </w:style>
  <w:style w:type="paragraph" w:styleId="Sangradetextonormal">
    <w:name w:val="Body Text Indent"/>
    <w:basedOn w:val="Normal"/>
    <w:link w:val="SangradetextonormalCar"/>
    <w:uiPriority w:val="99"/>
    <w:semiHidden/>
    <w:unhideWhenUsed/>
    <w:rsid w:val="0003148D"/>
    <w:pPr>
      <w:spacing w:after="120"/>
      <w:ind w:left="283"/>
    </w:pPr>
  </w:style>
  <w:style w:type="character" w:customStyle="1" w:styleId="SangradetextonormalCar">
    <w:name w:val="Sangría de texto normal Car"/>
    <w:basedOn w:val="Fuentedeprrafopredeter"/>
    <w:link w:val="Sangradetextonormal"/>
    <w:uiPriority w:val="99"/>
    <w:semiHidden/>
    <w:rsid w:val="0003148D"/>
  </w:style>
  <w:style w:type="paragraph" w:styleId="Textoindependienteprimerasangra2">
    <w:name w:val="Body Text First Indent 2"/>
    <w:basedOn w:val="Sangradetextonormal"/>
    <w:link w:val="Textoindependienteprimerasangra2Car"/>
    <w:uiPriority w:val="99"/>
    <w:semiHidden/>
    <w:unhideWhenUsed/>
    <w:rsid w:val="0003148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03148D"/>
  </w:style>
  <w:style w:type="paragraph" w:styleId="Listaconvietas">
    <w:name w:val="List Bullet"/>
    <w:basedOn w:val="Normal"/>
    <w:uiPriority w:val="99"/>
    <w:semiHidden/>
    <w:unhideWhenUsed/>
    <w:rsid w:val="0003148D"/>
    <w:pPr>
      <w:numPr>
        <w:numId w:val="7"/>
      </w:numPr>
      <w:contextualSpacing/>
    </w:pPr>
  </w:style>
  <w:style w:type="paragraph" w:styleId="Listaconvietas2">
    <w:name w:val="List Bullet 2"/>
    <w:basedOn w:val="Normal"/>
    <w:uiPriority w:val="99"/>
    <w:semiHidden/>
    <w:unhideWhenUsed/>
    <w:rsid w:val="0003148D"/>
    <w:pPr>
      <w:numPr>
        <w:numId w:val="8"/>
      </w:numPr>
      <w:contextualSpacing/>
    </w:pPr>
  </w:style>
  <w:style w:type="paragraph" w:styleId="Listaconvietas3">
    <w:name w:val="List Bullet 3"/>
    <w:basedOn w:val="Normal"/>
    <w:uiPriority w:val="99"/>
    <w:semiHidden/>
    <w:unhideWhenUsed/>
    <w:rsid w:val="0003148D"/>
    <w:pPr>
      <w:numPr>
        <w:numId w:val="9"/>
      </w:numPr>
      <w:contextualSpacing/>
    </w:pPr>
  </w:style>
  <w:style w:type="paragraph" w:styleId="Listaconvietas4">
    <w:name w:val="List Bullet 4"/>
    <w:basedOn w:val="Normal"/>
    <w:uiPriority w:val="99"/>
    <w:semiHidden/>
    <w:unhideWhenUsed/>
    <w:rsid w:val="0003148D"/>
    <w:pPr>
      <w:numPr>
        <w:numId w:val="10"/>
      </w:numPr>
      <w:contextualSpacing/>
    </w:pPr>
  </w:style>
  <w:style w:type="paragraph" w:styleId="Listaconvietas5">
    <w:name w:val="List Bullet 5"/>
    <w:basedOn w:val="Normal"/>
    <w:uiPriority w:val="99"/>
    <w:semiHidden/>
    <w:unhideWhenUsed/>
    <w:rsid w:val="0003148D"/>
    <w:pPr>
      <w:numPr>
        <w:numId w:val="11"/>
      </w:numPr>
      <w:contextualSpacing/>
    </w:pPr>
  </w:style>
  <w:style w:type="paragraph" w:styleId="Sangra2detindependiente">
    <w:name w:val="Body Text Indent 2"/>
    <w:basedOn w:val="Normal"/>
    <w:link w:val="Sangra2detindependienteCar"/>
    <w:uiPriority w:val="99"/>
    <w:semiHidden/>
    <w:unhideWhenUsed/>
    <w:rsid w:val="0003148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3148D"/>
  </w:style>
  <w:style w:type="paragraph" w:styleId="Sangra3detindependiente">
    <w:name w:val="Body Text Indent 3"/>
    <w:basedOn w:val="Normal"/>
    <w:link w:val="Sangra3detindependienteCar"/>
    <w:uiPriority w:val="99"/>
    <w:semiHidden/>
    <w:unhideWhenUsed/>
    <w:rsid w:val="0003148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148D"/>
    <w:rPr>
      <w:sz w:val="16"/>
      <w:szCs w:val="16"/>
    </w:rPr>
  </w:style>
  <w:style w:type="paragraph" w:styleId="Sangranormal">
    <w:name w:val="Normal Indent"/>
    <w:basedOn w:val="Normal"/>
    <w:uiPriority w:val="99"/>
    <w:semiHidden/>
    <w:unhideWhenUsed/>
    <w:rsid w:val="0003148D"/>
    <w:pPr>
      <w:ind w:left="720"/>
    </w:pPr>
  </w:style>
  <w:style w:type="paragraph" w:styleId="Textocomentario">
    <w:name w:val="annotation text"/>
    <w:basedOn w:val="Normal"/>
    <w:link w:val="TextocomentarioCar"/>
    <w:uiPriority w:val="99"/>
    <w:unhideWhenUsed/>
    <w:rsid w:val="0003148D"/>
    <w:pPr>
      <w:spacing w:line="240" w:lineRule="auto"/>
    </w:pPr>
  </w:style>
  <w:style w:type="character" w:customStyle="1" w:styleId="TextocomentarioCar">
    <w:name w:val="Texto comentario Car"/>
    <w:basedOn w:val="Fuentedeprrafopredeter"/>
    <w:link w:val="Textocomentario"/>
    <w:uiPriority w:val="99"/>
    <w:rsid w:val="0003148D"/>
    <w:rPr>
      <w:sz w:val="20"/>
      <w:szCs w:val="20"/>
    </w:rPr>
  </w:style>
  <w:style w:type="paragraph" w:styleId="Asuntodelcomentario">
    <w:name w:val="annotation subject"/>
    <w:basedOn w:val="Textocomentario"/>
    <w:next w:val="Textocomentario"/>
    <w:link w:val="AsuntodelcomentarioCar"/>
    <w:uiPriority w:val="99"/>
    <w:semiHidden/>
    <w:unhideWhenUsed/>
    <w:rsid w:val="0003148D"/>
    <w:rPr>
      <w:b/>
      <w:bCs/>
    </w:rPr>
  </w:style>
  <w:style w:type="character" w:customStyle="1" w:styleId="AsuntodelcomentarioCar">
    <w:name w:val="Asunto del comentario Car"/>
    <w:basedOn w:val="TextocomentarioCar"/>
    <w:link w:val="Asuntodelcomentario"/>
    <w:uiPriority w:val="99"/>
    <w:semiHidden/>
    <w:rsid w:val="0003148D"/>
    <w:rPr>
      <w:b/>
      <w:bCs/>
      <w:sz w:val="20"/>
      <w:szCs w:val="20"/>
    </w:rPr>
  </w:style>
  <w:style w:type="paragraph" w:styleId="TDC1">
    <w:name w:val="toc 1"/>
    <w:basedOn w:val="Normal"/>
    <w:next w:val="Normal"/>
    <w:autoRedefine/>
    <w:uiPriority w:val="39"/>
    <w:semiHidden/>
    <w:unhideWhenUsed/>
    <w:rsid w:val="0003148D"/>
    <w:pPr>
      <w:spacing w:after="100"/>
    </w:pPr>
  </w:style>
  <w:style w:type="paragraph" w:styleId="TDC2">
    <w:name w:val="toc 2"/>
    <w:basedOn w:val="Normal"/>
    <w:next w:val="Normal"/>
    <w:autoRedefine/>
    <w:uiPriority w:val="39"/>
    <w:semiHidden/>
    <w:unhideWhenUsed/>
    <w:rsid w:val="0003148D"/>
    <w:pPr>
      <w:spacing w:after="100"/>
      <w:ind w:left="220"/>
    </w:pPr>
  </w:style>
  <w:style w:type="paragraph" w:styleId="TDC3">
    <w:name w:val="toc 3"/>
    <w:basedOn w:val="Normal"/>
    <w:next w:val="Normal"/>
    <w:autoRedefine/>
    <w:uiPriority w:val="39"/>
    <w:semiHidden/>
    <w:unhideWhenUsed/>
    <w:rsid w:val="0003148D"/>
    <w:pPr>
      <w:spacing w:after="100"/>
      <w:ind w:left="440"/>
    </w:pPr>
  </w:style>
  <w:style w:type="paragraph" w:styleId="TDC4">
    <w:name w:val="toc 4"/>
    <w:basedOn w:val="Normal"/>
    <w:next w:val="Normal"/>
    <w:autoRedefine/>
    <w:uiPriority w:val="39"/>
    <w:semiHidden/>
    <w:unhideWhenUsed/>
    <w:rsid w:val="0003148D"/>
    <w:pPr>
      <w:spacing w:after="100"/>
      <w:ind w:left="660"/>
    </w:pPr>
  </w:style>
  <w:style w:type="paragraph" w:styleId="TDC5">
    <w:name w:val="toc 5"/>
    <w:basedOn w:val="Normal"/>
    <w:next w:val="Normal"/>
    <w:autoRedefine/>
    <w:uiPriority w:val="39"/>
    <w:semiHidden/>
    <w:unhideWhenUsed/>
    <w:rsid w:val="0003148D"/>
    <w:pPr>
      <w:spacing w:after="100"/>
      <w:ind w:left="880"/>
    </w:pPr>
  </w:style>
  <w:style w:type="paragraph" w:styleId="TDC6">
    <w:name w:val="toc 6"/>
    <w:basedOn w:val="Normal"/>
    <w:next w:val="Normal"/>
    <w:autoRedefine/>
    <w:uiPriority w:val="39"/>
    <w:semiHidden/>
    <w:unhideWhenUsed/>
    <w:rsid w:val="0003148D"/>
    <w:pPr>
      <w:spacing w:after="100"/>
      <w:ind w:left="1100"/>
    </w:pPr>
  </w:style>
  <w:style w:type="paragraph" w:styleId="TDC7">
    <w:name w:val="toc 7"/>
    <w:basedOn w:val="Normal"/>
    <w:next w:val="Normal"/>
    <w:autoRedefine/>
    <w:uiPriority w:val="39"/>
    <w:semiHidden/>
    <w:unhideWhenUsed/>
    <w:rsid w:val="0003148D"/>
    <w:pPr>
      <w:spacing w:after="100"/>
      <w:ind w:left="1320"/>
    </w:pPr>
  </w:style>
  <w:style w:type="paragraph" w:styleId="TDC8">
    <w:name w:val="toc 8"/>
    <w:basedOn w:val="Normal"/>
    <w:next w:val="Normal"/>
    <w:autoRedefine/>
    <w:uiPriority w:val="39"/>
    <w:semiHidden/>
    <w:unhideWhenUsed/>
    <w:rsid w:val="0003148D"/>
    <w:pPr>
      <w:spacing w:after="100"/>
      <w:ind w:left="1540"/>
    </w:pPr>
  </w:style>
  <w:style w:type="paragraph" w:styleId="TDC9">
    <w:name w:val="toc 9"/>
    <w:basedOn w:val="Normal"/>
    <w:next w:val="Normal"/>
    <w:autoRedefine/>
    <w:uiPriority w:val="39"/>
    <w:semiHidden/>
    <w:unhideWhenUsed/>
    <w:rsid w:val="0003148D"/>
    <w:pPr>
      <w:spacing w:after="100"/>
      <w:ind w:left="1760"/>
    </w:pPr>
  </w:style>
  <w:style w:type="paragraph" w:styleId="Textodebloque">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macro">
    <w:name w:val="macro"/>
    <w:link w:val="TextomacroC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macroCar">
    <w:name w:val="Texto macro Car"/>
    <w:basedOn w:val="Fuentedeprrafopredeter"/>
    <w:link w:val="Textomacro"/>
    <w:uiPriority w:val="99"/>
    <w:semiHidden/>
    <w:rsid w:val="0003148D"/>
    <w:rPr>
      <w:rFonts w:ascii="Consolas" w:hAnsi="Consolas" w:cs="Consolas"/>
      <w:sz w:val="20"/>
      <w:szCs w:val="20"/>
    </w:rPr>
  </w:style>
  <w:style w:type="paragraph" w:styleId="Textosinformato">
    <w:name w:val="Plain Text"/>
    <w:basedOn w:val="Normal"/>
    <w:link w:val="TextosinformatoCar"/>
    <w:uiPriority w:val="99"/>
    <w:semiHidden/>
    <w:unhideWhenUsed/>
    <w:rsid w:val="0003148D"/>
    <w:pPr>
      <w:spacing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03148D"/>
    <w:rPr>
      <w:rFonts w:ascii="Consolas" w:hAnsi="Consolas" w:cs="Consolas"/>
      <w:sz w:val="21"/>
      <w:szCs w:val="21"/>
    </w:rPr>
  </w:style>
  <w:style w:type="paragraph" w:styleId="Textonotapie">
    <w:name w:val="footnote text"/>
    <w:basedOn w:val="Normal"/>
    <w:link w:val="TextonotapieCar"/>
    <w:uiPriority w:val="99"/>
    <w:semiHidden/>
    <w:unhideWhenUsed/>
    <w:rsid w:val="0003148D"/>
    <w:pPr>
      <w:spacing w:line="240" w:lineRule="auto"/>
    </w:pPr>
  </w:style>
  <w:style w:type="character" w:customStyle="1" w:styleId="TextonotapieCar">
    <w:name w:val="Texto nota pie Car"/>
    <w:basedOn w:val="Fuentedeprrafopredeter"/>
    <w:link w:val="Textonotapie"/>
    <w:uiPriority w:val="99"/>
    <w:semiHidden/>
    <w:rsid w:val="0003148D"/>
    <w:rPr>
      <w:sz w:val="20"/>
      <w:szCs w:val="20"/>
    </w:rPr>
  </w:style>
  <w:style w:type="paragraph" w:styleId="Textonotaalfinal">
    <w:name w:val="endnote text"/>
    <w:basedOn w:val="Normal"/>
    <w:link w:val="TextonotaalfinalCar"/>
    <w:uiPriority w:val="99"/>
    <w:semiHidden/>
    <w:unhideWhenUsed/>
    <w:rsid w:val="0003148D"/>
    <w:pPr>
      <w:spacing w:line="240" w:lineRule="auto"/>
    </w:pPr>
  </w:style>
  <w:style w:type="character" w:customStyle="1" w:styleId="TextonotaalfinalCar">
    <w:name w:val="Texto nota al final Car"/>
    <w:basedOn w:val="Fuentedeprrafopredeter"/>
    <w:link w:val="Textonotaalfinal"/>
    <w:uiPriority w:val="99"/>
    <w:semiHidden/>
    <w:rsid w:val="0003148D"/>
    <w:rPr>
      <w:sz w:val="20"/>
      <w:szCs w:val="20"/>
    </w:rPr>
  </w:style>
  <w:style w:type="character" w:customStyle="1" w:styleId="Ttulo1Car">
    <w:name w:val="Título 1 Car"/>
    <w:basedOn w:val="Fuentedeprrafopredeter"/>
    <w:link w:val="Ttulo1"/>
    <w:uiPriority w:val="9"/>
    <w:rsid w:val="004F5E36"/>
    <w:rPr>
      <w:rFonts w:ascii="Arial" w:eastAsia="Times New Roman" w:hAnsi="Arial" w:cs="Times New Roman"/>
      <w:b/>
      <w:sz w:val="20"/>
      <w:szCs w:val="20"/>
      <w:lang w:val="en-GB"/>
    </w:rPr>
  </w:style>
  <w:style w:type="character" w:customStyle="1" w:styleId="Ttulo2Car">
    <w:name w:val="Título 2 Car"/>
    <w:basedOn w:val="Fuentedeprrafopredeter"/>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03148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
    <w:name w:val="index heading"/>
    <w:basedOn w:val="Normal"/>
    <w:next w:val="ndice1"/>
    <w:uiPriority w:val="99"/>
    <w:semiHidden/>
    <w:unhideWhenUsed/>
    <w:rsid w:val="0003148D"/>
    <w:rPr>
      <w:rFonts w:asciiTheme="majorHAnsi" w:eastAsiaTheme="majorEastAsia" w:hAnsiTheme="majorHAnsi" w:cstheme="majorBidi"/>
      <w:b/>
      <w:bCs/>
    </w:rPr>
  </w:style>
  <w:style w:type="paragraph" w:styleId="Encabezadodelista">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uentedeprrafopredeter"/>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Encabezado">
    <w:name w:val="header"/>
    <w:basedOn w:val="Normal"/>
    <w:link w:val="EncabezadoCar"/>
    <w:uiPriority w:val="99"/>
    <w:unhideWhenUsed/>
    <w:rsid w:val="005278B7"/>
    <w:pPr>
      <w:tabs>
        <w:tab w:val="clear" w:pos="7100"/>
        <w:tab w:val="center" w:pos="4819"/>
        <w:tab w:val="right" w:pos="9638"/>
      </w:tabs>
      <w:spacing w:line="240" w:lineRule="auto"/>
    </w:pPr>
  </w:style>
  <w:style w:type="character" w:customStyle="1" w:styleId="EncabezadoCar">
    <w:name w:val="Encabezado Car"/>
    <w:basedOn w:val="Fuentedeprrafopredeter"/>
    <w:link w:val="Encabezado"/>
    <w:uiPriority w:val="99"/>
    <w:rsid w:val="005278B7"/>
    <w:rPr>
      <w:rFonts w:ascii="Arial" w:eastAsia="Times New Roman" w:hAnsi="Arial" w:cs="Times New Roman"/>
      <w:sz w:val="18"/>
      <w:szCs w:val="20"/>
      <w:lang w:val="en-GB"/>
    </w:rPr>
  </w:style>
  <w:style w:type="paragraph" w:styleId="Piedepgina">
    <w:name w:val="footer"/>
    <w:basedOn w:val="Normal"/>
    <w:link w:val="PiedepginaCar"/>
    <w:uiPriority w:val="99"/>
    <w:unhideWhenUsed/>
    <w:rsid w:val="005278B7"/>
    <w:pPr>
      <w:tabs>
        <w:tab w:val="clear" w:pos="7100"/>
        <w:tab w:val="center" w:pos="4819"/>
        <w:tab w:val="right" w:pos="9638"/>
      </w:tabs>
      <w:spacing w:line="240" w:lineRule="auto"/>
    </w:pPr>
  </w:style>
  <w:style w:type="character" w:customStyle="1" w:styleId="PiedepginaCar">
    <w:name w:val="Pie de página Car"/>
    <w:basedOn w:val="Fuentedeprrafopredeter"/>
    <w:link w:val="Piedepgina"/>
    <w:uiPriority w:val="99"/>
    <w:rsid w:val="005278B7"/>
    <w:rPr>
      <w:rFonts w:ascii="Arial" w:eastAsia="Times New Roman" w:hAnsi="Arial" w:cs="Times New Roman"/>
      <w:sz w:val="18"/>
      <w:szCs w:val="20"/>
      <w:lang w:val="en-GB"/>
    </w:rPr>
  </w:style>
  <w:style w:type="table" w:styleId="Tablaconcuadrcula">
    <w:name w:val="Table Grid"/>
    <w:basedOn w:val="Tabla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04C62"/>
    <w:rPr>
      <w:color w:val="0000FF" w:themeColor="hyperlink"/>
      <w:u w:val="single"/>
    </w:rPr>
  </w:style>
  <w:style w:type="character" w:customStyle="1" w:styleId="eudoraheader">
    <w:name w:val="eudoraheader"/>
    <w:basedOn w:val="Fuentedeprrafopredeter"/>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rrafodelista">
    <w:name w:val="List Paragraph"/>
    <w:basedOn w:val="Normal"/>
    <w:uiPriority w:val="34"/>
    <w:rsid w:val="00280FAF"/>
    <w:pPr>
      <w:ind w:left="720"/>
      <w:contextualSpacing/>
    </w:pPr>
  </w:style>
  <w:style w:type="character" w:customStyle="1" w:styleId="gmail-apple-converted-space">
    <w:name w:val="gmail-apple-converted-space"/>
    <w:basedOn w:val="Fuentedeprrafopredeter"/>
    <w:rsid w:val="00005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2848</Words>
  <Characters>15668</Characters>
  <Application>Microsoft Office Word</Application>
  <DocSecurity>0</DocSecurity>
  <Lines>130</Lines>
  <Paragraphs>36</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18480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zanhy vr</cp:lastModifiedBy>
  <cp:revision>2</cp:revision>
  <cp:lastPrinted>2015-05-12T18:31:00Z</cp:lastPrinted>
  <dcterms:created xsi:type="dcterms:W3CDTF">2026-04-03T04:13:00Z</dcterms:created>
  <dcterms:modified xsi:type="dcterms:W3CDTF">2026-04-03T04:13:00Z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