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A2398E" w:rsidRPr="00B57B36" w14:paraId="620E1674" w14:textId="77777777" w:rsidTr="004B5614">
        <w:trPr>
          <w:trHeight w:val="852"/>
          <w:jc w:val="center"/>
        </w:trPr>
        <w:tc>
          <w:tcPr>
            <w:tcW w:w="6946" w:type="dxa"/>
            <w:vMerge w:val="restart"/>
            <w:tcBorders>
              <w:right w:val="single" w:sz="4" w:space="0" w:color="auto"/>
            </w:tcBorders>
          </w:tcPr>
          <w:p w14:paraId="24CFE10E" w14:textId="77777777" w:rsidR="00A2398E" w:rsidRPr="00B57B36" w:rsidRDefault="00A2398E" w:rsidP="004B5614">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4B861C04" wp14:editId="72ED99F8">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55F9AB34" w14:textId="77777777" w:rsidR="00A2398E" w:rsidRPr="00B57B36" w:rsidRDefault="00A2398E" w:rsidP="004B5614">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Pr>
                <w:rFonts w:cs="Arial"/>
                <w:b/>
                <w:bCs/>
                <w:i/>
                <w:iCs/>
                <w:color w:val="000066"/>
                <w:sz w:val="22"/>
                <w:szCs w:val="22"/>
                <w:lang w:eastAsia="it-IT"/>
              </w:rPr>
              <w:t xml:space="preserve"> xxx, 2026</w:t>
            </w:r>
          </w:p>
        </w:tc>
        <w:tc>
          <w:tcPr>
            <w:tcW w:w="1843" w:type="dxa"/>
            <w:tcBorders>
              <w:left w:val="single" w:sz="4" w:space="0" w:color="auto"/>
              <w:bottom w:val="nil"/>
              <w:right w:val="single" w:sz="4" w:space="0" w:color="auto"/>
            </w:tcBorders>
          </w:tcPr>
          <w:p w14:paraId="6629D0EA" w14:textId="77777777" w:rsidR="00A2398E" w:rsidRPr="00B57B36" w:rsidRDefault="00A2398E" w:rsidP="004B5614">
            <w:pPr>
              <w:spacing w:line="140" w:lineRule="atLeast"/>
              <w:jc w:val="right"/>
              <w:rPr>
                <w:rFonts w:cs="Arial"/>
                <w:sz w:val="14"/>
                <w:szCs w:val="14"/>
              </w:rPr>
            </w:pPr>
            <w:r w:rsidRPr="00B57B36">
              <w:rPr>
                <w:rFonts w:cs="Arial"/>
                <w:sz w:val="14"/>
                <w:szCs w:val="14"/>
              </w:rPr>
              <w:t>A publication of</w:t>
            </w:r>
          </w:p>
          <w:p w14:paraId="6D4097D7" w14:textId="77777777" w:rsidR="00A2398E" w:rsidRPr="00B57B36" w:rsidRDefault="00A2398E" w:rsidP="004B5614">
            <w:pPr>
              <w:jc w:val="right"/>
            </w:pPr>
            <w:r w:rsidRPr="00B57B36">
              <w:rPr>
                <w:noProof/>
                <w:lang w:val="it-IT" w:eastAsia="it-IT"/>
              </w:rPr>
              <w:drawing>
                <wp:inline distT="0" distB="0" distL="0" distR="0" wp14:anchorId="2038BB1A" wp14:editId="3B6E9F99">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A2398E" w:rsidRPr="00B57B36" w14:paraId="10ABAA96" w14:textId="77777777" w:rsidTr="004B5614">
        <w:trPr>
          <w:trHeight w:val="567"/>
          <w:jc w:val="center"/>
        </w:trPr>
        <w:tc>
          <w:tcPr>
            <w:tcW w:w="6946" w:type="dxa"/>
            <w:vMerge/>
            <w:tcBorders>
              <w:right w:val="single" w:sz="4" w:space="0" w:color="auto"/>
            </w:tcBorders>
          </w:tcPr>
          <w:p w14:paraId="51804A03" w14:textId="77777777" w:rsidR="00A2398E" w:rsidRPr="00B57B36" w:rsidRDefault="00A2398E" w:rsidP="004B5614">
            <w:pPr>
              <w:tabs>
                <w:tab w:val="left" w:pos="-108"/>
              </w:tabs>
            </w:pPr>
          </w:p>
        </w:tc>
        <w:tc>
          <w:tcPr>
            <w:tcW w:w="1843" w:type="dxa"/>
            <w:tcBorders>
              <w:left w:val="single" w:sz="4" w:space="0" w:color="auto"/>
              <w:bottom w:val="nil"/>
              <w:right w:val="single" w:sz="4" w:space="0" w:color="auto"/>
            </w:tcBorders>
          </w:tcPr>
          <w:p w14:paraId="41A4482E" w14:textId="77777777" w:rsidR="00A2398E" w:rsidRPr="00B57B36" w:rsidRDefault="00A2398E" w:rsidP="004B5614">
            <w:pPr>
              <w:spacing w:line="140" w:lineRule="atLeast"/>
              <w:jc w:val="right"/>
              <w:rPr>
                <w:rFonts w:cs="Arial"/>
                <w:sz w:val="14"/>
                <w:szCs w:val="14"/>
              </w:rPr>
            </w:pPr>
            <w:r w:rsidRPr="00B57B36">
              <w:rPr>
                <w:rFonts w:cs="Arial"/>
                <w:sz w:val="14"/>
                <w:szCs w:val="14"/>
              </w:rPr>
              <w:t>The Italian Association</w:t>
            </w:r>
          </w:p>
          <w:p w14:paraId="5671E68D" w14:textId="77777777" w:rsidR="00A2398E" w:rsidRPr="00B57B36" w:rsidRDefault="00A2398E" w:rsidP="004B5614">
            <w:pPr>
              <w:spacing w:line="140" w:lineRule="atLeast"/>
              <w:jc w:val="right"/>
              <w:rPr>
                <w:rFonts w:cs="Arial"/>
                <w:sz w:val="14"/>
                <w:szCs w:val="14"/>
              </w:rPr>
            </w:pPr>
            <w:r w:rsidRPr="00B57B36">
              <w:rPr>
                <w:rFonts w:cs="Arial"/>
                <w:sz w:val="14"/>
                <w:szCs w:val="14"/>
              </w:rPr>
              <w:t>of Chemical Engineering</w:t>
            </w:r>
          </w:p>
          <w:p w14:paraId="6AA680E4" w14:textId="77777777" w:rsidR="00A2398E" w:rsidRPr="000D0268" w:rsidRDefault="00A2398E" w:rsidP="004B5614">
            <w:pPr>
              <w:spacing w:line="140" w:lineRule="atLeast"/>
              <w:jc w:val="right"/>
              <w:rPr>
                <w:rFonts w:cs="Arial"/>
                <w:sz w:val="13"/>
                <w:szCs w:val="13"/>
              </w:rPr>
            </w:pPr>
            <w:r w:rsidRPr="000D0268">
              <w:rPr>
                <w:rFonts w:cs="Arial"/>
                <w:sz w:val="13"/>
                <w:szCs w:val="13"/>
              </w:rPr>
              <w:t>Online at www.cetjournal.it</w:t>
            </w:r>
          </w:p>
        </w:tc>
      </w:tr>
      <w:tr w:rsidR="00A2398E" w:rsidRPr="00B57B36" w14:paraId="0AF3F18B" w14:textId="77777777" w:rsidTr="004B5614">
        <w:trPr>
          <w:trHeight w:val="68"/>
          <w:jc w:val="center"/>
        </w:trPr>
        <w:tc>
          <w:tcPr>
            <w:tcW w:w="8789" w:type="dxa"/>
            <w:gridSpan w:val="2"/>
          </w:tcPr>
          <w:p w14:paraId="24BBE45B" w14:textId="77777777" w:rsidR="00A2398E" w:rsidRPr="00D64EC6" w:rsidRDefault="00A2398E" w:rsidP="004B5614">
            <w:pPr>
              <w:ind w:left="-107"/>
              <w:outlineLvl w:val="2"/>
              <w:rPr>
                <w:rFonts w:ascii="Tahoma" w:hAnsi="Tahoma" w:cs="Tahoma"/>
                <w:bCs/>
                <w:color w:val="000000"/>
                <w:sz w:val="14"/>
                <w:szCs w:val="14"/>
                <w:lang w:eastAsia="it-IT"/>
              </w:rPr>
            </w:pPr>
            <w:r w:rsidRPr="00D64EC6">
              <w:rPr>
                <w:rFonts w:ascii="Tahoma" w:hAnsi="Tahoma" w:cs="Tahoma"/>
                <w:iCs/>
                <w:color w:val="333333"/>
                <w:sz w:val="14"/>
                <w:szCs w:val="14"/>
                <w:lang w:eastAsia="it-IT"/>
              </w:rPr>
              <w:t>Guest Editors:</w:t>
            </w:r>
            <w:r w:rsidRPr="00D64EC6">
              <w:rPr>
                <w:rFonts w:ascii="Tahoma" w:hAnsi="Tahoma" w:cs="Tahoma"/>
                <w:color w:val="000000"/>
                <w:sz w:val="14"/>
                <w:szCs w:val="14"/>
                <w:shd w:val="clear" w:color="auto" w:fill="FFFFFF"/>
              </w:rPr>
              <w:t xml:space="preserve"> Leonardo </w:t>
            </w:r>
            <w:proofErr w:type="spellStart"/>
            <w:r w:rsidRPr="00D64EC6">
              <w:rPr>
                <w:rFonts w:ascii="Tahoma" w:hAnsi="Tahoma" w:cs="Tahoma"/>
                <w:color w:val="000000"/>
                <w:sz w:val="14"/>
                <w:szCs w:val="14"/>
                <w:shd w:val="clear" w:color="auto" w:fill="FFFFFF"/>
              </w:rPr>
              <w:t>Tognotti</w:t>
            </w:r>
            <w:proofErr w:type="spellEnd"/>
            <w:r w:rsidRPr="00D64EC6">
              <w:rPr>
                <w:rFonts w:ascii="Tahoma" w:hAnsi="Tahoma" w:cs="Tahoma"/>
                <w:color w:val="000000"/>
                <w:sz w:val="14"/>
                <w:szCs w:val="14"/>
                <w:shd w:val="clear" w:color="auto" w:fill="FFFFFF"/>
              </w:rPr>
              <w:t xml:space="preserve">, </w:t>
            </w:r>
            <w:r w:rsidRPr="00D64EC6">
              <w:rPr>
                <w:rFonts w:ascii="Tahoma" w:hAnsi="Tahoma" w:cs="Tahoma"/>
                <w:color w:val="000000"/>
                <w:sz w:val="14"/>
                <w:szCs w:val="14"/>
              </w:rPr>
              <w:t>Rubens Maciel Filho</w:t>
            </w:r>
            <w:r w:rsidRPr="00D64EC6">
              <w:rPr>
                <w:rFonts w:ascii="Tahoma" w:hAnsi="Tahoma" w:cs="Tahoma"/>
                <w:color w:val="000000"/>
                <w:sz w:val="14"/>
                <w:szCs w:val="14"/>
                <w:shd w:val="clear" w:color="auto" w:fill="FFFFFF"/>
              </w:rPr>
              <w:t xml:space="preserve">, </w:t>
            </w:r>
            <w:r w:rsidRPr="00D64EC6">
              <w:rPr>
                <w:rFonts w:ascii="Tahoma" w:hAnsi="Tahoma" w:cs="Tahoma"/>
                <w:color w:val="000000"/>
                <w:sz w:val="14"/>
                <w:szCs w:val="14"/>
              </w:rPr>
              <w:t xml:space="preserve">Viatcheslav </w:t>
            </w:r>
            <w:proofErr w:type="spellStart"/>
            <w:r w:rsidRPr="00D64EC6">
              <w:rPr>
                <w:rFonts w:ascii="Tahoma" w:hAnsi="Tahoma" w:cs="Tahoma"/>
                <w:color w:val="000000"/>
                <w:sz w:val="14"/>
                <w:szCs w:val="14"/>
              </w:rPr>
              <w:t>Kafarov</w:t>
            </w:r>
            <w:proofErr w:type="spellEnd"/>
          </w:p>
          <w:p w14:paraId="573442CF" w14:textId="77777777" w:rsidR="00A2398E" w:rsidRPr="00B57B36" w:rsidRDefault="00A2398E" w:rsidP="004B5614">
            <w:pPr>
              <w:tabs>
                <w:tab w:val="left" w:pos="-108"/>
              </w:tabs>
              <w:spacing w:line="140" w:lineRule="atLeast"/>
              <w:ind w:left="-107"/>
              <w:jc w:val="left"/>
            </w:pPr>
            <w:r>
              <w:rPr>
                <w:rFonts w:ascii="Tahoma" w:hAnsi="Tahoma" w:cs="Tahoma"/>
                <w:iCs/>
                <w:color w:val="333333"/>
                <w:sz w:val="14"/>
                <w:szCs w:val="14"/>
                <w:lang w:eastAsia="it-IT"/>
              </w:rPr>
              <w:t>Copyright © 2026</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889DACD" w:rsidR="00E978D0" w:rsidRPr="00227A00" w:rsidRDefault="007702E1" w:rsidP="00B416FD">
      <w:pPr>
        <w:pStyle w:val="CETTitle"/>
        <w:rPr>
          <w:lang w:val="en-US"/>
        </w:rPr>
      </w:pPr>
      <w:r w:rsidRPr="00AA4440">
        <w:t>C</w:t>
      </w:r>
      <w:r w:rsidR="00A071AE" w:rsidRPr="00AA4440">
        <w:t>O</w:t>
      </w:r>
      <w:r w:rsidR="00A071AE" w:rsidRPr="00AA4440">
        <w:rPr>
          <w:vertAlign w:val="subscript"/>
        </w:rPr>
        <w:t>2</w:t>
      </w:r>
      <w:r w:rsidR="007C257F" w:rsidRPr="00AA4440">
        <w:t xml:space="preserve"> Capture</w:t>
      </w:r>
      <w:r w:rsidR="00B416FD" w:rsidRPr="00AA4440">
        <w:t xml:space="preserve"> and Utilization via an Amine-Functionalized Activated Carbon–Supported Bimetallic Catalyst: A CCUS Approach for the Middle Magdalena Valley in Colombia</w:t>
      </w:r>
    </w:p>
    <w:p w14:paraId="0488FED2" w14:textId="485F13C1" w:rsidR="00B57E6F" w:rsidRPr="00D64EC6" w:rsidRDefault="00B416FD" w:rsidP="00B57E6F">
      <w:pPr>
        <w:pStyle w:val="CETAuthors"/>
        <w:rPr>
          <w:vertAlign w:val="superscript"/>
          <w:lang w:val="en-US"/>
        </w:rPr>
      </w:pPr>
      <w:r w:rsidRPr="00D64EC6">
        <w:rPr>
          <w:lang w:val="en-US"/>
        </w:rPr>
        <w:t>Michell A. Jimenez-Caballero</w:t>
      </w:r>
      <w:r w:rsidRPr="00D64EC6">
        <w:rPr>
          <w:vertAlign w:val="superscript"/>
          <w:lang w:val="en-US"/>
        </w:rPr>
        <w:t>a,b,</w:t>
      </w:r>
      <w:r w:rsidRPr="00D64EC6">
        <w:rPr>
          <w:lang w:val="en-US"/>
        </w:rPr>
        <w:t>*, Johaira M. Ariza-Villamizar</w:t>
      </w:r>
      <w:r w:rsidRPr="00D64EC6">
        <w:rPr>
          <w:vertAlign w:val="superscript"/>
          <w:lang w:val="en-US"/>
        </w:rPr>
        <w:t>b</w:t>
      </w:r>
      <w:r w:rsidRPr="00D64EC6">
        <w:rPr>
          <w:lang w:val="en-US"/>
        </w:rPr>
        <w:t>, Juan D. Arzuaga-Paternina</w:t>
      </w:r>
      <w:r w:rsidRPr="00D64EC6">
        <w:rPr>
          <w:vertAlign w:val="superscript"/>
          <w:lang w:val="en-US"/>
        </w:rPr>
        <w:t>b</w:t>
      </w:r>
      <w:r w:rsidR="00A864CE" w:rsidRPr="00D64EC6">
        <w:rPr>
          <w:lang w:val="en-US"/>
        </w:rPr>
        <w:t>, Germán González-Silva</w:t>
      </w:r>
      <w:r w:rsidR="00A864CE" w:rsidRPr="00D64EC6">
        <w:rPr>
          <w:vertAlign w:val="superscript"/>
          <w:lang w:val="en-US"/>
        </w:rPr>
        <w:t>c</w:t>
      </w:r>
      <w:r w:rsidRPr="00D64EC6">
        <w:rPr>
          <w:lang w:val="en-US"/>
        </w:rPr>
        <w:t>, Adan Y. Leon-Bermudez</w:t>
      </w:r>
      <w:r w:rsidRPr="00D64EC6">
        <w:rPr>
          <w:vertAlign w:val="superscript"/>
          <w:lang w:val="en-US"/>
        </w:rPr>
        <w:t>a,b</w:t>
      </w:r>
    </w:p>
    <w:p w14:paraId="6B2D21B3" w14:textId="272AC525" w:rsidR="00B57E6F" w:rsidRPr="00227A00" w:rsidRDefault="00B57E6F" w:rsidP="00E70F18">
      <w:pPr>
        <w:pStyle w:val="CETAddress"/>
        <w:jc w:val="both"/>
        <w:rPr>
          <w:lang w:val="es-CO"/>
        </w:rPr>
      </w:pPr>
      <w:r w:rsidRPr="00227A00">
        <w:rPr>
          <w:vertAlign w:val="superscript"/>
          <w:lang w:val="es-CO"/>
        </w:rPr>
        <w:t>a</w:t>
      </w:r>
      <w:r w:rsidR="007B10DD" w:rsidRPr="00227A00">
        <w:rPr>
          <w:lang w:val="es-CO"/>
        </w:rPr>
        <w:t>Universidad Industrial de Santander, Escuela de Ingeniería de Petróleos, Grupo de Investigación Recobro Mejorado – GRM, Cra. 27 Calle 9, Bucaramanga –Santander, Colombia</w:t>
      </w:r>
    </w:p>
    <w:p w14:paraId="3D72B0B0" w14:textId="10580776" w:rsidR="00B57E6F" w:rsidRPr="00227A00" w:rsidRDefault="00B57E6F" w:rsidP="00E70F18">
      <w:pPr>
        <w:pStyle w:val="CETAddress"/>
        <w:jc w:val="both"/>
        <w:rPr>
          <w:lang w:val="es-CO"/>
        </w:rPr>
      </w:pPr>
      <w:r w:rsidRPr="00227A00">
        <w:rPr>
          <w:vertAlign w:val="superscript"/>
          <w:lang w:val="es-CO"/>
        </w:rPr>
        <w:t>b</w:t>
      </w:r>
      <w:r w:rsidR="007B10DD" w:rsidRPr="00227A00">
        <w:rPr>
          <w:lang w:val="es-CO"/>
        </w:rPr>
        <w:t>Universidad Industrial de Santander, Escuela de Ingeniería Metalúrgica y Ciencia de los Materiales, Grupo de Investigaciones en Corrosión – GIC, Cra. 27 Calle 9, Bucaramanga –Santander, Colombia</w:t>
      </w:r>
    </w:p>
    <w:p w14:paraId="7178A815" w14:textId="0790735C" w:rsidR="00B160D0" w:rsidRPr="00227A00" w:rsidRDefault="00B160D0" w:rsidP="00B160D0">
      <w:pPr>
        <w:pStyle w:val="CETAddress"/>
        <w:jc w:val="both"/>
        <w:rPr>
          <w:lang w:val="es-CO"/>
        </w:rPr>
      </w:pPr>
      <w:r w:rsidRPr="00227A00">
        <w:rPr>
          <w:vertAlign w:val="superscript"/>
          <w:lang w:val="es-CO"/>
        </w:rPr>
        <w:t>c</w:t>
      </w:r>
      <w:r w:rsidRPr="00227A00">
        <w:rPr>
          <w:lang w:val="es-CO"/>
        </w:rPr>
        <w:t>Universidad Industrial de Santander, Escuela de Ingeniería</w:t>
      </w:r>
      <w:r w:rsidR="0090680D" w:rsidRPr="00227A00">
        <w:rPr>
          <w:lang w:val="es-CO"/>
        </w:rPr>
        <w:t>s Fisicoquímicas</w:t>
      </w:r>
      <w:r w:rsidRPr="00227A00">
        <w:rPr>
          <w:lang w:val="es-CO"/>
        </w:rPr>
        <w:t xml:space="preserve">, Grupo de Investigaciones en </w:t>
      </w:r>
      <w:r w:rsidR="0090680D" w:rsidRPr="00227A00">
        <w:rPr>
          <w:lang w:val="es-CO"/>
        </w:rPr>
        <w:t>Modelamiento de Procesos de Hidrocarburos</w:t>
      </w:r>
      <w:r w:rsidRPr="00227A00">
        <w:rPr>
          <w:lang w:val="es-CO"/>
        </w:rPr>
        <w:t xml:space="preserve"> – </w:t>
      </w:r>
      <w:r w:rsidR="0090680D" w:rsidRPr="00227A00">
        <w:rPr>
          <w:lang w:val="es-CO"/>
        </w:rPr>
        <w:t>GMPH</w:t>
      </w:r>
      <w:r w:rsidRPr="00227A00">
        <w:rPr>
          <w:lang w:val="es-CO"/>
        </w:rPr>
        <w:t>, Cra. 27 Calle 9, Bucaramanga –Santander, Colombia</w:t>
      </w:r>
    </w:p>
    <w:p w14:paraId="064522D8" w14:textId="655397DD" w:rsidR="13C159BA" w:rsidRPr="008E5ACB" w:rsidRDefault="00157803" w:rsidP="005D5F97">
      <w:pPr>
        <w:pStyle w:val="CETAddress"/>
        <w:jc w:val="both"/>
        <w:rPr>
          <w:lang w:val="en-US"/>
        </w:rPr>
      </w:pPr>
      <w:r w:rsidRPr="008E5ACB">
        <w:rPr>
          <w:lang w:val="en-US"/>
        </w:rPr>
        <w:t xml:space="preserve">* </w:t>
      </w:r>
      <w:hyperlink r:id="rId10">
        <w:r w:rsidRPr="008E5ACB">
          <w:rPr>
            <w:lang w:val="en-US"/>
          </w:rPr>
          <w:t>michell2208108@correo.uis.edu.co</w:t>
        </w:r>
      </w:hyperlink>
    </w:p>
    <w:p w14:paraId="3D3B1294" w14:textId="77777777" w:rsidR="005D5F97" w:rsidRPr="008E5ACB" w:rsidRDefault="005D5F97" w:rsidP="005D5F97">
      <w:pPr>
        <w:pStyle w:val="CETAddress"/>
        <w:jc w:val="both"/>
        <w:rPr>
          <w:lang w:val="en-US"/>
        </w:rPr>
      </w:pPr>
    </w:p>
    <w:p w14:paraId="62944F43" w14:textId="0B997F14" w:rsidR="0043295C" w:rsidRPr="00471E33" w:rsidRDefault="00AA093A" w:rsidP="7B71078C">
      <w:pPr>
        <w:pStyle w:val="CETAddress"/>
        <w:jc w:val="both"/>
        <w:rPr>
          <w:sz w:val="18"/>
          <w:szCs w:val="18"/>
          <w:lang w:val="en-US"/>
        </w:rPr>
      </w:pPr>
      <w:r w:rsidRPr="00471E33">
        <w:rPr>
          <w:sz w:val="18"/>
          <w:szCs w:val="18"/>
          <w:lang w:val="en-US"/>
        </w:rPr>
        <w:t xml:space="preserve">The rise in atmospheric </w:t>
      </w:r>
      <w:r w:rsidR="00017028" w:rsidRPr="00471E33">
        <w:rPr>
          <w:sz w:val="18"/>
          <w:szCs w:val="18"/>
        </w:rPr>
        <w:t>CO</w:t>
      </w:r>
      <w:r w:rsidR="00017028" w:rsidRPr="00471E33">
        <w:rPr>
          <w:sz w:val="18"/>
          <w:szCs w:val="18"/>
          <w:vertAlign w:val="subscript"/>
        </w:rPr>
        <w:t>2</w:t>
      </w:r>
      <w:r w:rsidRPr="00471E33">
        <w:rPr>
          <w:sz w:val="18"/>
          <w:szCs w:val="18"/>
          <w:lang w:val="en-US"/>
        </w:rPr>
        <w:t xml:space="preserve"> concentrations poses a significant challenge for industrial decarbonization, particularly in regions that rely heavily on hydrocarbons, such as the Middle Magdalena Valley (MMV) in Colombia. This study evaluates</w:t>
      </w:r>
      <w:r w:rsidR="00C010B1">
        <w:rPr>
          <w:sz w:val="18"/>
          <w:szCs w:val="18"/>
          <w:lang w:val="en-US"/>
        </w:rPr>
        <w:t>, at the laboratory scale, an integrated approach to CO</w:t>
      </w:r>
      <w:r w:rsidR="00C010B1" w:rsidRPr="00C010B1">
        <w:rPr>
          <w:sz w:val="18"/>
          <w:szCs w:val="18"/>
          <w:vertAlign w:val="subscript"/>
          <w:lang w:val="en-US"/>
        </w:rPr>
        <w:t>2</w:t>
      </w:r>
      <w:r w:rsidR="00C010B1">
        <w:rPr>
          <w:sz w:val="18"/>
          <w:szCs w:val="18"/>
          <w:lang w:val="en-US"/>
        </w:rPr>
        <w:t xml:space="preserve"> capture and utilization </w:t>
      </w:r>
      <w:r w:rsidR="00C010B1" w:rsidRPr="00BD433E">
        <w:rPr>
          <w:sz w:val="18"/>
          <w:szCs w:val="18"/>
          <w:lang w:val="en-US"/>
        </w:rPr>
        <w:t>using amine-functionalized activated carbon (AAC) derived from sugarcane bagasse, which serves</w:t>
      </w:r>
      <w:r w:rsidRPr="00BD433E">
        <w:rPr>
          <w:sz w:val="18"/>
          <w:szCs w:val="18"/>
          <w:lang w:val="en-US"/>
        </w:rPr>
        <w:t xml:space="preserve"> as both an adsorbent and a catalytic support. The AAC, synthesized via pyrolysis and chemical functionalization, exhibited a high specific surface area of 1,456 m</w:t>
      </w:r>
      <w:r w:rsidR="00D00A19" w:rsidRPr="00BD433E">
        <w:rPr>
          <w:sz w:val="18"/>
          <w:szCs w:val="18"/>
          <w:vertAlign w:val="superscript"/>
          <w:lang w:val="en-US"/>
        </w:rPr>
        <w:t>2</w:t>
      </w:r>
      <w:r w:rsidR="00512FA7">
        <w:rPr>
          <w:sz w:val="18"/>
          <w:szCs w:val="18"/>
          <w:lang w:val="en-US"/>
        </w:rPr>
        <w:t>/</w:t>
      </w:r>
      <w:r w:rsidR="00D00A19" w:rsidRPr="00BD433E">
        <w:rPr>
          <w:sz w:val="18"/>
          <w:szCs w:val="18"/>
          <w:lang w:val="en-US"/>
        </w:rPr>
        <w:t>g</w:t>
      </w:r>
      <w:r w:rsidRPr="00BD433E">
        <w:rPr>
          <w:sz w:val="18"/>
          <w:szCs w:val="18"/>
          <w:lang w:val="en-US"/>
        </w:rPr>
        <w:t xml:space="preserve">, </w:t>
      </w:r>
      <w:r w:rsidR="00C24717" w:rsidRPr="00BD433E">
        <w:rPr>
          <w:sz w:val="18"/>
          <w:szCs w:val="18"/>
          <w:lang w:val="en-US"/>
        </w:rPr>
        <w:t xml:space="preserve">thereby facilitating </w:t>
      </w:r>
      <w:r w:rsidR="00D00A19" w:rsidRPr="00BD433E">
        <w:rPr>
          <w:sz w:val="18"/>
          <w:szCs w:val="18"/>
        </w:rPr>
        <w:t>CO</w:t>
      </w:r>
      <w:r w:rsidR="00D00A19" w:rsidRPr="00BD433E">
        <w:rPr>
          <w:sz w:val="18"/>
          <w:szCs w:val="18"/>
          <w:vertAlign w:val="subscript"/>
        </w:rPr>
        <w:t>2</w:t>
      </w:r>
      <w:r w:rsidR="00C24717" w:rsidRPr="00BD433E">
        <w:rPr>
          <w:sz w:val="18"/>
          <w:szCs w:val="18"/>
          <w:lang w:val="en-US"/>
        </w:rPr>
        <w:t xml:space="preserve"> adsorption and improving</w:t>
      </w:r>
      <w:r w:rsidRPr="00BD433E">
        <w:rPr>
          <w:sz w:val="18"/>
          <w:szCs w:val="18"/>
          <w:lang w:val="en-US"/>
        </w:rPr>
        <w:t xml:space="preserve"> catalyst dispersion. The hydrogenation of </w:t>
      </w:r>
      <w:r w:rsidR="00D00A19" w:rsidRPr="00BD433E">
        <w:rPr>
          <w:sz w:val="18"/>
          <w:szCs w:val="18"/>
        </w:rPr>
        <w:t>CO</w:t>
      </w:r>
      <w:r w:rsidR="00D00A19" w:rsidRPr="00BD433E">
        <w:rPr>
          <w:sz w:val="18"/>
          <w:szCs w:val="18"/>
          <w:vertAlign w:val="subscript"/>
        </w:rPr>
        <w:t>2</w:t>
      </w:r>
      <w:r w:rsidR="00D00A19" w:rsidRPr="00BD433E">
        <w:rPr>
          <w:sz w:val="18"/>
          <w:szCs w:val="18"/>
          <w:lang w:val="en-US"/>
        </w:rPr>
        <w:t xml:space="preserve"> </w:t>
      </w:r>
      <w:r w:rsidRPr="00BD433E">
        <w:rPr>
          <w:sz w:val="18"/>
          <w:szCs w:val="18"/>
          <w:lang w:val="en-US"/>
        </w:rPr>
        <w:t>via Fischer-Tropsch synthesis was carried out in a batch reactor for 24 h at temperatures ranging from 2</w:t>
      </w:r>
      <w:r w:rsidR="007017D7">
        <w:rPr>
          <w:sz w:val="18"/>
          <w:szCs w:val="18"/>
          <w:lang w:val="en-US"/>
        </w:rPr>
        <w:t>2</w:t>
      </w:r>
      <w:r w:rsidRPr="00BD433E">
        <w:rPr>
          <w:sz w:val="18"/>
          <w:szCs w:val="18"/>
          <w:lang w:val="en-US"/>
        </w:rPr>
        <w:t xml:space="preserve">0 to 260 </w:t>
      </w:r>
      <w:r w:rsidRPr="00BD433E">
        <w:rPr>
          <w:rFonts w:cs="Arial"/>
          <w:sz w:val="18"/>
          <w:szCs w:val="18"/>
          <w:lang w:val="en-US"/>
        </w:rPr>
        <w:t>°</w:t>
      </w:r>
      <w:r w:rsidRPr="00BD433E">
        <w:rPr>
          <w:sz w:val="18"/>
          <w:szCs w:val="18"/>
          <w:lang w:val="en-US"/>
        </w:rPr>
        <w:t xml:space="preserve">C, using </w:t>
      </w:r>
      <w:r w:rsidR="00471E33" w:rsidRPr="00BD433E">
        <w:rPr>
          <w:sz w:val="18"/>
          <w:szCs w:val="18"/>
          <w:lang w:val="en-US"/>
        </w:rPr>
        <w:t>H</w:t>
      </w:r>
      <w:r w:rsidR="00471E33" w:rsidRPr="00BD433E">
        <w:rPr>
          <w:sz w:val="18"/>
          <w:szCs w:val="18"/>
          <w:vertAlign w:val="subscript"/>
          <w:lang w:val="en-US"/>
        </w:rPr>
        <w:t>2</w:t>
      </w:r>
      <w:r w:rsidRPr="00BD433E">
        <w:rPr>
          <w:sz w:val="18"/>
          <w:szCs w:val="18"/>
          <w:lang w:val="en-US"/>
        </w:rPr>
        <w:t xml:space="preserve"> and </w:t>
      </w:r>
      <w:r w:rsidR="00471E33" w:rsidRPr="00BD433E">
        <w:rPr>
          <w:sz w:val="18"/>
          <w:szCs w:val="18"/>
        </w:rPr>
        <w:t>CO</w:t>
      </w:r>
      <w:r w:rsidR="00471E33" w:rsidRPr="00BD433E">
        <w:rPr>
          <w:sz w:val="18"/>
          <w:szCs w:val="18"/>
          <w:vertAlign w:val="subscript"/>
        </w:rPr>
        <w:t>2</w:t>
      </w:r>
      <w:r w:rsidR="00B36893" w:rsidRPr="00BD433E">
        <w:rPr>
          <w:sz w:val="18"/>
          <w:szCs w:val="18"/>
          <w:vertAlign w:val="subscript"/>
        </w:rPr>
        <w:t xml:space="preserve"> </w:t>
      </w:r>
      <w:r w:rsidR="00B36893" w:rsidRPr="00BD433E">
        <w:rPr>
          <w:sz w:val="18"/>
          <w:szCs w:val="18"/>
        </w:rPr>
        <w:t>as reactants</w:t>
      </w:r>
      <w:r w:rsidRPr="00BD433E">
        <w:rPr>
          <w:sz w:val="18"/>
          <w:szCs w:val="18"/>
          <w:lang w:val="en-US"/>
        </w:rPr>
        <w:t xml:space="preserve">. A comparative experimental approach was implemented to evaluate </w:t>
      </w:r>
      <w:r w:rsidR="00C24717" w:rsidRPr="00BD433E">
        <w:rPr>
          <w:sz w:val="18"/>
          <w:szCs w:val="18"/>
          <w:lang w:val="en-US"/>
        </w:rPr>
        <w:t>system configurations with and without</w:t>
      </w:r>
      <w:r w:rsidRPr="00BD433E">
        <w:rPr>
          <w:sz w:val="18"/>
          <w:szCs w:val="18"/>
          <w:lang w:val="en-US"/>
        </w:rPr>
        <w:t xml:space="preserve"> AAC and a Co</w:t>
      </w:r>
      <w:r w:rsidRPr="00BD433E">
        <w:rPr>
          <w:rFonts w:cs="Arial"/>
          <w:sz w:val="18"/>
          <w:szCs w:val="18"/>
          <w:lang w:val="en-US"/>
        </w:rPr>
        <w:t>–</w:t>
      </w:r>
      <w:r w:rsidRPr="00BD433E">
        <w:rPr>
          <w:sz w:val="18"/>
          <w:szCs w:val="18"/>
          <w:lang w:val="en-US"/>
        </w:rPr>
        <w:t>Mn bimetallic catalyst. The</w:t>
      </w:r>
      <w:r w:rsidR="00471E33" w:rsidRPr="00BD433E">
        <w:rPr>
          <w:sz w:val="18"/>
          <w:szCs w:val="18"/>
          <w:lang w:val="en-US"/>
        </w:rPr>
        <w:t xml:space="preserve"> </w:t>
      </w:r>
      <w:r w:rsidR="007D11B2" w:rsidRPr="00BD433E">
        <w:rPr>
          <w:sz w:val="18"/>
          <w:szCs w:val="18"/>
          <w:lang w:val="en-US"/>
        </w:rPr>
        <w:t xml:space="preserve">use of the </w:t>
      </w:r>
      <w:r w:rsidR="00471E33" w:rsidRPr="00BD433E">
        <w:rPr>
          <w:rFonts w:cs="Arial"/>
          <w:sz w:val="18"/>
          <w:szCs w:val="18"/>
          <w:lang w:val="en-US"/>
        </w:rPr>
        <w:t>AAC/Co</w:t>
      </w:r>
      <w:r w:rsidR="00471E33" w:rsidRPr="00BD433E">
        <w:rPr>
          <w:rFonts w:cs="Arial"/>
          <w:sz w:val="18"/>
          <w:szCs w:val="18"/>
          <w:vertAlign w:val="subscript"/>
          <w:lang w:val="en-US"/>
        </w:rPr>
        <w:t>6</w:t>
      </w:r>
      <w:r w:rsidR="00471E33" w:rsidRPr="00BD433E">
        <w:rPr>
          <w:rFonts w:cs="Arial"/>
          <w:sz w:val="18"/>
          <w:szCs w:val="18"/>
          <w:lang w:val="en-US"/>
        </w:rPr>
        <w:t>/MnO</w:t>
      </w:r>
      <w:r w:rsidR="00471E33" w:rsidRPr="00BD433E">
        <w:rPr>
          <w:rFonts w:cs="Arial"/>
          <w:sz w:val="18"/>
          <w:szCs w:val="18"/>
          <w:vertAlign w:val="subscript"/>
          <w:lang w:val="en-US"/>
        </w:rPr>
        <w:t>x</w:t>
      </w:r>
      <w:r w:rsidR="00471E33" w:rsidRPr="00BD433E">
        <w:rPr>
          <w:rFonts w:cs="Arial"/>
          <w:sz w:val="18"/>
          <w:szCs w:val="18"/>
          <w:lang w:val="en-US"/>
        </w:rPr>
        <w:t xml:space="preserve"> mixture</w:t>
      </w:r>
      <w:r w:rsidR="007017D7">
        <w:rPr>
          <w:rFonts w:cs="Arial"/>
          <w:sz w:val="18"/>
          <w:szCs w:val="18"/>
          <w:lang w:val="en-US"/>
        </w:rPr>
        <w:t xml:space="preserve"> to 260 °C</w:t>
      </w:r>
      <w:r w:rsidRPr="00BD433E">
        <w:rPr>
          <w:sz w:val="18"/>
          <w:szCs w:val="18"/>
          <w:lang w:val="en-US"/>
        </w:rPr>
        <w:t xml:space="preserve"> </w:t>
      </w:r>
      <w:r w:rsidR="00837C8B" w:rsidRPr="00BD433E">
        <w:rPr>
          <w:sz w:val="18"/>
          <w:szCs w:val="18"/>
          <w:lang w:val="en-US"/>
        </w:rPr>
        <w:t xml:space="preserve">demonstrated superior selectivity toward </w:t>
      </w:r>
      <w:r w:rsidR="00B22689">
        <w:rPr>
          <w:sz w:val="18"/>
          <w:szCs w:val="18"/>
          <w:lang w:val="en-US"/>
        </w:rPr>
        <w:t xml:space="preserve">liquid </w:t>
      </w:r>
      <w:r w:rsidR="00837C8B" w:rsidRPr="00BD433E">
        <w:rPr>
          <w:sz w:val="18"/>
          <w:szCs w:val="18"/>
          <w:lang w:val="en-US"/>
        </w:rPr>
        <w:t>hydrocarbons</w:t>
      </w:r>
      <w:r w:rsidR="00B22689">
        <w:rPr>
          <w:sz w:val="18"/>
          <w:szCs w:val="18"/>
          <w:lang w:val="en-US"/>
        </w:rPr>
        <w:t xml:space="preserve"> </w:t>
      </w:r>
      <w:r w:rsidR="00B22689" w:rsidRPr="00BD433E">
        <w:rPr>
          <w:sz w:val="18"/>
          <w:szCs w:val="18"/>
          <w:lang w:val="en-US"/>
        </w:rPr>
        <w:t>compared to other treatments</w:t>
      </w:r>
      <w:r w:rsidR="00C32CF7" w:rsidRPr="00C32CF7">
        <w:rPr>
          <w:sz w:val="18"/>
          <w:szCs w:val="18"/>
          <w:lang w:val="en-US"/>
        </w:rPr>
        <w:t xml:space="preserve">, </w:t>
      </w:r>
      <w:r w:rsidR="00C32CF7" w:rsidRPr="00C32CF7">
        <w:rPr>
          <w:sz w:val="18"/>
          <w:szCs w:val="18"/>
        </w:rPr>
        <w:t xml:space="preserve">increasing by </w:t>
      </w:r>
      <w:r w:rsidR="00C32CF7" w:rsidRPr="00C32CF7">
        <w:rPr>
          <w:rStyle w:val="Strong"/>
          <w:b w:val="0"/>
          <w:bCs w:val="0"/>
          <w:sz w:val="18"/>
          <w:szCs w:val="18"/>
        </w:rPr>
        <w:t>24.37</w:t>
      </w:r>
      <w:r w:rsidR="004274AB">
        <w:rPr>
          <w:rStyle w:val="Strong"/>
          <w:b w:val="0"/>
          <w:bCs w:val="0"/>
          <w:sz w:val="18"/>
          <w:szCs w:val="18"/>
        </w:rPr>
        <w:t xml:space="preserve"> </w:t>
      </w:r>
      <w:r w:rsidR="00C32CF7" w:rsidRPr="00C32CF7">
        <w:rPr>
          <w:rStyle w:val="Strong"/>
          <w:b w:val="0"/>
          <w:bCs w:val="0"/>
          <w:sz w:val="18"/>
          <w:szCs w:val="18"/>
        </w:rPr>
        <w:t>% relative to the initial squalane mass</w:t>
      </w:r>
      <w:r w:rsidRPr="00BD433E">
        <w:rPr>
          <w:sz w:val="18"/>
          <w:szCs w:val="18"/>
          <w:lang w:val="en-US"/>
        </w:rPr>
        <w:t>. These results indicate that functionalized bio-based carbons can improve catalyst performance under batch conditions. However, further studies are needed to examine reaction kinetics, the effects of gas composition, and catalyst stability in order to assess the scalability and applicability of this approach in CCUS systems.</w:t>
      </w:r>
    </w:p>
    <w:p w14:paraId="286199AE" w14:textId="1432EC6D" w:rsidR="7B71078C" w:rsidRDefault="002B7BB1" w:rsidP="7B71078C">
      <w:pPr>
        <w:pStyle w:val="CETHeading1"/>
        <w:rPr>
          <w:rFonts w:cs="Arial"/>
          <w:sz w:val="18"/>
          <w:szCs w:val="18"/>
          <w:lang w:val="en-GB"/>
        </w:rPr>
      </w:pPr>
      <w:r w:rsidRPr="7B71078C">
        <w:rPr>
          <w:rFonts w:cs="Arial"/>
          <w:sz w:val="18"/>
          <w:szCs w:val="18"/>
          <w:lang w:val="en-GB"/>
        </w:rPr>
        <w:t>INTRODUCTION</w:t>
      </w:r>
    </w:p>
    <w:p w14:paraId="5ED15319" w14:textId="3689B388" w:rsidR="00323E75" w:rsidRPr="00E65829" w:rsidRDefault="00220B91" w:rsidP="00323E75">
      <w:pPr>
        <w:pStyle w:val="CETBodytext"/>
        <w:rPr>
          <w:rFonts w:cs="Arial"/>
          <w:lang w:val="en-CA"/>
        </w:rPr>
      </w:pPr>
      <w:r w:rsidRPr="003F7018">
        <w:rPr>
          <w:lang w:val="en-GB"/>
        </w:rPr>
        <w:t>The sustained increase in atmospheric carbon dioxide (CO</w:t>
      </w:r>
      <w:r w:rsidRPr="003F7018">
        <w:rPr>
          <w:vertAlign w:val="subscript"/>
          <w:lang w:val="en-GB"/>
        </w:rPr>
        <w:t>2</w:t>
      </w:r>
      <w:r w:rsidRPr="003F7018">
        <w:rPr>
          <w:lang w:val="en-GB"/>
        </w:rPr>
        <w:t>) concentrations</w:t>
      </w:r>
      <w:r w:rsidR="005D6610" w:rsidRPr="003F7018">
        <w:rPr>
          <w:lang w:val="en-GB"/>
        </w:rPr>
        <w:t xml:space="preserve"> </w:t>
      </w:r>
      <w:r w:rsidRPr="003F7018">
        <w:rPr>
          <w:lang w:val="en-GB"/>
        </w:rPr>
        <w:t>has become a pressing global concern due to its direct role in accelerating climate change and global warming</w:t>
      </w:r>
      <w:r w:rsidR="00323E75" w:rsidRPr="003F7018">
        <w:rPr>
          <w:rFonts w:cs="Arial"/>
          <w:lang w:val="en-CA"/>
        </w:rPr>
        <w:t>. Recent estimates indicate that approximately 4</w:t>
      </w:r>
      <w:r w:rsidR="004779A0" w:rsidRPr="003F7018">
        <w:rPr>
          <w:rFonts w:cs="Arial"/>
          <w:lang w:val="en-CA"/>
        </w:rPr>
        <w:t xml:space="preserve">1 Gt </w:t>
      </w:r>
      <w:r w:rsidR="00323E75" w:rsidRPr="003F7018">
        <w:rPr>
          <w:rFonts w:cs="Arial"/>
          <w:lang w:val="en-CA"/>
        </w:rPr>
        <w:t>of C</w:t>
      </w:r>
      <w:r w:rsidR="00A1379F" w:rsidRPr="003F7018">
        <w:rPr>
          <w:rFonts w:cs="Arial"/>
          <w:lang w:val="en-CA"/>
        </w:rPr>
        <w:t>O</w:t>
      </w:r>
      <w:r w:rsidR="00A1379F" w:rsidRPr="003F7018">
        <w:rPr>
          <w:rFonts w:cs="Arial"/>
          <w:vertAlign w:val="subscript"/>
          <w:lang w:val="en-CA"/>
        </w:rPr>
        <w:t>2</w:t>
      </w:r>
      <w:r w:rsidR="00323E75" w:rsidRPr="003F7018">
        <w:rPr>
          <w:rFonts w:cs="Arial"/>
          <w:lang w:val="en-CA"/>
        </w:rPr>
        <w:t xml:space="preserve"> equivalent (</w:t>
      </w:r>
      <w:proofErr w:type="spellStart"/>
      <w:r w:rsidR="00323E75" w:rsidRPr="003F7018">
        <w:rPr>
          <w:rFonts w:cs="Arial"/>
          <w:lang w:val="en-CA"/>
        </w:rPr>
        <w:t>CO</w:t>
      </w:r>
      <w:r w:rsidR="00323E75" w:rsidRPr="003F7018">
        <w:rPr>
          <w:rFonts w:ascii="Cambria Math" w:hAnsi="Cambria Math" w:cs="Cambria Math"/>
          <w:lang w:val="en-CA"/>
        </w:rPr>
        <w:t>₂</w:t>
      </w:r>
      <w:r w:rsidR="00323E75" w:rsidRPr="003F7018">
        <w:rPr>
          <w:rFonts w:cs="Arial"/>
          <w:lang w:val="en-CA"/>
        </w:rPr>
        <w:t>e</w:t>
      </w:r>
      <w:proofErr w:type="spellEnd"/>
      <w:r w:rsidR="00323E75" w:rsidRPr="003F7018">
        <w:rPr>
          <w:rFonts w:cs="Arial"/>
          <w:lang w:val="en-CA"/>
        </w:rPr>
        <w:t>) were emitted globally in 202</w:t>
      </w:r>
      <w:r w:rsidR="00621289" w:rsidRPr="003F7018">
        <w:rPr>
          <w:rFonts w:cs="Arial"/>
          <w:lang w:val="en-CA"/>
        </w:rPr>
        <w:t>5</w:t>
      </w:r>
      <w:r w:rsidR="00323E75" w:rsidRPr="003F7018">
        <w:rPr>
          <w:rFonts w:cs="Arial"/>
          <w:lang w:val="en-CA"/>
        </w:rPr>
        <w:t>, highlighting the urgency of implementing effective mitigation strategies</w:t>
      </w:r>
      <w:r w:rsidR="005B476A" w:rsidRPr="003F7018">
        <w:rPr>
          <w:rFonts w:cs="Arial"/>
          <w:lang w:val="en-CA"/>
        </w:rPr>
        <w:t xml:space="preserve"> (</w:t>
      </w:r>
      <w:r w:rsidR="00AA4440" w:rsidRPr="003F7018">
        <w:rPr>
          <w:rFonts w:cs="Arial"/>
          <w:lang w:val="en-CA"/>
        </w:rPr>
        <w:t>BP, 2025</w:t>
      </w:r>
      <w:r w:rsidR="005B476A" w:rsidRPr="003F7018">
        <w:rPr>
          <w:rFonts w:cs="Arial"/>
          <w:lang w:val="en-CA"/>
        </w:rPr>
        <w:t>)</w:t>
      </w:r>
      <w:r w:rsidR="00323E75" w:rsidRPr="003F7018">
        <w:rPr>
          <w:rFonts w:cs="Arial"/>
          <w:lang w:val="en-CA"/>
        </w:rPr>
        <w:t xml:space="preserve">. Carbon Capture, Utilization, and Storage (CCUS) technologies </w:t>
      </w:r>
      <w:r w:rsidR="00E33D65" w:rsidRPr="003F7018">
        <w:rPr>
          <w:lang w:val="en-GB"/>
        </w:rPr>
        <w:t>have gained increasing attention as promising strategies for managing anthropogenic CO</w:t>
      </w:r>
      <w:r w:rsidR="00E33D65" w:rsidRPr="003F7018">
        <w:rPr>
          <w:vertAlign w:val="subscript"/>
          <w:lang w:val="en-GB"/>
        </w:rPr>
        <w:t>2</w:t>
      </w:r>
      <w:r w:rsidR="00E33D65" w:rsidRPr="003F7018">
        <w:rPr>
          <w:lang w:val="en-GB"/>
        </w:rPr>
        <w:t xml:space="preserve"> emissions (</w:t>
      </w:r>
      <w:proofErr w:type="spellStart"/>
      <w:r w:rsidR="00E33D65" w:rsidRPr="003F7018">
        <w:rPr>
          <w:lang w:val="en-GB"/>
        </w:rPr>
        <w:t>Kazemifar</w:t>
      </w:r>
      <w:proofErr w:type="spellEnd"/>
      <w:r w:rsidR="00E33D65" w:rsidRPr="003F7018">
        <w:rPr>
          <w:lang w:val="en-GB"/>
        </w:rPr>
        <w:t>, 2021; Lin et al., 2022)</w:t>
      </w:r>
      <w:r w:rsidR="00323E75" w:rsidRPr="003F7018">
        <w:rPr>
          <w:rFonts w:cs="Arial"/>
          <w:lang w:val="en-CA"/>
        </w:rPr>
        <w:t xml:space="preserve">. In Colombia, where emissions reached approximately </w:t>
      </w:r>
      <w:r w:rsidR="005842EF" w:rsidRPr="003F7018">
        <w:rPr>
          <w:rFonts w:cs="Arial"/>
          <w:lang w:val="en-CA"/>
        </w:rPr>
        <w:t>0</w:t>
      </w:r>
      <w:r w:rsidR="002362BD">
        <w:rPr>
          <w:rFonts w:cs="Arial"/>
          <w:lang w:val="en-CA"/>
        </w:rPr>
        <w:t>.</w:t>
      </w:r>
      <w:r w:rsidR="00323E75" w:rsidRPr="003F7018">
        <w:rPr>
          <w:rFonts w:cs="Arial"/>
          <w:lang w:val="en-CA"/>
        </w:rPr>
        <w:t xml:space="preserve">139 </w:t>
      </w:r>
      <w:r w:rsidR="005842EF" w:rsidRPr="003F7018">
        <w:rPr>
          <w:rFonts w:cs="Arial"/>
          <w:lang w:val="en-CA"/>
        </w:rPr>
        <w:t>Gt</w:t>
      </w:r>
      <w:r w:rsidR="00323E75" w:rsidRPr="003F7018">
        <w:rPr>
          <w:rFonts w:cs="Arial"/>
          <w:lang w:val="en-CA"/>
        </w:rPr>
        <w:t xml:space="preserve"> of </w:t>
      </w:r>
      <w:proofErr w:type="spellStart"/>
      <w:r w:rsidR="00323E75" w:rsidRPr="003F7018">
        <w:rPr>
          <w:rFonts w:cs="Arial"/>
          <w:lang w:val="en-CA"/>
        </w:rPr>
        <w:t>CO</w:t>
      </w:r>
      <w:r w:rsidR="00323E75" w:rsidRPr="003F7018">
        <w:rPr>
          <w:rFonts w:ascii="Cambria Math" w:hAnsi="Cambria Math" w:cs="Cambria Math"/>
          <w:lang w:val="en-CA"/>
        </w:rPr>
        <w:t>₂</w:t>
      </w:r>
      <w:r w:rsidR="00323E75" w:rsidRPr="003F7018">
        <w:rPr>
          <w:rFonts w:cs="Arial"/>
          <w:lang w:val="en-CA"/>
        </w:rPr>
        <w:t>e</w:t>
      </w:r>
      <w:proofErr w:type="spellEnd"/>
      <w:r w:rsidR="00323E75" w:rsidRPr="003F7018">
        <w:rPr>
          <w:rFonts w:cs="Arial"/>
          <w:lang w:val="en-CA"/>
        </w:rPr>
        <w:t xml:space="preserve"> in 2024, the Middle Magdalena Valley (MMV) has been identified as a strategic region for CCUS deployment due to its high concentration o</w:t>
      </w:r>
      <w:r w:rsidR="00576C14" w:rsidRPr="003F7018">
        <w:rPr>
          <w:rFonts w:cs="Arial"/>
          <w:lang w:val="en-CA"/>
        </w:rPr>
        <w:t xml:space="preserve">f </w:t>
      </w:r>
      <w:r w:rsidR="00323E75" w:rsidRPr="003F7018">
        <w:rPr>
          <w:rFonts w:cs="Arial"/>
          <w:lang w:val="en-CA"/>
        </w:rPr>
        <w:t>oilfields, industrial sources, and available infrastructure</w:t>
      </w:r>
      <w:r w:rsidR="00576C14" w:rsidRPr="003F7018">
        <w:rPr>
          <w:rFonts w:cs="Arial"/>
          <w:lang w:val="en-CA"/>
        </w:rPr>
        <w:t xml:space="preserve"> (</w:t>
      </w:r>
      <w:r w:rsidR="001434AC" w:rsidRPr="003F7018">
        <w:rPr>
          <w:rFonts w:cs="Arial"/>
          <w:lang w:val="en-CA"/>
        </w:rPr>
        <w:t>Yañez et al., 2018</w:t>
      </w:r>
      <w:r w:rsidR="00576C14" w:rsidRPr="003F7018">
        <w:rPr>
          <w:rFonts w:cs="Arial"/>
          <w:lang w:val="en-CA"/>
        </w:rPr>
        <w:t>)</w:t>
      </w:r>
      <w:r w:rsidR="00323E75" w:rsidRPr="003F7018">
        <w:rPr>
          <w:rFonts w:cs="Arial"/>
          <w:lang w:val="en-CA"/>
        </w:rPr>
        <w:t>.</w:t>
      </w:r>
      <w:r w:rsidR="009753C9">
        <w:rPr>
          <w:rFonts w:cs="Arial"/>
          <w:lang w:val="en-CA"/>
        </w:rPr>
        <w:t xml:space="preserve"> </w:t>
      </w:r>
      <w:r w:rsidR="00576C14" w:rsidRPr="003F7018">
        <w:rPr>
          <w:rFonts w:cs="Arial"/>
          <w:lang w:val="en-CA"/>
        </w:rPr>
        <w:t>Within the CCUS framework, the production of synthetic fuels</w:t>
      </w:r>
      <w:r w:rsidR="00576C14" w:rsidRPr="007A5D0C">
        <w:rPr>
          <w:rFonts w:cs="Arial"/>
          <w:lang w:val="en-CA"/>
        </w:rPr>
        <w:t xml:space="preserve"> via C</w:t>
      </w:r>
      <w:r w:rsidR="00F055A6" w:rsidRPr="007A5D0C">
        <w:rPr>
          <w:rFonts w:cs="Arial"/>
          <w:lang w:val="en-CA"/>
        </w:rPr>
        <w:t>O</w:t>
      </w:r>
      <w:r w:rsidR="00F055A6" w:rsidRPr="007A5D0C">
        <w:rPr>
          <w:rFonts w:cs="Arial"/>
          <w:vertAlign w:val="subscript"/>
          <w:lang w:val="en-CA"/>
        </w:rPr>
        <w:t>2</w:t>
      </w:r>
      <w:r w:rsidR="00576C14" w:rsidRPr="007A5D0C">
        <w:rPr>
          <w:rFonts w:cs="Arial"/>
          <w:lang w:val="en-CA"/>
        </w:rPr>
        <w:t xml:space="preserve"> valorization has gained attention as a </w:t>
      </w:r>
      <w:r w:rsidR="00F055A6" w:rsidRPr="007A5D0C">
        <w:rPr>
          <w:rFonts w:cs="Arial"/>
          <w:lang w:val="en-CA"/>
        </w:rPr>
        <w:t>means of carbon recycling and energy storage, particularly given the global fuel market's substantial size</w:t>
      </w:r>
      <w:r w:rsidR="00576C14" w:rsidRPr="007A5D0C">
        <w:rPr>
          <w:rFonts w:cs="Arial"/>
          <w:lang w:val="en-CA"/>
        </w:rPr>
        <w:t>. Catalytic C</w:t>
      </w:r>
      <w:r w:rsidR="00B14DA7" w:rsidRPr="007A5D0C">
        <w:rPr>
          <w:rFonts w:cs="Arial"/>
          <w:lang w:val="en-CA"/>
        </w:rPr>
        <w:t>O</w:t>
      </w:r>
      <w:r w:rsidR="00B14DA7" w:rsidRPr="007A5D0C">
        <w:rPr>
          <w:rFonts w:cs="Arial"/>
          <w:vertAlign w:val="subscript"/>
          <w:lang w:val="en-CA"/>
        </w:rPr>
        <w:t>2</w:t>
      </w:r>
      <w:r w:rsidR="00576C14" w:rsidRPr="007A5D0C">
        <w:rPr>
          <w:rFonts w:cs="Arial"/>
          <w:lang w:val="en-CA"/>
        </w:rPr>
        <w:t xml:space="preserve"> hydrogenation to hydrocarbons typically involves the Reverse Water-Gas Shift (RWGS) reaction followed by Fischer–</w:t>
      </w:r>
      <w:proofErr w:type="spellStart"/>
      <w:r w:rsidR="00576C14" w:rsidRPr="007A5D0C">
        <w:rPr>
          <w:rFonts w:cs="Arial"/>
          <w:lang w:val="en-CA"/>
        </w:rPr>
        <w:t>Tropsch</w:t>
      </w:r>
      <w:proofErr w:type="spellEnd"/>
      <w:r w:rsidR="00576C14" w:rsidRPr="007A5D0C">
        <w:rPr>
          <w:rFonts w:cs="Arial"/>
          <w:lang w:val="en-CA"/>
        </w:rPr>
        <w:t xml:space="preserve"> synthesis</w:t>
      </w:r>
      <w:r w:rsidR="00F055A6" w:rsidRPr="007A5D0C">
        <w:rPr>
          <w:rFonts w:cs="Arial"/>
          <w:lang w:val="en-CA"/>
        </w:rPr>
        <w:t xml:space="preserve"> (FTS)</w:t>
      </w:r>
      <w:r w:rsidR="00576C14" w:rsidRPr="007A5D0C">
        <w:rPr>
          <w:rFonts w:cs="Arial"/>
          <w:lang w:val="en-CA"/>
        </w:rPr>
        <w:t>, with overall efficiency strongly dependent on both C</w:t>
      </w:r>
      <w:r w:rsidR="00F055A6" w:rsidRPr="007A5D0C">
        <w:rPr>
          <w:rFonts w:cs="Arial"/>
          <w:lang w:val="en-CA"/>
        </w:rPr>
        <w:t>O</w:t>
      </w:r>
      <w:r w:rsidR="00F055A6" w:rsidRPr="007A5D0C">
        <w:rPr>
          <w:rFonts w:cs="Arial"/>
          <w:vertAlign w:val="subscript"/>
          <w:lang w:val="en-CA"/>
        </w:rPr>
        <w:t>2</w:t>
      </w:r>
      <w:r w:rsidR="00576C14" w:rsidRPr="007A5D0C">
        <w:rPr>
          <w:rFonts w:cs="Arial"/>
          <w:lang w:val="en-CA"/>
        </w:rPr>
        <w:t xml:space="preserve"> capture performance and catalytic activity</w:t>
      </w:r>
      <w:r w:rsidR="009753C9">
        <w:rPr>
          <w:rFonts w:cs="Arial"/>
          <w:lang w:val="en-CA"/>
        </w:rPr>
        <w:t xml:space="preserve"> </w:t>
      </w:r>
      <w:r w:rsidR="00B14DA7" w:rsidRPr="007A5D0C">
        <w:rPr>
          <w:lang w:val="en-GB"/>
        </w:rPr>
        <w:t>(Tang et al., 2023).</w:t>
      </w:r>
      <w:r w:rsidR="009753C9">
        <w:rPr>
          <w:lang w:val="en-GB"/>
        </w:rPr>
        <w:t xml:space="preserve"> </w:t>
      </w:r>
      <w:r w:rsidR="00E768FC" w:rsidRPr="007A5D0C">
        <w:rPr>
          <w:lang w:val="en-GB"/>
        </w:rPr>
        <w:t xml:space="preserve">Recent advances in catalytic systems, including </w:t>
      </w:r>
      <w:r w:rsidR="00576C14" w:rsidRPr="007A5D0C">
        <w:rPr>
          <w:rFonts w:cs="Arial"/>
          <w:lang w:val="en-CA"/>
        </w:rPr>
        <w:t xml:space="preserve">advanced adsorbents such as activated carbons (AC), zeolites, and metal–organic frameworks </w:t>
      </w:r>
      <w:r w:rsidR="00576C14" w:rsidRPr="007A5D0C">
        <w:rPr>
          <w:rFonts w:cs="Arial"/>
          <w:lang w:val="en-CA"/>
        </w:rPr>
        <w:lastRenderedPageBreak/>
        <w:t>(MOFs)</w:t>
      </w:r>
      <w:r w:rsidR="00DA3E39">
        <w:rPr>
          <w:rFonts w:cs="Arial"/>
          <w:lang w:val="en-CA"/>
        </w:rPr>
        <w:t>,</w:t>
      </w:r>
      <w:r w:rsidR="00576C14" w:rsidRPr="007A5D0C">
        <w:rPr>
          <w:rFonts w:cs="Arial"/>
          <w:lang w:val="en-CA"/>
        </w:rPr>
        <w:t xml:space="preserve"> </w:t>
      </w:r>
      <w:r w:rsidR="00E768FC" w:rsidRPr="007A5D0C">
        <w:rPr>
          <w:lang w:val="en-GB"/>
        </w:rPr>
        <w:t>have demonstrated high activity and selectivity for CO</w:t>
      </w:r>
      <w:r w:rsidR="00E768FC" w:rsidRPr="007A5D0C">
        <w:rPr>
          <w:vertAlign w:val="subscript"/>
          <w:lang w:val="en-GB"/>
        </w:rPr>
        <w:t>2</w:t>
      </w:r>
      <w:r w:rsidR="00E768FC" w:rsidRPr="007A5D0C">
        <w:rPr>
          <w:lang w:val="en-GB"/>
        </w:rPr>
        <w:t xml:space="preserve"> hydrogenation (Ye et al., 2025).</w:t>
      </w:r>
      <w:r w:rsidR="004050E0" w:rsidRPr="007A5D0C">
        <w:rPr>
          <w:lang w:val="en-GB"/>
        </w:rPr>
        <w:t xml:space="preserve"> </w:t>
      </w:r>
      <w:r w:rsidR="00576C14" w:rsidRPr="00F954BD">
        <w:rPr>
          <w:rFonts w:cs="Arial"/>
          <w:lang w:val="en-CA"/>
        </w:rPr>
        <w:t>Among these, biomass-derived activated carbons stand out for their high surface area, tunable porosity, and capacity for surface functionalization</w:t>
      </w:r>
      <w:r w:rsidR="00A07C80" w:rsidRPr="00F954BD">
        <w:rPr>
          <w:rFonts w:cs="Arial"/>
          <w:lang w:val="en-CA"/>
        </w:rPr>
        <w:t xml:space="preserve"> c</w:t>
      </w:r>
      <w:r w:rsidR="00576C14" w:rsidRPr="00F954BD">
        <w:rPr>
          <w:rFonts w:cs="Arial"/>
          <w:lang w:val="en-CA"/>
        </w:rPr>
        <w:t>ompared to conventional sorbents</w:t>
      </w:r>
      <w:r w:rsidR="00A07C80" w:rsidRPr="00F954BD">
        <w:rPr>
          <w:rFonts w:cs="Arial"/>
          <w:lang w:val="en-CA"/>
        </w:rPr>
        <w:t xml:space="preserve"> </w:t>
      </w:r>
      <w:r w:rsidR="00A07C80" w:rsidRPr="00F954BD">
        <w:t xml:space="preserve">(Adeniyi et al., 2023). </w:t>
      </w:r>
      <w:r w:rsidR="00A07C80" w:rsidRPr="00F954BD">
        <w:rPr>
          <w:lang w:val="en-GB"/>
        </w:rPr>
        <w:t xml:space="preserve">Additionally, </w:t>
      </w:r>
      <w:r w:rsidR="00B73C7B" w:rsidRPr="00F954BD">
        <w:rPr>
          <w:rFonts w:cs="Arial"/>
          <w:lang w:val="en-CA"/>
        </w:rPr>
        <w:t>these</w:t>
      </w:r>
      <w:r w:rsidR="00A07C80" w:rsidRPr="00F954BD">
        <w:rPr>
          <w:lang w:val="en-GB"/>
        </w:rPr>
        <w:t xml:space="preserve"> </w:t>
      </w:r>
      <w:r w:rsidR="00B73C7B" w:rsidRPr="00F954BD">
        <w:rPr>
          <w:lang w:val="en-GB"/>
        </w:rPr>
        <w:t>are</w:t>
      </w:r>
      <w:r w:rsidR="00A07C80" w:rsidRPr="00F954BD">
        <w:rPr>
          <w:lang w:val="en-GB"/>
        </w:rPr>
        <w:t xml:space="preserve"> typically synthesized from carbon-rich precursors with lignocellulosic agricultural residues offering a renewable, low-cost, and sustainable alternative to conventional fossil-based sources (Jafari &amp; Botte, 2024).</w:t>
      </w:r>
      <w:r w:rsidR="00DE79A5" w:rsidRPr="00F954BD">
        <w:rPr>
          <w:lang w:val="en-GB"/>
        </w:rPr>
        <w:t xml:space="preserve"> </w:t>
      </w:r>
      <w:r w:rsidR="00D41BB5" w:rsidRPr="00F954BD">
        <w:t xml:space="preserve">To improve the adsorption properties of the activated carbon, pyrolysis </w:t>
      </w:r>
      <w:r w:rsidR="00E95AC6" w:rsidRPr="00F954BD">
        <w:t>is carried out using alkaline and amine compounds, which react with the carbon matrix to induce oxidation, promoting the formation of nitrogen sites and the release of CO and CO</w:t>
      </w:r>
      <w:r w:rsidR="00E95AC6" w:rsidRPr="00F954BD">
        <w:rPr>
          <w:vertAlign w:val="subscript"/>
        </w:rPr>
        <w:t>2</w:t>
      </w:r>
      <w:r w:rsidR="00E95AC6" w:rsidRPr="00F954BD">
        <w:t>, thereby expanding</w:t>
      </w:r>
      <w:r w:rsidR="00D41BB5" w:rsidRPr="00F954BD">
        <w:t xml:space="preserve"> the porous network</w:t>
      </w:r>
      <w:r w:rsidR="00182EBE" w:rsidRPr="00F954BD">
        <w:t xml:space="preserve"> (Yuan et al., 2023)</w:t>
      </w:r>
      <w:r w:rsidR="00D41BB5" w:rsidRPr="00F954BD">
        <w:t xml:space="preserve">. </w:t>
      </w:r>
      <w:r w:rsidR="00576C14" w:rsidRPr="00F954BD">
        <w:rPr>
          <w:rFonts w:cs="Arial"/>
        </w:rPr>
        <w:t>In this context, sugarcane bagasse, widely available in Colombia, represents a promising precursor aligned with circular economy principles.</w:t>
      </w:r>
      <w:r w:rsidR="00F954BD">
        <w:rPr>
          <w:lang w:val="en-GB"/>
        </w:rPr>
        <w:t xml:space="preserve"> </w:t>
      </w:r>
      <w:r w:rsidR="00F954BD">
        <w:rPr>
          <w:rFonts w:cs="Arial"/>
          <w:lang w:val="en-CA"/>
        </w:rPr>
        <w:t>T</w:t>
      </w:r>
      <w:r w:rsidR="00576C14" w:rsidRPr="007A5D0C">
        <w:rPr>
          <w:rFonts w:cs="Arial"/>
          <w:lang w:val="en-CA"/>
        </w:rPr>
        <w:t>he selection of catalytic systems is critical for achieving efficient C</w:t>
      </w:r>
      <w:r w:rsidR="00B84222" w:rsidRPr="007A5D0C">
        <w:rPr>
          <w:rFonts w:cs="Arial"/>
          <w:lang w:val="en-CA"/>
        </w:rPr>
        <w:t>O</w:t>
      </w:r>
      <w:r w:rsidR="00B84222" w:rsidRPr="007A5D0C">
        <w:rPr>
          <w:rFonts w:cs="Arial"/>
          <w:vertAlign w:val="subscript"/>
          <w:lang w:val="en-CA"/>
        </w:rPr>
        <w:t>2</w:t>
      </w:r>
      <w:r w:rsidR="00576C14" w:rsidRPr="007A5D0C">
        <w:rPr>
          <w:rFonts w:cs="Arial"/>
          <w:lang w:val="en-CA"/>
        </w:rPr>
        <w:t xml:space="preserve"> conversion and product selectivity. Bimetallic catalysts outperform monometallic systems due to synergistic effects; cobalt-based catalysts </w:t>
      </w:r>
      <w:r w:rsidR="00C17398" w:rsidRPr="007A5D0C">
        <w:rPr>
          <w:lang w:val="en-GB"/>
        </w:rPr>
        <w:t>are</w:t>
      </w:r>
      <w:r w:rsidR="002D6EDD" w:rsidRPr="007A5D0C">
        <w:rPr>
          <w:lang w:val="en-GB"/>
        </w:rPr>
        <w:t xml:space="preserve"> selected as the active metal </w:t>
      </w:r>
      <w:r w:rsidR="00DA3E39">
        <w:rPr>
          <w:lang w:val="en-GB"/>
        </w:rPr>
        <w:t>because of their high catalytic activity</w:t>
      </w:r>
      <w:r w:rsidR="00B23E6E">
        <w:rPr>
          <w:lang w:val="en-GB"/>
        </w:rPr>
        <w:t xml:space="preserve"> and</w:t>
      </w:r>
      <w:r w:rsidR="00DA3E39">
        <w:rPr>
          <w:lang w:val="en-GB"/>
        </w:rPr>
        <w:t xml:space="preserve"> excellent selectivity </w:t>
      </w:r>
      <w:r w:rsidR="00C17398" w:rsidRPr="007A5D0C">
        <w:rPr>
          <w:lang w:val="en-GB"/>
        </w:rPr>
        <w:t>(Suo et al., 2022)</w:t>
      </w:r>
      <w:r w:rsidR="00C17398" w:rsidRPr="007A5D0C">
        <w:rPr>
          <w:rFonts w:cs="Arial"/>
          <w:lang w:val="en-CA"/>
        </w:rPr>
        <w:t>.</w:t>
      </w:r>
      <w:r w:rsidR="00576C14" w:rsidRPr="007A5D0C">
        <w:rPr>
          <w:rFonts w:cs="Arial"/>
          <w:lang w:val="en-CA"/>
        </w:rPr>
        <w:t xml:space="preserve"> </w:t>
      </w:r>
      <w:r w:rsidR="00C17398" w:rsidRPr="007A5D0C">
        <w:rPr>
          <w:lang w:val="en-GB"/>
        </w:rPr>
        <w:t>Furthermore, incorporating manganese oxide (MnO</w:t>
      </w:r>
      <w:r w:rsidR="00C17398" w:rsidRPr="00DA3E39">
        <w:rPr>
          <w:vertAlign w:val="subscript"/>
          <w:lang w:val="en-GB"/>
        </w:rPr>
        <w:t>x</w:t>
      </w:r>
      <w:r w:rsidR="00C17398" w:rsidRPr="007A5D0C">
        <w:rPr>
          <w:lang w:val="en-GB"/>
        </w:rPr>
        <w:t>) as a promoter significantly enhances catalyst performance by suppressing methane formation and increasing selectivity toward higher-value C</w:t>
      </w:r>
      <w:r w:rsidR="00C17398" w:rsidRPr="00D269E9">
        <w:rPr>
          <w:vertAlign w:val="subscript"/>
          <w:lang w:val="en-GB"/>
        </w:rPr>
        <w:t>2</w:t>
      </w:r>
      <w:r w:rsidR="00C17398" w:rsidRPr="007A5D0C">
        <w:rPr>
          <w:lang w:val="en-GB"/>
        </w:rPr>
        <w:t>–C</w:t>
      </w:r>
      <w:r w:rsidR="00C17398" w:rsidRPr="00D269E9">
        <w:rPr>
          <w:vertAlign w:val="subscript"/>
          <w:lang w:val="en-GB"/>
        </w:rPr>
        <w:t>4</w:t>
      </w:r>
      <w:r w:rsidR="00C17398" w:rsidRPr="007A5D0C">
        <w:rPr>
          <w:lang w:val="en-GB"/>
        </w:rPr>
        <w:t xml:space="preserve"> hydrocarbons (Van Koppen et al., 2022).</w:t>
      </w:r>
      <w:r w:rsidR="00694B58">
        <w:rPr>
          <w:lang w:val="en-GB"/>
        </w:rPr>
        <w:t xml:space="preserve"> </w:t>
      </w:r>
      <w:r w:rsidR="00576C14" w:rsidRPr="007A5D0C">
        <w:rPr>
          <w:rFonts w:cs="Arial"/>
          <w:lang w:val="en-CA"/>
        </w:rPr>
        <w:t xml:space="preserve">Despite these advances, </w:t>
      </w:r>
      <w:r w:rsidR="00D12A29">
        <w:rPr>
          <w:rFonts w:cs="Arial"/>
          <w:lang w:val="en-CA"/>
        </w:rPr>
        <w:t>s</w:t>
      </w:r>
      <w:r w:rsidR="00576C14" w:rsidRPr="007A5D0C">
        <w:rPr>
          <w:rFonts w:cs="Arial"/>
          <w:lang w:val="en-CA"/>
        </w:rPr>
        <w:t xml:space="preserve">tudies </w:t>
      </w:r>
      <w:r w:rsidR="00D12A29">
        <w:rPr>
          <w:rFonts w:cs="Arial"/>
          <w:lang w:val="en-CA"/>
        </w:rPr>
        <w:t>that combine biomass-derived functionalized carbons with bimetallic catalysts under batch conditions remain</w:t>
      </w:r>
      <w:r w:rsidR="00576C14" w:rsidRPr="007A5D0C">
        <w:rPr>
          <w:rFonts w:cs="Arial"/>
          <w:lang w:val="en-CA"/>
        </w:rPr>
        <w:t xml:space="preserve"> limited.</w:t>
      </w:r>
      <w:r w:rsidR="007A5D0C" w:rsidRPr="007A5D0C">
        <w:rPr>
          <w:rFonts w:cs="Arial"/>
          <w:lang w:val="en-CA"/>
        </w:rPr>
        <w:t xml:space="preserve"> For this reason, t</w:t>
      </w:r>
      <w:r w:rsidR="00576C14" w:rsidRPr="007A5D0C">
        <w:rPr>
          <w:rFonts w:cs="Arial"/>
          <w:lang w:val="en-CA"/>
        </w:rPr>
        <w:t>his study evaluates an integrated CO</w:t>
      </w:r>
      <w:r w:rsidR="007A5D0C" w:rsidRPr="007A5D0C">
        <w:rPr>
          <w:rFonts w:cs="Arial"/>
          <w:vertAlign w:val="subscript"/>
          <w:lang w:val="en-CA"/>
        </w:rPr>
        <w:t>2</w:t>
      </w:r>
      <w:r w:rsidR="00576C14" w:rsidRPr="007A5D0C">
        <w:rPr>
          <w:rFonts w:cs="Arial"/>
          <w:lang w:val="en-CA"/>
        </w:rPr>
        <w:t xml:space="preserve"> capture and utilization approach that uses an amine-functionalized activated carbon</w:t>
      </w:r>
      <w:r w:rsidR="00D269E9">
        <w:rPr>
          <w:rFonts w:cs="Arial"/>
          <w:lang w:val="en-CA"/>
        </w:rPr>
        <w:t xml:space="preserve"> (AAC)</w:t>
      </w:r>
      <w:r w:rsidR="00576C14" w:rsidRPr="007A5D0C">
        <w:rPr>
          <w:rFonts w:cs="Arial"/>
          <w:lang w:val="en-CA"/>
        </w:rPr>
        <w:t xml:space="preserve"> derived from sugarcane bagasse as both the adsorbent and the catalytic support, combined with a Co–Mn bimetallic catalyst. </w:t>
      </w:r>
      <w:r w:rsidR="00E65829">
        <w:t>The system was experimentally evaluated at the laboratory scale using a batch reactor to elucidate the effects of temperature and reactor configuration on hydrocarbon production, thereby providing valuable insights into the feasibility of biomass-derived materials for CCUS applications in the MMV.</w:t>
      </w:r>
    </w:p>
    <w:p w14:paraId="7B54DF9E" w14:textId="3B96FEEB" w:rsidR="00997D32" w:rsidRPr="00227A00" w:rsidRDefault="00997D32" w:rsidP="00997D32">
      <w:pPr>
        <w:pStyle w:val="CETHeading1"/>
        <w:rPr>
          <w:rFonts w:cs="Arial"/>
          <w:sz w:val="18"/>
          <w:szCs w:val="18"/>
        </w:rPr>
      </w:pPr>
      <w:r w:rsidRPr="00227A00">
        <w:rPr>
          <w:rFonts w:cs="Arial"/>
          <w:sz w:val="18"/>
          <w:szCs w:val="18"/>
          <w:lang w:val="es-CO"/>
        </w:rPr>
        <w:t xml:space="preserve">MATERIALS </w:t>
      </w:r>
      <w:r w:rsidR="00E44152" w:rsidRPr="00227A00">
        <w:rPr>
          <w:rFonts w:cs="Arial"/>
          <w:sz w:val="18"/>
          <w:szCs w:val="18"/>
          <w:lang w:val="es-CO"/>
        </w:rPr>
        <w:t>AND</w:t>
      </w:r>
      <w:r w:rsidRPr="00227A00">
        <w:rPr>
          <w:rFonts w:cs="Arial"/>
          <w:sz w:val="18"/>
          <w:szCs w:val="18"/>
          <w:lang w:val="es-CO"/>
        </w:rPr>
        <w:t xml:space="preserve"> MET</w:t>
      </w:r>
      <w:r w:rsidR="00E44152" w:rsidRPr="00227A00">
        <w:rPr>
          <w:rFonts w:cs="Arial"/>
          <w:sz w:val="18"/>
          <w:szCs w:val="18"/>
          <w:lang w:val="es-CO"/>
        </w:rPr>
        <w:t>H</w:t>
      </w:r>
      <w:r w:rsidRPr="00227A00">
        <w:rPr>
          <w:rFonts w:cs="Arial"/>
          <w:sz w:val="18"/>
          <w:szCs w:val="18"/>
          <w:lang w:val="es-CO"/>
        </w:rPr>
        <w:t xml:space="preserve">ODS </w:t>
      </w:r>
    </w:p>
    <w:p w14:paraId="19E938E6" w14:textId="5135AD79" w:rsidR="00A10288" w:rsidRPr="00227A00" w:rsidRDefault="00E44152" w:rsidP="00F41119">
      <w:pPr>
        <w:pStyle w:val="CETHeading1"/>
        <w:numPr>
          <w:ilvl w:val="1"/>
          <w:numId w:val="26"/>
        </w:numPr>
        <w:rPr>
          <w:rFonts w:cs="Arial"/>
          <w:sz w:val="18"/>
          <w:szCs w:val="18"/>
        </w:rPr>
      </w:pPr>
      <w:r w:rsidRPr="00227A00">
        <w:rPr>
          <w:rFonts w:cs="Arial"/>
          <w:sz w:val="18"/>
          <w:szCs w:val="18"/>
        </w:rPr>
        <w:t xml:space="preserve">Synthesis of </w:t>
      </w:r>
      <w:r w:rsidR="009D00B3" w:rsidRPr="00227A00">
        <w:rPr>
          <w:rFonts w:cs="Arial"/>
          <w:sz w:val="18"/>
          <w:szCs w:val="18"/>
        </w:rPr>
        <w:t xml:space="preserve">amine-functionalized </w:t>
      </w:r>
      <w:r w:rsidRPr="00227A00">
        <w:rPr>
          <w:rFonts w:cs="Arial"/>
          <w:sz w:val="18"/>
          <w:szCs w:val="18"/>
        </w:rPr>
        <w:t>activated carbon</w:t>
      </w:r>
      <w:r w:rsidR="009D00B3" w:rsidRPr="00227A00">
        <w:rPr>
          <w:rFonts w:cs="Arial"/>
          <w:sz w:val="18"/>
          <w:szCs w:val="18"/>
        </w:rPr>
        <w:t xml:space="preserve"> (AAC)</w:t>
      </w:r>
    </w:p>
    <w:p w14:paraId="72E1862B" w14:textId="4D808544" w:rsidR="001C7F24" w:rsidRDefault="003D6660" w:rsidP="00F41119">
      <w:pPr>
        <w:pStyle w:val="CETBodytext"/>
      </w:pPr>
      <w:r w:rsidRPr="00227A00">
        <w:t>Sugarcane</w:t>
      </w:r>
      <w:r w:rsidR="00BE1433" w:rsidRPr="00227A00">
        <w:t xml:space="preserve"> bagasse</w:t>
      </w:r>
      <w:r w:rsidR="00E44152" w:rsidRPr="00227A00">
        <w:t xml:space="preserve"> was selected as the raw material</w:t>
      </w:r>
      <w:r w:rsidRPr="00227A00">
        <w:t>, which</w:t>
      </w:r>
      <w:r w:rsidR="00BE1433" w:rsidRPr="00227A00">
        <w:t xml:space="preserve"> </w:t>
      </w:r>
      <w:r w:rsidR="00E44152" w:rsidRPr="00227A00">
        <w:t xml:space="preserve">was dried in an oven at 120 °C for 24 hours, then crushed, sieved, and ground into particles </w:t>
      </w:r>
      <w:r w:rsidR="000F2DDD" w:rsidRPr="00227A00">
        <w:t>with a size of</w:t>
      </w:r>
      <w:r w:rsidR="00E44152" w:rsidRPr="00227A00">
        <w:t xml:space="preserve"> 0.6-0.8 mm</w:t>
      </w:r>
      <w:r w:rsidR="00AC2E71" w:rsidRPr="00227A00">
        <w:t xml:space="preserve"> (30 mesh)</w:t>
      </w:r>
      <w:r w:rsidR="00E44152" w:rsidRPr="00227A00">
        <w:t>. This</w:t>
      </w:r>
      <w:r w:rsidR="00E623B6" w:rsidRPr="00227A00">
        <w:t xml:space="preserve"> </w:t>
      </w:r>
      <w:r w:rsidRPr="00227A00">
        <w:t>biomass</w:t>
      </w:r>
      <w:r w:rsidR="00E44152" w:rsidRPr="00227A00">
        <w:t xml:space="preserve"> </w:t>
      </w:r>
      <w:r w:rsidR="00E07AFA" w:rsidRPr="00227A00">
        <w:t>was impregnated with 15 wt% urea for 12 h, dried at 105 °C, and pyrolyzed under</w:t>
      </w:r>
      <w:r w:rsidR="001D0ED5" w:rsidRPr="00227A00">
        <w:t xml:space="preserve"> a nitrogen (N</w:t>
      </w:r>
      <w:r w:rsidR="001D0ED5" w:rsidRPr="00227A00">
        <w:rPr>
          <w:vertAlign w:val="subscript"/>
        </w:rPr>
        <w:t>2</w:t>
      </w:r>
      <w:r w:rsidR="001D0ED5" w:rsidRPr="00227A00">
        <w:t>) atmosphere (1 L/min)</w:t>
      </w:r>
      <w:r w:rsidR="00E07AFA" w:rsidRPr="00227A00">
        <w:t xml:space="preserve"> at 600 </w:t>
      </w:r>
      <w:r w:rsidR="00E07AFA" w:rsidRPr="00227A00">
        <w:rPr>
          <w:rFonts w:cs="Arial"/>
        </w:rPr>
        <w:t>°</w:t>
      </w:r>
      <w:r w:rsidR="00E07AFA" w:rsidRPr="00227A00">
        <w:t xml:space="preserve">C for 30 min </w:t>
      </w:r>
      <w:r w:rsidR="001D0ED5" w:rsidRPr="00227A00">
        <w:t>with a heating rate of 10 °C/min</w:t>
      </w:r>
      <w:r w:rsidR="00E07AFA" w:rsidRPr="00227A00">
        <w:t xml:space="preserve">. The resulting material was </w:t>
      </w:r>
      <w:r w:rsidR="001D0ED5" w:rsidRPr="00227A00">
        <w:t xml:space="preserve">washed with deionized water to remove unreacted urea </w:t>
      </w:r>
      <w:r w:rsidR="00E07AFA" w:rsidRPr="00227A00">
        <w:t>and dried</w:t>
      </w:r>
      <w:r w:rsidR="001D0ED5" w:rsidRPr="00227A00">
        <w:t xml:space="preserve"> at 105</w:t>
      </w:r>
      <w:r w:rsidR="00E50A6A">
        <w:t xml:space="preserve"> </w:t>
      </w:r>
      <w:r w:rsidR="001D0ED5" w:rsidRPr="00227A00">
        <w:t>°C</w:t>
      </w:r>
      <w:r w:rsidR="00E07AFA" w:rsidRPr="00227A00">
        <w:t>. Subsequently, it was impregnated with KOH (KOH/AC</w:t>
      </w:r>
      <w:r w:rsidR="00154894" w:rsidRPr="00227A00">
        <w:t xml:space="preserve"> ratio</w:t>
      </w:r>
      <w:r w:rsidR="00E07AFA" w:rsidRPr="00227A00">
        <w:t xml:space="preserve"> = 2.0), dried, and subjected to a second pyrolysis under the same conditions for </w:t>
      </w:r>
      <w:r w:rsidR="00154894" w:rsidRPr="00227A00">
        <w:t>1 h</w:t>
      </w:r>
      <w:r w:rsidR="00E07AFA" w:rsidRPr="00227A00">
        <w:t>. Finally, the</w:t>
      </w:r>
      <w:r w:rsidR="00C12753" w:rsidRPr="00227A00">
        <w:t xml:space="preserve"> resulting</w:t>
      </w:r>
      <w:r w:rsidR="00E07AFA" w:rsidRPr="00227A00">
        <w:t xml:space="preserve"> </w:t>
      </w:r>
      <w:r w:rsidR="00C12753" w:rsidRPr="00227A00">
        <w:t>AAC</w:t>
      </w:r>
      <w:r w:rsidR="00E07AFA" w:rsidRPr="00227A00">
        <w:t xml:space="preserve"> w</w:t>
      </w:r>
      <w:r w:rsidR="00C12753" w:rsidRPr="00227A00">
        <w:t>as</w:t>
      </w:r>
      <w:r w:rsidR="00E07AFA" w:rsidRPr="00227A00">
        <w:t xml:space="preserve"> washed </w:t>
      </w:r>
      <w:r w:rsidR="00C12753" w:rsidRPr="00227A00">
        <w:t xml:space="preserve">with deionized water until a pH of 7 ± 0.05 </w:t>
      </w:r>
      <w:r w:rsidR="00E07AFA" w:rsidRPr="00227A00">
        <w:t xml:space="preserve">and dried at 105 </w:t>
      </w:r>
      <w:r w:rsidR="00E07AFA" w:rsidRPr="00227A00">
        <w:rPr>
          <w:rFonts w:cs="Arial"/>
        </w:rPr>
        <w:t>°</w:t>
      </w:r>
      <w:r w:rsidR="00E07AFA" w:rsidRPr="00227A00">
        <w:t>C</w:t>
      </w:r>
      <w:r w:rsidR="00C12753" w:rsidRPr="00227A00">
        <w:t xml:space="preserve"> </w:t>
      </w:r>
      <w:r w:rsidR="00E44152" w:rsidRPr="00227A00">
        <w:t>for 12 h (Han et al., 2019).</w:t>
      </w:r>
      <w:r w:rsidR="00AA1CC8">
        <w:t xml:space="preserve"> </w:t>
      </w:r>
      <w:r w:rsidR="00605D16">
        <w:t xml:space="preserve">The yield distribution across the two-step pyrolysis process for AAC production is presented in </w:t>
      </w:r>
      <w:r w:rsidR="006B4B56">
        <w:fldChar w:fldCharType="begin"/>
      </w:r>
      <w:r w:rsidR="006B4B56">
        <w:instrText xml:space="preserve"> REF _Ref226123103 \h </w:instrText>
      </w:r>
      <w:r w:rsidR="006B4B56">
        <w:fldChar w:fldCharType="separate"/>
      </w:r>
      <w:r w:rsidR="00E1075E" w:rsidRPr="006B4B56">
        <w:t xml:space="preserve">Table </w:t>
      </w:r>
      <w:r w:rsidR="00E1075E">
        <w:rPr>
          <w:noProof/>
        </w:rPr>
        <w:t>1</w:t>
      </w:r>
      <w:r w:rsidR="006B4B56">
        <w:fldChar w:fldCharType="end"/>
      </w:r>
      <w:r w:rsidR="00EB27D0">
        <w:t xml:space="preserve">, showing mean and standard deviation values </w:t>
      </w:r>
      <w:r w:rsidR="00605D16">
        <w:t>from triplicate experiments.</w:t>
      </w:r>
    </w:p>
    <w:p w14:paraId="30D5E8EA" w14:textId="4725F5C8" w:rsidR="001C7F24" w:rsidRPr="00B57B36" w:rsidRDefault="006B4B56" w:rsidP="001C7F24">
      <w:pPr>
        <w:pStyle w:val="CETTabletitle"/>
      </w:pPr>
      <w:bookmarkStart w:id="1" w:name="_Ref226123103"/>
      <w:r w:rsidRPr="006B4B56">
        <w:t xml:space="preserve">Table </w:t>
      </w:r>
      <w:r w:rsidRPr="006B4B56">
        <w:fldChar w:fldCharType="begin"/>
      </w:r>
      <w:r w:rsidRPr="006B4B56">
        <w:instrText xml:space="preserve"> SEQ Table \* ARABIC </w:instrText>
      </w:r>
      <w:r w:rsidRPr="006B4B56">
        <w:fldChar w:fldCharType="separate"/>
      </w:r>
      <w:r w:rsidR="00E1075E">
        <w:rPr>
          <w:noProof/>
        </w:rPr>
        <w:t>1</w:t>
      </w:r>
      <w:r w:rsidRPr="006B4B56">
        <w:fldChar w:fldCharType="end"/>
      </w:r>
      <w:bookmarkEnd w:id="1"/>
      <w:r w:rsidR="001C7F24" w:rsidRPr="00B57B36">
        <w:t xml:space="preserve">: </w:t>
      </w:r>
      <w:r w:rsidR="0085494A">
        <w:t>Stepwise yield distribution for AAC production from triplicate pyrolysis experiments.</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2552"/>
        <w:gridCol w:w="2977"/>
        <w:gridCol w:w="2126"/>
      </w:tblGrid>
      <w:tr w:rsidR="001C7F24" w:rsidRPr="00B57B36" w14:paraId="6C9E1465" w14:textId="77777777" w:rsidTr="00F429AF">
        <w:tc>
          <w:tcPr>
            <w:tcW w:w="1134" w:type="dxa"/>
            <w:tcBorders>
              <w:top w:val="single" w:sz="12" w:space="0" w:color="008000"/>
              <w:bottom w:val="single" w:sz="6" w:space="0" w:color="008000"/>
            </w:tcBorders>
            <w:shd w:val="clear" w:color="auto" w:fill="FFFFFF"/>
          </w:tcPr>
          <w:p w14:paraId="19552DAE" w14:textId="77777777" w:rsidR="001C7F24" w:rsidRPr="00B57B36" w:rsidRDefault="001C7F24" w:rsidP="00F429AF">
            <w:pPr>
              <w:pStyle w:val="CETBodytext"/>
              <w:jc w:val="center"/>
              <w:rPr>
                <w:lang w:val="en-GB"/>
              </w:rPr>
            </w:pPr>
            <w:r w:rsidRPr="00B730C7">
              <w:t>Sample</w:t>
            </w:r>
          </w:p>
        </w:tc>
        <w:tc>
          <w:tcPr>
            <w:tcW w:w="2552" w:type="dxa"/>
            <w:tcBorders>
              <w:top w:val="single" w:sz="12" w:space="0" w:color="008000"/>
              <w:bottom w:val="single" w:sz="6" w:space="0" w:color="008000"/>
            </w:tcBorders>
            <w:shd w:val="clear" w:color="auto" w:fill="FFFFFF"/>
          </w:tcPr>
          <w:p w14:paraId="73C6296D" w14:textId="77777777" w:rsidR="001C7F24" w:rsidRPr="00B57B36" w:rsidRDefault="001C7F24" w:rsidP="00F429AF">
            <w:pPr>
              <w:pStyle w:val="CETBodytext"/>
              <w:jc w:val="center"/>
              <w:rPr>
                <w:lang w:val="en-GB"/>
              </w:rPr>
            </w:pPr>
            <w:r w:rsidRPr="00B730C7">
              <w:t>First-step pyrolysis yield (%)</w:t>
            </w:r>
          </w:p>
        </w:tc>
        <w:tc>
          <w:tcPr>
            <w:tcW w:w="2977" w:type="dxa"/>
            <w:tcBorders>
              <w:top w:val="single" w:sz="12" w:space="0" w:color="008000"/>
              <w:bottom w:val="single" w:sz="6" w:space="0" w:color="008000"/>
            </w:tcBorders>
            <w:shd w:val="clear" w:color="auto" w:fill="FFFFFF"/>
          </w:tcPr>
          <w:p w14:paraId="143023CD" w14:textId="77777777" w:rsidR="001C7F24" w:rsidRPr="00B57B36" w:rsidRDefault="001C7F24" w:rsidP="00F429AF">
            <w:pPr>
              <w:pStyle w:val="CETBodytext"/>
              <w:jc w:val="center"/>
              <w:rPr>
                <w:lang w:val="en-GB"/>
              </w:rPr>
            </w:pPr>
            <w:r w:rsidRPr="00B730C7">
              <w:t>Second-step pyrolysis yield (%)</w:t>
            </w:r>
          </w:p>
        </w:tc>
        <w:tc>
          <w:tcPr>
            <w:tcW w:w="2126" w:type="dxa"/>
            <w:tcBorders>
              <w:top w:val="single" w:sz="12" w:space="0" w:color="008000"/>
              <w:bottom w:val="single" w:sz="6" w:space="0" w:color="008000"/>
            </w:tcBorders>
            <w:shd w:val="clear" w:color="auto" w:fill="FFFFFF"/>
          </w:tcPr>
          <w:p w14:paraId="15DA23DA" w14:textId="77777777" w:rsidR="001C7F24" w:rsidRPr="00B57B36" w:rsidRDefault="001C7F24" w:rsidP="00F429AF">
            <w:pPr>
              <w:pStyle w:val="CETBodytext"/>
              <w:ind w:right="-1"/>
              <w:jc w:val="center"/>
              <w:rPr>
                <w:rFonts w:cs="Arial"/>
                <w:szCs w:val="18"/>
                <w:lang w:val="en-GB"/>
              </w:rPr>
            </w:pPr>
            <w:r w:rsidRPr="00B730C7">
              <w:t>Process yield (%)</w:t>
            </w:r>
          </w:p>
        </w:tc>
      </w:tr>
      <w:tr w:rsidR="001C7F24" w:rsidRPr="00B57B36" w14:paraId="1F0A3409" w14:textId="77777777" w:rsidTr="00F429AF">
        <w:tc>
          <w:tcPr>
            <w:tcW w:w="1134" w:type="dxa"/>
            <w:shd w:val="clear" w:color="auto" w:fill="FFFFFF"/>
          </w:tcPr>
          <w:p w14:paraId="07815B5C" w14:textId="77777777" w:rsidR="001C7F24" w:rsidRPr="00B57B36" w:rsidRDefault="001C7F24" w:rsidP="00F429AF">
            <w:pPr>
              <w:pStyle w:val="CETBodytext"/>
              <w:ind w:right="-1"/>
              <w:jc w:val="center"/>
              <w:rPr>
                <w:rFonts w:cs="Arial"/>
                <w:szCs w:val="18"/>
                <w:lang w:val="en-GB"/>
              </w:rPr>
            </w:pPr>
            <w:r w:rsidRPr="005B5F88">
              <w:t>AAC</w:t>
            </w:r>
          </w:p>
        </w:tc>
        <w:tc>
          <w:tcPr>
            <w:tcW w:w="2552" w:type="dxa"/>
            <w:shd w:val="clear" w:color="auto" w:fill="FFFFFF"/>
          </w:tcPr>
          <w:p w14:paraId="089A84DC" w14:textId="77777777" w:rsidR="001C7F24" w:rsidRPr="00B57B36" w:rsidRDefault="001C7F24" w:rsidP="00F429AF">
            <w:pPr>
              <w:pStyle w:val="CETBodytext"/>
              <w:ind w:right="-1"/>
              <w:jc w:val="center"/>
              <w:rPr>
                <w:rFonts w:cs="Arial"/>
                <w:szCs w:val="18"/>
                <w:lang w:val="en-GB"/>
              </w:rPr>
            </w:pPr>
            <w:r w:rsidRPr="005B5F88">
              <w:t>10.85 ± 0.28</w:t>
            </w:r>
          </w:p>
        </w:tc>
        <w:tc>
          <w:tcPr>
            <w:tcW w:w="2977" w:type="dxa"/>
            <w:shd w:val="clear" w:color="auto" w:fill="FFFFFF"/>
          </w:tcPr>
          <w:p w14:paraId="2AE79463" w14:textId="77777777" w:rsidR="001C7F24" w:rsidRPr="00B57B36" w:rsidRDefault="001C7F24" w:rsidP="00F429AF">
            <w:pPr>
              <w:pStyle w:val="CETBodytext"/>
              <w:ind w:right="-1"/>
              <w:jc w:val="center"/>
              <w:rPr>
                <w:rFonts w:cs="Arial"/>
                <w:szCs w:val="18"/>
                <w:lang w:val="en-GB"/>
              </w:rPr>
            </w:pPr>
            <w:r w:rsidRPr="005B5F88">
              <w:t>59.70 ± 0.72</w:t>
            </w:r>
          </w:p>
        </w:tc>
        <w:tc>
          <w:tcPr>
            <w:tcW w:w="2126" w:type="dxa"/>
            <w:shd w:val="clear" w:color="auto" w:fill="FFFFFF"/>
          </w:tcPr>
          <w:p w14:paraId="113450BE" w14:textId="77777777" w:rsidR="001C7F24" w:rsidRPr="00B57B36" w:rsidRDefault="001C7F24" w:rsidP="00F429AF">
            <w:pPr>
              <w:pStyle w:val="CETBodytext"/>
              <w:ind w:right="-1"/>
              <w:jc w:val="center"/>
              <w:rPr>
                <w:rFonts w:cs="Arial"/>
                <w:szCs w:val="18"/>
                <w:lang w:val="en-GB"/>
              </w:rPr>
            </w:pPr>
            <w:r w:rsidRPr="005B5F88">
              <w:t>8.75 ± 0.31</w:t>
            </w:r>
          </w:p>
        </w:tc>
      </w:tr>
    </w:tbl>
    <w:p w14:paraId="3F2BAE17" w14:textId="7FE870C8" w:rsidR="000060B9" w:rsidRPr="00227A00" w:rsidRDefault="007702E1" w:rsidP="00F41119">
      <w:pPr>
        <w:pStyle w:val="CETHeading1"/>
        <w:numPr>
          <w:ilvl w:val="1"/>
          <w:numId w:val="26"/>
        </w:numPr>
        <w:rPr>
          <w:rFonts w:cs="Arial"/>
          <w:sz w:val="18"/>
          <w:szCs w:val="18"/>
        </w:rPr>
      </w:pPr>
      <w:r w:rsidRPr="00227A00">
        <w:rPr>
          <w:rFonts w:cs="Arial"/>
          <w:sz w:val="18"/>
          <w:szCs w:val="18"/>
        </w:rPr>
        <w:t>Synthesis of the Co</w:t>
      </w:r>
      <w:r w:rsidRPr="00227A00">
        <w:rPr>
          <w:rFonts w:cs="Arial"/>
          <w:sz w:val="18"/>
          <w:szCs w:val="18"/>
          <w:vertAlign w:val="subscript"/>
        </w:rPr>
        <w:t>6</w:t>
      </w:r>
      <w:r w:rsidRPr="00227A00">
        <w:rPr>
          <w:rFonts w:cs="Arial"/>
          <w:sz w:val="18"/>
          <w:szCs w:val="18"/>
        </w:rPr>
        <w:t>/MnO</w:t>
      </w:r>
      <w:r w:rsidR="0069335F">
        <w:rPr>
          <w:rFonts w:cs="Arial"/>
          <w:sz w:val="18"/>
          <w:szCs w:val="18"/>
          <w:vertAlign w:val="subscript"/>
        </w:rPr>
        <w:t>x</w:t>
      </w:r>
      <w:r w:rsidRPr="00227A00">
        <w:rPr>
          <w:rFonts w:cs="Arial"/>
          <w:sz w:val="18"/>
          <w:szCs w:val="18"/>
        </w:rPr>
        <w:t xml:space="preserve"> bimetallic catalyst</w:t>
      </w:r>
    </w:p>
    <w:p w14:paraId="5B908910" w14:textId="2F72DD6A" w:rsidR="007702E1" w:rsidRPr="00227A00" w:rsidRDefault="007702E1" w:rsidP="00F41119">
      <w:pPr>
        <w:pStyle w:val="CETHeading1"/>
        <w:numPr>
          <w:ilvl w:val="0"/>
          <w:numId w:val="0"/>
        </w:numPr>
        <w:spacing w:before="0"/>
        <w:jc w:val="both"/>
        <w:rPr>
          <w:rFonts w:cs="Arial"/>
          <w:sz w:val="18"/>
          <w:szCs w:val="18"/>
        </w:rPr>
      </w:pPr>
      <w:proofErr w:type="gramStart"/>
      <w:r w:rsidRPr="00227A00">
        <w:rPr>
          <w:rFonts w:cs="Arial"/>
          <w:b w:val="0"/>
          <w:sz w:val="18"/>
          <w:szCs w:val="18"/>
        </w:rPr>
        <w:t>Co(</w:t>
      </w:r>
      <w:proofErr w:type="gramEnd"/>
      <w:r w:rsidRPr="00227A00">
        <w:rPr>
          <w:rFonts w:cs="Arial"/>
          <w:b w:val="0"/>
          <w:sz w:val="18"/>
          <w:szCs w:val="18"/>
        </w:rPr>
        <w:t>NO</w:t>
      </w:r>
      <w:r w:rsidR="00D72049" w:rsidRPr="00227A00">
        <w:rPr>
          <w:rFonts w:cs="Arial"/>
          <w:b w:val="0"/>
          <w:sz w:val="18"/>
          <w:szCs w:val="18"/>
          <w:vertAlign w:val="subscript"/>
        </w:rPr>
        <w:t>3</w:t>
      </w:r>
      <w:r w:rsidR="00D72049" w:rsidRPr="00227A00">
        <w:rPr>
          <w:rFonts w:cs="Arial"/>
          <w:b w:val="0"/>
          <w:sz w:val="18"/>
          <w:szCs w:val="18"/>
        </w:rPr>
        <w:t>)</w:t>
      </w:r>
      <w:r w:rsidR="00D72049" w:rsidRPr="00227A00">
        <w:rPr>
          <w:rFonts w:cs="Arial"/>
          <w:b w:val="0"/>
          <w:sz w:val="18"/>
          <w:szCs w:val="18"/>
          <w:vertAlign w:val="subscript"/>
        </w:rPr>
        <w:t>2</w:t>
      </w:r>
      <w:r w:rsidRPr="00227A00">
        <w:rPr>
          <w:rFonts w:cs="Arial"/>
          <w:b w:val="0"/>
          <w:sz w:val="18"/>
          <w:szCs w:val="18"/>
        </w:rPr>
        <w:t>·6</w:t>
      </w:r>
      <w:r w:rsidR="00D72049" w:rsidRPr="00227A00">
        <w:rPr>
          <w:rFonts w:cs="Arial"/>
          <w:b w:val="0"/>
          <w:sz w:val="18"/>
          <w:szCs w:val="18"/>
        </w:rPr>
        <w:t>H</w:t>
      </w:r>
      <w:r w:rsidR="00D72049" w:rsidRPr="00227A00">
        <w:rPr>
          <w:rFonts w:cs="Arial"/>
          <w:b w:val="0"/>
          <w:sz w:val="18"/>
          <w:szCs w:val="18"/>
          <w:vertAlign w:val="subscript"/>
        </w:rPr>
        <w:t>2</w:t>
      </w:r>
      <w:r w:rsidRPr="00227A00">
        <w:rPr>
          <w:rFonts w:cs="Arial"/>
          <w:b w:val="0"/>
          <w:sz w:val="18"/>
          <w:szCs w:val="18"/>
        </w:rPr>
        <w:t xml:space="preserve">O </w:t>
      </w:r>
      <w:r w:rsidR="00BC1DF5" w:rsidRPr="00227A00">
        <w:rPr>
          <w:rFonts w:cs="Arial"/>
          <w:b w:val="0"/>
          <w:sz w:val="18"/>
          <w:szCs w:val="18"/>
        </w:rPr>
        <w:t xml:space="preserve">(0.30 M) </w:t>
      </w:r>
      <w:r w:rsidRPr="00227A00">
        <w:rPr>
          <w:rFonts w:cs="Arial"/>
          <w:b w:val="0"/>
          <w:sz w:val="18"/>
          <w:szCs w:val="18"/>
        </w:rPr>
        <w:t>and Mn (NO</w:t>
      </w:r>
      <w:r w:rsidRPr="00227A00">
        <w:rPr>
          <w:rFonts w:cs="Arial"/>
          <w:b w:val="0"/>
          <w:sz w:val="18"/>
          <w:szCs w:val="18"/>
          <w:vertAlign w:val="subscript"/>
        </w:rPr>
        <w:t>3</w:t>
      </w:r>
      <w:r w:rsidRPr="00227A00">
        <w:rPr>
          <w:rFonts w:cs="Arial"/>
          <w:b w:val="0"/>
          <w:sz w:val="18"/>
          <w:szCs w:val="18"/>
        </w:rPr>
        <w:t>)</w:t>
      </w:r>
      <w:r w:rsidRPr="00227A00">
        <w:rPr>
          <w:rFonts w:cs="Arial"/>
          <w:b w:val="0"/>
          <w:sz w:val="18"/>
          <w:szCs w:val="18"/>
          <w:vertAlign w:val="subscript"/>
        </w:rPr>
        <w:t>2</w:t>
      </w:r>
      <w:r w:rsidRPr="00227A00">
        <w:rPr>
          <w:rFonts w:cs="Arial"/>
          <w:b w:val="0"/>
          <w:sz w:val="18"/>
          <w:szCs w:val="18"/>
        </w:rPr>
        <w:t>·4H</w:t>
      </w:r>
      <w:r w:rsidRPr="00227A00">
        <w:rPr>
          <w:rFonts w:cs="Arial"/>
          <w:b w:val="0"/>
          <w:sz w:val="18"/>
          <w:szCs w:val="18"/>
          <w:vertAlign w:val="subscript"/>
        </w:rPr>
        <w:t>2</w:t>
      </w:r>
      <w:r w:rsidRPr="00227A00">
        <w:rPr>
          <w:rFonts w:cs="Arial"/>
          <w:b w:val="0"/>
          <w:sz w:val="18"/>
          <w:szCs w:val="18"/>
        </w:rPr>
        <w:t xml:space="preserve">O </w:t>
      </w:r>
      <w:r w:rsidR="00BC1DF5" w:rsidRPr="00227A00">
        <w:rPr>
          <w:rFonts w:cs="Arial"/>
          <w:b w:val="0"/>
          <w:sz w:val="18"/>
          <w:szCs w:val="18"/>
        </w:rPr>
        <w:t xml:space="preserve">(0.05 M) </w:t>
      </w:r>
      <w:r w:rsidRPr="00227A00">
        <w:rPr>
          <w:rFonts w:cs="Arial"/>
          <w:b w:val="0"/>
          <w:sz w:val="18"/>
          <w:szCs w:val="18"/>
        </w:rPr>
        <w:t>were dissolved in 40 mL of distilled water, then di</w:t>
      </w:r>
      <w:r w:rsidR="009C470A" w:rsidRPr="00227A00">
        <w:rPr>
          <w:rFonts w:cs="Arial"/>
          <w:b w:val="0"/>
          <w:sz w:val="18"/>
          <w:szCs w:val="18"/>
        </w:rPr>
        <w:t>luted</w:t>
      </w:r>
      <w:r w:rsidRPr="00227A00">
        <w:rPr>
          <w:rFonts w:cs="Arial"/>
          <w:b w:val="0"/>
          <w:sz w:val="18"/>
          <w:szCs w:val="18"/>
        </w:rPr>
        <w:t xml:space="preserve"> in 100 mL of 0.5 M Na</w:t>
      </w:r>
      <w:r w:rsidRPr="00227A00">
        <w:rPr>
          <w:rFonts w:cs="Arial"/>
          <w:b w:val="0"/>
          <w:sz w:val="18"/>
          <w:szCs w:val="18"/>
          <w:vertAlign w:val="subscript"/>
        </w:rPr>
        <w:t>2</w:t>
      </w:r>
      <w:r w:rsidRPr="00227A00">
        <w:rPr>
          <w:rFonts w:cs="Arial"/>
          <w:b w:val="0"/>
          <w:sz w:val="18"/>
          <w:szCs w:val="18"/>
        </w:rPr>
        <w:t>CO</w:t>
      </w:r>
      <w:r w:rsidRPr="00227A00">
        <w:rPr>
          <w:rFonts w:cs="Arial"/>
          <w:b w:val="0"/>
          <w:sz w:val="18"/>
          <w:szCs w:val="18"/>
          <w:vertAlign w:val="subscript"/>
        </w:rPr>
        <w:t>3</w:t>
      </w:r>
      <w:r w:rsidRPr="00227A00">
        <w:rPr>
          <w:rFonts w:cs="Arial"/>
          <w:b w:val="0"/>
          <w:sz w:val="18"/>
          <w:szCs w:val="18"/>
        </w:rPr>
        <w:t xml:space="preserve"> with constant stirring, followed by centrifugation and washing of the solid with 500 mL of distilled water, with subsequent drying at 110 °C for 10 h</w:t>
      </w:r>
      <w:r w:rsidR="00521697" w:rsidRPr="00227A00">
        <w:rPr>
          <w:rFonts w:cs="Arial"/>
          <w:b w:val="0"/>
          <w:sz w:val="18"/>
          <w:szCs w:val="18"/>
        </w:rPr>
        <w:t>,</w:t>
      </w:r>
      <w:r w:rsidRPr="00227A00">
        <w:rPr>
          <w:rFonts w:cs="Arial"/>
          <w:b w:val="0"/>
          <w:sz w:val="18"/>
          <w:szCs w:val="18"/>
        </w:rPr>
        <w:t xml:space="preserve"> calcination in a muffle furnace at 400 °C for 3 h</w:t>
      </w:r>
      <w:r w:rsidR="00521697" w:rsidRPr="00227A00">
        <w:rPr>
          <w:rFonts w:cs="Arial"/>
          <w:b w:val="0"/>
          <w:sz w:val="18"/>
          <w:szCs w:val="18"/>
        </w:rPr>
        <w:t xml:space="preserve"> and reduction under a hydrogen</w:t>
      </w:r>
      <w:r w:rsidR="00D75CD9" w:rsidRPr="00227A00">
        <w:rPr>
          <w:rFonts w:cs="Arial"/>
          <w:b w:val="0"/>
          <w:sz w:val="18"/>
          <w:szCs w:val="18"/>
        </w:rPr>
        <w:t xml:space="preserve"> (H</w:t>
      </w:r>
      <w:r w:rsidR="00D75CD9" w:rsidRPr="00227A00">
        <w:rPr>
          <w:rFonts w:cs="Arial"/>
          <w:b w:val="0"/>
          <w:sz w:val="18"/>
          <w:szCs w:val="18"/>
          <w:vertAlign w:val="subscript"/>
        </w:rPr>
        <w:t>2</w:t>
      </w:r>
      <w:r w:rsidR="00D75CD9" w:rsidRPr="00227A00">
        <w:rPr>
          <w:rFonts w:cs="Arial"/>
          <w:b w:val="0"/>
          <w:sz w:val="18"/>
          <w:szCs w:val="18"/>
        </w:rPr>
        <w:t>)</w:t>
      </w:r>
      <w:r w:rsidR="00521697" w:rsidRPr="00227A00">
        <w:rPr>
          <w:rFonts w:cs="Arial"/>
          <w:b w:val="0"/>
          <w:sz w:val="18"/>
          <w:szCs w:val="18"/>
        </w:rPr>
        <w:t xml:space="preserve"> flow at 400 °C for 1 h</w:t>
      </w:r>
      <w:r w:rsidRPr="00227A00">
        <w:rPr>
          <w:rFonts w:cs="Arial"/>
          <w:b w:val="0"/>
          <w:sz w:val="18"/>
          <w:szCs w:val="18"/>
        </w:rPr>
        <w:t xml:space="preserve">. Finally, </w:t>
      </w:r>
      <w:r w:rsidR="00F41119" w:rsidRPr="00227A00">
        <w:rPr>
          <w:rFonts w:cs="Arial"/>
          <w:b w:val="0"/>
          <w:sz w:val="18"/>
          <w:szCs w:val="18"/>
        </w:rPr>
        <w:t>the catalyst was passivated in a nitrogen (N</w:t>
      </w:r>
      <w:r w:rsidR="00F41119" w:rsidRPr="00227A00">
        <w:rPr>
          <w:rFonts w:cs="Arial"/>
          <w:b w:val="0"/>
          <w:sz w:val="18"/>
          <w:szCs w:val="18"/>
          <w:vertAlign w:val="subscript"/>
        </w:rPr>
        <w:t>2</w:t>
      </w:r>
      <w:r w:rsidR="00F41119" w:rsidRPr="00227A00">
        <w:rPr>
          <w:rFonts w:cs="Arial"/>
          <w:b w:val="0"/>
          <w:sz w:val="18"/>
          <w:szCs w:val="18"/>
        </w:rPr>
        <w:t xml:space="preserve">) atmosphere at room temperature for 30 min </w:t>
      </w:r>
      <w:r w:rsidR="000060B9" w:rsidRPr="00227A00">
        <w:rPr>
          <w:rFonts w:cs="Arial"/>
          <w:b w:val="0"/>
          <w:sz w:val="18"/>
          <w:szCs w:val="18"/>
        </w:rPr>
        <w:t>(</w:t>
      </w:r>
      <w:r w:rsidR="00161C22" w:rsidRPr="00227A00">
        <w:rPr>
          <w:rFonts w:cs="Arial"/>
          <w:b w:val="0"/>
          <w:sz w:val="18"/>
          <w:szCs w:val="18"/>
        </w:rPr>
        <w:t>He et al.</w:t>
      </w:r>
      <w:r w:rsidR="000060B9" w:rsidRPr="00227A00">
        <w:rPr>
          <w:rFonts w:cs="Arial"/>
          <w:b w:val="0"/>
          <w:sz w:val="18"/>
          <w:szCs w:val="18"/>
        </w:rPr>
        <w:t xml:space="preserve">, </w:t>
      </w:r>
      <w:r w:rsidR="00161C22" w:rsidRPr="00227A00">
        <w:rPr>
          <w:rFonts w:cs="Arial"/>
          <w:b w:val="0"/>
          <w:sz w:val="18"/>
          <w:szCs w:val="18"/>
        </w:rPr>
        <w:t>2019).</w:t>
      </w:r>
    </w:p>
    <w:p w14:paraId="314F8367" w14:textId="74E3598F" w:rsidR="000060B9" w:rsidRPr="00227A00" w:rsidRDefault="00F72C27" w:rsidP="00F41119">
      <w:pPr>
        <w:pStyle w:val="CETHeading1"/>
        <w:numPr>
          <w:ilvl w:val="1"/>
          <w:numId w:val="26"/>
        </w:numPr>
        <w:rPr>
          <w:rFonts w:cs="Arial"/>
          <w:sz w:val="18"/>
          <w:szCs w:val="18"/>
        </w:rPr>
      </w:pPr>
      <w:r w:rsidRPr="00227A00">
        <w:rPr>
          <w:rFonts w:cs="Arial"/>
          <w:sz w:val="18"/>
          <w:szCs w:val="18"/>
        </w:rPr>
        <w:t>Preparation of AAC/Co</w:t>
      </w:r>
      <w:r w:rsidRPr="00227A00">
        <w:rPr>
          <w:rFonts w:cs="Arial"/>
          <w:sz w:val="18"/>
          <w:szCs w:val="18"/>
          <w:vertAlign w:val="subscript"/>
        </w:rPr>
        <w:t>6</w:t>
      </w:r>
      <w:r w:rsidRPr="00227A00">
        <w:rPr>
          <w:rFonts w:cs="Arial"/>
          <w:sz w:val="18"/>
          <w:szCs w:val="18"/>
        </w:rPr>
        <w:t>/MnO</w:t>
      </w:r>
      <w:r w:rsidR="0069335F">
        <w:rPr>
          <w:rFonts w:cs="Arial"/>
          <w:sz w:val="18"/>
          <w:szCs w:val="18"/>
          <w:vertAlign w:val="subscript"/>
        </w:rPr>
        <w:t>x</w:t>
      </w:r>
      <w:r w:rsidRPr="00227A00">
        <w:rPr>
          <w:rFonts w:cs="Arial"/>
          <w:sz w:val="18"/>
          <w:szCs w:val="18"/>
          <w:vertAlign w:val="subscript"/>
        </w:rPr>
        <w:t xml:space="preserve"> </w:t>
      </w:r>
      <w:r w:rsidRPr="00227A00">
        <w:rPr>
          <w:rFonts w:cs="Arial"/>
          <w:sz w:val="18"/>
          <w:szCs w:val="18"/>
        </w:rPr>
        <w:t>catalyst</w:t>
      </w:r>
    </w:p>
    <w:p w14:paraId="61F2629A" w14:textId="562168A0" w:rsidR="007702E1" w:rsidRPr="00227A00" w:rsidRDefault="004E7C6A" w:rsidP="00E80CEA">
      <w:pPr>
        <w:pStyle w:val="CETHeading1"/>
        <w:numPr>
          <w:ilvl w:val="0"/>
          <w:numId w:val="0"/>
        </w:numPr>
        <w:spacing w:before="0"/>
        <w:jc w:val="both"/>
        <w:rPr>
          <w:rFonts w:cs="Arial"/>
          <w:sz w:val="18"/>
          <w:szCs w:val="18"/>
        </w:rPr>
      </w:pPr>
      <w:r>
        <w:rPr>
          <w:rFonts w:cs="Arial"/>
          <w:b w:val="0"/>
          <w:sz w:val="18"/>
          <w:szCs w:val="18"/>
        </w:rPr>
        <w:t>The Co</w:t>
      </w:r>
      <w:r w:rsidRPr="004E7C6A">
        <w:rPr>
          <w:rFonts w:cs="Arial"/>
          <w:b w:val="0"/>
          <w:sz w:val="18"/>
          <w:szCs w:val="18"/>
          <w:vertAlign w:val="subscript"/>
        </w:rPr>
        <w:t>6</w:t>
      </w:r>
      <w:r>
        <w:rPr>
          <w:rFonts w:cs="Arial"/>
          <w:b w:val="0"/>
          <w:sz w:val="18"/>
          <w:szCs w:val="18"/>
        </w:rPr>
        <w:t>/MnO</w:t>
      </w:r>
      <w:r w:rsidRPr="004E7C6A">
        <w:rPr>
          <w:rFonts w:cs="Arial"/>
          <w:b w:val="0"/>
          <w:sz w:val="18"/>
          <w:szCs w:val="18"/>
          <w:vertAlign w:val="subscript"/>
        </w:rPr>
        <w:t>x</w:t>
      </w:r>
      <w:r>
        <w:rPr>
          <w:rFonts w:cs="Arial"/>
          <w:b w:val="0"/>
          <w:sz w:val="18"/>
          <w:szCs w:val="18"/>
        </w:rPr>
        <w:t xml:space="preserve"> catalyst was impregnated with AAC to a concentration of </w:t>
      </w:r>
      <w:r w:rsidR="002D59CD" w:rsidRPr="00227A00">
        <w:rPr>
          <w:rFonts w:cs="Arial"/>
          <w:b w:val="0"/>
          <w:sz w:val="18"/>
          <w:szCs w:val="18"/>
        </w:rPr>
        <w:t xml:space="preserve">5,000 mg/L, </w:t>
      </w:r>
      <w:r w:rsidR="000F2DDD" w:rsidRPr="00227A00">
        <w:rPr>
          <w:rFonts w:cs="Arial"/>
          <w:b w:val="0"/>
          <w:sz w:val="18"/>
          <w:szCs w:val="18"/>
        </w:rPr>
        <w:t>using ethanol as the</w:t>
      </w:r>
      <w:r w:rsidR="007702E1" w:rsidRPr="00227A00">
        <w:rPr>
          <w:rFonts w:cs="Arial"/>
          <w:b w:val="0"/>
          <w:sz w:val="18"/>
          <w:szCs w:val="18"/>
        </w:rPr>
        <w:t xml:space="preserve"> dispersion medium. First, the mixture was prepared by immersing the catalyst in 60 mL of ethanol </w:t>
      </w:r>
      <w:r w:rsidR="00C83A35" w:rsidRPr="00227A00">
        <w:rPr>
          <w:rFonts w:cs="Arial"/>
          <w:b w:val="0"/>
          <w:sz w:val="18"/>
          <w:szCs w:val="18"/>
        </w:rPr>
        <w:t xml:space="preserve">and sonicated at room temperature for 1 h to ensure homogeneous dispersion. </w:t>
      </w:r>
      <w:r w:rsidR="00AA50BD" w:rsidRPr="00227A00">
        <w:rPr>
          <w:rFonts w:cs="Arial"/>
          <w:b w:val="0"/>
          <w:sz w:val="18"/>
          <w:szCs w:val="18"/>
        </w:rPr>
        <w:t xml:space="preserve">Subsequently, </w:t>
      </w:r>
      <w:r w:rsidR="007702E1" w:rsidRPr="00227A00">
        <w:rPr>
          <w:rFonts w:cs="Arial"/>
          <w:b w:val="0"/>
          <w:sz w:val="18"/>
          <w:szCs w:val="18"/>
        </w:rPr>
        <w:t xml:space="preserve">4 g of </w:t>
      </w:r>
      <w:r w:rsidR="006102F8" w:rsidRPr="00227A00">
        <w:rPr>
          <w:rFonts w:cs="Arial"/>
          <w:b w:val="0"/>
          <w:sz w:val="18"/>
          <w:szCs w:val="18"/>
        </w:rPr>
        <w:t xml:space="preserve">AAC was </w:t>
      </w:r>
      <w:r w:rsidR="00262475" w:rsidRPr="00227A00">
        <w:rPr>
          <w:rFonts w:cs="Arial"/>
          <w:b w:val="0"/>
          <w:sz w:val="18"/>
          <w:szCs w:val="18"/>
        </w:rPr>
        <w:t>incorporated</w:t>
      </w:r>
      <w:r w:rsidR="007702E1" w:rsidRPr="00227A00">
        <w:rPr>
          <w:rFonts w:cs="Arial"/>
          <w:b w:val="0"/>
          <w:sz w:val="18"/>
          <w:szCs w:val="18"/>
        </w:rPr>
        <w:t xml:space="preserve"> into the catalyst-ethanol solution</w:t>
      </w:r>
      <w:r w:rsidR="000F2DDD" w:rsidRPr="00227A00">
        <w:rPr>
          <w:rFonts w:cs="Arial"/>
          <w:b w:val="0"/>
          <w:sz w:val="18"/>
          <w:szCs w:val="18"/>
        </w:rPr>
        <w:t>,</w:t>
      </w:r>
      <w:r w:rsidR="00956D1C" w:rsidRPr="00227A00">
        <w:rPr>
          <w:rFonts w:cs="Arial"/>
          <w:b w:val="0"/>
          <w:sz w:val="18"/>
          <w:szCs w:val="18"/>
        </w:rPr>
        <w:t xml:space="preserve"> </w:t>
      </w:r>
      <w:r w:rsidR="00410845" w:rsidRPr="00227A00">
        <w:rPr>
          <w:rFonts w:cs="Arial"/>
          <w:b w:val="0"/>
          <w:sz w:val="18"/>
          <w:szCs w:val="18"/>
        </w:rPr>
        <w:t>followed by an additional 60 minutes of sonication to</w:t>
      </w:r>
      <w:r w:rsidR="004646C2" w:rsidRPr="00227A00">
        <w:rPr>
          <w:rFonts w:cs="Arial"/>
          <w:b w:val="0"/>
          <w:sz w:val="18"/>
          <w:szCs w:val="18"/>
        </w:rPr>
        <w:t xml:space="preserve"> </w:t>
      </w:r>
      <w:r w:rsidR="00410845" w:rsidRPr="00227A00">
        <w:rPr>
          <w:rFonts w:cs="Arial"/>
          <w:b w:val="0"/>
          <w:sz w:val="18"/>
          <w:szCs w:val="18"/>
        </w:rPr>
        <w:t>deposit</w:t>
      </w:r>
      <w:r w:rsidR="004646C2" w:rsidRPr="00227A00">
        <w:rPr>
          <w:rFonts w:cs="Arial"/>
          <w:b w:val="0"/>
          <w:sz w:val="18"/>
          <w:szCs w:val="18"/>
        </w:rPr>
        <w:t xml:space="preserve"> the catalyst </w:t>
      </w:r>
      <w:r w:rsidR="000F2DDD" w:rsidRPr="00227A00">
        <w:rPr>
          <w:rFonts w:cs="Arial"/>
          <w:b w:val="0"/>
          <w:sz w:val="18"/>
          <w:szCs w:val="18"/>
        </w:rPr>
        <w:t>within the activated carbon's</w:t>
      </w:r>
      <w:r w:rsidR="007702E1" w:rsidRPr="00227A00">
        <w:rPr>
          <w:rFonts w:cs="Arial"/>
          <w:b w:val="0"/>
          <w:sz w:val="18"/>
          <w:szCs w:val="18"/>
        </w:rPr>
        <w:t xml:space="preserve"> porous structure. This mixture was refluxed for 2 h and </w:t>
      </w:r>
      <w:r w:rsidR="000F2DDD" w:rsidRPr="00227A00">
        <w:rPr>
          <w:rFonts w:cs="Arial"/>
          <w:b w:val="0"/>
          <w:sz w:val="18"/>
          <w:szCs w:val="18"/>
        </w:rPr>
        <w:t xml:space="preserve">then vacuum-filtered with 500 mL </w:t>
      </w:r>
      <w:r w:rsidR="000F2DDD" w:rsidRPr="00227A00">
        <w:rPr>
          <w:rFonts w:cs="Arial"/>
          <w:b w:val="0"/>
          <w:sz w:val="18"/>
          <w:szCs w:val="18"/>
        </w:rPr>
        <w:lastRenderedPageBreak/>
        <w:t>of a 9:1 water/ethanol solution</w:t>
      </w:r>
      <w:r w:rsidR="007702E1" w:rsidRPr="00227A00">
        <w:rPr>
          <w:rFonts w:cs="Arial"/>
          <w:b w:val="0"/>
          <w:sz w:val="18"/>
          <w:szCs w:val="18"/>
        </w:rPr>
        <w:t xml:space="preserve">. As a final step, the sample was dried for 3 h at 110 °C to </w:t>
      </w:r>
      <w:r w:rsidR="002E1926" w:rsidRPr="00227A00">
        <w:rPr>
          <w:rFonts w:cs="Arial"/>
          <w:b w:val="0"/>
          <w:sz w:val="18"/>
          <w:szCs w:val="18"/>
        </w:rPr>
        <w:t>eliminate residual solvent and ensure material stability</w:t>
      </w:r>
      <w:r w:rsidR="005C3230" w:rsidRPr="00227A00">
        <w:rPr>
          <w:rFonts w:cs="Arial"/>
          <w:b w:val="0"/>
          <w:sz w:val="18"/>
          <w:szCs w:val="18"/>
        </w:rPr>
        <w:t xml:space="preserve"> (Le</w:t>
      </w:r>
      <w:r w:rsidR="0058181B">
        <w:rPr>
          <w:rFonts w:cs="Arial"/>
          <w:b w:val="0"/>
          <w:sz w:val="18"/>
          <w:szCs w:val="18"/>
        </w:rPr>
        <w:t>ó</w:t>
      </w:r>
      <w:r w:rsidR="005C3230" w:rsidRPr="00227A00">
        <w:rPr>
          <w:rFonts w:cs="Arial"/>
          <w:b w:val="0"/>
          <w:sz w:val="18"/>
          <w:szCs w:val="18"/>
        </w:rPr>
        <w:t xml:space="preserve">n et al., </w:t>
      </w:r>
      <w:r w:rsidR="00A50905" w:rsidRPr="00227A00">
        <w:rPr>
          <w:rFonts w:cs="Arial"/>
          <w:b w:val="0"/>
          <w:sz w:val="18"/>
          <w:szCs w:val="18"/>
        </w:rPr>
        <w:t>2023)</w:t>
      </w:r>
      <w:r w:rsidR="002E1926" w:rsidRPr="00227A00">
        <w:rPr>
          <w:rFonts w:cs="Arial"/>
          <w:b w:val="0"/>
          <w:sz w:val="18"/>
          <w:szCs w:val="18"/>
        </w:rPr>
        <w:t>.</w:t>
      </w:r>
    </w:p>
    <w:p w14:paraId="78CD5EE2" w14:textId="681A5C41" w:rsidR="007702E1" w:rsidRPr="00227A00" w:rsidRDefault="007702E1" w:rsidP="00F41119">
      <w:pPr>
        <w:pStyle w:val="CETHeading1"/>
        <w:numPr>
          <w:ilvl w:val="1"/>
          <w:numId w:val="26"/>
        </w:numPr>
        <w:rPr>
          <w:rFonts w:cs="Arial"/>
          <w:sz w:val="18"/>
          <w:szCs w:val="18"/>
        </w:rPr>
      </w:pPr>
      <w:r w:rsidRPr="00227A00">
        <w:rPr>
          <w:rFonts w:cs="Arial"/>
          <w:sz w:val="18"/>
          <w:szCs w:val="18"/>
        </w:rPr>
        <w:t>Characterization of precursors</w:t>
      </w:r>
    </w:p>
    <w:p w14:paraId="124FC722" w14:textId="64A4E7E6" w:rsidR="00B60F1C" w:rsidRPr="00227A00" w:rsidRDefault="00D818B7" w:rsidP="00164000">
      <w:pPr>
        <w:pStyle w:val="CETheadingx"/>
        <w:rPr>
          <w:rFonts w:cs="Arial"/>
          <w:szCs w:val="18"/>
        </w:rPr>
      </w:pPr>
      <w:r w:rsidRPr="00227A00">
        <w:rPr>
          <w:rFonts w:cs="Arial"/>
          <w:szCs w:val="18"/>
        </w:rPr>
        <w:t>To</w:t>
      </w:r>
      <w:r w:rsidR="00B27850" w:rsidRPr="00227A00">
        <w:rPr>
          <w:rFonts w:cs="Arial"/>
          <w:szCs w:val="18"/>
        </w:rPr>
        <w:t xml:space="preserve"> </w:t>
      </w:r>
      <w:r w:rsidR="00884B47" w:rsidRPr="00227A00">
        <w:rPr>
          <w:rFonts w:cs="Arial"/>
          <w:szCs w:val="18"/>
        </w:rPr>
        <w:t xml:space="preserve">determine the surface area of the </w:t>
      </w:r>
      <w:r w:rsidR="00627F92" w:rsidRPr="00227A00">
        <w:rPr>
          <w:rFonts w:cs="Arial"/>
          <w:szCs w:val="18"/>
        </w:rPr>
        <w:t>synthesized</w:t>
      </w:r>
      <w:r w:rsidR="007702E1" w:rsidRPr="00227A00">
        <w:rPr>
          <w:rFonts w:cs="Arial"/>
          <w:szCs w:val="18"/>
        </w:rPr>
        <w:t xml:space="preserve"> </w:t>
      </w:r>
      <w:r w:rsidRPr="00227A00">
        <w:rPr>
          <w:rFonts w:cs="Arial"/>
          <w:szCs w:val="18"/>
        </w:rPr>
        <w:t>AAC</w:t>
      </w:r>
      <w:r w:rsidR="00FD7795" w:rsidRPr="00227A00">
        <w:rPr>
          <w:rFonts w:cs="Arial"/>
          <w:szCs w:val="18"/>
        </w:rPr>
        <w:t xml:space="preserve">, a Micromeritics© Vac Prep 061 </w:t>
      </w:r>
      <w:r w:rsidR="00C24717">
        <w:rPr>
          <w:rFonts w:cs="Arial"/>
          <w:szCs w:val="18"/>
        </w:rPr>
        <w:t>equipped with vacuum degassing was used to obtain nitrogen adsorption-desorption isotherms</w:t>
      </w:r>
      <w:r w:rsidR="007702E1" w:rsidRPr="00227A00">
        <w:rPr>
          <w:rFonts w:cs="Arial"/>
          <w:szCs w:val="18"/>
        </w:rPr>
        <w:t xml:space="preserve">. The analysis was performed using the Brunauer-Emmett-Teller (BET) method with </w:t>
      </w:r>
      <w:r w:rsidR="00627F92" w:rsidRPr="00227A00">
        <w:rPr>
          <w:rFonts w:cs="Arial"/>
          <w:szCs w:val="18"/>
        </w:rPr>
        <w:t>specialized</w:t>
      </w:r>
      <w:r w:rsidR="007702E1" w:rsidRPr="00227A00">
        <w:rPr>
          <w:rFonts w:cs="Arial"/>
          <w:szCs w:val="18"/>
        </w:rPr>
        <w:t xml:space="preserve"> 3FLEX V4® software. To characterize the C</w:t>
      </w:r>
      <w:r w:rsidR="00D22BCB" w:rsidRPr="00227A00">
        <w:rPr>
          <w:rFonts w:cs="Arial"/>
          <w:szCs w:val="18"/>
        </w:rPr>
        <w:t>o</w:t>
      </w:r>
      <w:r w:rsidR="00D22BCB" w:rsidRPr="00227A00">
        <w:rPr>
          <w:rFonts w:cs="Arial"/>
          <w:szCs w:val="18"/>
          <w:vertAlign w:val="subscript"/>
        </w:rPr>
        <w:t>6</w:t>
      </w:r>
      <w:r w:rsidR="007702E1" w:rsidRPr="00227A00">
        <w:rPr>
          <w:rFonts w:cs="Arial"/>
          <w:szCs w:val="18"/>
        </w:rPr>
        <w:t>/MnO</w:t>
      </w:r>
      <w:r w:rsidR="00F51836">
        <w:rPr>
          <w:rFonts w:cs="Arial"/>
          <w:szCs w:val="18"/>
          <w:vertAlign w:val="subscript"/>
        </w:rPr>
        <w:t>x</w:t>
      </w:r>
      <w:r w:rsidR="007702E1" w:rsidRPr="00227A00">
        <w:rPr>
          <w:rFonts w:cs="Arial"/>
          <w:szCs w:val="18"/>
        </w:rPr>
        <w:t xml:space="preserve"> catalyst, </w:t>
      </w:r>
      <w:r w:rsidR="00E86304" w:rsidRPr="00227A00">
        <w:rPr>
          <w:rFonts w:cs="Arial"/>
          <w:szCs w:val="18"/>
        </w:rPr>
        <w:t xml:space="preserve">X-ray powder diffraction (XRD) analysis was performed using a Bruker D8 Advance© diffractometer with Bragg-Brentano geometry. </w:t>
      </w:r>
      <w:r w:rsidR="002517F8" w:rsidRPr="00227A00">
        <w:rPr>
          <w:rFonts w:cs="Arial"/>
          <w:szCs w:val="18"/>
        </w:rPr>
        <w:t xml:space="preserve">This </w:t>
      </w:r>
      <w:r w:rsidR="005E675B" w:rsidRPr="00227A00">
        <w:rPr>
          <w:rFonts w:cs="Arial"/>
          <w:szCs w:val="18"/>
        </w:rPr>
        <w:t>diffraction pattern was recorded at room temperature over a 2θ range of 4.00° to 70.00° with a step size of 0.02035° and a counting time of 1.2 seconds per step. Cu Kα radiation (λ = 1.5406 Å) was employed as the X-ray source, operating at 40 kV and 40 mA</w:t>
      </w:r>
      <w:r w:rsidR="007702E1" w:rsidRPr="00227A00">
        <w:rPr>
          <w:rFonts w:cs="Arial"/>
          <w:szCs w:val="18"/>
        </w:rPr>
        <w:t xml:space="preserve">. The three precursors were studied by Raman spectroscopy of the </w:t>
      </w:r>
      <w:r w:rsidR="002517F8" w:rsidRPr="00227A00">
        <w:rPr>
          <w:rFonts w:cs="Arial"/>
          <w:szCs w:val="18"/>
        </w:rPr>
        <w:t>A</w:t>
      </w:r>
      <w:r w:rsidR="007702E1" w:rsidRPr="00227A00">
        <w:rPr>
          <w:rFonts w:cs="Arial"/>
          <w:szCs w:val="18"/>
        </w:rPr>
        <w:t xml:space="preserve">AC, </w:t>
      </w:r>
      <w:r w:rsidR="002517F8" w:rsidRPr="00227A00">
        <w:rPr>
          <w:rFonts w:cs="Arial"/>
          <w:szCs w:val="18"/>
        </w:rPr>
        <w:t>Co</w:t>
      </w:r>
      <w:r w:rsidR="002517F8" w:rsidRPr="00227A00">
        <w:rPr>
          <w:rFonts w:cs="Arial"/>
          <w:szCs w:val="18"/>
          <w:vertAlign w:val="subscript"/>
        </w:rPr>
        <w:t>6</w:t>
      </w:r>
      <w:r w:rsidR="002517F8" w:rsidRPr="00227A00">
        <w:rPr>
          <w:rFonts w:cs="Arial"/>
          <w:szCs w:val="18"/>
        </w:rPr>
        <w:t>/MnO</w:t>
      </w:r>
      <w:r w:rsidR="002517F8" w:rsidRPr="00227A00">
        <w:rPr>
          <w:rFonts w:cs="Arial"/>
          <w:szCs w:val="18"/>
          <w:vertAlign w:val="subscript"/>
        </w:rPr>
        <w:t>x</w:t>
      </w:r>
      <w:r w:rsidR="002517F8" w:rsidRPr="00227A00">
        <w:rPr>
          <w:rFonts w:cs="Arial"/>
          <w:szCs w:val="18"/>
        </w:rPr>
        <w:t xml:space="preserve"> </w:t>
      </w:r>
      <w:r w:rsidR="007702E1" w:rsidRPr="00227A00">
        <w:rPr>
          <w:rFonts w:cs="Arial"/>
          <w:szCs w:val="18"/>
        </w:rPr>
        <w:t xml:space="preserve">catalyst, and the </w:t>
      </w:r>
      <w:r w:rsidR="002517F8" w:rsidRPr="00227A00">
        <w:rPr>
          <w:rFonts w:cs="Arial"/>
          <w:szCs w:val="18"/>
        </w:rPr>
        <w:t>A</w:t>
      </w:r>
      <w:r w:rsidR="007702E1" w:rsidRPr="00227A00">
        <w:rPr>
          <w:rFonts w:cs="Arial"/>
          <w:szCs w:val="18"/>
        </w:rPr>
        <w:t>AC/</w:t>
      </w:r>
      <w:r w:rsidR="002517F8" w:rsidRPr="00227A00">
        <w:rPr>
          <w:rFonts w:cs="Arial"/>
          <w:szCs w:val="18"/>
        </w:rPr>
        <w:t>Co</w:t>
      </w:r>
      <w:r w:rsidR="002517F8" w:rsidRPr="00227A00">
        <w:rPr>
          <w:rFonts w:cs="Arial"/>
          <w:szCs w:val="18"/>
          <w:vertAlign w:val="subscript"/>
        </w:rPr>
        <w:t>6</w:t>
      </w:r>
      <w:r w:rsidR="002517F8" w:rsidRPr="00227A00">
        <w:rPr>
          <w:rFonts w:cs="Arial"/>
          <w:szCs w:val="18"/>
        </w:rPr>
        <w:t>/MnO</w:t>
      </w:r>
      <w:r w:rsidR="002517F8" w:rsidRPr="00227A00">
        <w:rPr>
          <w:rFonts w:cs="Arial"/>
          <w:szCs w:val="18"/>
          <w:vertAlign w:val="subscript"/>
        </w:rPr>
        <w:t xml:space="preserve">x </w:t>
      </w:r>
      <w:r w:rsidR="007702E1" w:rsidRPr="00227A00">
        <w:rPr>
          <w:rFonts w:cs="Arial"/>
          <w:szCs w:val="18"/>
        </w:rPr>
        <w:t xml:space="preserve">mixture </w:t>
      </w:r>
      <w:r w:rsidR="00C24717">
        <w:rPr>
          <w:rFonts w:cs="Arial"/>
          <w:szCs w:val="18"/>
        </w:rPr>
        <w:t>using a Horiba Scientific LabRAM HR Evolution© microscope in the range of 200 to 3</w:t>
      </w:r>
      <w:r w:rsidR="00D21C07">
        <w:rPr>
          <w:rFonts w:cs="Arial"/>
          <w:szCs w:val="18"/>
        </w:rPr>
        <w:t>,</w:t>
      </w:r>
      <w:r w:rsidR="00C24717">
        <w:rPr>
          <w:rFonts w:cs="Arial"/>
          <w:szCs w:val="18"/>
        </w:rPr>
        <w:t>500 cm</w:t>
      </w:r>
      <w:r w:rsidR="00C24717">
        <w:rPr>
          <w:rFonts w:ascii="Cambria Math" w:hAnsi="Cambria Math" w:cs="Cambria Math"/>
          <w:szCs w:val="18"/>
        </w:rPr>
        <w:t>⁻</w:t>
      </w:r>
      <w:r w:rsidR="00C24717">
        <w:rPr>
          <w:rFonts w:cs="Arial"/>
          <w:szCs w:val="18"/>
        </w:rPr>
        <w:t>¹, with</w:t>
      </w:r>
      <w:r w:rsidR="007702E1" w:rsidRPr="00227A00">
        <w:rPr>
          <w:rFonts w:cs="Arial"/>
          <w:szCs w:val="18"/>
        </w:rPr>
        <w:t xml:space="preserve"> a 532 nm, 80 </w:t>
      </w:r>
      <w:proofErr w:type="spellStart"/>
      <w:r w:rsidR="007702E1" w:rsidRPr="00227A00">
        <w:rPr>
          <w:rFonts w:cs="Arial"/>
          <w:szCs w:val="18"/>
        </w:rPr>
        <w:t>mJ</w:t>
      </w:r>
      <w:proofErr w:type="spellEnd"/>
      <w:r w:rsidR="007702E1" w:rsidRPr="00227A00">
        <w:rPr>
          <w:rFonts w:cs="Arial"/>
          <w:szCs w:val="18"/>
        </w:rPr>
        <w:t xml:space="preserve"> green diode as the excitation source</w:t>
      </w:r>
      <w:r w:rsidR="008F34A9" w:rsidRPr="00227A00">
        <w:rPr>
          <w:rFonts w:cs="Arial"/>
          <w:szCs w:val="18"/>
        </w:rPr>
        <w:t>.</w:t>
      </w:r>
    </w:p>
    <w:p w14:paraId="6AAB658E" w14:textId="03C29B10" w:rsidR="00B60F1C" w:rsidRPr="00227A00" w:rsidRDefault="00B26C00" w:rsidP="00F41119">
      <w:pPr>
        <w:pStyle w:val="CETHeading1"/>
        <w:numPr>
          <w:ilvl w:val="1"/>
          <w:numId w:val="26"/>
        </w:numPr>
        <w:rPr>
          <w:rFonts w:cs="Arial"/>
          <w:sz w:val="18"/>
          <w:szCs w:val="18"/>
        </w:rPr>
      </w:pPr>
      <w:r w:rsidRPr="00227A00">
        <w:rPr>
          <w:rFonts w:cs="Arial"/>
          <w:sz w:val="18"/>
          <w:szCs w:val="18"/>
        </w:rPr>
        <w:t>Procedure for the CO</w:t>
      </w:r>
      <w:r w:rsidRPr="00227A00">
        <w:rPr>
          <w:rFonts w:cs="Arial"/>
          <w:sz w:val="18"/>
          <w:szCs w:val="18"/>
          <w:vertAlign w:val="subscript"/>
        </w:rPr>
        <w:t>2</w:t>
      </w:r>
      <w:r w:rsidRPr="00227A00">
        <w:rPr>
          <w:rFonts w:cs="Arial"/>
          <w:sz w:val="18"/>
          <w:szCs w:val="18"/>
        </w:rPr>
        <w:t xml:space="preserve"> conversion to hydrocarbons</w:t>
      </w:r>
    </w:p>
    <w:p w14:paraId="3BF800BB" w14:textId="2EE916C2" w:rsidR="003738D5" w:rsidRPr="00D12A29" w:rsidRDefault="004E1D1E" w:rsidP="00184843">
      <w:pPr>
        <w:pStyle w:val="CETBodytext"/>
        <w:rPr>
          <w:rFonts w:cs="Arial"/>
          <w:bCs/>
          <w:szCs w:val="18"/>
        </w:rPr>
      </w:pPr>
      <w:r w:rsidRPr="00D12A29">
        <w:rPr>
          <w:rFonts w:cs="Arial"/>
          <w:bCs/>
          <w:szCs w:val="18"/>
        </w:rPr>
        <w:t>In a batch reactor, 2.0289 g of squal</w:t>
      </w:r>
      <w:r w:rsidR="00B86209" w:rsidRPr="00D12A29">
        <w:rPr>
          <w:rFonts w:cs="Arial"/>
          <w:bCs/>
          <w:szCs w:val="18"/>
        </w:rPr>
        <w:t>a</w:t>
      </w:r>
      <w:r w:rsidRPr="00D12A29">
        <w:rPr>
          <w:rFonts w:cs="Arial"/>
          <w:bCs/>
          <w:szCs w:val="18"/>
        </w:rPr>
        <w:t>ne was added as a solvent, along with 0.38 g of</w:t>
      </w:r>
      <w:r w:rsidR="00A561BE">
        <w:rPr>
          <w:rFonts w:cs="Arial"/>
          <w:bCs/>
          <w:szCs w:val="18"/>
        </w:rPr>
        <w:t xml:space="preserve"> </w:t>
      </w:r>
      <w:r w:rsidR="00D12A29" w:rsidRPr="00227A00">
        <w:rPr>
          <w:rFonts w:cs="Arial"/>
          <w:szCs w:val="18"/>
        </w:rPr>
        <w:t>AAC/Co</w:t>
      </w:r>
      <w:r w:rsidR="00D12A29" w:rsidRPr="00227A00">
        <w:rPr>
          <w:rFonts w:cs="Arial"/>
          <w:szCs w:val="18"/>
          <w:vertAlign w:val="subscript"/>
        </w:rPr>
        <w:t>6</w:t>
      </w:r>
      <w:r w:rsidR="00D12A29" w:rsidRPr="00227A00">
        <w:rPr>
          <w:rFonts w:cs="Arial"/>
          <w:szCs w:val="18"/>
        </w:rPr>
        <w:t>/MnO</w:t>
      </w:r>
      <w:r w:rsidR="00D12A29" w:rsidRPr="00227A00">
        <w:rPr>
          <w:rFonts w:cs="Arial"/>
          <w:szCs w:val="18"/>
          <w:vertAlign w:val="subscript"/>
        </w:rPr>
        <w:t>x</w:t>
      </w:r>
      <w:r w:rsidR="00D12A29">
        <w:rPr>
          <w:rFonts w:cs="Arial"/>
          <w:szCs w:val="18"/>
          <w:vertAlign w:val="subscript"/>
        </w:rPr>
        <w:t xml:space="preserve"> </w:t>
      </w:r>
      <w:r w:rsidR="00B26C00" w:rsidRPr="00D12A29">
        <w:rPr>
          <w:rFonts w:cs="Arial"/>
          <w:bCs/>
          <w:szCs w:val="18"/>
        </w:rPr>
        <w:t>mixture</w:t>
      </w:r>
      <w:r w:rsidRPr="00D12A29">
        <w:rPr>
          <w:rFonts w:cs="Arial"/>
          <w:bCs/>
          <w:szCs w:val="18"/>
        </w:rPr>
        <w:t>.</w:t>
      </w:r>
      <w:r w:rsidR="00DB6532" w:rsidRPr="00D12A29">
        <w:rPr>
          <w:rFonts w:cs="Arial"/>
          <w:bCs/>
          <w:szCs w:val="18"/>
        </w:rPr>
        <w:t xml:space="preserve"> After that, </w:t>
      </w:r>
      <w:r w:rsidR="00420AAE" w:rsidRPr="00D12A29">
        <w:rPr>
          <w:rFonts w:cs="Arial"/>
          <w:bCs/>
          <w:szCs w:val="18"/>
        </w:rPr>
        <w:t xml:space="preserve">the reactor was pressurized with </w:t>
      </w:r>
      <w:r w:rsidRPr="00D12A29">
        <w:rPr>
          <w:rFonts w:cs="Arial"/>
          <w:bCs/>
          <w:szCs w:val="18"/>
        </w:rPr>
        <w:t>carbon dioxide (</w:t>
      </w:r>
      <w:r w:rsidR="00B26C00" w:rsidRPr="00D12A29">
        <w:rPr>
          <w:rFonts w:cs="Arial"/>
          <w:bCs/>
          <w:szCs w:val="18"/>
        </w:rPr>
        <w:t>CO</w:t>
      </w:r>
      <w:r w:rsidR="00B26C00" w:rsidRPr="00A561BE">
        <w:rPr>
          <w:rFonts w:cs="Arial"/>
          <w:bCs/>
          <w:szCs w:val="18"/>
          <w:vertAlign w:val="subscript"/>
        </w:rPr>
        <w:t>2</w:t>
      </w:r>
      <w:r w:rsidRPr="00D12A29">
        <w:rPr>
          <w:rFonts w:cs="Arial"/>
          <w:bCs/>
          <w:szCs w:val="18"/>
        </w:rPr>
        <w:t xml:space="preserve">) </w:t>
      </w:r>
      <w:r w:rsidR="00C24717" w:rsidRPr="00D12A29">
        <w:rPr>
          <w:rFonts w:cs="Arial"/>
          <w:bCs/>
          <w:szCs w:val="18"/>
        </w:rPr>
        <w:t>to 4 MPa and hydrogen (H</w:t>
      </w:r>
      <w:r w:rsidR="00C24717" w:rsidRPr="00A561BE">
        <w:rPr>
          <w:rFonts w:cs="Arial"/>
          <w:bCs/>
          <w:szCs w:val="18"/>
          <w:vertAlign w:val="subscript"/>
        </w:rPr>
        <w:t>2</w:t>
      </w:r>
      <w:r w:rsidR="00C24717" w:rsidRPr="00D12A29">
        <w:rPr>
          <w:rFonts w:cs="Arial"/>
          <w:bCs/>
          <w:szCs w:val="18"/>
        </w:rPr>
        <w:t xml:space="preserve">) to 8 MPa, and </w:t>
      </w:r>
      <w:r w:rsidRPr="00D12A29">
        <w:rPr>
          <w:rFonts w:cs="Arial"/>
          <w:bCs/>
          <w:szCs w:val="18"/>
        </w:rPr>
        <w:t>check</w:t>
      </w:r>
      <w:r w:rsidR="00420AAE" w:rsidRPr="00D12A29">
        <w:rPr>
          <w:rFonts w:cs="Arial"/>
          <w:bCs/>
          <w:szCs w:val="18"/>
        </w:rPr>
        <w:t>ed</w:t>
      </w:r>
      <w:r w:rsidRPr="00D12A29">
        <w:rPr>
          <w:rFonts w:cs="Arial"/>
          <w:bCs/>
          <w:szCs w:val="18"/>
        </w:rPr>
        <w:t xml:space="preserve"> for leaks. The assembly is placed in an oven preheated to 200, 240, and 260 °C for 24 h. Once the time is up, the reactor is cooled and </w:t>
      </w:r>
      <w:r w:rsidR="00251FAB" w:rsidRPr="00D12A29">
        <w:rPr>
          <w:rFonts w:cs="Arial"/>
          <w:bCs/>
          <w:szCs w:val="18"/>
        </w:rPr>
        <w:t xml:space="preserve">completely </w:t>
      </w:r>
      <w:r w:rsidRPr="00D12A29">
        <w:rPr>
          <w:rFonts w:cs="Arial"/>
          <w:bCs/>
          <w:szCs w:val="18"/>
        </w:rPr>
        <w:t xml:space="preserve">depressurized. The </w:t>
      </w:r>
      <w:r w:rsidR="00251FAB" w:rsidRPr="00D12A29">
        <w:rPr>
          <w:rFonts w:cs="Arial"/>
          <w:bCs/>
          <w:szCs w:val="18"/>
        </w:rPr>
        <w:t xml:space="preserve">liquid </w:t>
      </w:r>
      <w:r w:rsidRPr="00D12A29">
        <w:rPr>
          <w:rFonts w:cs="Arial"/>
          <w:bCs/>
          <w:szCs w:val="18"/>
        </w:rPr>
        <w:t>product</w:t>
      </w:r>
      <w:r w:rsidR="00251FAB" w:rsidRPr="00D12A29">
        <w:rPr>
          <w:rFonts w:cs="Arial"/>
          <w:bCs/>
          <w:szCs w:val="18"/>
        </w:rPr>
        <w:t>s</w:t>
      </w:r>
      <w:r w:rsidRPr="00D12A29">
        <w:rPr>
          <w:rFonts w:cs="Arial"/>
          <w:bCs/>
          <w:szCs w:val="18"/>
        </w:rPr>
        <w:t xml:space="preserve"> </w:t>
      </w:r>
      <w:r w:rsidR="00251FAB" w:rsidRPr="00D12A29">
        <w:rPr>
          <w:rFonts w:cs="Arial"/>
          <w:bCs/>
          <w:szCs w:val="18"/>
        </w:rPr>
        <w:t>were</w:t>
      </w:r>
      <w:r w:rsidR="00884B47" w:rsidRPr="00D12A29">
        <w:rPr>
          <w:rFonts w:cs="Arial"/>
          <w:bCs/>
          <w:szCs w:val="18"/>
        </w:rPr>
        <w:t xml:space="preserve"> </w:t>
      </w:r>
      <w:r w:rsidR="008272AF" w:rsidRPr="00D12A29">
        <w:rPr>
          <w:rFonts w:cs="Arial"/>
          <w:bCs/>
          <w:szCs w:val="18"/>
        </w:rPr>
        <w:t>collected</w:t>
      </w:r>
      <w:r w:rsidR="00251FAB" w:rsidRPr="00D12A29">
        <w:rPr>
          <w:rFonts w:cs="Arial"/>
          <w:bCs/>
          <w:szCs w:val="18"/>
        </w:rPr>
        <w:t xml:space="preserve">, </w:t>
      </w:r>
      <w:r w:rsidR="00884B47" w:rsidRPr="00D12A29">
        <w:rPr>
          <w:rFonts w:cs="Arial"/>
          <w:bCs/>
          <w:szCs w:val="18"/>
        </w:rPr>
        <w:t xml:space="preserve">centrifuged to separate the </w:t>
      </w:r>
      <w:r w:rsidR="00C24717" w:rsidRPr="00D12A29">
        <w:rPr>
          <w:rFonts w:cs="Arial"/>
          <w:bCs/>
          <w:szCs w:val="18"/>
        </w:rPr>
        <w:t xml:space="preserve">solids, and then </w:t>
      </w:r>
      <w:r w:rsidRPr="00D12A29">
        <w:rPr>
          <w:rFonts w:cs="Arial"/>
          <w:bCs/>
          <w:szCs w:val="18"/>
        </w:rPr>
        <w:t>cooled to preserve volatile compounds (He et al., 2019).</w:t>
      </w:r>
      <w:r w:rsidR="00D12A29" w:rsidRPr="00D12A29">
        <w:rPr>
          <w:rFonts w:cs="Arial"/>
          <w:bCs/>
          <w:szCs w:val="18"/>
        </w:rPr>
        <w:t xml:space="preserve"> </w:t>
      </w:r>
      <w:r w:rsidR="00680F70" w:rsidRPr="00D12A29">
        <w:rPr>
          <w:rFonts w:cs="Arial"/>
          <w:bCs/>
          <w:szCs w:val="18"/>
        </w:rPr>
        <w:t>L</w:t>
      </w:r>
      <w:r w:rsidRPr="00D12A29">
        <w:rPr>
          <w:rFonts w:cs="Arial"/>
          <w:bCs/>
          <w:szCs w:val="18"/>
        </w:rPr>
        <w:t xml:space="preserve">iquid products </w:t>
      </w:r>
      <w:r w:rsidR="00BC3F9A" w:rsidRPr="00D12A29">
        <w:rPr>
          <w:rFonts w:cs="Arial"/>
          <w:bCs/>
          <w:szCs w:val="18"/>
        </w:rPr>
        <w:t xml:space="preserve">were characterized </w:t>
      </w:r>
      <w:r w:rsidR="00CE1730" w:rsidRPr="00D12A29">
        <w:rPr>
          <w:rFonts w:cs="Arial"/>
          <w:bCs/>
          <w:szCs w:val="18"/>
        </w:rPr>
        <w:t xml:space="preserve">using </w:t>
      </w:r>
      <w:r w:rsidR="009417AB" w:rsidRPr="00A561BE">
        <w:rPr>
          <w:rFonts w:cs="Arial"/>
          <w:bCs/>
          <w:szCs w:val="18"/>
          <w:vertAlign w:val="superscript"/>
        </w:rPr>
        <w:t>1</w:t>
      </w:r>
      <w:r w:rsidR="00CE1730" w:rsidRPr="00D12A29">
        <w:rPr>
          <w:rFonts w:cs="Arial"/>
          <w:bCs/>
          <w:szCs w:val="18"/>
        </w:rPr>
        <w:t xml:space="preserve">H nuclear magnetic resonance </w:t>
      </w:r>
      <w:bookmarkStart w:id="2" w:name="_Hlk223008200"/>
      <w:r w:rsidR="00CE1730" w:rsidRPr="00D12A29">
        <w:rPr>
          <w:rFonts w:cs="Arial"/>
          <w:bCs/>
          <w:szCs w:val="18"/>
        </w:rPr>
        <w:t>(</w:t>
      </w:r>
      <w:r w:rsidR="00484DA4" w:rsidRPr="00A561BE">
        <w:rPr>
          <w:rFonts w:cs="Arial"/>
          <w:bCs/>
          <w:szCs w:val="18"/>
          <w:vertAlign w:val="superscript"/>
        </w:rPr>
        <w:t>1</w:t>
      </w:r>
      <w:r w:rsidR="00484DA4" w:rsidRPr="00D12A29">
        <w:rPr>
          <w:rFonts w:cs="Arial"/>
          <w:bCs/>
          <w:szCs w:val="18"/>
        </w:rPr>
        <w:t>H</w:t>
      </w:r>
      <w:r w:rsidR="00CE1730" w:rsidRPr="00D12A29">
        <w:rPr>
          <w:rFonts w:cs="Arial"/>
          <w:bCs/>
          <w:szCs w:val="18"/>
        </w:rPr>
        <w:t xml:space="preserve"> NMR) </w:t>
      </w:r>
      <w:bookmarkEnd w:id="2"/>
      <w:r w:rsidR="00CE1730" w:rsidRPr="00D12A29">
        <w:rPr>
          <w:rFonts w:cs="Arial"/>
          <w:bCs/>
          <w:szCs w:val="18"/>
        </w:rPr>
        <w:t xml:space="preserve">spectroscopy </w:t>
      </w:r>
      <w:r w:rsidRPr="00D12A29">
        <w:rPr>
          <w:rFonts w:cs="Arial"/>
          <w:bCs/>
          <w:szCs w:val="18"/>
        </w:rPr>
        <w:t>with a Bruker Avance IIITM</w:t>
      </w:r>
      <w:r w:rsidR="00065F83" w:rsidRPr="00D12A29">
        <w:rPr>
          <w:rFonts w:cs="Arial"/>
          <w:bCs/>
          <w:szCs w:val="18"/>
        </w:rPr>
        <w:t>©</w:t>
      </w:r>
      <w:r w:rsidRPr="00D12A29">
        <w:rPr>
          <w:rFonts w:cs="Arial"/>
          <w:bCs/>
          <w:szCs w:val="18"/>
        </w:rPr>
        <w:t xml:space="preserve"> HD 400 MHz (9.4 T) spectrometer</w:t>
      </w:r>
      <w:r w:rsidR="00065F83" w:rsidRPr="00D12A29">
        <w:rPr>
          <w:rFonts w:cs="Arial"/>
          <w:bCs/>
          <w:szCs w:val="18"/>
        </w:rPr>
        <w:t>. The samples were dissolved in deuterated chloroform (CDCl</w:t>
      </w:r>
      <w:r w:rsidR="00065F83" w:rsidRPr="00A561BE">
        <w:rPr>
          <w:rFonts w:cs="Arial"/>
          <w:bCs/>
          <w:szCs w:val="18"/>
          <w:vertAlign w:val="subscript"/>
        </w:rPr>
        <w:t>3</w:t>
      </w:r>
      <w:r w:rsidR="00065F83" w:rsidRPr="00D12A29">
        <w:rPr>
          <w:rFonts w:cs="Arial"/>
          <w:bCs/>
          <w:szCs w:val="18"/>
        </w:rPr>
        <w:t>)</w:t>
      </w:r>
      <w:r w:rsidR="001C7012" w:rsidRPr="00D12A29">
        <w:rPr>
          <w:rFonts w:cs="Arial"/>
          <w:bCs/>
          <w:szCs w:val="18"/>
        </w:rPr>
        <w:t xml:space="preserve"> with </w:t>
      </w:r>
      <w:proofErr w:type="spellStart"/>
      <w:r w:rsidR="001C7012" w:rsidRPr="00D12A29">
        <w:rPr>
          <w:rFonts w:cs="Arial"/>
          <w:bCs/>
          <w:szCs w:val="18"/>
        </w:rPr>
        <w:t>tetramethylsilane</w:t>
      </w:r>
      <w:proofErr w:type="spellEnd"/>
      <w:r w:rsidR="001C7012" w:rsidRPr="00D12A29">
        <w:rPr>
          <w:rFonts w:cs="Arial"/>
          <w:bCs/>
          <w:szCs w:val="18"/>
        </w:rPr>
        <w:t xml:space="preserve"> (TMS) as </w:t>
      </w:r>
      <w:r w:rsidR="00184843" w:rsidRPr="00D12A29">
        <w:rPr>
          <w:rFonts w:cs="Arial"/>
          <w:bCs/>
          <w:szCs w:val="18"/>
        </w:rPr>
        <w:t xml:space="preserve">the reference, then introduced into an NMR tube, where a magnetic field and radiofrequency pulses were applied to excite the </w:t>
      </w:r>
      <w:r w:rsidR="00F630D8" w:rsidRPr="00A561BE">
        <w:rPr>
          <w:rFonts w:cs="Arial"/>
          <w:bCs/>
          <w:szCs w:val="18"/>
          <w:vertAlign w:val="superscript"/>
        </w:rPr>
        <w:t>1</w:t>
      </w:r>
      <w:r w:rsidR="00F630D8" w:rsidRPr="00D12A29">
        <w:rPr>
          <w:rFonts w:cs="Arial"/>
          <w:bCs/>
          <w:szCs w:val="18"/>
        </w:rPr>
        <w:t>H</w:t>
      </w:r>
      <w:r w:rsidRPr="00D12A29">
        <w:rPr>
          <w:rFonts w:cs="Arial"/>
          <w:bCs/>
          <w:szCs w:val="18"/>
        </w:rPr>
        <w:t xml:space="preserve"> nuclei. </w:t>
      </w:r>
      <w:r w:rsidR="0010782B" w:rsidRPr="00D12A29">
        <w:rPr>
          <w:rFonts w:cs="Arial"/>
          <w:bCs/>
          <w:szCs w:val="18"/>
        </w:rPr>
        <w:t xml:space="preserve">NMR data </w:t>
      </w:r>
      <w:r w:rsidR="00184843" w:rsidRPr="00D12A29">
        <w:rPr>
          <w:rFonts w:cs="Arial"/>
          <w:bCs/>
          <w:szCs w:val="18"/>
        </w:rPr>
        <w:t xml:space="preserve">were analyzed using </w:t>
      </w:r>
      <w:proofErr w:type="spellStart"/>
      <w:r w:rsidR="00184843" w:rsidRPr="00D12A29">
        <w:rPr>
          <w:rFonts w:cs="Arial"/>
          <w:bCs/>
          <w:szCs w:val="18"/>
        </w:rPr>
        <w:t>MestReNova</w:t>
      </w:r>
      <w:proofErr w:type="spellEnd"/>
      <w:r w:rsidR="00184843" w:rsidRPr="00D12A29">
        <w:rPr>
          <w:rFonts w:cs="Arial"/>
          <w:bCs/>
          <w:szCs w:val="18"/>
        </w:rPr>
        <w:t xml:space="preserve"> V. 15.3.1® software</w:t>
      </w:r>
      <w:r w:rsidRPr="00D12A29">
        <w:rPr>
          <w:rFonts w:cs="Arial"/>
          <w:bCs/>
          <w:szCs w:val="18"/>
        </w:rPr>
        <w:t>.</w:t>
      </w:r>
      <w:r w:rsidR="00184843" w:rsidRPr="00D12A29">
        <w:rPr>
          <w:rFonts w:cs="Arial"/>
          <w:bCs/>
          <w:szCs w:val="18"/>
        </w:rPr>
        <w:t xml:space="preserve"> Finally, liquid products were analyzed </w:t>
      </w:r>
      <w:r w:rsidR="005E0D7C" w:rsidRPr="00D12A29">
        <w:rPr>
          <w:rFonts w:cs="Arial"/>
          <w:bCs/>
          <w:szCs w:val="18"/>
        </w:rPr>
        <w:t>using Attenuated Total Reflection Fourier Transform Infrared (ATR-FTIR) spectroscopy, in which the</w:t>
      </w:r>
      <w:r w:rsidRPr="00D12A29">
        <w:rPr>
          <w:rFonts w:cs="Arial"/>
          <w:bCs/>
          <w:szCs w:val="18"/>
        </w:rPr>
        <w:t xml:space="preserve"> samples were placed in contact with the ATR diamond crystal at a fixed angle of incidence of 45° on the Nicolet™ iS50 FTIR spectrometer. The spectra were normalized and processed using OMNIC® software.</w:t>
      </w:r>
    </w:p>
    <w:p w14:paraId="33D5D919" w14:textId="252692B3" w:rsidR="00F94DD6" w:rsidRPr="00227A00" w:rsidRDefault="003738D5" w:rsidP="00F94DD6">
      <w:pPr>
        <w:pStyle w:val="CETHeading1"/>
        <w:numPr>
          <w:ilvl w:val="0"/>
          <w:numId w:val="26"/>
        </w:numPr>
        <w:rPr>
          <w:rFonts w:cs="Arial"/>
          <w:sz w:val="18"/>
          <w:szCs w:val="18"/>
          <w:lang w:val="en-GB"/>
        </w:rPr>
      </w:pPr>
      <w:r w:rsidRPr="00227A00">
        <w:rPr>
          <w:rFonts w:cs="Arial"/>
          <w:sz w:val="18"/>
          <w:szCs w:val="18"/>
          <w:lang w:val="en-GB"/>
        </w:rPr>
        <w:t>Results and discussion</w:t>
      </w:r>
    </w:p>
    <w:p w14:paraId="39A72BA7" w14:textId="3F9EEF40" w:rsidR="003738D5" w:rsidRPr="00227A00" w:rsidRDefault="00F94DD6" w:rsidP="00227A00">
      <w:pPr>
        <w:pStyle w:val="CETHeading1"/>
        <w:numPr>
          <w:ilvl w:val="1"/>
          <w:numId w:val="26"/>
        </w:numPr>
        <w:rPr>
          <w:rFonts w:cs="Arial"/>
          <w:b w:val="0"/>
          <w:bCs/>
          <w:szCs w:val="18"/>
        </w:rPr>
      </w:pPr>
      <w:r w:rsidRPr="00227A00">
        <w:rPr>
          <w:rFonts w:cs="Arial"/>
          <w:sz w:val="18"/>
          <w:szCs w:val="18"/>
        </w:rPr>
        <w:t>Characterization of precursors</w:t>
      </w:r>
    </w:p>
    <w:p w14:paraId="4DE0F2FC" w14:textId="49C754B3" w:rsidR="00AD7DB7" w:rsidRDefault="001835AB" w:rsidP="007B484B">
      <w:pPr>
        <w:pStyle w:val="CETBodytext"/>
        <w:rPr>
          <w:rFonts w:eastAsia="Arial"/>
          <w:lang w:val="en-GB"/>
        </w:rPr>
      </w:pPr>
      <w:r w:rsidRPr="00227A00">
        <w:t xml:space="preserve">The </w:t>
      </w:r>
      <w:r w:rsidR="00F94DD6" w:rsidRPr="00227A00">
        <w:t>AAC</w:t>
      </w:r>
      <w:r w:rsidR="004F1B8F" w:rsidRPr="00227A00">
        <w:t xml:space="preserve"> </w:t>
      </w:r>
      <w:r w:rsidR="003738D5" w:rsidRPr="00227A00">
        <w:t xml:space="preserve">sample was </w:t>
      </w:r>
      <w:r w:rsidR="004F1B8F" w:rsidRPr="00227A00">
        <w:t>characterized</w:t>
      </w:r>
      <w:r w:rsidR="001A3C1C" w:rsidRPr="00227A00">
        <w:t xml:space="preserve"> using nitrogen (N</w:t>
      </w:r>
      <w:r w:rsidR="001A3C1C" w:rsidRPr="00227A00">
        <w:rPr>
          <w:vertAlign w:val="subscript"/>
        </w:rPr>
        <w:t>2</w:t>
      </w:r>
      <w:r w:rsidR="001A3C1C" w:rsidRPr="00227A00">
        <w:t xml:space="preserve">) adsorption/desorption analysis, </w:t>
      </w:r>
      <w:r w:rsidR="00C24717">
        <w:rPr>
          <w:lang w:val="en-GB"/>
        </w:rPr>
        <w:t>which indicated that pyrolysis time</w:t>
      </w:r>
      <w:r w:rsidR="00C27A81" w:rsidRPr="00227A00">
        <w:rPr>
          <w:lang w:val="en-GB"/>
        </w:rPr>
        <w:t xml:space="preserve"> and the chemical compound impregnated in each phase significantly influence the development of </w:t>
      </w:r>
      <w:r w:rsidR="00BF1299" w:rsidRPr="00227A00">
        <w:rPr>
          <w:lang w:val="en-GB"/>
        </w:rPr>
        <w:t xml:space="preserve">AAC's textural properties. </w:t>
      </w:r>
      <w:r w:rsidR="00BF1299" w:rsidRPr="00227A00">
        <w:t>Urea decomposes into amines and other volatile species, leaving nitrogenous sites that improve the formation of micropores, and KOH reacts with the carbonaceous matrix, oxidizing C-C bonds and releasing carbon monoxide (CO) and carbon dioxide (CO</w:t>
      </w:r>
      <w:r w:rsidR="00BF1299" w:rsidRPr="00227A00">
        <w:rPr>
          <w:vertAlign w:val="subscript"/>
        </w:rPr>
        <w:t>2</w:t>
      </w:r>
      <w:r w:rsidR="00BF1299" w:rsidRPr="00227A00">
        <w:t>), which create internal channels that expand the porous network (Ding et al., 2022).</w:t>
      </w:r>
      <w:r w:rsidR="005F2C67" w:rsidRPr="00227A00">
        <w:t xml:space="preserve"> Also, </w:t>
      </w:r>
      <w:r w:rsidR="00610B61" w:rsidRPr="00227A00">
        <w:t xml:space="preserve">the </w:t>
      </w:r>
      <w:r w:rsidR="005F2C67" w:rsidRPr="00227A00">
        <w:t>AAC sample</w:t>
      </w:r>
      <w:r w:rsidR="00645D5F" w:rsidRPr="00227A00">
        <w:t xml:space="preserve"> had</w:t>
      </w:r>
      <w:r w:rsidR="00FC2569" w:rsidRPr="00227A00">
        <w:t xml:space="preserve"> a</w:t>
      </w:r>
      <w:r w:rsidR="00645D5F" w:rsidRPr="00227A00">
        <w:t xml:space="preserve"> high </w:t>
      </w:r>
      <w:r w:rsidR="001A3C1C" w:rsidRPr="00227A00">
        <w:t>surface area (1</w:t>
      </w:r>
      <w:r w:rsidR="00204993" w:rsidRPr="00227A00">
        <w:t>,</w:t>
      </w:r>
      <w:r w:rsidR="001A3C1C" w:rsidRPr="00227A00">
        <w:t>456 m</w:t>
      </w:r>
      <w:r w:rsidR="004C63F1" w:rsidRPr="004C63F1">
        <w:rPr>
          <w:vertAlign w:val="superscript"/>
        </w:rPr>
        <w:t>2</w:t>
      </w:r>
      <w:r w:rsidR="001A3C1C" w:rsidRPr="00227A00">
        <w:t>/g)</w:t>
      </w:r>
      <w:r w:rsidR="00610B61" w:rsidRPr="00227A00">
        <w:t xml:space="preserve">, </w:t>
      </w:r>
      <w:r w:rsidR="003738D5" w:rsidRPr="00227A00">
        <w:t>pore volume (0.0636 cm</w:t>
      </w:r>
      <w:r w:rsidR="002A38A1" w:rsidRPr="002A38A1">
        <w:rPr>
          <w:vertAlign w:val="superscript"/>
        </w:rPr>
        <w:t>3</w:t>
      </w:r>
      <w:r w:rsidR="003738D5" w:rsidRPr="00227A00">
        <w:t>/g)</w:t>
      </w:r>
      <w:r w:rsidR="00610B61" w:rsidRPr="00227A00">
        <w:t xml:space="preserve"> and a </w:t>
      </w:r>
      <w:r w:rsidR="00C84FFD" w:rsidRPr="00227A00">
        <w:rPr>
          <w:lang w:val="en-GB"/>
        </w:rPr>
        <w:t>higher adsorption capacity, exceeding 400 cm</w:t>
      </w:r>
      <w:r w:rsidR="00C84FFD" w:rsidRPr="00227A00">
        <w:rPr>
          <w:vertAlign w:val="superscript"/>
          <w:lang w:val="en-GB"/>
        </w:rPr>
        <w:t>3</w:t>
      </w:r>
      <w:r w:rsidR="00C84FFD" w:rsidRPr="00227A00">
        <w:rPr>
          <w:lang w:val="en-GB"/>
        </w:rPr>
        <w:t>/g (STP), observing a combination of micropores and mesopores, suggesting that a longer time in the second step promotes the opening of mesopores without compromising the microporosity</w:t>
      </w:r>
      <w:r w:rsidR="00610B61" w:rsidRPr="00227A00">
        <w:rPr>
          <w:lang w:val="en-GB"/>
        </w:rPr>
        <w:t xml:space="preserve"> </w:t>
      </w:r>
      <w:r w:rsidR="00DC5B39" w:rsidRPr="00227A00">
        <w:rPr>
          <w:rFonts w:eastAsia="Arial"/>
          <w:lang w:val="en-GB"/>
        </w:rPr>
        <w:t>(Hidayu, Mahamad, Matali, &amp; Sharifah, 2013).</w:t>
      </w:r>
    </w:p>
    <w:bookmarkStart w:id="3" w:name="_Hlk223215893"/>
    <w:p w14:paraId="7F8BB190" w14:textId="4DD40F04" w:rsidR="0086275C" w:rsidRDefault="0086275C" w:rsidP="006A4191">
      <w:pPr>
        <w:pStyle w:val="CETBodytext"/>
        <w:tabs>
          <w:tab w:val="left" w:pos="2694"/>
        </w:tabs>
      </w:pPr>
      <w:r w:rsidRPr="000D0436">
        <w:fldChar w:fldCharType="begin"/>
      </w:r>
      <w:r w:rsidRPr="000D0436">
        <w:instrText xml:space="preserve"> REF _Ref223215815 \h  \* MERGEFORMAT </w:instrText>
      </w:r>
      <w:r w:rsidRPr="000D0436">
        <w:fldChar w:fldCharType="separate"/>
      </w:r>
      <w:r w:rsidR="00E1075E" w:rsidRPr="00E1075E">
        <w:t>Figure 1</w:t>
      </w:r>
      <w:r w:rsidRPr="000D0436">
        <w:fldChar w:fldCharType="end"/>
      </w:r>
      <w:bookmarkEnd w:id="3"/>
      <w:r w:rsidRPr="000D0436">
        <w:t>a shows the</w:t>
      </w:r>
      <w:r w:rsidRPr="00227A00">
        <w:t xml:space="preserve"> XRD analysis of the Co</w:t>
      </w:r>
      <w:r w:rsidRPr="00227A00">
        <w:rPr>
          <w:vertAlign w:val="subscript"/>
        </w:rPr>
        <w:t>6</w:t>
      </w:r>
      <w:r w:rsidRPr="00227A00">
        <w:t>/MnO</w:t>
      </w:r>
      <w:r w:rsidRPr="00227A00">
        <w:rPr>
          <w:vertAlign w:val="subscript"/>
        </w:rPr>
        <w:t>x</w:t>
      </w:r>
      <w:r w:rsidRPr="00227A00">
        <w:t xml:space="preserve"> catalyst, where cobalt (II, III) and manganese oxide (III) (Co</w:t>
      </w:r>
      <w:r w:rsidRPr="00227A00">
        <w:rPr>
          <w:vertAlign w:val="subscript"/>
        </w:rPr>
        <w:t>2</w:t>
      </w:r>
      <w:r w:rsidRPr="00227A00">
        <w:t>.</w:t>
      </w:r>
      <w:r w:rsidRPr="00227A00">
        <w:rPr>
          <w:vertAlign w:val="subscript"/>
        </w:rPr>
        <w:t>4</w:t>
      </w:r>
      <w:r w:rsidRPr="00227A00">
        <w:t>Mn</w:t>
      </w:r>
      <w:r w:rsidRPr="00227A00">
        <w:rPr>
          <w:vertAlign w:val="subscript"/>
        </w:rPr>
        <w:t>0.6</w:t>
      </w:r>
      <w:r w:rsidRPr="00227A00">
        <w:t>O</w:t>
      </w:r>
      <w:r w:rsidRPr="00227A00">
        <w:rPr>
          <w:vertAlign w:val="subscript"/>
        </w:rPr>
        <w:t>4</w:t>
      </w:r>
      <w:r w:rsidRPr="00227A00">
        <w:t xml:space="preserve">) </w:t>
      </w:r>
      <w:r>
        <w:t>were</w:t>
      </w:r>
      <w:r w:rsidRPr="00227A00">
        <w:t xml:space="preserve"> observed, a mixed oxide of cobalt and manganese with a cubic structure that shows the partial combination of cobalt and manganese in the synthesis (He et al., 2019). Also, cobalt oxide (</w:t>
      </w:r>
      <w:proofErr w:type="spellStart"/>
      <w:r w:rsidRPr="00227A00">
        <w:t>CoO</w:t>
      </w:r>
      <w:proofErr w:type="spellEnd"/>
      <w:r w:rsidRPr="00227A00">
        <w:t>) and manganese oxide (</w:t>
      </w:r>
      <w:proofErr w:type="spellStart"/>
      <w:r w:rsidRPr="00227A00">
        <w:t>MnO</w:t>
      </w:r>
      <w:proofErr w:type="spellEnd"/>
      <w:r w:rsidRPr="00227A00">
        <w:t>) were observed, providing evidence that some of these oxides remain as single oxides without being doped by one another (Mu et al., 2024).</w:t>
      </w:r>
    </w:p>
    <w:p w14:paraId="3B7AA5BE" w14:textId="5605FFB2" w:rsidR="00621ED7" w:rsidRPr="00B6102F" w:rsidRDefault="00621ED7" w:rsidP="00621ED7">
      <w:pPr>
        <w:pStyle w:val="CETBodytext"/>
      </w:pPr>
      <w:r w:rsidRPr="00227A00">
        <w:rPr>
          <w:rFonts w:cs="Arial"/>
          <w:szCs w:val="18"/>
        </w:rPr>
        <w:t xml:space="preserve">Finally, </w:t>
      </w:r>
      <w:r w:rsidRPr="000D0436">
        <w:fldChar w:fldCharType="begin"/>
      </w:r>
      <w:r w:rsidRPr="000D0436">
        <w:instrText xml:space="preserve"> REF _Ref223215815 \h  \* MERGEFORMAT </w:instrText>
      </w:r>
      <w:r w:rsidRPr="000D0436">
        <w:fldChar w:fldCharType="separate"/>
      </w:r>
      <w:r w:rsidR="00E1075E" w:rsidRPr="00E1075E">
        <w:t>Figure 1</w:t>
      </w:r>
      <w:r w:rsidRPr="000D0436">
        <w:fldChar w:fldCharType="end"/>
      </w:r>
      <w:r>
        <w:t>b</w:t>
      </w:r>
      <w:r w:rsidRPr="000D0436">
        <w:t xml:space="preserve"> </w:t>
      </w:r>
      <w:r w:rsidRPr="00227A00">
        <w:rPr>
          <w:rFonts w:cs="Arial"/>
          <w:szCs w:val="18"/>
        </w:rPr>
        <w:t>shows the Raman spectra for the three precursors. In AAC, two main bands are identified: band D at 1</w:t>
      </w:r>
      <w:r w:rsidR="00A849FE">
        <w:rPr>
          <w:rFonts w:cs="Arial"/>
          <w:szCs w:val="18"/>
        </w:rPr>
        <w:t>,</w:t>
      </w:r>
      <w:r w:rsidRPr="00227A00">
        <w:rPr>
          <w:rFonts w:cs="Arial"/>
          <w:szCs w:val="18"/>
        </w:rPr>
        <w:t xml:space="preserve">350 </w:t>
      </w:r>
      <w:bookmarkStart w:id="4" w:name="_Hlk223198539"/>
      <w:r w:rsidRPr="00227A00">
        <w:rPr>
          <w:rFonts w:cs="Arial"/>
          <w:szCs w:val="18"/>
        </w:rPr>
        <w:t>cm</w:t>
      </w:r>
      <w:r w:rsidRPr="00227A00">
        <w:rPr>
          <w:rFonts w:cs="Arial"/>
          <w:szCs w:val="18"/>
          <w:vertAlign w:val="superscript"/>
        </w:rPr>
        <w:t>-1</w:t>
      </w:r>
      <w:bookmarkEnd w:id="4"/>
      <w:r w:rsidRPr="00227A00">
        <w:rPr>
          <w:rFonts w:cs="Arial"/>
          <w:szCs w:val="18"/>
        </w:rPr>
        <w:t>, which is associated with sp</w:t>
      </w:r>
      <w:r w:rsidRPr="00227A00">
        <w:rPr>
          <w:rFonts w:cs="Arial"/>
          <w:szCs w:val="18"/>
          <w:vertAlign w:val="superscript"/>
        </w:rPr>
        <w:t>2</w:t>
      </w:r>
      <w:r w:rsidRPr="00227A00">
        <w:rPr>
          <w:rFonts w:cs="Arial"/>
          <w:szCs w:val="18"/>
        </w:rPr>
        <w:t xml:space="preserve"> aromatic ring vibrations, while band G at 1</w:t>
      </w:r>
      <w:r w:rsidR="00A849FE">
        <w:rPr>
          <w:rFonts w:cs="Arial"/>
          <w:szCs w:val="18"/>
        </w:rPr>
        <w:t>,</w:t>
      </w:r>
      <w:r w:rsidRPr="00227A00">
        <w:rPr>
          <w:rFonts w:cs="Arial"/>
          <w:szCs w:val="18"/>
        </w:rPr>
        <w:t>580–1</w:t>
      </w:r>
      <w:r w:rsidR="00A849FE">
        <w:rPr>
          <w:rFonts w:cs="Arial"/>
          <w:szCs w:val="18"/>
        </w:rPr>
        <w:t>,</w:t>
      </w:r>
      <w:r w:rsidRPr="00227A00">
        <w:rPr>
          <w:rFonts w:cs="Arial"/>
          <w:szCs w:val="18"/>
        </w:rPr>
        <w:t>600 cm</w:t>
      </w:r>
      <w:r w:rsidRPr="00227A00">
        <w:rPr>
          <w:rFonts w:cs="Arial"/>
          <w:szCs w:val="18"/>
          <w:vertAlign w:val="superscript"/>
        </w:rPr>
        <w:t>-1</w:t>
      </w:r>
      <w:r w:rsidRPr="00227A00">
        <w:rPr>
          <w:rFonts w:cs="Arial"/>
          <w:szCs w:val="18"/>
        </w:rPr>
        <w:t xml:space="preserve"> corresponds to the symmetric stretching of C=C bonds in ordered graphitic domains (Ferrari &amp; Robertson, 2000). These indicate an aromatic structure with a high degree of disorder, typical of activated carbons. For the Co</w:t>
      </w:r>
      <w:r w:rsidRPr="00227A00">
        <w:rPr>
          <w:rFonts w:cs="Arial"/>
          <w:szCs w:val="18"/>
          <w:vertAlign w:val="subscript"/>
        </w:rPr>
        <w:t>6</w:t>
      </w:r>
      <w:r w:rsidRPr="00227A00">
        <w:rPr>
          <w:rFonts w:cs="Arial"/>
          <w:szCs w:val="18"/>
        </w:rPr>
        <w:t>/MnO</w:t>
      </w:r>
      <w:r w:rsidRPr="00227A00">
        <w:rPr>
          <w:rFonts w:cs="Arial"/>
          <w:szCs w:val="18"/>
          <w:vertAlign w:val="subscript"/>
        </w:rPr>
        <w:t>x</w:t>
      </w:r>
      <w:r w:rsidRPr="00227A00">
        <w:rPr>
          <w:rFonts w:cs="Arial"/>
          <w:szCs w:val="18"/>
        </w:rPr>
        <w:t xml:space="preserve"> catalyst, the predominant signals at &lt;700 cm</w:t>
      </w:r>
      <w:r w:rsidRPr="00227A00">
        <w:rPr>
          <w:rFonts w:cs="Arial"/>
          <w:szCs w:val="18"/>
          <w:vertAlign w:val="superscript"/>
        </w:rPr>
        <w:t>-1</w:t>
      </w:r>
      <w:r w:rsidRPr="00227A00">
        <w:rPr>
          <w:rFonts w:cs="Arial"/>
          <w:szCs w:val="18"/>
        </w:rPr>
        <w:t xml:space="preserve"> are attributed to metal–oxygen (Mn–O and Co–O) vibrations (Julien et al., 2004). In the spectrum of the AAC/Co</w:t>
      </w:r>
      <w:r w:rsidRPr="00227A00">
        <w:rPr>
          <w:rFonts w:cs="Arial"/>
          <w:szCs w:val="18"/>
          <w:vertAlign w:val="subscript"/>
        </w:rPr>
        <w:t>6</w:t>
      </w:r>
      <w:r w:rsidRPr="00227A00">
        <w:rPr>
          <w:rFonts w:cs="Arial"/>
          <w:szCs w:val="18"/>
        </w:rPr>
        <w:t>/MnO</w:t>
      </w:r>
      <w:r w:rsidRPr="00227A00">
        <w:rPr>
          <w:rFonts w:cs="Arial"/>
          <w:szCs w:val="18"/>
          <w:vertAlign w:val="subscript"/>
        </w:rPr>
        <w:t>x</w:t>
      </w:r>
      <w:r w:rsidRPr="00227A00">
        <w:rPr>
          <w:rFonts w:cs="Arial"/>
          <w:szCs w:val="18"/>
        </w:rPr>
        <w:t xml:space="preserve"> mixture, the D and G bands of AAC and those associated with M–O are preserved, which shows that the aromatic structure of the support is not affected after the incorporation of the catalyst and confirms the presence of the metal oxide on the AAC support.</w:t>
      </w:r>
    </w:p>
    <w:p w14:paraId="0D4481B9" w14:textId="77777777" w:rsidR="00A561BE" w:rsidRDefault="00A561BE" w:rsidP="0086275C">
      <w:pPr>
        <w:pStyle w:val="CET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561BE" w14:paraId="13DFC1C8" w14:textId="77777777" w:rsidTr="00F429AF">
        <w:tc>
          <w:tcPr>
            <w:tcW w:w="4388" w:type="dxa"/>
          </w:tcPr>
          <w:p w14:paraId="69E9B558" w14:textId="77777777" w:rsidR="00A561BE" w:rsidRDefault="00A561BE" w:rsidP="00112128">
            <w:pPr>
              <w:pStyle w:val="CETBodytext"/>
              <w:jc w:val="center"/>
              <w:rPr>
                <w:b/>
              </w:rPr>
            </w:pPr>
            <w:r w:rsidRPr="00B1188D">
              <w:rPr>
                <w:b/>
                <w:noProof/>
              </w:rPr>
              <w:lastRenderedPageBreak/>
              <w:drawing>
                <wp:inline distT="0" distB="0" distL="0" distR="0" wp14:anchorId="256FC843" wp14:editId="3351EA75">
                  <wp:extent cx="2468118" cy="1626923"/>
                  <wp:effectExtent l="0" t="0" r="8890" b="0"/>
                  <wp:docPr id="6560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163" t="3856" r="3241" b="7173"/>
                          <a:stretch/>
                        </pic:blipFill>
                        <pic:spPr bwMode="auto">
                          <a:xfrm>
                            <a:off x="0" y="0"/>
                            <a:ext cx="2475957" cy="16320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89" w:type="dxa"/>
          </w:tcPr>
          <w:p w14:paraId="45DEEABA" w14:textId="77777777" w:rsidR="00A561BE" w:rsidRDefault="00A561BE" w:rsidP="00112128">
            <w:pPr>
              <w:pStyle w:val="CETBodytext"/>
              <w:jc w:val="center"/>
              <w:rPr>
                <w:b/>
              </w:rPr>
            </w:pPr>
            <w:r w:rsidRPr="00153486">
              <w:rPr>
                <w:b/>
                <w:noProof/>
              </w:rPr>
              <w:drawing>
                <wp:inline distT="0" distB="0" distL="0" distR="0" wp14:anchorId="77D45E7B" wp14:editId="59D3313C">
                  <wp:extent cx="2496827" cy="1628372"/>
                  <wp:effectExtent l="0" t="0" r="0" b="0"/>
                  <wp:docPr id="1954676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523" t="4114" r="2693" b="7684"/>
                          <a:stretch/>
                        </pic:blipFill>
                        <pic:spPr bwMode="auto">
                          <a:xfrm>
                            <a:off x="0" y="0"/>
                            <a:ext cx="2496827" cy="162837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561BE" w14:paraId="7FD78DE2" w14:textId="77777777" w:rsidTr="00F429AF">
        <w:tc>
          <w:tcPr>
            <w:tcW w:w="4388" w:type="dxa"/>
          </w:tcPr>
          <w:p w14:paraId="0A19D1D4" w14:textId="77777777" w:rsidR="00A561BE" w:rsidRPr="00BF37A3" w:rsidRDefault="00A561BE" w:rsidP="00F429AF">
            <w:pPr>
              <w:pStyle w:val="CETBodytext"/>
              <w:jc w:val="center"/>
              <w:rPr>
                <w:lang w:val="en-GB"/>
              </w:rPr>
            </w:pPr>
            <w:r w:rsidRPr="00BF37A3">
              <w:rPr>
                <w:lang w:val="en-GB"/>
              </w:rPr>
              <w:t>(a)</w:t>
            </w:r>
          </w:p>
        </w:tc>
        <w:tc>
          <w:tcPr>
            <w:tcW w:w="4389" w:type="dxa"/>
          </w:tcPr>
          <w:p w14:paraId="1B936006" w14:textId="77777777" w:rsidR="00A561BE" w:rsidRPr="00BF37A3" w:rsidRDefault="00A561BE" w:rsidP="00F429AF">
            <w:pPr>
              <w:pStyle w:val="CETBodytext"/>
              <w:jc w:val="center"/>
              <w:rPr>
                <w:lang w:val="en-GB"/>
              </w:rPr>
            </w:pPr>
            <w:r w:rsidRPr="00BF37A3">
              <w:rPr>
                <w:lang w:val="en-GB"/>
              </w:rPr>
              <w:t>(b)</w:t>
            </w:r>
          </w:p>
        </w:tc>
      </w:tr>
    </w:tbl>
    <w:p w14:paraId="705C57BA" w14:textId="509B5C54" w:rsidR="00A561BE" w:rsidRPr="00621ED7" w:rsidRDefault="00A561BE" w:rsidP="00621ED7">
      <w:pPr>
        <w:pStyle w:val="Caption"/>
        <w:rPr>
          <w:b w:val="0"/>
          <w:i/>
          <w:color w:val="auto"/>
          <w:szCs w:val="20"/>
        </w:rPr>
      </w:pPr>
      <w:bookmarkStart w:id="5" w:name="_Ref223215815"/>
      <w:r w:rsidRPr="003F02BB">
        <w:rPr>
          <w:b w:val="0"/>
          <w:i/>
          <w:color w:val="auto"/>
          <w:szCs w:val="20"/>
        </w:rPr>
        <w:t xml:space="preserve">Figure </w:t>
      </w:r>
      <w:r w:rsidRPr="003F02BB">
        <w:rPr>
          <w:b w:val="0"/>
          <w:i/>
          <w:color w:val="auto"/>
          <w:szCs w:val="20"/>
        </w:rPr>
        <w:fldChar w:fldCharType="begin"/>
      </w:r>
      <w:r w:rsidRPr="003F02BB">
        <w:rPr>
          <w:b w:val="0"/>
          <w:i/>
          <w:color w:val="auto"/>
          <w:szCs w:val="20"/>
        </w:rPr>
        <w:instrText xml:space="preserve"> SEQ Figure \* ARABIC </w:instrText>
      </w:r>
      <w:r w:rsidRPr="003F02BB">
        <w:rPr>
          <w:b w:val="0"/>
          <w:i/>
          <w:color w:val="auto"/>
          <w:szCs w:val="20"/>
        </w:rPr>
        <w:fldChar w:fldCharType="separate"/>
      </w:r>
      <w:r w:rsidR="00E1075E">
        <w:rPr>
          <w:b w:val="0"/>
          <w:i/>
          <w:noProof/>
          <w:color w:val="auto"/>
          <w:szCs w:val="20"/>
        </w:rPr>
        <w:t>1</w:t>
      </w:r>
      <w:r w:rsidRPr="003F02BB">
        <w:rPr>
          <w:b w:val="0"/>
          <w:i/>
          <w:color w:val="auto"/>
          <w:szCs w:val="20"/>
        </w:rPr>
        <w:fldChar w:fldCharType="end"/>
      </w:r>
      <w:bookmarkEnd w:id="5"/>
      <w:r>
        <w:rPr>
          <w:b w:val="0"/>
          <w:i/>
          <w:color w:val="auto"/>
          <w:szCs w:val="20"/>
        </w:rPr>
        <w:t>: (a)</w:t>
      </w:r>
      <w:r w:rsidRPr="00C449D8">
        <w:rPr>
          <w:b w:val="0"/>
          <w:i/>
          <w:color w:val="auto"/>
          <w:szCs w:val="20"/>
        </w:rPr>
        <w:t xml:space="preserve"> XRD diffractogram for Co</w:t>
      </w:r>
      <w:r w:rsidRPr="00C449D8">
        <w:rPr>
          <w:b w:val="0"/>
          <w:i/>
          <w:color w:val="auto"/>
          <w:szCs w:val="20"/>
          <w:vertAlign w:val="subscript"/>
        </w:rPr>
        <w:t>6</w:t>
      </w:r>
      <w:r w:rsidRPr="00C449D8">
        <w:rPr>
          <w:b w:val="0"/>
          <w:i/>
          <w:color w:val="auto"/>
          <w:szCs w:val="20"/>
        </w:rPr>
        <w:t>/MnO</w:t>
      </w:r>
      <w:r w:rsidRPr="00C449D8">
        <w:rPr>
          <w:b w:val="0"/>
          <w:i/>
          <w:color w:val="auto"/>
          <w:szCs w:val="20"/>
          <w:vertAlign w:val="subscript"/>
        </w:rPr>
        <w:t>x</w:t>
      </w:r>
      <w:r w:rsidRPr="00C449D8">
        <w:rPr>
          <w:b w:val="0"/>
          <w:i/>
          <w:color w:val="auto"/>
          <w:szCs w:val="20"/>
        </w:rPr>
        <w:t xml:space="preserve"> catalyst</w:t>
      </w:r>
      <w:r>
        <w:rPr>
          <w:b w:val="0"/>
          <w:i/>
          <w:color w:val="auto"/>
          <w:szCs w:val="20"/>
        </w:rPr>
        <w:t xml:space="preserve">. (b) </w:t>
      </w:r>
      <w:r w:rsidRPr="00C449D8">
        <w:rPr>
          <w:b w:val="0"/>
          <w:i/>
          <w:color w:val="auto"/>
          <w:szCs w:val="20"/>
        </w:rPr>
        <w:t>Raman spectra for A</w:t>
      </w:r>
      <w:r>
        <w:rPr>
          <w:b w:val="0"/>
          <w:i/>
          <w:color w:val="auto"/>
          <w:szCs w:val="20"/>
        </w:rPr>
        <w:t>A</w:t>
      </w:r>
      <w:r w:rsidRPr="00C449D8">
        <w:rPr>
          <w:b w:val="0"/>
          <w:i/>
          <w:color w:val="auto"/>
          <w:szCs w:val="20"/>
        </w:rPr>
        <w:t xml:space="preserve">C, </w:t>
      </w:r>
      <w:r>
        <w:rPr>
          <w:b w:val="0"/>
          <w:i/>
          <w:color w:val="auto"/>
          <w:szCs w:val="20"/>
        </w:rPr>
        <w:t>Co</w:t>
      </w:r>
      <w:r w:rsidRPr="00C449D8">
        <w:rPr>
          <w:b w:val="0"/>
          <w:i/>
          <w:color w:val="auto"/>
          <w:szCs w:val="20"/>
          <w:vertAlign w:val="subscript"/>
        </w:rPr>
        <w:t>6</w:t>
      </w:r>
      <w:r>
        <w:rPr>
          <w:b w:val="0"/>
          <w:i/>
          <w:color w:val="auto"/>
          <w:szCs w:val="20"/>
        </w:rPr>
        <w:t>/MnO</w:t>
      </w:r>
      <w:r w:rsidRPr="00C449D8">
        <w:rPr>
          <w:b w:val="0"/>
          <w:i/>
          <w:color w:val="auto"/>
          <w:szCs w:val="20"/>
          <w:vertAlign w:val="subscript"/>
        </w:rPr>
        <w:t>x</w:t>
      </w:r>
      <w:r>
        <w:rPr>
          <w:b w:val="0"/>
          <w:i/>
          <w:color w:val="auto"/>
          <w:szCs w:val="20"/>
        </w:rPr>
        <w:t xml:space="preserve"> c</w:t>
      </w:r>
      <w:r w:rsidRPr="00C449D8">
        <w:rPr>
          <w:b w:val="0"/>
          <w:i/>
          <w:color w:val="auto"/>
          <w:szCs w:val="20"/>
        </w:rPr>
        <w:t>at</w:t>
      </w:r>
      <w:r>
        <w:rPr>
          <w:b w:val="0"/>
          <w:i/>
          <w:color w:val="auto"/>
          <w:szCs w:val="20"/>
        </w:rPr>
        <w:t>alyst</w:t>
      </w:r>
      <w:r w:rsidRPr="00C449D8">
        <w:rPr>
          <w:b w:val="0"/>
          <w:i/>
          <w:color w:val="auto"/>
          <w:szCs w:val="20"/>
        </w:rPr>
        <w:t xml:space="preserve">, and </w:t>
      </w:r>
      <w:r>
        <w:rPr>
          <w:b w:val="0"/>
          <w:i/>
          <w:color w:val="auto"/>
          <w:szCs w:val="20"/>
        </w:rPr>
        <w:t>AAC/Co</w:t>
      </w:r>
      <w:r w:rsidRPr="00C449D8">
        <w:rPr>
          <w:b w:val="0"/>
          <w:i/>
          <w:color w:val="auto"/>
          <w:szCs w:val="20"/>
          <w:vertAlign w:val="subscript"/>
        </w:rPr>
        <w:t>6</w:t>
      </w:r>
      <w:r>
        <w:rPr>
          <w:b w:val="0"/>
          <w:i/>
          <w:color w:val="auto"/>
          <w:szCs w:val="20"/>
        </w:rPr>
        <w:t>/MnO</w:t>
      </w:r>
      <w:r w:rsidRPr="00C449D8">
        <w:rPr>
          <w:b w:val="0"/>
          <w:i/>
          <w:color w:val="auto"/>
          <w:szCs w:val="20"/>
          <w:vertAlign w:val="subscript"/>
        </w:rPr>
        <w:t>x</w:t>
      </w:r>
      <w:r>
        <w:rPr>
          <w:b w:val="0"/>
          <w:i/>
          <w:color w:val="auto"/>
          <w:szCs w:val="20"/>
        </w:rPr>
        <w:t xml:space="preserve"> mixture.</w:t>
      </w:r>
    </w:p>
    <w:p w14:paraId="7027B145" w14:textId="508EA24A" w:rsidR="00501D53" w:rsidRPr="00501D53" w:rsidRDefault="00227A00" w:rsidP="00501D53">
      <w:pPr>
        <w:pStyle w:val="CETHeading1"/>
        <w:numPr>
          <w:ilvl w:val="1"/>
          <w:numId w:val="26"/>
        </w:numPr>
        <w:rPr>
          <w:rFonts w:cs="Arial"/>
          <w:b w:val="0"/>
          <w:bCs/>
          <w:szCs w:val="18"/>
        </w:rPr>
      </w:pPr>
      <w:r>
        <w:rPr>
          <w:rFonts w:cs="Arial"/>
          <w:sz w:val="18"/>
          <w:szCs w:val="18"/>
        </w:rPr>
        <w:t xml:space="preserve">Process for </w:t>
      </w:r>
      <w:r w:rsidR="00C24272" w:rsidRPr="00227A00">
        <w:rPr>
          <w:rFonts w:cs="Arial"/>
          <w:sz w:val="18"/>
          <w:szCs w:val="18"/>
        </w:rPr>
        <w:t>CO</w:t>
      </w:r>
      <w:r w:rsidR="00C24272" w:rsidRPr="00227A00">
        <w:rPr>
          <w:rFonts w:cs="Arial"/>
          <w:sz w:val="18"/>
          <w:szCs w:val="18"/>
          <w:vertAlign w:val="subscript"/>
        </w:rPr>
        <w:t>2</w:t>
      </w:r>
      <w:r w:rsidR="00C24272" w:rsidRPr="00227A00">
        <w:rPr>
          <w:rFonts w:cs="Arial"/>
          <w:sz w:val="18"/>
          <w:szCs w:val="18"/>
        </w:rPr>
        <w:t xml:space="preserve"> conversion to hydrocarbons</w:t>
      </w:r>
    </w:p>
    <w:p w14:paraId="50A412D1" w14:textId="66237669" w:rsidR="00501D53" w:rsidRDefault="00501D53" w:rsidP="00213129">
      <w:pPr>
        <w:pStyle w:val="CETReferencetext"/>
        <w:ind w:left="0" w:firstLine="0"/>
        <w:rPr>
          <w:rFonts w:cs="Arial"/>
          <w:szCs w:val="18"/>
          <w:lang w:val="en-US"/>
        </w:rPr>
      </w:pPr>
      <w:r>
        <w:rPr>
          <w:rFonts w:cs="Arial"/>
          <w:szCs w:val="18"/>
          <w:lang w:val="en-US"/>
        </w:rPr>
        <w:t xml:space="preserve">In an experimental design with 12 tests at </w:t>
      </w:r>
      <w:r w:rsidRPr="00227A00">
        <w:rPr>
          <w:rFonts w:cs="Arial"/>
          <w:szCs w:val="18"/>
          <w:lang w:val="en-US"/>
        </w:rPr>
        <w:t>220, 240, and 260 °C</w:t>
      </w:r>
      <w:r>
        <w:t>, with and without AAC and Co</w:t>
      </w:r>
      <w:r w:rsidRPr="00501D53">
        <w:rPr>
          <w:vertAlign w:val="subscript"/>
        </w:rPr>
        <w:t>6</w:t>
      </w:r>
      <w:r>
        <w:t>/MnO</w:t>
      </w:r>
      <w:r w:rsidRPr="00501D53">
        <w:rPr>
          <w:vertAlign w:val="subscript"/>
        </w:rPr>
        <w:t>x</w:t>
      </w:r>
      <w:r>
        <w:t xml:space="preserve">, the </w:t>
      </w:r>
      <w:r w:rsidRPr="00227A00">
        <w:rPr>
          <w:rFonts w:cs="Arial"/>
          <w:szCs w:val="18"/>
          <w:lang w:val="en-US"/>
        </w:rPr>
        <w:t xml:space="preserve">highest </w:t>
      </w:r>
      <w:r>
        <w:rPr>
          <w:rFonts w:cs="Arial"/>
          <w:szCs w:val="18"/>
          <w:lang w:val="en-US"/>
        </w:rPr>
        <w:t>liquid volume</w:t>
      </w:r>
      <w:r w:rsidRPr="00227A00">
        <w:rPr>
          <w:rFonts w:cs="Arial"/>
          <w:szCs w:val="18"/>
          <w:lang w:val="en-US"/>
        </w:rPr>
        <w:t xml:space="preserve"> was obtained at</w:t>
      </w:r>
      <w:r>
        <w:rPr>
          <w:rFonts w:cs="Arial"/>
          <w:szCs w:val="18"/>
          <w:lang w:val="en-US"/>
        </w:rPr>
        <w:t xml:space="preserve"> </w:t>
      </w:r>
      <w:r>
        <w:t xml:space="preserve">260 </w:t>
      </w:r>
      <w:r>
        <w:rPr>
          <w:rFonts w:cs="Arial"/>
        </w:rPr>
        <w:t>°</w:t>
      </w:r>
      <w:r>
        <w:t>C using the AAC/Co</w:t>
      </w:r>
      <w:r w:rsidR="006230D9" w:rsidRPr="006230D9">
        <w:rPr>
          <w:vertAlign w:val="subscript"/>
        </w:rPr>
        <w:t>6</w:t>
      </w:r>
      <w:r>
        <w:t>/</w:t>
      </w:r>
      <w:r w:rsidR="00E82902">
        <w:t>MnO</w:t>
      </w:r>
      <w:r w:rsidR="00E82902" w:rsidRPr="00501D53">
        <w:rPr>
          <w:vertAlign w:val="subscript"/>
        </w:rPr>
        <w:t>x</w:t>
      </w:r>
      <w:r>
        <w:t xml:space="preserve"> mixture. Under these conditions, the liquid yield increased by </w:t>
      </w:r>
      <w:r w:rsidRPr="00501D53">
        <w:rPr>
          <w:rStyle w:val="Strong"/>
          <w:b w:val="0"/>
          <w:bCs w:val="0"/>
        </w:rPr>
        <w:t>24.37</w:t>
      </w:r>
      <w:r w:rsidR="0055366D">
        <w:rPr>
          <w:rStyle w:val="Strong"/>
          <w:b w:val="0"/>
          <w:bCs w:val="0"/>
        </w:rPr>
        <w:t xml:space="preserve"> </w:t>
      </w:r>
      <w:r w:rsidRPr="00501D53">
        <w:rPr>
          <w:rStyle w:val="Strong"/>
          <w:b w:val="0"/>
          <w:bCs w:val="0"/>
        </w:rPr>
        <w:t>% relative to the initial squalane mass</w:t>
      </w:r>
      <w:r w:rsidRPr="00501D53">
        <w:rPr>
          <w:b/>
          <w:bCs/>
        </w:rPr>
        <w:t>,</w:t>
      </w:r>
      <w:r>
        <w:t xml:space="preserve"> as shown in </w:t>
      </w:r>
      <w:r w:rsidR="00992C8B">
        <w:fldChar w:fldCharType="begin"/>
      </w:r>
      <w:r w:rsidR="00992C8B">
        <w:instrText xml:space="preserve"> REF _Ref226188011 \h </w:instrText>
      </w:r>
      <w:r w:rsidR="00992C8B">
        <w:fldChar w:fldCharType="separate"/>
      </w:r>
      <w:r w:rsidR="00E1075E" w:rsidRPr="006B4B56">
        <w:t xml:space="preserve">Table </w:t>
      </w:r>
      <w:r w:rsidR="00E1075E">
        <w:rPr>
          <w:noProof/>
        </w:rPr>
        <w:t>2</w:t>
      </w:r>
      <w:r w:rsidR="00992C8B">
        <w:fldChar w:fldCharType="end"/>
      </w:r>
      <w:r>
        <w:t>. This is attributed to enhanced CO</w:t>
      </w:r>
      <w:r w:rsidRPr="00501D53">
        <w:rPr>
          <w:vertAlign w:val="subscript"/>
        </w:rPr>
        <w:t>2</w:t>
      </w:r>
      <w:r>
        <w:t xml:space="preserve"> activation and selectivity </w:t>
      </w:r>
      <w:r w:rsidR="00163D76">
        <w:rPr>
          <w:rFonts w:cs="Arial"/>
          <w:szCs w:val="18"/>
          <w:lang w:val="en-US"/>
        </w:rPr>
        <w:t>toward useful products, such as methanol, olefins, and hydrocarbons</w:t>
      </w:r>
      <w:r>
        <w:t xml:space="preserve">. In addition, this condition </w:t>
      </w:r>
      <w:r w:rsidRPr="00DD10CC">
        <w:t xml:space="preserve">produced </w:t>
      </w:r>
      <w:r w:rsidRPr="00DD10CC">
        <w:rPr>
          <w:rStyle w:val="Strong"/>
          <w:b w:val="0"/>
          <w:bCs w:val="0"/>
        </w:rPr>
        <w:t>27.88</w:t>
      </w:r>
      <w:r w:rsidR="0055366D">
        <w:rPr>
          <w:rStyle w:val="Strong"/>
          <w:b w:val="0"/>
          <w:bCs w:val="0"/>
        </w:rPr>
        <w:t xml:space="preserve"> </w:t>
      </w:r>
      <w:r w:rsidRPr="00DD10CC">
        <w:rPr>
          <w:rStyle w:val="Strong"/>
          <w:b w:val="0"/>
          <w:bCs w:val="0"/>
        </w:rPr>
        <w:t>% more liquid</w:t>
      </w:r>
      <w:r w:rsidRPr="00DD10CC">
        <w:rPr>
          <w:b/>
          <w:bCs/>
        </w:rPr>
        <w:t xml:space="preserve"> </w:t>
      </w:r>
      <w:r w:rsidRPr="00DD10CC">
        <w:t>than</w:t>
      </w:r>
      <w:r>
        <w:t xml:space="preserve"> the reference test without AAC or catalyst at the same temperature, </w:t>
      </w:r>
      <w:r w:rsidR="006E4309">
        <w:t>resulting in greater catalytic efficiency and stabilization of the bimetallic catalyst on</w:t>
      </w:r>
      <w:r w:rsidR="00DD10CC" w:rsidRPr="00227A00">
        <w:rPr>
          <w:rFonts w:cs="Arial"/>
          <w:szCs w:val="18"/>
          <w:lang w:val="en-US"/>
        </w:rPr>
        <w:t xml:space="preserve"> </w:t>
      </w:r>
      <w:r w:rsidR="00283DBF">
        <w:rPr>
          <w:rFonts w:cs="Arial"/>
          <w:szCs w:val="18"/>
          <w:lang w:val="en-US"/>
        </w:rPr>
        <w:t>AAC</w:t>
      </w:r>
      <w:r w:rsidR="00DD10CC" w:rsidRPr="00227A00">
        <w:rPr>
          <w:rFonts w:cs="Arial"/>
          <w:szCs w:val="18"/>
          <w:lang w:val="en-US"/>
        </w:rPr>
        <w:t xml:space="preserve">, </w:t>
      </w:r>
      <w:r w:rsidR="00DD10CC" w:rsidRPr="00D91529">
        <w:rPr>
          <w:rFonts w:cs="Arial"/>
          <w:szCs w:val="18"/>
          <w:lang w:val="en-US"/>
        </w:rPr>
        <w:t>thereby promoting CO</w:t>
      </w:r>
      <w:r w:rsidR="00DD10CC" w:rsidRPr="00D91529">
        <w:rPr>
          <w:rFonts w:cs="Arial"/>
          <w:szCs w:val="18"/>
          <w:vertAlign w:val="subscript"/>
          <w:lang w:val="en-US"/>
        </w:rPr>
        <w:t>2</w:t>
      </w:r>
      <w:r w:rsidR="00DD10CC" w:rsidRPr="00D91529">
        <w:rPr>
          <w:rFonts w:cs="Arial"/>
          <w:szCs w:val="18"/>
          <w:lang w:val="en-US"/>
        </w:rPr>
        <w:t xml:space="preserve"> adsorption and conversion </w:t>
      </w:r>
      <w:r w:rsidRPr="00D91529">
        <w:t xml:space="preserve">(Brunner et al., 2009). </w:t>
      </w:r>
      <w:r w:rsidR="00FE5070">
        <w:t>Finally</w:t>
      </w:r>
      <w:r w:rsidRPr="00D91529">
        <w:t xml:space="preserve">, tests without AAC </w:t>
      </w:r>
      <w:r w:rsidR="002A2EC9">
        <w:t>and</w:t>
      </w:r>
      <w:r w:rsidRPr="00D91529">
        <w:t xml:space="preserve"> catalyst </w:t>
      </w:r>
      <w:r w:rsidR="00FE5070">
        <w:t xml:space="preserve">resulted in negative liquid yields, due to loss of the initial liquid phase and </w:t>
      </w:r>
      <w:r w:rsidR="00D91529">
        <w:t xml:space="preserve">preferential formation </w:t>
      </w:r>
      <w:r w:rsidR="00283DBF">
        <w:t>of gas</w:t>
      </w:r>
      <w:r w:rsidR="00D91529">
        <w:t xml:space="preserve"> products.</w:t>
      </w:r>
    </w:p>
    <w:p w14:paraId="4FA03D51" w14:textId="1D561503" w:rsidR="006C1E63" w:rsidRPr="00B57B36" w:rsidRDefault="006C1E63" w:rsidP="0055656F">
      <w:pPr>
        <w:pStyle w:val="CETTabletitle"/>
      </w:pPr>
      <w:bookmarkStart w:id="6" w:name="_Ref226188011"/>
      <w:r w:rsidRPr="006B4B56">
        <w:t xml:space="preserve">Table </w:t>
      </w:r>
      <w:r w:rsidRPr="006B4B56">
        <w:fldChar w:fldCharType="begin"/>
      </w:r>
      <w:r w:rsidRPr="006B4B56">
        <w:instrText xml:space="preserve"> SEQ Table \* ARABIC </w:instrText>
      </w:r>
      <w:r w:rsidRPr="006B4B56">
        <w:fldChar w:fldCharType="separate"/>
      </w:r>
      <w:r w:rsidR="00E1075E">
        <w:rPr>
          <w:noProof/>
        </w:rPr>
        <w:t>2</w:t>
      </w:r>
      <w:r w:rsidRPr="006B4B56">
        <w:fldChar w:fldCharType="end"/>
      </w:r>
      <w:bookmarkEnd w:id="6"/>
      <w:r w:rsidRPr="00B57B36">
        <w:t xml:space="preserve">: </w:t>
      </w:r>
      <w:r w:rsidR="00992C8B">
        <w:t>Liquid yield for all experimental tests</w:t>
      </w:r>
      <w:r>
        <w:t>.</w:t>
      </w:r>
    </w:p>
    <w:tbl>
      <w:tblPr>
        <w:tblW w:w="7030"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4"/>
        <w:gridCol w:w="1531"/>
        <w:gridCol w:w="1984"/>
        <w:gridCol w:w="1531"/>
      </w:tblGrid>
      <w:tr w:rsidR="0013460D" w:rsidRPr="00B57B36" w14:paraId="3253006D" w14:textId="77777777" w:rsidTr="0013460D">
        <w:trPr>
          <w:jc w:val="center"/>
        </w:trPr>
        <w:tc>
          <w:tcPr>
            <w:tcW w:w="1984" w:type="dxa"/>
            <w:tcBorders>
              <w:top w:val="single" w:sz="12" w:space="0" w:color="008000"/>
              <w:bottom w:val="single" w:sz="6" w:space="0" w:color="008000"/>
            </w:tcBorders>
            <w:shd w:val="clear" w:color="auto" w:fill="FFFFFF"/>
          </w:tcPr>
          <w:p w14:paraId="515D1BC6" w14:textId="77777777" w:rsidR="0013460D" w:rsidRPr="00F759BB" w:rsidRDefault="0013460D" w:rsidP="008E7842">
            <w:pPr>
              <w:pStyle w:val="CETBodytext"/>
              <w:jc w:val="center"/>
              <w:rPr>
                <w:szCs w:val="18"/>
                <w:lang w:val="en-GB"/>
              </w:rPr>
            </w:pPr>
            <w:r w:rsidRPr="00F759BB">
              <w:rPr>
                <w:szCs w:val="18"/>
              </w:rPr>
              <w:t>Sample</w:t>
            </w:r>
          </w:p>
        </w:tc>
        <w:tc>
          <w:tcPr>
            <w:tcW w:w="1531" w:type="dxa"/>
            <w:tcBorders>
              <w:top w:val="single" w:sz="12" w:space="0" w:color="008000"/>
              <w:bottom w:val="single" w:sz="6" w:space="0" w:color="008000"/>
            </w:tcBorders>
            <w:shd w:val="clear" w:color="auto" w:fill="FFFFFF"/>
          </w:tcPr>
          <w:p w14:paraId="7BFF627A" w14:textId="0BD96108" w:rsidR="0013460D" w:rsidRPr="00F759BB" w:rsidRDefault="0013460D" w:rsidP="008E7842">
            <w:pPr>
              <w:pStyle w:val="CETBodytext"/>
              <w:jc w:val="center"/>
              <w:rPr>
                <w:szCs w:val="18"/>
                <w:lang w:val="en-GB"/>
              </w:rPr>
            </w:pPr>
            <w:r w:rsidRPr="00F759BB">
              <w:rPr>
                <w:szCs w:val="18"/>
              </w:rPr>
              <w:t>Liquid yield (%)</w:t>
            </w:r>
          </w:p>
        </w:tc>
        <w:tc>
          <w:tcPr>
            <w:tcW w:w="1984" w:type="dxa"/>
            <w:tcBorders>
              <w:top w:val="single" w:sz="12" w:space="0" w:color="008000"/>
              <w:bottom w:val="single" w:sz="6" w:space="0" w:color="008000"/>
            </w:tcBorders>
            <w:shd w:val="clear" w:color="auto" w:fill="FFFFFF"/>
          </w:tcPr>
          <w:p w14:paraId="16F83838" w14:textId="079A2234" w:rsidR="0013460D" w:rsidRPr="00F759BB" w:rsidRDefault="0013460D" w:rsidP="008E7842">
            <w:pPr>
              <w:pStyle w:val="CETBodytext"/>
              <w:ind w:right="-1"/>
              <w:jc w:val="center"/>
              <w:rPr>
                <w:szCs w:val="18"/>
              </w:rPr>
            </w:pPr>
            <w:r w:rsidRPr="00F759BB">
              <w:rPr>
                <w:szCs w:val="18"/>
              </w:rPr>
              <w:t>Sample</w:t>
            </w:r>
          </w:p>
        </w:tc>
        <w:tc>
          <w:tcPr>
            <w:tcW w:w="1531" w:type="dxa"/>
            <w:tcBorders>
              <w:top w:val="single" w:sz="12" w:space="0" w:color="008000"/>
              <w:bottom w:val="single" w:sz="6" w:space="0" w:color="008000"/>
            </w:tcBorders>
            <w:shd w:val="clear" w:color="auto" w:fill="FFFFFF"/>
          </w:tcPr>
          <w:p w14:paraId="1A72CAA8" w14:textId="4E2833BE" w:rsidR="0013460D" w:rsidRPr="00F759BB" w:rsidRDefault="0013460D" w:rsidP="008E7842">
            <w:pPr>
              <w:pStyle w:val="CETBodytext"/>
              <w:ind w:right="-1"/>
              <w:jc w:val="center"/>
              <w:rPr>
                <w:szCs w:val="18"/>
              </w:rPr>
            </w:pPr>
            <w:r w:rsidRPr="00F759BB">
              <w:rPr>
                <w:szCs w:val="18"/>
              </w:rPr>
              <w:t>Liquid yield (%)</w:t>
            </w:r>
          </w:p>
        </w:tc>
      </w:tr>
      <w:tr w:rsidR="0013460D" w:rsidRPr="00B57B36" w14:paraId="121F517B" w14:textId="77777777" w:rsidTr="0013460D">
        <w:trPr>
          <w:jc w:val="center"/>
        </w:trPr>
        <w:tc>
          <w:tcPr>
            <w:tcW w:w="1984" w:type="dxa"/>
            <w:shd w:val="clear" w:color="auto" w:fill="FFFFFF"/>
            <w:vAlign w:val="center"/>
          </w:tcPr>
          <w:p w14:paraId="354424F3" w14:textId="41E66E62" w:rsidR="0013460D" w:rsidRPr="00F759BB" w:rsidRDefault="0013460D" w:rsidP="0013460D">
            <w:pPr>
              <w:pStyle w:val="CETBodytext"/>
              <w:ind w:right="-1"/>
              <w:jc w:val="center"/>
              <w:rPr>
                <w:rFonts w:cs="Arial"/>
                <w:szCs w:val="18"/>
                <w:lang w:val="en-GB"/>
              </w:rPr>
            </w:pPr>
            <w:r w:rsidRPr="00F759BB">
              <w:rPr>
                <w:szCs w:val="18"/>
              </w:rPr>
              <w:t>(</w:t>
            </w:r>
            <w:proofErr w:type="gramStart"/>
            <w:r w:rsidRPr="00F759BB">
              <w:rPr>
                <w:szCs w:val="18"/>
              </w:rPr>
              <w:t>-)AAC</w:t>
            </w:r>
            <w:proofErr w:type="gramEnd"/>
            <w:r w:rsidRPr="00F759BB">
              <w:rPr>
                <w:szCs w:val="18"/>
              </w:rPr>
              <w:t xml:space="preserve"> (+)Cat, 220°C</w:t>
            </w:r>
          </w:p>
        </w:tc>
        <w:tc>
          <w:tcPr>
            <w:tcW w:w="1531" w:type="dxa"/>
            <w:shd w:val="clear" w:color="auto" w:fill="FFFFFF"/>
          </w:tcPr>
          <w:p w14:paraId="124A3F78" w14:textId="6B80AB56" w:rsidR="0013460D" w:rsidRPr="00F759BB" w:rsidRDefault="0013460D" w:rsidP="0013460D">
            <w:pPr>
              <w:pStyle w:val="CETBodytext"/>
              <w:ind w:right="-1"/>
              <w:jc w:val="center"/>
              <w:rPr>
                <w:rFonts w:cs="Arial"/>
                <w:szCs w:val="18"/>
                <w:lang w:val="en-GB"/>
              </w:rPr>
            </w:pPr>
            <w:r w:rsidRPr="00F759BB">
              <w:rPr>
                <w:szCs w:val="18"/>
              </w:rPr>
              <w:t>16.07</w:t>
            </w:r>
            <w:r w:rsidRPr="005B5F88">
              <w:t xml:space="preserve"> ± 0.</w:t>
            </w:r>
            <w:r>
              <w:t>53</w:t>
            </w:r>
          </w:p>
        </w:tc>
        <w:tc>
          <w:tcPr>
            <w:tcW w:w="1984" w:type="dxa"/>
            <w:shd w:val="clear" w:color="auto" w:fill="FFFFFF"/>
            <w:vAlign w:val="center"/>
          </w:tcPr>
          <w:p w14:paraId="2D745643" w14:textId="048124FF" w:rsidR="0013460D" w:rsidRPr="00F759BB" w:rsidRDefault="0013460D" w:rsidP="0013460D">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220°C</w:t>
            </w:r>
          </w:p>
        </w:tc>
        <w:tc>
          <w:tcPr>
            <w:tcW w:w="1531" w:type="dxa"/>
            <w:shd w:val="clear" w:color="auto" w:fill="FFFFFF"/>
          </w:tcPr>
          <w:p w14:paraId="0831AE0F" w14:textId="287AC085" w:rsidR="0013460D" w:rsidRPr="00F759BB" w:rsidRDefault="0013460D" w:rsidP="0013460D">
            <w:pPr>
              <w:pStyle w:val="CETBodytext"/>
              <w:ind w:right="-1"/>
              <w:jc w:val="center"/>
              <w:rPr>
                <w:szCs w:val="18"/>
              </w:rPr>
            </w:pPr>
            <w:r w:rsidRPr="00F759BB">
              <w:rPr>
                <w:rFonts w:cs="Arial"/>
                <w:szCs w:val="18"/>
                <w:lang w:val="en-GB"/>
              </w:rPr>
              <w:t>1.41</w:t>
            </w:r>
            <w:r w:rsidRPr="005B5F88">
              <w:t xml:space="preserve"> ± 0.</w:t>
            </w:r>
            <w:r>
              <w:t>0</w:t>
            </w:r>
            <w:r w:rsidRPr="005B5F88">
              <w:t>8</w:t>
            </w:r>
          </w:p>
        </w:tc>
      </w:tr>
      <w:tr w:rsidR="0013460D" w:rsidRPr="00B57B36" w14:paraId="2E3D1865" w14:textId="77777777" w:rsidTr="0013460D">
        <w:trPr>
          <w:jc w:val="center"/>
        </w:trPr>
        <w:tc>
          <w:tcPr>
            <w:tcW w:w="1984" w:type="dxa"/>
            <w:shd w:val="clear" w:color="auto" w:fill="FFFFFF"/>
            <w:vAlign w:val="center"/>
          </w:tcPr>
          <w:p w14:paraId="1E302BCF" w14:textId="40257806" w:rsidR="0013460D" w:rsidRPr="00F759BB" w:rsidRDefault="0013460D" w:rsidP="0013460D">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240°C</w:t>
            </w:r>
          </w:p>
        </w:tc>
        <w:tc>
          <w:tcPr>
            <w:tcW w:w="1531" w:type="dxa"/>
            <w:shd w:val="clear" w:color="auto" w:fill="FFFFFF"/>
          </w:tcPr>
          <w:p w14:paraId="390D62EA" w14:textId="41D0D6F6" w:rsidR="0013460D" w:rsidRPr="00F759BB" w:rsidRDefault="0013460D" w:rsidP="0013460D">
            <w:pPr>
              <w:pStyle w:val="CETBodytext"/>
              <w:ind w:right="-1"/>
              <w:jc w:val="center"/>
              <w:rPr>
                <w:szCs w:val="18"/>
              </w:rPr>
            </w:pPr>
            <w:r w:rsidRPr="00F759BB">
              <w:rPr>
                <w:szCs w:val="18"/>
              </w:rPr>
              <w:t>16.26</w:t>
            </w:r>
            <w:r w:rsidRPr="005B5F88">
              <w:t xml:space="preserve"> ± 0.</w:t>
            </w:r>
            <w:r>
              <w:t>84</w:t>
            </w:r>
          </w:p>
        </w:tc>
        <w:tc>
          <w:tcPr>
            <w:tcW w:w="1984" w:type="dxa"/>
            <w:shd w:val="clear" w:color="auto" w:fill="FFFFFF"/>
            <w:vAlign w:val="center"/>
          </w:tcPr>
          <w:p w14:paraId="2FDDA840" w14:textId="5B651EFA" w:rsidR="0013460D" w:rsidRPr="00F759BB" w:rsidRDefault="0013460D" w:rsidP="0013460D">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240°C</w:t>
            </w:r>
          </w:p>
        </w:tc>
        <w:tc>
          <w:tcPr>
            <w:tcW w:w="1531" w:type="dxa"/>
            <w:shd w:val="clear" w:color="auto" w:fill="FFFFFF"/>
          </w:tcPr>
          <w:p w14:paraId="626AF08F" w14:textId="151E584D" w:rsidR="0013460D" w:rsidRPr="00F759BB" w:rsidRDefault="00152E97" w:rsidP="0013460D">
            <w:pPr>
              <w:pStyle w:val="CETBodytext"/>
              <w:ind w:right="-1"/>
              <w:jc w:val="center"/>
              <w:rPr>
                <w:szCs w:val="18"/>
              </w:rPr>
            </w:pPr>
            <w:r>
              <w:rPr>
                <w:szCs w:val="18"/>
              </w:rPr>
              <w:t>9</w:t>
            </w:r>
            <w:r w:rsidR="0013460D" w:rsidRPr="00F759BB">
              <w:rPr>
                <w:szCs w:val="18"/>
              </w:rPr>
              <w:t>.</w:t>
            </w:r>
            <w:r>
              <w:rPr>
                <w:szCs w:val="18"/>
              </w:rPr>
              <w:t>5</w:t>
            </w:r>
            <w:r w:rsidR="0013460D" w:rsidRPr="00F759BB">
              <w:rPr>
                <w:szCs w:val="18"/>
              </w:rPr>
              <w:t>0</w:t>
            </w:r>
            <w:r w:rsidR="0013460D" w:rsidRPr="005B5F88">
              <w:t xml:space="preserve"> ± 0.</w:t>
            </w:r>
            <w:r w:rsidR="0013460D">
              <w:t>12</w:t>
            </w:r>
          </w:p>
        </w:tc>
      </w:tr>
      <w:tr w:rsidR="0013460D" w:rsidRPr="00B57B36" w14:paraId="5C137B03" w14:textId="77777777" w:rsidTr="0013460D">
        <w:trPr>
          <w:jc w:val="center"/>
        </w:trPr>
        <w:tc>
          <w:tcPr>
            <w:tcW w:w="1984" w:type="dxa"/>
            <w:shd w:val="clear" w:color="auto" w:fill="FFFFFF"/>
            <w:vAlign w:val="center"/>
          </w:tcPr>
          <w:p w14:paraId="45FF65C5" w14:textId="787A6787" w:rsidR="0013460D" w:rsidRPr="00F759BB" w:rsidRDefault="0013460D" w:rsidP="0013460D">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260°C</w:t>
            </w:r>
          </w:p>
        </w:tc>
        <w:tc>
          <w:tcPr>
            <w:tcW w:w="1531" w:type="dxa"/>
            <w:shd w:val="clear" w:color="auto" w:fill="FFFFFF"/>
          </w:tcPr>
          <w:p w14:paraId="71F01559" w14:textId="61726D5D" w:rsidR="0013460D" w:rsidRPr="00F759BB" w:rsidRDefault="0013460D" w:rsidP="0013460D">
            <w:pPr>
              <w:pStyle w:val="CETBodytext"/>
              <w:ind w:right="-1"/>
              <w:jc w:val="center"/>
              <w:rPr>
                <w:szCs w:val="18"/>
              </w:rPr>
            </w:pPr>
            <w:r w:rsidRPr="00F759BB">
              <w:rPr>
                <w:szCs w:val="18"/>
              </w:rPr>
              <w:t>19.50</w:t>
            </w:r>
            <w:r w:rsidRPr="005B5F88">
              <w:t xml:space="preserve"> ± 0.</w:t>
            </w:r>
            <w:r>
              <w:t>90</w:t>
            </w:r>
          </w:p>
        </w:tc>
        <w:tc>
          <w:tcPr>
            <w:tcW w:w="1984" w:type="dxa"/>
            <w:shd w:val="clear" w:color="auto" w:fill="FFFFFF"/>
            <w:vAlign w:val="center"/>
          </w:tcPr>
          <w:p w14:paraId="3928CDCA" w14:textId="5A69182A" w:rsidR="0013460D" w:rsidRPr="00F759BB" w:rsidRDefault="0013460D" w:rsidP="0013460D">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260°C</w:t>
            </w:r>
          </w:p>
        </w:tc>
        <w:tc>
          <w:tcPr>
            <w:tcW w:w="1531" w:type="dxa"/>
            <w:shd w:val="clear" w:color="auto" w:fill="FFFFFF"/>
          </w:tcPr>
          <w:p w14:paraId="06B85F61" w14:textId="482E2FD4" w:rsidR="0013460D" w:rsidRPr="00F759BB" w:rsidRDefault="00152E97" w:rsidP="0013460D">
            <w:pPr>
              <w:pStyle w:val="CETBodytext"/>
              <w:ind w:right="-1"/>
              <w:jc w:val="center"/>
              <w:rPr>
                <w:szCs w:val="18"/>
              </w:rPr>
            </w:pPr>
            <w:r>
              <w:rPr>
                <w:szCs w:val="18"/>
              </w:rPr>
              <w:t>1</w:t>
            </w:r>
            <w:r w:rsidR="0013460D" w:rsidRPr="00F759BB">
              <w:rPr>
                <w:szCs w:val="18"/>
              </w:rPr>
              <w:t>1.14</w:t>
            </w:r>
            <w:r w:rsidR="0013460D" w:rsidRPr="005B5F88">
              <w:t xml:space="preserve"> ± 0.</w:t>
            </w:r>
            <w:r w:rsidR="0013460D">
              <w:t>58</w:t>
            </w:r>
          </w:p>
        </w:tc>
      </w:tr>
      <w:tr w:rsidR="0013460D" w:rsidRPr="00B57B36" w14:paraId="55D7EC9B" w14:textId="77777777" w:rsidTr="0013460D">
        <w:trPr>
          <w:jc w:val="center"/>
        </w:trPr>
        <w:tc>
          <w:tcPr>
            <w:tcW w:w="1984" w:type="dxa"/>
            <w:shd w:val="clear" w:color="auto" w:fill="FFFFFF"/>
            <w:vAlign w:val="center"/>
          </w:tcPr>
          <w:p w14:paraId="37F814A3" w14:textId="0AE28EB9" w:rsidR="0013460D" w:rsidRPr="00F759BB" w:rsidRDefault="0013460D" w:rsidP="008E7842">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220°C</w:t>
            </w:r>
          </w:p>
        </w:tc>
        <w:tc>
          <w:tcPr>
            <w:tcW w:w="1531" w:type="dxa"/>
            <w:shd w:val="clear" w:color="auto" w:fill="FFFFFF"/>
          </w:tcPr>
          <w:p w14:paraId="433C8EA7" w14:textId="203B658A" w:rsidR="0013460D" w:rsidRPr="00F759BB" w:rsidRDefault="0013460D" w:rsidP="008E7842">
            <w:pPr>
              <w:pStyle w:val="CETBodytext"/>
              <w:ind w:right="-1"/>
              <w:jc w:val="center"/>
              <w:rPr>
                <w:szCs w:val="18"/>
              </w:rPr>
            </w:pPr>
            <w:r w:rsidRPr="00F759BB">
              <w:rPr>
                <w:szCs w:val="18"/>
              </w:rPr>
              <w:t>18.07</w:t>
            </w:r>
            <w:r w:rsidRPr="005B5F88">
              <w:t xml:space="preserve"> ± </w:t>
            </w:r>
            <w:r>
              <w:t>0</w:t>
            </w:r>
            <w:r w:rsidRPr="005B5F88">
              <w:t>.</w:t>
            </w:r>
            <w:r>
              <w:t>92</w:t>
            </w:r>
          </w:p>
        </w:tc>
        <w:tc>
          <w:tcPr>
            <w:tcW w:w="1984" w:type="dxa"/>
            <w:shd w:val="clear" w:color="auto" w:fill="FFFFFF"/>
            <w:vAlign w:val="center"/>
          </w:tcPr>
          <w:p w14:paraId="6785E977" w14:textId="162DFBF8" w:rsidR="0013460D" w:rsidRPr="00F759BB" w:rsidRDefault="0013460D" w:rsidP="008E7842">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220°C</w:t>
            </w:r>
          </w:p>
        </w:tc>
        <w:tc>
          <w:tcPr>
            <w:tcW w:w="1531" w:type="dxa"/>
            <w:shd w:val="clear" w:color="auto" w:fill="FFFFFF"/>
          </w:tcPr>
          <w:p w14:paraId="6D06FBE8" w14:textId="037783B7" w:rsidR="0013460D" w:rsidRPr="00F759BB" w:rsidRDefault="0013460D" w:rsidP="008E7842">
            <w:pPr>
              <w:pStyle w:val="CETBodytext"/>
              <w:ind w:right="-1"/>
              <w:jc w:val="center"/>
              <w:rPr>
                <w:szCs w:val="18"/>
              </w:rPr>
            </w:pPr>
            <w:r w:rsidRPr="00F759BB">
              <w:rPr>
                <w:szCs w:val="18"/>
              </w:rPr>
              <w:t>-4.77</w:t>
            </w:r>
            <w:r w:rsidRPr="005B5F88">
              <w:t xml:space="preserve"> ± 0.</w:t>
            </w:r>
            <w:r>
              <w:t>58</w:t>
            </w:r>
          </w:p>
        </w:tc>
      </w:tr>
      <w:tr w:rsidR="0013460D" w:rsidRPr="00B57B36" w14:paraId="5897DCDF" w14:textId="77777777" w:rsidTr="0013460D">
        <w:trPr>
          <w:jc w:val="center"/>
        </w:trPr>
        <w:tc>
          <w:tcPr>
            <w:tcW w:w="1984" w:type="dxa"/>
            <w:shd w:val="clear" w:color="auto" w:fill="FFFFFF"/>
            <w:vAlign w:val="center"/>
          </w:tcPr>
          <w:p w14:paraId="67BB1E86" w14:textId="3089F93E" w:rsidR="0013460D" w:rsidRPr="00F759BB" w:rsidRDefault="0013460D" w:rsidP="008E7842">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240°C</w:t>
            </w:r>
          </w:p>
        </w:tc>
        <w:tc>
          <w:tcPr>
            <w:tcW w:w="1531" w:type="dxa"/>
            <w:shd w:val="clear" w:color="auto" w:fill="FFFFFF"/>
          </w:tcPr>
          <w:p w14:paraId="108EE156" w14:textId="70BABB5D" w:rsidR="0013460D" w:rsidRPr="00F759BB" w:rsidRDefault="0013460D" w:rsidP="008E7842">
            <w:pPr>
              <w:pStyle w:val="CETBodytext"/>
              <w:ind w:right="-1"/>
              <w:jc w:val="center"/>
              <w:rPr>
                <w:szCs w:val="18"/>
              </w:rPr>
            </w:pPr>
            <w:r w:rsidRPr="00F759BB">
              <w:rPr>
                <w:szCs w:val="18"/>
              </w:rPr>
              <w:t>22.59</w:t>
            </w:r>
            <w:r w:rsidRPr="005B5F88">
              <w:t xml:space="preserve"> ± </w:t>
            </w:r>
            <w:r>
              <w:t>0</w:t>
            </w:r>
            <w:r w:rsidRPr="005B5F88">
              <w:t>.28</w:t>
            </w:r>
          </w:p>
        </w:tc>
        <w:tc>
          <w:tcPr>
            <w:tcW w:w="1984" w:type="dxa"/>
            <w:shd w:val="clear" w:color="auto" w:fill="FFFFFF"/>
            <w:vAlign w:val="center"/>
          </w:tcPr>
          <w:p w14:paraId="005EEE72" w14:textId="370E81CA" w:rsidR="0013460D" w:rsidRPr="00F759BB" w:rsidRDefault="0013460D" w:rsidP="008E7842">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240°C</w:t>
            </w:r>
          </w:p>
        </w:tc>
        <w:tc>
          <w:tcPr>
            <w:tcW w:w="1531" w:type="dxa"/>
            <w:shd w:val="clear" w:color="auto" w:fill="FFFFFF"/>
          </w:tcPr>
          <w:p w14:paraId="77BB369D" w14:textId="58156CB6" w:rsidR="0013460D" w:rsidRPr="00F759BB" w:rsidRDefault="0013460D" w:rsidP="008E7842">
            <w:pPr>
              <w:pStyle w:val="CETBodytext"/>
              <w:ind w:right="-1"/>
              <w:jc w:val="center"/>
              <w:rPr>
                <w:szCs w:val="18"/>
              </w:rPr>
            </w:pPr>
            <w:r w:rsidRPr="00F759BB">
              <w:rPr>
                <w:szCs w:val="18"/>
              </w:rPr>
              <w:t>-4.50</w:t>
            </w:r>
            <w:r w:rsidRPr="005B5F88">
              <w:t xml:space="preserve"> ± 0.</w:t>
            </w:r>
            <w:r>
              <w:t>52</w:t>
            </w:r>
          </w:p>
        </w:tc>
      </w:tr>
      <w:tr w:rsidR="0013460D" w:rsidRPr="00B57B36" w14:paraId="2CBFF5C5" w14:textId="77777777" w:rsidTr="0013460D">
        <w:trPr>
          <w:jc w:val="center"/>
        </w:trPr>
        <w:tc>
          <w:tcPr>
            <w:tcW w:w="1984" w:type="dxa"/>
            <w:shd w:val="clear" w:color="auto" w:fill="FFFFFF"/>
            <w:vAlign w:val="center"/>
          </w:tcPr>
          <w:p w14:paraId="1E792393" w14:textId="382B958B" w:rsidR="0013460D" w:rsidRPr="00F759BB" w:rsidRDefault="0013460D" w:rsidP="008E7842">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260°C</w:t>
            </w:r>
          </w:p>
        </w:tc>
        <w:tc>
          <w:tcPr>
            <w:tcW w:w="1531" w:type="dxa"/>
            <w:shd w:val="clear" w:color="auto" w:fill="FFFFFF"/>
          </w:tcPr>
          <w:p w14:paraId="285686DC" w14:textId="52EE43E7" w:rsidR="0013460D" w:rsidRPr="006A3DDC" w:rsidRDefault="0013460D" w:rsidP="006A3DDC">
            <w:pPr>
              <w:pStyle w:val="CETBodytext"/>
              <w:ind w:right="-1"/>
              <w:jc w:val="center"/>
            </w:pPr>
            <w:r w:rsidRPr="00F759BB">
              <w:rPr>
                <w:szCs w:val="18"/>
              </w:rPr>
              <w:t>24.37</w:t>
            </w:r>
            <w:r w:rsidRPr="005B5F88">
              <w:t xml:space="preserve"> ± 0.</w:t>
            </w:r>
            <w:r>
              <w:t>44</w:t>
            </w:r>
          </w:p>
        </w:tc>
        <w:tc>
          <w:tcPr>
            <w:tcW w:w="1984" w:type="dxa"/>
            <w:shd w:val="clear" w:color="auto" w:fill="FFFFFF"/>
            <w:vAlign w:val="center"/>
          </w:tcPr>
          <w:p w14:paraId="33FB4E38" w14:textId="679BF8D7" w:rsidR="0013460D" w:rsidRPr="00F759BB" w:rsidRDefault="0013460D" w:rsidP="008E7842">
            <w:pPr>
              <w:pStyle w:val="CETBodytext"/>
              <w:ind w:right="-1"/>
              <w:jc w:val="center"/>
              <w:rPr>
                <w:szCs w:val="18"/>
              </w:rPr>
            </w:pPr>
            <w:r w:rsidRPr="00F759BB">
              <w:rPr>
                <w:szCs w:val="18"/>
              </w:rPr>
              <w:t>(</w:t>
            </w:r>
            <w:proofErr w:type="gramStart"/>
            <w:r w:rsidRPr="00F759BB">
              <w:rPr>
                <w:szCs w:val="18"/>
              </w:rPr>
              <w:t>-)AAC</w:t>
            </w:r>
            <w:proofErr w:type="gramEnd"/>
            <w:r w:rsidRPr="00F759BB">
              <w:rPr>
                <w:szCs w:val="18"/>
              </w:rPr>
              <w:t xml:space="preserve"> (-)Cat, 260°C</w:t>
            </w:r>
          </w:p>
        </w:tc>
        <w:tc>
          <w:tcPr>
            <w:tcW w:w="1531" w:type="dxa"/>
            <w:shd w:val="clear" w:color="auto" w:fill="FFFFFF"/>
          </w:tcPr>
          <w:p w14:paraId="037EAD30" w14:textId="276DEC1B" w:rsidR="0013460D" w:rsidRPr="00F759BB" w:rsidRDefault="0013460D" w:rsidP="008E7842">
            <w:pPr>
              <w:pStyle w:val="CETBodytext"/>
              <w:ind w:right="-1"/>
              <w:jc w:val="center"/>
              <w:rPr>
                <w:szCs w:val="18"/>
              </w:rPr>
            </w:pPr>
            <w:r w:rsidRPr="00F759BB">
              <w:rPr>
                <w:szCs w:val="18"/>
              </w:rPr>
              <w:t>-3.18</w:t>
            </w:r>
            <w:r w:rsidRPr="005B5F88">
              <w:t xml:space="preserve"> ± 0.</w:t>
            </w:r>
            <w:r>
              <w:t>84</w:t>
            </w:r>
          </w:p>
        </w:tc>
      </w:tr>
    </w:tbl>
    <w:p w14:paraId="58DA213D" w14:textId="77777777" w:rsidR="0013460D" w:rsidRDefault="0013460D" w:rsidP="00213129">
      <w:pPr>
        <w:pStyle w:val="CETReferencetext"/>
        <w:ind w:left="0" w:firstLine="0"/>
        <w:rPr>
          <w:lang w:val="en-US"/>
        </w:rPr>
      </w:pPr>
    </w:p>
    <w:p w14:paraId="63EAAA2C" w14:textId="7E3FC5C9" w:rsidR="00621ED7" w:rsidRPr="006E4309" w:rsidRDefault="00074E15" w:rsidP="00621ED7">
      <w:pPr>
        <w:pStyle w:val="CETReferencetext"/>
        <w:ind w:left="0" w:firstLine="0"/>
        <w:rPr>
          <w:lang w:val="en-US"/>
        </w:rPr>
      </w:pPr>
      <w:r w:rsidRPr="00074E15">
        <w:rPr>
          <w:lang w:val="en-US"/>
        </w:rPr>
        <w:t xml:space="preserve">Based on the </w:t>
      </w:r>
      <w:r w:rsidR="007F4C71" w:rsidRPr="007F4C71">
        <w:rPr>
          <w:vertAlign w:val="superscript"/>
          <w:lang w:val="en-US"/>
        </w:rPr>
        <w:t>1</w:t>
      </w:r>
      <w:r w:rsidRPr="00074E15">
        <w:rPr>
          <w:lang w:val="en-US"/>
        </w:rPr>
        <w:t xml:space="preserve">H NMR spectra, the predominant peaks corresponding to aliphatic protons are observed in the 0–2 ppm region. As shown in </w:t>
      </w:r>
      <w:r w:rsidR="00C51818">
        <w:rPr>
          <w:lang w:val="en-US"/>
        </w:rPr>
        <w:fldChar w:fldCharType="begin"/>
      </w:r>
      <w:r w:rsidR="00C51818">
        <w:rPr>
          <w:lang w:val="en-US"/>
        </w:rPr>
        <w:instrText xml:space="preserve"> REF _Ref223220715 \h </w:instrText>
      </w:r>
      <w:r w:rsidR="00C51818">
        <w:rPr>
          <w:lang w:val="en-US"/>
        </w:rPr>
      </w:r>
      <w:r w:rsidR="00C51818">
        <w:rPr>
          <w:lang w:val="en-US"/>
        </w:rPr>
        <w:fldChar w:fldCharType="separate"/>
      </w:r>
      <w:r w:rsidR="00E1075E" w:rsidRPr="00467DFF">
        <w:rPr>
          <w:bCs/>
          <w:iCs/>
        </w:rPr>
        <w:t xml:space="preserve">Figure </w:t>
      </w:r>
      <w:r w:rsidR="00E1075E">
        <w:rPr>
          <w:bCs/>
          <w:iCs/>
          <w:noProof/>
        </w:rPr>
        <w:t>2</w:t>
      </w:r>
      <w:r w:rsidR="00C51818">
        <w:rPr>
          <w:lang w:val="en-US"/>
        </w:rPr>
        <w:fldChar w:fldCharType="end"/>
      </w:r>
      <w:r w:rsidRPr="00074E15">
        <w:rPr>
          <w:lang w:val="en-US"/>
        </w:rPr>
        <w:t xml:space="preserve">a, increasing the temperature </w:t>
      </w:r>
      <w:r w:rsidR="006D70EC">
        <w:rPr>
          <w:lang w:val="en-US"/>
        </w:rPr>
        <w:t xml:space="preserve">results in a </w:t>
      </w:r>
      <w:r w:rsidR="00B25FFF">
        <w:rPr>
          <w:lang w:val="en-US"/>
        </w:rPr>
        <w:t>decrease</w:t>
      </w:r>
      <w:r w:rsidR="006D70EC">
        <w:rPr>
          <w:lang w:val="en-US"/>
        </w:rPr>
        <w:t xml:space="preserve"> in</w:t>
      </w:r>
      <w:r w:rsidR="00B25FFF">
        <w:rPr>
          <w:lang w:val="en-US"/>
        </w:rPr>
        <w:t xml:space="preserve"> the CH</w:t>
      </w:r>
      <w:r w:rsidR="00B25FFF" w:rsidRPr="00BB1BDF">
        <w:rPr>
          <w:vertAlign w:val="subscript"/>
          <w:lang w:val="en-US"/>
        </w:rPr>
        <w:t>2</w:t>
      </w:r>
      <w:r w:rsidR="00B25FFF">
        <w:rPr>
          <w:lang w:val="en-US"/>
        </w:rPr>
        <w:t xml:space="preserve"> region (1.0–1.7 ppm)</w:t>
      </w:r>
      <w:r w:rsidR="00907FC6">
        <w:rPr>
          <w:lang w:val="en-US"/>
        </w:rPr>
        <w:t xml:space="preserve">, while </w:t>
      </w:r>
      <w:r w:rsidRPr="00074E15">
        <w:rPr>
          <w:lang w:val="en-US"/>
        </w:rPr>
        <w:t>the C</w:t>
      </w:r>
      <w:r>
        <w:rPr>
          <w:lang w:val="en-US"/>
        </w:rPr>
        <w:t>H</w:t>
      </w:r>
      <w:r w:rsidRPr="00074E15">
        <w:rPr>
          <w:vertAlign w:val="subscript"/>
          <w:lang w:val="en-US"/>
        </w:rPr>
        <w:t>3</w:t>
      </w:r>
      <w:r w:rsidRPr="00074E15">
        <w:rPr>
          <w:lang w:val="en-US"/>
        </w:rPr>
        <w:t xml:space="preserve"> region (0.8</w:t>
      </w:r>
      <w:r w:rsidRPr="00074E15">
        <w:rPr>
          <w:rFonts w:cs="Arial"/>
          <w:lang w:val="en-US"/>
        </w:rPr>
        <w:t>–</w:t>
      </w:r>
      <w:r w:rsidRPr="00074E15">
        <w:rPr>
          <w:lang w:val="en-US"/>
        </w:rPr>
        <w:t>0.9 ppm</w:t>
      </w:r>
      <w:r w:rsidR="00C51818">
        <w:rPr>
          <w:lang w:val="en-US"/>
        </w:rPr>
        <w:t>)</w:t>
      </w:r>
      <w:r w:rsidR="00907FC6">
        <w:rPr>
          <w:lang w:val="en-US"/>
        </w:rPr>
        <w:t xml:space="preserve"> increases</w:t>
      </w:r>
      <w:r w:rsidR="007017D7">
        <w:rPr>
          <w:lang w:val="en-US"/>
        </w:rPr>
        <w:t xml:space="preserve"> simultaneously</w:t>
      </w:r>
      <w:r>
        <w:rPr>
          <w:lang w:val="en-US"/>
        </w:rPr>
        <w:t>.</w:t>
      </w:r>
      <w:r w:rsidRPr="00074E15">
        <w:rPr>
          <w:lang w:val="en-US"/>
        </w:rPr>
        <w:t xml:space="preserve"> </w:t>
      </w:r>
      <w:r>
        <w:rPr>
          <w:lang w:val="en-US"/>
        </w:rPr>
        <w:t>T</w:t>
      </w:r>
      <w:r w:rsidRPr="00074E15">
        <w:rPr>
          <w:lang w:val="en-US"/>
        </w:rPr>
        <w:t xml:space="preserve">his behavior indicates that higher temperatures promote chain transformation </w:t>
      </w:r>
      <w:r w:rsidR="00040C8D">
        <w:rPr>
          <w:lang w:val="en-US"/>
        </w:rPr>
        <w:t xml:space="preserve">via cleavage of linear hydrocarbon chains and </w:t>
      </w:r>
      <w:r w:rsidRPr="00074E15">
        <w:rPr>
          <w:lang w:val="en-US"/>
        </w:rPr>
        <w:t>formation of shorter-chain fragments (Keeler, 2010).</w:t>
      </w:r>
      <w:r w:rsidR="00062548">
        <w:rPr>
          <w:lang w:val="en-US"/>
        </w:rPr>
        <w:t xml:space="preserve"> </w:t>
      </w:r>
      <w:r w:rsidR="00621ED7" w:rsidRPr="00017028">
        <w:rPr>
          <w:lang w:val="en-US"/>
        </w:rPr>
        <w:t>Tests in the presence or absence of the Co</w:t>
      </w:r>
      <w:r w:rsidR="00621ED7" w:rsidRPr="00017028">
        <w:rPr>
          <w:vertAlign w:val="subscript"/>
          <w:lang w:val="en-US"/>
        </w:rPr>
        <w:t>6</w:t>
      </w:r>
      <w:r w:rsidR="00621ED7" w:rsidRPr="00017028">
        <w:rPr>
          <w:lang w:val="en-US"/>
        </w:rPr>
        <w:t>/MnO</w:t>
      </w:r>
      <w:r w:rsidR="00621ED7" w:rsidRPr="00017028">
        <w:rPr>
          <w:rFonts w:cs="Arial"/>
          <w:vertAlign w:val="subscript"/>
          <w:lang w:val="en-US"/>
        </w:rPr>
        <w:t>x</w:t>
      </w:r>
      <w:r w:rsidR="00621ED7" w:rsidRPr="00017028">
        <w:rPr>
          <w:lang w:val="en-US"/>
        </w:rPr>
        <w:t xml:space="preserve"> catalyst or AAC were analyzed at the same regions, the CH</w:t>
      </w:r>
      <w:r w:rsidR="00621ED7" w:rsidRPr="00017028">
        <w:rPr>
          <w:vertAlign w:val="subscript"/>
          <w:lang w:val="en-US"/>
        </w:rPr>
        <w:t>2</w:t>
      </w:r>
      <w:r w:rsidR="00621ED7" w:rsidRPr="00017028">
        <w:rPr>
          <w:lang w:val="en-US"/>
        </w:rPr>
        <w:t xml:space="preserve"> and CH</w:t>
      </w:r>
      <w:r w:rsidR="00621ED7" w:rsidRPr="00017028">
        <w:rPr>
          <w:vertAlign w:val="subscript"/>
          <w:lang w:val="en-US"/>
        </w:rPr>
        <w:t>3</w:t>
      </w:r>
      <w:r w:rsidR="00621ED7" w:rsidRPr="00017028">
        <w:rPr>
          <w:lang w:val="en-US"/>
        </w:rPr>
        <w:t xml:space="preserve"> region (</w:t>
      </w:r>
      <w:r w:rsidR="00621ED7" w:rsidRPr="00017028">
        <w:rPr>
          <w:lang w:val="en-US"/>
        </w:rPr>
        <w:fldChar w:fldCharType="begin"/>
      </w:r>
      <w:r w:rsidR="00621ED7" w:rsidRPr="00017028">
        <w:rPr>
          <w:lang w:val="en-US"/>
        </w:rPr>
        <w:instrText xml:space="preserve"> REF _Ref223220715 \h </w:instrText>
      </w:r>
      <w:r w:rsidR="00621ED7">
        <w:rPr>
          <w:lang w:val="en-US"/>
        </w:rPr>
        <w:instrText xml:space="preserve"> \* MERGEFORMAT </w:instrText>
      </w:r>
      <w:r w:rsidR="00621ED7" w:rsidRPr="00017028">
        <w:rPr>
          <w:lang w:val="en-US"/>
        </w:rPr>
      </w:r>
      <w:r w:rsidR="00621ED7" w:rsidRPr="00017028">
        <w:rPr>
          <w:lang w:val="en-US"/>
        </w:rPr>
        <w:fldChar w:fldCharType="separate"/>
      </w:r>
      <w:r w:rsidR="00E1075E" w:rsidRPr="00467DFF">
        <w:rPr>
          <w:bCs/>
          <w:iCs/>
        </w:rPr>
        <w:t xml:space="preserve">Figure </w:t>
      </w:r>
      <w:r w:rsidR="00E1075E">
        <w:rPr>
          <w:bCs/>
          <w:iCs/>
          <w:noProof/>
        </w:rPr>
        <w:t>2</w:t>
      </w:r>
      <w:r w:rsidR="00621ED7" w:rsidRPr="00017028">
        <w:rPr>
          <w:lang w:val="en-US"/>
        </w:rPr>
        <w:fldChar w:fldCharType="end"/>
      </w:r>
      <w:r w:rsidR="00621ED7" w:rsidRPr="00017028">
        <w:rPr>
          <w:lang w:val="en-US"/>
        </w:rPr>
        <w:t>b). The presence of the catalyst increases the signal intensity in the CH</w:t>
      </w:r>
      <w:r w:rsidR="00621ED7" w:rsidRPr="00017028">
        <w:rPr>
          <w:vertAlign w:val="subscript"/>
          <w:lang w:val="en-US"/>
        </w:rPr>
        <w:t>2</w:t>
      </w:r>
      <w:r w:rsidR="00621ED7" w:rsidRPr="00017028">
        <w:rPr>
          <w:lang w:val="en-US"/>
        </w:rPr>
        <w:t xml:space="preserve"> region, compared with the non-catalytic condition. This suggests the formation of relatively more condensed structures, greater retention of heavier compounds, and reduced cracking. Similarly, when AAC was added separately, only a modest variation in the intensity of both the CH</w:t>
      </w:r>
      <w:r w:rsidR="00621ED7" w:rsidRPr="00017028">
        <w:rPr>
          <w:vertAlign w:val="subscript"/>
          <w:lang w:val="en-US"/>
        </w:rPr>
        <w:t>2</w:t>
      </w:r>
      <w:r w:rsidR="00621ED7" w:rsidRPr="00017028">
        <w:rPr>
          <w:lang w:val="en-US"/>
        </w:rPr>
        <w:t xml:space="preserve"> and CH</w:t>
      </w:r>
      <w:r w:rsidR="00621ED7" w:rsidRPr="00017028">
        <w:rPr>
          <w:vertAlign w:val="subscript"/>
          <w:lang w:val="en-US"/>
        </w:rPr>
        <w:t>3</w:t>
      </w:r>
      <w:r w:rsidR="00621ED7" w:rsidRPr="00017028">
        <w:rPr>
          <w:lang w:val="en-US"/>
        </w:rPr>
        <w:t xml:space="preserve"> regions was observed. Although the presence of either AAC or </w:t>
      </w:r>
      <w:r w:rsidR="006B1FEE" w:rsidRPr="00017028">
        <w:rPr>
          <w:lang w:val="en-US"/>
        </w:rPr>
        <w:t>Co</w:t>
      </w:r>
      <w:r w:rsidR="006B1FEE" w:rsidRPr="00017028">
        <w:rPr>
          <w:vertAlign w:val="subscript"/>
          <w:lang w:val="en-US"/>
        </w:rPr>
        <w:t>6</w:t>
      </w:r>
      <w:r w:rsidR="006B1FEE" w:rsidRPr="00017028">
        <w:rPr>
          <w:lang w:val="en-US"/>
        </w:rPr>
        <w:t>/MnO</w:t>
      </w:r>
      <w:r w:rsidR="006B1FEE" w:rsidRPr="00017028">
        <w:rPr>
          <w:rFonts w:cs="Arial"/>
          <w:vertAlign w:val="subscript"/>
          <w:lang w:val="en-US"/>
        </w:rPr>
        <w:t>x</w:t>
      </w:r>
      <w:r w:rsidR="006B1FEE" w:rsidRPr="00017028">
        <w:rPr>
          <w:lang w:val="en-US"/>
        </w:rPr>
        <w:t xml:space="preserve"> </w:t>
      </w:r>
      <w:r w:rsidR="00621ED7" w:rsidRPr="00017028">
        <w:rPr>
          <w:lang w:val="en-US"/>
        </w:rPr>
        <w:t>alone does not produce a highly significant effect on band intensity, both cases show a slight increase compared with the condition without either additive.</w:t>
      </w:r>
      <w:r w:rsidR="00621ED7" w:rsidRPr="00017028">
        <w:rPr>
          <w:rFonts w:ascii="Cambria Math" w:hAnsi="Cambria Math" w:cs="Cambria Math"/>
          <w:lang w:val="en-US"/>
        </w:rPr>
        <w:t xml:space="preserve"> </w:t>
      </w:r>
      <w:r w:rsidR="00621ED7" w:rsidRPr="00017028">
        <w:rPr>
          <w:lang w:val="en-US"/>
        </w:rPr>
        <w:t>Finally, when AAC and Co</w:t>
      </w:r>
      <w:r w:rsidR="00621ED7" w:rsidRPr="00017028">
        <w:rPr>
          <w:vertAlign w:val="subscript"/>
          <w:lang w:val="en-US"/>
        </w:rPr>
        <w:t>6</w:t>
      </w:r>
      <w:r w:rsidR="00621ED7" w:rsidRPr="00017028">
        <w:rPr>
          <w:lang w:val="en-US"/>
        </w:rPr>
        <w:t>/MnO</w:t>
      </w:r>
      <w:r w:rsidR="00621ED7" w:rsidRPr="00017028">
        <w:rPr>
          <w:rFonts w:cs="Arial"/>
          <w:vertAlign w:val="subscript"/>
          <w:lang w:val="en-US"/>
        </w:rPr>
        <w:t>x</w:t>
      </w:r>
      <w:r w:rsidR="00621ED7" w:rsidRPr="00017028">
        <w:rPr>
          <w:lang w:val="en-US"/>
        </w:rPr>
        <w:t xml:space="preserve"> are used together, a clear synergistic effect is observed, resulting in a marked increase in the intensity of both spectral regions. This synergistic behavior suggests that the AAC/</w:t>
      </w:r>
      <w:r w:rsidR="0013460D" w:rsidRPr="00017028">
        <w:rPr>
          <w:lang w:val="en-US"/>
        </w:rPr>
        <w:t>Co</w:t>
      </w:r>
      <w:r w:rsidR="0013460D" w:rsidRPr="00017028">
        <w:rPr>
          <w:vertAlign w:val="subscript"/>
          <w:lang w:val="en-US"/>
        </w:rPr>
        <w:t>6</w:t>
      </w:r>
      <w:r w:rsidR="00621ED7" w:rsidRPr="00017028">
        <w:rPr>
          <w:lang w:val="en-US"/>
        </w:rPr>
        <w:t>/MnO</w:t>
      </w:r>
      <w:r w:rsidR="006B1FEE" w:rsidRPr="00017028">
        <w:rPr>
          <w:rFonts w:cs="Arial"/>
          <w:vertAlign w:val="subscript"/>
          <w:lang w:val="en-US"/>
        </w:rPr>
        <w:t>x</w:t>
      </w:r>
      <w:r w:rsidR="00621ED7" w:rsidRPr="00017028">
        <w:rPr>
          <w:lang w:val="en-US"/>
        </w:rPr>
        <w:t xml:space="preserve"> mixture promotes the formation of fractions with moderate chain length, increased branching, and improved thermal stability </w:t>
      </w:r>
      <w:r w:rsidR="00621ED7" w:rsidRPr="00017028">
        <w:rPr>
          <w:rFonts w:cs="Arial"/>
          <w:szCs w:val="18"/>
          <w:lang w:val="en-US"/>
        </w:rPr>
        <w:t>(Lambert et al., 2019)</w:t>
      </w:r>
      <w:r w:rsidR="00621ED7" w:rsidRPr="00017028">
        <w:rPr>
          <w:lang w:val="en-US"/>
        </w:rPr>
        <w:t>.</w:t>
      </w:r>
    </w:p>
    <w:p w14:paraId="2C9096AA" w14:textId="2492C63C" w:rsidR="00062548" w:rsidRDefault="00621ED7" w:rsidP="00062548">
      <w:pPr>
        <w:pStyle w:val="CETBodytext"/>
        <w:rPr>
          <w:rFonts w:cs="Arial"/>
          <w:szCs w:val="18"/>
        </w:rPr>
      </w:pPr>
      <w:r w:rsidRPr="00017028">
        <w:t>The FTIR-ATR</w:t>
      </w:r>
      <w:r w:rsidRPr="00227A00">
        <w:t xml:space="preserve"> spectra presented in</w:t>
      </w:r>
      <w:r w:rsidRPr="003B1B4E">
        <w:t xml:space="preserve"> </w:t>
      </w:r>
      <w:r>
        <w:fldChar w:fldCharType="begin"/>
      </w:r>
      <w:r>
        <w:instrText xml:space="preserve"> REF _Ref223220715 \h </w:instrText>
      </w:r>
      <w:r>
        <w:fldChar w:fldCharType="separate"/>
      </w:r>
      <w:r w:rsidR="00E1075E" w:rsidRPr="00467DFF">
        <w:rPr>
          <w:bCs/>
          <w:iCs/>
        </w:rPr>
        <w:t xml:space="preserve">Figure </w:t>
      </w:r>
      <w:r w:rsidR="00E1075E">
        <w:rPr>
          <w:bCs/>
          <w:iCs/>
          <w:noProof/>
        </w:rPr>
        <w:t>2</w:t>
      </w:r>
      <w:r>
        <w:fldChar w:fldCharType="end"/>
      </w:r>
      <w:r>
        <w:t xml:space="preserve">c and </w:t>
      </w:r>
      <w:r>
        <w:fldChar w:fldCharType="begin"/>
      </w:r>
      <w:r>
        <w:instrText xml:space="preserve"> REF _Ref226129899 \h </w:instrText>
      </w:r>
      <w:r>
        <w:fldChar w:fldCharType="separate"/>
      </w:r>
      <w:r w:rsidR="00E1075E" w:rsidRPr="006B4B56">
        <w:t xml:space="preserve">Table </w:t>
      </w:r>
      <w:r w:rsidR="00E1075E">
        <w:rPr>
          <w:noProof/>
        </w:rPr>
        <w:t>3</w:t>
      </w:r>
      <w:r>
        <w:fldChar w:fldCharType="end"/>
      </w:r>
      <w:r w:rsidRPr="00227A00">
        <w:t xml:space="preserve"> display intense aliphatic C–H stretching bands (</w:t>
      </w:r>
      <w:r>
        <w:t xml:space="preserve">between </w:t>
      </w:r>
      <w:r w:rsidRPr="00227A00">
        <w:t>3,000 – 2,800 cm</w:t>
      </w:r>
      <w:r w:rsidRPr="00227A00">
        <w:rPr>
          <w:vertAlign w:val="superscript"/>
        </w:rPr>
        <w:t>-1</w:t>
      </w:r>
      <w:r w:rsidRPr="00227A00">
        <w:t xml:space="preserve">), characteristic of saturated hydrocarbons. At 220 </w:t>
      </w:r>
      <w:r w:rsidRPr="00227A00">
        <w:rPr>
          <w:rFonts w:cs="Arial"/>
        </w:rPr>
        <w:t>°</w:t>
      </w:r>
      <w:r w:rsidRPr="00227A00">
        <w:t>C, absorptions associated with CH</w:t>
      </w:r>
      <w:r w:rsidRPr="00227A00">
        <w:rPr>
          <w:vertAlign w:val="subscript"/>
        </w:rPr>
        <w:t>2</w:t>
      </w:r>
      <w:r w:rsidRPr="00227A00">
        <w:t xml:space="preserve"> groups were dominant, indicating long and weakly transformed chains. Increasing the temperature to 240 </w:t>
      </w:r>
      <w:r w:rsidRPr="00227A00">
        <w:rPr>
          <w:rFonts w:cs="Arial"/>
        </w:rPr>
        <w:t>°</w:t>
      </w:r>
      <w:r w:rsidRPr="00227A00">
        <w:t>C enhances CH</w:t>
      </w:r>
      <w:r w:rsidRPr="00227A00">
        <w:rPr>
          <w:vertAlign w:val="subscript"/>
        </w:rPr>
        <w:t>3</w:t>
      </w:r>
      <w:r w:rsidRPr="00227A00">
        <w:t xml:space="preserve"> bands, evidencing the onset of cracking and branching, along with emerging aromatic signals. At 260 °C, a substantial intensification of aromatic bands (≈1,600 and 800–750 cm</w:t>
      </w:r>
      <w:r w:rsidRPr="00227A00">
        <w:rPr>
          <w:vertAlign w:val="superscript"/>
        </w:rPr>
        <w:t>-1</w:t>
      </w:r>
      <w:r w:rsidRPr="00227A00">
        <w:t>), together with those attributed to CH</w:t>
      </w:r>
      <w:r w:rsidRPr="00227A00">
        <w:rPr>
          <w:vertAlign w:val="subscript"/>
        </w:rPr>
        <w:t>3</w:t>
      </w:r>
      <w:r w:rsidRPr="00227A00">
        <w:t xml:space="preserve"> groups, is observed, while the characteristic CH</w:t>
      </w:r>
      <w:r w:rsidRPr="00227A00">
        <w:rPr>
          <w:vertAlign w:val="subscript"/>
        </w:rPr>
        <w:t>2</w:t>
      </w:r>
      <w:r w:rsidRPr="00227A00">
        <w:t xml:space="preserve"> rocking bands (</w:t>
      </w:r>
      <w:r w:rsidRPr="00227A00">
        <w:rPr>
          <w:rFonts w:cs="Arial"/>
        </w:rPr>
        <w:t>≈</w:t>
      </w:r>
      <w:r w:rsidRPr="00227A00">
        <w:t>720 cm</w:t>
      </w:r>
      <w:r w:rsidR="00B00B3A" w:rsidRPr="00227A00">
        <w:rPr>
          <w:vertAlign w:val="superscript"/>
        </w:rPr>
        <w:t>-1</w:t>
      </w:r>
      <w:r w:rsidRPr="00227A00">
        <w:t>) exhibit a marked decline, confirming the progression toward advanced cracking, a pronounced reduction in chain linearity, and the formation of short-chain aliphatic fragments and condensed aromatic structures (Zhao et al.,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1"/>
      </w:tblGrid>
      <w:tr w:rsidR="003A110E" w14:paraId="46B00B1F" w14:textId="77777777" w:rsidTr="00C654B4">
        <w:tc>
          <w:tcPr>
            <w:tcW w:w="4393" w:type="dxa"/>
            <w:vAlign w:val="center"/>
          </w:tcPr>
          <w:p w14:paraId="41A20C0E" w14:textId="4D3E503F" w:rsidR="005B1E0D" w:rsidRPr="005B1E0D" w:rsidRDefault="00BE2B21" w:rsidP="00DA5325">
            <w:pPr>
              <w:pStyle w:val="CETReferencetext"/>
              <w:ind w:left="0" w:firstLine="0"/>
              <w:jc w:val="center"/>
            </w:pPr>
            <w:r w:rsidRPr="001B493F">
              <w:rPr>
                <w:rFonts w:cs="Arial"/>
                <w:noProof/>
                <w:szCs w:val="18"/>
                <w:lang w:val="en-US"/>
              </w:rPr>
              <w:lastRenderedPageBreak/>
              <w:drawing>
                <wp:inline distT="0" distB="0" distL="0" distR="0" wp14:anchorId="6A9960F1" wp14:editId="26D1EF89">
                  <wp:extent cx="2664000" cy="1605693"/>
                  <wp:effectExtent l="0" t="0" r="3175" b="0"/>
                  <wp:docPr id="64918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3774" t="3820" r="12837" b="30330"/>
                          <a:stretch/>
                        </pic:blipFill>
                        <pic:spPr bwMode="auto">
                          <a:xfrm>
                            <a:off x="0" y="0"/>
                            <a:ext cx="2664000" cy="16056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vAlign w:val="center"/>
          </w:tcPr>
          <w:p w14:paraId="00B54F4E" w14:textId="03CDB106" w:rsidR="005B1E0D" w:rsidRDefault="00FE1C3E" w:rsidP="00DA5325">
            <w:pPr>
              <w:pStyle w:val="CETReferencetext"/>
              <w:ind w:left="0" w:firstLine="0"/>
              <w:jc w:val="center"/>
              <w:rPr>
                <w:rFonts w:cs="Arial"/>
                <w:szCs w:val="18"/>
                <w:lang w:val="en-US"/>
              </w:rPr>
            </w:pPr>
            <w:r w:rsidRPr="00FE1C3E">
              <w:rPr>
                <w:rFonts w:cs="Arial"/>
                <w:noProof/>
                <w:szCs w:val="18"/>
                <w:lang w:val="en-US"/>
              </w:rPr>
              <w:drawing>
                <wp:inline distT="0" distB="0" distL="0" distR="0" wp14:anchorId="01DF0C84" wp14:editId="5B175F4C">
                  <wp:extent cx="2664000" cy="1607991"/>
                  <wp:effectExtent l="0" t="0" r="0" b="0"/>
                  <wp:docPr id="1483961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4635" t="4312" r="12231" b="29870"/>
                          <a:stretch/>
                        </pic:blipFill>
                        <pic:spPr bwMode="auto">
                          <a:xfrm>
                            <a:off x="0" y="0"/>
                            <a:ext cx="2664000" cy="160799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A110E" w14:paraId="56171A3E" w14:textId="77777777" w:rsidTr="00C654B4">
        <w:tc>
          <w:tcPr>
            <w:tcW w:w="4393" w:type="dxa"/>
            <w:vAlign w:val="center"/>
          </w:tcPr>
          <w:p w14:paraId="6AA78F68" w14:textId="32B98A0F" w:rsidR="005B1E0D" w:rsidRDefault="00DA5325" w:rsidP="00DA5325">
            <w:pPr>
              <w:pStyle w:val="CETReferencetext"/>
              <w:ind w:left="0" w:firstLine="0"/>
              <w:jc w:val="center"/>
              <w:rPr>
                <w:rFonts w:cs="Arial"/>
                <w:szCs w:val="18"/>
                <w:lang w:val="en-US"/>
              </w:rPr>
            </w:pPr>
            <w:r>
              <w:rPr>
                <w:rFonts w:cs="Arial"/>
                <w:szCs w:val="18"/>
                <w:lang w:val="en-US"/>
              </w:rPr>
              <w:t>(a)</w:t>
            </w:r>
          </w:p>
        </w:tc>
        <w:tc>
          <w:tcPr>
            <w:tcW w:w="4394" w:type="dxa"/>
            <w:vAlign w:val="center"/>
          </w:tcPr>
          <w:p w14:paraId="39358AB5" w14:textId="02652F3C" w:rsidR="005B1E0D" w:rsidRDefault="00DA5325" w:rsidP="00DA5325">
            <w:pPr>
              <w:pStyle w:val="CETReferencetext"/>
              <w:ind w:left="0" w:firstLine="0"/>
              <w:jc w:val="center"/>
              <w:rPr>
                <w:rFonts w:cs="Arial"/>
                <w:szCs w:val="18"/>
                <w:lang w:val="en-US"/>
              </w:rPr>
            </w:pPr>
            <w:r>
              <w:rPr>
                <w:rFonts w:cs="Arial"/>
                <w:szCs w:val="18"/>
                <w:lang w:val="en-US"/>
              </w:rPr>
              <w:t>(b)</w:t>
            </w:r>
          </w:p>
        </w:tc>
      </w:tr>
      <w:tr w:rsidR="003F3CA6" w14:paraId="01D03996" w14:textId="77777777" w:rsidTr="00611BC2">
        <w:trPr>
          <w:trHeight w:val="1610"/>
        </w:trPr>
        <w:tc>
          <w:tcPr>
            <w:tcW w:w="4393" w:type="dxa"/>
            <w:vAlign w:val="center"/>
          </w:tcPr>
          <w:p w14:paraId="6EC7DF37" w14:textId="74A3D096" w:rsidR="003F3CA6" w:rsidRDefault="001F250B" w:rsidP="00C654B4">
            <w:pPr>
              <w:pStyle w:val="CETReferencetext"/>
              <w:ind w:left="0" w:firstLine="0"/>
              <w:jc w:val="center"/>
              <w:rPr>
                <w:rFonts w:cs="Arial"/>
                <w:szCs w:val="18"/>
                <w:lang w:val="en-US"/>
              </w:rPr>
            </w:pPr>
            <w:r w:rsidRPr="00906B12">
              <w:rPr>
                <w:i/>
                <w:noProof/>
                <w:lang w:val="en-US"/>
              </w:rPr>
              <w:drawing>
                <wp:inline distT="0" distB="0" distL="0" distR="0" wp14:anchorId="4B860141" wp14:editId="0AD290E7">
                  <wp:extent cx="2520000" cy="1481179"/>
                  <wp:effectExtent l="0" t="0" r="0" b="5080"/>
                  <wp:docPr id="1755529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8919" t="17711" r="9396" b="20402"/>
                          <a:stretch/>
                        </pic:blipFill>
                        <pic:spPr bwMode="auto">
                          <a:xfrm>
                            <a:off x="0" y="0"/>
                            <a:ext cx="2520000" cy="14811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vAlign w:val="center"/>
          </w:tcPr>
          <w:p w14:paraId="2C3F327C" w14:textId="76D2E018" w:rsidR="003F3CA6" w:rsidRPr="001F250B" w:rsidRDefault="001F250B" w:rsidP="00986C91">
            <w:pPr>
              <w:pStyle w:val="CETTabletitle"/>
              <w:spacing w:before="0"/>
            </w:pPr>
            <w:bookmarkStart w:id="7" w:name="_Ref226129899"/>
            <w:r w:rsidRPr="006B4B56">
              <w:t xml:space="preserve">Table </w:t>
            </w:r>
            <w:r w:rsidRPr="006B4B56">
              <w:fldChar w:fldCharType="begin"/>
            </w:r>
            <w:r w:rsidRPr="006B4B56">
              <w:instrText xml:space="preserve"> SEQ Table \* ARABIC </w:instrText>
            </w:r>
            <w:r w:rsidRPr="006B4B56">
              <w:fldChar w:fldCharType="separate"/>
            </w:r>
            <w:r w:rsidR="00E1075E">
              <w:rPr>
                <w:noProof/>
              </w:rPr>
              <w:t>3</w:t>
            </w:r>
            <w:r w:rsidRPr="006B4B56">
              <w:fldChar w:fldCharType="end"/>
            </w:r>
            <w:bookmarkEnd w:id="7"/>
            <w:r w:rsidRPr="00B57B36">
              <w:t xml:space="preserve">: </w:t>
            </w:r>
            <w:r w:rsidR="00560862">
              <w:t>Conditions for FTIR-ATR spectra</w:t>
            </w:r>
            <w:r>
              <w:t>.</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403"/>
              <w:gridCol w:w="1685"/>
              <w:gridCol w:w="402"/>
              <w:gridCol w:w="1685"/>
            </w:tblGrid>
            <w:tr w:rsidR="001F250B" w:rsidRPr="00B57B36" w14:paraId="4A14B3D9" w14:textId="77777777" w:rsidTr="00986C91">
              <w:trPr>
                <w:trHeight w:val="65"/>
                <w:jc w:val="center"/>
              </w:trPr>
              <w:tc>
                <w:tcPr>
                  <w:tcW w:w="426" w:type="dxa"/>
                  <w:tcBorders>
                    <w:top w:val="single" w:sz="12" w:space="0" w:color="008000"/>
                    <w:bottom w:val="single" w:sz="6" w:space="0" w:color="008000"/>
                  </w:tcBorders>
                  <w:shd w:val="clear" w:color="auto" w:fill="FFFFFF"/>
                  <w:vAlign w:val="center"/>
                </w:tcPr>
                <w:p w14:paraId="714BFC66" w14:textId="77777777" w:rsidR="001F250B" w:rsidRPr="0058181B" w:rsidRDefault="001F250B" w:rsidP="001F250B">
                  <w:pPr>
                    <w:pStyle w:val="CETBodytext"/>
                    <w:jc w:val="center"/>
                    <w:rPr>
                      <w:sz w:val="16"/>
                      <w:szCs w:val="18"/>
                      <w:lang w:val="en-GB"/>
                    </w:rPr>
                  </w:pPr>
                  <w:r w:rsidRPr="0058181B">
                    <w:rPr>
                      <w:sz w:val="16"/>
                      <w:szCs w:val="18"/>
                    </w:rPr>
                    <w:t>No.</w:t>
                  </w:r>
                </w:p>
              </w:tc>
              <w:tc>
                <w:tcPr>
                  <w:tcW w:w="1842" w:type="dxa"/>
                  <w:tcBorders>
                    <w:top w:val="single" w:sz="12" w:space="0" w:color="008000"/>
                    <w:bottom w:val="single" w:sz="6" w:space="0" w:color="008000"/>
                  </w:tcBorders>
                  <w:shd w:val="clear" w:color="auto" w:fill="FFFFFF"/>
                  <w:vAlign w:val="center"/>
                </w:tcPr>
                <w:p w14:paraId="0B1EC03E" w14:textId="77777777" w:rsidR="001F250B" w:rsidRPr="0058181B" w:rsidRDefault="001F250B" w:rsidP="001F250B">
                  <w:pPr>
                    <w:pStyle w:val="CETBodytext"/>
                    <w:jc w:val="center"/>
                    <w:rPr>
                      <w:sz w:val="16"/>
                      <w:szCs w:val="18"/>
                      <w:lang w:val="en-GB"/>
                    </w:rPr>
                  </w:pPr>
                  <w:r w:rsidRPr="0058181B">
                    <w:rPr>
                      <w:sz w:val="16"/>
                      <w:szCs w:val="18"/>
                    </w:rPr>
                    <w:t>Condition</w:t>
                  </w:r>
                </w:p>
              </w:tc>
              <w:tc>
                <w:tcPr>
                  <w:tcW w:w="426" w:type="dxa"/>
                  <w:tcBorders>
                    <w:top w:val="single" w:sz="12" w:space="0" w:color="008000"/>
                    <w:bottom w:val="single" w:sz="6" w:space="0" w:color="008000"/>
                  </w:tcBorders>
                  <w:shd w:val="clear" w:color="auto" w:fill="FFFFFF"/>
                  <w:vAlign w:val="center"/>
                </w:tcPr>
                <w:p w14:paraId="35C1CB0A" w14:textId="77777777" w:rsidR="001F250B" w:rsidRPr="0058181B" w:rsidRDefault="001F250B" w:rsidP="001F250B">
                  <w:pPr>
                    <w:pStyle w:val="CETBodytext"/>
                    <w:jc w:val="center"/>
                    <w:rPr>
                      <w:sz w:val="16"/>
                      <w:szCs w:val="18"/>
                      <w:lang w:val="en-GB"/>
                    </w:rPr>
                  </w:pPr>
                  <w:r w:rsidRPr="0058181B">
                    <w:rPr>
                      <w:sz w:val="16"/>
                      <w:szCs w:val="18"/>
                    </w:rPr>
                    <w:t>No.</w:t>
                  </w:r>
                </w:p>
              </w:tc>
              <w:tc>
                <w:tcPr>
                  <w:tcW w:w="1842" w:type="dxa"/>
                  <w:tcBorders>
                    <w:top w:val="single" w:sz="12" w:space="0" w:color="008000"/>
                    <w:bottom w:val="single" w:sz="6" w:space="0" w:color="008000"/>
                  </w:tcBorders>
                  <w:shd w:val="clear" w:color="auto" w:fill="FFFFFF"/>
                  <w:vAlign w:val="center"/>
                </w:tcPr>
                <w:p w14:paraId="6697012B" w14:textId="77777777" w:rsidR="001F250B" w:rsidRPr="0058181B" w:rsidRDefault="001F250B" w:rsidP="001F250B">
                  <w:pPr>
                    <w:pStyle w:val="CETBodytext"/>
                    <w:ind w:right="-1"/>
                    <w:jc w:val="center"/>
                    <w:rPr>
                      <w:rFonts w:cs="Arial"/>
                      <w:sz w:val="16"/>
                      <w:szCs w:val="18"/>
                      <w:lang w:val="en-GB"/>
                    </w:rPr>
                  </w:pPr>
                  <w:r w:rsidRPr="0058181B">
                    <w:rPr>
                      <w:sz w:val="16"/>
                      <w:szCs w:val="18"/>
                    </w:rPr>
                    <w:t>Condition</w:t>
                  </w:r>
                </w:p>
              </w:tc>
            </w:tr>
            <w:tr w:rsidR="001F250B" w:rsidRPr="00B57B36" w14:paraId="111E4C07" w14:textId="77777777" w:rsidTr="00986C91">
              <w:trPr>
                <w:jc w:val="center"/>
              </w:trPr>
              <w:tc>
                <w:tcPr>
                  <w:tcW w:w="426" w:type="dxa"/>
                  <w:shd w:val="clear" w:color="auto" w:fill="FFFFFF"/>
                  <w:vAlign w:val="center"/>
                </w:tcPr>
                <w:p w14:paraId="174474E2" w14:textId="77777777" w:rsidR="001F250B" w:rsidRPr="00B57B36" w:rsidRDefault="001F250B" w:rsidP="001F250B">
                  <w:pPr>
                    <w:pStyle w:val="CETBodytext"/>
                    <w:jc w:val="center"/>
                    <w:rPr>
                      <w:lang w:val="en-GB"/>
                    </w:rPr>
                  </w:pPr>
                  <w:r w:rsidRPr="00686E66">
                    <w:rPr>
                      <w:sz w:val="16"/>
                      <w:szCs w:val="18"/>
                    </w:rPr>
                    <w:t>1</w:t>
                  </w:r>
                </w:p>
              </w:tc>
              <w:tc>
                <w:tcPr>
                  <w:tcW w:w="1842" w:type="dxa"/>
                  <w:shd w:val="clear" w:color="auto" w:fill="FFFFFF"/>
                  <w:vAlign w:val="center"/>
                </w:tcPr>
                <w:p w14:paraId="3844CEE7" w14:textId="77777777" w:rsidR="001F250B" w:rsidRPr="00B57B36" w:rsidRDefault="001F250B" w:rsidP="001F250B">
                  <w:pPr>
                    <w:pStyle w:val="CETBodytext"/>
                    <w:jc w:val="center"/>
                    <w:rPr>
                      <w:lang w:val="en-GB"/>
                    </w:rPr>
                  </w:pPr>
                  <w:r>
                    <w:rPr>
                      <w:sz w:val="16"/>
                      <w:szCs w:val="18"/>
                    </w:rPr>
                    <w:t>(</w:t>
                  </w:r>
                  <w:proofErr w:type="gramStart"/>
                  <w:r w:rsidRPr="00686E66">
                    <w:rPr>
                      <w:sz w:val="16"/>
                      <w:szCs w:val="18"/>
                    </w:rPr>
                    <w:t>-</w:t>
                  </w:r>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w:t>
                  </w:r>
                  <w:r>
                    <w:rPr>
                      <w:sz w:val="16"/>
                      <w:szCs w:val="18"/>
                    </w:rPr>
                    <w:t>)</w:t>
                  </w:r>
                  <w:r w:rsidRPr="00686E66">
                    <w:rPr>
                      <w:sz w:val="16"/>
                      <w:szCs w:val="18"/>
                    </w:rPr>
                    <w:t>Cat, 220°C</w:t>
                  </w:r>
                </w:p>
              </w:tc>
              <w:tc>
                <w:tcPr>
                  <w:tcW w:w="426" w:type="dxa"/>
                  <w:shd w:val="clear" w:color="auto" w:fill="FFFFFF"/>
                  <w:vAlign w:val="center"/>
                </w:tcPr>
                <w:p w14:paraId="42C254BA" w14:textId="77777777" w:rsidR="001F250B" w:rsidRPr="00B57B36" w:rsidRDefault="001F250B" w:rsidP="001F250B">
                  <w:pPr>
                    <w:pStyle w:val="CETBodytext"/>
                    <w:jc w:val="center"/>
                    <w:rPr>
                      <w:lang w:val="en-GB"/>
                    </w:rPr>
                  </w:pPr>
                  <w:r w:rsidRPr="00686E66">
                    <w:rPr>
                      <w:sz w:val="16"/>
                      <w:szCs w:val="18"/>
                    </w:rPr>
                    <w:t>7</w:t>
                  </w:r>
                </w:p>
              </w:tc>
              <w:tc>
                <w:tcPr>
                  <w:tcW w:w="1842" w:type="dxa"/>
                  <w:shd w:val="clear" w:color="auto" w:fill="FFFFFF"/>
                  <w:vAlign w:val="center"/>
                </w:tcPr>
                <w:p w14:paraId="3439311F" w14:textId="77777777" w:rsidR="001F250B" w:rsidRPr="00B57B36" w:rsidRDefault="001F250B" w:rsidP="001F250B">
                  <w:pPr>
                    <w:pStyle w:val="CETBodytext"/>
                    <w:ind w:right="-1"/>
                    <w:jc w:val="center"/>
                    <w:rPr>
                      <w:rFonts w:cs="Arial"/>
                      <w:szCs w:val="18"/>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Cat, 220°C</w:t>
                  </w:r>
                </w:p>
              </w:tc>
            </w:tr>
            <w:tr w:rsidR="001F250B" w:rsidRPr="00B57B36" w14:paraId="01941E0B" w14:textId="77777777" w:rsidTr="00986C91">
              <w:trPr>
                <w:jc w:val="center"/>
              </w:trPr>
              <w:tc>
                <w:tcPr>
                  <w:tcW w:w="426" w:type="dxa"/>
                  <w:shd w:val="clear" w:color="auto" w:fill="FFFFFF"/>
                  <w:vAlign w:val="center"/>
                </w:tcPr>
                <w:p w14:paraId="5257733F" w14:textId="77777777" w:rsidR="001F250B" w:rsidRPr="00B57B36" w:rsidRDefault="001F250B" w:rsidP="001F250B">
                  <w:pPr>
                    <w:pStyle w:val="CETBodytext"/>
                    <w:jc w:val="center"/>
                    <w:rPr>
                      <w:lang w:val="en-GB"/>
                    </w:rPr>
                  </w:pPr>
                  <w:r w:rsidRPr="00686E66">
                    <w:rPr>
                      <w:sz w:val="16"/>
                      <w:szCs w:val="18"/>
                    </w:rPr>
                    <w:t>2</w:t>
                  </w:r>
                </w:p>
              </w:tc>
              <w:tc>
                <w:tcPr>
                  <w:tcW w:w="1842" w:type="dxa"/>
                  <w:shd w:val="clear" w:color="auto" w:fill="FFFFFF"/>
                  <w:vAlign w:val="center"/>
                </w:tcPr>
                <w:p w14:paraId="7FED1565" w14:textId="77777777" w:rsidR="001F250B" w:rsidRPr="00B57B36" w:rsidRDefault="001F250B" w:rsidP="001F250B">
                  <w:pPr>
                    <w:pStyle w:val="CETBodytext"/>
                    <w:jc w:val="center"/>
                    <w:rPr>
                      <w:lang w:val="en-GB"/>
                    </w:rPr>
                  </w:pPr>
                  <w:r>
                    <w:rPr>
                      <w:sz w:val="16"/>
                      <w:szCs w:val="18"/>
                    </w:rPr>
                    <w:t>(</w:t>
                  </w:r>
                  <w:proofErr w:type="gramStart"/>
                  <w:r w:rsidRPr="00686E66">
                    <w:rPr>
                      <w:sz w:val="16"/>
                      <w:szCs w:val="18"/>
                    </w:rPr>
                    <w:t>-</w:t>
                  </w:r>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w:t>
                  </w:r>
                  <w:r>
                    <w:rPr>
                      <w:sz w:val="16"/>
                      <w:szCs w:val="18"/>
                    </w:rPr>
                    <w:t>)</w:t>
                  </w:r>
                  <w:r w:rsidRPr="00686E66">
                    <w:rPr>
                      <w:sz w:val="16"/>
                      <w:szCs w:val="18"/>
                    </w:rPr>
                    <w:t>Cat, 240°C</w:t>
                  </w:r>
                </w:p>
              </w:tc>
              <w:tc>
                <w:tcPr>
                  <w:tcW w:w="426" w:type="dxa"/>
                  <w:shd w:val="clear" w:color="auto" w:fill="FFFFFF"/>
                  <w:vAlign w:val="center"/>
                </w:tcPr>
                <w:p w14:paraId="455AB7E8" w14:textId="77777777" w:rsidR="001F250B" w:rsidRPr="00B57B36" w:rsidRDefault="001F250B" w:rsidP="001F250B">
                  <w:pPr>
                    <w:pStyle w:val="CETBodytext"/>
                    <w:jc w:val="center"/>
                    <w:rPr>
                      <w:lang w:val="en-GB"/>
                    </w:rPr>
                  </w:pPr>
                  <w:r w:rsidRPr="00686E66">
                    <w:rPr>
                      <w:sz w:val="16"/>
                      <w:szCs w:val="18"/>
                    </w:rPr>
                    <w:t>8</w:t>
                  </w:r>
                </w:p>
              </w:tc>
              <w:tc>
                <w:tcPr>
                  <w:tcW w:w="1842" w:type="dxa"/>
                  <w:shd w:val="clear" w:color="auto" w:fill="FFFFFF"/>
                  <w:vAlign w:val="center"/>
                </w:tcPr>
                <w:p w14:paraId="444E0EA1" w14:textId="77777777" w:rsidR="001F250B" w:rsidRPr="00B57B36" w:rsidRDefault="001F250B" w:rsidP="001F250B">
                  <w:pPr>
                    <w:pStyle w:val="CETBodytext"/>
                    <w:ind w:right="-1"/>
                    <w:jc w:val="center"/>
                    <w:rPr>
                      <w:rFonts w:cs="Arial"/>
                      <w:szCs w:val="18"/>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Cat, 240°C</w:t>
                  </w:r>
                </w:p>
              </w:tc>
            </w:tr>
            <w:tr w:rsidR="001F250B" w:rsidRPr="00B57B36" w14:paraId="5CD714D4" w14:textId="77777777" w:rsidTr="00986C91">
              <w:trPr>
                <w:jc w:val="center"/>
              </w:trPr>
              <w:tc>
                <w:tcPr>
                  <w:tcW w:w="426" w:type="dxa"/>
                  <w:shd w:val="clear" w:color="auto" w:fill="FFFFFF"/>
                  <w:vAlign w:val="center"/>
                </w:tcPr>
                <w:p w14:paraId="2A514086" w14:textId="77777777" w:rsidR="001F250B" w:rsidRPr="00B57B36" w:rsidRDefault="001F250B" w:rsidP="001F250B">
                  <w:pPr>
                    <w:pStyle w:val="CETBodytext"/>
                    <w:jc w:val="center"/>
                    <w:rPr>
                      <w:lang w:val="en-GB"/>
                    </w:rPr>
                  </w:pPr>
                  <w:r w:rsidRPr="00686E66">
                    <w:rPr>
                      <w:sz w:val="16"/>
                      <w:szCs w:val="18"/>
                    </w:rPr>
                    <w:t>3</w:t>
                  </w:r>
                </w:p>
              </w:tc>
              <w:tc>
                <w:tcPr>
                  <w:tcW w:w="1842" w:type="dxa"/>
                  <w:shd w:val="clear" w:color="auto" w:fill="FFFFFF"/>
                  <w:vAlign w:val="center"/>
                </w:tcPr>
                <w:p w14:paraId="0A2514D3" w14:textId="77777777" w:rsidR="001F250B" w:rsidRPr="00B57B36" w:rsidRDefault="001F250B" w:rsidP="001F250B">
                  <w:pPr>
                    <w:pStyle w:val="CETBodytext"/>
                    <w:jc w:val="center"/>
                    <w:rPr>
                      <w:lang w:val="en-GB"/>
                    </w:rPr>
                  </w:pPr>
                  <w:r>
                    <w:rPr>
                      <w:sz w:val="16"/>
                      <w:szCs w:val="18"/>
                    </w:rPr>
                    <w:t>(</w:t>
                  </w:r>
                  <w:proofErr w:type="gramStart"/>
                  <w:r w:rsidRPr="00686E66">
                    <w:rPr>
                      <w:sz w:val="16"/>
                      <w:szCs w:val="18"/>
                    </w:rPr>
                    <w:t>-</w:t>
                  </w:r>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w:t>
                  </w:r>
                  <w:r>
                    <w:rPr>
                      <w:sz w:val="16"/>
                      <w:szCs w:val="18"/>
                    </w:rPr>
                    <w:t>)</w:t>
                  </w:r>
                  <w:r w:rsidRPr="00686E66">
                    <w:rPr>
                      <w:sz w:val="16"/>
                      <w:szCs w:val="18"/>
                    </w:rPr>
                    <w:t>Cat, 260°C</w:t>
                  </w:r>
                </w:p>
              </w:tc>
              <w:tc>
                <w:tcPr>
                  <w:tcW w:w="426" w:type="dxa"/>
                  <w:shd w:val="clear" w:color="auto" w:fill="FFFFFF"/>
                  <w:vAlign w:val="center"/>
                </w:tcPr>
                <w:p w14:paraId="4B9C8DD9" w14:textId="77777777" w:rsidR="001F250B" w:rsidRPr="00B57B36" w:rsidRDefault="001F250B" w:rsidP="001F250B">
                  <w:pPr>
                    <w:pStyle w:val="CETBodytext"/>
                    <w:jc w:val="center"/>
                    <w:rPr>
                      <w:lang w:val="en-GB"/>
                    </w:rPr>
                  </w:pPr>
                  <w:r w:rsidRPr="00686E66">
                    <w:rPr>
                      <w:sz w:val="16"/>
                      <w:szCs w:val="18"/>
                    </w:rPr>
                    <w:t>9</w:t>
                  </w:r>
                </w:p>
              </w:tc>
              <w:tc>
                <w:tcPr>
                  <w:tcW w:w="1842" w:type="dxa"/>
                  <w:shd w:val="clear" w:color="auto" w:fill="FFFFFF"/>
                  <w:vAlign w:val="center"/>
                </w:tcPr>
                <w:p w14:paraId="4FFA9FF3" w14:textId="77777777" w:rsidR="001F250B" w:rsidRPr="00B57B36" w:rsidRDefault="001F250B" w:rsidP="001F250B">
                  <w:pPr>
                    <w:pStyle w:val="CETBodytext"/>
                    <w:ind w:right="-1"/>
                    <w:jc w:val="center"/>
                    <w:rPr>
                      <w:rFonts w:cs="Arial"/>
                      <w:szCs w:val="18"/>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Cat, 260°C</w:t>
                  </w:r>
                </w:p>
              </w:tc>
            </w:tr>
            <w:tr w:rsidR="001F250B" w:rsidRPr="00B57B36" w14:paraId="6F2567A7" w14:textId="77777777" w:rsidTr="00986C91">
              <w:trPr>
                <w:jc w:val="center"/>
              </w:trPr>
              <w:tc>
                <w:tcPr>
                  <w:tcW w:w="426" w:type="dxa"/>
                  <w:shd w:val="clear" w:color="auto" w:fill="FFFFFF"/>
                  <w:vAlign w:val="center"/>
                </w:tcPr>
                <w:p w14:paraId="4246E3E7" w14:textId="77777777" w:rsidR="001F250B" w:rsidRPr="00B57B36" w:rsidRDefault="001F250B" w:rsidP="001F250B">
                  <w:pPr>
                    <w:pStyle w:val="CETBodytext"/>
                    <w:jc w:val="center"/>
                    <w:rPr>
                      <w:lang w:val="en-GB"/>
                    </w:rPr>
                  </w:pPr>
                  <w:r w:rsidRPr="00686E66">
                    <w:rPr>
                      <w:sz w:val="16"/>
                      <w:szCs w:val="18"/>
                    </w:rPr>
                    <w:t>4</w:t>
                  </w:r>
                </w:p>
              </w:tc>
              <w:tc>
                <w:tcPr>
                  <w:tcW w:w="1842" w:type="dxa"/>
                  <w:shd w:val="clear" w:color="auto" w:fill="FFFFFF"/>
                  <w:vAlign w:val="center"/>
                </w:tcPr>
                <w:p w14:paraId="34A1FB6C" w14:textId="77777777" w:rsidR="001F250B" w:rsidRPr="00B57B36" w:rsidRDefault="001F250B" w:rsidP="001F250B">
                  <w:pPr>
                    <w:pStyle w:val="CETBodytext"/>
                    <w:jc w:val="center"/>
                    <w:rPr>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w:t>
                  </w:r>
                  <w:r>
                    <w:rPr>
                      <w:sz w:val="16"/>
                      <w:szCs w:val="18"/>
                    </w:rPr>
                    <w:t>)</w:t>
                  </w:r>
                  <w:r w:rsidRPr="00686E66">
                    <w:rPr>
                      <w:sz w:val="16"/>
                      <w:szCs w:val="18"/>
                    </w:rPr>
                    <w:t>Cat, 220°C</w:t>
                  </w:r>
                </w:p>
              </w:tc>
              <w:tc>
                <w:tcPr>
                  <w:tcW w:w="426" w:type="dxa"/>
                  <w:shd w:val="clear" w:color="auto" w:fill="FFFFFF"/>
                  <w:vAlign w:val="center"/>
                </w:tcPr>
                <w:p w14:paraId="4537244B" w14:textId="77777777" w:rsidR="001F250B" w:rsidRPr="00B57B36" w:rsidRDefault="001F250B" w:rsidP="001F250B">
                  <w:pPr>
                    <w:pStyle w:val="CETBodytext"/>
                    <w:jc w:val="center"/>
                    <w:rPr>
                      <w:lang w:val="en-GB"/>
                    </w:rPr>
                  </w:pPr>
                  <w:r w:rsidRPr="00686E66">
                    <w:rPr>
                      <w:sz w:val="16"/>
                      <w:szCs w:val="18"/>
                    </w:rPr>
                    <w:t>10</w:t>
                  </w:r>
                </w:p>
              </w:tc>
              <w:tc>
                <w:tcPr>
                  <w:tcW w:w="1842" w:type="dxa"/>
                  <w:shd w:val="clear" w:color="auto" w:fill="FFFFFF"/>
                  <w:vAlign w:val="center"/>
                </w:tcPr>
                <w:p w14:paraId="6F7824B7" w14:textId="77777777" w:rsidR="001F250B" w:rsidRPr="00B57B36" w:rsidRDefault="001F250B" w:rsidP="001F250B">
                  <w:pPr>
                    <w:pStyle w:val="CETBodytext"/>
                    <w:ind w:right="-1"/>
                    <w:jc w:val="center"/>
                    <w:rPr>
                      <w:rFonts w:cs="Arial"/>
                      <w:szCs w:val="18"/>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Cat, 220°C</w:t>
                  </w:r>
                </w:p>
              </w:tc>
            </w:tr>
            <w:tr w:rsidR="001F250B" w:rsidRPr="00B57B36" w14:paraId="480877D6" w14:textId="77777777" w:rsidTr="00986C91">
              <w:trPr>
                <w:jc w:val="center"/>
              </w:trPr>
              <w:tc>
                <w:tcPr>
                  <w:tcW w:w="426" w:type="dxa"/>
                  <w:shd w:val="clear" w:color="auto" w:fill="FFFFFF"/>
                  <w:vAlign w:val="center"/>
                </w:tcPr>
                <w:p w14:paraId="09067685" w14:textId="77777777" w:rsidR="001F250B" w:rsidRPr="00B57B36" w:rsidRDefault="001F250B" w:rsidP="001F250B">
                  <w:pPr>
                    <w:pStyle w:val="CETBodytext"/>
                    <w:jc w:val="center"/>
                    <w:rPr>
                      <w:lang w:val="en-GB"/>
                    </w:rPr>
                  </w:pPr>
                  <w:r w:rsidRPr="00686E66">
                    <w:rPr>
                      <w:sz w:val="16"/>
                      <w:szCs w:val="18"/>
                    </w:rPr>
                    <w:t>5</w:t>
                  </w:r>
                </w:p>
              </w:tc>
              <w:tc>
                <w:tcPr>
                  <w:tcW w:w="1842" w:type="dxa"/>
                  <w:shd w:val="clear" w:color="auto" w:fill="FFFFFF"/>
                  <w:vAlign w:val="center"/>
                </w:tcPr>
                <w:p w14:paraId="57FD81BD" w14:textId="77777777" w:rsidR="001F250B" w:rsidRPr="00B57B36" w:rsidRDefault="001F250B" w:rsidP="001F250B">
                  <w:pPr>
                    <w:pStyle w:val="CETBodytext"/>
                    <w:jc w:val="center"/>
                    <w:rPr>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w:t>
                  </w:r>
                  <w:r>
                    <w:rPr>
                      <w:sz w:val="16"/>
                      <w:szCs w:val="18"/>
                    </w:rPr>
                    <w:t>)</w:t>
                  </w:r>
                  <w:r w:rsidRPr="00686E66">
                    <w:rPr>
                      <w:sz w:val="16"/>
                      <w:szCs w:val="18"/>
                    </w:rPr>
                    <w:t>Cat, 240°C</w:t>
                  </w:r>
                </w:p>
              </w:tc>
              <w:tc>
                <w:tcPr>
                  <w:tcW w:w="426" w:type="dxa"/>
                  <w:shd w:val="clear" w:color="auto" w:fill="FFFFFF"/>
                  <w:vAlign w:val="center"/>
                </w:tcPr>
                <w:p w14:paraId="33671D0E" w14:textId="77777777" w:rsidR="001F250B" w:rsidRPr="00B57B36" w:rsidRDefault="001F250B" w:rsidP="001F250B">
                  <w:pPr>
                    <w:pStyle w:val="CETBodytext"/>
                    <w:jc w:val="center"/>
                    <w:rPr>
                      <w:lang w:val="en-GB"/>
                    </w:rPr>
                  </w:pPr>
                  <w:r w:rsidRPr="00686E66">
                    <w:rPr>
                      <w:sz w:val="16"/>
                      <w:szCs w:val="18"/>
                    </w:rPr>
                    <w:t>11</w:t>
                  </w:r>
                </w:p>
              </w:tc>
              <w:tc>
                <w:tcPr>
                  <w:tcW w:w="1842" w:type="dxa"/>
                  <w:shd w:val="clear" w:color="auto" w:fill="FFFFFF"/>
                  <w:vAlign w:val="center"/>
                </w:tcPr>
                <w:p w14:paraId="15D2836C" w14:textId="77777777" w:rsidR="001F250B" w:rsidRPr="00B57B36" w:rsidRDefault="001F250B" w:rsidP="001F250B">
                  <w:pPr>
                    <w:pStyle w:val="CETBodytext"/>
                    <w:ind w:right="-1"/>
                    <w:jc w:val="center"/>
                    <w:rPr>
                      <w:rFonts w:cs="Arial"/>
                      <w:szCs w:val="18"/>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Cat, 240°C</w:t>
                  </w:r>
                </w:p>
              </w:tc>
            </w:tr>
            <w:tr w:rsidR="001F250B" w:rsidRPr="00B57B36" w14:paraId="244DC1D6" w14:textId="77777777" w:rsidTr="00986C91">
              <w:trPr>
                <w:jc w:val="center"/>
              </w:trPr>
              <w:tc>
                <w:tcPr>
                  <w:tcW w:w="426" w:type="dxa"/>
                  <w:shd w:val="clear" w:color="auto" w:fill="FFFFFF"/>
                  <w:vAlign w:val="center"/>
                </w:tcPr>
                <w:p w14:paraId="07EA3007" w14:textId="77777777" w:rsidR="001F250B" w:rsidRPr="00B57B36" w:rsidRDefault="001F250B" w:rsidP="001F250B">
                  <w:pPr>
                    <w:pStyle w:val="CETBodytext"/>
                    <w:ind w:right="-1"/>
                    <w:jc w:val="center"/>
                    <w:rPr>
                      <w:rFonts w:cs="Arial"/>
                      <w:szCs w:val="18"/>
                      <w:lang w:val="en-GB"/>
                    </w:rPr>
                  </w:pPr>
                  <w:r w:rsidRPr="00686E66">
                    <w:rPr>
                      <w:sz w:val="16"/>
                      <w:szCs w:val="18"/>
                    </w:rPr>
                    <w:t>6</w:t>
                  </w:r>
                </w:p>
              </w:tc>
              <w:tc>
                <w:tcPr>
                  <w:tcW w:w="1842" w:type="dxa"/>
                  <w:shd w:val="clear" w:color="auto" w:fill="FFFFFF"/>
                  <w:vAlign w:val="center"/>
                </w:tcPr>
                <w:p w14:paraId="3E412382" w14:textId="77777777" w:rsidR="001F250B" w:rsidRPr="00B57B36" w:rsidRDefault="001F250B" w:rsidP="001F250B">
                  <w:pPr>
                    <w:pStyle w:val="CETBodytext"/>
                    <w:ind w:right="-1"/>
                    <w:jc w:val="center"/>
                    <w:rPr>
                      <w:rFonts w:cs="Arial"/>
                      <w:szCs w:val="18"/>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w:t>
                  </w:r>
                  <w:r>
                    <w:rPr>
                      <w:sz w:val="16"/>
                      <w:szCs w:val="18"/>
                    </w:rPr>
                    <w:t>)</w:t>
                  </w:r>
                  <w:r w:rsidRPr="00686E66">
                    <w:rPr>
                      <w:sz w:val="16"/>
                      <w:szCs w:val="18"/>
                    </w:rPr>
                    <w:t>Cat, 260°C</w:t>
                  </w:r>
                </w:p>
              </w:tc>
              <w:tc>
                <w:tcPr>
                  <w:tcW w:w="426" w:type="dxa"/>
                  <w:shd w:val="clear" w:color="auto" w:fill="FFFFFF"/>
                  <w:vAlign w:val="center"/>
                </w:tcPr>
                <w:p w14:paraId="63FBF715" w14:textId="77777777" w:rsidR="001F250B" w:rsidRPr="00B57B36" w:rsidRDefault="001F250B" w:rsidP="001F250B">
                  <w:pPr>
                    <w:pStyle w:val="CETBodytext"/>
                    <w:ind w:right="-1"/>
                    <w:jc w:val="center"/>
                    <w:rPr>
                      <w:rFonts w:cs="Arial"/>
                      <w:szCs w:val="18"/>
                      <w:lang w:val="en-GB"/>
                    </w:rPr>
                  </w:pPr>
                  <w:r w:rsidRPr="00686E66">
                    <w:rPr>
                      <w:sz w:val="16"/>
                      <w:szCs w:val="18"/>
                    </w:rPr>
                    <w:t>12</w:t>
                  </w:r>
                </w:p>
              </w:tc>
              <w:tc>
                <w:tcPr>
                  <w:tcW w:w="1842" w:type="dxa"/>
                  <w:shd w:val="clear" w:color="auto" w:fill="FFFFFF"/>
                  <w:vAlign w:val="center"/>
                </w:tcPr>
                <w:p w14:paraId="5442DE0F" w14:textId="77777777" w:rsidR="001F250B" w:rsidRPr="00B57B36" w:rsidRDefault="001F250B" w:rsidP="001F250B">
                  <w:pPr>
                    <w:pStyle w:val="CETBodytext"/>
                    <w:ind w:right="-1"/>
                    <w:jc w:val="center"/>
                    <w:rPr>
                      <w:rFonts w:cs="Arial"/>
                      <w:szCs w:val="18"/>
                      <w:lang w:val="en-GB"/>
                    </w:rPr>
                  </w:pPr>
                  <w:r>
                    <w:rPr>
                      <w:sz w:val="16"/>
                      <w:szCs w:val="18"/>
                    </w:rPr>
                    <w:t>(</w:t>
                  </w:r>
                  <w:proofErr w:type="gramStart"/>
                  <w:r>
                    <w:rPr>
                      <w:sz w:val="16"/>
                      <w:szCs w:val="18"/>
                    </w:rPr>
                    <w:t>-)</w:t>
                  </w:r>
                  <w:r w:rsidRPr="00686E66">
                    <w:rPr>
                      <w:sz w:val="16"/>
                      <w:szCs w:val="18"/>
                    </w:rPr>
                    <w:t>AAC</w:t>
                  </w:r>
                  <w:proofErr w:type="gramEnd"/>
                  <w:r w:rsidRPr="00686E66">
                    <w:rPr>
                      <w:sz w:val="16"/>
                      <w:szCs w:val="18"/>
                    </w:rPr>
                    <w:t xml:space="preserve"> </w:t>
                  </w:r>
                  <w:r>
                    <w:rPr>
                      <w:sz w:val="16"/>
                      <w:szCs w:val="18"/>
                    </w:rPr>
                    <w:t>(-)</w:t>
                  </w:r>
                  <w:r w:rsidRPr="00686E66">
                    <w:rPr>
                      <w:sz w:val="16"/>
                      <w:szCs w:val="18"/>
                    </w:rPr>
                    <w:t>Cat, 260°C</w:t>
                  </w:r>
                </w:p>
              </w:tc>
            </w:tr>
          </w:tbl>
          <w:p w14:paraId="04CB2ED4" w14:textId="101E52F3" w:rsidR="001F250B" w:rsidRPr="00C654B4" w:rsidRDefault="001F250B" w:rsidP="001F250B">
            <w:pPr>
              <w:pStyle w:val="CETBodytext"/>
            </w:pPr>
          </w:p>
        </w:tc>
      </w:tr>
      <w:tr w:rsidR="00C654B4" w14:paraId="1E6F323E" w14:textId="77777777" w:rsidTr="002B1F7F">
        <w:tc>
          <w:tcPr>
            <w:tcW w:w="8787" w:type="dxa"/>
            <w:gridSpan w:val="2"/>
            <w:vAlign w:val="center"/>
          </w:tcPr>
          <w:p w14:paraId="152DF07A" w14:textId="0C0B62BF" w:rsidR="00C654B4" w:rsidRDefault="00C654B4" w:rsidP="00C654B4">
            <w:pPr>
              <w:pStyle w:val="CETReferencetext"/>
              <w:ind w:left="0" w:firstLine="0"/>
              <w:jc w:val="center"/>
              <w:rPr>
                <w:rFonts w:cs="Arial"/>
                <w:szCs w:val="18"/>
                <w:lang w:val="en-US"/>
              </w:rPr>
            </w:pPr>
            <w:r>
              <w:rPr>
                <w:rFonts w:cs="Arial"/>
                <w:szCs w:val="18"/>
                <w:lang w:val="en-US"/>
              </w:rPr>
              <w:t>(c)</w:t>
            </w:r>
          </w:p>
        </w:tc>
      </w:tr>
    </w:tbl>
    <w:p w14:paraId="38900F4C" w14:textId="13196BEA" w:rsidR="00C654B4" w:rsidRPr="00621ED7" w:rsidRDefault="00467DFF" w:rsidP="000A1902">
      <w:pPr>
        <w:pStyle w:val="CETCaption"/>
        <w:spacing w:before="0" w:after="0"/>
        <w:rPr>
          <w:lang w:val="en-US"/>
        </w:rPr>
      </w:pPr>
      <w:bookmarkStart w:id="8" w:name="_Ref223220715"/>
      <w:r w:rsidRPr="00467DFF">
        <w:rPr>
          <w:bCs/>
          <w:iCs/>
        </w:rPr>
        <w:t xml:space="preserve">Figure </w:t>
      </w:r>
      <w:r w:rsidRPr="00467DFF">
        <w:rPr>
          <w:bCs/>
          <w:iCs/>
        </w:rPr>
        <w:fldChar w:fldCharType="begin"/>
      </w:r>
      <w:r w:rsidRPr="00467DFF">
        <w:rPr>
          <w:bCs/>
          <w:iCs/>
        </w:rPr>
        <w:instrText xml:space="preserve"> SEQ Figure \* ARABIC </w:instrText>
      </w:r>
      <w:r w:rsidRPr="00467DFF">
        <w:rPr>
          <w:bCs/>
          <w:iCs/>
        </w:rPr>
        <w:fldChar w:fldCharType="separate"/>
      </w:r>
      <w:r w:rsidR="00E1075E">
        <w:rPr>
          <w:bCs/>
          <w:iCs/>
          <w:noProof/>
        </w:rPr>
        <w:t>2</w:t>
      </w:r>
      <w:r w:rsidRPr="00467DFF">
        <w:rPr>
          <w:bCs/>
          <w:iCs/>
        </w:rPr>
        <w:fldChar w:fldCharType="end"/>
      </w:r>
      <w:bookmarkEnd w:id="8"/>
      <w:r w:rsidRPr="00467DFF">
        <w:rPr>
          <w:bCs/>
          <w:iCs/>
        </w:rPr>
        <w:t>:</w:t>
      </w:r>
      <w:r w:rsidR="00C51818">
        <w:rPr>
          <w:b/>
          <w:i w:val="0"/>
        </w:rPr>
        <w:t xml:space="preserve"> </w:t>
      </w:r>
      <w:r w:rsidR="00CE1730" w:rsidRPr="00227A00">
        <w:rPr>
          <w:lang w:val="en-US"/>
        </w:rPr>
        <w:t xml:space="preserve">(a) </w:t>
      </w:r>
      <w:r w:rsidR="00837826" w:rsidRPr="00227A00">
        <w:rPr>
          <w:lang w:val="en-US"/>
        </w:rPr>
        <w:t xml:space="preserve">¹H NMR </w:t>
      </w:r>
      <w:r w:rsidR="00CE1730" w:rsidRPr="00227A00">
        <w:rPr>
          <w:lang w:val="en-US"/>
        </w:rPr>
        <w:t xml:space="preserve">spectrum of 3 tests with </w:t>
      </w:r>
      <w:r w:rsidR="00C471EE">
        <w:rPr>
          <w:lang w:val="en-US"/>
        </w:rPr>
        <w:t>A</w:t>
      </w:r>
      <w:r w:rsidR="00CE1730" w:rsidRPr="00227A00">
        <w:rPr>
          <w:lang w:val="en-US"/>
        </w:rPr>
        <w:t xml:space="preserve">AC and </w:t>
      </w:r>
      <w:r w:rsidR="00C471EE" w:rsidRPr="00227A00">
        <w:rPr>
          <w:rFonts w:cs="Arial"/>
          <w:szCs w:val="18"/>
          <w:lang w:val="en-US"/>
        </w:rPr>
        <w:t>Co</w:t>
      </w:r>
      <w:r w:rsidR="00C471EE" w:rsidRPr="00227A00">
        <w:rPr>
          <w:rFonts w:cs="Arial"/>
          <w:szCs w:val="18"/>
          <w:vertAlign w:val="subscript"/>
          <w:lang w:val="en-US"/>
        </w:rPr>
        <w:t>6</w:t>
      </w:r>
      <w:r w:rsidR="00C471EE" w:rsidRPr="00227A00">
        <w:rPr>
          <w:rFonts w:cs="Arial"/>
          <w:szCs w:val="18"/>
          <w:lang w:val="en-US"/>
        </w:rPr>
        <w:t>/MnO</w:t>
      </w:r>
      <w:r w:rsidR="00C471EE" w:rsidRPr="00227A00">
        <w:rPr>
          <w:rFonts w:cs="Arial"/>
          <w:szCs w:val="18"/>
          <w:vertAlign w:val="subscript"/>
          <w:lang w:val="en-US"/>
        </w:rPr>
        <w:t>x</w:t>
      </w:r>
      <w:r w:rsidR="00C471EE" w:rsidRPr="00227A00">
        <w:rPr>
          <w:rFonts w:cs="Arial"/>
          <w:szCs w:val="18"/>
          <w:lang w:val="en-US"/>
        </w:rPr>
        <w:t xml:space="preserve"> </w:t>
      </w:r>
      <w:r w:rsidR="00C471EE">
        <w:rPr>
          <w:lang w:val="en-US"/>
        </w:rPr>
        <w:t>catalyst</w:t>
      </w:r>
      <w:r w:rsidR="00CE1730" w:rsidRPr="00227A00">
        <w:rPr>
          <w:lang w:val="en-US"/>
        </w:rPr>
        <w:t xml:space="preserve"> present</w:t>
      </w:r>
      <w:r w:rsidR="00C471EE">
        <w:rPr>
          <w:lang w:val="en-US"/>
        </w:rPr>
        <w:t xml:space="preserve"> (</w:t>
      </w:r>
      <w:r w:rsidR="00C471EE" w:rsidRPr="00227A00">
        <w:rPr>
          <w:rFonts w:cs="Arial"/>
          <w:szCs w:val="18"/>
          <w:lang w:val="en-US"/>
        </w:rPr>
        <w:t>AAC/Co</w:t>
      </w:r>
      <w:r w:rsidR="00C471EE" w:rsidRPr="00227A00">
        <w:rPr>
          <w:rFonts w:cs="Arial"/>
          <w:szCs w:val="18"/>
          <w:vertAlign w:val="subscript"/>
          <w:lang w:val="en-US"/>
        </w:rPr>
        <w:t>6</w:t>
      </w:r>
      <w:r w:rsidR="00C471EE" w:rsidRPr="00227A00">
        <w:rPr>
          <w:rFonts w:cs="Arial"/>
          <w:szCs w:val="18"/>
          <w:lang w:val="en-US"/>
        </w:rPr>
        <w:t>/MnO</w:t>
      </w:r>
      <w:r w:rsidR="00C471EE" w:rsidRPr="00227A00">
        <w:rPr>
          <w:rFonts w:cs="Arial"/>
          <w:szCs w:val="18"/>
          <w:vertAlign w:val="subscript"/>
          <w:lang w:val="en-US"/>
        </w:rPr>
        <w:t>x</w:t>
      </w:r>
      <w:r w:rsidR="00C471EE" w:rsidRPr="00227A00">
        <w:rPr>
          <w:rFonts w:cs="Arial"/>
          <w:szCs w:val="18"/>
          <w:lang w:val="en-US"/>
        </w:rPr>
        <w:t xml:space="preserve"> mixture</w:t>
      </w:r>
      <w:r w:rsidR="00C471EE">
        <w:rPr>
          <w:lang w:val="en-US"/>
        </w:rPr>
        <w:t>)</w:t>
      </w:r>
      <w:r w:rsidR="00CE1730" w:rsidRPr="00227A00">
        <w:rPr>
          <w:lang w:val="en-US"/>
        </w:rPr>
        <w:t>, varying the temperature. (</w:t>
      </w:r>
      <w:r w:rsidR="00DE337E">
        <w:rPr>
          <w:lang w:val="en-US"/>
        </w:rPr>
        <w:t>b</w:t>
      </w:r>
      <w:r w:rsidR="00CE1730" w:rsidRPr="00227A00">
        <w:rPr>
          <w:lang w:val="en-US"/>
        </w:rPr>
        <w:t xml:space="preserve">) </w:t>
      </w:r>
      <w:r w:rsidR="00837826" w:rsidRPr="00227A00">
        <w:rPr>
          <w:lang w:val="en-US"/>
        </w:rPr>
        <w:t xml:space="preserve">¹H NMR </w:t>
      </w:r>
      <w:r w:rsidR="00CE1730" w:rsidRPr="00227A00">
        <w:rPr>
          <w:lang w:val="en-US"/>
        </w:rPr>
        <w:t xml:space="preserve">spectrum of </w:t>
      </w:r>
      <w:r w:rsidR="002D37CB">
        <w:rPr>
          <w:lang w:val="en-US"/>
        </w:rPr>
        <w:t>4</w:t>
      </w:r>
      <w:r w:rsidR="00CE1730" w:rsidRPr="00227A00">
        <w:rPr>
          <w:lang w:val="en-US"/>
        </w:rPr>
        <w:t xml:space="preserve"> tests at T = 260 °C with </w:t>
      </w:r>
      <w:r w:rsidR="00C471EE" w:rsidRPr="00227A00">
        <w:rPr>
          <w:rFonts w:cs="Arial"/>
          <w:szCs w:val="18"/>
          <w:lang w:val="en-US"/>
        </w:rPr>
        <w:t>Co</w:t>
      </w:r>
      <w:r w:rsidR="00C471EE" w:rsidRPr="00227A00">
        <w:rPr>
          <w:rFonts w:cs="Arial"/>
          <w:szCs w:val="18"/>
          <w:vertAlign w:val="subscript"/>
          <w:lang w:val="en-US"/>
        </w:rPr>
        <w:t>6</w:t>
      </w:r>
      <w:r w:rsidR="00C471EE" w:rsidRPr="00227A00">
        <w:rPr>
          <w:rFonts w:cs="Arial"/>
          <w:szCs w:val="18"/>
          <w:lang w:val="en-US"/>
        </w:rPr>
        <w:t>/MnO</w:t>
      </w:r>
      <w:r w:rsidR="00C471EE" w:rsidRPr="00227A00">
        <w:rPr>
          <w:rFonts w:cs="Arial"/>
          <w:szCs w:val="18"/>
          <w:vertAlign w:val="subscript"/>
          <w:lang w:val="en-US"/>
        </w:rPr>
        <w:t>x</w:t>
      </w:r>
      <w:r w:rsidR="00C471EE" w:rsidRPr="00227A00">
        <w:rPr>
          <w:rFonts w:cs="Arial"/>
          <w:szCs w:val="18"/>
          <w:lang w:val="en-US"/>
        </w:rPr>
        <w:t xml:space="preserve"> </w:t>
      </w:r>
      <w:r w:rsidR="00C471EE">
        <w:rPr>
          <w:lang w:val="en-US"/>
        </w:rPr>
        <w:t>catalyst</w:t>
      </w:r>
      <w:r w:rsidR="00CE1730" w:rsidRPr="00227A00">
        <w:rPr>
          <w:lang w:val="en-US"/>
        </w:rPr>
        <w:t xml:space="preserve"> and </w:t>
      </w:r>
      <w:r w:rsidR="00C471EE">
        <w:rPr>
          <w:lang w:val="en-US"/>
        </w:rPr>
        <w:t>A</w:t>
      </w:r>
      <w:r w:rsidR="00CE1730" w:rsidRPr="00227A00">
        <w:rPr>
          <w:lang w:val="en-US"/>
        </w:rPr>
        <w:t>AC</w:t>
      </w:r>
      <w:r w:rsidR="00FF4F6E">
        <w:rPr>
          <w:lang w:val="en-US"/>
        </w:rPr>
        <w:t>,</w:t>
      </w:r>
      <w:r w:rsidR="00CE1730" w:rsidRPr="00227A00">
        <w:rPr>
          <w:lang w:val="en-US"/>
        </w:rPr>
        <w:t xml:space="preserve"> </w:t>
      </w:r>
      <w:r w:rsidR="000A1902">
        <w:rPr>
          <w:lang w:val="en-US"/>
        </w:rPr>
        <w:t>present</w:t>
      </w:r>
      <w:r w:rsidR="00FF4F6E">
        <w:rPr>
          <w:lang w:val="en-US"/>
        </w:rPr>
        <w:t xml:space="preserve"> (+)</w:t>
      </w:r>
      <w:r w:rsidR="000A1902">
        <w:rPr>
          <w:lang w:val="en-US"/>
        </w:rPr>
        <w:t xml:space="preserve"> or absent</w:t>
      </w:r>
      <w:r w:rsidR="00FF4F6E">
        <w:rPr>
          <w:lang w:val="en-US"/>
        </w:rPr>
        <w:t xml:space="preserve"> (-)</w:t>
      </w:r>
      <w:r w:rsidR="000A1902">
        <w:rPr>
          <w:lang w:val="en-US"/>
        </w:rPr>
        <w:t>, depending on the case</w:t>
      </w:r>
      <w:r w:rsidR="00CE1730" w:rsidRPr="00227A00">
        <w:rPr>
          <w:lang w:val="en-US"/>
        </w:rPr>
        <w:t>.</w:t>
      </w:r>
      <w:r w:rsidR="00560862">
        <w:rPr>
          <w:lang w:val="en-US"/>
        </w:rPr>
        <w:t xml:space="preserve"> (c) </w:t>
      </w:r>
      <w:r w:rsidR="00560862" w:rsidRPr="00467DFF">
        <w:rPr>
          <w:lang w:val="en-US"/>
        </w:rPr>
        <w:t>FTIR-ATR spectra obtained for all experimental tests</w:t>
      </w:r>
      <w:r w:rsidR="00560862">
        <w:rPr>
          <w:lang w:val="en-US"/>
        </w:rPr>
        <w:t>.</w:t>
      </w:r>
    </w:p>
    <w:p w14:paraId="48A150A7" w14:textId="77777777" w:rsidR="00397E40" w:rsidRDefault="00E44152" w:rsidP="00397E40">
      <w:pPr>
        <w:pStyle w:val="CETHeading1"/>
        <w:numPr>
          <w:ilvl w:val="0"/>
          <w:numId w:val="26"/>
        </w:numPr>
        <w:rPr>
          <w:rFonts w:cs="Arial"/>
          <w:b w:val="0"/>
          <w:bCs/>
          <w:szCs w:val="18"/>
        </w:rPr>
      </w:pPr>
      <w:r w:rsidRPr="00B45119">
        <w:rPr>
          <w:rFonts w:cs="Arial"/>
          <w:sz w:val="18"/>
          <w:szCs w:val="18"/>
          <w:lang w:val="en-GB"/>
        </w:rPr>
        <w:t>Conclusions</w:t>
      </w:r>
    </w:p>
    <w:p w14:paraId="7245725F" w14:textId="37982027" w:rsidR="00397E40" w:rsidRDefault="00397E40" w:rsidP="004B7D16">
      <w:pPr>
        <w:pStyle w:val="CETHeading1"/>
        <w:numPr>
          <w:ilvl w:val="0"/>
          <w:numId w:val="0"/>
        </w:numPr>
        <w:jc w:val="both"/>
        <w:rPr>
          <w:b w:val="0"/>
          <w:sz w:val="18"/>
        </w:rPr>
      </w:pPr>
      <w:r w:rsidRPr="00017028">
        <w:rPr>
          <w:b w:val="0"/>
          <w:sz w:val="18"/>
        </w:rPr>
        <w:t>Sugarcane bagasse was confirmed as a promising precursor for activated carbons for C</w:t>
      </w:r>
      <w:r w:rsidR="002B41D9" w:rsidRPr="00017028">
        <w:rPr>
          <w:b w:val="0"/>
          <w:sz w:val="18"/>
        </w:rPr>
        <w:t>O</w:t>
      </w:r>
      <w:r w:rsidR="002B41D9" w:rsidRPr="00017028">
        <w:rPr>
          <w:b w:val="0"/>
          <w:sz w:val="18"/>
          <w:vertAlign w:val="subscript"/>
        </w:rPr>
        <w:t>2</w:t>
      </w:r>
      <w:r w:rsidRPr="00017028">
        <w:rPr>
          <w:b w:val="0"/>
          <w:sz w:val="18"/>
        </w:rPr>
        <w:t xml:space="preserve"> adsorption, due to its high carbon content, low cost, and storage stability. Adsorption performance depends not only on textural properties but also on surface chemistry, particularly the presence of basic functional groups. The AAC sample exhibited strong performance, combining high surface area, suitable pore volume, and improved crystallinity, highlighting its potential for efficient </w:t>
      </w:r>
      <w:r w:rsidR="002B41D9" w:rsidRPr="00017028">
        <w:rPr>
          <w:b w:val="0"/>
          <w:sz w:val="18"/>
        </w:rPr>
        <w:t>CO</w:t>
      </w:r>
      <w:r w:rsidR="002B41D9" w:rsidRPr="00017028">
        <w:rPr>
          <w:b w:val="0"/>
          <w:sz w:val="18"/>
          <w:vertAlign w:val="subscript"/>
        </w:rPr>
        <w:t>2</w:t>
      </w:r>
      <w:r w:rsidRPr="00017028">
        <w:rPr>
          <w:b w:val="0"/>
          <w:sz w:val="18"/>
        </w:rPr>
        <w:t xml:space="preserve"> capture </w:t>
      </w:r>
      <w:r w:rsidR="00C24717" w:rsidRPr="00017028">
        <w:rPr>
          <w:b w:val="0"/>
          <w:sz w:val="18"/>
        </w:rPr>
        <w:t>via scalable,</w:t>
      </w:r>
      <w:r w:rsidRPr="00017028">
        <w:rPr>
          <w:b w:val="0"/>
          <w:sz w:val="18"/>
        </w:rPr>
        <w:t xml:space="preserve"> low-complexity thermal treatments.</w:t>
      </w:r>
      <w:r w:rsidRPr="00017028">
        <w:rPr>
          <w:rFonts w:cs="Arial"/>
          <w:b w:val="0"/>
          <w:bCs/>
          <w:szCs w:val="18"/>
        </w:rPr>
        <w:t xml:space="preserve"> </w:t>
      </w:r>
      <w:r w:rsidRPr="00017028">
        <w:rPr>
          <w:b w:val="0"/>
          <w:sz w:val="18"/>
        </w:rPr>
        <w:t>The successful impregnation of the C</w:t>
      </w:r>
      <w:r w:rsidR="002B41D9" w:rsidRPr="00017028">
        <w:rPr>
          <w:b w:val="0"/>
          <w:sz w:val="18"/>
        </w:rPr>
        <w:t>o</w:t>
      </w:r>
      <w:r w:rsidR="002B41D9" w:rsidRPr="00017028">
        <w:rPr>
          <w:b w:val="0"/>
          <w:sz w:val="18"/>
          <w:vertAlign w:val="subscript"/>
        </w:rPr>
        <w:t>6</w:t>
      </w:r>
      <w:r w:rsidRPr="00017028">
        <w:rPr>
          <w:b w:val="0"/>
          <w:sz w:val="18"/>
        </w:rPr>
        <w:t>/MnO</w:t>
      </w:r>
      <w:r w:rsidR="002B41D9" w:rsidRPr="00017028">
        <w:rPr>
          <w:rFonts w:cs="Arial"/>
          <w:b w:val="0"/>
          <w:sz w:val="18"/>
          <w:vertAlign w:val="subscript"/>
        </w:rPr>
        <w:t>x</w:t>
      </w:r>
      <w:r w:rsidRPr="00017028">
        <w:rPr>
          <w:b w:val="0"/>
          <w:sz w:val="18"/>
        </w:rPr>
        <w:t xml:space="preserve"> catalyst onto AAC via ethanol-based co-precipitation effectively combined </w:t>
      </w:r>
      <w:r w:rsidR="002B41D9" w:rsidRPr="00017028">
        <w:rPr>
          <w:b w:val="0"/>
          <w:sz w:val="18"/>
        </w:rPr>
        <w:t>CO</w:t>
      </w:r>
      <w:r w:rsidR="002B41D9" w:rsidRPr="00017028">
        <w:rPr>
          <w:b w:val="0"/>
          <w:sz w:val="18"/>
          <w:vertAlign w:val="subscript"/>
        </w:rPr>
        <w:t>2</w:t>
      </w:r>
      <w:r w:rsidRPr="00017028">
        <w:rPr>
          <w:b w:val="0"/>
          <w:sz w:val="18"/>
        </w:rPr>
        <w:t xml:space="preserve"> adsorption capacity with catalytic hydrogenation activity. This synergy enhanced conversion, yielding </w:t>
      </w:r>
      <w:r w:rsidR="007C135A">
        <w:rPr>
          <w:b w:val="0"/>
          <w:sz w:val="18"/>
        </w:rPr>
        <w:t>a liquid volume up to 24.77</w:t>
      </w:r>
      <w:r w:rsidR="00B00B3A">
        <w:rPr>
          <w:b w:val="0"/>
          <w:sz w:val="18"/>
        </w:rPr>
        <w:t xml:space="preserve"> % higher than the initial squalane mass, while improving thermal stability and regeneration potential, thereby </w:t>
      </w:r>
      <w:r w:rsidRPr="00017028">
        <w:rPr>
          <w:b w:val="0"/>
          <w:sz w:val="18"/>
        </w:rPr>
        <w:t>making the material suitable for CCUS applications.</w:t>
      </w:r>
      <w:r w:rsidRPr="00017028">
        <w:rPr>
          <w:rFonts w:cs="Arial"/>
          <w:b w:val="0"/>
          <w:bCs/>
          <w:szCs w:val="18"/>
        </w:rPr>
        <w:t xml:space="preserve"> </w:t>
      </w:r>
      <w:r w:rsidR="002B41D9" w:rsidRPr="00017028">
        <w:rPr>
          <w:b w:val="0"/>
          <w:sz w:val="18"/>
          <w:vertAlign w:val="superscript"/>
        </w:rPr>
        <w:t>1</w:t>
      </w:r>
      <w:r w:rsidRPr="00017028">
        <w:rPr>
          <w:b w:val="0"/>
          <w:sz w:val="18"/>
        </w:rPr>
        <w:t>H NMR and FTIR-ATR analyses indicated that increasing temperature promotes catalytic cracking, chain scission, and the formation of branched and aromatic structures, with no evidence of oxidation pathways. These results confirm that higher temperatures, in the presence of AAC/</w:t>
      </w:r>
      <w:r w:rsidR="00017028" w:rsidRPr="00017028">
        <w:rPr>
          <w:b w:val="0"/>
          <w:sz w:val="18"/>
        </w:rPr>
        <w:t>Co</w:t>
      </w:r>
      <w:r w:rsidR="00017028" w:rsidRPr="00017028">
        <w:rPr>
          <w:b w:val="0"/>
          <w:sz w:val="18"/>
          <w:vertAlign w:val="subscript"/>
        </w:rPr>
        <w:t>6</w:t>
      </w:r>
      <w:r w:rsidR="00017028" w:rsidRPr="00017028">
        <w:rPr>
          <w:b w:val="0"/>
          <w:sz w:val="18"/>
        </w:rPr>
        <w:t>/MnO</w:t>
      </w:r>
      <w:r w:rsidR="00017028" w:rsidRPr="00017028">
        <w:rPr>
          <w:rFonts w:cs="Arial"/>
          <w:b w:val="0"/>
          <w:sz w:val="18"/>
          <w:vertAlign w:val="subscript"/>
        </w:rPr>
        <w:t>x</w:t>
      </w:r>
      <w:r w:rsidRPr="00017028">
        <w:rPr>
          <w:b w:val="0"/>
          <w:sz w:val="18"/>
        </w:rPr>
        <w:t xml:space="preserve">, favor molecular fragmentation and aromatization. Overall, this study demonstrates a sustainable CCUS approach integrating agro-industrial waste valorization with </w:t>
      </w:r>
      <w:r w:rsidR="00017028" w:rsidRPr="00017028">
        <w:rPr>
          <w:b w:val="0"/>
          <w:sz w:val="18"/>
        </w:rPr>
        <w:t>CO</w:t>
      </w:r>
      <w:r w:rsidR="00017028" w:rsidRPr="00017028">
        <w:rPr>
          <w:b w:val="0"/>
          <w:sz w:val="18"/>
          <w:vertAlign w:val="subscript"/>
        </w:rPr>
        <w:t>2</w:t>
      </w:r>
      <w:r w:rsidRPr="00017028">
        <w:rPr>
          <w:b w:val="0"/>
          <w:sz w:val="18"/>
        </w:rPr>
        <w:t xml:space="preserve"> capture and conversion into synthetic fuels, offering a viable decarbonization pathway for industrial applications in the MMV. Future work should address long-term stability, cyclic performance, and pilot-scale implementation.</w:t>
      </w:r>
    </w:p>
    <w:p w14:paraId="52EC7316" w14:textId="24DDF67A" w:rsidR="000060B9" w:rsidRPr="00B45119" w:rsidRDefault="00E44152" w:rsidP="00397E40">
      <w:pPr>
        <w:pStyle w:val="CETHeading1"/>
        <w:numPr>
          <w:ilvl w:val="0"/>
          <w:numId w:val="0"/>
        </w:numPr>
        <w:rPr>
          <w:rFonts w:cs="Arial"/>
          <w:sz w:val="18"/>
          <w:szCs w:val="18"/>
          <w:lang w:val="en-GB"/>
        </w:rPr>
      </w:pPr>
      <w:r w:rsidRPr="00B45119">
        <w:rPr>
          <w:rFonts w:cs="Arial"/>
          <w:sz w:val="18"/>
          <w:szCs w:val="18"/>
          <w:lang w:val="en-GB"/>
        </w:rPr>
        <w:t>Acknowledgments</w:t>
      </w:r>
    </w:p>
    <w:p w14:paraId="7C0001CF" w14:textId="6CD197C8" w:rsidR="00AA448D" w:rsidRDefault="00AA448D" w:rsidP="00AA448D">
      <w:pPr>
        <w:pStyle w:val="CETReferencetext"/>
        <w:ind w:left="0" w:firstLine="0"/>
      </w:pPr>
      <w:r w:rsidRPr="00DB348E">
        <w:t>The authors express their gratitude to the "</w:t>
      </w:r>
      <w:proofErr w:type="spellStart"/>
      <w:r w:rsidRPr="00DB348E">
        <w:t>Ministerio</w:t>
      </w:r>
      <w:proofErr w:type="spellEnd"/>
      <w:r w:rsidRPr="00DB348E">
        <w:t xml:space="preserve"> de </w:t>
      </w:r>
      <w:proofErr w:type="spellStart"/>
      <w:r w:rsidRPr="00DB348E">
        <w:t>Ciencia</w:t>
      </w:r>
      <w:proofErr w:type="spellEnd"/>
      <w:r w:rsidRPr="00DB348E">
        <w:t xml:space="preserve"> y </w:t>
      </w:r>
      <w:proofErr w:type="spellStart"/>
      <w:r w:rsidRPr="00DB348E">
        <w:t>Tecnología</w:t>
      </w:r>
      <w:proofErr w:type="spellEnd"/>
      <w:r w:rsidRPr="00DB348E">
        <w:t xml:space="preserve"> (MINCIENCIAS)", "</w:t>
      </w:r>
      <w:proofErr w:type="spellStart"/>
      <w:r w:rsidRPr="00DB348E">
        <w:t>Agencia</w:t>
      </w:r>
      <w:proofErr w:type="spellEnd"/>
      <w:r w:rsidRPr="00DB348E">
        <w:t xml:space="preserve"> Nacional de </w:t>
      </w:r>
      <w:proofErr w:type="spellStart"/>
      <w:r w:rsidRPr="00DB348E">
        <w:t>Hidrocarburos</w:t>
      </w:r>
      <w:proofErr w:type="spellEnd"/>
      <w:r w:rsidRPr="00DB348E">
        <w:t xml:space="preserve"> (ANH)", and Universidad Industrial de Santander for the financial support. </w:t>
      </w:r>
      <w:r w:rsidRPr="004A7908">
        <w:rPr>
          <w:lang w:val="en-US"/>
        </w:rPr>
        <w:t xml:space="preserve">This work was financially supported by Project </w:t>
      </w:r>
      <w:r w:rsidR="00DB348E" w:rsidRPr="004A7908">
        <w:rPr>
          <w:rFonts w:cs="Arial"/>
          <w:szCs w:val="18"/>
          <w:lang w:val="en-US"/>
        </w:rPr>
        <w:t>110974-951-2024</w:t>
      </w:r>
      <w:r w:rsidR="00DB3850" w:rsidRPr="004A7908">
        <w:rPr>
          <w:i/>
          <w:iCs/>
          <w:lang w:val="en-US"/>
        </w:rPr>
        <w:t xml:space="preserve"> </w:t>
      </w:r>
      <w:r w:rsidR="00166655" w:rsidRPr="004A7908">
        <w:rPr>
          <w:lang w:val="en-US"/>
        </w:rPr>
        <w:t>C</w:t>
      </w:r>
      <w:r w:rsidRPr="004A7908">
        <w:rPr>
          <w:lang w:val="en-US"/>
        </w:rPr>
        <w:t xml:space="preserve">ontract </w:t>
      </w:r>
      <w:r w:rsidR="000B7CC7" w:rsidRPr="004A7908">
        <w:rPr>
          <w:lang w:val="en-US"/>
        </w:rPr>
        <w:t>043-2025</w:t>
      </w:r>
      <w:r w:rsidRPr="004A7908">
        <w:rPr>
          <w:lang w:val="en-US"/>
        </w:rPr>
        <w:t xml:space="preserve">. </w:t>
      </w:r>
      <w:r w:rsidRPr="00DB348E">
        <w:t xml:space="preserve">Finally, the authors would like to thank </w:t>
      </w:r>
      <w:r w:rsidR="00D96999">
        <w:t xml:space="preserve">the </w:t>
      </w:r>
      <w:proofErr w:type="spellStart"/>
      <w:r w:rsidR="00D96999">
        <w:t>Laboratorio</w:t>
      </w:r>
      <w:proofErr w:type="spellEnd"/>
      <w:r w:rsidR="00D96999">
        <w:t xml:space="preserve"> de Rayos X, the Centro de </w:t>
      </w:r>
      <w:proofErr w:type="spellStart"/>
      <w:r w:rsidR="00D96999">
        <w:t>Investigación</w:t>
      </w:r>
      <w:proofErr w:type="spellEnd"/>
      <w:r w:rsidR="00D96999">
        <w:t xml:space="preserve"> </w:t>
      </w:r>
      <w:proofErr w:type="spellStart"/>
      <w:r w:rsidR="00D96999">
        <w:t>en</w:t>
      </w:r>
      <w:proofErr w:type="spellEnd"/>
      <w:r w:rsidR="00D96999">
        <w:t xml:space="preserve"> </w:t>
      </w:r>
      <w:proofErr w:type="spellStart"/>
      <w:r w:rsidR="00D96999">
        <w:t>Catálisis</w:t>
      </w:r>
      <w:proofErr w:type="spellEnd"/>
      <w:r w:rsidR="00D96999">
        <w:t xml:space="preserve"> (CICAT), and the </w:t>
      </w:r>
      <w:proofErr w:type="spellStart"/>
      <w:r w:rsidR="00C24717">
        <w:t>Laboratorio</w:t>
      </w:r>
      <w:proofErr w:type="spellEnd"/>
      <w:r w:rsidR="00C24717">
        <w:t xml:space="preserve"> de </w:t>
      </w:r>
      <w:proofErr w:type="spellStart"/>
      <w:r w:rsidR="00C24717">
        <w:t>Espectroscopía</w:t>
      </w:r>
      <w:proofErr w:type="spellEnd"/>
      <w:r w:rsidR="00C24717">
        <w:t xml:space="preserve"> </w:t>
      </w:r>
      <w:proofErr w:type="spellStart"/>
      <w:r w:rsidR="00C24717">
        <w:t>Atómica</w:t>
      </w:r>
      <w:proofErr w:type="spellEnd"/>
      <w:r w:rsidR="00C24717">
        <w:t xml:space="preserve"> y Molecular (LEAM) at</w:t>
      </w:r>
      <w:r w:rsidRPr="00DB348E">
        <w:t xml:space="preserve"> Universidad Industrial de Santander (UIS) for their support in obtaining the results.</w:t>
      </w:r>
    </w:p>
    <w:p w14:paraId="33669DCA" w14:textId="1FEA1EBB" w:rsidR="00C77839" w:rsidRPr="00715732" w:rsidRDefault="00C77839" w:rsidP="00C77839">
      <w:pPr>
        <w:pStyle w:val="CETReference"/>
        <w:rPr>
          <w:lang w:val="en-US"/>
        </w:rPr>
      </w:pPr>
      <w:r w:rsidRPr="00715732">
        <w:rPr>
          <w:lang w:val="en-US"/>
        </w:rPr>
        <w:t xml:space="preserve">References </w:t>
      </w:r>
    </w:p>
    <w:p w14:paraId="7B4C70B7" w14:textId="7FB8B09D" w:rsidR="00C953BE" w:rsidRDefault="00B23E6E" w:rsidP="00FA15C0">
      <w:pPr>
        <w:ind w:left="284" w:hanging="284"/>
      </w:pPr>
      <w:r w:rsidRPr="00B23E6E">
        <w:rPr>
          <w:rFonts w:cs="Arial"/>
          <w:szCs w:val="18"/>
          <w:lang w:val="en-US" w:eastAsia="es-CO"/>
        </w:rPr>
        <w:t xml:space="preserve">Adeniyi, A. G., </w:t>
      </w:r>
      <w:proofErr w:type="spellStart"/>
      <w:r w:rsidRPr="00B23E6E">
        <w:rPr>
          <w:rFonts w:cs="Arial"/>
          <w:szCs w:val="18"/>
          <w:lang w:val="en-US" w:eastAsia="es-CO"/>
        </w:rPr>
        <w:t>Iwuozor</w:t>
      </w:r>
      <w:proofErr w:type="spellEnd"/>
      <w:r w:rsidRPr="00B23E6E">
        <w:rPr>
          <w:rFonts w:cs="Arial"/>
          <w:szCs w:val="18"/>
          <w:lang w:val="en-US" w:eastAsia="es-CO"/>
        </w:rPr>
        <w:t xml:space="preserve">, K. O., Emenike, E. C., </w:t>
      </w:r>
      <w:proofErr w:type="spellStart"/>
      <w:r w:rsidRPr="00B23E6E">
        <w:rPr>
          <w:rFonts w:cs="Arial"/>
          <w:szCs w:val="18"/>
          <w:lang w:val="en-US" w:eastAsia="es-CO"/>
        </w:rPr>
        <w:t>Sagboye</w:t>
      </w:r>
      <w:proofErr w:type="spellEnd"/>
      <w:r w:rsidRPr="00B23E6E">
        <w:rPr>
          <w:rFonts w:cs="Arial"/>
          <w:szCs w:val="18"/>
          <w:lang w:val="en-US" w:eastAsia="es-CO"/>
        </w:rPr>
        <w:t xml:space="preserve">, P. A., </w:t>
      </w:r>
      <w:proofErr w:type="spellStart"/>
      <w:r w:rsidRPr="00B23E6E">
        <w:rPr>
          <w:rFonts w:cs="Arial"/>
          <w:szCs w:val="18"/>
          <w:lang w:val="en-US" w:eastAsia="es-CO"/>
        </w:rPr>
        <w:t>Micheal</w:t>
      </w:r>
      <w:proofErr w:type="spellEnd"/>
      <w:r w:rsidRPr="00B23E6E">
        <w:rPr>
          <w:rFonts w:cs="Arial"/>
          <w:szCs w:val="18"/>
          <w:lang w:val="en-US" w:eastAsia="es-CO"/>
        </w:rPr>
        <w:t xml:space="preserve">, K. T., </w:t>
      </w:r>
      <w:proofErr w:type="spellStart"/>
      <w:r w:rsidRPr="00B23E6E">
        <w:rPr>
          <w:rFonts w:cs="Arial"/>
          <w:szCs w:val="18"/>
          <w:lang w:val="en-US" w:eastAsia="es-CO"/>
        </w:rPr>
        <w:t>Micheal</w:t>
      </w:r>
      <w:proofErr w:type="spellEnd"/>
      <w:r w:rsidRPr="00B23E6E">
        <w:rPr>
          <w:rFonts w:cs="Arial"/>
          <w:szCs w:val="18"/>
          <w:lang w:val="en-US" w:eastAsia="es-CO"/>
        </w:rPr>
        <w:t>, T. T., Saliu, O. D., James, R.</w:t>
      </w:r>
      <w:r w:rsidR="00C953BE">
        <w:rPr>
          <w:rFonts w:cs="Arial"/>
          <w:szCs w:val="18"/>
          <w:lang w:val="en-US" w:eastAsia="es-CO"/>
        </w:rPr>
        <w:t xml:space="preserve">, </w:t>
      </w:r>
      <w:r w:rsidRPr="00B23E6E">
        <w:rPr>
          <w:rFonts w:cs="Arial"/>
          <w:szCs w:val="18"/>
          <w:lang w:val="en-US" w:eastAsia="es-CO"/>
        </w:rPr>
        <w:t>2023</w:t>
      </w:r>
      <w:r w:rsidR="00C953BE">
        <w:rPr>
          <w:rFonts w:cs="Arial"/>
          <w:szCs w:val="18"/>
          <w:lang w:val="en-US" w:eastAsia="es-CO"/>
        </w:rPr>
        <w:t>,</w:t>
      </w:r>
      <w:r w:rsidRPr="00B23E6E">
        <w:rPr>
          <w:rFonts w:cs="Arial"/>
          <w:szCs w:val="18"/>
          <w:lang w:val="en-US" w:eastAsia="es-CO"/>
        </w:rPr>
        <w:t xml:space="preserve"> Biomass-derived activated carbon monoliths: A review of production routes, performance, and commercialization potential</w:t>
      </w:r>
      <w:r w:rsidR="00C953BE">
        <w:rPr>
          <w:rFonts w:cs="Arial"/>
          <w:szCs w:val="18"/>
          <w:lang w:val="en-US" w:eastAsia="es-CO"/>
        </w:rPr>
        <w:t xml:space="preserve">, </w:t>
      </w:r>
      <w:r w:rsidRPr="00B23E6E">
        <w:rPr>
          <w:rFonts w:cs="Arial"/>
          <w:szCs w:val="18"/>
          <w:lang w:val="en-US" w:eastAsia="es-CO"/>
        </w:rPr>
        <w:t>Journal of Cleaner Production,</w:t>
      </w:r>
      <w:r w:rsidR="00C953BE">
        <w:rPr>
          <w:rFonts w:cs="Arial"/>
          <w:szCs w:val="18"/>
          <w:lang w:val="en-US" w:eastAsia="es-CO"/>
        </w:rPr>
        <w:t xml:space="preserve"> </w:t>
      </w:r>
      <w:r w:rsidRPr="00B23E6E">
        <w:rPr>
          <w:rFonts w:cs="Arial"/>
          <w:szCs w:val="18"/>
          <w:lang w:val="en-US" w:eastAsia="es-CO"/>
        </w:rPr>
        <w:t>423, 138711.</w:t>
      </w:r>
    </w:p>
    <w:p w14:paraId="74F730BF" w14:textId="2D283A2C" w:rsidR="00007FAD" w:rsidRDefault="00B23E6E" w:rsidP="00FA15C0">
      <w:pPr>
        <w:ind w:left="284" w:hanging="284"/>
      </w:pPr>
      <w:r w:rsidRPr="00B23E6E">
        <w:rPr>
          <w:lang w:val="en-US"/>
        </w:rPr>
        <w:t>BP</w:t>
      </w:r>
      <w:r w:rsidR="00504951">
        <w:rPr>
          <w:lang w:val="en-US"/>
        </w:rPr>
        <w:t xml:space="preserve">, </w:t>
      </w:r>
      <w:r w:rsidRPr="00B23E6E">
        <w:rPr>
          <w:lang w:val="en-US"/>
        </w:rPr>
        <w:t>2025</w:t>
      </w:r>
      <w:r w:rsidR="00504951">
        <w:rPr>
          <w:lang w:val="en-US"/>
        </w:rPr>
        <w:t>,</w:t>
      </w:r>
      <w:r w:rsidRPr="00B23E6E">
        <w:rPr>
          <w:lang w:val="en-US"/>
        </w:rPr>
        <w:t xml:space="preserve"> bp Energy Outlook 2025</w:t>
      </w:r>
      <w:r w:rsidR="00007FAD">
        <w:rPr>
          <w:lang w:val="en-US"/>
        </w:rPr>
        <w:t>,</w:t>
      </w:r>
      <w:r w:rsidRPr="00B23E6E">
        <w:rPr>
          <w:lang w:val="en-US"/>
        </w:rPr>
        <w:t xml:space="preserve"> </w:t>
      </w:r>
      <w:r w:rsidR="00007FAD">
        <w:rPr>
          <w:lang w:val="en-US"/>
        </w:rPr>
        <w:t xml:space="preserve">BP </w:t>
      </w:r>
      <w:r w:rsidR="00007FAD" w:rsidRPr="006B4888">
        <w:t>&lt;</w:t>
      </w:r>
      <w:r w:rsidR="00007FAD" w:rsidRPr="00007FAD">
        <w:t>bp.com/en/global/corporate/energy-economics/energy-outlook.html</w:t>
      </w:r>
      <w:r w:rsidR="00007FAD" w:rsidRPr="006B4888">
        <w:t xml:space="preserve">&gt; accessed </w:t>
      </w:r>
      <w:r w:rsidR="00007FAD">
        <w:t>20</w:t>
      </w:r>
      <w:r w:rsidR="00007FAD" w:rsidRPr="006B4888">
        <w:t>.</w:t>
      </w:r>
      <w:r w:rsidR="00007FAD">
        <w:t>03.2026.</w:t>
      </w:r>
    </w:p>
    <w:p w14:paraId="42EECA39" w14:textId="2F49446B" w:rsidR="00FA15C0" w:rsidRDefault="00B23E6E" w:rsidP="00FA15C0">
      <w:pPr>
        <w:pStyle w:val="CETReferencetext"/>
      </w:pPr>
      <w:r w:rsidRPr="00B23E6E">
        <w:rPr>
          <w:lang w:val="en-US"/>
        </w:rPr>
        <w:lastRenderedPageBreak/>
        <w:t>Brunner, G., Saure, C., Buss, D.</w:t>
      </w:r>
      <w:r w:rsidR="00A81CD0">
        <w:rPr>
          <w:lang w:val="en-US"/>
        </w:rPr>
        <w:t xml:space="preserve">, </w:t>
      </w:r>
      <w:r w:rsidRPr="00B23E6E">
        <w:rPr>
          <w:lang w:val="en-US"/>
        </w:rPr>
        <w:t>2009</w:t>
      </w:r>
      <w:r w:rsidR="00A81CD0">
        <w:rPr>
          <w:lang w:val="en-US"/>
        </w:rPr>
        <w:t>,</w:t>
      </w:r>
      <w:r w:rsidRPr="00B23E6E">
        <w:rPr>
          <w:lang w:val="en-US"/>
        </w:rPr>
        <w:t xml:space="preserve"> Phase Equilibrium of Hydrogen, Carbon Dioxide, Squalene, and Squalane</w:t>
      </w:r>
      <w:r w:rsidR="004953F7">
        <w:rPr>
          <w:lang w:val="en-US"/>
        </w:rPr>
        <w:t>,</w:t>
      </w:r>
      <w:r w:rsidRPr="00B23E6E">
        <w:rPr>
          <w:lang w:val="en-US"/>
        </w:rPr>
        <w:t xml:space="preserve"> Journal of Chemical &amp; Engineering Data</w:t>
      </w:r>
      <w:r w:rsidR="004953F7">
        <w:rPr>
          <w:lang w:val="en-US"/>
        </w:rPr>
        <w:t>,</w:t>
      </w:r>
      <w:r w:rsidRPr="00B23E6E">
        <w:rPr>
          <w:lang w:val="en-US"/>
        </w:rPr>
        <w:t xml:space="preserve"> 54(5), 1598–1609.</w:t>
      </w:r>
    </w:p>
    <w:p w14:paraId="304B5FCA" w14:textId="77777777" w:rsidR="00844F23" w:rsidRDefault="00B23E6E" w:rsidP="00FA15C0">
      <w:pPr>
        <w:pStyle w:val="CETReferencetext"/>
      </w:pPr>
      <w:r w:rsidRPr="00B23E6E">
        <w:rPr>
          <w:lang w:val="en-US"/>
        </w:rPr>
        <w:t>Ding, D., Ma, L., Li, X., Liu, Z., Hui, L., Zhang, F., Zhao, Y.</w:t>
      </w:r>
      <w:r w:rsidR="00FA15C0">
        <w:rPr>
          <w:lang w:val="en-US"/>
        </w:rPr>
        <w:t xml:space="preserve">, </w:t>
      </w:r>
      <w:r w:rsidRPr="00B23E6E">
        <w:rPr>
          <w:lang w:val="en-US"/>
        </w:rPr>
        <w:t>202</w:t>
      </w:r>
      <w:r w:rsidR="00FA15C0">
        <w:rPr>
          <w:lang w:val="en-US"/>
        </w:rPr>
        <w:t xml:space="preserve">2, </w:t>
      </w:r>
      <w:r w:rsidRPr="00B23E6E">
        <w:rPr>
          <w:lang w:val="en-US"/>
        </w:rPr>
        <w:t>Porous Carbon Material Derived from Steam-Exploded Poplar for Supercapacitor: Insights into Synergistic Effect of KOH and Urea on the Structure and Electrochemical Properties</w:t>
      </w:r>
      <w:r w:rsidR="00FA15C0">
        <w:rPr>
          <w:lang w:val="en-US"/>
        </w:rPr>
        <w:t>,</w:t>
      </w:r>
      <w:r w:rsidRPr="00B23E6E">
        <w:rPr>
          <w:lang w:val="en-US"/>
        </w:rPr>
        <w:t xml:space="preserve"> Materials, 15(8), 2741.</w:t>
      </w:r>
    </w:p>
    <w:p w14:paraId="5023B2F2" w14:textId="6E8E5A63" w:rsidR="00B23E6E" w:rsidRPr="00B23E6E" w:rsidRDefault="00B23E6E" w:rsidP="00FA15C0">
      <w:pPr>
        <w:pStyle w:val="CETReferencetext"/>
        <w:rPr>
          <w:lang w:val="en-US"/>
        </w:rPr>
      </w:pPr>
      <w:r w:rsidRPr="00191144">
        <w:rPr>
          <w:lang w:val="en-US"/>
        </w:rPr>
        <w:t>Ferrari, A. C., Robertson, J.</w:t>
      </w:r>
      <w:r w:rsidR="007D4139" w:rsidRPr="00191144">
        <w:rPr>
          <w:lang w:val="en-US"/>
        </w:rPr>
        <w:t xml:space="preserve">, </w:t>
      </w:r>
      <w:r w:rsidRPr="00191144">
        <w:rPr>
          <w:lang w:val="en-US"/>
        </w:rPr>
        <w:t>2000</w:t>
      </w:r>
      <w:r w:rsidR="00191144" w:rsidRPr="00191144">
        <w:rPr>
          <w:lang w:val="en-US"/>
        </w:rPr>
        <w:t>,</w:t>
      </w:r>
      <w:r w:rsidRPr="00191144">
        <w:rPr>
          <w:lang w:val="en-US"/>
        </w:rPr>
        <w:t xml:space="preserve"> </w:t>
      </w:r>
      <w:r w:rsidRPr="00B23E6E">
        <w:rPr>
          <w:lang w:val="en-US"/>
        </w:rPr>
        <w:t>Interpretation of Raman spectra of disordered and amorphous carbon</w:t>
      </w:r>
      <w:r w:rsidR="007D4139">
        <w:rPr>
          <w:lang w:val="en-US"/>
        </w:rPr>
        <w:t>,</w:t>
      </w:r>
      <w:r w:rsidRPr="00B23E6E">
        <w:rPr>
          <w:lang w:val="en-US"/>
        </w:rPr>
        <w:t xml:space="preserve"> Physical Review B, 61(20), 14095–14107</w:t>
      </w:r>
      <w:r w:rsidR="007D4139">
        <w:rPr>
          <w:lang w:val="en-US"/>
        </w:rPr>
        <w:t>.</w:t>
      </w:r>
    </w:p>
    <w:p w14:paraId="0494D4DF" w14:textId="09D2C6FE" w:rsidR="00B23E6E" w:rsidRPr="00B23E6E" w:rsidRDefault="00B23E6E" w:rsidP="00FA15C0">
      <w:pPr>
        <w:pStyle w:val="CETReferencetext"/>
        <w:rPr>
          <w:lang w:val="en-US"/>
        </w:rPr>
      </w:pPr>
      <w:r w:rsidRPr="00B23E6E">
        <w:rPr>
          <w:lang w:val="en-US"/>
        </w:rPr>
        <w:t xml:space="preserve">Gayathiri, M., </w:t>
      </w:r>
      <w:proofErr w:type="spellStart"/>
      <w:r w:rsidRPr="00B23E6E">
        <w:rPr>
          <w:lang w:val="en-US"/>
        </w:rPr>
        <w:t>Pulingam</w:t>
      </w:r>
      <w:proofErr w:type="spellEnd"/>
      <w:r w:rsidRPr="00B23E6E">
        <w:rPr>
          <w:lang w:val="en-US"/>
        </w:rPr>
        <w:t>, T., Lee, K. T., Sudesh, K. 2022</w:t>
      </w:r>
      <w:r w:rsidR="00191144">
        <w:rPr>
          <w:lang w:val="en-US"/>
        </w:rPr>
        <w:t>,</w:t>
      </w:r>
      <w:r w:rsidRPr="00B23E6E">
        <w:rPr>
          <w:lang w:val="en-US"/>
        </w:rPr>
        <w:t xml:space="preserve"> Activated carbon from biomass waste precursors: Factors affecting production and adsorption mechanism</w:t>
      </w:r>
      <w:r w:rsidR="00191144">
        <w:rPr>
          <w:lang w:val="en-US"/>
        </w:rPr>
        <w:t xml:space="preserve">, </w:t>
      </w:r>
      <w:r w:rsidRPr="00B23E6E">
        <w:rPr>
          <w:lang w:val="en-US"/>
        </w:rPr>
        <w:t>Chemosphere, 294, 133764.</w:t>
      </w:r>
    </w:p>
    <w:p w14:paraId="5CB71227" w14:textId="4741D2B8" w:rsidR="00B23E6E" w:rsidRPr="00B23E6E" w:rsidRDefault="00B23E6E" w:rsidP="00FA15C0">
      <w:pPr>
        <w:pStyle w:val="CETReferencetext"/>
        <w:rPr>
          <w:lang w:val="en-US"/>
        </w:rPr>
      </w:pPr>
      <w:r w:rsidRPr="00B23E6E">
        <w:rPr>
          <w:lang w:val="en-US"/>
        </w:rPr>
        <w:t>Han, J., Zhang, L., Zhao, B., Qin, L., Wang, Y., Xing, F.</w:t>
      </w:r>
      <w:r w:rsidR="00191144">
        <w:rPr>
          <w:lang w:val="en-US"/>
        </w:rPr>
        <w:t xml:space="preserve">, </w:t>
      </w:r>
      <w:r w:rsidRPr="00B23E6E">
        <w:rPr>
          <w:lang w:val="en-US"/>
        </w:rPr>
        <w:t>2019</w:t>
      </w:r>
      <w:r w:rsidR="00191144">
        <w:rPr>
          <w:lang w:val="en-US"/>
        </w:rPr>
        <w:t>,</w:t>
      </w:r>
      <w:r w:rsidRPr="00B23E6E">
        <w:rPr>
          <w:lang w:val="en-US"/>
        </w:rPr>
        <w:t xml:space="preserve"> The N-doped activated carbon derived from sugarcane bagasse for CO</w:t>
      </w:r>
      <w:r w:rsidRPr="00B23E6E">
        <w:rPr>
          <w:vertAlign w:val="subscript"/>
          <w:lang w:val="en-US"/>
        </w:rPr>
        <w:t>2</w:t>
      </w:r>
      <w:r w:rsidRPr="00B23E6E">
        <w:rPr>
          <w:lang w:val="en-US"/>
        </w:rPr>
        <w:t xml:space="preserve"> adsorption</w:t>
      </w:r>
      <w:r w:rsidR="00191144">
        <w:rPr>
          <w:lang w:val="en-US"/>
        </w:rPr>
        <w:t>,</w:t>
      </w:r>
      <w:r w:rsidRPr="00B23E6E">
        <w:rPr>
          <w:lang w:val="en-US"/>
        </w:rPr>
        <w:t xml:space="preserve"> Industrial Crops and Products, 128, 290–297.</w:t>
      </w:r>
    </w:p>
    <w:p w14:paraId="76404346" w14:textId="6A803915" w:rsidR="00B23E6E" w:rsidRPr="00191144" w:rsidRDefault="00B23E6E" w:rsidP="00FA15C0">
      <w:pPr>
        <w:pStyle w:val="CETReferencetext"/>
        <w:rPr>
          <w:lang w:val="en-US"/>
        </w:rPr>
      </w:pPr>
      <w:r w:rsidRPr="00B23E6E">
        <w:rPr>
          <w:lang w:val="en-US"/>
        </w:rPr>
        <w:t>He, Z., Cui, M., Qian, Q., Zhang, J., Liu, H.,</w:t>
      </w:r>
      <w:r w:rsidR="00191144">
        <w:rPr>
          <w:lang w:val="en-US"/>
        </w:rPr>
        <w:t xml:space="preserve"> </w:t>
      </w:r>
      <w:r w:rsidRPr="00B23E6E">
        <w:rPr>
          <w:lang w:val="en-US"/>
        </w:rPr>
        <w:t>Han, B.</w:t>
      </w:r>
      <w:r w:rsidR="00191144">
        <w:rPr>
          <w:lang w:val="en-US"/>
        </w:rPr>
        <w:t xml:space="preserve">, </w:t>
      </w:r>
      <w:r w:rsidRPr="00B23E6E">
        <w:rPr>
          <w:lang w:val="en-US"/>
        </w:rPr>
        <w:t>2019</w:t>
      </w:r>
      <w:r w:rsidR="00191144">
        <w:rPr>
          <w:lang w:val="en-US"/>
        </w:rPr>
        <w:t>,</w:t>
      </w:r>
      <w:r w:rsidRPr="00B23E6E">
        <w:rPr>
          <w:lang w:val="en-US"/>
        </w:rPr>
        <w:t xml:space="preserve"> Synthesis of liquid fuel via direct hydrogenation of CO</w:t>
      </w:r>
      <w:r w:rsidRPr="00B23E6E">
        <w:rPr>
          <w:vertAlign w:val="subscript"/>
          <w:lang w:val="en-US"/>
        </w:rPr>
        <w:t>2</w:t>
      </w:r>
      <w:r w:rsidR="00191144">
        <w:rPr>
          <w:lang w:val="en-US"/>
        </w:rPr>
        <w:t>,</w:t>
      </w:r>
      <w:r w:rsidRPr="00B23E6E">
        <w:rPr>
          <w:lang w:val="en-US"/>
        </w:rPr>
        <w:t xml:space="preserve"> Proceedings of the National Academy of Sciences of the United States of America, 116(26), 12654-12659.</w:t>
      </w:r>
    </w:p>
    <w:p w14:paraId="1A61BDDB" w14:textId="21EF6471" w:rsidR="00B23E6E" w:rsidRPr="00B23E6E" w:rsidRDefault="00B23E6E" w:rsidP="00FA15C0">
      <w:pPr>
        <w:pStyle w:val="CETReferencetext"/>
        <w:rPr>
          <w:lang w:val="en-US"/>
        </w:rPr>
      </w:pPr>
      <w:r w:rsidRPr="00191144">
        <w:rPr>
          <w:lang w:val="en-US"/>
        </w:rPr>
        <w:t>Hidayu, A., Mohamad, N., Matali, S., Sharifah, A.</w:t>
      </w:r>
      <w:r w:rsidR="00191144" w:rsidRPr="00191144">
        <w:rPr>
          <w:lang w:val="en-US"/>
        </w:rPr>
        <w:t xml:space="preserve">, </w:t>
      </w:r>
      <w:r w:rsidRPr="00191144">
        <w:rPr>
          <w:lang w:val="en-US"/>
        </w:rPr>
        <w:t>2013</w:t>
      </w:r>
      <w:r w:rsidR="00191144">
        <w:rPr>
          <w:lang w:val="en-US"/>
        </w:rPr>
        <w:t>,</w:t>
      </w:r>
      <w:r w:rsidRPr="00191144">
        <w:rPr>
          <w:lang w:val="en-US"/>
        </w:rPr>
        <w:t xml:space="preserve"> </w:t>
      </w:r>
      <w:r w:rsidRPr="00B23E6E">
        <w:rPr>
          <w:lang w:val="en-US"/>
        </w:rPr>
        <w:t>Characterization of Activated Carbon Prepared from Oil Palm Empty Fruit Bunch Using BET and FT-IR Techniques</w:t>
      </w:r>
      <w:r w:rsidR="00191144">
        <w:rPr>
          <w:lang w:val="en-US"/>
        </w:rPr>
        <w:t>,</w:t>
      </w:r>
      <w:r w:rsidRPr="00B23E6E">
        <w:rPr>
          <w:lang w:val="en-US"/>
        </w:rPr>
        <w:t xml:space="preserve"> Procedia Engineering, 68, 379–384.</w:t>
      </w:r>
    </w:p>
    <w:p w14:paraId="32BD43EA" w14:textId="441A0764" w:rsidR="00B23E6E" w:rsidRPr="00B23E6E" w:rsidRDefault="00B23E6E" w:rsidP="00FA15C0">
      <w:pPr>
        <w:ind w:left="284" w:hanging="284"/>
        <w:rPr>
          <w:rFonts w:cs="Arial"/>
          <w:szCs w:val="18"/>
          <w:lang w:val="en-US"/>
        </w:rPr>
      </w:pPr>
      <w:r w:rsidRPr="005E3FA8">
        <w:rPr>
          <w:rFonts w:cs="Arial"/>
          <w:szCs w:val="18"/>
          <w:lang w:val="en-US" w:eastAsia="es-ES"/>
        </w:rPr>
        <w:t>Jafari, M., Botte, G. G.</w:t>
      </w:r>
      <w:r w:rsidR="00191144">
        <w:rPr>
          <w:rFonts w:cs="Arial"/>
          <w:szCs w:val="18"/>
          <w:lang w:val="en-US" w:eastAsia="es-ES"/>
        </w:rPr>
        <w:t xml:space="preserve">, </w:t>
      </w:r>
      <w:r w:rsidRPr="005E3FA8">
        <w:rPr>
          <w:rFonts w:cs="Arial"/>
          <w:szCs w:val="18"/>
          <w:lang w:val="en-US" w:eastAsia="es-ES"/>
        </w:rPr>
        <w:t>2024</w:t>
      </w:r>
      <w:r w:rsidR="00191144">
        <w:rPr>
          <w:rFonts w:cs="Arial"/>
          <w:szCs w:val="18"/>
          <w:lang w:val="en-US" w:eastAsia="es-ES"/>
        </w:rPr>
        <w:t>,</w:t>
      </w:r>
      <w:r w:rsidRPr="005E3FA8">
        <w:rPr>
          <w:rFonts w:cs="Arial"/>
          <w:szCs w:val="18"/>
          <w:lang w:val="en-US" w:eastAsia="es-ES"/>
        </w:rPr>
        <w:t xml:space="preserve"> Sustainable Green Route for Activated Carbon Synthesis from Biomass Waste for High-Performance Supercapacitors</w:t>
      </w:r>
      <w:r w:rsidR="00A505D3">
        <w:rPr>
          <w:rFonts w:cs="Arial"/>
          <w:szCs w:val="18"/>
          <w:lang w:val="en-US" w:eastAsia="es-ES"/>
        </w:rPr>
        <w:t>,</w:t>
      </w:r>
      <w:r w:rsidRPr="005E3FA8">
        <w:rPr>
          <w:rFonts w:cs="Arial"/>
          <w:szCs w:val="18"/>
          <w:lang w:val="en-US" w:eastAsia="es-ES"/>
        </w:rPr>
        <w:t> ACS Omega</w:t>
      </w:r>
      <w:r w:rsidR="00A505D3">
        <w:rPr>
          <w:rFonts w:cs="Arial"/>
          <w:szCs w:val="18"/>
          <w:lang w:val="en-US" w:eastAsia="es-ES"/>
        </w:rPr>
        <w:t>,</w:t>
      </w:r>
      <w:r w:rsidR="00A505D3" w:rsidRPr="00A505D3">
        <w:t xml:space="preserve"> 9, 11, 13134–13147</w:t>
      </w:r>
    </w:p>
    <w:p w14:paraId="21E33B2E" w14:textId="7FE3032C" w:rsidR="00B23E6E" w:rsidRPr="00B23E6E" w:rsidRDefault="00B23E6E" w:rsidP="00FA15C0">
      <w:pPr>
        <w:pStyle w:val="CETReferencetext"/>
        <w:rPr>
          <w:lang w:val="en-US"/>
        </w:rPr>
      </w:pPr>
      <w:r w:rsidRPr="00B23E6E">
        <w:rPr>
          <w:lang w:val="en-US"/>
        </w:rPr>
        <w:t xml:space="preserve">Julien, C. M., Massot, M., </w:t>
      </w:r>
      <w:proofErr w:type="spellStart"/>
      <w:r w:rsidRPr="00B23E6E">
        <w:rPr>
          <w:lang w:val="en-US"/>
        </w:rPr>
        <w:t>Poinsignon</w:t>
      </w:r>
      <w:proofErr w:type="spellEnd"/>
      <w:r w:rsidRPr="00B23E6E">
        <w:rPr>
          <w:lang w:val="en-US"/>
        </w:rPr>
        <w:t>, C.</w:t>
      </w:r>
      <w:r w:rsidR="00A505D3">
        <w:rPr>
          <w:lang w:val="en-US"/>
        </w:rPr>
        <w:t xml:space="preserve">, </w:t>
      </w:r>
      <w:r w:rsidRPr="00B23E6E">
        <w:rPr>
          <w:lang w:val="en-US"/>
        </w:rPr>
        <w:t>2004</w:t>
      </w:r>
      <w:r w:rsidR="00A505D3">
        <w:rPr>
          <w:lang w:val="en-US"/>
        </w:rPr>
        <w:t>,</w:t>
      </w:r>
      <w:r w:rsidRPr="00B23E6E">
        <w:rPr>
          <w:lang w:val="en-US"/>
        </w:rPr>
        <w:t xml:space="preserve"> Lattice vibrations of manganese oxides. Part I. Periodic structures</w:t>
      </w:r>
      <w:r w:rsidR="00A505D3">
        <w:rPr>
          <w:lang w:val="en-US"/>
        </w:rPr>
        <w:t>,</w:t>
      </w:r>
      <w:r w:rsidRPr="00B23E6E">
        <w:rPr>
          <w:lang w:val="en-US"/>
        </w:rPr>
        <w:t xml:space="preserve"> </w:t>
      </w:r>
      <w:proofErr w:type="spellStart"/>
      <w:r w:rsidRPr="00B23E6E">
        <w:rPr>
          <w:lang w:val="en-US"/>
        </w:rPr>
        <w:t>Spectrochimica</w:t>
      </w:r>
      <w:proofErr w:type="spellEnd"/>
      <w:r w:rsidRPr="00B23E6E">
        <w:rPr>
          <w:lang w:val="en-US"/>
        </w:rPr>
        <w:t xml:space="preserve"> Acta Part A: Molecular and Biomolecular Spectroscopy, 60(3), 689–700.</w:t>
      </w:r>
    </w:p>
    <w:p w14:paraId="25621F04" w14:textId="7466C0AC" w:rsidR="00B23E6E" w:rsidRPr="00B23E6E" w:rsidRDefault="00B23E6E" w:rsidP="00FA15C0">
      <w:pPr>
        <w:ind w:left="284" w:hanging="284"/>
        <w:rPr>
          <w:rFonts w:cs="Arial"/>
          <w:szCs w:val="18"/>
          <w:lang w:val="en-US"/>
        </w:rPr>
      </w:pPr>
      <w:proofErr w:type="spellStart"/>
      <w:r w:rsidRPr="00B23E6E">
        <w:rPr>
          <w:rFonts w:cs="Arial"/>
          <w:szCs w:val="18"/>
          <w:lang w:val="en-US" w:eastAsia="es-CO"/>
        </w:rPr>
        <w:t>Kazemifar</w:t>
      </w:r>
      <w:proofErr w:type="spellEnd"/>
      <w:r w:rsidRPr="00B23E6E">
        <w:rPr>
          <w:rFonts w:cs="Arial"/>
          <w:szCs w:val="18"/>
          <w:lang w:val="en-US" w:eastAsia="es-CO"/>
        </w:rPr>
        <w:t>, F.</w:t>
      </w:r>
      <w:r w:rsidR="00C32E1B">
        <w:rPr>
          <w:rFonts w:cs="Arial"/>
          <w:szCs w:val="18"/>
          <w:lang w:val="en-US" w:eastAsia="es-CO"/>
        </w:rPr>
        <w:t xml:space="preserve">, </w:t>
      </w:r>
      <w:r w:rsidRPr="00B23E6E">
        <w:rPr>
          <w:rFonts w:cs="Arial"/>
          <w:szCs w:val="18"/>
          <w:lang w:val="en-US" w:eastAsia="es-CO"/>
        </w:rPr>
        <w:t>2021</w:t>
      </w:r>
      <w:r w:rsidR="00C32E1B">
        <w:rPr>
          <w:rFonts w:cs="Arial"/>
          <w:szCs w:val="18"/>
          <w:lang w:val="en-US" w:eastAsia="es-CO"/>
        </w:rPr>
        <w:t>,</w:t>
      </w:r>
      <w:r w:rsidRPr="00B23E6E">
        <w:rPr>
          <w:rFonts w:cs="Arial"/>
          <w:szCs w:val="18"/>
          <w:lang w:val="en-US" w:eastAsia="es-CO"/>
        </w:rPr>
        <w:t xml:space="preserve"> A review of technologies for carbon capture, sequestration, and utilization: Cost, capacity, and technology readiness</w:t>
      </w:r>
      <w:r w:rsidR="00C32E1B">
        <w:rPr>
          <w:rFonts w:cs="Arial"/>
          <w:szCs w:val="18"/>
          <w:lang w:val="en-US" w:eastAsia="es-CO"/>
        </w:rPr>
        <w:t>,</w:t>
      </w:r>
      <w:r w:rsidRPr="00B23E6E">
        <w:rPr>
          <w:rFonts w:cs="Arial"/>
          <w:szCs w:val="18"/>
          <w:lang w:val="en-US" w:eastAsia="es-CO"/>
        </w:rPr>
        <w:t xml:space="preserve"> Greenhouse Gases Science and Technology, 12(1), 200–230.</w:t>
      </w:r>
    </w:p>
    <w:p w14:paraId="404CA4FC" w14:textId="4A6F5435" w:rsidR="00B23E6E" w:rsidRPr="008B495D" w:rsidRDefault="00B23E6E" w:rsidP="00FA15C0">
      <w:pPr>
        <w:pStyle w:val="CETReferencetext"/>
        <w:rPr>
          <w:lang w:val="en-US"/>
        </w:rPr>
      </w:pPr>
      <w:r w:rsidRPr="00B23E6E">
        <w:rPr>
          <w:lang w:val="en-US"/>
        </w:rPr>
        <w:t>Lambert, J. B., Mazzola, E. P., &amp; Ridge, C. D.</w:t>
      </w:r>
      <w:r w:rsidR="00F143D3">
        <w:rPr>
          <w:lang w:val="en-US"/>
        </w:rPr>
        <w:t xml:space="preserve">, </w:t>
      </w:r>
      <w:r w:rsidRPr="00B23E6E">
        <w:rPr>
          <w:lang w:val="en-US"/>
        </w:rPr>
        <w:t>2019</w:t>
      </w:r>
      <w:r w:rsidR="00F143D3">
        <w:rPr>
          <w:lang w:val="en-US"/>
        </w:rPr>
        <w:t>,</w:t>
      </w:r>
      <w:r w:rsidRPr="00B23E6E">
        <w:rPr>
          <w:lang w:val="en-US"/>
        </w:rPr>
        <w:t xml:space="preserve"> Nuclear magnetic resonance spectroscopy: An introduction to principles, applications, and experimental methods (2nd ed.)</w:t>
      </w:r>
      <w:r w:rsidR="008B495D">
        <w:rPr>
          <w:lang w:val="en-US"/>
        </w:rPr>
        <w:t>,</w:t>
      </w:r>
      <w:r w:rsidRPr="00B23E6E">
        <w:rPr>
          <w:lang w:val="en-US"/>
        </w:rPr>
        <w:t xml:space="preserve"> </w:t>
      </w:r>
      <w:r w:rsidRPr="008B495D">
        <w:rPr>
          <w:lang w:val="en-US"/>
        </w:rPr>
        <w:t>Wiley</w:t>
      </w:r>
      <w:r w:rsidR="008B495D" w:rsidRPr="008B495D">
        <w:rPr>
          <w:lang w:val="en-US"/>
        </w:rPr>
        <w:t>,</w:t>
      </w:r>
      <w:r w:rsidR="008B495D">
        <w:rPr>
          <w:lang w:val="en-US"/>
        </w:rPr>
        <w:t xml:space="preserve"> </w:t>
      </w:r>
      <w:r w:rsidR="008B495D">
        <w:t xml:space="preserve">West </w:t>
      </w:r>
      <w:proofErr w:type="spellStart"/>
      <w:proofErr w:type="gramStart"/>
      <w:r w:rsidR="008B495D">
        <w:t>Sussex,UK</w:t>
      </w:r>
      <w:proofErr w:type="spellEnd"/>
      <w:proofErr w:type="gramEnd"/>
    </w:p>
    <w:p w14:paraId="1E1832F9" w14:textId="77777777" w:rsidR="008B495D" w:rsidRDefault="00B23E6E" w:rsidP="008B495D">
      <w:pPr>
        <w:pStyle w:val="CETReferencetext"/>
      </w:pPr>
      <w:r w:rsidRPr="008B495D">
        <w:rPr>
          <w:lang w:val="en-US"/>
        </w:rPr>
        <w:t>León, A. Y., Contreras-Arenas, J. D., Garnica-Fuentes, C. F., Jiménez-Caballero, M. A., Pinto-Hernández, D. F., Ariza-León, E., Peña-Ballesteros, D. Y., Molina-Velasco, D. R.</w:t>
      </w:r>
      <w:r w:rsidR="008B495D" w:rsidRPr="008B495D">
        <w:rPr>
          <w:lang w:val="en-US"/>
        </w:rPr>
        <w:t xml:space="preserve">, </w:t>
      </w:r>
      <w:r w:rsidRPr="008B495D">
        <w:rPr>
          <w:lang w:val="en-US"/>
        </w:rPr>
        <w:t>2023</w:t>
      </w:r>
      <w:r w:rsidR="008B495D">
        <w:rPr>
          <w:lang w:val="en-US"/>
        </w:rPr>
        <w:t>,</w:t>
      </w:r>
      <w:r w:rsidRPr="008B495D">
        <w:rPr>
          <w:lang w:val="en-US"/>
        </w:rPr>
        <w:t xml:space="preserve"> </w:t>
      </w:r>
      <w:r w:rsidRPr="00B23E6E">
        <w:rPr>
          <w:lang w:val="en-US"/>
        </w:rPr>
        <w:t>Removal of organic compounds in wastewater using cocoa shell based activated carbon–SiO</w:t>
      </w:r>
      <w:r w:rsidRPr="00B23E6E">
        <w:rPr>
          <w:vertAlign w:val="subscript"/>
          <w:lang w:val="en-US"/>
        </w:rPr>
        <w:t>2</w:t>
      </w:r>
      <w:r w:rsidRPr="00B23E6E">
        <w:rPr>
          <w:lang w:val="en-US"/>
        </w:rPr>
        <w:t xml:space="preserve"> nanoparticles</w:t>
      </w:r>
      <w:r w:rsidR="008B495D">
        <w:rPr>
          <w:lang w:val="en-US"/>
        </w:rPr>
        <w:t xml:space="preserve">, </w:t>
      </w:r>
      <w:r w:rsidRPr="00B23E6E">
        <w:rPr>
          <w:lang w:val="en-US"/>
        </w:rPr>
        <w:t>Environment Development and Sustainability, 27(3), 6811–6830.</w:t>
      </w:r>
    </w:p>
    <w:p w14:paraId="500C043A" w14:textId="558DC900" w:rsidR="00B23E6E" w:rsidRPr="00B23E6E" w:rsidRDefault="00B23E6E" w:rsidP="008B495D">
      <w:pPr>
        <w:pStyle w:val="CETReferencetext"/>
        <w:rPr>
          <w:rFonts w:cs="Arial"/>
          <w:szCs w:val="18"/>
          <w:lang w:val="en-US"/>
        </w:rPr>
      </w:pPr>
      <w:r w:rsidRPr="00B23E6E">
        <w:rPr>
          <w:rFonts w:cs="Arial"/>
          <w:szCs w:val="18"/>
          <w:lang w:val="en-US" w:eastAsia="es-CO"/>
        </w:rPr>
        <w:t>Lin, Q., Zhang, X., Wang, T., Zheng, C., Gao, X.</w:t>
      </w:r>
      <w:r w:rsidR="008B495D">
        <w:rPr>
          <w:rFonts w:cs="Arial"/>
          <w:szCs w:val="18"/>
          <w:lang w:val="en-US" w:eastAsia="es-CO"/>
        </w:rPr>
        <w:t xml:space="preserve">, </w:t>
      </w:r>
      <w:r w:rsidRPr="00B23E6E">
        <w:rPr>
          <w:rFonts w:cs="Arial"/>
          <w:szCs w:val="18"/>
          <w:lang w:val="en-US" w:eastAsia="es-CO"/>
        </w:rPr>
        <w:t>2022</w:t>
      </w:r>
      <w:r w:rsidR="008B495D">
        <w:rPr>
          <w:rFonts w:cs="Arial"/>
          <w:szCs w:val="18"/>
          <w:lang w:val="en-US" w:eastAsia="es-CO"/>
        </w:rPr>
        <w:t>,</w:t>
      </w:r>
      <w:r w:rsidRPr="00B23E6E">
        <w:rPr>
          <w:rFonts w:cs="Arial"/>
          <w:szCs w:val="18"/>
          <w:lang w:val="en-US" w:eastAsia="es-CO"/>
        </w:rPr>
        <w:t xml:space="preserve"> Technical Perspective of Carbon Capture, Utilization, and Storage</w:t>
      </w:r>
      <w:r w:rsidR="008B495D">
        <w:rPr>
          <w:rFonts w:cs="Arial"/>
          <w:szCs w:val="18"/>
          <w:lang w:val="en-US" w:eastAsia="es-CO"/>
        </w:rPr>
        <w:t>,</w:t>
      </w:r>
      <w:r w:rsidRPr="00B23E6E">
        <w:rPr>
          <w:rFonts w:cs="Arial"/>
          <w:szCs w:val="18"/>
          <w:lang w:val="en-US" w:eastAsia="es-CO"/>
        </w:rPr>
        <w:t> Engineering, 14, 27–32.</w:t>
      </w:r>
    </w:p>
    <w:p w14:paraId="780AF8C3" w14:textId="120C5C25" w:rsidR="00B23E6E" w:rsidRPr="00C010B1" w:rsidRDefault="00B23E6E" w:rsidP="00FA15C0">
      <w:pPr>
        <w:pStyle w:val="CETReferencetext"/>
        <w:rPr>
          <w:lang w:val="en-US"/>
        </w:rPr>
      </w:pPr>
      <w:r w:rsidRPr="00B23E6E">
        <w:rPr>
          <w:lang w:val="en-US"/>
        </w:rPr>
        <w:t xml:space="preserve">Lindley, M., </w:t>
      </w:r>
      <w:proofErr w:type="spellStart"/>
      <w:r w:rsidRPr="00B23E6E">
        <w:rPr>
          <w:lang w:val="en-US"/>
        </w:rPr>
        <w:t>Stishenko</w:t>
      </w:r>
      <w:proofErr w:type="spellEnd"/>
      <w:r w:rsidRPr="00B23E6E">
        <w:rPr>
          <w:lang w:val="en-US"/>
        </w:rPr>
        <w:t xml:space="preserve">, P., Crawley, J. W. M., </w:t>
      </w:r>
      <w:proofErr w:type="spellStart"/>
      <w:r w:rsidRPr="00B23E6E">
        <w:rPr>
          <w:lang w:val="en-US"/>
        </w:rPr>
        <w:t>Tinkamanyire</w:t>
      </w:r>
      <w:proofErr w:type="spellEnd"/>
      <w:r w:rsidRPr="00B23E6E">
        <w:rPr>
          <w:lang w:val="en-US"/>
        </w:rPr>
        <w:t xml:space="preserve">, F., Smith, M., Paterson, J., Peacock, M., Xu, Z., Hardacre, C., Walton, A. S., </w:t>
      </w:r>
      <w:proofErr w:type="spellStart"/>
      <w:r w:rsidRPr="00B23E6E">
        <w:rPr>
          <w:lang w:val="en-US"/>
        </w:rPr>
        <w:t>Logsdail</w:t>
      </w:r>
      <w:proofErr w:type="spellEnd"/>
      <w:r w:rsidRPr="00B23E6E">
        <w:rPr>
          <w:lang w:val="en-US"/>
        </w:rPr>
        <w:t>, A. J., Haigh, S. J.</w:t>
      </w:r>
      <w:r w:rsidR="008B495D">
        <w:rPr>
          <w:lang w:val="en-US"/>
        </w:rPr>
        <w:t xml:space="preserve">, </w:t>
      </w:r>
      <w:r w:rsidRPr="00B23E6E">
        <w:rPr>
          <w:lang w:val="en-US"/>
        </w:rPr>
        <w:t>2024</w:t>
      </w:r>
      <w:r w:rsidR="008B495D">
        <w:rPr>
          <w:lang w:val="en-US"/>
        </w:rPr>
        <w:t>,</w:t>
      </w:r>
      <w:r w:rsidRPr="00B23E6E">
        <w:rPr>
          <w:lang w:val="en-US"/>
        </w:rPr>
        <w:t xml:space="preserve"> Tuning the Size of TiO</w:t>
      </w:r>
      <w:r w:rsidRPr="00B23E6E">
        <w:rPr>
          <w:vertAlign w:val="subscript"/>
          <w:lang w:val="en-US"/>
        </w:rPr>
        <w:t>2</w:t>
      </w:r>
      <w:r w:rsidRPr="00B23E6E">
        <w:rPr>
          <w:lang w:val="en-US"/>
        </w:rPr>
        <w:t>-Supported Co Nanoparticle Fischer–</w:t>
      </w:r>
      <w:proofErr w:type="spellStart"/>
      <w:r w:rsidRPr="00B23E6E">
        <w:rPr>
          <w:lang w:val="en-US"/>
        </w:rPr>
        <w:t>Tropsch</w:t>
      </w:r>
      <w:proofErr w:type="spellEnd"/>
      <w:r w:rsidRPr="00B23E6E">
        <w:rPr>
          <w:lang w:val="en-US"/>
        </w:rPr>
        <w:t xml:space="preserve"> Catalysts Using Mn Additions</w:t>
      </w:r>
      <w:r w:rsidR="008B495D">
        <w:rPr>
          <w:lang w:val="en-US"/>
        </w:rPr>
        <w:t xml:space="preserve">, </w:t>
      </w:r>
      <w:r w:rsidRPr="00C010B1">
        <w:rPr>
          <w:lang w:val="en-US"/>
        </w:rPr>
        <w:t>ACS Catalysis, 14(14), 10648–10657.</w:t>
      </w:r>
    </w:p>
    <w:p w14:paraId="65F8E3E4" w14:textId="77777777" w:rsidR="00A1692B" w:rsidRDefault="00B23E6E" w:rsidP="00A1692B">
      <w:pPr>
        <w:pStyle w:val="CETReferencetext"/>
        <w:rPr>
          <w:lang w:val="en-US"/>
        </w:rPr>
      </w:pPr>
      <w:r w:rsidRPr="00B23E6E">
        <w:rPr>
          <w:lang w:val="en-US"/>
        </w:rPr>
        <w:t>Mu, G., Xie, H., Jian, Y., Jiang, Z., Li, L., Tian, M., Zhang, L., Wang, J., Chai, S.,</w:t>
      </w:r>
      <w:r w:rsidR="008B495D">
        <w:rPr>
          <w:lang w:val="en-US"/>
        </w:rPr>
        <w:t xml:space="preserve"> </w:t>
      </w:r>
      <w:r w:rsidRPr="00B23E6E">
        <w:rPr>
          <w:lang w:val="en-US"/>
        </w:rPr>
        <w:t>He, C.</w:t>
      </w:r>
      <w:r w:rsidR="008B495D">
        <w:rPr>
          <w:lang w:val="en-US"/>
        </w:rPr>
        <w:t xml:space="preserve">, </w:t>
      </w:r>
      <w:r w:rsidRPr="00B23E6E">
        <w:rPr>
          <w:lang w:val="en-US"/>
        </w:rPr>
        <w:t>2024</w:t>
      </w:r>
      <w:r w:rsidR="008B495D">
        <w:rPr>
          <w:lang w:val="en-US"/>
        </w:rPr>
        <w:t>,</w:t>
      </w:r>
      <w:r w:rsidRPr="00B23E6E">
        <w:rPr>
          <w:lang w:val="en-US"/>
        </w:rPr>
        <w:t xml:space="preserve"> Facile construction and enhanced catalytic activity of Co-Mn oxide with rich amorphous/crystalline interfaces for propane oxidation</w:t>
      </w:r>
      <w:r w:rsidR="008B495D">
        <w:rPr>
          <w:lang w:val="en-US"/>
        </w:rPr>
        <w:t xml:space="preserve">, </w:t>
      </w:r>
      <w:r w:rsidRPr="00B23E6E">
        <w:rPr>
          <w:lang w:val="en-US"/>
        </w:rPr>
        <w:t>Separation and Purification Technology, 348, 127699–127699.</w:t>
      </w:r>
    </w:p>
    <w:p w14:paraId="51FB99D3" w14:textId="47C5645A" w:rsidR="00B23E6E" w:rsidRPr="00B23E6E" w:rsidRDefault="00B23E6E" w:rsidP="00FA15C0">
      <w:pPr>
        <w:ind w:left="284" w:hanging="284"/>
        <w:rPr>
          <w:rFonts w:cs="Arial"/>
          <w:szCs w:val="18"/>
          <w:lang w:val="en-US"/>
        </w:rPr>
      </w:pPr>
      <w:r w:rsidRPr="00A664D7">
        <w:rPr>
          <w:rFonts w:cs="Arial"/>
          <w:szCs w:val="18"/>
          <w:lang w:val="en-US"/>
        </w:rPr>
        <w:t>Suo, Y., Yao, Y., Zhang, Y., Xing, S., Yuan, Z.-Y.</w:t>
      </w:r>
      <w:r w:rsidR="00A1692B">
        <w:rPr>
          <w:rFonts w:cs="Arial"/>
          <w:szCs w:val="18"/>
          <w:lang w:val="en-US"/>
        </w:rPr>
        <w:t xml:space="preserve">, </w:t>
      </w:r>
      <w:r w:rsidRPr="00A664D7">
        <w:rPr>
          <w:rFonts w:cs="Arial"/>
          <w:szCs w:val="18"/>
          <w:lang w:val="en-US"/>
        </w:rPr>
        <w:t>2022</w:t>
      </w:r>
      <w:r w:rsidR="00A1692B">
        <w:rPr>
          <w:rFonts w:cs="Arial"/>
          <w:szCs w:val="18"/>
          <w:lang w:val="en-US"/>
        </w:rPr>
        <w:t>,</w:t>
      </w:r>
      <w:r w:rsidRPr="00A664D7">
        <w:rPr>
          <w:rFonts w:cs="Arial"/>
          <w:szCs w:val="18"/>
          <w:lang w:val="en-US"/>
        </w:rPr>
        <w:t xml:space="preserve"> </w:t>
      </w:r>
      <w:r w:rsidRPr="00B23E6E">
        <w:rPr>
          <w:rFonts w:cs="Arial"/>
          <w:szCs w:val="18"/>
          <w:lang w:val="en-US"/>
        </w:rPr>
        <w:t>Recent advances in cobalt-based Fischer-</w:t>
      </w:r>
      <w:proofErr w:type="spellStart"/>
      <w:r w:rsidRPr="00B23E6E">
        <w:rPr>
          <w:rFonts w:cs="Arial"/>
          <w:szCs w:val="18"/>
          <w:lang w:val="en-US"/>
        </w:rPr>
        <w:t>Tropsch</w:t>
      </w:r>
      <w:proofErr w:type="spellEnd"/>
      <w:r w:rsidRPr="00B23E6E">
        <w:rPr>
          <w:rFonts w:cs="Arial"/>
          <w:szCs w:val="18"/>
          <w:lang w:val="en-US"/>
        </w:rPr>
        <w:t xml:space="preserve"> synthesis catalysts</w:t>
      </w:r>
      <w:r w:rsidR="00A1692B">
        <w:rPr>
          <w:rFonts w:cs="Arial"/>
          <w:szCs w:val="18"/>
          <w:lang w:val="en-US"/>
        </w:rPr>
        <w:t>,</w:t>
      </w:r>
      <w:r w:rsidRPr="00B23E6E">
        <w:rPr>
          <w:rFonts w:cs="Arial"/>
          <w:szCs w:val="18"/>
          <w:lang w:val="en-US"/>
        </w:rPr>
        <w:t> Journal of Industrial and Engineering Chemistry, 115, 92–119.</w:t>
      </w:r>
    </w:p>
    <w:p w14:paraId="3C49118A" w14:textId="2F1CC4F0" w:rsidR="00B23E6E" w:rsidRPr="00B23E6E" w:rsidRDefault="00B23E6E" w:rsidP="00FA15C0">
      <w:pPr>
        <w:ind w:left="284" w:hanging="284"/>
        <w:rPr>
          <w:rFonts w:cs="Arial"/>
          <w:szCs w:val="18"/>
          <w:lang w:val="en-US"/>
        </w:rPr>
      </w:pPr>
      <w:r w:rsidRPr="00B23E6E">
        <w:rPr>
          <w:rFonts w:cs="Arial"/>
          <w:szCs w:val="18"/>
          <w:lang w:val="en-US"/>
        </w:rPr>
        <w:t>Tang, Y., Liu, Y., Chen, J., He, C., Lu, X., Zhang, R., Liu, X.</w:t>
      </w:r>
      <w:r w:rsidR="00A1692B">
        <w:rPr>
          <w:rFonts w:cs="Arial"/>
          <w:szCs w:val="18"/>
          <w:lang w:val="en-US"/>
        </w:rPr>
        <w:t xml:space="preserve">, </w:t>
      </w:r>
      <w:r w:rsidRPr="00B23E6E">
        <w:rPr>
          <w:rFonts w:cs="Arial"/>
          <w:szCs w:val="18"/>
          <w:lang w:val="en-US"/>
        </w:rPr>
        <w:t>2023</w:t>
      </w:r>
      <w:r w:rsidR="00A1692B">
        <w:rPr>
          <w:rFonts w:cs="Arial"/>
          <w:szCs w:val="18"/>
          <w:lang w:val="en-US"/>
        </w:rPr>
        <w:t>,</w:t>
      </w:r>
      <w:r w:rsidRPr="00B23E6E">
        <w:rPr>
          <w:rFonts w:cs="Arial"/>
          <w:szCs w:val="18"/>
          <w:lang w:val="en-US"/>
        </w:rPr>
        <w:t xml:space="preserve"> Review of CO</w:t>
      </w:r>
      <w:r w:rsidRPr="00B23E6E">
        <w:rPr>
          <w:rFonts w:cs="Arial"/>
          <w:szCs w:val="18"/>
          <w:vertAlign w:val="subscript"/>
          <w:lang w:val="en-US"/>
        </w:rPr>
        <w:t xml:space="preserve">2 </w:t>
      </w:r>
      <w:r w:rsidRPr="00B23E6E">
        <w:rPr>
          <w:rFonts w:cs="Arial"/>
          <w:szCs w:val="18"/>
          <w:lang w:val="en-US"/>
        </w:rPr>
        <w:t>selectivity and its control in the Fischer–</w:t>
      </w:r>
      <w:proofErr w:type="spellStart"/>
      <w:r w:rsidRPr="00B23E6E">
        <w:rPr>
          <w:rFonts w:cs="Arial"/>
          <w:szCs w:val="18"/>
          <w:lang w:val="en-US"/>
        </w:rPr>
        <w:t>Tropsch</w:t>
      </w:r>
      <w:proofErr w:type="spellEnd"/>
      <w:r w:rsidRPr="00B23E6E">
        <w:rPr>
          <w:rFonts w:cs="Arial"/>
          <w:szCs w:val="18"/>
          <w:lang w:val="en-US"/>
        </w:rPr>
        <w:t xml:space="preserve"> synthesis of value-added chemicals</w:t>
      </w:r>
      <w:r w:rsidR="00A1692B">
        <w:rPr>
          <w:rFonts w:cs="Arial"/>
          <w:szCs w:val="18"/>
          <w:lang w:val="en-US"/>
        </w:rPr>
        <w:t>,</w:t>
      </w:r>
      <w:r w:rsidRPr="00B23E6E">
        <w:rPr>
          <w:rFonts w:cs="Arial"/>
          <w:szCs w:val="18"/>
          <w:lang w:val="en-US"/>
        </w:rPr>
        <w:t> Reaction Chemistry &amp; Engineering, 8(6), 1229–1249.</w:t>
      </w:r>
    </w:p>
    <w:p w14:paraId="2D7C59C1" w14:textId="77777777" w:rsidR="001733E0" w:rsidRDefault="00B23E6E" w:rsidP="001733E0">
      <w:pPr>
        <w:ind w:left="284" w:hanging="284"/>
      </w:pPr>
      <w:r w:rsidRPr="00B23E6E">
        <w:rPr>
          <w:rFonts w:cs="Arial"/>
          <w:szCs w:val="18"/>
          <w:lang w:val="en-US" w:eastAsia="es-CO"/>
        </w:rPr>
        <w:t xml:space="preserve">Van Koppen, L. M., </w:t>
      </w:r>
      <w:proofErr w:type="spellStart"/>
      <w:r w:rsidRPr="00B23E6E">
        <w:rPr>
          <w:rFonts w:cs="Arial"/>
          <w:szCs w:val="18"/>
          <w:lang w:val="en-US" w:eastAsia="es-CO"/>
        </w:rPr>
        <w:t>Dugulan</w:t>
      </w:r>
      <w:proofErr w:type="spellEnd"/>
      <w:r w:rsidRPr="00B23E6E">
        <w:rPr>
          <w:rFonts w:cs="Arial"/>
          <w:szCs w:val="18"/>
          <w:lang w:val="en-US" w:eastAsia="es-CO"/>
        </w:rPr>
        <w:t xml:space="preserve">, A. I., </w:t>
      </w:r>
      <w:proofErr w:type="spellStart"/>
      <w:r w:rsidRPr="00B23E6E">
        <w:rPr>
          <w:rFonts w:cs="Arial"/>
          <w:szCs w:val="18"/>
          <w:lang w:val="en-US" w:eastAsia="es-CO"/>
        </w:rPr>
        <w:t>Bezemer</w:t>
      </w:r>
      <w:proofErr w:type="spellEnd"/>
      <w:r w:rsidRPr="00B23E6E">
        <w:rPr>
          <w:rFonts w:cs="Arial"/>
          <w:szCs w:val="18"/>
          <w:lang w:val="en-US" w:eastAsia="es-CO"/>
        </w:rPr>
        <w:t>, G. L., Hensen, E. J.</w:t>
      </w:r>
      <w:r w:rsidR="001733E0">
        <w:rPr>
          <w:rFonts w:cs="Arial"/>
          <w:szCs w:val="18"/>
          <w:lang w:val="en-US" w:eastAsia="es-CO"/>
        </w:rPr>
        <w:t xml:space="preserve">, </w:t>
      </w:r>
      <w:r w:rsidRPr="00B23E6E">
        <w:rPr>
          <w:rFonts w:cs="Arial"/>
          <w:szCs w:val="18"/>
          <w:lang w:val="en-US" w:eastAsia="es-CO"/>
        </w:rPr>
        <w:t>2022</w:t>
      </w:r>
      <w:r w:rsidR="001733E0">
        <w:rPr>
          <w:rFonts w:cs="Arial"/>
          <w:szCs w:val="18"/>
          <w:lang w:val="en-US" w:eastAsia="es-CO"/>
        </w:rPr>
        <w:t>,</w:t>
      </w:r>
      <w:r w:rsidRPr="00B23E6E">
        <w:rPr>
          <w:rFonts w:cs="Arial"/>
          <w:szCs w:val="18"/>
          <w:lang w:val="en-US" w:eastAsia="es-CO"/>
        </w:rPr>
        <w:t xml:space="preserve"> Sintering and </w:t>
      </w:r>
      <w:proofErr w:type="spellStart"/>
      <w:r w:rsidRPr="00B23E6E">
        <w:rPr>
          <w:rFonts w:cs="Arial"/>
          <w:szCs w:val="18"/>
          <w:lang w:val="en-US" w:eastAsia="es-CO"/>
        </w:rPr>
        <w:t>carbidization</w:t>
      </w:r>
      <w:proofErr w:type="spellEnd"/>
      <w:r w:rsidRPr="00B23E6E">
        <w:rPr>
          <w:rFonts w:cs="Arial"/>
          <w:szCs w:val="18"/>
          <w:lang w:val="en-US" w:eastAsia="es-CO"/>
        </w:rPr>
        <w:t xml:space="preserve"> under simulated high conversion on a cobalt-based Fischer-</w:t>
      </w:r>
      <w:proofErr w:type="spellStart"/>
      <w:r w:rsidRPr="00B23E6E">
        <w:rPr>
          <w:rFonts w:cs="Arial"/>
          <w:szCs w:val="18"/>
          <w:lang w:val="en-US" w:eastAsia="es-CO"/>
        </w:rPr>
        <w:t>Tropsch</w:t>
      </w:r>
      <w:proofErr w:type="spellEnd"/>
      <w:r w:rsidRPr="00B23E6E">
        <w:rPr>
          <w:rFonts w:cs="Arial"/>
          <w:szCs w:val="18"/>
          <w:lang w:val="en-US" w:eastAsia="es-CO"/>
        </w:rPr>
        <w:t xml:space="preserve"> catalyst; manganese oxide as a structural promotor</w:t>
      </w:r>
      <w:r w:rsidR="001733E0">
        <w:rPr>
          <w:rFonts w:cs="Arial"/>
          <w:szCs w:val="18"/>
          <w:lang w:val="en-US" w:eastAsia="es-CO"/>
        </w:rPr>
        <w:t>,</w:t>
      </w:r>
      <w:r w:rsidRPr="00B23E6E">
        <w:rPr>
          <w:rFonts w:cs="Arial"/>
          <w:szCs w:val="18"/>
          <w:lang w:val="en-US" w:eastAsia="es-CO"/>
        </w:rPr>
        <w:t xml:space="preserve"> Journal of Catalysis, 413, 106–118. </w:t>
      </w:r>
    </w:p>
    <w:p w14:paraId="7DCCBF86" w14:textId="4E9F6E78" w:rsidR="003B0376" w:rsidRDefault="00B23E6E" w:rsidP="003B0376">
      <w:pPr>
        <w:ind w:left="284" w:hanging="284"/>
      </w:pPr>
      <w:r w:rsidRPr="00B23E6E">
        <w:rPr>
          <w:lang w:val="en-US"/>
        </w:rPr>
        <w:t>Wang, W., Jiang, X., Wang, X., Song, C.</w:t>
      </w:r>
      <w:r w:rsidR="001733E0">
        <w:rPr>
          <w:lang w:val="en-US"/>
        </w:rPr>
        <w:t xml:space="preserve">, </w:t>
      </w:r>
      <w:r w:rsidRPr="00B23E6E">
        <w:rPr>
          <w:lang w:val="en-US"/>
        </w:rPr>
        <w:t>2018</w:t>
      </w:r>
      <w:r w:rsidR="001733E0">
        <w:rPr>
          <w:lang w:val="en-US"/>
        </w:rPr>
        <w:t>,</w:t>
      </w:r>
      <w:r w:rsidRPr="00B23E6E">
        <w:rPr>
          <w:lang w:val="en-US"/>
        </w:rPr>
        <w:t xml:space="preserve"> Fe–Cu Bimetallic Catalysts for Selective CO</w:t>
      </w:r>
      <w:r w:rsidRPr="00B23E6E">
        <w:rPr>
          <w:vertAlign w:val="subscript"/>
          <w:lang w:val="en-US"/>
        </w:rPr>
        <w:t>2</w:t>
      </w:r>
      <w:r w:rsidRPr="00B23E6E">
        <w:rPr>
          <w:lang w:val="en-US"/>
        </w:rPr>
        <w:t xml:space="preserve"> Hydrogenation to Olefin-Rich C</w:t>
      </w:r>
      <w:r w:rsidRPr="00B23E6E">
        <w:rPr>
          <w:vertAlign w:val="subscript"/>
          <w:lang w:val="en-US"/>
        </w:rPr>
        <w:t>2</w:t>
      </w:r>
      <w:r w:rsidRPr="00B23E6E">
        <w:rPr>
          <w:vertAlign w:val="superscript"/>
          <w:lang w:val="en-US"/>
        </w:rPr>
        <w:t>+</w:t>
      </w:r>
      <w:r w:rsidRPr="00B23E6E">
        <w:rPr>
          <w:lang w:val="en-US"/>
        </w:rPr>
        <w:t xml:space="preserve"> Hydrocarbons</w:t>
      </w:r>
      <w:r w:rsidR="001733E0">
        <w:rPr>
          <w:lang w:val="en-US"/>
        </w:rPr>
        <w:t>,</w:t>
      </w:r>
      <w:r w:rsidRPr="00B23E6E">
        <w:rPr>
          <w:lang w:val="en-US"/>
        </w:rPr>
        <w:t xml:space="preserve"> Industrial &amp; Engineering Chemistry Research, 57(13), 4535–4542.</w:t>
      </w:r>
    </w:p>
    <w:p w14:paraId="5597A0BD" w14:textId="4E98FEA3" w:rsidR="00B23E6E" w:rsidRPr="00B23E6E" w:rsidRDefault="00B23E6E" w:rsidP="003B0376">
      <w:pPr>
        <w:ind w:left="284" w:hanging="284"/>
        <w:rPr>
          <w:lang w:val="en-US"/>
        </w:rPr>
      </w:pPr>
      <w:r w:rsidRPr="003B0376">
        <w:rPr>
          <w:lang w:val="en-US"/>
        </w:rPr>
        <w:t>Y</w:t>
      </w:r>
      <w:r w:rsidR="00BC6C7F" w:rsidRPr="003B0376">
        <w:rPr>
          <w:lang w:val="en-US"/>
        </w:rPr>
        <w:t>a</w:t>
      </w:r>
      <w:r w:rsidRPr="003B0376">
        <w:rPr>
          <w:lang w:val="en-US"/>
        </w:rPr>
        <w:t>ñez, E., Ramírez, A., Uribe, A., Castillo, E., Faaij, A.</w:t>
      </w:r>
      <w:r w:rsidR="003B0376" w:rsidRPr="003B0376">
        <w:rPr>
          <w:lang w:val="en-US"/>
        </w:rPr>
        <w:t xml:space="preserve">, </w:t>
      </w:r>
      <w:r w:rsidRPr="003B0376">
        <w:rPr>
          <w:lang w:val="en-US"/>
        </w:rPr>
        <w:t>2018</w:t>
      </w:r>
      <w:r w:rsidR="003B0376">
        <w:rPr>
          <w:lang w:val="en-US"/>
        </w:rPr>
        <w:t>,</w:t>
      </w:r>
      <w:r w:rsidRPr="003B0376">
        <w:rPr>
          <w:lang w:val="en-US"/>
        </w:rPr>
        <w:t xml:space="preserve"> </w:t>
      </w:r>
      <w:r w:rsidRPr="00B23E6E">
        <w:rPr>
          <w:lang w:val="en-US"/>
        </w:rPr>
        <w:t>Unraveling the potential of energy efficiency in the Colombian oil industry</w:t>
      </w:r>
      <w:r w:rsidR="003B0376">
        <w:rPr>
          <w:lang w:val="en-US"/>
        </w:rPr>
        <w:t>,</w:t>
      </w:r>
      <w:r w:rsidRPr="00B23E6E">
        <w:rPr>
          <w:lang w:val="en-US"/>
        </w:rPr>
        <w:t xml:space="preserve"> Journal of Cleaner Production, 176, 604–628.</w:t>
      </w:r>
    </w:p>
    <w:p w14:paraId="797E7675" w14:textId="47AF25D0" w:rsidR="003B0376" w:rsidRDefault="00B23E6E" w:rsidP="003B0376">
      <w:pPr>
        <w:pStyle w:val="CETReferencetext"/>
        <w:rPr>
          <w:lang w:val="en-US"/>
        </w:rPr>
      </w:pPr>
      <w:r w:rsidRPr="00B23E6E">
        <w:rPr>
          <w:lang w:val="en-US"/>
        </w:rPr>
        <w:t>Yang, J., Cao, N., Liu, Y., Lu, Y.</w:t>
      </w:r>
      <w:r w:rsidR="003B0376">
        <w:rPr>
          <w:lang w:val="en-US"/>
        </w:rPr>
        <w:t xml:space="preserve">, </w:t>
      </w:r>
      <w:r w:rsidRPr="00B23E6E">
        <w:rPr>
          <w:lang w:val="en-US"/>
        </w:rPr>
        <w:t>2025</w:t>
      </w:r>
      <w:r w:rsidR="003B0376">
        <w:rPr>
          <w:lang w:val="en-US"/>
        </w:rPr>
        <w:t>,</w:t>
      </w:r>
      <w:r w:rsidRPr="00B23E6E">
        <w:rPr>
          <w:lang w:val="en-US"/>
        </w:rPr>
        <w:t xml:space="preserve"> CO</w:t>
      </w:r>
      <w:r w:rsidRPr="00B23E6E">
        <w:rPr>
          <w:vertAlign w:val="subscript"/>
          <w:lang w:val="en-US"/>
        </w:rPr>
        <w:t>2</w:t>
      </w:r>
      <w:r w:rsidRPr="00B23E6E">
        <w:rPr>
          <w:lang w:val="en-US"/>
        </w:rPr>
        <w:t xml:space="preserve"> capture with adsorption strategies: Achievements, challenges, and prospects</w:t>
      </w:r>
      <w:r w:rsidR="003B0376">
        <w:rPr>
          <w:lang w:val="en-US"/>
        </w:rPr>
        <w:t>,</w:t>
      </w:r>
      <w:r w:rsidRPr="00B23E6E">
        <w:rPr>
          <w:lang w:val="en-US"/>
        </w:rPr>
        <w:t xml:space="preserve"> Journal of Cleaner Production, 515, 145798.</w:t>
      </w:r>
    </w:p>
    <w:p w14:paraId="6CE239F8" w14:textId="2F452C79" w:rsidR="003B0376" w:rsidRDefault="00B23E6E" w:rsidP="003B0376">
      <w:pPr>
        <w:pStyle w:val="CETReferencetext"/>
      </w:pPr>
      <w:r w:rsidRPr="00B23E6E">
        <w:rPr>
          <w:rFonts w:cs="Arial"/>
          <w:szCs w:val="18"/>
          <w:lang w:val="en-US" w:eastAsia="es-CO"/>
        </w:rPr>
        <w:t xml:space="preserve">Ye, R., Ding, J., Reina, T. R., </w:t>
      </w:r>
      <w:proofErr w:type="spellStart"/>
      <w:r w:rsidRPr="00B23E6E">
        <w:rPr>
          <w:rFonts w:cs="Arial"/>
          <w:szCs w:val="18"/>
          <w:lang w:val="en-US" w:eastAsia="es-CO"/>
        </w:rPr>
        <w:t>Duyar</w:t>
      </w:r>
      <w:proofErr w:type="spellEnd"/>
      <w:r w:rsidRPr="00B23E6E">
        <w:rPr>
          <w:rFonts w:cs="Arial"/>
          <w:szCs w:val="18"/>
          <w:lang w:val="en-US" w:eastAsia="es-CO"/>
        </w:rPr>
        <w:t>, M. S., Li, H., Luo, W., Zhang, R., Fan, M., Feng, G., Sun, J., Liu, J.</w:t>
      </w:r>
      <w:r w:rsidR="003B0376">
        <w:rPr>
          <w:rFonts w:cs="Arial"/>
          <w:szCs w:val="18"/>
          <w:lang w:val="en-US" w:eastAsia="es-CO"/>
        </w:rPr>
        <w:t xml:space="preserve">, </w:t>
      </w:r>
      <w:r w:rsidRPr="00B23E6E">
        <w:rPr>
          <w:rFonts w:cs="Arial"/>
          <w:szCs w:val="18"/>
          <w:lang w:val="en-US" w:eastAsia="es-CO"/>
        </w:rPr>
        <w:t>2025</w:t>
      </w:r>
      <w:r w:rsidR="003B0376">
        <w:rPr>
          <w:rFonts w:cs="Arial"/>
          <w:szCs w:val="18"/>
          <w:lang w:val="en-US" w:eastAsia="es-CO"/>
        </w:rPr>
        <w:t>,</w:t>
      </w:r>
      <w:r w:rsidRPr="00B23E6E">
        <w:rPr>
          <w:rFonts w:cs="Arial"/>
          <w:szCs w:val="18"/>
          <w:lang w:val="en-US" w:eastAsia="es-CO"/>
        </w:rPr>
        <w:t xml:space="preserve"> Design of catalysts for selective CO</w:t>
      </w:r>
      <w:r w:rsidRPr="003B0376">
        <w:rPr>
          <w:rFonts w:cs="Arial"/>
          <w:szCs w:val="18"/>
          <w:vertAlign w:val="subscript"/>
          <w:lang w:val="en-US" w:eastAsia="es-CO"/>
        </w:rPr>
        <w:t>2</w:t>
      </w:r>
      <w:r w:rsidRPr="00B23E6E">
        <w:rPr>
          <w:rFonts w:cs="Arial"/>
          <w:szCs w:val="18"/>
          <w:lang w:val="en-US" w:eastAsia="es-CO"/>
        </w:rPr>
        <w:t xml:space="preserve"> hydrogenation</w:t>
      </w:r>
      <w:r w:rsidR="003B0376">
        <w:rPr>
          <w:rFonts w:cs="Arial"/>
          <w:szCs w:val="18"/>
          <w:lang w:val="en-US" w:eastAsia="es-CO"/>
        </w:rPr>
        <w:t>,</w:t>
      </w:r>
      <w:r w:rsidRPr="00B23E6E">
        <w:rPr>
          <w:rFonts w:cs="Arial"/>
          <w:szCs w:val="18"/>
          <w:lang w:val="en-US" w:eastAsia="es-CO"/>
        </w:rPr>
        <w:t xml:space="preserve"> Nature Synthesis</w:t>
      </w:r>
      <w:r w:rsidR="00605AAE">
        <w:rPr>
          <w:rFonts w:cs="Arial"/>
          <w:szCs w:val="18"/>
          <w:lang w:val="en-US" w:eastAsia="es-CO"/>
        </w:rPr>
        <w:t xml:space="preserve">, </w:t>
      </w:r>
      <w:r w:rsidR="00605AAE" w:rsidRPr="00605AAE">
        <w:rPr>
          <w:rFonts w:cs="Arial"/>
          <w:szCs w:val="18"/>
          <w:lang w:val="en-US" w:eastAsia="es-CO"/>
        </w:rPr>
        <w:t>4, 288–302</w:t>
      </w:r>
      <w:r w:rsidR="00605AAE">
        <w:rPr>
          <w:rFonts w:cs="Arial"/>
          <w:szCs w:val="18"/>
          <w:lang w:val="en-US" w:eastAsia="es-CO"/>
        </w:rPr>
        <w:t>.</w:t>
      </w:r>
    </w:p>
    <w:p w14:paraId="33491402" w14:textId="4BCE1F6F" w:rsidR="00B23E6E" w:rsidRPr="00B23E6E" w:rsidRDefault="00B23E6E" w:rsidP="003B0376">
      <w:pPr>
        <w:pStyle w:val="CETReferencetext"/>
        <w:rPr>
          <w:rFonts w:cs="Arial"/>
          <w:szCs w:val="18"/>
          <w:lang w:val="en-US" w:eastAsia="es-ES"/>
        </w:rPr>
      </w:pPr>
      <w:r w:rsidRPr="00182EBE">
        <w:rPr>
          <w:rFonts w:cs="Arial"/>
          <w:szCs w:val="18"/>
          <w:lang w:val="en-US" w:eastAsia="es-ES"/>
        </w:rPr>
        <w:t>Yuan, J., Wang, Y., Tang, M., Hao, X., Liu, J., Zhang, G., Zhang, Y.</w:t>
      </w:r>
      <w:r w:rsidR="00605AAE">
        <w:rPr>
          <w:rFonts w:cs="Arial"/>
          <w:szCs w:val="18"/>
          <w:lang w:val="en-US" w:eastAsia="es-ES"/>
        </w:rPr>
        <w:t xml:space="preserve">, </w:t>
      </w:r>
      <w:r w:rsidRPr="00182EBE">
        <w:rPr>
          <w:rFonts w:cs="Arial"/>
          <w:szCs w:val="18"/>
          <w:lang w:val="en-US" w:eastAsia="es-ES"/>
        </w:rPr>
        <w:t>2023</w:t>
      </w:r>
      <w:r w:rsidR="00605AAE">
        <w:rPr>
          <w:rFonts w:cs="Arial"/>
          <w:szCs w:val="18"/>
          <w:lang w:val="en-US" w:eastAsia="es-ES"/>
        </w:rPr>
        <w:t>,</w:t>
      </w:r>
      <w:r w:rsidRPr="00182EBE">
        <w:rPr>
          <w:rFonts w:cs="Arial"/>
          <w:szCs w:val="18"/>
          <w:lang w:val="en-US" w:eastAsia="es-ES"/>
        </w:rPr>
        <w:t xml:space="preserve"> Preparation of N, O co-doped carbon nanotubes and activated carbon composites with hierarchical porous structure for CO</w:t>
      </w:r>
      <w:r w:rsidRPr="00605AAE">
        <w:rPr>
          <w:rFonts w:cs="Arial"/>
          <w:szCs w:val="18"/>
          <w:vertAlign w:val="subscript"/>
          <w:lang w:val="en-US" w:eastAsia="es-ES"/>
        </w:rPr>
        <w:t>2</w:t>
      </w:r>
      <w:r w:rsidRPr="00182EBE">
        <w:rPr>
          <w:rFonts w:cs="Arial"/>
          <w:szCs w:val="18"/>
          <w:lang w:val="en-US" w:eastAsia="es-ES"/>
        </w:rPr>
        <w:t xml:space="preserve"> adsorption by coal pyrolysis</w:t>
      </w:r>
      <w:r w:rsidR="00605AAE">
        <w:rPr>
          <w:rFonts w:cs="Arial"/>
          <w:szCs w:val="18"/>
          <w:lang w:val="en-US" w:eastAsia="es-ES"/>
        </w:rPr>
        <w:t>,</w:t>
      </w:r>
      <w:r w:rsidRPr="00182EBE">
        <w:rPr>
          <w:rFonts w:cs="Arial"/>
          <w:szCs w:val="18"/>
          <w:lang w:val="en-US" w:eastAsia="es-ES"/>
        </w:rPr>
        <w:t> Fuel, 333, 126465.</w:t>
      </w:r>
    </w:p>
    <w:p w14:paraId="067B70CF" w14:textId="1F1F78DE" w:rsidR="00B23E6E" w:rsidRPr="00B23E6E" w:rsidRDefault="00B23E6E" w:rsidP="00FA15C0">
      <w:pPr>
        <w:pStyle w:val="CETReferencetext"/>
        <w:rPr>
          <w:rStyle w:val="Hyperlink"/>
          <w:color w:val="auto"/>
          <w:lang w:val="en-US"/>
        </w:rPr>
      </w:pPr>
      <w:r w:rsidRPr="00B23E6E">
        <w:rPr>
          <w:lang w:val="en-US"/>
        </w:rPr>
        <w:t xml:space="preserve">Zhao, K., Wang, L., </w:t>
      </w:r>
      <w:proofErr w:type="spellStart"/>
      <w:r w:rsidRPr="00B23E6E">
        <w:rPr>
          <w:lang w:val="en-US"/>
        </w:rPr>
        <w:t>Calizzi</w:t>
      </w:r>
      <w:proofErr w:type="spellEnd"/>
      <w:r w:rsidRPr="00B23E6E">
        <w:rPr>
          <w:lang w:val="en-US"/>
        </w:rPr>
        <w:t>, M., Moioli, E.,</w:t>
      </w:r>
      <w:r w:rsidR="00605AAE">
        <w:rPr>
          <w:lang w:val="en-US"/>
        </w:rPr>
        <w:t xml:space="preserve"> </w:t>
      </w:r>
      <w:proofErr w:type="spellStart"/>
      <w:r w:rsidRPr="00B23E6E">
        <w:rPr>
          <w:lang w:val="en-US"/>
        </w:rPr>
        <w:t>Züttel</w:t>
      </w:r>
      <w:proofErr w:type="spellEnd"/>
      <w:r w:rsidRPr="00B23E6E">
        <w:rPr>
          <w:lang w:val="en-US"/>
        </w:rPr>
        <w:t>, A.</w:t>
      </w:r>
      <w:r w:rsidR="00605AAE">
        <w:rPr>
          <w:lang w:val="en-US"/>
        </w:rPr>
        <w:t xml:space="preserve">, </w:t>
      </w:r>
      <w:r w:rsidRPr="00B23E6E">
        <w:rPr>
          <w:lang w:val="en-US"/>
        </w:rPr>
        <w:t>2018</w:t>
      </w:r>
      <w:r w:rsidR="00605AAE">
        <w:rPr>
          <w:lang w:val="en-US"/>
        </w:rPr>
        <w:t>,</w:t>
      </w:r>
      <w:r w:rsidRPr="00B23E6E">
        <w:rPr>
          <w:lang w:val="en-US"/>
        </w:rPr>
        <w:t xml:space="preserve"> In Situ Control of the Adsorption Species in CO</w:t>
      </w:r>
      <w:r w:rsidRPr="00B23E6E">
        <w:rPr>
          <w:vertAlign w:val="subscript"/>
          <w:lang w:val="en-US"/>
        </w:rPr>
        <w:t>2</w:t>
      </w:r>
      <w:r w:rsidRPr="00B23E6E">
        <w:rPr>
          <w:lang w:val="en-US"/>
        </w:rPr>
        <w:t xml:space="preserve"> Hydrogenation: Determination of Intermediates and Byproducts</w:t>
      </w:r>
      <w:r w:rsidR="00605AAE">
        <w:rPr>
          <w:lang w:val="en-US"/>
        </w:rPr>
        <w:t>,</w:t>
      </w:r>
      <w:r w:rsidRPr="00B23E6E">
        <w:rPr>
          <w:lang w:val="en-US"/>
        </w:rPr>
        <w:t xml:space="preserve"> The Journal of Physical Chemistry C, 122(36), 20888–20893.</w:t>
      </w:r>
    </w:p>
    <w:sectPr w:rsidR="00B23E6E" w:rsidRPr="00B23E6E" w:rsidSect="00621ED7">
      <w:footerReference w:type="even" r:id="rId16"/>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027B" w14:textId="77777777" w:rsidR="00B5799E" w:rsidRDefault="00B5799E" w:rsidP="004F5E36">
      <w:r>
        <w:separator/>
      </w:r>
    </w:p>
  </w:endnote>
  <w:endnote w:type="continuationSeparator" w:id="0">
    <w:p w14:paraId="6ED82D3A" w14:textId="77777777" w:rsidR="00B5799E" w:rsidRDefault="00B5799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1F45" w14:textId="6D796863" w:rsidR="00196408" w:rsidRDefault="00196408">
    <w:pPr>
      <w:pStyle w:val="Footer"/>
    </w:pPr>
    <w:r>
      <w:rPr>
        <w:noProof/>
      </w:rPr>
      <mc:AlternateContent>
        <mc:Choice Requires="wps">
          <w:drawing>
            <wp:anchor distT="0" distB="0" distL="0" distR="0" simplePos="0" relativeHeight="251659264" behindDoc="0" locked="0" layoutInCell="1" allowOverlap="1" wp14:anchorId="65A67CE6" wp14:editId="0372693A">
              <wp:simplePos x="635" y="635"/>
              <wp:positionH relativeFrom="page">
                <wp:align>center</wp:align>
              </wp:positionH>
              <wp:positionV relativeFrom="page">
                <wp:align>bottom</wp:align>
              </wp:positionV>
              <wp:extent cx="887730" cy="292735"/>
              <wp:effectExtent l="0" t="0" r="7620" b="0"/>
              <wp:wrapNone/>
              <wp:docPr id="2036722166"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730" cy="292735"/>
                      </a:xfrm>
                      <a:prstGeom prst="rect">
                        <a:avLst/>
                      </a:prstGeom>
                      <a:noFill/>
                      <a:ln>
                        <a:noFill/>
                      </a:ln>
                    </wps:spPr>
                    <wps:txbx>
                      <w:txbxContent>
                        <w:p w14:paraId="155C3A4E" w14:textId="0E35852D" w:rsidR="00196408" w:rsidRPr="00196408" w:rsidRDefault="00196408" w:rsidP="00196408">
                          <w:pPr>
                            <w:rPr>
                              <w:rFonts w:ascii="Calibri" w:eastAsia="Calibri" w:hAnsi="Calibri" w:cs="Calibri"/>
                              <w:noProof/>
                              <w:color w:val="000000"/>
                              <w:sz w:val="12"/>
                              <w:szCs w:val="12"/>
                            </w:rPr>
                          </w:pPr>
                          <w:r w:rsidRPr="00196408">
                            <w:rPr>
                              <w:rFonts w:ascii="Calibri" w:eastAsia="Calibri" w:hAnsi="Calibri" w:cs="Calibri"/>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67CE6" id="_x0000_t202" coordsize="21600,21600" o:spt="202" path="m,l,21600r21600,l21600,xe">
              <v:stroke joinstyle="miter"/>
              <v:path gradientshapeok="t" o:connecttype="rect"/>
            </v:shapetype>
            <v:shape id="Cuadro de texto 2" o:spid="_x0000_s1026" type="#_x0000_t202" alt="ECP-INFORMACION PUBLICA" style="position:absolute;left:0;text-align:left;margin-left:0;margin-top:0;width:69.9pt;height:23.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" filled="f" stroked="f">
              <v:textbox style="mso-fit-shape-to-text:t" inset="0,0,0,15pt">
                <w:txbxContent>
                  <w:p w14:paraId="155C3A4E" w14:textId="0E35852D" w:rsidR="00196408" w:rsidRPr="00196408" w:rsidRDefault="00196408" w:rsidP="00196408">
                    <w:pPr>
                      <w:rPr>
                        <w:rFonts w:ascii="Calibri" w:eastAsia="Calibri" w:hAnsi="Calibri" w:cs="Calibri"/>
                        <w:noProof/>
                        <w:color w:val="000000"/>
                        <w:sz w:val="12"/>
                        <w:szCs w:val="12"/>
                      </w:rPr>
                    </w:pPr>
                    <w:r w:rsidRPr="00196408">
                      <w:rPr>
                        <w:rFonts w:ascii="Calibri" w:eastAsia="Calibri" w:hAnsi="Calibri" w:cs="Calibri"/>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B3A8" w14:textId="77777777" w:rsidR="00B5799E" w:rsidRDefault="00B5799E" w:rsidP="004F5E36">
      <w:r>
        <w:separator/>
      </w:r>
    </w:p>
  </w:footnote>
  <w:footnote w:type="continuationSeparator" w:id="0">
    <w:p w14:paraId="03DD6196" w14:textId="77777777" w:rsidR="00B5799E" w:rsidRDefault="00B5799E"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8F4F4A"/>
    <w:multiLevelType w:val="hybridMultilevel"/>
    <w:tmpl w:val="341A535E"/>
    <w:lvl w:ilvl="0" w:tplc="AAE0E328">
      <w:start w:val="1"/>
      <w:numFmt w:val="lowerLetter"/>
      <w:lvlText w:val="(%1)"/>
      <w:lvlJc w:val="left"/>
      <w:pPr>
        <w:ind w:left="1305" w:hanging="360"/>
      </w:pPr>
      <w:rPr>
        <w:rFonts w:hint="default"/>
      </w:rPr>
    </w:lvl>
    <w:lvl w:ilvl="1" w:tplc="240A0019" w:tentative="1">
      <w:start w:val="1"/>
      <w:numFmt w:val="lowerLetter"/>
      <w:lvlText w:val="%2."/>
      <w:lvlJc w:val="left"/>
      <w:pPr>
        <w:ind w:left="2025" w:hanging="360"/>
      </w:pPr>
    </w:lvl>
    <w:lvl w:ilvl="2" w:tplc="240A001B" w:tentative="1">
      <w:start w:val="1"/>
      <w:numFmt w:val="lowerRoman"/>
      <w:lvlText w:val="%3."/>
      <w:lvlJc w:val="right"/>
      <w:pPr>
        <w:ind w:left="2745" w:hanging="180"/>
      </w:pPr>
    </w:lvl>
    <w:lvl w:ilvl="3" w:tplc="240A000F" w:tentative="1">
      <w:start w:val="1"/>
      <w:numFmt w:val="decimal"/>
      <w:lvlText w:val="%4."/>
      <w:lvlJc w:val="left"/>
      <w:pPr>
        <w:ind w:left="3465" w:hanging="360"/>
      </w:pPr>
    </w:lvl>
    <w:lvl w:ilvl="4" w:tplc="240A0019" w:tentative="1">
      <w:start w:val="1"/>
      <w:numFmt w:val="lowerLetter"/>
      <w:lvlText w:val="%5."/>
      <w:lvlJc w:val="left"/>
      <w:pPr>
        <w:ind w:left="4185" w:hanging="360"/>
      </w:pPr>
    </w:lvl>
    <w:lvl w:ilvl="5" w:tplc="240A001B" w:tentative="1">
      <w:start w:val="1"/>
      <w:numFmt w:val="lowerRoman"/>
      <w:lvlText w:val="%6."/>
      <w:lvlJc w:val="right"/>
      <w:pPr>
        <w:ind w:left="4905" w:hanging="180"/>
      </w:pPr>
    </w:lvl>
    <w:lvl w:ilvl="6" w:tplc="240A000F" w:tentative="1">
      <w:start w:val="1"/>
      <w:numFmt w:val="decimal"/>
      <w:lvlText w:val="%7."/>
      <w:lvlJc w:val="left"/>
      <w:pPr>
        <w:ind w:left="5625" w:hanging="360"/>
      </w:pPr>
    </w:lvl>
    <w:lvl w:ilvl="7" w:tplc="240A0019" w:tentative="1">
      <w:start w:val="1"/>
      <w:numFmt w:val="lowerLetter"/>
      <w:lvlText w:val="%8."/>
      <w:lvlJc w:val="left"/>
      <w:pPr>
        <w:ind w:left="6345" w:hanging="360"/>
      </w:pPr>
    </w:lvl>
    <w:lvl w:ilvl="8" w:tplc="240A001B" w:tentative="1">
      <w:start w:val="1"/>
      <w:numFmt w:val="lowerRoman"/>
      <w:lvlText w:val="%9."/>
      <w:lvlJc w:val="right"/>
      <w:pPr>
        <w:ind w:left="7065" w:hanging="180"/>
      </w:pPr>
    </w:lvl>
  </w:abstractNum>
  <w:abstractNum w:abstractNumId="11" w15:restartNumberingAfterBreak="0">
    <w:nsid w:val="1E8508E9"/>
    <w:multiLevelType w:val="hybridMultilevel"/>
    <w:tmpl w:val="2CE23646"/>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9183172"/>
    <w:multiLevelType w:val="multilevel"/>
    <w:tmpl w:val="7F8EE6AE"/>
    <w:lvl w:ilvl="0">
      <w:start w:val="2"/>
      <w:numFmt w:val="decimal"/>
      <w:lvlText w:val="%1."/>
      <w:lvlJc w:val="left"/>
      <w:pPr>
        <w:ind w:left="360" w:hanging="360"/>
      </w:pPr>
      <w:rPr>
        <w:rFonts w:hint="default"/>
        <w:b/>
        <w:bCs/>
        <w:sz w:val="18"/>
        <w:szCs w:val="16"/>
      </w:rPr>
    </w:lvl>
    <w:lvl w:ilvl="1">
      <w:start w:val="1"/>
      <w:numFmt w:val="decimal"/>
      <w:lvlText w:val="%1.%2."/>
      <w:lvlJc w:val="left"/>
      <w:pPr>
        <w:ind w:left="360" w:hanging="360"/>
      </w:pPr>
      <w:rPr>
        <w:rFonts w:hint="default"/>
        <w:b/>
        <w:bCs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B85DD4"/>
    <w:multiLevelType w:val="multilevel"/>
    <w:tmpl w:val="A970AA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7438597">
    <w:abstractNumId w:val="12"/>
  </w:num>
  <w:num w:numId="2" w16cid:durableId="371878808">
    <w:abstractNumId w:val="8"/>
  </w:num>
  <w:num w:numId="3" w16cid:durableId="2037193842">
    <w:abstractNumId w:val="3"/>
  </w:num>
  <w:num w:numId="4" w16cid:durableId="1316959135">
    <w:abstractNumId w:val="2"/>
  </w:num>
  <w:num w:numId="5" w16cid:durableId="1623073060">
    <w:abstractNumId w:val="1"/>
  </w:num>
  <w:num w:numId="6" w16cid:durableId="849878207">
    <w:abstractNumId w:val="0"/>
  </w:num>
  <w:num w:numId="7" w16cid:durableId="133718095">
    <w:abstractNumId w:val="9"/>
  </w:num>
  <w:num w:numId="8" w16cid:durableId="1981808877">
    <w:abstractNumId w:val="7"/>
  </w:num>
  <w:num w:numId="9" w16cid:durableId="538127952">
    <w:abstractNumId w:val="6"/>
  </w:num>
  <w:num w:numId="10" w16cid:durableId="1477189628">
    <w:abstractNumId w:val="5"/>
  </w:num>
  <w:num w:numId="11" w16cid:durableId="434255816">
    <w:abstractNumId w:val="4"/>
  </w:num>
  <w:num w:numId="12" w16cid:durableId="169301779">
    <w:abstractNumId w:val="20"/>
  </w:num>
  <w:num w:numId="13" w16cid:durableId="1565069700">
    <w:abstractNumId w:val="15"/>
  </w:num>
  <w:num w:numId="14" w16cid:durableId="835610062">
    <w:abstractNumId w:val="21"/>
  </w:num>
  <w:num w:numId="15" w16cid:durableId="1902524065">
    <w:abstractNumId w:val="23"/>
  </w:num>
  <w:num w:numId="16" w16cid:durableId="1038314359">
    <w:abstractNumId w:val="22"/>
  </w:num>
  <w:num w:numId="17" w16cid:durableId="594049416">
    <w:abstractNumId w:val="14"/>
  </w:num>
  <w:num w:numId="18" w16cid:durableId="326128147">
    <w:abstractNumId w:val="15"/>
    <w:lvlOverride w:ilvl="0">
      <w:startOverride w:val="1"/>
    </w:lvlOverride>
  </w:num>
  <w:num w:numId="19" w16cid:durableId="917254253">
    <w:abstractNumId w:val="19"/>
  </w:num>
  <w:num w:numId="20" w16cid:durableId="272368449">
    <w:abstractNumId w:val="18"/>
  </w:num>
  <w:num w:numId="21" w16cid:durableId="303891732">
    <w:abstractNumId w:val="17"/>
  </w:num>
  <w:num w:numId="22" w16cid:durableId="914819328">
    <w:abstractNumId w:val="16"/>
  </w:num>
  <w:num w:numId="23" w16cid:durableId="195195114">
    <w:abstractNumId w:val="24"/>
  </w:num>
  <w:num w:numId="24" w16cid:durableId="1112868307">
    <w:abstractNumId w:val="10"/>
  </w:num>
  <w:num w:numId="25" w16cid:durableId="276642490">
    <w:abstractNumId w:val="11"/>
  </w:num>
  <w:num w:numId="26" w16cid:durableId="1339499156">
    <w:abstractNumId w:val="13"/>
  </w:num>
  <w:num w:numId="27" w16cid:durableId="384911179">
    <w:abstractNumId w:val="12"/>
  </w:num>
  <w:num w:numId="28" w16cid:durableId="595483447">
    <w:abstractNumId w:val="12"/>
  </w:num>
  <w:num w:numId="29" w16cid:durableId="601835527">
    <w:abstractNumId w:val="12"/>
  </w:num>
  <w:num w:numId="30" w16cid:durableId="1878661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988"/>
    <w:rsid w:val="000052FB"/>
    <w:rsid w:val="00005884"/>
    <w:rsid w:val="00005A19"/>
    <w:rsid w:val="000060B9"/>
    <w:rsid w:val="00007FAD"/>
    <w:rsid w:val="0001118D"/>
    <w:rsid w:val="000117CB"/>
    <w:rsid w:val="00011AB0"/>
    <w:rsid w:val="000133E3"/>
    <w:rsid w:val="00014E28"/>
    <w:rsid w:val="00017028"/>
    <w:rsid w:val="00021219"/>
    <w:rsid w:val="0003148D"/>
    <w:rsid w:val="00031EEC"/>
    <w:rsid w:val="00032B8D"/>
    <w:rsid w:val="00040C8D"/>
    <w:rsid w:val="00043195"/>
    <w:rsid w:val="00051566"/>
    <w:rsid w:val="000562A9"/>
    <w:rsid w:val="00057A93"/>
    <w:rsid w:val="000619F1"/>
    <w:rsid w:val="00062548"/>
    <w:rsid w:val="00062A9A"/>
    <w:rsid w:val="00065058"/>
    <w:rsid w:val="00065F83"/>
    <w:rsid w:val="00074E15"/>
    <w:rsid w:val="000754CF"/>
    <w:rsid w:val="00082D48"/>
    <w:rsid w:val="00084A05"/>
    <w:rsid w:val="000868A5"/>
    <w:rsid w:val="00086C39"/>
    <w:rsid w:val="0009223C"/>
    <w:rsid w:val="00093965"/>
    <w:rsid w:val="00093DB1"/>
    <w:rsid w:val="000A03B2"/>
    <w:rsid w:val="000A1902"/>
    <w:rsid w:val="000A311D"/>
    <w:rsid w:val="000B5EC2"/>
    <w:rsid w:val="000B6C62"/>
    <w:rsid w:val="000B732D"/>
    <w:rsid w:val="000B7CC7"/>
    <w:rsid w:val="000C40E2"/>
    <w:rsid w:val="000C4D93"/>
    <w:rsid w:val="000D0268"/>
    <w:rsid w:val="000D0436"/>
    <w:rsid w:val="000D32D4"/>
    <w:rsid w:val="000D34BE"/>
    <w:rsid w:val="000E102F"/>
    <w:rsid w:val="000E36F1"/>
    <w:rsid w:val="000E3A73"/>
    <w:rsid w:val="000E414A"/>
    <w:rsid w:val="000E4452"/>
    <w:rsid w:val="000E75FD"/>
    <w:rsid w:val="000F093C"/>
    <w:rsid w:val="000F0DC6"/>
    <w:rsid w:val="000F1340"/>
    <w:rsid w:val="000F2DDD"/>
    <w:rsid w:val="000F787B"/>
    <w:rsid w:val="00101F02"/>
    <w:rsid w:val="0010782B"/>
    <w:rsid w:val="00107CE4"/>
    <w:rsid w:val="00112128"/>
    <w:rsid w:val="0012091F"/>
    <w:rsid w:val="00124AAD"/>
    <w:rsid w:val="00125F33"/>
    <w:rsid w:val="00126068"/>
    <w:rsid w:val="00126BC2"/>
    <w:rsid w:val="00127FD5"/>
    <w:rsid w:val="001308B6"/>
    <w:rsid w:val="0013121F"/>
    <w:rsid w:val="00131FE6"/>
    <w:rsid w:val="0013263F"/>
    <w:rsid w:val="001331DF"/>
    <w:rsid w:val="00134147"/>
    <w:rsid w:val="0013460D"/>
    <w:rsid w:val="00134DE4"/>
    <w:rsid w:val="0014034D"/>
    <w:rsid w:val="00140FE3"/>
    <w:rsid w:val="001434AC"/>
    <w:rsid w:val="00144D16"/>
    <w:rsid w:val="001458F9"/>
    <w:rsid w:val="00145C4E"/>
    <w:rsid w:val="00150E59"/>
    <w:rsid w:val="00152C4A"/>
    <w:rsid w:val="00152DE3"/>
    <w:rsid w:val="00152E97"/>
    <w:rsid w:val="00153486"/>
    <w:rsid w:val="00154894"/>
    <w:rsid w:val="0015546B"/>
    <w:rsid w:val="00157803"/>
    <w:rsid w:val="00160617"/>
    <w:rsid w:val="00161C22"/>
    <w:rsid w:val="00163D76"/>
    <w:rsid w:val="00164000"/>
    <w:rsid w:val="00164CF9"/>
    <w:rsid w:val="00166655"/>
    <w:rsid w:val="001667A6"/>
    <w:rsid w:val="00170346"/>
    <w:rsid w:val="00171CE0"/>
    <w:rsid w:val="001733E0"/>
    <w:rsid w:val="00174246"/>
    <w:rsid w:val="00180D32"/>
    <w:rsid w:val="00182EBE"/>
    <w:rsid w:val="001835AB"/>
    <w:rsid w:val="00184843"/>
    <w:rsid w:val="00184AD6"/>
    <w:rsid w:val="00185255"/>
    <w:rsid w:val="00191144"/>
    <w:rsid w:val="00191407"/>
    <w:rsid w:val="00194D9F"/>
    <w:rsid w:val="00195A82"/>
    <w:rsid w:val="00195F43"/>
    <w:rsid w:val="00196408"/>
    <w:rsid w:val="001A3C1C"/>
    <w:rsid w:val="001A4AF7"/>
    <w:rsid w:val="001A71BE"/>
    <w:rsid w:val="001B0349"/>
    <w:rsid w:val="001B1E93"/>
    <w:rsid w:val="001B493F"/>
    <w:rsid w:val="001B65C1"/>
    <w:rsid w:val="001C260F"/>
    <w:rsid w:val="001C33F1"/>
    <w:rsid w:val="001C684B"/>
    <w:rsid w:val="001C7012"/>
    <w:rsid w:val="001C7F24"/>
    <w:rsid w:val="001D0CFB"/>
    <w:rsid w:val="001D0ED5"/>
    <w:rsid w:val="001D1CA6"/>
    <w:rsid w:val="001D21AF"/>
    <w:rsid w:val="001D33DC"/>
    <w:rsid w:val="001D48B7"/>
    <w:rsid w:val="001D53FC"/>
    <w:rsid w:val="001D5770"/>
    <w:rsid w:val="001D6A08"/>
    <w:rsid w:val="001F101E"/>
    <w:rsid w:val="001F250B"/>
    <w:rsid w:val="001F42A5"/>
    <w:rsid w:val="001F7B9D"/>
    <w:rsid w:val="00201281"/>
    <w:rsid w:val="00201C93"/>
    <w:rsid w:val="0020379F"/>
    <w:rsid w:val="00203B0B"/>
    <w:rsid w:val="00203D24"/>
    <w:rsid w:val="00204676"/>
    <w:rsid w:val="00204993"/>
    <w:rsid w:val="00205ED9"/>
    <w:rsid w:val="00213129"/>
    <w:rsid w:val="002170BC"/>
    <w:rsid w:val="00220B91"/>
    <w:rsid w:val="00221320"/>
    <w:rsid w:val="00222018"/>
    <w:rsid w:val="002224B4"/>
    <w:rsid w:val="0022264D"/>
    <w:rsid w:val="002230B2"/>
    <w:rsid w:val="0022581E"/>
    <w:rsid w:val="00227A00"/>
    <w:rsid w:val="00231790"/>
    <w:rsid w:val="002362BD"/>
    <w:rsid w:val="00240B19"/>
    <w:rsid w:val="002447EF"/>
    <w:rsid w:val="00251550"/>
    <w:rsid w:val="002517F8"/>
    <w:rsid w:val="00251FAB"/>
    <w:rsid w:val="00262475"/>
    <w:rsid w:val="00263883"/>
    <w:rsid w:val="0026394A"/>
    <w:rsid w:val="00263B05"/>
    <w:rsid w:val="0027221A"/>
    <w:rsid w:val="002735D6"/>
    <w:rsid w:val="00274F1B"/>
    <w:rsid w:val="00275B61"/>
    <w:rsid w:val="0028007B"/>
    <w:rsid w:val="00280F59"/>
    <w:rsid w:val="00280FAF"/>
    <w:rsid w:val="00282656"/>
    <w:rsid w:val="00283DBF"/>
    <w:rsid w:val="002860BF"/>
    <w:rsid w:val="002944A1"/>
    <w:rsid w:val="00296B83"/>
    <w:rsid w:val="00297481"/>
    <w:rsid w:val="002A2EC9"/>
    <w:rsid w:val="002A38A1"/>
    <w:rsid w:val="002A651A"/>
    <w:rsid w:val="002B11CA"/>
    <w:rsid w:val="002B13D2"/>
    <w:rsid w:val="002B39CC"/>
    <w:rsid w:val="002B4015"/>
    <w:rsid w:val="002B41D9"/>
    <w:rsid w:val="002B5C01"/>
    <w:rsid w:val="002B69D3"/>
    <w:rsid w:val="002B6E26"/>
    <w:rsid w:val="002B78CE"/>
    <w:rsid w:val="002B7BB1"/>
    <w:rsid w:val="002C2FB6"/>
    <w:rsid w:val="002D37CB"/>
    <w:rsid w:val="002D41AE"/>
    <w:rsid w:val="002D59CD"/>
    <w:rsid w:val="002D6EDD"/>
    <w:rsid w:val="002E1926"/>
    <w:rsid w:val="002E3321"/>
    <w:rsid w:val="002E5FA7"/>
    <w:rsid w:val="002E7F6A"/>
    <w:rsid w:val="002F06E5"/>
    <w:rsid w:val="002F3309"/>
    <w:rsid w:val="002F6F84"/>
    <w:rsid w:val="003008CE"/>
    <w:rsid w:val="003009B7"/>
    <w:rsid w:val="00300E56"/>
    <w:rsid w:val="0030152C"/>
    <w:rsid w:val="003017D9"/>
    <w:rsid w:val="00303207"/>
    <w:rsid w:val="0030469C"/>
    <w:rsid w:val="003131EC"/>
    <w:rsid w:val="00321CA6"/>
    <w:rsid w:val="00323763"/>
    <w:rsid w:val="00323C5F"/>
    <w:rsid w:val="00323E75"/>
    <w:rsid w:val="003251BE"/>
    <w:rsid w:val="00326631"/>
    <w:rsid w:val="0033044E"/>
    <w:rsid w:val="00334C09"/>
    <w:rsid w:val="0034439D"/>
    <w:rsid w:val="00350320"/>
    <w:rsid w:val="00361C4C"/>
    <w:rsid w:val="003723D4"/>
    <w:rsid w:val="0037357F"/>
    <w:rsid w:val="003738D5"/>
    <w:rsid w:val="003778BE"/>
    <w:rsid w:val="00381350"/>
    <w:rsid w:val="00381905"/>
    <w:rsid w:val="003845A7"/>
    <w:rsid w:val="00384CC8"/>
    <w:rsid w:val="0038610C"/>
    <w:rsid w:val="003871FD"/>
    <w:rsid w:val="00392CF3"/>
    <w:rsid w:val="0039551D"/>
    <w:rsid w:val="00397E40"/>
    <w:rsid w:val="003A110E"/>
    <w:rsid w:val="003A1413"/>
    <w:rsid w:val="003A1E30"/>
    <w:rsid w:val="003A2829"/>
    <w:rsid w:val="003A6A56"/>
    <w:rsid w:val="003A7D1C"/>
    <w:rsid w:val="003B0376"/>
    <w:rsid w:val="003B1B4E"/>
    <w:rsid w:val="003B2101"/>
    <w:rsid w:val="003B304B"/>
    <w:rsid w:val="003B3146"/>
    <w:rsid w:val="003B4EA5"/>
    <w:rsid w:val="003B6930"/>
    <w:rsid w:val="003C2A52"/>
    <w:rsid w:val="003C2D8F"/>
    <w:rsid w:val="003C435C"/>
    <w:rsid w:val="003D1E02"/>
    <w:rsid w:val="003D2EEA"/>
    <w:rsid w:val="003D6660"/>
    <w:rsid w:val="003D7747"/>
    <w:rsid w:val="003E191F"/>
    <w:rsid w:val="003E6D79"/>
    <w:rsid w:val="003F015E"/>
    <w:rsid w:val="003F02BB"/>
    <w:rsid w:val="003F2599"/>
    <w:rsid w:val="003F375A"/>
    <w:rsid w:val="003F3CA6"/>
    <w:rsid w:val="003F7018"/>
    <w:rsid w:val="00400414"/>
    <w:rsid w:val="004050E0"/>
    <w:rsid w:val="00406E2D"/>
    <w:rsid w:val="004075F5"/>
    <w:rsid w:val="00410845"/>
    <w:rsid w:val="004132E6"/>
    <w:rsid w:val="0041446B"/>
    <w:rsid w:val="0041491C"/>
    <w:rsid w:val="0041618A"/>
    <w:rsid w:val="004162B8"/>
    <w:rsid w:val="00417B1F"/>
    <w:rsid w:val="00420AAE"/>
    <w:rsid w:val="0042648C"/>
    <w:rsid w:val="0042703B"/>
    <w:rsid w:val="004274AB"/>
    <w:rsid w:val="0043295C"/>
    <w:rsid w:val="00435022"/>
    <w:rsid w:val="0043538F"/>
    <w:rsid w:val="0044071E"/>
    <w:rsid w:val="0044329C"/>
    <w:rsid w:val="004449B9"/>
    <w:rsid w:val="00446426"/>
    <w:rsid w:val="00453973"/>
    <w:rsid w:val="00453E24"/>
    <w:rsid w:val="004561EA"/>
    <w:rsid w:val="00456428"/>
    <w:rsid w:val="00457456"/>
    <w:rsid w:val="004577FE"/>
    <w:rsid w:val="00457B9C"/>
    <w:rsid w:val="0046164A"/>
    <w:rsid w:val="00461EA8"/>
    <w:rsid w:val="004628D2"/>
    <w:rsid w:val="00462DCD"/>
    <w:rsid w:val="00463C18"/>
    <w:rsid w:val="004646C2"/>
    <w:rsid w:val="004648AD"/>
    <w:rsid w:val="00467DFF"/>
    <w:rsid w:val="004703A9"/>
    <w:rsid w:val="00471E33"/>
    <w:rsid w:val="004760DE"/>
    <w:rsid w:val="004763D7"/>
    <w:rsid w:val="004779A0"/>
    <w:rsid w:val="004806FC"/>
    <w:rsid w:val="00484DA4"/>
    <w:rsid w:val="00486231"/>
    <w:rsid w:val="00490771"/>
    <w:rsid w:val="00493EF4"/>
    <w:rsid w:val="004953F7"/>
    <w:rsid w:val="004A004E"/>
    <w:rsid w:val="004A24CF"/>
    <w:rsid w:val="004A5E57"/>
    <w:rsid w:val="004A7908"/>
    <w:rsid w:val="004A7EAF"/>
    <w:rsid w:val="004B28BF"/>
    <w:rsid w:val="004B7D16"/>
    <w:rsid w:val="004C194F"/>
    <w:rsid w:val="004C2953"/>
    <w:rsid w:val="004C3D1D"/>
    <w:rsid w:val="004C3D84"/>
    <w:rsid w:val="004C63F1"/>
    <w:rsid w:val="004C6BD0"/>
    <w:rsid w:val="004C786E"/>
    <w:rsid w:val="004C7913"/>
    <w:rsid w:val="004D0F8A"/>
    <w:rsid w:val="004D39E5"/>
    <w:rsid w:val="004E042C"/>
    <w:rsid w:val="004E1D1E"/>
    <w:rsid w:val="004E4DD6"/>
    <w:rsid w:val="004E7C6A"/>
    <w:rsid w:val="004F1B8F"/>
    <w:rsid w:val="004F385C"/>
    <w:rsid w:val="004F5E36"/>
    <w:rsid w:val="00501D53"/>
    <w:rsid w:val="005034F8"/>
    <w:rsid w:val="0050428B"/>
    <w:rsid w:val="00504951"/>
    <w:rsid w:val="00507B47"/>
    <w:rsid w:val="00507BEF"/>
    <w:rsid w:val="00507CC9"/>
    <w:rsid w:val="005119A5"/>
    <w:rsid w:val="0051259E"/>
    <w:rsid w:val="00512FA7"/>
    <w:rsid w:val="0051380B"/>
    <w:rsid w:val="00521697"/>
    <w:rsid w:val="005278B7"/>
    <w:rsid w:val="0053002A"/>
    <w:rsid w:val="00531615"/>
    <w:rsid w:val="00531962"/>
    <w:rsid w:val="00532016"/>
    <w:rsid w:val="005346C8"/>
    <w:rsid w:val="00536579"/>
    <w:rsid w:val="0053760F"/>
    <w:rsid w:val="005411D9"/>
    <w:rsid w:val="00542F28"/>
    <w:rsid w:val="00543E7D"/>
    <w:rsid w:val="0054478E"/>
    <w:rsid w:val="00545249"/>
    <w:rsid w:val="00546ABF"/>
    <w:rsid w:val="00546E8E"/>
    <w:rsid w:val="005471E2"/>
    <w:rsid w:val="00547A68"/>
    <w:rsid w:val="005520C9"/>
    <w:rsid w:val="00552239"/>
    <w:rsid w:val="005531C9"/>
    <w:rsid w:val="0055366D"/>
    <w:rsid w:val="00555790"/>
    <w:rsid w:val="0055656F"/>
    <w:rsid w:val="00556B9B"/>
    <w:rsid w:val="0055744E"/>
    <w:rsid w:val="00560862"/>
    <w:rsid w:val="00563B75"/>
    <w:rsid w:val="00563D8C"/>
    <w:rsid w:val="005654AF"/>
    <w:rsid w:val="00570C43"/>
    <w:rsid w:val="005759B8"/>
    <w:rsid w:val="00576C14"/>
    <w:rsid w:val="00577D66"/>
    <w:rsid w:val="0058181B"/>
    <w:rsid w:val="005842EF"/>
    <w:rsid w:val="00584D07"/>
    <w:rsid w:val="00585D5A"/>
    <w:rsid w:val="00586D77"/>
    <w:rsid w:val="00592274"/>
    <w:rsid w:val="00594195"/>
    <w:rsid w:val="00595037"/>
    <w:rsid w:val="005A0F08"/>
    <w:rsid w:val="005A116D"/>
    <w:rsid w:val="005A3A5A"/>
    <w:rsid w:val="005B038B"/>
    <w:rsid w:val="005B134D"/>
    <w:rsid w:val="005B1E0D"/>
    <w:rsid w:val="005B1FB3"/>
    <w:rsid w:val="005B2110"/>
    <w:rsid w:val="005B476A"/>
    <w:rsid w:val="005B5F88"/>
    <w:rsid w:val="005B6027"/>
    <w:rsid w:val="005B61E6"/>
    <w:rsid w:val="005C11E1"/>
    <w:rsid w:val="005C22F9"/>
    <w:rsid w:val="005C3230"/>
    <w:rsid w:val="005C77E1"/>
    <w:rsid w:val="005D4566"/>
    <w:rsid w:val="005D5F97"/>
    <w:rsid w:val="005D6610"/>
    <w:rsid w:val="005D668A"/>
    <w:rsid w:val="005D6A2F"/>
    <w:rsid w:val="005E0592"/>
    <w:rsid w:val="005E09EA"/>
    <w:rsid w:val="005E0D7C"/>
    <w:rsid w:val="005E1973"/>
    <w:rsid w:val="005E1A82"/>
    <w:rsid w:val="005E3665"/>
    <w:rsid w:val="005E3FA8"/>
    <w:rsid w:val="005E4EC6"/>
    <w:rsid w:val="005E675B"/>
    <w:rsid w:val="005E6CA6"/>
    <w:rsid w:val="005E794C"/>
    <w:rsid w:val="005E7BB7"/>
    <w:rsid w:val="005F0A28"/>
    <w:rsid w:val="005F0E5E"/>
    <w:rsid w:val="005F1A15"/>
    <w:rsid w:val="005F2C67"/>
    <w:rsid w:val="00600535"/>
    <w:rsid w:val="006017A0"/>
    <w:rsid w:val="00602031"/>
    <w:rsid w:val="00602B4A"/>
    <w:rsid w:val="00605AAE"/>
    <w:rsid w:val="00605D16"/>
    <w:rsid w:val="006062EE"/>
    <w:rsid w:val="006076E3"/>
    <w:rsid w:val="006102F8"/>
    <w:rsid w:val="00610B61"/>
    <w:rsid w:val="00610BF2"/>
    <w:rsid w:val="00610CD6"/>
    <w:rsid w:val="00611869"/>
    <w:rsid w:val="00612B74"/>
    <w:rsid w:val="006144BD"/>
    <w:rsid w:val="00620DEE"/>
    <w:rsid w:val="00621289"/>
    <w:rsid w:val="00621ED7"/>
    <w:rsid w:val="00621F92"/>
    <w:rsid w:val="0062280A"/>
    <w:rsid w:val="006230D9"/>
    <w:rsid w:val="006231E1"/>
    <w:rsid w:val="00625639"/>
    <w:rsid w:val="00625A2E"/>
    <w:rsid w:val="00627F92"/>
    <w:rsid w:val="00631B33"/>
    <w:rsid w:val="00635A41"/>
    <w:rsid w:val="00637CEC"/>
    <w:rsid w:val="0064020A"/>
    <w:rsid w:val="0064184D"/>
    <w:rsid w:val="006422CC"/>
    <w:rsid w:val="00645D5F"/>
    <w:rsid w:val="006460E4"/>
    <w:rsid w:val="00651D18"/>
    <w:rsid w:val="00657FEB"/>
    <w:rsid w:val="00660914"/>
    <w:rsid w:val="00660E3E"/>
    <w:rsid w:val="00662E74"/>
    <w:rsid w:val="00663204"/>
    <w:rsid w:val="0066357E"/>
    <w:rsid w:val="00664F9F"/>
    <w:rsid w:val="00680773"/>
    <w:rsid w:val="00680C23"/>
    <w:rsid w:val="00680E6D"/>
    <w:rsid w:val="00680F70"/>
    <w:rsid w:val="00683E23"/>
    <w:rsid w:val="00686E66"/>
    <w:rsid w:val="0068773E"/>
    <w:rsid w:val="006927C1"/>
    <w:rsid w:val="0069335F"/>
    <w:rsid w:val="00693766"/>
    <w:rsid w:val="00694B58"/>
    <w:rsid w:val="00694EE9"/>
    <w:rsid w:val="00697D84"/>
    <w:rsid w:val="006A0E00"/>
    <w:rsid w:val="006A3281"/>
    <w:rsid w:val="006A3DDC"/>
    <w:rsid w:val="006A4191"/>
    <w:rsid w:val="006A47EB"/>
    <w:rsid w:val="006A5E09"/>
    <w:rsid w:val="006B1FEE"/>
    <w:rsid w:val="006B29B1"/>
    <w:rsid w:val="006B4888"/>
    <w:rsid w:val="006B4B56"/>
    <w:rsid w:val="006B53F7"/>
    <w:rsid w:val="006C1E63"/>
    <w:rsid w:val="006C2E45"/>
    <w:rsid w:val="006C359C"/>
    <w:rsid w:val="006C5579"/>
    <w:rsid w:val="006D013E"/>
    <w:rsid w:val="006D25A8"/>
    <w:rsid w:val="006D4C0C"/>
    <w:rsid w:val="006D6E8B"/>
    <w:rsid w:val="006D70EC"/>
    <w:rsid w:val="006D7209"/>
    <w:rsid w:val="006E31E1"/>
    <w:rsid w:val="006E4309"/>
    <w:rsid w:val="006E48DC"/>
    <w:rsid w:val="006E5881"/>
    <w:rsid w:val="006E69AD"/>
    <w:rsid w:val="006E737D"/>
    <w:rsid w:val="006F09BB"/>
    <w:rsid w:val="006F1C79"/>
    <w:rsid w:val="006F7454"/>
    <w:rsid w:val="006F7D13"/>
    <w:rsid w:val="007017D7"/>
    <w:rsid w:val="00707DD1"/>
    <w:rsid w:val="00713973"/>
    <w:rsid w:val="00715732"/>
    <w:rsid w:val="00717F26"/>
    <w:rsid w:val="00720A24"/>
    <w:rsid w:val="0073057C"/>
    <w:rsid w:val="00732386"/>
    <w:rsid w:val="0073409E"/>
    <w:rsid w:val="0073514D"/>
    <w:rsid w:val="007447F3"/>
    <w:rsid w:val="0074637E"/>
    <w:rsid w:val="00746799"/>
    <w:rsid w:val="00753F67"/>
    <w:rsid w:val="0075499F"/>
    <w:rsid w:val="00760D05"/>
    <w:rsid w:val="007617CC"/>
    <w:rsid w:val="007661C8"/>
    <w:rsid w:val="00767C64"/>
    <w:rsid w:val="00767E35"/>
    <w:rsid w:val="007702E1"/>
    <w:rsid w:val="0077098D"/>
    <w:rsid w:val="00771B0A"/>
    <w:rsid w:val="00785BF9"/>
    <w:rsid w:val="00790833"/>
    <w:rsid w:val="007931FA"/>
    <w:rsid w:val="007A4861"/>
    <w:rsid w:val="007A5D0C"/>
    <w:rsid w:val="007A7BBA"/>
    <w:rsid w:val="007B0C50"/>
    <w:rsid w:val="007B10DD"/>
    <w:rsid w:val="007B484B"/>
    <w:rsid w:val="007B48F9"/>
    <w:rsid w:val="007B7EB9"/>
    <w:rsid w:val="007C135A"/>
    <w:rsid w:val="007C1A43"/>
    <w:rsid w:val="007C257F"/>
    <w:rsid w:val="007C26D0"/>
    <w:rsid w:val="007D0951"/>
    <w:rsid w:val="007D11B2"/>
    <w:rsid w:val="007D4139"/>
    <w:rsid w:val="007D65DA"/>
    <w:rsid w:val="007D6781"/>
    <w:rsid w:val="007D7D60"/>
    <w:rsid w:val="007E18F3"/>
    <w:rsid w:val="007E1D5D"/>
    <w:rsid w:val="007F17CD"/>
    <w:rsid w:val="007F27C8"/>
    <w:rsid w:val="007F4C71"/>
    <w:rsid w:val="0080013E"/>
    <w:rsid w:val="00806DF0"/>
    <w:rsid w:val="00813288"/>
    <w:rsid w:val="008146A7"/>
    <w:rsid w:val="008151AD"/>
    <w:rsid w:val="008168FC"/>
    <w:rsid w:val="00817232"/>
    <w:rsid w:val="008272AF"/>
    <w:rsid w:val="00827D40"/>
    <w:rsid w:val="00830996"/>
    <w:rsid w:val="008314D7"/>
    <w:rsid w:val="008345F1"/>
    <w:rsid w:val="00836D54"/>
    <w:rsid w:val="008370BA"/>
    <w:rsid w:val="00837826"/>
    <w:rsid w:val="00837C8B"/>
    <w:rsid w:val="00844F23"/>
    <w:rsid w:val="00851D24"/>
    <w:rsid w:val="0085494A"/>
    <w:rsid w:val="0086275C"/>
    <w:rsid w:val="008627AC"/>
    <w:rsid w:val="00863315"/>
    <w:rsid w:val="00864DF4"/>
    <w:rsid w:val="00865B07"/>
    <w:rsid w:val="008667EA"/>
    <w:rsid w:val="0086755D"/>
    <w:rsid w:val="008747B8"/>
    <w:rsid w:val="00874ADA"/>
    <w:rsid w:val="0087637F"/>
    <w:rsid w:val="0088401D"/>
    <w:rsid w:val="00884B47"/>
    <w:rsid w:val="00892AD5"/>
    <w:rsid w:val="0089337E"/>
    <w:rsid w:val="00894349"/>
    <w:rsid w:val="008A1329"/>
    <w:rsid w:val="008A1512"/>
    <w:rsid w:val="008B0222"/>
    <w:rsid w:val="008B2D0D"/>
    <w:rsid w:val="008B38B7"/>
    <w:rsid w:val="008B45AC"/>
    <w:rsid w:val="008B495D"/>
    <w:rsid w:val="008B5C4B"/>
    <w:rsid w:val="008B7E82"/>
    <w:rsid w:val="008C6150"/>
    <w:rsid w:val="008D32B9"/>
    <w:rsid w:val="008D433B"/>
    <w:rsid w:val="008D4A16"/>
    <w:rsid w:val="008E0900"/>
    <w:rsid w:val="008E209A"/>
    <w:rsid w:val="008E33E8"/>
    <w:rsid w:val="008E38A9"/>
    <w:rsid w:val="008E45BC"/>
    <w:rsid w:val="008E566E"/>
    <w:rsid w:val="008E5A69"/>
    <w:rsid w:val="008E5ACB"/>
    <w:rsid w:val="008E7737"/>
    <w:rsid w:val="008E7842"/>
    <w:rsid w:val="008E7C8C"/>
    <w:rsid w:val="008F1466"/>
    <w:rsid w:val="008F34A9"/>
    <w:rsid w:val="0090161A"/>
    <w:rsid w:val="00901662"/>
    <w:rsid w:val="00901EB6"/>
    <w:rsid w:val="009041F8"/>
    <w:rsid w:val="00904C62"/>
    <w:rsid w:val="0090680D"/>
    <w:rsid w:val="00906B12"/>
    <w:rsid w:val="00907A26"/>
    <w:rsid w:val="00907FC6"/>
    <w:rsid w:val="0091009F"/>
    <w:rsid w:val="00914CF3"/>
    <w:rsid w:val="00916C14"/>
    <w:rsid w:val="00922BA8"/>
    <w:rsid w:val="00924DAC"/>
    <w:rsid w:val="00927058"/>
    <w:rsid w:val="00930D2A"/>
    <w:rsid w:val="00931F50"/>
    <w:rsid w:val="00936469"/>
    <w:rsid w:val="00936D5E"/>
    <w:rsid w:val="009417AB"/>
    <w:rsid w:val="00942496"/>
    <w:rsid w:val="00942750"/>
    <w:rsid w:val="009450CE"/>
    <w:rsid w:val="009450E5"/>
    <w:rsid w:val="009459BB"/>
    <w:rsid w:val="00946FAB"/>
    <w:rsid w:val="00947179"/>
    <w:rsid w:val="0095164B"/>
    <w:rsid w:val="00953223"/>
    <w:rsid w:val="00953C70"/>
    <w:rsid w:val="00954090"/>
    <w:rsid w:val="00955161"/>
    <w:rsid w:val="00955BEA"/>
    <w:rsid w:val="00956D1C"/>
    <w:rsid w:val="009573E7"/>
    <w:rsid w:val="00962B85"/>
    <w:rsid w:val="00963E05"/>
    <w:rsid w:val="009642A8"/>
    <w:rsid w:val="0096473C"/>
    <w:rsid w:val="00964A45"/>
    <w:rsid w:val="00966122"/>
    <w:rsid w:val="00967843"/>
    <w:rsid w:val="00967D3B"/>
    <w:rsid w:val="00967D54"/>
    <w:rsid w:val="00971028"/>
    <w:rsid w:val="009717D4"/>
    <w:rsid w:val="009753C9"/>
    <w:rsid w:val="009755D2"/>
    <w:rsid w:val="00975F15"/>
    <w:rsid w:val="00986A8C"/>
    <w:rsid w:val="00986C91"/>
    <w:rsid w:val="009928FC"/>
    <w:rsid w:val="00992C8B"/>
    <w:rsid w:val="00993B84"/>
    <w:rsid w:val="00996483"/>
    <w:rsid w:val="00996F5A"/>
    <w:rsid w:val="009978A9"/>
    <w:rsid w:val="00997D32"/>
    <w:rsid w:val="009A0A18"/>
    <w:rsid w:val="009A60BA"/>
    <w:rsid w:val="009A7F84"/>
    <w:rsid w:val="009B041A"/>
    <w:rsid w:val="009B185C"/>
    <w:rsid w:val="009B3D1C"/>
    <w:rsid w:val="009B4E42"/>
    <w:rsid w:val="009C0C3C"/>
    <w:rsid w:val="009C235C"/>
    <w:rsid w:val="009C253B"/>
    <w:rsid w:val="009C37C3"/>
    <w:rsid w:val="009C470A"/>
    <w:rsid w:val="009C768C"/>
    <w:rsid w:val="009C7C86"/>
    <w:rsid w:val="009D00B3"/>
    <w:rsid w:val="009D2FF7"/>
    <w:rsid w:val="009D5A64"/>
    <w:rsid w:val="009E7884"/>
    <w:rsid w:val="009E788A"/>
    <w:rsid w:val="009F0E08"/>
    <w:rsid w:val="009F5B57"/>
    <w:rsid w:val="00A00F0B"/>
    <w:rsid w:val="00A071AE"/>
    <w:rsid w:val="00A0727E"/>
    <w:rsid w:val="00A079AE"/>
    <w:rsid w:val="00A07C80"/>
    <w:rsid w:val="00A07E7E"/>
    <w:rsid w:val="00A10288"/>
    <w:rsid w:val="00A1060B"/>
    <w:rsid w:val="00A11462"/>
    <w:rsid w:val="00A11D57"/>
    <w:rsid w:val="00A1379F"/>
    <w:rsid w:val="00A14701"/>
    <w:rsid w:val="00A1692B"/>
    <w:rsid w:val="00A1763D"/>
    <w:rsid w:val="00A17CEC"/>
    <w:rsid w:val="00A2398E"/>
    <w:rsid w:val="00A2463B"/>
    <w:rsid w:val="00A250E7"/>
    <w:rsid w:val="00A26CBB"/>
    <w:rsid w:val="00A276FF"/>
    <w:rsid w:val="00A27EF0"/>
    <w:rsid w:val="00A36E9B"/>
    <w:rsid w:val="00A37015"/>
    <w:rsid w:val="00A374DC"/>
    <w:rsid w:val="00A42298"/>
    <w:rsid w:val="00A42361"/>
    <w:rsid w:val="00A42764"/>
    <w:rsid w:val="00A42AAD"/>
    <w:rsid w:val="00A45861"/>
    <w:rsid w:val="00A50505"/>
    <w:rsid w:val="00A505D3"/>
    <w:rsid w:val="00A50905"/>
    <w:rsid w:val="00A50B20"/>
    <w:rsid w:val="00A51390"/>
    <w:rsid w:val="00A518C7"/>
    <w:rsid w:val="00A5243C"/>
    <w:rsid w:val="00A53C4D"/>
    <w:rsid w:val="00A561BE"/>
    <w:rsid w:val="00A60D13"/>
    <w:rsid w:val="00A664D7"/>
    <w:rsid w:val="00A7223D"/>
    <w:rsid w:val="00A72745"/>
    <w:rsid w:val="00A76EFC"/>
    <w:rsid w:val="00A807EC"/>
    <w:rsid w:val="00A81CD0"/>
    <w:rsid w:val="00A849FE"/>
    <w:rsid w:val="00A864CE"/>
    <w:rsid w:val="00A87D50"/>
    <w:rsid w:val="00A91010"/>
    <w:rsid w:val="00A97F29"/>
    <w:rsid w:val="00AA093A"/>
    <w:rsid w:val="00AA1CC8"/>
    <w:rsid w:val="00AA23DF"/>
    <w:rsid w:val="00AA4440"/>
    <w:rsid w:val="00AA448D"/>
    <w:rsid w:val="00AA50BD"/>
    <w:rsid w:val="00AA702E"/>
    <w:rsid w:val="00AA7474"/>
    <w:rsid w:val="00AA7642"/>
    <w:rsid w:val="00AA7D26"/>
    <w:rsid w:val="00AB0964"/>
    <w:rsid w:val="00AB298F"/>
    <w:rsid w:val="00AB3021"/>
    <w:rsid w:val="00AB5011"/>
    <w:rsid w:val="00AB7B93"/>
    <w:rsid w:val="00AC2E71"/>
    <w:rsid w:val="00AC3E47"/>
    <w:rsid w:val="00AC6518"/>
    <w:rsid w:val="00AC7368"/>
    <w:rsid w:val="00AC77EA"/>
    <w:rsid w:val="00AC7C7B"/>
    <w:rsid w:val="00AD0278"/>
    <w:rsid w:val="00AD16B9"/>
    <w:rsid w:val="00AD7DB7"/>
    <w:rsid w:val="00AE091D"/>
    <w:rsid w:val="00AE377D"/>
    <w:rsid w:val="00AE3BB4"/>
    <w:rsid w:val="00AF0EBA"/>
    <w:rsid w:val="00AF4596"/>
    <w:rsid w:val="00B00B3A"/>
    <w:rsid w:val="00B02C8A"/>
    <w:rsid w:val="00B03B9C"/>
    <w:rsid w:val="00B04627"/>
    <w:rsid w:val="00B07DD3"/>
    <w:rsid w:val="00B1188D"/>
    <w:rsid w:val="00B135FD"/>
    <w:rsid w:val="00B14DA7"/>
    <w:rsid w:val="00B160D0"/>
    <w:rsid w:val="00B17FBD"/>
    <w:rsid w:val="00B20FD1"/>
    <w:rsid w:val="00B22689"/>
    <w:rsid w:val="00B23E6E"/>
    <w:rsid w:val="00B23F83"/>
    <w:rsid w:val="00B244B9"/>
    <w:rsid w:val="00B25FFF"/>
    <w:rsid w:val="00B26C00"/>
    <w:rsid w:val="00B27850"/>
    <w:rsid w:val="00B315A6"/>
    <w:rsid w:val="00B31813"/>
    <w:rsid w:val="00B33365"/>
    <w:rsid w:val="00B3440B"/>
    <w:rsid w:val="00B35E09"/>
    <w:rsid w:val="00B36893"/>
    <w:rsid w:val="00B416FD"/>
    <w:rsid w:val="00B43EF1"/>
    <w:rsid w:val="00B45119"/>
    <w:rsid w:val="00B457ED"/>
    <w:rsid w:val="00B5342A"/>
    <w:rsid w:val="00B5799E"/>
    <w:rsid w:val="00B57B36"/>
    <w:rsid w:val="00B57E6F"/>
    <w:rsid w:val="00B60F1C"/>
    <w:rsid w:val="00B6102F"/>
    <w:rsid w:val="00B70999"/>
    <w:rsid w:val="00B73C7B"/>
    <w:rsid w:val="00B8344B"/>
    <w:rsid w:val="00B84222"/>
    <w:rsid w:val="00B86209"/>
    <w:rsid w:val="00B8686D"/>
    <w:rsid w:val="00B92A2D"/>
    <w:rsid w:val="00B93F69"/>
    <w:rsid w:val="00B95F2A"/>
    <w:rsid w:val="00B97E15"/>
    <w:rsid w:val="00BA26A6"/>
    <w:rsid w:val="00BA55C0"/>
    <w:rsid w:val="00BB1BDF"/>
    <w:rsid w:val="00BB1DDC"/>
    <w:rsid w:val="00BC1DF5"/>
    <w:rsid w:val="00BC2B4B"/>
    <w:rsid w:val="00BC30C9"/>
    <w:rsid w:val="00BC3F9A"/>
    <w:rsid w:val="00BC6C7F"/>
    <w:rsid w:val="00BD077D"/>
    <w:rsid w:val="00BD2BED"/>
    <w:rsid w:val="00BD433E"/>
    <w:rsid w:val="00BE1433"/>
    <w:rsid w:val="00BE2B21"/>
    <w:rsid w:val="00BE3E58"/>
    <w:rsid w:val="00BE619F"/>
    <w:rsid w:val="00BE65EF"/>
    <w:rsid w:val="00BF1299"/>
    <w:rsid w:val="00BF37A3"/>
    <w:rsid w:val="00C008C7"/>
    <w:rsid w:val="00C010B1"/>
    <w:rsid w:val="00C01616"/>
    <w:rsid w:val="00C0162B"/>
    <w:rsid w:val="00C01F62"/>
    <w:rsid w:val="00C04254"/>
    <w:rsid w:val="00C068ED"/>
    <w:rsid w:val="00C12753"/>
    <w:rsid w:val="00C1512A"/>
    <w:rsid w:val="00C17398"/>
    <w:rsid w:val="00C20137"/>
    <w:rsid w:val="00C208E9"/>
    <w:rsid w:val="00C2182F"/>
    <w:rsid w:val="00C22E0C"/>
    <w:rsid w:val="00C24272"/>
    <w:rsid w:val="00C24717"/>
    <w:rsid w:val="00C27A81"/>
    <w:rsid w:val="00C3110F"/>
    <w:rsid w:val="00C3124E"/>
    <w:rsid w:val="00C32CF7"/>
    <w:rsid w:val="00C32E1B"/>
    <w:rsid w:val="00C33F3A"/>
    <w:rsid w:val="00C345B1"/>
    <w:rsid w:val="00C40142"/>
    <w:rsid w:val="00C449D8"/>
    <w:rsid w:val="00C4580A"/>
    <w:rsid w:val="00C45AE4"/>
    <w:rsid w:val="00C45BDB"/>
    <w:rsid w:val="00C471EE"/>
    <w:rsid w:val="00C51818"/>
    <w:rsid w:val="00C52757"/>
    <w:rsid w:val="00C52C3C"/>
    <w:rsid w:val="00C52D20"/>
    <w:rsid w:val="00C57182"/>
    <w:rsid w:val="00C57863"/>
    <w:rsid w:val="00C640AF"/>
    <w:rsid w:val="00C654B4"/>
    <w:rsid w:val="00C655FD"/>
    <w:rsid w:val="00C66282"/>
    <w:rsid w:val="00C722D3"/>
    <w:rsid w:val="00C75407"/>
    <w:rsid w:val="00C77839"/>
    <w:rsid w:val="00C83506"/>
    <w:rsid w:val="00C83741"/>
    <w:rsid w:val="00C83A35"/>
    <w:rsid w:val="00C841C6"/>
    <w:rsid w:val="00C84679"/>
    <w:rsid w:val="00C84FFD"/>
    <w:rsid w:val="00C870A8"/>
    <w:rsid w:val="00C90658"/>
    <w:rsid w:val="00C90F76"/>
    <w:rsid w:val="00C91942"/>
    <w:rsid w:val="00C93AB6"/>
    <w:rsid w:val="00C94434"/>
    <w:rsid w:val="00C953BE"/>
    <w:rsid w:val="00CA0D75"/>
    <w:rsid w:val="00CA1C95"/>
    <w:rsid w:val="00CA42D3"/>
    <w:rsid w:val="00CA5A9C"/>
    <w:rsid w:val="00CA7EDD"/>
    <w:rsid w:val="00CB10B8"/>
    <w:rsid w:val="00CB4089"/>
    <w:rsid w:val="00CB6A79"/>
    <w:rsid w:val="00CB6E97"/>
    <w:rsid w:val="00CC219C"/>
    <w:rsid w:val="00CC42DA"/>
    <w:rsid w:val="00CC4C20"/>
    <w:rsid w:val="00CC6285"/>
    <w:rsid w:val="00CC7F6B"/>
    <w:rsid w:val="00CD2C63"/>
    <w:rsid w:val="00CD3517"/>
    <w:rsid w:val="00CD5FE2"/>
    <w:rsid w:val="00CE0C99"/>
    <w:rsid w:val="00CE0FF4"/>
    <w:rsid w:val="00CE1730"/>
    <w:rsid w:val="00CE268C"/>
    <w:rsid w:val="00CE2E39"/>
    <w:rsid w:val="00CE7C68"/>
    <w:rsid w:val="00CE7D95"/>
    <w:rsid w:val="00CF06E3"/>
    <w:rsid w:val="00CF1679"/>
    <w:rsid w:val="00D00A19"/>
    <w:rsid w:val="00D02B4C"/>
    <w:rsid w:val="00D0373F"/>
    <w:rsid w:val="00D040C4"/>
    <w:rsid w:val="00D04B32"/>
    <w:rsid w:val="00D04E91"/>
    <w:rsid w:val="00D06512"/>
    <w:rsid w:val="00D11E5D"/>
    <w:rsid w:val="00D12A29"/>
    <w:rsid w:val="00D13757"/>
    <w:rsid w:val="00D20AD1"/>
    <w:rsid w:val="00D21C07"/>
    <w:rsid w:val="00D22BCB"/>
    <w:rsid w:val="00D23157"/>
    <w:rsid w:val="00D2582C"/>
    <w:rsid w:val="00D2646D"/>
    <w:rsid w:val="00D269E9"/>
    <w:rsid w:val="00D26B4C"/>
    <w:rsid w:val="00D32148"/>
    <w:rsid w:val="00D3275D"/>
    <w:rsid w:val="00D34233"/>
    <w:rsid w:val="00D41BB5"/>
    <w:rsid w:val="00D42591"/>
    <w:rsid w:val="00D46B7E"/>
    <w:rsid w:val="00D50993"/>
    <w:rsid w:val="00D57773"/>
    <w:rsid w:val="00D57C84"/>
    <w:rsid w:val="00D6057D"/>
    <w:rsid w:val="00D64EC6"/>
    <w:rsid w:val="00D71640"/>
    <w:rsid w:val="00D72049"/>
    <w:rsid w:val="00D74440"/>
    <w:rsid w:val="00D74A80"/>
    <w:rsid w:val="00D75CD9"/>
    <w:rsid w:val="00D818B7"/>
    <w:rsid w:val="00D836C5"/>
    <w:rsid w:val="00D84576"/>
    <w:rsid w:val="00D90E6C"/>
    <w:rsid w:val="00D91529"/>
    <w:rsid w:val="00D96999"/>
    <w:rsid w:val="00D975B3"/>
    <w:rsid w:val="00DA1399"/>
    <w:rsid w:val="00DA24C6"/>
    <w:rsid w:val="00DA2F3E"/>
    <w:rsid w:val="00DA3E39"/>
    <w:rsid w:val="00DA4D7B"/>
    <w:rsid w:val="00DA5325"/>
    <w:rsid w:val="00DB0B9E"/>
    <w:rsid w:val="00DB1AD2"/>
    <w:rsid w:val="00DB3038"/>
    <w:rsid w:val="00DB348E"/>
    <w:rsid w:val="00DB3850"/>
    <w:rsid w:val="00DB3A20"/>
    <w:rsid w:val="00DB6532"/>
    <w:rsid w:val="00DC5B39"/>
    <w:rsid w:val="00DC5ED1"/>
    <w:rsid w:val="00DD10CC"/>
    <w:rsid w:val="00DD20AF"/>
    <w:rsid w:val="00DD271C"/>
    <w:rsid w:val="00DE264A"/>
    <w:rsid w:val="00DE337E"/>
    <w:rsid w:val="00DE4BE5"/>
    <w:rsid w:val="00DE79A5"/>
    <w:rsid w:val="00DE7F90"/>
    <w:rsid w:val="00DF5072"/>
    <w:rsid w:val="00E0209E"/>
    <w:rsid w:val="00E02D18"/>
    <w:rsid w:val="00E03332"/>
    <w:rsid w:val="00E041E7"/>
    <w:rsid w:val="00E07AFA"/>
    <w:rsid w:val="00E1037A"/>
    <w:rsid w:val="00E1075E"/>
    <w:rsid w:val="00E118DC"/>
    <w:rsid w:val="00E12BFF"/>
    <w:rsid w:val="00E13DD1"/>
    <w:rsid w:val="00E14C35"/>
    <w:rsid w:val="00E23CA1"/>
    <w:rsid w:val="00E30AA9"/>
    <w:rsid w:val="00E30EBF"/>
    <w:rsid w:val="00E33BEC"/>
    <w:rsid w:val="00E33D65"/>
    <w:rsid w:val="00E370BB"/>
    <w:rsid w:val="00E402F5"/>
    <w:rsid w:val="00E409A8"/>
    <w:rsid w:val="00E44152"/>
    <w:rsid w:val="00E44F11"/>
    <w:rsid w:val="00E46B71"/>
    <w:rsid w:val="00E47D61"/>
    <w:rsid w:val="00E50A6A"/>
    <w:rsid w:val="00E50C12"/>
    <w:rsid w:val="00E60C2B"/>
    <w:rsid w:val="00E623B6"/>
    <w:rsid w:val="00E65207"/>
    <w:rsid w:val="00E65829"/>
    <w:rsid w:val="00E65B91"/>
    <w:rsid w:val="00E70F18"/>
    <w:rsid w:val="00E719F1"/>
    <w:rsid w:val="00E7209D"/>
    <w:rsid w:val="00E72EAD"/>
    <w:rsid w:val="00E732CF"/>
    <w:rsid w:val="00E768FC"/>
    <w:rsid w:val="00E77223"/>
    <w:rsid w:val="00E77465"/>
    <w:rsid w:val="00E8011F"/>
    <w:rsid w:val="00E80CEA"/>
    <w:rsid w:val="00E81ECD"/>
    <w:rsid w:val="00E82902"/>
    <w:rsid w:val="00E8528B"/>
    <w:rsid w:val="00E85B94"/>
    <w:rsid w:val="00E86304"/>
    <w:rsid w:val="00E924AD"/>
    <w:rsid w:val="00E95480"/>
    <w:rsid w:val="00E95AC6"/>
    <w:rsid w:val="00E978D0"/>
    <w:rsid w:val="00EA135B"/>
    <w:rsid w:val="00EA1414"/>
    <w:rsid w:val="00EA3EF9"/>
    <w:rsid w:val="00EA4613"/>
    <w:rsid w:val="00EA58C1"/>
    <w:rsid w:val="00EA7F91"/>
    <w:rsid w:val="00EB1523"/>
    <w:rsid w:val="00EB1E22"/>
    <w:rsid w:val="00EB27D0"/>
    <w:rsid w:val="00EB58AE"/>
    <w:rsid w:val="00EC0B60"/>
    <w:rsid w:val="00EC0E49"/>
    <w:rsid w:val="00EC101F"/>
    <w:rsid w:val="00EC1D9F"/>
    <w:rsid w:val="00ED1624"/>
    <w:rsid w:val="00ED1D12"/>
    <w:rsid w:val="00ED2C07"/>
    <w:rsid w:val="00ED52DE"/>
    <w:rsid w:val="00ED539A"/>
    <w:rsid w:val="00ED6B3E"/>
    <w:rsid w:val="00ED7959"/>
    <w:rsid w:val="00EE0131"/>
    <w:rsid w:val="00EE17B0"/>
    <w:rsid w:val="00EE632E"/>
    <w:rsid w:val="00EF06D9"/>
    <w:rsid w:val="00EF0982"/>
    <w:rsid w:val="00EF3A43"/>
    <w:rsid w:val="00EF432D"/>
    <w:rsid w:val="00F055A6"/>
    <w:rsid w:val="00F126A5"/>
    <w:rsid w:val="00F139F2"/>
    <w:rsid w:val="00F143D3"/>
    <w:rsid w:val="00F146B4"/>
    <w:rsid w:val="00F17FE3"/>
    <w:rsid w:val="00F203C9"/>
    <w:rsid w:val="00F21CBB"/>
    <w:rsid w:val="00F2383A"/>
    <w:rsid w:val="00F24FCA"/>
    <w:rsid w:val="00F3049E"/>
    <w:rsid w:val="00F30B47"/>
    <w:rsid w:val="00F30C64"/>
    <w:rsid w:val="00F32BA2"/>
    <w:rsid w:val="00F32CDB"/>
    <w:rsid w:val="00F3348F"/>
    <w:rsid w:val="00F3517C"/>
    <w:rsid w:val="00F3623A"/>
    <w:rsid w:val="00F37280"/>
    <w:rsid w:val="00F40AB3"/>
    <w:rsid w:val="00F41119"/>
    <w:rsid w:val="00F41EE4"/>
    <w:rsid w:val="00F51836"/>
    <w:rsid w:val="00F53ECA"/>
    <w:rsid w:val="00F565FE"/>
    <w:rsid w:val="00F630D8"/>
    <w:rsid w:val="00F63A70"/>
    <w:rsid w:val="00F63D8C"/>
    <w:rsid w:val="00F64BE6"/>
    <w:rsid w:val="00F72C27"/>
    <w:rsid w:val="00F7534E"/>
    <w:rsid w:val="00F759BB"/>
    <w:rsid w:val="00F7698F"/>
    <w:rsid w:val="00F824FB"/>
    <w:rsid w:val="00F93EDF"/>
    <w:rsid w:val="00F94DD6"/>
    <w:rsid w:val="00F954BD"/>
    <w:rsid w:val="00F9734E"/>
    <w:rsid w:val="00F97948"/>
    <w:rsid w:val="00FA15C0"/>
    <w:rsid w:val="00FA1802"/>
    <w:rsid w:val="00FA1F9E"/>
    <w:rsid w:val="00FA21D0"/>
    <w:rsid w:val="00FA3FE8"/>
    <w:rsid w:val="00FA535F"/>
    <w:rsid w:val="00FA5F5F"/>
    <w:rsid w:val="00FA619D"/>
    <w:rsid w:val="00FB05E2"/>
    <w:rsid w:val="00FB2853"/>
    <w:rsid w:val="00FB730C"/>
    <w:rsid w:val="00FC14DA"/>
    <w:rsid w:val="00FC1F77"/>
    <w:rsid w:val="00FC2569"/>
    <w:rsid w:val="00FC2695"/>
    <w:rsid w:val="00FC3E03"/>
    <w:rsid w:val="00FC3FC1"/>
    <w:rsid w:val="00FC6FC3"/>
    <w:rsid w:val="00FD14C1"/>
    <w:rsid w:val="00FD2116"/>
    <w:rsid w:val="00FD31AF"/>
    <w:rsid w:val="00FD668B"/>
    <w:rsid w:val="00FD7795"/>
    <w:rsid w:val="00FD78E6"/>
    <w:rsid w:val="00FD7EBA"/>
    <w:rsid w:val="00FE1C3E"/>
    <w:rsid w:val="00FE5070"/>
    <w:rsid w:val="00FF4101"/>
    <w:rsid w:val="00FF4F6E"/>
    <w:rsid w:val="00FF779C"/>
    <w:rsid w:val="0E882D98"/>
    <w:rsid w:val="1081C07D"/>
    <w:rsid w:val="13C159BA"/>
    <w:rsid w:val="2A094443"/>
    <w:rsid w:val="30A9BAF8"/>
    <w:rsid w:val="3E26DAFA"/>
    <w:rsid w:val="40E7EF4D"/>
    <w:rsid w:val="71D50C0C"/>
    <w:rsid w:val="7A2E60E5"/>
    <w:rsid w:val="7B71078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7C702D39-830E-4972-86D6-3B5C236A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164000"/>
    <w:pPr>
      <w:keepNext/>
      <w:suppressAutoHyphens/>
      <w:spacing w:before="120" w:after="120" w:line="240" w:lineRule="auto"/>
      <w:jc w:val="both"/>
    </w:pPr>
    <w:rPr>
      <w:rFonts w:ascii="Arial" w:eastAsia="Times New Roman" w:hAnsi="Arial" w:cs="Times New Roman"/>
      <w:bCs/>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164000"/>
    <w:rPr>
      <w:rFonts w:ascii="Arial" w:eastAsia="Times New Roman" w:hAnsi="Arial" w:cs="Times New Roman"/>
      <w:bCs/>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val="0"/>
      <w:bCs/>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157803"/>
    <w:rPr>
      <w:color w:val="605E5C"/>
      <w:shd w:val="clear" w:color="auto" w:fill="E1DFDD"/>
    </w:rPr>
  </w:style>
  <w:style w:type="character" w:customStyle="1" w:styleId="url">
    <w:name w:val="url"/>
    <w:basedOn w:val="DefaultParagraphFont"/>
    <w:rsid w:val="00FA1F9E"/>
  </w:style>
  <w:style w:type="character" w:styleId="Strong">
    <w:name w:val="Strong"/>
    <w:basedOn w:val="DefaultParagraphFont"/>
    <w:uiPriority w:val="22"/>
    <w:qFormat/>
    <w:rsid w:val="00501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5834">
      <w:bodyDiv w:val="1"/>
      <w:marLeft w:val="0"/>
      <w:marRight w:val="0"/>
      <w:marTop w:val="0"/>
      <w:marBottom w:val="0"/>
      <w:divBdr>
        <w:top w:val="none" w:sz="0" w:space="0" w:color="auto"/>
        <w:left w:val="none" w:sz="0" w:space="0" w:color="auto"/>
        <w:bottom w:val="none" w:sz="0" w:space="0" w:color="auto"/>
        <w:right w:val="none" w:sz="0" w:space="0" w:color="auto"/>
      </w:divBdr>
    </w:div>
    <w:div w:id="220797822">
      <w:bodyDiv w:val="1"/>
      <w:marLeft w:val="0"/>
      <w:marRight w:val="0"/>
      <w:marTop w:val="0"/>
      <w:marBottom w:val="0"/>
      <w:divBdr>
        <w:top w:val="none" w:sz="0" w:space="0" w:color="auto"/>
        <w:left w:val="none" w:sz="0" w:space="0" w:color="auto"/>
        <w:bottom w:val="none" w:sz="0" w:space="0" w:color="auto"/>
        <w:right w:val="none" w:sz="0" w:space="0" w:color="auto"/>
      </w:divBdr>
      <w:divsChild>
        <w:div w:id="1882479129">
          <w:marLeft w:val="-720"/>
          <w:marRight w:val="0"/>
          <w:marTop w:val="0"/>
          <w:marBottom w:val="0"/>
          <w:divBdr>
            <w:top w:val="none" w:sz="0" w:space="0" w:color="auto"/>
            <w:left w:val="none" w:sz="0" w:space="0" w:color="auto"/>
            <w:bottom w:val="none" w:sz="0" w:space="0" w:color="auto"/>
            <w:right w:val="none" w:sz="0" w:space="0" w:color="auto"/>
          </w:divBdr>
        </w:div>
      </w:divsChild>
    </w:div>
    <w:div w:id="245847912">
      <w:bodyDiv w:val="1"/>
      <w:marLeft w:val="0"/>
      <w:marRight w:val="0"/>
      <w:marTop w:val="0"/>
      <w:marBottom w:val="0"/>
      <w:divBdr>
        <w:top w:val="none" w:sz="0" w:space="0" w:color="auto"/>
        <w:left w:val="none" w:sz="0" w:space="0" w:color="auto"/>
        <w:bottom w:val="none" w:sz="0" w:space="0" w:color="auto"/>
        <w:right w:val="none" w:sz="0" w:space="0" w:color="auto"/>
      </w:divBdr>
    </w:div>
    <w:div w:id="330060602">
      <w:bodyDiv w:val="1"/>
      <w:marLeft w:val="0"/>
      <w:marRight w:val="0"/>
      <w:marTop w:val="0"/>
      <w:marBottom w:val="0"/>
      <w:divBdr>
        <w:top w:val="none" w:sz="0" w:space="0" w:color="auto"/>
        <w:left w:val="none" w:sz="0" w:space="0" w:color="auto"/>
        <w:bottom w:val="none" w:sz="0" w:space="0" w:color="auto"/>
        <w:right w:val="none" w:sz="0" w:space="0" w:color="auto"/>
      </w:divBdr>
    </w:div>
    <w:div w:id="698360531">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657811">
      <w:bodyDiv w:val="1"/>
      <w:marLeft w:val="0"/>
      <w:marRight w:val="0"/>
      <w:marTop w:val="0"/>
      <w:marBottom w:val="0"/>
      <w:divBdr>
        <w:top w:val="none" w:sz="0" w:space="0" w:color="auto"/>
        <w:left w:val="none" w:sz="0" w:space="0" w:color="auto"/>
        <w:bottom w:val="none" w:sz="0" w:space="0" w:color="auto"/>
        <w:right w:val="none" w:sz="0" w:space="0" w:color="auto"/>
      </w:divBdr>
    </w:div>
    <w:div w:id="90467840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44357">
      <w:bodyDiv w:val="1"/>
      <w:marLeft w:val="0"/>
      <w:marRight w:val="0"/>
      <w:marTop w:val="0"/>
      <w:marBottom w:val="0"/>
      <w:divBdr>
        <w:top w:val="none" w:sz="0" w:space="0" w:color="auto"/>
        <w:left w:val="none" w:sz="0" w:space="0" w:color="auto"/>
        <w:bottom w:val="none" w:sz="0" w:space="0" w:color="auto"/>
        <w:right w:val="none" w:sz="0" w:space="0" w:color="auto"/>
      </w:divBdr>
    </w:div>
    <w:div w:id="1170103051">
      <w:bodyDiv w:val="1"/>
      <w:marLeft w:val="0"/>
      <w:marRight w:val="0"/>
      <w:marTop w:val="0"/>
      <w:marBottom w:val="0"/>
      <w:divBdr>
        <w:top w:val="none" w:sz="0" w:space="0" w:color="auto"/>
        <w:left w:val="none" w:sz="0" w:space="0" w:color="auto"/>
        <w:bottom w:val="none" w:sz="0" w:space="0" w:color="auto"/>
        <w:right w:val="none" w:sz="0" w:space="0" w:color="auto"/>
      </w:divBdr>
      <w:divsChild>
        <w:div w:id="1368070297">
          <w:marLeft w:val="-720"/>
          <w:marRight w:val="0"/>
          <w:marTop w:val="0"/>
          <w:marBottom w:val="0"/>
          <w:divBdr>
            <w:top w:val="none" w:sz="0" w:space="0" w:color="auto"/>
            <w:left w:val="none" w:sz="0" w:space="0" w:color="auto"/>
            <w:bottom w:val="none" w:sz="0" w:space="0" w:color="auto"/>
            <w:right w:val="none" w:sz="0" w:space="0" w:color="auto"/>
          </w:divBdr>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04254523">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22627722">
      <w:bodyDiv w:val="1"/>
      <w:marLeft w:val="0"/>
      <w:marRight w:val="0"/>
      <w:marTop w:val="0"/>
      <w:marBottom w:val="0"/>
      <w:divBdr>
        <w:top w:val="none" w:sz="0" w:space="0" w:color="auto"/>
        <w:left w:val="none" w:sz="0" w:space="0" w:color="auto"/>
        <w:bottom w:val="none" w:sz="0" w:space="0" w:color="auto"/>
        <w:right w:val="none" w:sz="0" w:space="0" w:color="auto"/>
      </w:divBdr>
    </w:div>
    <w:div w:id="1525553632">
      <w:bodyDiv w:val="1"/>
      <w:marLeft w:val="0"/>
      <w:marRight w:val="0"/>
      <w:marTop w:val="0"/>
      <w:marBottom w:val="0"/>
      <w:divBdr>
        <w:top w:val="none" w:sz="0" w:space="0" w:color="auto"/>
        <w:left w:val="none" w:sz="0" w:space="0" w:color="auto"/>
        <w:bottom w:val="none" w:sz="0" w:space="0" w:color="auto"/>
        <w:right w:val="none" w:sz="0" w:space="0" w:color="auto"/>
      </w:divBdr>
    </w:div>
    <w:div w:id="1547527537">
      <w:bodyDiv w:val="1"/>
      <w:marLeft w:val="0"/>
      <w:marRight w:val="0"/>
      <w:marTop w:val="0"/>
      <w:marBottom w:val="0"/>
      <w:divBdr>
        <w:top w:val="none" w:sz="0" w:space="0" w:color="auto"/>
        <w:left w:val="none" w:sz="0" w:space="0" w:color="auto"/>
        <w:bottom w:val="none" w:sz="0" w:space="0" w:color="auto"/>
        <w:right w:val="none" w:sz="0" w:space="0" w:color="auto"/>
      </w:divBdr>
    </w:div>
    <w:div w:id="1643927486">
      <w:bodyDiv w:val="1"/>
      <w:marLeft w:val="0"/>
      <w:marRight w:val="0"/>
      <w:marTop w:val="0"/>
      <w:marBottom w:val="0"/>
      <w:divBdr>
        <w:top w:val="none" w:sz="0" w:space="0" w:color="auto"/>
        <w:left w:val="none" w:sz="0" w:space="0" w:color="auto"/>
        <w:bottom w:val="none" w:sz="0" w:space="0" w:color="auto"/>
        <w:right w:val="none" w:sz="0" w:space="0" w:color="auto"/>
      </w:divBdr>
    </w:div>
    <w:div w:id="1678383076">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0724">
      <w:bodyDiv w:val="1"/>
      <w:marLeft w:val="0"/>
      <w:marRight w:val="0"/>
      <w:marTop w:val="0"/>
      <w:marBottom w:val="0"/>
      <w:divBdr>
        <w:top w:val="none" w:sz="0" w:space="0" w:color="auto"/>
        <w:left w:val="none" w:sz="0" w:space="0" w:color="auto"/>
        <w:bottom w:val="none" w:sz="0" w:space="0" w:color="auto"/>
        <w:right w:val="none" w:sz="0" w:space="0" w:color="auto"/>
      </w:divBdr>
    </w:div>
    <w:div w:id="2021393957">
      <w:bodyDiv w:val="1"/>
      <w:marLeft w:val="0"/>
      <w:marRight w:val="0"/>
      <w:marTop w:val="0"/>
      <w:marBottom w:val="0"/>
      <w:divBdr>
        <w:top w:val="none" w:sz="0" w:space="0" w:color="auto"/>
        <w:left w:val="none" w:sz="0" w:space="0" w:color="auto"/>
        <w:bottom w:val="none" w:sz="0" w:space="0" w:color="auto"/>
        <w:right w:val="none" w:sz="0" w:space="0" w:color="auto"/>
      </w:divBdr>
    </w:div>
    <w:div w:id="2033611052">
      <w:bodyDiv w:val="1"/>
      <w:marLeft w:val="0"/>
      <w:marRight w:val="0"/>
      <w:marTop w:val="0"/>
      <w:marBottom w:val="0"/>
      <w:divBdr>
        <w:top w:val="none" w:sz="0" w:space="0" w:color="auto"/>
        <w:left w:val="none" w:sz="0" w:space="0" w:color="auto"/>
        <w:bottom w:val="none" w:sz="0" w:space="0" w:color="auto"/>
        <w:right w:val="none" w:sz="0" w:space="0" w:color="auto"/>
      </w:divBdr>
    </w:div>
    <w:div w:id="2060861123">
      <w:bodyDiv w:val="1"/>
      <w:marLeft w:val="0"/>
      <w:marRight w:val="0"/>
      <w:marTop w:val="0"/>
      <w:marBottom w:val="0"/>
      <w:divBdr>
        <w:top w:val="none" w:sz="0" w:space="0" w:color="auto"/>
        <w:left w:val="none" w:sz="0" w:space="0" w:color="auto"/>
        <w:bottom w:val="none" w:sz="0" w:space="0" w:color="auto"/>
        <w:right w:val="none" w:sz="0" w:space="0" w:color="auto"/>
      </w:divBdr>
    </w:div>
    <w:div w:id="2077582608">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mailto:michell2208108@correo.uis.edu.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E26A-2738-46C2-8764-8CC9DA385FA2}">
  <ds:schemaRefs>
    <ds:schemaRef ds:uri="http://schemas.openxmlformats.org/officeDocument/2006/bibliography"/>
  </ds:schemaRefs>
</ds:datastoreItem>
</file>

<file path=docMetadata/LabelInfo.xml><?xml version="1.0" encoding="utf-8"?>
<clbl:labelList xmlns:clbl="http://schemas.microsoft.com/office/2020/mipLabelMetadata">
  <clbl:label id="{e6dda216-a899-4ab6-ba29-0dda5f7b7a74}" enabled="1" method="Privileged" siteId="{a4305987-cf78-4f93-9d64-bf18af65397b}" contentBits="2" removed="0"/>
</clbl:labelList>
</file>

<file path=docProps/app.xml><?xml version="1.0" encoding="utf-8"?>
<Properties xmlns="http://schemas.openxmlformats.org/officeDocument/2006/extended-properties" xmlns:vt="http://schemas.openxmlformats.org/officeDocument/2006/docPropsVTypes">
  <Template>Normal</Template>
  <TotalTime>716</TotalTime>
  <Pages>6</Pages>
  <Words>4105</Words>
  <Characters>22581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Dipartimento CMIC - Politecnico di Milano</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Andrey Caballero</cp:lastModifiedBy>
  <cp:revision>301</cp:revision>
  <cp:lastPrinted>2026-04-04T19:26:00Z</cp:lastPrinted>
  <dcterms:created xsi:type="dcterms:W3CDTF">2026-03-25T01:54:00Z</dcterms:created>
  <dcterms:modified xsi:type="dcterms:W3CDTF">2026-04-04T19:26:00Z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lassificationContentMarkingFooterShapeIds">
    <vt:lpwstr>561a5b05,7965e9f6,69d3c55a</vt:lpwstr>
  </property>
  <property fmtid="{D5CDD505-2E9C-101B-9397-08002B2CF9AE}" pid="5" name="ClassificationContentMarkingFooterFontProps">
    <vt:lpwstr>#000000,6,Calibri</vt:lpwstr>
  </property>
  <property fmtid="{D5CDD505-2E9C-101B-9397-08002B2CF9AE}" pid="6" name="ClassificationContentMarkingFooterText">
    <vt:lpwstr>ECP-INFORMACION PUBLICA</vt:lpwstr>
  </property>
  <property fmtid="{D5CDD505-2E9C-101B-9397-08002B2CF9AE}" pid="7" name="GrammarlyDocumentId">
    <vt:lpwstr>0a3dabd4-fcbf-4a1d-a396-9bdb051d1e0c</vt:lpwstr>
  </property>
</Properties>
</file>