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314E4F" w14:paraId="2A131A54" w14:textId="77777777" w:rsidTr="00D45120">
        <w:trPr>
          <w:trHeight w:val="852"/>
          <w:jc w:val="center"/>
        </w:trPr>
        <w:tc>
          <w:tcPr>
            <w:tcW w:w="6940" w:type="dxa"/>
            <w:vMerge w:val="restart"/>
            <w:tcBorders>
              <w:right w:val="single" w:sz="4" w:space="0" w:color="auto"/>
            </w:tcBorders>
          </w:tcPr>
          <w:p w14:paraId="38C3D2BA" w14:textId="77777777" w:rsidR="000A03B2" w:rsidRPr="00314E4F" w:rsidRDefault="000A03B2" w:rsidP="00DE264A">
            <w:pPr>
              <w:tabs>
                <w:tab w:val="left" w:pos="-108"/>
              </w:tabs>
              <w:ind w:left="-108"/>
              <w:jc w:val="left"/>
              <w:rPr>
                <w:rFonts w:cs="Arial"/>
                <w:b/>
                <w:bCs/>
                <w:i/>
                <w:iCs/>
                <w:color w:val="000066"/>
                <w:sz w:val="12"/>
                <w:szCs w:val="12"/>
                <w:lang w:eastAsia="it-IT"/>
              </w:rPr>
            </w:pPr>
            <w:bookmarkStart w:id="0" w:name="_Hlk145068772"/>
            <w:r w:rsidRPr="00314E4F">
              <w:rPr>
                <w:rFonts w:ascii="AdvP6960" w:hAnsi="AdvP6960" w:cs="AdvP6960"/>
                <w:noProof/>
                <w:color w:val="241F20"/>
                <w:szCs w:val="18"/>
                <w:lang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314E4F">
              <w:rPr>
                <w:rFonts w:ascii="AdvP6960" w:hAnsi="AdvP6960" w:cs="AdvP6960"/>
                <w:color w:val="241F20"/>
                <w:szCs w:val="18"/>
                <w:lang w:eastAsia="it-IT"/>
              </w:rPr>
              <w:t xml:space="preserve"> </w:t>
            </w:r>
            <w:r w:rsidRPr="00314E4F">
              <w:rPr>
                <w:rFonts w:cs="Arial"/>
                <w:b/>
                <w:bCs/>
                <w:i/>
                <w:iCs/>
                <w:color w:val="000066"/>
                <w:sz w:val="24"/>
                <w:szCs w:val="24"/>
                <w:lang w:eastAsia="it-IT"/>
              </w:rPr>
              <w:t>CHEMICAL ENGINEERING</w:t>
            </w:r>
            <w:r w:rsidRPr="00314E4F">
              <w:rPr>
                <w:rFonts w:cs="Arial"/>
                <w:b/>
                <w:bCs/>
                <w:i/>
                <w:iCs/>
                <w:color w:val="0033FF"/>
                <w:sz w:val="24"/>
                <w:szCs w:val="24"/>
                <w:lang w:eastAsia="it-IT"/>
              </w:rPr>
              <w:t xml:space="preserve"> </w:t>
            </w:r>
            <w:r w:rsidRPr="00314E4F">
              <w:rPr>
                <w:rFonts w:cs="Arial"/>
                <w:b/>
                <w:bCs/>
                <w:i/>
                <w:iCs/>
                <w:color w:val="666666"/>
                <w:sz w:val="24"/>
                <w:szCs w:val="24"/>
                <w:lang w:eastAsia="it-IT"/>
              </w:rPr>
              <w:t>TRANSACTIONS</w:t>
            </w:r>
            <w:r w:rsidRPr="00314E4F">
              <w:rPr>
                <w:color w:val="333333"/>
                <w:sz w:val="24"/>
                <w:szCs w:val="24"/>
                <w:lang w:eastAsia="it-IT"/>
              </w:rPr>
              <w:t xml:space="preserve"> </w:t>
            </w:r>
            <w:r w:rsidRPr="00314E4F">
              <w:rPr>
                <w:rFonts w:cs="Arial"/>
                <w:b/>
                <w:bCs/>
                <w:i/>
                <w:iCs/>
                <w:color w:val="000066"/>
                <w:sz w:val="27"/>
                <w:szCs w:val="27"/>
                <w:lang w:eastAsia="it-IT"/>
              </w:rPr>
              <w:br/>
            </w:r>
          </w:p>
          <w:p w14:paraId="4B780582" w14:textId="753620B8" w:rsidR="000A03B2" w:rsidRPr="00314E4F" w:rsidRDefault="00A76EFC" w:rsidP="001D21AF">
            <w:pPr>
              <w:tabs>
                <w:tab w:val="left" w:pos="-108"/>
              </w:tabs>
              <w:ind w:left="-108"/>
              <w:rPr>
                <w:rFonts w:cs="Arial"/>
                <w:b/>
                <w:bCs/>
                <w:i/>
                <w:iCs/>
                <w:color w:val="000066"/>
                <w:sz w:val="22"/>
                <w:szCs w:val="22"/>
                <w:lang w:eastAsia="it-IT"/>
              </w:rPr>
            </w:pPr>
            <w:r w:rsidRPr="00314E4F">
              <w:rPr>
                <w:rFonts w:cs="Arial"/>
                <w:b/>
                <w:bCs/>
                <w:i/>
                <w:iCs/>
                <w:color w:val="000066"/>
                <w:sz w:val="22"/>
                <w:szCs w:val="22"/>
                <w:lang w:eastAsia="it-IT"/>
              </w:rPr>
              <w:t>VOL.</w:t>
            </w:r>
            <w:r w:rsidR="00785BF9" w:rsidRPr="00314E4F">
              <w:rPr>
                <w:rFonts w:cs="Arial"/>
                <w:b/>
                <w:bCs/>
                <w:i/>
                <w:iCs/>
                <w:color w:val="000066"/>
                <w:sz w:val="22"/>
                <w:szCs w:val="22"/>
                <w:lang w:eastAsia="it-IT"/>
              </w:rPr>
              <w:t xml:space="preserve"> </w:t>
            </w:r>
            <w:r w:rsidR="00AD0278" w:rsidRPr="00314E4F">
              <w:rPr>
                <w:rFonts w:cs="Arial"/>
                <w:b/>
                <w:bCs/>
                <w:i/>
                <w:iCs/>
                <w:color w:val="000066"/>
                <w:sz w:val="22"/>
                <w:szCs w:val="22"/>
                <w:lang w:eastAsia="it-IT"/>
              </w:rPr>
              <w:t>xxx</w:t>
            </w:r>
            <w:r w:rsidR="007B48F9" w:rsidRPr="00314E4F">
              <w:rPr>
                <w:rFonts w:cs="Arial"/>
                <w:b/>
                <w:bCs/>
                <w:i/>
                <w:iCs/>
                <w:color w:val="000066"/>
                <w:sz w:val="22"/>
                <w:szCs w:val="22"/>
                <w:lang w:eastAsia="it-IT"/>
              </w:rPr>
              <w:t>,</w:t>
            </w:r>
            <w:r w:rsidR="00FA5F5F" w:rsidRPr="00314E4F">
              <w:rPr>
                <w:rFonts w:cs="Arial"/>
                <w:b/>
                <w:bCs/>
                <w:i/>
                <w:iCs/>
                <w:color w:val="000066"/>
                <w:sz w:val="22"/>
                <w:szCs w:val="22"/>
                <w:lang w:eastAsia="it-IT"/>
              </w:rPr>
              <w:t xml:space="preserve"> </w:t>
            </w:r>
            <w:r w:rsidR="0030152C" w:rsidRPr="00314E4F">
              <w:rPr>
                <w:rFonts w:cs="Arial"/>
                <w:b/>
                <w:bCs/>
                <w:i/>
                <w:iCs/>
                <w:color w:val="000066"/>
                <w:sz w:val="22"/>
                <w:szCs w:val="22"/>
                <w:lang w:eastAsia="it-IT"/>
              </w:rPr>
              <w:t>202</w:t>
            </w:r>
            <w:r w:rsidR="00AD0278" w:rsidRPr="00314E4F">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314E4F" w:rsidRDefault="000A03B2" w:rsidP="00CD5FE2">
            <w:pPr>
              <w:spacing w:line="140" w:lineRule="atLeast"/>
              <w:jc w:val="right"/>
              <w:rPr>
                <w:rFonts w:cs="Arial"/>
                <w:sz w:val="14"/>
                <w:szCs w:val="14"/>
              </w:rPr>
            </w:pPr>
            <w:r w:rsidRPr="00314E4F">
              <w:rPr>
                <w:rFonts w:cs="Arial"/>
                <w:sz w:val="14"/>
                <w:szCs w:val="14"/>
              </w:rPr>
              <w:t>A publication of</w:t>
            </w:r>
          </w:p>
          <w:p w14:paraId="599E5441" w14:textId="77777777" w:rsidR="000A03B2" w:rsidRPr="00314E4F" w:rsidRDefault="000A03B2" w:rsidP="00CD5FE2">
            <w:pPr>
              <w:jc w:val="right"/>
            </w:pPr>
            <w:r w:rsidRPr="00314E4F">
              <w:rPr>
                <w:noProof/>
                <w:lang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314E4F" w14:paraId="380FA3CD" w14:textId="77777777" w:rsidTr="00D45120">
        <w:trPr>
          <w:trHeight w:val="567"/>
          <w:jc w:val="center"/>
        </w:trPr>
        <w:tc>
          <w:tcPr>
            <w:tcW w:w="6940" w:type="dxa"/>
            <w:vMerge/>
            <w:tcBorders>
              <w:right w:val="single" w:sz="4" w:space="0" w:color="auto"/>
            </w:tcBorders>
          </w:tcPr>
          <w:p w14:paraId="39E5E4C1" w14:textId="77777777" w:rsidR="000A03B2" w:rsidRPr="00314E4F"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314E4F" w:rsidRDefault="000A03B2" w:rsidP="00CD5FE2">
            <w:pPr>
              <w:spacing w:line="140" w:lineRule="atLeast"/>
              <w:jc w:val="right"/>
              <w:rPr>
                <w:rFonts w:cs="Arial"/>
                <w:sz w:val="14"/>
                <w:szCs w:val="14"/>
              </w:rPr>
            </w:pPr>
            <w:r w:rsidRPr="00314E4F">
              <w:rPr>
                <w:rFonts w:cs="Arial"/>
                <w:sz w:val="14"/>
                <w:szCs w:val="14"/>
              </w:rPr>
              <w:t>The Italian Association</w:t>
            </w:r>
          </w:p>
          <w:p w14:paraId="7522B1D2" w14:textId="77777777" w:rsidR="000A03B2" w:rsidRPr="00314E4F" w:rsidRDefault="000A03B2" w:rsidP="00CD5FE2">
            <w:pPr>
              <w:spacing w:line="140" w:lineRule="atLeast"/>
              <w:jc w:val="right"/>
              <w:rPr>
                <w:rFonts w:cs="Arial"/>
                <w:sz w:val="14"/>
                <w:szCs w:val="14"/>
              </w:rPr>
            </w:pPr>
            <w:r w:rsidRPr="00314E4F">
              <w:rPr>
                <w:rFonts w:cs="Arial"/>
                <w:sz w:val="14"/>
                <w:szCs w:val="14"/>
              </w:rPr>
              <w:t>of Chemical Engineering</w:t>
            </w:r>
          </w:p>
          <w:p w14:paraId="4F0CC5DE" w14:textId="47FDB2FC" w:rsidR="000A03B2" w:rsidRPr="00314E4F" w:rsidRDefault="000D0268" w:rsidP="00CD5FE2">
            <w:pPr>
              <w:spacing w:line="140" w:lineRule="atLeast"/>
              <w:jc w:val="right"/>
              <w:rPr>
                <w:rFonts w:cs="Arial"/>
                <w:sz w:val="13"/>
                <w:szCs w:val="13"/>
              </w:rPr>
            </w:pPr>
            <w:r w:rsidRPr="00314E4F">
              <w:rPr>
                <w:rFonts w:cs="Arial"/>
                <w:sz w:val="13"/>
                <w:szCs w:val="13"/>
              </w:rPr>
              <w:t>Online at www.cetjournal.it</w:t>
            </w:r>
          </w:p>
        </w:tc>
      </w:tr>
      <w:tr w:rsidR="000A03B2" w:rsidRPr="00314E4F" w14:paraId="2D1B7169" w14:textId="77777777" w:rsidTr="00D45120">
        <w:trPr>
          <w:trHeight w:val="68"/>
          <w:jc w:val="center"/>
        </w:trPr>
        <w:tc>
          <w:tcPr>
            <w:tcW w:w="8782" w:type="dxa"/>
            <w:gridSpan w:val="2"/>
          </w:tcPr>
          <w:p w14:paraId="1D8DD3C9" w14:textId="61229B97" w:rsidR="00AA7D26" w:rsidRPr="00314E4F" w:rsidRDefault="004A5E57" w:rsidP="004A5E57">
            <w:pPr>
              <w:ind w:left="-107"/>
              <w:outlineLvl w:val="2"/>
              <w:rPr>
                <w:rFonts w:ascii="Tahoma" w:hAnsi="Tahoma" w:cs="Tahoma"/>
                <w:bCs/>
                <w:color w:val="000000"/>
                <w:sz w:val="14"/>
                <w:szCs w:val="14"/>
                <w:lang w:eastAsia="it-IT"/>
              </w:rPr>
            </w:pPr>
            <w:r w:rsidRPr="00314E4F">
              <w:rPr>
                <w:rFonts w:ascii="Tahoma" w:hAnsi="Tahoma" w:cs="Tahoma"/>
                <w:iCs/>
                <w:color w:val="333333"/>
                <w:sz w:val="14"/>
                <w:szCs w:val="14"/>
                <w:lang w:eastAsia="it-IT"/>
              </w:rPr>
              <w:t>Guest Editors:</w:t>
            </w:r>
            <w:r w:rsidRPr="00314E4F">
              <w:rPr>
                <w:rFonts w:ascii="Tahoma" w:hAnsi="Tahoma" w:cs="Tahoma"/>
                <w:color w:val="000000"/>
                <w:sz w:val="14"/>
                <w:szCs w:val="14"/>
                <w:shd w:val="clear" w:color="auto" w:fill="FFFFFF"/>
              </w:rPr>
              <w:t xml:space="preserve"> </w:t>
            </w:r>
            <w:r w:rsidR="00EA3EF9" w:rsidRPr="00314E4F">
              <w:rPr>
                <w:rFonts w:ascii="Tahoma" w:hAnsi="Tahoma" w:cs="Tahoma"/>
                <w:color w:val="000000"/>
                <w:sz w:val="14"/>
                <w:szCs w:val="14"/>
                <w:shd w:val="clear" w:color="auto" w:fill="FFFFFF"/>
              </w:rPr>
              <w:t xml:space="preserve">Leonardo </w:t>
            </w:r>
            <w:proofErr w:type="spellStart"/>
            <w:r w:rsidR="00EA3EF9" w:rsidRPr="00314E4F">
              <w:rPr>
                <w:rFonts w:ascii="Tahoma" w:hAnsi="Tahoma" w:cs="Tahoma"/>
                <w:color w:val="000000"/>
                <w:sz w:val="14"/>
                <w:szCs w:val="14"/>
                <w:shd w:val="clear" w:color="auto" w:fill="FFFFFF"/>
              </w:rPr>
              <w:t>Tognotti</w:t>
            </w:r>
            <w:proofErr w:type="spellEnd"/>
            <w:r w:rsidR="00EA3EF9" w:rsidRPr="00314E4F">
              <w:rPr>
                <w:rFonts w:ascii="Tahoma" w:hAnsi="Tahoma" w:cs="Tahoma"/>
                <w:color w:val="000000"/>
                <w:sz w:val="14"/>
                <w:szCs w:val="14"/>
                <w:shd w:val="clear" w:color="auto" w:fill="FFFFFF"/>
              </w:rPr>
              <w:t xml:space="preserve">, </w:t>
            </w:r>
            <w:r w:rsidR="00EA3EF9" w:rsidRPr="00314E4F">
              <w:rPr>
                <w:rFonts w:ascii="Tahoma" w:hAnsi="Tahoma" w:cs="Tahoma"/>
                <w:color w:val="000000"/>
                <w:sz w:val="14"/>
                <w:szCs w:val="14"/>
              </w:rPr>
              <w:t xml:space="preserve">Rubens </w:t>
            </w:r>
            <w:proofErr w:type="spellStart"/>
            <w:r w:rsidR="00EA3EF9" w:rsidRPr="00314E4F">
              <w:rPr>
                <w:rFonts w:ascii="Tahoma" w:hAnsi="Tahoma" w:cs="Tahoma"/>
                <w:color w:val="000000"/>
                <w:sz w:val="14"/>
                <w:szCs w:val="14"/>
              </w:rPr>
              <w:t>Maciel</w:t>
            </w:r>
            <w:proofErr w:type="spellEnd"/>
            <w:r w:rsidR="00EA3EF9" w:rsidRPr="00314E4F">
              <w:rPr>
                <w:rFonts w:ascii="Tahoma" w:hAnsi="Tahoma" w:cs="Tahoma"/>
                <w:color w:val="000000"/>
                <w:sz w:val="14"/>
                <w:szCs w:val="14"/>
              </w:rPr>
              <w:t xml:space="preserve"> Filho</w:t>
            </w:r>
            <w:r w:rsidR="00EA3EF9" w:rsidRPr="00314E4F">
              <w:rPr>
                <w:rFonts w:ascii="Tahoma" w:hAnsi="Tahoma" w:cs="Tahoma"/>
                <w:color w:val="000000"/>
                <w:sz w:val="14"/>
                <w:szCs w:val="14"/>
                <w:shd w:val="clear" w:color="auto" w:fill="FFFFFF"/>
              </w:rPr>
              <w:t xml:space="preserve">, </w:t>
            </w:r>
            <w:proofErr w:type="spellStart"/>
            <w:r w:rsidR="00EA3EF9" w:rsidRPr="00314E4F">
              <w:rPr>
                <w:rFonts w:ascii="Tahoma" w:hAnsi="Tahoma" w:cs="Tahoma"/>
                <w:color w:val="000000"/>
                <w:sz w:val="14"/>
                <w:szCs w:val="14"/>
              </w:rPr>
              <w:t>Viatcheslav</w:t>
            </w:r>
            <w:proofErr w:type="spellEnd"/>
            <w:r w:rsidR="00EA3EF9" w:rsidRPr="00314E4F">
              <w:rPr>
                <w:rFonts w:ascii="Tahoma" w:hAnsi="Tahoma" w:cs="Tahoma"/>
                <w:color w:val="000000"/>
                <w:sz w:val="14"/>
                <w:szCs w:val="14"/>
              </w:rPr>
              <w:t xml:space="preserve"> </w:t>
            </w:r>
            <w:proofErr w:type="spellStart"/>
            <w:r w:rsidR="00EA3EF9" w:rsidRPr="00314E4F">
              <w:rPr>
                <w:rFonts w:ascii="Tahoma" w:hAnsi="Tahoma" w:cs="Tahoma"/>
                <w:color w:val="000000"/>
                <w:sz w:val="14"/>
                <w:szCs w:val="14"/>
              </w:rPr>
              <w:t>Kafarov</w:t>
            </w:r>
            <w:proofErr w:type="spellEnd"/>
          </w:p>
          <w:p w14:paraId="1B0F1814" w14:textId="710B7B96" w:rsidR="000A03B2" w:rsidRPr="00314E4F" w:rsidRDefault="00AA7D26" w:rsidP="00AA7D26">
            <w:pPr>
              <w:tabs>
                <w:tab w:val="left" w:pos="-108"/>
              </w:tabs>
              <w:spacing w:line="140" w:lineRule="atLeast"/>
              <w:ind w:left="-107"/>
              <w:jc w:val="left"/>
            </w:pPr>
            <w:r w:rsidRPr="00314E4F">
              <w:rPr>
                <w:rFonts w:ascii="Tahoma" w:hAnsi="Tahoma" w:cs="Tahoma"/>
                <w:iCs/>
                <w:color w:val="333333"/>
                <w:sz w:val="14"/>
                <w:szCs w:val="14"/>
                <w:lang w:eastAsia="it-IT"/>
              </w:rPr>
              <w:t>Copyright © 202</w:t>
            </w:r>
            <w:r w:rsidR="00005884" w:rsidRPr="00314E4F">
              <w:rPr>
                <w:rFonts w:ascii="Tahoma" w:hAnsi="Tahoma" w:cs="Tahoma"/>
                <w:iCs/>
                <w:color w:val="333333"/>
                <w:sz w:val="14"/>
                <w:szCs w:val="14"/>
                <w:lang w:eastAsia="it-IT"/>
              </w:rPr>
              <w:t>6</w:t>
            </w:r>
            <w:r w:rsidRPr="00314E4F">
              <w:rPr>
                <w:rFonts w:ascii="Tahoma" w:hAnsi="Tahoma" w:cs="Tahoma"/>
                <w:iCs/>
                <w:color w:val="333333"/>
                <w:sz w:val="14"/>
                <w:szCs w:val="14"/>
                <w:lang w:eastAsia="it-IT"/>
              </w:rPr>
              <w:t xml:space="preserve">, AIDIC </w:t>
            </w:r>
            <w:proofErr w:type="spellStart"/>
            <w:r w:rsidRPr="00314E4F">
              <w:rPr>
                <w:rFonts w:ascii="Tahoma" w:hAnsi="Tahoma" w:cs="Tahoma"/>
                <w:iCs/>
                <w:color w:val="333333"/>
                <w:sz w:val="14"/>
                <w:szCs w:val="14"/>
                <w:lang w:eastAsia="it-IT"/>
              </w:rPr>
              <w:t>Servizi</w:t>
            </w:r>
            <w:proofErr w:type="spellEnd"/>
            <w:r w:rsidRPr="00314E4F">
              <w:rPr>
                <w:rFonts w:ascii="Tahoma" w:hAnsi="Tahoma" w:cs="Tahoma"/>
                <w:iCs/>
                <w:color w:val="333333"/>
                <w:sz w:val="14"/>
                <w:szCs w:val="14"/>
                <w:lang w:eastAsia="it-IT"/>
              </w:rPr>
              <w:t xml:space="preserve"> </w:t>
            </w:r>
            <w:proofErr w:type="spellStart"/>
            <w:r w:rsidRPr="00314E4F">
              <w:rPr>
                <w:rFonts w:ascii="Tahoma" w:hAnsi="Tahoma" w:cs="Tahoma"/>
                <w:iCs/>
                <w:color w:val="333333"/>
                <w:sz w:val="14"/>
                <w:szCs w:val="14"/>
                <w:lang w:eastAsia="it-IT"/>
              </w:rPr>
              <w:t>S.r.l</w:t>
            </w:r>
            <w:proofErr w:type="spellEnd"/>
            <w:r w:rsidRPr="00314E4F">
              <w:rPr>
                <w:rFonts w:ascii="Tahoma" w:hAnsi="Tahoma" w:cs="Tahoma"/>
                <w:iCs/>
                <w:color w:val="333333"/>
                <w:sz w:val="14"/>
                <w:szCs w:val="14"/>
                <w:lang w:eastAsia="it-IT"/>
              </w:rPr>
              <w:t>.</w:t>
            </w:r>
            <w:r w:rsidRPr="00314E4F">
              <w:rPr>
                <w:rFonts w:ascii="Tahoma" w:hAnsi="Tahoma" w:cs="Tahoma"/>
                <w:iCs/>
                <w:color w:val="333333"/>
                <w:sz w:val="14"/>
                <w:szCs w:val="14"/>
                <w:lang w:eastAsia="it-IT"/>
              </w:rPr>
              <w:br/>
            </w:r>
            <w:r w:rsidRPr="00314E4F">
              <w:rPr>
                <w:rFonts w:ascii="Tahoma" w:hAnsi="Tahoma" w:cs="Tahoma"/>
                <w:b/>
                <w:iCs/>
                <w:color w:val="000000"/>
                <w:sz w:val="14"/>
                <w:szCs w:val="14"/>
                <w:lang w:eastAsia="it-IT"/>
              </w:rPr>
              <w:t>ISBN</w:t>
            </w:r>
            <w:r w:rsidRPr="00314E4F">
              <w:rPr>
                <w:rFonts w:ascii="Tahoma" w:hAnsi="Tahoma" w:cs="Tahoma"/>
                <w:iCs/>
                <w:color w:val="000000"/>
                <w:sz w:val="14"/>
                <w:szCs w:val="14"/>
                <w:lang w:eastAsia="it-IT"/>
              </w:rPr>
              <w:t xml:space="preserve"> </w:t>
            </w:r>
            <w:r w:rsidR="00D2582C" w:rsidRPr="00314E4F">
              <w:rPr>
                <w:rFonts w:ascii="Tahoma" w:hAnsi="Tahoma" w:cs="Tahoma"/>
                <w:sz w:val="14"/>
                <w:szCs w:val="14"/>
              </w:rPr>
              <w:t>979-12-81206-</w:t>
            </w:r>
            <w:r w:rsidR="00005884" w:rsidRPr="00314E4F">
              <w:rPr>
                <w:rFonts w:ascii="Tahoma" w:hAnsi="Tahoma" w:cs="Tahoma"/>
                <w:sz w:val="14"/>
                <w:szCs w:val="14"/>
              </w:rPr>
              <w:t>xx</w:t>
            </w:r>
            <w:r w:rsidR="009041F8" w:rsidRPr="00314E4F">
              <w:rPr>
                <w:rFonts w:ascii="Tahoma" w:hAnsi="Tahoma" w:cs="Tahoma"/>
                <w:sz w:val="14"/>
                <w:szCs w:val="14"/>
              </w:rPr>
              <w:t>-</w:t>
            </w:r>
            <w:r w:rsidR="00005884" w:rsidRPr="00314E4F">
              <w:rPr>
                <w:rFonts w:ascii="Tahoma" w:hAnsi="Tahoma" w:cs="Tahoma"/>
                <w:sz w:val="14"/>
                <w:szCs w:val="14"/>
              </w:rPr>
              <w:t>x</w:t>
            </w:r>
            <w:r w:rsidRPr="00314E4F">
              <w:rPr>
                <w:rFonts w:ascii="Tahoma" w:hAnsi="Tahoma" w:cs="Tahoma"/>
                <w:iCs/>
                <w:color w:val="333333"/>
                <w:sz w:val="14"/>
                <w:szCs w:val="14"/>
                <w:lang w:eastAsia="it-IT"/>
              </w:rPr>
              <w:t xml:space="preserve">; </w:t>
            </w:r>
            <w:r w:rsidRPr="00314E4F">
              <w:rPr>
                <w:rFonts w:ascii="Tahoma" w:hAnsi="Tahoma" w:cs="Tahoma"/>
                <w:b/>
                <w:iCs/>
                <w:color w:val="333333"/>
                <w:sz w:val="14"/>
                <w:szCs w:val="14"/>
                <w:lang w:eastAsia="it-IT"/>
              </w:rPr>
              <w:t>ISSN</w:t>
            </w:r>
            <w:r w:rsidRPr="00314E4F">
              <w:rPr>
                <w:rFonts w:ascii="Tahoma" w:hAnsi="Tahoma" w:cs="Tahoma"/>
                <w:iCs/>
                <w:color w:val="333333"/>
                <w:sz w:val="14"/>
                <w:szCs w:val="14"/>
                <w:lang w:eastAsia="it-IT"/>
              </w:rPr>
              <w:t xml:space="preserve"> 2283-9216</w:t>
            </w:r>
          </w:p>
        </w:tc>
      </w:tr>
    </w:tbl>
    <w:bookmarkEnd w:id="0"/>
    <w:p w14:paraId="2E667253" w14:textId="7D69A73E" w:rsidR="00E978D0" w:rsidRPr="00314E4F" w:rsidRDefault="00D45120" w:rsidP="00E978D0">
      <w:pPr>
        <w:pStyle w:val="CETTitle"/>
      </w:pPr>
      <w:r w:rsidRPr="00314E4F">
        <w:t xml:space="preserve">Hydrogen production </w:t>
      </w:r>
      <w:r w:rsidRPr="0005644A">
        <w:rPr>
          <w:highlight w:val="yellow"/>
        </w:rPr>
        <w:t>by pyrolysis</w:t>
      </w:r>
      <w:r w:rsidRPr="00314E4F">
        <w:t>-gasification of spent Li-ion battery using waste sourced metal-containing catalysts</w:t>
      </w:r>
    </w:p>
    <w:p w14:paraId="0488FED2" w14:textId="2369FC56" w:rsidR="00B57E6F" w:rsidRPr="00314E4F" w:rsidRDefault="00D45120" w:rsidP="00B57E6F">
      <w:pPr>
        <w:pStyle w:val="CETAuthors"/>
      </w:pPr>
      <w:r w:rsidRPr="00314E4F">
        <w:t>Norbert Miskolczi</w:t>
      </w:r>
      <w:r w:rsidRPr="00314E4F">
        <w:rPr>
          <w:szCs w:val="24"/>
          <w:vertAlign w:val="superscript"/>
        </w:rPr>
        <w:t>a</w:t>
      </w:r>
      <w:r w:rsidRPr="00314E4F">
        <w:t>, Viktoria Zsinka</w:t>
      </w:r>
      <w:r w:rsidRPr="00314E4F">
        <w:rPr>
          <w:vertAlign w:val="superscript"/>
        </w:rPr>
        <w:t>a</w:t>
      </w:r>
      <w:r w:rsidRPr="00314E4F">
        <w:t xml:space="preserve">, </w:t>
      </w:r>
      <w:r w:rsidR="00314E4F" w:rsidRPr="00314E4F">
        <w:t>Alex Kis-Iván</w:t>
      </w:r>
      <w:r w:rsidR="00314E4F" w:rsidRPr="00314E4F">
        <w:rPr>
          <w:vertAlign w:val="superscript"/>
        </w:rPr>
        <w:t>a</w:t>
      </w:r>
      <w:r w:rsidR="00314E4F" w:rsidRPr="00314E4F">
        <w:t xml:space="preserve">, </w:t>
      </w:r>
      <w:r w:rsidRPr="00314E4F">
        <w:t>Ningbo Gao</w:t>
      </w:r>
      <w:r w:rsidRPr="00314E4F">
        <w:rPr>
          <w:vertAlign w:val="superscript"/>
        </w:rPr>
        <w:t>b</w:t>
      </w:r>
      <w:r w:rsidRPr="00314E4F">
        <w:t>, Cui Quan</w:t>
      </w:r>
      <w:r w:rsidRPr="00314E4F">
        <w:rPr>
          <w:vertAlign w:val="superscript"/>
        </w:rPr>
        <w:t>b</w:t>
      </w:r>
    </w:p>
    <w:p w14:paraId="4A8089FE" w14:textId="4022C979" w:rsidR="00D45120" w:rsidRPr="00314E4F" w:rsidRDefault="00B57E6F" w:rsidP="00D45120">
      <w:pPr>
        <w:pStyle w:val="CETAddress"/>
      </w:pPr>
      <w:r w:rsidRPr="00314E4F">
        <w:rPr>
          <w:vertAlign w:val="superscript"/>
        </w:rPr>
        <w:t>a</w:t>
      </w:r>
      <w:r w:rsidR="00D45120" w:rsidRPr="00314E4F">
        <w:t xml:space="preserve"> University of Pannonia, Faculty of Engineering, Institute of Chemical Engineering and Process Engineering, H-8200, Veszprém, Egyetem u. 10, Hungary</w:t>
      </w:r>
    </w:p>
    <w:p w14:paraId="6893AF25" w14:textId="6E261EF3" w:rsidR="00600535" w:rsidRPr="00314E4F" w:rsidRDefault="00D45120" w:rsidP="00D45120">
      <w:pPr>
        <w:pStyle w:val="CETAddress"/>
      </w:pPr>
      <w:r w:rsidRPr="00314E4F">
        <w:rPr>
          <w:vertAlign w:val="superscript"/>
        </w:rPr>
        <w:t>b</w:t>
      </w:r>
      <w:r w:rsidRPr="00314E4F">
        <w:t xml:space="preserve"> Xi'an Jiaotong University, School of Energy and Power Engineering, Xi’an, Xianning West Road No. 28, 710049, P.R. China</w:t>
      </w:r>
    </w:p>
    <w:p w14:paraId="03A1ACC0" w14:textId="77777777" w:rsidR="005D56FA" w:rsidRDefault="005D56FA" w:rsidP="00D45120">
      <w:pPr>
        <w:pStyle w:val="CETBodytext"/>
        <w:rPr>
          <w:lang w:val="en-GB"/>
        </w:rPr>
      </w:pPr>
      <w:bookmarkStart w:id="1" w:name="_Hlk495475023"/>
    </w:p>
    <w:p w14:paraId="487CC5A6" w14:textId="0E96DBD1" w:rsidR="00D45120" w:rsidRDefault="00047B6D" w:rsidP="00D45120">
      <w:pPr>
        <w:pStyle w:val="CETBodytext"/>
        <w:rPr>
          <w:lang w:val="en-GB"/>
        </w:rPr>
      </w:pPr>
      <w:r w:rsidRPr="00047B6D">
        <w:rPr>
          <w:highlight w:val="yellow"/>
          <w:lang w:val="en-GB"/>
        </w:rPr>
        <w:t>The Li-ion battery recycling has a great importance, because t</w:t>
      </w:r>
      <w:r w:rsidR="00A2135A" w:rsidRPr="00047B6D">
        <w:rPr>
          <w:highlight w:val="yellow"/>
          <w:lang w:val="en-GB"/>
        </w:rPr>
        <w:t>he</w:t>
      </w:r>
      <w:r w:rsidR="00D45120" w:rsidRPr="00314E4F">
        <w:rPr>
          <w:lang w:val="en-GB"/>
        </w:rPr>
        <w:t xml:space="preserve"> global demand for electric vehicles, renewable energy storage or even portable electronics</w:t>
      </w:r>
      <w:r>
        <w:rPr>
          <w:lang w:val="en-GB"/>
        </w:rPr>
        <w:t xml:space="preserve"> </w:t>
      </w:r>
      <w:r w:rsidR="0005644A">
        <w:rPr>
          <w:highlight w:val="yellow"/>
          <w:lang w:val="en-GB"/>
        </w:rPr>
        <w:t>are</w:t>
      </w:r>
      <w:r w:rsidRPr="00047B6D">
        <w:rPr>
          <w:highlight w:val="yellow"/>
          <w:lang w:val="en-GB"/>
        </w:rPr>
        <w:t xml:space="preserve"> increasing</w:t>
      </w:r>
      <w:r w:rsidR="00D45120" w:rsidRPr="00314E4F">
        <w:rPr>
          <w:lang w:val="en-GB"/>
        </w:rPr>
        <w:t xml:space="preserve">. There are </w:t>
      </w:r>
      <w:r w:rsidR="0005644A" w:rsidRPr="0005644A">
        <w:rPr>
          <w:highlight w:val="yellow"/>
          <w:lang w:val="en-GB"/>
        </w:rPr>
        <w:t>different</w:t>
      </w:r>
      <w:r w:rsidR="00D45120" w:rsidRPr="00314E4F">
        <w:rPr>
          <w:lang w:val="en-GB"/>
        </w:rPr>
        <w:t xml:space="preserve"> processes for recovery of valuable </w:t>
      </w:r>
      <w:r w:rsidR="0005644A" w:rsidRPr="0005644A">
        <w:rPr>
          <w:highlight w:val="yellow"/>
          <w:lang w:val="en-GB"/>
        </w:rPr>
        <w:t>metals f</w:t>
      </w:r>
      <w:r w:rsidR="0005644A">
        <w:rPr>
          <w:highlight w:val="yellow"/>
          <w:lang w:val="en-GB"/>
        </w:rPr>
        <w:t>rom</w:t>
      </w:r>
      <w:r w:rsidR="0005644A" w:rsidRPr="0005644A">
        <w:rPr>
          <w:highlight w:val="yellow"/>
          <w:lang w:val="en-GB"/>
        </w:rPr>
        <w:t xml:space="preserve"> </w:t>
      </w:r>
      <w:r w:rsidR="0005644A">
        <w:rPr>
          <w:highlight w:val="yellow"/>
          <w:lang w:val="en-GB"/>
        </w:rPr>
        <w:t xml:space="preserve">spent </w:t>
      </w:r>
      <w:r w:rsidR="0005644A" w:rsidRPr="0005644A">
        <w:rPr>
          <w:highlight w:val="yellow"/>
          <w:lang w:val="en-GB"/>
        </w:rPr>
        <w:t>Li-ion batter</w:t>
      </w:r>
      <w:r w:rsidR="0005644A">
        <w:rPr>
          <w:highlight w:val="yellow"/>
          <w:lang w:val="en-GB"/>
        </w:rPr>
        <w:t>ies</w:t>
      </w:r>
      <w:r>
        <w:rPr>
          <w:lang w:val="en-GB"/>
        </w:rPr>
        <w:t xml:space="preserve">, but </w:t>
      </w:r>
      <w:r w:rsidR="00D45120" w:rsidRPr="00314E4F">
        <w:rPr>
          <w:lang w:val="en-GB"/>
        </w:rPr>
        <w:t xml:space="preserve">the recycling of </w:t>
      </w:r>
      <w:r w:rsidR="0005644A" w:rsidRPr="0005644A">
        <w:rPr>
          <w:highlight w:val="yellow"/>
          <w:lang w:val="en-GB"/>
        </w:rPr>
        <w:t>their</w:t>
      </w:r>
      <w:r w:rsidR="0005644A">
        <w:rPr>
          <w:highlight w:val="yellow"/>
          <w:lang w:val="en-GB"/>
        </w:rPr>
        <w:t xml:space="preserve"> </w:t>
      </w:r>
      <w:r w:rsidR="0005644A" w:rsidRPr="0005644A">
        <w:rPr>
          <w:highlight w:val="yellow"/>
          <w:lang w:val="en-GB"/>
        </w:rPr>
        <w:t xml:space="preserve">organic constituents </w:t>
      </w:r>
      <w:r w:rsidRPr="0005644A">
        <w:rPr>
          <w:highlight w:val="yellow"/>
          <w:lang w:val="en-GB"/>
        </w:rPr>
        <w:t xml:space="preserve">is an </w:t>
      </w:r>
      <w:r w:rsidRPr="00047B6D">
        <w:rPr>
          <w:highlight w:val="yellow"/>
          <w:lang w:val="en-GB"/>
        </w:rPr>
        <w:t>unsolved problem</w:t>
      </w:r>
      <w:r w:rsidR="00D45120" w:rsidRPr="00314E4F">
        <w:rPr>
          <w:lang w:val="en-GB"/>
        </w:rPr>
        <w:t xml:space="preserve">. This work focuses to the value added recycling of spent Li-ion batteries to produce hydrogen. </w:t>
      </w:r>
      <w:r w:rsidRPr="00047B6D">
        <w:rPr>
          <w:highlight w:val="yellow"/>
          <w:lang w:val="en-GB"/>
        </w:rPr>
        <w:t>Catalyst was obtained from the</w:t>
      </w:r>
      <w:r w:rsidR="00D45120" w:rsidRPr="00047B6D">
        <w:rPr>
          <w:highlight w:val="yellow"/>
          <w:lang w:val="en-GB"/>
        </w:rPr>
        <w:t xml:space="preserve"> </w:t>
      </w:r>
      <w:r w:rsidR="00465A29" w:rsidRPr="00047B6D">
        <w:rPr>
          <w:highlight w:val="yellow"/>
          <w:lang w:val="en-GB"/>
        </w:rPr>
        <w:t xml:space="preserve">non-polymerous waste </w:t>
      </w:r>
      <w:r w:rsidR="00D45120" w:rsidRPr="00047B6D">
        <w:rPr>
          <w:highlight w:val="yellow"/>
          <w:lang w:val="en-GB"/>
        </w:rPr>
        <w:t>from spent Li-ion batteries</w:t>
      </w:r>
      <w:r w:rsidR="00D45120" w:rsidRPr="00314E4F">
        <w:rPr>
          <w:lang w:val="en-GB"/>
        </w:rPr>
        <w:t xml:space="preserve"> and their catalytic role for hydrogen production was investigated</w:t>
      </w:r>
      <w:r w:rsidR="0005644A">
        <w:rPr>
          <w:lang w:val="en-GB"/>
        </w:rPr>
        <w:t xml:space="preserve"> </w:t>
      </w:r>
      <w:r w:rsidR="0005644A" w:rsidRPr="0005644A">
        <w:rPr>
          <w:highlight w:val="yellow"/>
          <w:lang w:val="en-GB"/>
        </w:rPr>
        <w:t>using separator foils</w:t>
      </w:r>
      <w:r w:rsidR="00D45120" w:rsidRPr="00314E4F">
        <w:rPr>
          <w:lang w:val="en-GB"/>
        </w:rPr>
        <w:t xml:space="preserve">. Catalysts with transition metals were obtained by </w:t>
      </w:r>
      <w:r w:rsidR="00B7619C" w:rsidRPr="00314E4F">
        <w:rPr>
          <w:lang w:val="en-GB"/>
        </w:rPr>
        <w:t>pyrometallurgy treatment</w:t>
      </w:r>
      <w:r w:rsidR="00D45120" w:rsidRPr="00314E4F">
        <w:rPr>
          <w:lang w:val="en-GB"/>
        </w:rPr>
        <w:t xml:space="preserve"> of </w:t>
      </w:r>
      <w:r w:rsidR="00B7619C" w:rsidRPr="00314E4F">
        <w:rPr>
          <w:lang w:val="en-GB"/>
        </w:rPr>
        <w:t>waste sourced electrodes</w:t>
      </w:r>
      <w:r w:rsidR="005D56FA">
        <w:rPr>
          <w:lang w:val="en-GB"/>
        </w:rPr>
        <w:t xml:space="preserve"> </w:t>
      </w:r>
      <w:r w:rsidR="005D56FA" w:rsidRPr="00C378F4">
        <w:rPr>
          <w:highlight w:val="yellow"/>
          <w:lang w:val="en-GB"/>
        </w:rPr>
        <w:t xml:space="preserve">and used in </w:t>
      </w:r>
      <w:r w:rsidR="00C378F4" w:rsidRPr="00C378F4">
        <w:rPr>
          <w:highlight w:val="yellow"/>
          <w:lang w:val="en-GB"/>
        </w:rPr>
        <w:t>pyrolysis-</w:t>
      </w:r>
      <w:r w:rsidR="005D56FA" w:rsidRPr="00C378F4">
        <w:rPr>
          <w:highlight w:val="yellow"/>
          <w:lang w:val="en-GB"/>
        </w:rPr>
        <w:t>gasification reactions. The yield of gases was 88.2-94.2%</w:t>
      </w:r>
      <w:r w:rsidR="0005644A">
        <w:rPr>
          <w:highlight w:val="yellow"/>
          <w:lang w:val="en-GB"/>
        </w:rPr>
        <w:t>. T</w:t>
      </w:r>
      <w:r w:rsidR="005D56FA" w:rsidRPr="00C378F4">
        <w:rPr>
          <w:highlight w:val="yellow"/>
          <w:lang w:val="en-GB"/>
        </w:rPr>
        <w:t xml:space="preserve">he hydrogen and CO content </w:t>
      </w:r>
      <w:r w:rsidR="0005644A">
        <w:rPr>
          <w:highlight w:val="yellow"/>
          <w:lang w:val="en-GB"/>
        </w:rPr>
        <w:t>in</w:t>
      </w:r>
      <w:r w:rsidR="005D56FA" w:rsidRPr="00C378F4">
        <w:rPr>
          <w:highlight w:val="yellow"/>
          <w:lang w:val="en-GB"/>
        </w:rPr>
        <w:t xml:space="preserve"> gases were significant. </w:t>
      </w:r>
      <w:r w:rsidR="005D56FA" w:rsidRPr="00C378F4">
        <w:rPr>
          <w:color w:val="000000" w:themeColor="text1"/>
          <w:highlight w:val="yellow"/>
          <w:lang w:val="en-GB"/>
        </w:rPr>
        <w:t>Catalysts obtained by pyrometallurgical method using non-oxidizing atmospheres resulted gases with higher hydrogen content. T</w:t>
      </w:r>
      <w:r w:rsidR="005D56FA" w:rsidRPr="00C378F4">
        <w:rPr>
          <w:highlight w:val="yellow"/>
          <w:lang w:val="en-GB"/>
        </w:rPr>
        <w:t>ransition metals in reduced form can catalyse the steam and dry reforming reaction.</w:t>
      </w:r>
      <w:r w:rsidR="00C378F4" w:rsidRPr="00C378F4">
        <w:rPr>
          <w:highlight w:val="yellow"/>
          <w:lang w:val="en-GB"/>
        </w:rPr>
        <w:t xml:space="preserve"> </w:t>
      </w:r>
      <w:r w:rsidR="00B30083">
        <w:rPr>
          <w:highlight w:val="yellow"/>
          <w:lang w:val="en-GB"/>
        </w:rPr>
        <w:t>H</w:t>
      </w:r>
      <w:r w:rsidR="005D56FA" w:rsidRPr="00C378F4">
        <w:rPr>
          <w:highlight w:val="yellow"/>
          <w:lang w:val="en-GB"/>
        </w:rPr>
        <w:t>igher hydrogen yield was found at 500°C</w:t>
      </w:r>
      <w:r w:rsidR="00B30083">
        <w:rPr>
          <w:highlight w:val="yellow"/>
          <w:lang w:val="en-GB"/>
        </w:rPr>
        <w:t xml:space="preserve"> pyrolysis temperature u</w:t>
      </w:r>
      <w:r w:rsidR="00B30083" w:rsidRPr="00C378F4">
        <w:rPr>
          <w:highlight w:val="yellow"/>
          <w:lang w:val="en-GB"/>
        </w:rPr>
        <w:t>sing non-oxidized catalysts</w:t>
      </w:r>
      <w:r w:rsidR="005D56FA" w:rsidRPr="00C378F4">
        <w:rPr>
          <w:highlight w:val="yellow"/>
          <w:lang w:val="en-GB"/>
        </w:rPr>
        <w:t xml:space="preserve">, however, the hydrogen/CO ratio was higher at 600°C </w:t>
      </w:r>
      <w:r w:rsidR="00B30083">
        <w:rPr>
          <w:highlight w:val="yellow"/>
          <w:lang w:val="en-GB"/>
        </w:rPr>
        <w:t xml:space="preserve">pyrolysis </w:t>
      </w:r>
      <w:r w:rsidR="005D56FA" w:rsidRPr="0001306B">
        <w:rPr>
          <w:highlight w:val="yellow"/>
          <w:lang w:val="en-GB"/>
        </w:rPr>
        <w:t>temperature</w:t>
      </w:r>
      <w:r w:rsidR="00C378F4" w:rsidRPr="0001306B">
        <w:rPr>
          <w:highlight w:val="yellow"/>
          <w:lang w:val="en-GB"/>
        </w:rPr>
        <w:t xml:space="preserve">. </w:t>
      </w:r>
      <w:r>
        <w:rPr>
          <w:highlight w:val="yellow"/>
          <w:lang w:val="en-GB"/>
        </w:rPr>
        <w:t>The</w:t>
      </w:r>
      <w:r w:rsidR="00D45120" w:rsidRPr="0001306B">
        <w:rPr>
          <w:highlight w:val="yellow"/>
          <w:lang w:val="en-GB"/>
        </w:rPr>
        <w:t xml:space="preserve"> </w:t>
      </w:r>
      <w:r w:rsidR="0001306B" w:rsidRPr="0001306B">
        <w:rPr>
          <w:highlight w:val="yellow"/>
          <w:lang w:val="en-GB"/>
        </w:rPr>
        <w:t xml:space="preserve">cost-balance </w:t>
      </w:r>
      <w:r>
        <w:rPr>
          <w:highlight w:val="yellow"/>
          <w:lang w:val="en-GB"/>
        </w:rPr>
        <w:t xml:space="preserve">was also </w:t>
      </w:r>
      <w:r w:rsidR="0001306B" w:rsidRPr="0001306B">
        <w:rPr>
          <w:highlight w:val="yellow"/>
          <w:lang w:val="en-GB"/>
        </w:rPr>
        <w:t>calculat</w:t>
      </w:r>
      <w:r>
        <w:rPr>
          <w:highlight w:val="yellow"/>
          <w:lang w:val="en-GB"/>
        </w:rPr>
        <w:t>ed</w:t>
      </w:r>
      <w:r w:rsidR="00D45120" w:rsidRPr="00314E4F">
        <w:rPr>
          <w:lang w:val="en-GB"/>
        </w:rPr>
        <w:t xml:space="preserve"> to investigate the feasibility of the process.</w:t>
      </w:r>
    </w:p>
    <w:p w14:paraId="418F0445" w14:textId="77777777" w:rsidR="00D45120" w:rsidRPr="00314E4F" w:rsidRDefault="00D45120" w:rsidP="00D45120">
      <w:pPr>
        <w:pStyle w:val="CETHeading1"/>
        <w:tabs>
          <w:tab w:val="clear" w:pos="360"/>
        </w:tabs>
        <w:rPr>
          <w:lang w:val="en-GB"/>
        </w:rPr>
      </w:pPr>
      <w:r w:rsidRPr="00314E4F">
        <w:rPr>
          <w:lang w:val="en-GB"/>
        </w:rPr>
        <w:t>Introduction</w:t>
      </w:r>
    </w:p>
    <w:p w14:paraId="1EE94BB7" w14:textId="77777777" w:rsidR="00685CBD" w:rsidRDefault="00EC7463" w:rsidP="00EC7463">
      <w:pPr>
        <w:pStyle w:val="CETBodytext"/>
        <w:rPr>
          <w:highlight w:val="yellow"/>
          <w:lang w:val="en-GB"/>
        </w:rPr>
      </w:pPr>
      <w:r w:rsidRPr="00314E4F">
        <w:rPr>
          <w:lang w:val="en-GB"/>
        </w:rPr>
        <w:t xml:space="preserve">Lithium-ion batteries are crucial elements of modern energy storage, consisting </w:t>
      </w:r>
      <w:r w:rsidRPr="00B30083">
        <w:rPr>
          <w:highlight w:val="yellow"/>
          <w:lang w:val="en-GB"/>
        </w:rPr>
        <w:t>of cathode</w:t>
      </w:r>
      <w:r w:rsidRPr="00314E4F">
        <w:rPr>
          <w:lang w:val="en-GB"/>
        </w:rPr>
        <w:t xml:space="preserve">, anode, electrolyte, and separator. They are widely used in portable electronics, electric vehicles, or stationary energy storage applications. The cathode is usually made of metal oxide </w:t>
      </w:r>
      <w:r w:rsidRPr="00B30083">
        <w:rPr>
          <w:highlight w:val="yellow"/>
          <w:lang w:val="en-GB"/>
        </w:rPr>
        <w:t>(</w:t>
      </w:r>
      <w:r w:rsidR="00B30083" w:rsidRPr="00B30083">
        <w:rPr>
          <w:highlight w:val="yellow"/>
          <w:lang w:val="en-GB"/>
        </w:rPr>
        <w:t>e.g.</w:t>
      </w:r>
      <w:r w:rsidRPr="00B30083">
        <w:rPr>
          <w:highlight w:val="yellow"/>
          <w:lang w:val="en-GB"/>
        </w:rPr>
        <w:t xml:space="preserve"> LiC</w:t>
      </w:r>
      <w:r w:rsidR="00C378F4" w:rsidRPr="00B30083">
        <w:rPr>
          <w:highlight w:val="yellow"/>
          <w:lang w:val="en-GB"/>
        </w:rPr>
        <w:t>o</w:t>
      </w:r>
      <w:r w:rsidRPr="00B30083">
        <w:rPr>
          <w:highlight w:val="yellow"/>
          <w:lang w:val="en-GB"/>
        </w:rPr>
        <w:t>O</w:t>
      </w:r>
      <w:r w:rsidRPr="00B30083">
        <w:rPr>
          <w:highlight w:val="yellow"/>
          <w:vertAlign w:val="subscript"/>
          <w:lang w:val="en-GB"/>
        </w:rPr>
        <w:t>2</w:t>
      </w:r>
      <w:r w:rsidRPr="00B30083">
        <w:rPr>
          <w:highlight w:val="yellow"/>
          <w:lang w:val="en-GB"/>
        </w:rPr>
        <w:t>, LiNi</w:t>
      </w:r>
      <w:r w:rsidRPr="00B30083">
        <w:rPr>
          <w:highlight w:val="yellow"/>
          <w:vertAlign w:val="subscript"/>
          <w:lang w:val="en-GB"/>
        </w:rPr>
        <w:t>x</w:t>
      </w:r>
      <w:r w:rsidRPr="00B30083">
        <w:rPr>
          <w:highlight w:val="yellow"/>
          <w:lang w:val="en-GB"/>
        </w:rPr>
        <w:t>Mn</w:t>
      </w:r>
      <w:r w:rsidRPr="00B30083">
        <w:rPr>
          <w:highlight w:val="yellow"/>
          <w:vertAlign w:val="subscript"/>
          <w:lang w:val="en-GB"/>
        </w:rPr>
        <w:t>y</w:t>
      </w:r>
      <w:r w:rsidRPr="00B30083">
        <w:rPr>
          <w:highlight w:val="yellow"/>
          <w:lang w:val="en-GB"/>
        </w:rPr>
        <w:t>Co</w:t>
      </w:r>
      <w:r w:rsidRPr="00B30083">
        <w:rPr>
          <w:highlight w:val="yellow"/>
          <w:vertAlign w:val="subscript"/>
          <w:lang w:val="en-GB"/>
        </w:rPr>
        <w:t>z</w:t>
      </w:r>
      <w:r w:rsidRPr="00B30083">
        <w:rPr>
          <w:highlight w:val="yellow"/>
          <w:lang w:val="en-GB"/>
        </w:rPr>
        <w:t>O</w:t>
      </w:r>
      <w:r w:rsidRPr="00B30083">
        <w:rPr>
          <w:highlight w:val="yellow"/>
          <w:vertAlign w:val="subscript"/>
          <w:lang w:val="en-GB"/>
        </w:rPr>
        <w:t>2</w:t>
      </w:r>
      <w:r w:rsidRPr="00B30083">
        <w:rPr>
          <w:highlight w:val="yellow"/>
          <w:lang w:val="en-GB"/>
        </w:rPr>
        <w:t>, LiCoO</w:t>
      </w:r>
      <w:r w:rsidRPr="00B30083">
        <w:rPr>
          <w:highlight w:val="yellow"/>
          <w:vertAlign w:val="subscript"/>
          <w:lang w:val="en-GB"/>
        </w:rPr>
        <w:t>2</w:t>
      </w:r>
      <w:r w:rsidRPr="00B30083">
        <w:rPr>
          <w:highlight w:val="yellow"/>
          <w:lang w:val="en-GB"/>
        </w:rPr>
        <w:t>, LiFePO</w:t>
      </w:r>
      <w:r w:rsidRPr="00B30083">
        <w:rPr>
          <w:highlight w:val="yellow"/>
          <w:vertAlign w:val="subscript"/>
          <w:lang w:val="en-GB"/>
        </w:rPr>
        <w:t>4</w:t>
      </w:r>
      <w:r w:rsidR="00B30083" w:rsidRPr="00B30083">
        <w:rPr>
          <w:highlight w:val="yellow"/>
          <w:lang w:val="en-GB"/>
        </w:rPr>
        <w:t xml:space="preserve">), which </w:t>
      </w:r>
      <w:r w:rsidRPr="00B30083">
        <w:rPr>
          <w:highlight w:val="yellow"/>
          <w:lang w:val="en-GB"/>
        </w:rPr>
        <w:t>coated</w:t>
      </w:r>
      <w:r w:rsidRPr="00314E4F">
        <w:rPr>
          <w:lang w:val="en-GB"/>
        </w:rPr>
        <w:t xml:space="preserve"> by </w:t>
      </w:r>
      <w:r w:rsidR="00314E4F" w:rsidRPr="00314E4F">
        <w:rPr>
          <w:lang w:val="en-GB"/>
        </w:rPr>
        <w:t>aluminium</w:t>
      </w:r>
      <w:r w:rsidRPr="00314E4F">
        <w:rPr>
          <w:lang w:val="en-GB"/>
        </w:rPr>
        <w:t xml:space="preserve"> foil current collector </w:t>
      </w:r>
      <w:r w:rsidR="00C378F4" w:rsidRPr="00C378F4">
        <w:rPr>
          <w:highlight w:val="yellow"/>
          <w:lang w:val="en-GB"/>
        </w:rPr>
        <w:t>(</w:t>
      </w:r>
      <w:proofErr w:type="spellStart"/>
      <w:r w:rsidRPr="00C378F4">
        <w:rPr>
          <w:highlight w:val="yellow"/>
          <w:lang w:val="en-GB"/>
        </w:rPr>
        <w:t>Manthiram</w:t>
      </w:r>
      <w:proofErr w:type="spellEnd"/>
      <w:r w:rsidRPr="00C378F4">
        <w:rPr>
          <w:highlight w:val="yellow"/>
          <w:lang w:val="en-GB"/>
        </w:rPr>
        <w:t xml:space="preserve"> 2020</w:t>
      </w:r>
      <w:r w:rsidR="00C378F4" w:rsidRPr="00C378F4">
        <w:rPr>
          <w:highlight w:val="yellow"/>
          <w:lang w:val="en-GB"/>
        </w:rPr>
        <w:t>)</w:t>
      </w:r>
      <w:r w:rsidRPr="00314E4F">
        <w:rPr>
          <w:lang w:val="en-GB"/>
        </w:rPr>
        <w:t xml:space="preserve">. The anode is typically made of graphite, which also contains copper foil support. The electrolyte contains lithium salts </w:t>
      </w:r>
      <w:r w:rsidR="00B30083" w:rsidRPr="00B30083">
        <w:rPr>
          <w:highlight w:val="yellow"/>
          <w:lang w:val="en-GB"/>
        </w:rPr>
        <w:t>to</w:t>
      </w:r>
      <w:r w:rsidRPr="00B30083">
        <w:rPr>
          <w:highlight w:val="yellow"/>
          <w:lang w:val="en-GB"/>
        </w:rPr>
        <w:t xml:space="preserve"> ensure</w:t>
      </w:r>
      <w:r w:rsidRPr="00314E4F">
        <w:rPr>
          <w:lang w:val="en-GB"/>
        </w:rPr>
        <w:t xml:space="preserve"> the migration of lithium ions between the electrodes, while the microporous polymer separator prevents short circuits </w:t>
      </w:r>
      <w:r w:rsidR="00C378F4" w:rsidRPr="00C378F4">
        <w:rPr>
          <w:highlight w:val="yellow"/>
          <w:lang w:val="en-GB"/>
        </w:rPr>
        <w:t>(</w:t>
      </w:r>
      <w:r w:rsidRPr="00C378F4">
        <w:rPr>
          <w:highlight w:val="yellow"/>
          <w:lang w:val="en-GB"/>
        </w:rPr>
        <w:t>Costa et al. 2018</w:t>
      </w:r>
      <w:r w:rsidR="00C378F4" w:rsidRPr="00C378F4">
        <w:rPr>
          <w:highlight w:val="yellow"/>
          <w:lang w:val="en-GB"/>
        </w:rPr>
        <w:t>)</w:t>
      </w:r>
      <w:r w:rsidRPr="00314E4F">
        <w:rPr>
          <w:lang w:val="en-GB"/>
        </w:rPr>
        <w:t>.</w:t>
      </w:r>
      <w:r w:rsidR="00685CBD">
        <w:rPr>
          <w:lang w:val="en-GB"/>
        </w:rPr>
        <w:t xml:space="preserve"> </w:t>
      </w:r>
      <w:r w:rsidRPr="00314E4F">
        <w:rPr>
          <w:lang w:val="en-GB"/>
        </w:rPr>
        <w:t xml:space="preserve">The increasing application of </w:t>
      </w:r>
      <w:r w:rsidR="00B30083" w:rsidRPr="00B30083">
        <w:rPr>
          <w:highlight w:val="yellow"/>
          <w:lang w:val="en-GB"/>
        </w:rPr>
        <w:t>portable electric devices</w:t>
      </w:r>
      <w:r w:rsidRPr="00B30083">
        <w:rPr>
          <w:highlight w:val="yellow"/>
          <w:lang w:val="en-GB"/>
        </w:rPr>
        <w:t xml:space="preserve"> </w:t>
      </w:r>
      <w:r w:rsidR="00B30083" w:rsidRPr="00B30083">
        <w:rPr>
          <w:highlight w:val="yellow"/>
          <w:lang w:val="en-GB"/>
        </w:rPr>
        <w:t>led to</w:t>
      </w:r>
      <w:r w:rsidRPr="00314E4F">
        <w:rPr>
          <w:lang w:val="en-GB"/>
        </w:rPr>
        <w:t xml:space="preserve"> growing in the amount of used </w:t>
      </w:r>
      <w:r w:rsidR="00B30083" w:rsidRPr="00B30083">
        <w:rPr>
          <w:highlight w:val="yellow"/>
          <w:lang w:val="en-GB"/>
        </w:rPr>
        <w:t>Li-ion</w:t>
      </w:r>
      <w:r w:rsidR="00B30083">
        <w:rPr>
          <w:lang w:val="en-GB"/>
        </w:rPr>
        <w:t xml:space="preserve"> </w:t>
      </w:r>
      <w:r w:rsidRPr="00314E4F">
        <w:rPr>
          <w:lang w:val="en-GB"/>
        </w:rPr>
        <w:t>batteries</w:t>
      </w:r>
      <w:r w:rsidR="009F741B">
        <w:rPr>
          <w:lang w:val="en-GB"/>
        </w:rPr>
        <w:t xml:space="preserve">, </w:t>
      </w:r>
      <w:r w:rsidR="009F741B" w:rsidRPr="009F741B">
        <w:rPr>
          <w:highlight w:val="yellow"/>
          <w:lang w:val="en-GB"/>
        </w:rPr>
        <w:t xml:space="preserve">which poses </w:t>
      </w:r>
      <w:r w:rsidRPr="009F741B">
        <w:rPr>
          <w:highlight w:val="yellow"/>
          <w:lang w:val="en-GB"/>
        </w:rPr>
        <w:t>a serious technical and environmental challenge</w:t>
      </w:r>
      <w:r w:rsidR="009F741B" w:rsidRPr="009F741B">
        <w:rPr>
          <w:highlight w:val="yellow"/>
          <w:lang w:val="en-GB"/>
        </w:rPr>
        <w:t xml:space="preserve"> to the waste management</w:t>
      </w:r>
      <w:r w:rsidRPr="00314E4F">
        <w:rPr>
          <w:lang w:val="en-GB"/>
        </w:rPr>
        <w:t xml:space="preserve">. The currently used recycling technologies - pyrometallurgy, hydrometallurgy and electrochemical recovery - mainly focus on the recovery of valuable metals from the electrodes. </w:t>
      </w:r>
      <w:r w:rsidR="009F741B" w:rsidRPr="009F741B">
        <w:rPr>
          <w:highlight w:val="yellow"/>
          <w:lang w:val="en-GB"/>
        </w:rPr>
        <w:t>T</w:t>
      </w:r>
      <w:r w:rsidRPr="009F741B">
        <w:rPr>
          <w:highlight w:val="yellow"/>
          <w:lang w:val="en-GB"/>
        </w:rPr>
        <w:t>he</w:t>
      </w:r>
      <w:r w:rsidRPr="00314E4F">
        <w:rPr>
          <w:lang w:val="en-GB"/>
        </w:rPr>
        <w:t xml:space="preserve"> utilization of other components of </w:t>
      </w:r>
      <w:r w:rsidR="009F741B" w:rsidRPr="009F741B">
        <w:rPr>
          <w:highlight w:val="yellow"/>
          <w:lang w:val="en-GB"/>
        </w:rPr>
        <w:t>spent</w:t>
      </w:r>
      <w:r w:rsidR="009F741B">
        <w:rPr>
          <w:lang w:val="en-GB"/>
        </w:rPr>
        <w:t xml:space="preserve"> </w:t>
      </w:r>
      <w:r w:rsidRPr="00314E4F">
        <w:rPr>
          <w:lang w:val="en-GB"/>
        </w:rPr>
        <w:t xml:space="preserve">batteries </w:t>
      </w:r>
      <w:r w:rsidR="009F741B">
        <w:rPr>
          <w:lang w:val="en-GB"/>
        </w:rPr>
        <w:t>(</w:t>
      </w:r>
      <w:r w:rsidR="009F741B" w:rsidRPr="009F741B">
        <w:rPr>
          <w:highlight w:val="yellow"/>
          <w:lang w:val="en-GB"/>
        </w:rPr>
        <w:t>e.g.</w:t>
      </w:r>
      <w:r w:rsidRPr="00314E4F">
        <w:rPr>
          <w:lang w:val="en-GB"/>
        </w:rPr>
        <w:t xml:space="preserve"> plastic-based separator</w:t>
      </w:r>
      <w:r w:rsidR="009F741B">
        <w:rPr>
          <w:lang w:val="en-GB"/>
        </w:rPr>
        <w:t>)</w:t>
      </w:r>
      <w:r w:rsidRPr="00314E4F">
        <w:rPr>
          <w:lang w:val="en-GB"/>
        </w:rPr>
        <w:t xml:space="preserve"> </w:t>
      </w:r>
      <w:r w:rsidRPr="009F741B">
        <w:rPr>
          <w:highlight w:val="yellow"/>
          <w:lang w:val="en-GB"/>
        </w:rPr>
        <w:t xml:space="preserve">is </w:t>
      </w:r>
      <w:r w:rsidR="009F741B" w:rsidRPr="009F741B">
        <w:rPr>
          <w:highlight w:val="yellow"/>
          <w:lang w:val="en-GB"/>
        </w:rPr>
        <w:t>less investigated</w:t>
      </w:r>
      <w:r w:rsidRPr="00314E4F">
        <w:rPr>
          <w:lang w:val="en-GB"/>
        </w:rPr>
        <w:t xml:space="preserve">, although they </w:t>
      </w:r>
      <w:r w:rsidRPr="009F741B">
        <w:rPr>
          <w:highlight w:val="yellow"/>
          <w:lang w:val="en-GB"/>
        </w:rPr>
        <w:t>can used</w:t>
      </w:r>
      <w:r w:rsidRPr="00314E4F">
        <w:rPr>
          <w:lang w:val="en-GB"/>
        </w:rPr>
        <w:t xml:space="preserve"> to produce hydrocarbons or hydrogen through catalytic processes at high temperatures </w:t>
      </w:r>
      <w:r w:rsidR="00C378F4" w:rsidRPr="00C378F4">
        <w:rPr>
          <w:highlight w:val="yellow"/>
          <w:lang w:val="en-GB"/>
        </w:rPr>
        <w:t>(</w:t>
      </w:r>
      <w:r w:rsidRPr="00C378F4">
        <w:rPr>
          <w:highlight w:val="yellow"/>
          <w:lang w:val="en-GB"/>
        </w:rPr>
        <w:t>Biswal et al. 2024, Hong et at. 2022</w:t>
      </w:r>
      <w:r w:rsidR="00C378F4" w:rsidRPr="00C378F4">
        <w:rPr>
          <w:highlight w:val="yellow"/>
          <w:lang w:val="en-GB"/>
        </w:rPr>
        <w:t>)</w:t>
      </w:r>
      <w:r w:rsidRPr="00314E4F">
        <w:rPr>
          <w:lang w:val="en-GB"/>
        </w:rPr>
        <w:t xml:space="preserve">. The transition metals (e.g. Ni, Fe, Mn, Co) </w:t>
      </w:r>
      <w:r w:rsidR="009F741B" w:rsidRPr="009F741B">
        <w:rPr>
          <w:highlight w:val="yellow"/>
          <w:lang w:val="en-GB"/>
        </w:rPr>
        <w:t>obtained from spent</w:t>
      </w:r>
      <w:r w:rsidRPr="00314E4F">
        <w:rPr>
          <w:lang w:val="en-GB"/>
        </w:rPr>
        <w:t xml:space="preserve"> lithium-ion batteries </w:t>
      </w:r>
      <w:r w:rsidR="009F741B" w:rsidRPr="009F741B">
        <w:rPr>
          <w:highlight w:val="yellow"/>
          <w:lang w:val="en-GB"/>
        </w:rPr>
        <w:t>should be</w:t>
      </w:r>
      <w:r w:rsidRPr="00314E4F">
        <w:rPr>
          <w:lang w:val="en-GB"/>
        </w:rPr>
        <w:t xml:space="preserve"> active catalysts in </w:t>
      </w:r>
      <w:r w:rsidR="009F741B" w:rsidRPr="009F741B">
        <w:rPr>
          <w:highlight w:val="yellow"/>
          <w:lang w:val="en-GB"/>
        </w:rPr>
        <w:t>waste</w:t>
      </w:r>
      <w:r w:rsidR="009F741B">
        <w:rPr>
          <w:lang w:val="en-GB"/>
        </w:rPr>
        <w:t xml:space="preserve"> </w:t>
      </w:r>
      <w:r w:rsidRPr="00314E4F">
        <w:rPr>
          <w:lang w:val="en-GB"/>
        </w:rPr>
        <w:t xml:space="preserve">gasification, thus opening the possibility </w:t>
      </w:r>
      <w:r w:rsidR="009F741B">
        <w:rPr>
          <w:lang w:val="en-GB"/>
        </w:rPr>
        <w:t>to</w:t>
      </w:r>
      <w:r w:rsidRPr="00314E4F">
        <w:rPr>
          <w:lang w:val="en-GB"/>
        </w:rPr>
        <w:t xml:space="preserve"> recovery of metals and the production of hydrogen</w:t>
      </w:r>
      <w:r w:rsidR="009F741B">
        <w:rPr>
          <w:lang w:val="en-GB"/>
        </w:rPr>
        <w:t xml:space="preserve"> </w:t>
      </w:r>
      <w:r w:rsidR="00C378F4" w:rsidRPr="00C378F4">
        <w:rPr>
          <w:highlight w:val="yellow"/>
          <w:lang w:val="en-GB"/>
        </w:rPr>
        <w:t>(</w:t>
      </w:r>
      <w:r w:rsidRPr="00C378F4">
        <w:rPr>
          <w:highlight w:val="yellow"/>
          <w:lang w:val="en-GB"/>
        </w:rPr>
        <w:t>Li et al. 2013</w:t>
      </w:r>
      <w:r w:rsidR="00C378F4" w:rsidRPr="00C378F4">
        <w:rPr>
          <w:highlight w:val="yellow"/>
          <w:lang w:val="en-GB"/>
        </w:rPr>
        <w:t>)</w:t>
      </w:r>
      <w:r w:rsidRPr="00314E4F">
        <w:rPr>
          <w:lang w:val="en-GB"/>
        </w:rPr>
        <w:t>.</w:t>
      </w:r>
      <w:r w:rsidR="00685CBD">
        <w:rPr>
          <w:lang w:val="en-GB"/>
        </w:rPr>
        <w:t xml:space="preserve"> </w:t>
      </w:r>
      <w:r w:rsidRPr="00314E4F">
        <w:rPr>
          <w:lang w:val="en-GB"/>
        </w:rPr>
        <w:t xml:space="preserve">However, the catalytic performance depends on the oxidation state, dispersion and interaction of the metals </w:t>
      </w:r>
      <w:r w:rsidR="00C378F4" w:rsidRPr="00C378F4">
        <w:rPr>
          <w:highlight w:val="yellow"/>
          <w:lang w:val="en-GB"/>
        </w:rPr>
        <w:t>(</w:t>
      </w:r>
      <w:proofErr w:type="spellStart"/>
      <w:r w:rsidRPr="00C378F4">
        <w:rPr>
          <w:highlight w:val="yellow"/>
          <w:lang w:val="en-GB"/>
        </w:rPr>
        <w:t>Faizan</w:t>
      </w:r>
      <w:proofErr w:type="spellEnd"/>
      <w:r w:rsidRPr="00C378F4">
        <w:rPr>
          <w:highlight w:val="yellow"/>
          <w:lang w:val="en-GB"/>
        </w:rPr>
        <w:t xml:space="preserve"> et al. 2023</w:t>
      </w:r>
      <w:r w:rsidR="00C378F4" w:rsidRPr="00C378F4">
        <w:rPr>
          <w:highlight w:val="yellow"/>
          <w:lang w:val="en-GB"/>
        </w:rPr>
        <w:t>)</w:t>
      </w:r>
      <w:r w:rsidRPr="00314E4F">
        <w:rPr>
          <w:lang w:val="en-GB"/>
        </w:rPr>
        <w:t xml:space="preserve">. </w:t>
      </w:r>
      <w:r w:rsidR="00685CBD">
        <w:rPr>
          <w:lang w:val="en-GB"/>
        </w:rPr>
        <w:t>R</w:t>
      </w:r>
      <w:r w:rsidRPr="00314E4F">
        <w:rPr>
          <w:lang w:val="en-GB"/>
        </w:rPr>
        <w:t>educed</w:t>
      </w:r>
      <w:r w:rsidR="00685CBD">
        <w:rPr>
          <w:lang w:val="en-GB"/>
        </w:rPr>
        <w:t xml:space="preserve"> form</w:t>
      </w:r>
      <w:r w:rsidRPr="00314E4F">
        <w:rPr>
          <w:lang w:val="en-GB"/>
        </w:rPr>
        <w:t>, metallic state is primarily required</w:t>
      </w:r>
      <w:r w:rsidR="00685CBD">
        <w:rPr>
          <w:lang w:val="en-GB"/>
        </w:rPr>
        <w:t xml:space="preserve"> f</w:t>
      </w:r>
      <w:r w:rsidR="00685CBD" w:rsidRPr="00314E4F">
        <w:rPr>
          <w:lang w:val="en-GB"/>
        </w:rPr>
        <w:t>or high reforming activity and hydrogen selectivity</w:t>
      </w:r>
      <w:r w:rsidRPr="00314E4F">
        <w:rPr>
          <w:lang w:val="en-GB"/>
        </w:rPr>
        <w:t xml:space="preserve">, while the hydrogen yield may be significantly </w:t>
      </w:r>
      <w:r w:rsidR="00630E47" w:rsidRPr="00314E4F">
        <w:rPr>
          <w:lang w:val="en-GB"/>
        </w:rPr>
        <w:t>lower</w:t>
      </w:r>
      <w:r w:rsidR="00685CBD">
        <w:rPr>
          <w:lang w:val="en-GB"/>
        </w:rPr>
        <w:t xml:space="preserve"> </w:t>
      </w:r>
      <w:r w:rsidR="00685CBD" w:rsidRPr="00314E4F">
        <w:rPr>
          <w:lang w:val="en-GB"/>
        </w:rPr>
        <w:t>in the oxidized form</w:t>
      </w:r>
      <w:r w:rsidRPr="00314E4F">
        <w:rPr>
          <w:lang w:val="en-GB"/>
        </w:rPr>
        <w:t xml:space="preserve"> </w:t>
      </w:r>
      <w:r w:rsidR="00C378F4" w:rsidRPr="00C378F4">
        <w:rPr>
          <w:highlight w:val="yellow"/>
          <w:lang w:val="en-GB"/>
        </w:rPr>
        <w:t>(</w:t>
      </w:r>
      <w:r w:rsidRPr="00F96771">
        <w:rPr>
          <w:highlight w:val="yellow"/>
          <w:lang w:val="en-GB"/>
        </w:rPr>
        <w:t>Fan et al. 2021, Liu et al. 2022</w:t>
      </w:r>
      <w:r w:rsidR="00C378F4" w:rsidRPr="00F96771">
        <w:rPr>
          <w:highlight w:val="yellow"/>
          <w:lang w:val="en-GB"/>
        </w:rPr>
        <w:t>)</w:t>
      </w:r>
      <w:r w:rsidRPr="00F96771">
        <w:rPr>
          <w:highlight w:val="yellow"/>
          <w:lang w:val="en-GB"/>
        </w:rPr>
        <w:t>.</w:t>
      </w:r>
      <w:r w:rsidR="00F96771" w:rsidRPr="00F96771">
        <w:rPr>
          <w:highlight w:val="yellow"/>
          <w:lang w:val="en-GB"/>
        </w:rPr>
        <w:t xml:space="preserve"> Based on the short literature review, it was concluded that the complex recycling of Li-ion batteries is currently unsolved. Most research</w:t>
      </w:r>
      <w:r w:rsidR="00685CBD">
        <w:rPr>
          <w:highlight w:val="yellow"/>
          <w:lang w:val="en-GB"/>
        </w:rPr>
        <w:t>es</w:t>
      </w:r>
      <w:r w:rsidR="00F96771" w:rsidRPr="00F96771">
        <w:rPr>
          <w:highlight w:val="yellow"/>
          <w:lang w:val="en-GB"/>
        </w:rPr>
        <w:t xml:space="preserve"> </w:t>
      </w:r>
      <w:r w:rsidR="00685CBD">
        <w:rPr>
          <w:highlight w:val="yellow"/>
          <w:lang w:val="en-GB"/>
        </w:rPr>
        <w:t>are</w:t>
      </w:r>
      <w:r w:rsidR="00F96771" w:rsidRPr="00F96771">
        <w:rPr>
          <w:highlight w:val="yellow"/>
          <w:lang w:val="en-GB"/>
        </w:rPr>
        <w:t xml:space="preserve"> focus</w:t>
      </w:r>
      <w:r w:rsidR="00685CBD">
        <w:rPr>
          <w:highlight w:val="yellow"/>
          <w:lang w:val="en-GB"/>
        </w:rPr>
        <w:t xml:space="preserve">sing </w:t>
      </w:r>
      <w:r w:rsidR="00F96771" w:rsidRPr="00F96771">
        <w:rPr>
          <w:highlight w:val="yellow"/>
          <w:lang w:val="en-GB"/>
        </w:rPr>
        <w:t>on valuable metals recover</w:t>
      </w:r>
      <w:r w:rsidR="00685CBD">
        <w:rPr>
          <w:highlight w:val="yellow"/>
          <w:lang w:val="en-GB"/>
        </w:rPr>
        <w:t>y</w:t>
      </w:r>
      <w:r w:rsidR="00F96771" w:rsidRPr="00F96771">
        <w:rPr>
          <w:highlight w:val="yellow"/>
          <w:lang w:val="en-GB"/>
        </w:rPr>
        <w:t xml:space="preserve"> from the electrodes and does not address the recycling of the rest </w:t>
      </w:r>
      <w:r w:rsidR="00685CBD">
        <w:rPr>
          <w:highlight w:val="yellow"/>
          <w:lang w:val="en-GB"/>
        </w:rPr>
        <w:t xml:space="preserve">constituents </w:t>
      </w:r>
      <w:r w:rsidR="00F96771" w:rsidRPr="00F96771">
        <w:rPr>
          <w:highlight w:val="yellow"/>
          <w:lang w:val="en-GB"/>
        </w:rPr>
        <w:t xml:space="preserve">of batteries. It is also not clear how to solve the problem of recycling </w:t>
      </w:r>
      <w:r w:rsidR="00685CBD">
        <w:rPr>
          <w:highlight w:val="yellow"/>
          <w:lang w:val="en-GB"/>
        </w:rPr>
        <w:t xml:space="preserve">of </w:t>
      </w:r>
      <w:r w:rsidR="00F96771" w:rsidRPr="00F96771">
        <w:rPr>
          <w:highlight w:val="yellow"/>
          <w:lang w:val="en-GB"/>
        </w:rPr>
        <w:t>each part of the batteries and making them secondary raw materials for a circular economy.</w:t>
      </w:r>
    </w:p>
    <w:p w14:paraId="5C5D3B02" w14:textId="6D4F6546" w:rsidR="00DE2698" w:rsidRPr="00314E4F" w:rsidRDefault="00EC7463" w:rsidP="00EC7463">
      <w:pPr>
        <w:pStyle w:val="CETBodytext"/>
        <w:rPr>
          <w:lang w:val="en-GB"/>
        </w:rPr>
      </w:pPr>
      <w:r w:rsidRPr="00314E4F">
        <w:rPr>
          <w:lang w:val="en-GB"/>
        </w:rPr>
        <w:lastRenderedPageBreak/>
        <w:t>In this work the value-added recycling of spent Li-ion batter</w:t>
      </w:r>
      <w:r w:rsidR="00685CBD">
        <w:rPr>
          <w:lang w:val="en-GB"/>
        </w:rPr>
        <w:t>ies</w:t>
      </w:r>
      <w:r w:rsidRPr="00314E4F">
        <w:rPr>
          <w:lang w:val="en-GB"/>
        </w:rPr>
        <w:t xml:space="preserve"> was investigated to obtain hydrogen rich gases. Catalysts have been obtained by the pyrometallurgy pre-treating of spent Li-ion battery electrodes</w:t>
      </w:r>
      <w:r w:rsidR="00685CBD" w:rsidRPr="00685CBD">
        <w:rPr>
          <w:lang w:val="en-GB"/>
        </w:rPr>
        <w:t xml:space="preserve"> </w:t>
      </w:r>
      <w:r w:rsidR="00685CBD" w:rsidRPr="00685CBD">
        <w:rPr>
          <w:highlight w:val="yellow"/>
          <w:lang w:val="en-GB"/>
        </w:rPr>
        <w:t>to enhance the</w:t>
      </w:r>
      <w:r w:rsidR="00685CBD">
        <w:rPr>
          <w:highlight w:val="yellow"/>
          <w:lang w:val="en-GB"/>
        </w:rPr>
        <w:t xml:space="preserve"> gasification and</w:t>
      </w:r>
      <w:r w:rsidR="00685CBD" w:rsidRPr="00685CBD">
        <w:rPr>
          <w:highlight w:val="yellow"/>
          <w:lang w:val="en-GB"/>
        </w:rPr>
        <w:t xml:space="preserve"> reforming reactions</w:t>
      </w:r>
      <w:r w:rsidRPr="00314E4F">
        <w:rPr>
          <w:lang w:val="en-GB"/>
        </w:rPr>
        <w:t>.</w:t>
      </w:r>
    </w:p>
    <w:p w14:paraId="04889FE1" w14:textId="44FC0B77" w:rsidR="00D45120" w:rsidRPr="00314E4F" w:rsidRDefault="00D45120" w:rsidP="00D45120">
      <w:pPr>
        <w:pStyle w:val="CETHeading1"/>
        <w:numPr>
          <w:ilvl w:val="1"/>
          <w:numId w:val="23"/>
        </w:numPr>
        <w:rPr>
          <w:color w:val="000000" w:themeColor="text1"/>
          <w:lang w:val="en-GB"/>
        </w:rPr>
      </w:pPr>
      <w:r w:rsidRPr="00314E4F">
        <w:rPr>
          <w:color w:val="000000" w:themeColor="text1"/>
          <w:lang w:val="en-GB"/>
        </w:rPr>
        <w:t>Materials &amp; methods</w:t>
      </w:r>
    </w:p>
    <w:p w14:paraId="086A381C" w14:textId="661EF46E" w:rsidR="00D45120" w:rsidRPr="00314E4F" w:rsidRDefault="00D45120" w:rsidP="00314E4F">
      <w:pPr>
        <w:pStyle w:val="CETheadingx"/>
        <w:rPr>
          <w:lang w:val="en-GB"/>
        </w:rPr>
      </w:pPr>
      <w:r w:rsidRPr="00314E4F">
        <w:rPr>
          <w:lang w:val="en-GB"/>
        </w:rPr>
        <w:t>Raw material</w:t>
      </w:r>
      <w:r w:rsidR="00F0038A" w:rsidRPr="00314E4F">
        <w:rPr>
          <w:lang w:val="en-GB"/>
        </w:rPr>
        <w:t>s and catalysts</w:t>
      </w:r>
    </w:p>
    <w:p w14:paraId="78D1E658" w14:textId="7A71E6A1" w:rsidR="00A15B67" w:rsidRPr="002D6624" w:rsidRDefault="004B7288" w:rsidP="00A15B67">
      <w:pPr>
        <w:pStyle w:val="CETBodytext"/>
        <w:rPr>
          <w:lang w:val="en-GB"/>
        </w:rPr>
      </w:pPr>
      <w:r w:rsidRPr="004B7288">
        <w:rPr>
          <w:highlight w:val="yellow"/>
          <w:lang w:val="en-GB"/>
        </w:rPr>
        <w:t>Waste electr</w:t>
      </w:r>
      <w:r>
        <w:rPr>
          <w:highlight w:val="yellow"/>
          <w:lang w:val="en-GB"/>
        </w:rPr>
        <w:t>on</w:t>
      </w:r>
      <w:r w:rsidRPr="004B7288">
        <w:rPr>
          <w:highlight w:val="yellow"/>
          <w:lang w:val="en-GB"/>
        </w:rPr>
        <w:t>ic devices (</w:t>
      </w:r>
      <w:r w:rsidR="00685CBD">
        <w:rPr>
          <w:highlight w:val="yellow"/>
          <w:lang w:val="en-GB"/>
        </w:rPr>
        <w:t xml:space="preserve">e.g. </w:t>
      </w:r>
      <w:r w:rsidR="00A95F88" w:rsidRPr="004B7288">
        <w:rPr>
          <w:highlight w:val="yellow"/>
          <w:lang w:val="en-GB"/>
        </w:rPr>
        <w:t xml:space="preserve">power bank, navigation device, laptop)) </w:t>
      </w:r>
      <w:r w:rsidR="00EA0E93" w:rsidRPr="004B7288">
        <w:rPr>
          <w:highlight w:val="yellow"/>
          <w:lang w:val="en-GB"/>
        </w:rPr>
        <w:t xml:space="preserve">were </w:t>
      </w:r>
      <w:r w:rsidRPr="004B7288">
        <w:rPr>
          <w:highlight w:val="yellow"/>
          <w:lang w:val="en-GB"/>
        </w:rPr>
        <w:t>dismantled to Li-ion battery</w:t>
      </w:r>
      <w:r w:rsidR="00685CBD">
        <w:rPr>
          <w:highlight w:val="yellow"/>
          <w:lang w:val="en-GB"/>
        </w:rPr>
        <w:t xml:space="preserve"> </w:t>
      </w:r>
      <w:r w:rsidRPr="004B7288">
        <w:rPr>
          <w:highlight w:val="yellow"/>
          <w:lang w:val="en-GB"/>
        </w:rPr>
        <w:t>and other parts</w:t>
      </w:r>
      <w:r w:rsidR="00EA0E93" w:rsidRPr="004B7288">
        <w:rPr>
          <w:highlight w:val="yellow"/>
          <w:lang w:val="en-GB"/>
        </w:rPr>
        <w:t xml:space="preserve">. </w:t>
      </w:r>
      <w:r w:rsidR="00A95F88" w:rsidRPr="004B7288">
        <w:rPr>
          <w:highlight w:val="yellow"/>
          <w:lang w:val="en-GB"/>
        </w:rPr>
        <w:t xml:space="preserve">Then </w:t>
      </w:r>
      <w:r w:rsidR="00EA0E93" w:rsidRPr="004B7288">
        <w:rPr>
          <w:highlight w:val="yellow"/>
          <w:lang w:val="en-GB"/>
        </w:rPr>
        <w:t>Li-ion batteries were discharged</w:t>
      </w:r>
      <w:r w:rsidR="00EA0E93" w:rsidRPr="00314E4F">
        <w:rPr>
          <w:lang w:val="en-GB"/>
        </w:rPr>
        <w:t xml:space="preserve"> by their storage in 10% dissolution of NaCl for 2 days</w:t>
      </w:r>
      <w:r>
        <w:rPr>
          <w:lang w:val="en-GB"/>
        </w:rPr>
        <w:t xml:space="preserve">, </w:t>
      </w:r>
      <w:r w:rsidR="00EA0E93" w:rsidRPr="00314E4F">
        <w:rPr>
          <w:lang w:val="en-GB"/>
        </w:rPr>
        <w:t>crush</w:t>
      </w:r>
      <w:r w:rsidR="005E4912" w:rsidRPr="00314E4F">
        <w:rPr>
          <w:lang w:val="en-GB"/>
        </w:rPr>
        <w:t>ed</w:t>
      </w:r>
      <w:r w:rsidR="00EA0E93" w:rsidRPr="00314E4F">
        <w:rPr>
          <w:lang w:val="en-GB"/>
        </w:rPr>
        <w:t xml:space="preserve"> </w:t>
      </w:r>
      <w:r w:rsidR="00353B4C" w:rsidRPr="00314E4F">
        <w:rPr>
          <w:lang w:val="en-GB"/>
        </w:rPr>
        <w:t>and physically separated into separator, electrodes and metal particles.</w:t>
      </w:r>
      <w:r w:rsidR="00F0038A" w:rsidRPr="00314E4F">
        <w:rPr>
          <w:lang w:val="en-GB"/>
        </w:rPr>
        <w:t xml:space="preserve"> </w:t>
      </w:r>
      <w:r w:rsidR="001E2622" w:rsidRPr="001E2622">
        <w:rPr>
          <w:highlight w:val="yellow"/>
          <w:lang w:val="en-GB"/>
        </w:rPr>
        <w:t>T</w:t>
      </w:r>
      <w:r w:rsidR="00082E54" w:rsidRPr="001E2622">
        <w:rPr>
          <w:highlight w:val="yellow"/>
          <w:lang w:val="en-GB"/>
        </w:rPr>
        <w:t xml:space="preserve">he </w:t>
      </w:r>
      <w:r w:rsidR="005E4912" w:rsidRPr="001E2622">
        <w:rPr>
          <w:highlight w:val="yellow"/>
          <w:lang w:val="en-GB"/>
        </w:rPr>
        <w:t xml:space="preserve">recycled </w:t>
      </w:r>
      <w:r w:rsidR="00082E54" w:rsidRPr="001E2622">
        <w:rPr>
          <w:highlight w:val="yellow"/>
          <w:lang w:val="en-GB"/>
        </w:rPr>
        <w:t xml:space="preserve">electrodes </w:t>
      </w:r>
      <w:r w:rsidR="001E2622" w:rsidRPr="001E2622">
        <w:rPr>
          <w:highlight w:val="yellow"/>
          <w:lang w:val="en-GB"/>
        </w:rPr>
        <w:t>were</w:t>
      </w:r>
      <w:r w:rsidR="00082E54" w:rsidRPr="001E2622">
        <w:rPr>
          <w:highlight w:val="yellow"/>
          <w:lang w:val="en-GB"/>
        </w:rPr>
        <w:t xml:space="preserve"> used</w:t>
      </w:r>
      <w:r w:rsidR="001E2622" w:rsidRPr="001E2622">
        <w:rPr>
          <w:highlight w:val="yellow"/>
          <w:lang w:val="en-GB"/>
        </w:rPr>
        <w:t xml:space="preserve"> for catalyst synthesis, while s</w:t>
      </w:r>
      <w:r w:rsidR="00082E54" w:rsidRPr="001E2622">
        <w:rPr>
          <w:highlight w:val="yellow"/>
          <w:lang w:val="en-GB"/>
        </w:rPr>
        <w:t xml:space="preserve">eparators </w:t>
      </w:r>
      <w:r w:rsidR="005E4912" w:rsidRPr="001E2622">
        <w:rPr>
          <w:highlight w:val="yellow"/>
          <w:lang w:val="en-GB"/>
        </w:rPr>
        <w:t xml:space="preserve">obtained </w:t>
      </w:r>
      <w:r w:rsidR="00082E54" w:rsidRPr="001E2622">
        <w:rPr>
          <w:highlight w:val="yellow"/>
          <w:lang w:val="en-GB"/>
        </w:rPr>
        <w:t xml:space="preserve">from spent Li-battery </w:t>
      </w:r>
      <w:r w:rsidR="001E2622" w:rsidRPr="001E2622">
        <w:rPr>
          <w:highlight w:val="yellow"/>
          <w:lang w:val="en-GB"/>
        </w:rPr>
        <w:t>were the</w:t>
      </w:r>
      <w:r w:rsidR="00082E54" w:rsidRPr="001E2622">
        <w:rPr>
          <w:highlight w:val="yellow"/>
          <w:lang w:val="en-GB"/>
        </w:rPr>
        <w:t xml:space="preserve"> raw material</w:t>
      </w:r>
      <w:r w:rsidR="005E4912" w:rsidRPr="001E2622">
        <w:rPr>
          <w:highlight w:val="yellow"/>
          <w:lang w:val="en-GB"/>
        </w:rPr>
        <w:t xml:space="preserve"> for pyrolysis-gasification</w:t>
      </w:r>
      <w:r w:rsidR="001E2622">
        <w:rPr>
          <w:highlight w:val="yellow"/>
          <w:lang w:val="en-GB"/>
        </w:rPr>
        <w:t xml:space="preserve"> to produce hydrogen</w:t>
      </w:r>
      <w:r w:rsidR="00A15B67" w:rsidRPr="001E2622">
        <w:rPr>
          <w:highlight w:val="yellow"/>
          <w:lang w:val="en-GB"/>
        </w:rPr>
        <w:t>. B</w:t>
      </w:r>
      <w:r w:rsidR="00A15B67" w:rsidRPr="00A15B67">
        <w:rPr>
          <w:highlight w:val="yellow"/>
          <w:lang w:val="en-GB"/>
        </w:rPr>
        <w:t xml:space="preserve">ased on proximate and ultimate analyses, </w:t>
      </w:r>
      <w:r w:rsidR="001E2622">
        <w:rPr>
          <w:highlight w:val="yellow"/>
          <w:lang w:val="en-GB"/>
        </w:rPr>
        <w:t xml:space="preserve">the separator foil </w:t>
      </w:r>
      <w:r w:rsidR="00A746FC" w:rsidRPr="00314E4F">
        <w:rPr>
          <w:lang w:val="en-GB"/>
        </w:rPr>
        <w:t xml:space="preserve">has the following properties: ash content of </w:t>
      </w:r>
      <w:r w:rsidR="00446C54" w:rsidRPr="00314E4F">
        <w:rPr>
          <w:lang w:val="en-GB"/>
        </w:rPr>
        <w:t>0.8</w:t>
      </w:r>
      <w:r w:rsidR="00A746FC" w:rsidRPr="00314E4F">
        <w:rPr>
          <w:lang w:val="en-GB"/>
        </w:rPr>
        <w:t xml:space="preserve">%, volatiles of </w:t>
      </w:r>
      <w:r w:rsidR="00446C54" w:rsidRPr="00314E4F">
        <w:rPr>
          <w:lang w:val="en-GB"/>
        </w:rPr>
        <w:t>99.1</w:t>
      </w:r>
      <w:r w:rsidR="00A746FC" w:rsidRPr="00314E4F">
        <w:rPr>
          <w:lang w:val="en-GB"/>
        </w:rPr>
        <w:t xml:space="preserve">%, humidity of </w:t>
      </w:r>
      <w:r w:rsidR="00446C54" w:rsidRPr="00314E4F">
        <w:rPr>
          <w:lang w:val="en-GB"/>
        </w:rPr>
        <w:t>0.1</w:t>
      </w:r>
      <w:r w:rsidR="00A746FC" w:rsidRPr="00314E4F">
        <w:rPr>
          <w:lang w:val="en-GB"/>
        </w:rPr>
        <w:t xml:space="preserve">%, C content of </w:t>
      </w:r>
      <w:r w:rsidR="00446C54" w:rsidRPr="00314E4F">
        <w:rPr>
          <w:lang w:val="en-GB"/>
        </w:rPr>
        <w:t>84.7</w:t>
      </w:r>
      <w:r w:rsidR="00A746FC" w:rsidRPr="00314E4F">
        <w:rPr>
          <w:lang w:val="en-GB"/>
        </w:rPr>
        <w:t xml:space="preserve">% and H content of </w:t>
      </w:r>
      <w:r w:rsidR="00446C54" w:rsidRPr="00314E4F">
        <w:rPr>
          <w:lang w:val="en-GB"/>
        </w:rPr>
        <w:t>15.3</w:t>
      </w:r>
      <w:r w:rsidR="00A746FC" w:rsidRPr="00314E4F">
        <w:rPr>
          <w:lang w:val="en-GB"/>
        </w:rPr>
        <w:t>%.</w:t>
      </w:r>
      <w:r w:rsidR="00A15B67">
        <w:rPr>
          <w:lang w:val="en-GB"/>
        </w:rPr>
        <w:t xml:space="preserve"> </w:t>
      </w:r>
      <w:r w:rsidR="00A15B67" w:rsidRPr="00211EB4">
        <w:rPr>
          <w:highlight w:val="yellow"/>
          <w:lang w:val="en-GB"/>
        </w:rPr>
        <w:t xml:space="preserve">For analysis a </w:t>
      </w:r>
      <w:r w:rsidR="00A15B67" w:rsidRPr="00211EB4">
        <w:rPr>
          <w:highlight w:val="yellow"/>
        </w:rPr>
        <w:t xml:space="preserve">TG 209 F1 Libra equipment connected with Bruker </w:t>
      </w:r>
      <w:proofErr w:type="spellStart"/>
      <w:r w:rsidR="00A15B67" w:rsidRPr="00211EB4">
        <w:rPr>
          <w:highlight w:val="yellow"/>
        </w:rPr>
        <w:t>Invenio</w:t>
      </w:r>
      <w:proofErr w:type="spellEnd"/>
      <w:r w:rsidR="00A15B67" w:rsidRPr="00211EB4">
        <w:rPr>
          <w:highlight w:val="yellow"/>
        </w:rPr>
        <w:t xml:space="preserve"> S instrument and </w:t>
      </w:r>
      <w:r w:rsidR="0069636F" w:rsidRPr="0069636F">
        <w:rPr>
          <w:highlight w:val="yellow"/>
        </w:rPr>
        <w:t>Carlo-</w:t>
      </w:r>
      <w:proofErr w:type="spellStart"/>
      <w:r w:rsidR="0069636F" w:rsidRPr="0069636F">
        <w:rPr>
          <w:highlight w:val="yellow"/>
        </w:rPr>
        <w:t>Erba</w:t>
      </w:r>
      <w:proofErr w:type="spellEnd"/>
      <w:r w:rsidR="0069636F" w:rsidRPr="0069636F">
        <w:rPr>
          <w:highlight w:val="yellow"/>
        </w:rPr>
        <w:t xml:space="preserve"> EA 1108 CHNS-O </w:t>
      </w:r>
      <w:r w:rsidR="00211EB4" w:rsidRPr="00211EB4">
        <w:rPr>
          <w:highlight w:val="yellow"/>
        </w:rPr>
        <w:t>instrument</w:t>
      </w:r>
      <w:r w:rsidR="001E2622">
        <w:rPr>
          <w:highlight w:val="yellow"/>
        </w:rPr>
        <w:t xml:space="preserve"> were used</w:t>
      </w:r>
      <w:r w:rsidR="00211EB4" w:rsidRPr="00211EB4">
        <w:rPr>
          <w:highlight w:val="yellow"/>
        </w:rPr>
        <w:t>.</w:t>
      </w:r>
    </w:p>
    <w:p w14:paraId="3AD3E60B" w14:textId="501E38FB" w:rsidR="007442C8" w:rsidRPr="0001306B" w:rsidRDefault="00A746FC" w:rsidP="00956431">
      <w:pPr>
        <w:pStyle w:val="CETBodytext"/>
        <w:rPr>
          <w:highlight w:val="yellow"/>
        </w:rPr>
      </w:pPr>
      <w:r w:rsidRPr="00314E4F">
        <w:rPr>
          <w:lang w:val="en-GB"/>
        </w:rPr>
        <w:t xml:space="preserve">To enhance the decomposition reactions and increase the hydrogen content, different catalysts obtained from spent Li-battery were tested. </w:t>
      </w:r>
      <w:r w:rsidR="00082E54" w:rsidRPr="00314E4F">
        <w:rPr>
          <w:lang w:val="en-GB"/>
        </w:rPr>
        <w:t xml:space="preserve">During the catalyst synthesis, the spent electrodes were heated to 900°C and 1000°C in nitrogen atmosphere and </w:t>
      </w:r>
      <w:r w:rsidR="005E4912" w:rsidRPr="00314E4F">
        <w:rPr>
          <w:lang w:val="en-GB"/>
        </w:rPr>
        <w:t xml:space="preserve">in </w:t>
      </w:r>
      <w:r w:rsidR="00082E54" w:rsidRPr="00314E4F">
        <w:rPr>
          <w:lang w:val="en-GB"/>
        </w:rPr>
        <w:t xml:space="preserve">air. </w:t>
      </w:r>
      <w:r w:rsidR="005E4912" w:rsidRPr="00314E4F">
        <w:rPr>
          <w:lang w:val="en-GB"/>
        </w:rPr>
        <w:t xml:space="preserve">It is known, that </w:t>
      </w:r>
      <w:r w:rsidR="00082E54" w:rsidRPr="00314E4F">
        <w:rPr>
          <w:lang w:val="en-GB"/>
        </w:rPr>
        <w:t>the spinel structure of the cathode material is collapsed, and the Li is in the form of Li</w:t>
      </w:r>
      <w:r w:rsidR="00082E54" w:rsidRPr="00314E4F">
        <w:rPr>
          <w:vertAlign w:val="subscript"/>
          <w:lang w:val="en-GB"/>
        </w:rPr>
        <w:t>2</w:t>
      </w:r>
      <w:r w:rsidR="00082E54" w:rsidRPr="00314E4F">
        <w:rPr>
          <w:lang w:val="en-GB"/>
        </w:rPr>
        <w:t xml:space="preserve">O </w:t>
      </w:r>
      <w:r w:rsidR="005E4912" w:rsidRPr="00314E4F">
        <w:rPr>
          <w:lang w:val="en-GB"/>
        </w:rPr>
        <w:t>at 800-900°C using nitrogen atmosphere</w:t>
      </w:r>
      <w:r w:rsidR="001E2622" w:rsidRPr="001E2622">
        <w:rPr>
          <w:highlight w:val="yellow"/>
          <w:lang w:val="en-GB"/>
        </w:rPr>
        <w:t>. T</w:t>
      </w:r>
      <w:r w:rsidR="00082E54" w:rsidRPr="001E2622">
        <w:rPr>
          <w:highlight w:val="yellow"/>
          <w:lang w:val="en-GB"/>
        </w:rPr>
        <w:t>he</w:t>
      </w:r>
      <w:r w:rsidR="00082E54" w:rsidRPr="00314E4F">
        <w:rPr>
          <w:lang w:val="en-GB"/>
        </w:rPr>
        <w:t xml:space="preserve"> nitrogen promotes the reduction of transition metals, therefore they are in the form of </w:t>
      </w:r>
      <w:r w:rsidR="005E4912" w:rsidRPr="00314E4F">
        <w:rPr>
          <w:lang w:val="en-GB"/>
        </w:rPr>
        <w:t xml:space="preserve">metals or even </w:t>
      </w:r>
      <w:proofErr w:type="spellStart"/>
      <w:r w:rsidR="00082E54" w:rsidRPr="00314E4F">
        <w:rPr>
          <w:lang w:val="en-GB"/>
        </w:rPr>
        <w:t>NiO</w:t>
      </w:r>
      <w:proofErr w:type="spellEnd"/>
      <w:r w:rsidR="00082E54" w:rsidRPr="00314E4F">
        <w:rPr>
          <w:lang w:val="en-GB"/>
        </w:rPr>
        <w:t xml:space="preserve">, </w:t>
      </w:r>
      <w:proofErr w:type="spellStart"/>
      <w:r w:rsidR="00082E54" w:rsidRPr="00314E4F">
        <w:rPr>
          <w:lang w:val="en-GB"/>
        </w:rPr>
        <w:t>CoO</w:t>
      </w:r>
      <w:proofErr w:type="spellEnd"/>
      <w:r w:rsidR="00082E54" w:rsidRPr="00314E4F">
        <w:rPr>
          <w:lang w:val="en-GB"/>
        </w:rPr>
        <w:t>, Mn</w:t>
      </w:r>
      <w:r w:rsidR="00082E54" w:rsidRPr="00314E4F">
        <w:rPr>
          <w:vertAlign w:val="subscript"/>
          <w:lang w:val="en-GB"/>
        </w:rPr>
        <w:t>2</w:t>
      </w:r>
      <w:r w:rsidR="00082E54" w:rsidRPr="00314E4F">
        <w:rPr>
          <w:lang w:val="en-GB"/>
        </w:rPr>
        <w:t>O</w:t>
      </w:r>
      <w:r w:rsidR="00082E54" w:rsidRPr="00314E4F">
        <w:rPr>
          <w:vertAlign w:val="subscript"/>
          <w:lang w:val="en-GB"/>
        </w:rPr>
        <w:t>3</w:t>
      </w:r>
      <w:r w:rsidR="00082E54" w:rsidRPr="00314E4F">
        <w:rPr>
          <w:lang w:val="en-GB"/>
        </w:rPr>
        <w:t xml:space="preserve"> and </w:t>
      </w:r>
      <w:proofErr w:type="spellStart"/>
      <w:r w:rsidR="00082E54" w:rsidRPr="00314E4F">
        <w:rPr>
          <w:lang w:val="en-GB"/>
        </w:rPr>
        <w:t>MnO</w:t>
      </w:r>
      <w:proofErr w:type="spellEnd"/>
      <w:r w:rsidR="00082E54" w:rsidRPr="00314E4F">
        <w:rPr>
          <w:lang w:val="en-GB"/>
        </w:rPr>
        <w:t xml:space="preserve">. Higher temperature occurs further reduction of transition metals and they are rather in metallic form. Furthermore, higher temperature (especially over 900°C) </w:t>
      </w:r>
      <w:r w:rsidR="00314E4F" w:rsidRPr="00314E4F">
        <w:rPr>
          <w:lang w:val="en-GB"/>
        </w:rPr>
        <w:t>favours</w:t>
      </w:r>
      <w:r w:rsidR="00082E54" w:rsidRPr="00314E4F">
        <w:rPr>
          <w:lang w:val="en-GB"/>
        </w:rPr>
        <w:t xml:space="preserve"> to Li evaporation and Li loss. Regarding the pyrometallurgy step in air, the transition metals remain</w:t>
      </w:r>
      <w:r w:rsidR="00DB064F" w:rsidRPr="00314E4F">
        <w:rPr>
          <w:lang w:val="en-GB"/>
        </w:rPr>
        <w:t xml:space="preserve"> in</w:t>
      </w:r>
      <w:r w:rsidR="00082E54" w:rsidRPr="00314E4F">
        <w:rPr>
          <w:lang w:val="en-GB"/>
        </w:rPr>
        <w:t xml:space="preserve"> oxidized </w:t>
      </w:r>
      <w:r w:rsidR="005E4912" w:rsidRPr="00314E4F">
        <w:rPr>
          <w:lang w:val="en-GB"/>
        </w:rPr>
        <w:t xml:space="preserve">form </w:t>
      </w:r>
      <w:r w:rsidR="00082E54" w:rsidRPr="00314E4F">
        <w:rPr>
          <w:lang w:val="en-GB"/>
        </w:rPr>
        <w:t>and decomposition produced stable oxides (</w:t>
      </w:r>
      <w:r w:rsidR="00DB064F" w:rsidRPr="00314E4F">
        <w:rPr>
          <w:lang w:val="en-GB"/>
        </w:rPr>
        <w:t xml:space="preserve">e.g. </w:t>
      </w:r>
      <w:proofErr w:type="spellStart"/>
      <w:r w:rsidR="00082E54" w:rsidRPr="00314E4F">
        <w:rPr>
          <w:lang w:val="en-GB"/>
        </w:rPr>
        <w:t>NiO</w:t>
      </w:r>
      <w:proofErr w:type="spellEnd"/>
      <w:r w:rsidR="00082E54" w:rsidRPr="00314E4F">
        <w:rPr>
          <w:lang w:val="en-GB"/>
        </w:rPr>
        <w:t>, Co</w:t>
      </w:r>
      <w:r w:rsidR="00082E54" w:rsidRPr="00314E4F">
        <w:rPr>
          <w:vertAlign w:val="subscript"/>
          <w:lang w:val="en-GB"/>
        </w:rPr>
        <w:t>3</w:t>
      </w:r>
      <w:r w:rsidR="00082E54" w:rsidRPr="00314E4F">
        <w:rPr>
          <w:lang w:val="en-GB"/>
        </w:rPr>
        <w:t>O</w:t>
      </w:r>
      <w:r w:rsidR="00082E54" w:rsidRPr="00314E4F">
        <w:rPr>
          <w:vertAlign w:val="subscript"/>
          <w:lang w:val="en-GB"/>
        </w:rPr>
        <w:t>4</w:t>
      </w:r>
      <w:r w:rsidR="00082E54" w:rsidRPr="00314E4F">
        <w:rPr>
          <w:lang w:val="en-GB"/>
        </w:rPr>
        <w:t xml:space="preserve">, </w:t>
      </w:r>
      <w:proofErr w:type="spellStart"/>
      <w:r w:rsidR="00082E54" w:rsidRPr="00314E4F">
        <w:rPr>
          <w:lang w:val="en-GB"/>
        </w:rPr>
        <w:t>CuO</w:t>
      </w:r>
      <w:proofErr w:type="spellEnd"/>
      <w:r w:rsidR="00082E54" w:rsidRPr="00314E4F">
        <w:rPr>
          <w:lang w:val="en-GB"/>
        </w:rPr>
        <w:t xml:space="preserve"> and Mn</w:t>
      </w:r>
      <w:r w:rsidR="00082E54" w:rsidRPr="00314E4F">
        <w:rPr>
          <w:vertAlign w:val="subscript"/>
          <w:lang w:val="en-GB"/>
        </w:rPr>
        <w:t>2</w:t>
      </w:r>
      <w:r w:rsidR="00082E54" w:rsidRPr="00314E4F">
        <w:rPr>
          <w:lang w:val="en-GB"/>
        </w:rPr>
        <w:t>O</w:t>
      </w:r>
      <w:r w:rsidR="00082E54" w:rsidRPr="00314E4F">
        <w:rPr>
          <w:vertAlign w:val="subscript"/>
          <w:lang w:val="en-GB"/>
        </w:rPr>
        <w:t>3</w:t>
      </w:r>
      <w:r w:rsidR="00082E54" w:rsidRPr="00314E4F">
        <w:rPr>
          <w:lang w:val="en-GB"/>
        </w:rPr>
        <w:t>).</w:t>
      </w:r>
      <w:r w:rsidR="00BC39F4" w:rsidRPr="00314E4F">
        <w:rPr>
          <w:lang w:val="en-GB"/>
        </w:rPr>
        <w:t xml:space="preserve"> The main properties of the spent electrode based catalyst are shown in Table 1.</w:t>
      </w:r>
      <w:r w:rsidR="007442C8" w:rsidRPr="007442C8">
        <w:rPr>
          <w:highlight w:val="yellow"/>
        </w:rPr>
        <w:t xml:space="preserve"> </w:t>
      </w:r>
      <w:r w:rsidR="007442C8" w:rsidRPr="0069636F">
        <w:rPr>
          <w:highlight w:val="yellow"/>
        </w:rPr>
        <w:t xml:space="preserve">The catalyst grain size was </w:t>
      </w:r>
      <w:proofErr w:type="spellStart"/>
      <w:r w:rsidR="007442C8" w:rsidRPr="0069636F">
        <w:rPr>
          <w:highlight w:val="yellow"/>
        </w:rPr>
        <w:t>analysed</w:t>
      </w:r>
      <w:proofErr w:type="spellEnd"/>
      <w:r w:rsidR="007442C8" w:rsidRPr="0069636F">
        <w:rPr>
          <w:highlight w:val="yellow"/>
        </w:rPr>
        <w:t xml:space="preserve"> by </w:t>
      </w:r>
      <w:r w:rsidR="00F73A42" w:rsidRPr="00F73A42">
        <w:rPr>
          <w:highlight w:val="yellow"/>
        </w:rPr>
        <w:t xml:space="preserve">Fritch </w:t>
      </w:r>
      <w:proofErr w:type="spellStart"/>
      <w:r w:rsidR="00F73A42" w:rsidRPr="00F73A42">
        <w:rPr>
          <w:highlight w:val="yellow"/>
        </w:rPr>
        <w:t>Analysette</w:t>
      </w:r>
      <w:proofErr w:type="spellEnd"/>
      <w:r w:rsidR="007442C8" w:rsidRPr="0069636F">
        <w:rPr>
          <w:highlight w:val="yellow"/>
        </w:rPr>
        <w:t xml:space="preserve"> instrument based on </w:t>
      </w:r>
      <w:r w:rsidR="007442C8">
        <w:rPr>
          <w:highlight w:val="yellow"/>
        </w:rPr>
        <w:t>Fraunhofer-law</w:t>
      </w:r>
      <w:r w:rsidR="007442C8" w:rsidRPr="0069636F">
        <w:rPr>
          <w:highlight w:val="yellow"/>
        </w:rPr>
        <w:t xml:space="preserve">, while the surface </w:t>
      </w:r>
      <w:r w:rsidR="007442C8" w:rsidRPr="0001306B">
        <w:rPr>
          <w:highlight w:val="yellow"/>
        </w:rPr>
        <w:t>area was measured by Micromeritics 3Flex 3500 instrument using the nitrogen adsorption-desorption isotherm.</w:t>
      </w:r>
    </w:p>
    <w:p w14:paraId="095AEF8F" w14:textId="5C903BCD" w:rsidR="0001306B" w:rsidRDefault="0001306B" w:rsidP="00956431">
      <w:pPr>
        <w:pStyle w:val="CETBodytext"/>
        <w:rPr>
          <w:lang w:val="en-GB"/>
        </w:rPr>
      </w:pPr>
      <w:r w:rsidRPr="0001306B">
        <w:rPr>
          <w:highlight w:val="yellow"/>
          <w:lang w:val="en-GB"/>
        </w:rPr>
        <w:t xml:space="preserve">The table only shows the concentrations of the main </w:t>
      </w:r>
      <w:r w:rsidR="001E2622">
        <w:rPr>
          <w:highlight w:val="yellow"/>
          <w:lang w:val="en-GB"/>
        </w:rPr>
        <w:t>elements</w:t>
      </w:r>
      <w:r w:rsidRPr="0001306B">
        <w:rPr>
          <w:highlight w:val="yellow"/>
          <w:lang w:val="en-GB"/>
        </w:rPr>
        <w:t>, the role of which is significant for pyrolysis-gasification.</w:t>
      </w:r>
      <w:bookmarkStart w:id="2" w:name="_GoBack"/>
      <w:bookmarkEnd w:id="2"/>
    </w:p>
    <w:p w14:paraId="6E00AA53" w14:textId="77777777" w:rsidR="007442C8" w:rsidRPr="00314E4F" w:rsidRDefault="007442C8" w:rsidP="007442C8">
      <w:pPr>
        <w:keepNext/>
        <w:tabs>
          <w:tab w:val="clear" w:pos="7100"/>
        </w:tabs>
        <w:spacing w:before="240" w:after="80" w:line="240" w:lineRule="exact"/>
        <w:jc w:val="left"/>
        <w:rPr>
          <w:i/>
          <w:color w:val="000000" w:themeColor="text1"/>
        </w:rPr>
      </w:pPr>
      <w:r w:rsidRPr="00314E4F">
        <w:rPr>
          <w:i/>
          <w:color w:val="000000" w:themeColor="text1"/>
        </w:rPr>
        <w:t>Table 1: The main properties of the catalysts</w:t>
      </w:r>
    </w:p>
    <w:tbl>
      <w:tblPr>
        <w:tblW w:w="8905" w:type="dxa"/>
        <w:jc w:val="center"/>
        <w:tblBorders>
          <w:top w:val="single" w:sz="12" w:space="0" w:color="008000"/>
          <w:bottom w:val="single" w:sz="12" w:space="0" w:color="008000"/>
        </w:tblBorders>
        <w:tblCellMar>
          <w:left w:w="0" w:type="dxa"/>
          <w:right w:w="0" w:type="dxa"/>
        </w:tblCellMar>
        <w:tblLook w:val="00A0" w:firstRow="1" w:lastRow="0" w:firstColumn="1" w:lastColumn="0" w:noHBand="0" w:noVBand="0"/>
      </w:tblPr>
      <w:tblGrid>
        <w:gridCol w:w="2041"/>
        <w:gridCol w:w="1716"/>
        <w:gridCol w:w="1716"/>
        <w:gridCol w:w="1716"/>
        <w:gridCol w:w="1716"/>
      </w:tblGrid>
      <w:tr w:rsidR="007442C8" w:rsidRPr="00314E4F" w14:paraId="2F865903" w14:textId="77777777" w:rsidTr="00A85F4B">
        <w:trPr>
          <w:trHeight w:val="394"/>
          <w:jc w:val="center"/>
        </w:trPr>
        <w:tc>
          <w:tcPr>
            <w:tcW w:w="2041" w:type="dxa"/>
            <w:tcBorders>
              <w:top w:val="single" w:sz="12" w:space="0" w:color="006C31"/>
              <w:bottom w:val="single" w:sz="6" w:space="0" w:color="008000"/>
            </w:tcBorders>
            <w:shd w:val="clear" w:color="auto" w:fill="auto"/>
            <w:vAlign w:val="center"/>
          </w:tcPr>
          <w:p w14:paraId="2A9329BD" w14:textId="77777777" w:rsidR="007442C8" w:rsidRPr="00314E4F" w:rsidRDefault="007442C8" w:rsidP="00A85F4B">
            <w:pPr>
              <w:jc w:val="center"/>
              <w:rPr>
                <w:b/>
                <w:color w:val="000000" w:themeColor="text1"/>
              </w:rPr>
            </w:pPr>
          </w:p>
        </w:tc>
        <w:tc>
          <w:tcPr>
            <w:tcW w:w="1716" w:type="dxa"/>
            <w:tcBorders>
              <w:top w:val="single" w:sz="12" w:space="0" w:color="006C31"/>
              <w:bottom w:val="single" w:sz="6" w:space="0" w:color="008000"/>
            </w:tcBorders>
            <w:shd w:val="clear" w:color="auto" w:fill="auto"/>
            <w:vAlign w:val="center"/>
          </w:tcPr>
          <w:p w14:paraId="6AB50D9A" w14:textId="77777777" w:rsidR="007442C8" w:rsidRPr="00314E4F" w:rsidRDefault="007442C8" w:rsidP="00A85F4B">
            <w:pPr>
              <w:ind w:left="152"/>
              <w:jc w:val="center"/>
              <w:rPr>
                <w:b/>
                <w:color w:val="000000" w:themeColor="text1"/>
              </w:rPr>
            </w:pPr>
            <w:r w:rsidRPr="00314E4F">
              <w:rPr>
                <w:b/>
                <w:color w:val="000000" w:themeColor="text1"/>
              </w:rPr>
              <w:t>900°C/N</w:t>
            </w:r>
            <w:r w:rsidRPr="00314E4F">
              <w:rPr>
                <w:b/>
                <w:color w:val="000000" w:themeColor="text1"/>
                <w:vertAlign w:val="subscript"/>
              </w:rPr>
              <w:t>2</w:t>
            </w:r>
          </w:p>
        </w:tc>
        <w:tc>
          <w:tcPr>
            <w:tcW w:w="1716" w:type="dxa"/>
            <w:tcBorders>
              <w:top w:val="single" w:sz="12" w:space="0" w:color="006C31"/>
              <w:bottom w:val="single" w:sz="6" w:space="0" w:color="008000"/>
            </w:tcBorders>
            <w:shd w:val="clear" w:color="auto" w:fill="auto"/>
            <w:vAlign w:val="center"/>
          </w:tcPr>
          <w:p w14:paraId="3ED7B3E6" w14:textId="77777777" w:rsidR="007442C8" w:rsidRPr="00314E4F" w:rsidRDefault="007442C8" w:rsidP="00A85F4B">
            <w:pPr>
              <w:ind w:left="152"/>
              <w:jc w:val="center"/>
              <w:rPr>
                <w:b/>
                <w:color w:val="000000" w:themeColor="text1"/>
              </w:rPr>
            </w:pPr>
            <w:r w:rsidRPr="00314E4F">
              <w:rPr>
                <w:b/>
                <w:color w:val="000000" w:themeColor="text1"/>
              </w:rPr>
              <w:t>900°C/Air</w:t>
            </w:r>
          </w:p>
        </w:tc>
        <w:tc>
          <w:tcPr>
            <w:tcW w:w="1716" w:type="dxa"/>
            <w:tcBorders>
              <w:top w:val="single" w:sz="12" w:space="0" w:color="006C31"/>
              <w:bottom w:val="single" w:sz="6" w:space="0" w:color="008000"/>
            </w:tcBorders>
            <w:shd w:val="clear" w:color="auto" w:fill="auto"/>
            <w:vAlign w:val="center"/>
          </w:tcPr>
          <w:p w14:paraId="741D480E" w14:textId="77777777" w:rsidR="007442C8" w:rsidRPr="00314E4F" w:rsidRDefault="007442C8" w:rsidP="00A85F4B">
            <w:pPr>
              <w:ind w:left="152"/>
              <w:jc w:val="center"/>
              <w:rPr>
                <w:b/>
                <w:color w:val="000000" w:themeColor="text1"/>
              </w:rPr>
            </w:pPr>
            <w:r w:rsidRPr="00314E4F">
              <w:rPr>
                <w:b/>
                <w:color w:val="000000" w:themeColor="text1"/>
              </w:rPr>
              <w:t>1000°C/N</w:t>
            </w:r>
            <w:r w:rsidRPr="00314E4F">
              <w:rPr>
                <w:b/>
                <w:color w:val="000000" w:themeColor="text1"/>
                <w:vertAlign w:val="subscript"/>
              </w:rPr>
              <w:t>2</w:t>
            </w:r>
          </w:p>
        </w:tc>
        <w:tc>
          <w:tcPr>
            <w:tcW w:w="1716" w:type="dxa"/>
            <w:tcBorders>
              <w:top w:val="single" w:sz="12" w:space="0" w:color="006C31"/>
              <w:bottom w:val="single" w:sz="6" w:space="0" w:color="008000"/>
            </w:tcBorders>
            <w:shd w:val="clear" w:color="auto" w:fill="auto"/>
            <w:vAlign w:val="center"/>
          </w:tcPr>
          <w:p w14:paraId="2262488F" w14:textId="77777777" w:rsidR="007442C8" w:rsidRPr="00314E4F" w:rsidRDefault="007442C8" w:rsidP="00A85F4B">
            <w:pPr>
              <w:ind w:left="152"/>
              <w:jc w:val="center"/>
              <w:rPr>
                <w:b/>
                <w:color w:val="000000" w:themeColor="text1"/>
              </w:rPr>
            </w:pPr>
            <w:r w:rsidRPr="00314E4F">
              <w:rPr>
                <w:b/>
                <w:color w:val="000000" w:themeColor="text1"/>
              </w:rPr>
              <w:t>1000°C/Air</w:t>
            </w:r>
          </w:p>
        </w:tc>
      </w:tr>
      <w:tr w:rsidR="007442C8" w:rsidRPr="00314E4F" w14:paraId="6E18C3F6" w14:textId="77777777" w:rsidTr="00A85F4B">
        <w:trPr>
          <w:trHeight w:val="308"/>
          <w:jc w:val="center"/>
        </w:trPr>
        <w:tc>
          <w:tcPr>
            <w:tcW w:w="2041" w:type="dxa"/>
            <w:tcBorders>
              <w:top w:val="single" w:sz="4" w:space="0" w:color="006C31"/>
              <w:bottom w:val="nil"/>
            </w:tcBorders>
            <w:shd w:val="clear" w:color="auto" w:fill="FFFFFF"/>
            <w:vAlign w:val="center"/>
          </w:tcPr>
          <w:p w14:paraId="5011915E" w14:textId="78BD7112" w:rsidR="007442C8" w:rsidRPr="00314E4F" w:rsidRDefault="00B36718" w:rsidP="00A85F4B">
            <w:pPr>
              <w:rPr>
                <w:b/>
                <w:color w:val="000000" w:themeColor="text1"/>
              </w:rPr>
            </w:pPr>
            <w:r>
              <w:rPr>
                <w:b/>
                <w:color w:val="000000" w:themeColor="text1"/>
              </w:rPr>
              <w:t>Temperature, °C</w:t>
            </w:r>
          </w:p>
        </w:tc>
        <w:tc>
          <w:tcPr>
            <w:tcW w:w="1716" w:type="dxa"/>
            <w:tcBorders>
              <w:top w:val="single" w:sz="4" w:space="0" w:color="006C31"/>
              <w:bottom w:val="nil"/>
            </w:tcBorders>
            <w:shd w:val="clear" w:color="auto" w:fill="FFFFFF"/>
            <w:vAlign w:val="center"/>
          </w:tcPr>
          <w:p w14:paraId="4D02B5B7" w14:textId="4E4FC5EC" w:rsidR="007442C8" w:rsidRPr="00314E4F" w:rsidRDefault="00B36718" w:rsidP="00A85F4B">
            <w:pPr>
              <w:ind w:left="152" w:right="-1"/>
              <w:jc w:val="center"/>
              <w:rPr>
                <w:rFonts w:cs="Arial"/>
                <w:color w:val="000000" w:themeColor="text1"/>
                <w:szCs w:val="18"/>
              </w:rPr>
            </w:pPr>
            <w:r>
              <w:rPr>
                <w:rFonts w:cs="Arial"/>
                <w:color w:val="000000" w:themeColor="text1"/>
                <w:szCs w:val="18"/>
              </w:rPr>
              <w:t>900</w:t>
            </w:r>
          </w:p>
        </w:tc>
        <w:tc>
          <w:tcPr>
            <w:tcW w:w="1716" w:type="dxa"/>
            <w:tcBorders>
              <w:top w:val="single" w:sz="4" w:space="0" w:color="006C31"/>
              <w:bottom w:val="nil"/>
            </w:tcBorders>
            <w:shd w:val="clear" w:color="auto" w:fill="FFFFFF"/>
            <w:vAlign w:val="center"/>
          </w:tcPr>
          <w:p w14:paraId="7C01FCE7" w14:textId="37DED50D" w:rsidR="007442C8" w:rsidRPr="00314E4F" w:rsidRDefault="00B36718" w:rsidP="00A85F4B">
            <w:pPr>
              <w:ind w:left="152"/>
              <w:jc w:val="center"/>
              <w:rPr>
                <w:rFonts w:cs="Arial"/>
                <w:color w:val="000000" w:themeColor="text1"/>
                <w:szCs w:val="18"/>
              </w:rPr>
            </w:pPr>
            <w:r>
              <w:rPr>
                <w:rFonts w:cs="Arial"/>
                <w:color w:val="000000" w:themeColor="text1"/>
                <w:szCs w:val="18"/>
              </w:rPr>
              <w:t>900</w:t>
            </w:r>
          </w:p>
        </w:tc>
        <w:tc>
          <w:tcPr>
            <w:tcW w:w="1716" w:type="dxa"/>
            <w:tcBorders>
              <w:top w:val="single" w:sz="4" w:space="0" w:color="006C31"/>
              <w:bottom w:val="nil"/>
            </w:tcBorders>
            <w:shd w:val="clear" w:color="auto" w:fill="FFFFFF"/>
            <w:vAlign w:val="center"/>
          </w:tcPr>
          <w:p w14:paraId="7350186F" w14:textId="304FEFEC" w:rsidR="007442C8" w:rsidRPr="00314E4F" w:rsidRDefault="00B36718" w:rsidP="00A85F4B">
            <w:pPr>
              <w:ind w:left="152"/>
              <w:jc w:val="center"/>
              <w:rPr>
                <w:rFonts w:cs="Arial"/>
                <w:color w:val="000000" w:themeColor="text1"/>
                <w:szCs w:val="18"/>
              </w:rPr>
            </w:pPr>
            <w:r>
              <w:rPr>
                <w:rFonts w:cs="Arial"/>
                <w:color w:val="000000" w:themeColor="text1"/>
                <w:szCs w:val="18"/>
              </w:rPr>
              <w:t>1000</w:t>
            </w:r>
          </w:p>
        </w:tc>
        <w:tc>
          <w:tcPr>
            <w:tcW w:w="1716" w:type="dxa"/>
            <w:tcBorders>
              <w:top w:val="single" w:sz="4" w:space="0" w:color="006C31"/>
              <w:bottom w:val="nil"/>
            </w:tcBorders>
            <w:shd w:val="clear" w:color="auto" w:fill="FFFFFF"/>
            <w:vAlign w:val="center"/>
          </w:tcPr>
          <w:p w14:paraId="62C65787" w14:textId="08BC5635" w:rsidR="007442C8" w:rsidRPr="00314E4F" w:rsidRDefault="00B36718" w:rsidP="00A85F4B">
            <w:pPr>
              <w:ind w:left="152"/>
              <w:jc w:val="center"/>
              <w:rPr>
                <w:rFonts w:cs="Arial"/>
                <w:color w:val="000000" w:themeColor="text1"/>
                <w:szCs w:val="18"/>
              </w:rPr>
            </w:pPr>
            <w:r>
              <w:rPr>
                <w:rFonts w:cs="Arial"/>
                <w:color w:val="000000" w:themeColor="text1"/>
                <w:szCs w:val="18"/>
              </w:rPr>
              <w:t>1000</w:t>
            </w:r>
          </w:p>
        </w:tc>
      </w:tr>
      <w:tr w:rsidR="00B36718" w:rsidRPr="00314E4F" w14:paraId="4DBF9FAA" w14:textId="77777777" w:rsidTr="00A85F4B">
        <w:trPr>
          <w:trHeight w:val="308"/>
          <w:jc w:val="center"/>
        </w:trPr>
        <w:tc>
          <w:tcPr>
            <w:tcW w:w="2041" w:type="dxa"/>
            <w:tcBorders>
              <w:top w:val="single" w:sz="4" w:space="0" w:color="006C31"/>
              <w:bottom w:val="nil"/>
            </w:tcBorders>
            <w:shd w:val="clear" w:color="auto" w:fill="FFFFFF"/>
            <w:vAlign w:val="center"/>
          </w:tcPr>
          <w:p w14:paraId="32DAD7A3" w14:textId="72F7231E" w:rsidR="00B36718" w:rsidRPr="00314E4F" w:rsidRDefault="00B36718" w:rsidP="00A85F4B">
            <w:pPr>
              <w:rPr>
                <w:b/>
                <w:color w:val="000000" w:themeColor="text1"/>
              </w:rPr>
            </w:pPr>
            <w:r>
              <w:rPr>
                <w:b/>
                <w:color w:val="000000" w:themeColor="text1"/>
              </w:rPr>
              <w:t>Atmosphere</w:t>
            </w:r>
          </w:p>
        </w:tc>
        <w:tc>
          <w:tcPr>
            <w:tcW w:w="1716" w:type="dxa"/>
            <w:tcBorders>
              <w:top w:val="single" w:sz="4" w:space="0" w:color="006C31"/>
              <w:bottom w:val="nil"/>
            </w:tcBorders>
            <w:shd w:val="clear" w:color="auto" w:fill="FFFFFF"/>
            <w:vAlign w:val="center"/>
          </w:tcPr>
          <w:p w14:paraId="108F4EE0" w14:textId="36D6B4ED" w:rsidR="00B36718" w:rsidRPr="00314E4F" w:rsidRDefault="00B36718" w:rsidP="00A85F4B">
            <w:pPr>
              <w:ind w:left="152" w:right="-1"/>
              <w:jc w:val="center"/>
              <w:rPr>
                <w:rFonts w:cs="Arial"/>
                <w:color w:val="000000" w:themeColor="text1"/>
                <w:szCs w:val="18"/>
              </w:rPr>
            </w:pPr>
            <w:r>
              <w:rPr>
                <w:rFonts w:cs="Arial"/>
                <w:color w:val="000000" w:themeColor="text1"/>
                <w:szCs w:val="18"/>
              </w:rPr>
              <w:t>Nitrogen</w:t>
            </w:r>
          </w:p>
        </w:tc>
        <w:tc>
          <w:tcPr>
            <w:tcW w:w="1716" w:type="dxa"/>
            <w:tcBorders>
              <w:top w:val="single" w:sz="4" w:space="0" w:color="006C31"/>
              <w:bottom w:val="nil"/>
            </w:tcBorders>
            <w:shd w:val="clear" w:color="auto" w:fill="FFFFFF"/>
            <w:vAlign w:val="center"/>
          </w:tcPr>
          <w:p w14:paraId="64D1A5DD" w14:textId="201B7A33" w:rsidR="00B36718" w:rsidRPr="00314E4F" w:rsidRDefault="00B36718" w:rsidP="00A85F4B">
            <w:pPr>
              <w:ind w:left="152"/>
              <w:jc w:val="center"/>
              <w:rPr>
                <w:rFonts w:cs="Arial"/>
                <w:color w:val="000000" w:themeColor="text1"/>
                <w:szCs w:val="18"/>
              </w:rPr>
            </w:pPr>
            <w:r>
              <w:rPr>
                <w:rFonts w:cs="Arial"/>
                <w:color w:val="000000" w:themeColor="text1"/>
                <w:szCs w:val="18"/>
              </w:rPr>
              <w:t>Air</w:t>
            </w:r>
          </w:p>
        </w:tc>
        <w:tc>
          <w:tcPr>
            <w:tcW w:w="1716" w:type="dxa"/>
            <w:tcBorders>
              <w:top w:val="single" w:sz="4" w:space="0" w:color="006C31"/>
              <w:bottom w:val="nil"/>
            </w:tcBorders>
            <w:shd w:val="clear" w:color="auto" w:fill="FFFFFF"/>
            <w:vAlign w:val="center"/>
          </w:tcPr>
          <w:p w14:paraId="59D4FBDB" w14:textId="707055DC" w:rsidR="00B36718" w:rsidRPr="00314E4F" w:rsidRDefault="00B36718" w:rsidP="00A85F4B">
            <w:pPr>
              <w:ind w:left="152"/>
              <w:jc w:val="center"/>
              <w:rPr>
                <w:rFonts w:cs="Arial"/>
                <w:color w:val="000000" w:themeColor="text1"/>
                <w:szCs w:val="18"/>
              </w:rPr>
            </w:pPr>
            <w:r>
              <w:rPr>
                <w:rFonts w:cs="Arial"/>
                <w:color w:val="000000" w:themeColor="text1"/>
                <w:szCs w:val="18"/>
              </w:rPr>
              <w:t>Nitrogen</w:t>
            </w:r>
          </w:p>
        </w:tc>
        <w:tc>
          <w:tcPr>
            <w:tcW w:w="1716" w:type="dxa"/>
            <w:tcBorders>
              <w:top w:val="single" w:sz="4" w:space="0" w:color="006C31"/>
              <w:bottom w:val="nil"/>
            </w:tcBorders>
            <w:shd w:val="clear" w:color="auto" w:fill="FFFFFF"/>
            <w:vAlign w:val="center"/>
          </w:tcPr>
          <w:p w14:paraId="5ACEE1F7" w14:textId="17CB4A5F" w:rsidR="00B36718" w:rsidRPr="00314E4F" w:rsidRDefault="00B36718" w:rsidP="00A85F4B">
            <w:pPr>
              <w:ind w:left="152"/>
              <w:jc w:val="center"/>
              <w:rPr>
                <w:rFonts w:cs="Arial"/>
                <w:color w:val="000000" w:themeColor="text1"/>
                <w:szCs w:val="18"/>
              </w:rPr>
            </w:pPr>
            <w:r>
              <w:rPr>
                <w:rFonts w:cs="Arial"/>
                <w:color w:val="000000" w:themeColor="text1"/>
                <w:szCs w:val="18"/>
              </w:rPr>
              <w:t>Air</w:t>
            </w:r>
          </w:p>
        </w:tc>
      </w:tr>
      <w:tr w:rsidR="00B36718" w:rsidRPr="00314E4F" w14:paraId="0E831260" w14:textId="77777777" w:rsidTr="00A85F4B">
        <w:trPr>
          <w:trHeight w:val="308"/>
          <w:jc w:val="center"/>
        </w:trPr>
        <w:tc>
          <w:tcPr>
            <w:tcW w:w="2041" w:type="dxa"/>
            <w:tcBorders>
              <w:top w:val="single" w:sz="4" w:space="0" w:color="006C31"/>
              <w:bottom w:val="nil"/>
            </w:tcBorders>
            <w:shd w:val="clear" w:color="auto" w:fill="FFFFFF"/>
            <w:vAlign w:val="center"/>
          </w:tcPr>
          <w:p w14:paraId="73B93342" w14:textId="6C549732" w:rsidR="00B36718" w:rsidRPr="00314E4F" w:rsidRDefault="00B36718" w:rsidP="00B36718">
            <w:pPr>
              <w:rPr>
                <w:b/>
                <w:color w:val="000000" w:themeColor="text1"/>
              </w:rPr>
            </w:pPr>
            <w:r w:rsidRPr="00314E4F">
              <w:rPr>
                <w:b/>
                <w:color w:val="000000" w:themeColor="text1"/>
              </w:rPr>
              <w:t xml:space="preserve">Average grain size, </w:t>
            </w:r>
            <w:r w:rsidRPr="00314E4F">
              <w:rPr>
                <w:rFonts w:ascii="Symbol" w:hAnsi="Symbol"/>
                <w:b/>
                <w:color w:val="000000" w:themeColor="text1"/>
              </w:rPr>
              <w:t></w:t>
            </w:r>
            <w:r w:rsidRPr="00314E4F">
              <w:rPr>
                <w:b/>
                <w:color w:val="000000" w:themeColor="text1"/>
              </w:rPr>
              <w:t>m</w:t>
            </w:r>
          </w:p>
        </w:tc>
        <w:tc>
          <w:tcPr>
            <w:tcW w:w="1716" w:type="dxa"/>
            <w:tcBorders>
              <w:top w:val="single" w:sz="4" w:space="0" w:color="006C31"/>
              <w:bottom w:val="nil"/>
            </w:tcBorders>
            <w:shd w:val="clear" w:color="auto" w:fill="FFFFFF"/>
            <w:vAlign w:val="center"/>
          </w:tcPr>
          <w:p w14:paraId="22F0609E" w14:textId="3A40E5F7" w:rsidR="00B36718" w:rsidRPr="00314E4F" w:rsidRDefault="00B36718" w:rsidP="00B36718">
            <w:pPr>
              <w:ind w:left="152" w:right="-1"/>
              <w:jc w:val="center"/>
              <w:rPr>
                <w:rFonts w:cs="Arial"/>
                <w:color w:val="000000" w:themeColor="text1"/>
                <w:szCs w:val="18"/>
              </w:rPr>
            </w:pPr>
            <w:r w:rsidRPr="00314E4F">
              <w:rPr>
                <w:rFonts w:cs="Arial"/>
                <w:color w:val="000000" w:themeColor="text1"/>
                <w:szCs w:val="18"/>
              </w:rPr>
              <w:t>72</w:t>
            </w:r>
          </w:p>
        </w:tc>
        <w:tc>
          <w:tcPr>
            <w:tcW w:w="1716" w:type="dxa"/>
            <w:tcBorders>
              <w:top w:val="single" w:sz="4" w:space="0" w:color="006C31"/>
              <w:bottom w:val="nil"/>
            </w:tcBorders>
            <w:shd w:val="clear" w:color="auto" w:fill="FFFFFF"/>
            <w:vAlign w:val="center"/>
          </w:tcPr>
          <w:p w14:paraId="7AB747C4" w14:textId="66C313F6" w:rsidR="00B36718" w:rsidRPr="00314E4F" w:rsidRDefault="00B36718" w:rsidP="00B36718">
            <w:pPr>
              <w:ind w:left="152"/>
              <w:jc w:val="center"/>
              <w:rPr>
                <w:rFonts w:cs="Arial"/>
                <w:color w:val="000000" w:themeColor="text1"/>
                <w:szCs w:val="18"/>
              </w:rPr>
            </w:pPr>
            <w:r w:rsidRPr="00314E4F">
              <w:rPr>
                <w:rFonts w:cs="Arial"/>
                <w:color w:val="000000" w:themeColor="text1"/>
                <w:szCs w:val="18"/>
              </w:rPr>
              <w:t>74</w:t>
            </w:r>
          </w:p>
        </w:tc>
        <w:tc>
          <w:tcPr>
            <w:tcW w:w="1716" w:type="dxa"/>
            <w:tcBorders>
              <w:top w:val="single" w:sz="4" w:space="0" w:color="006C31"/>
              <w:bottom w:val="nil"/>
            </w:tcBorders>
            <w:shd w:val="clear" w:color="auto" w:fill="FFFFFF"/>
            <w:vAlign w:val="center"/>
          </w:tcPr>
          <w:p w14:paraId="64491726" w14:textId="64E1BF66" w:rsidR="00B36718" w:rsidRPr="00314E4F" w:rsidRDefault="00B36718" w:rsidP="00B36718">
            <w:pPr>
              <w:ind w:left="152"/>
              <w:jc w:val="center"/>
              <w:rPr>
                <w:rFonts w:cs="Arial"/>
                <w:color w:val="000000" w:themeColor="text1"/>
                <w:szCs w:val="18"/>
              </w:rPr>
            </w:pPr>
            <w:r w:rsidRPr="00314E4F">
              <w:rPr>
                <w:rFonts w:cs="Arial"/>
                <w:color w:val="000000" w:themeColor="text1"/>
                <w:szCs w:val="18"/>
              </w:rPr>
              <w:t>78</w:t>
            </w:r>
          </w:p>
        </w:tc>
        <w:tc>
          <w:tcPr>
            <w:tcW w:w="1716" w:type="dxa"/>
            <w:tcBorders>
              <w:top w:val="single" w:sz="4" w:space="0" w:color="006C31"/>
              <w:bottom w:val="nil"/>
            </w:tcBorders>
            <w:shd w:val="clear" w:color="auto" w:fill="FFFFFF"/>
            <w:vAlign w:val="center"/>
          </w:tcPr>
          <w:p w14:paraId="6309EAD6" w14:textId="43788FA2" w:rsidR="00B36718" w:rsidRPr="00314E4F" w:rsidRDefault="00B36718" w:rsidP="00B36718">
            <w:pPr>
              <w:ind w:left="152"/>
              <w:jc w:val="center"/>
              <w:rPr>
                <w:rFonts w:cs="Arial"/>
                <w:color w:val="000000" w:themeColor="text1"/>
                <w:szCs w:val="18"/>
              </w:rPr>
            </w:pPr>
            <w:r w:rsidRPr="00314E4F">
              <w:rPr>
                <w:rFonts w:cs="Arial"/>
                <w:color w:val="000000" w:themeColor="text1"/>
                <w:szCs w:val="18"/>
              </w:rPr>
              <w:t>73</w:t>
            </w:r>
          </w:p>
        </w:tc>
      </w:tr>
      <w:tr w:rsidR="00B36718" w:rsidRPr="00314E4F" w14:paraId="5A88AD72" w14:textId="77777777" w:rsidTr="00A85F4B">
        <w:trPr>
          <w:trHeight w:val="308"/>
          <w:jc w:val="center"/>
        </w:trPr>
        <w:tc>
          <w:tcPr>
            <w:tcW w:w="2041" w:type="dxa"/>
            <w:tcBorders>
              <w:top w:val="nil"/>
              <w:bottom w:val="nil"/>
            </w:tcBorders>
            <w:shd w:val="clear" w:color="auto" w:fill="FFFFFF"/>
            <w:vAlign w:val="center"/>
          </w:tcPr>
          <w:p w14:paraId="4722A01D" w14:textId="77777777" w:rsidR="00B36718" w:rsidRPr="00314E4F" w:rsidRDefault="00B36718" w:rsidP="00B36718">
            <w:pPr>
              <w:rPr>
                <w:b/>
                <w:color w:val="000000" w:themeColor="text1"/>
              </w:rPr>
            </w:pPr>
            <w:r w:rsidRPr="00314E4F">
              <w:rPr>
                <w:b/>
                <w:color w:val="000000" w:themeColor="text1"/>
              </w:rPr>
              <w:t>BET surface, m</w:t>
            </w:r>
            <w:r w:rsidRPr="00314E4F">
              <w:rPr>
                <w:b/>
                <w:color w:val="000000" w:themeColor="text1"/>
                <w:vertAlign w:val="superscript"/>
              </w:rPr>
              <w:t>2</w:t>
            </w:r>
            <w:r w:rsidRPr="00314E4F">
              <w:rPr>
                <w:b/>
                <w:color w:val="000000" w:themeColor="text1"/>
              </w:rPr>
              <w:t>/g</w:t>
            </w:r>
          </w:p>
        </w:tc>
        <w:tc>
          <w:tcPr>
            <w:tcW w:w="1716" w:type="dxa"/>
            <w:tcBorders>
              <w:top w:val="nil"/>
              <w:bottom w:val="nil"/>
            </w:tcBorders>
            <w:shd w:val="clear" w:color="auto" w:fill="FFFFFF"/>
            <w:vAlign w:val="center"/>
          </w:tcPr>
          <w:p w14:paraId="16655A2B" w14:textId="77777777" w:rsidR="00B36718" w:rsidRPr="00314E4F" w:rsidRDefault="00B36718" w:rsidP="00B36718">
            <w:pPr>
              <w:ind w:left="152" w:right="-1"/>
              <w:jc w:val="center"/>
              <w:rPr>
                <w:rFonts w:cs="Arial"/>
                <w:color w:val="000000" w:themeColor="text1"/>
                <w:szCs w:val="18"/>
              </w:rPr>
            </w:pPr>
            <w:r w:rsidRPr="00314E4F">
              <w:rPr>
                <w:rFonts w:cs="Arial"/>
                <w:color w:val="000000" w:themeColor="text1"/>
                <w:szCs w:val="18"/>
              </w:rPr>
              <w:t>1.1</w:t>
            </w:r>
          </w:p>
        </w:tc>
        <w:tc>
          <w:tcPr>
            <w:tcW w:w="1716" w:type="dxa"/>
            <w:tcBorders>
              <w:top w:val="nil"/>
              <w:bottom w:val="nil"/>
            </w:tcBorders>
            <w:shd w:val="clear" w:color="auto" w:fill="FFFFFF"/>
            <w:vAlign w:val="center"/>
          </w:tcPr>
          <w:p w14:paraId="4940F119" w14:textId="77777777" w:rsidR="00B36718" w:rsidRPr="00314E4F" w:rsidRDefault="00B36718" w:rsidP="00B36718">
            <w:pPr>
              <w:ind w:left="152"/>
              <w:jc w:val="center"/>
              <w:rPr>
                <w:rFonts w:cs="Arial"/>
                <w:color w:val="000000" w:themeColor="text1"/>
                <w:szCs w:val="18"/>
              </w:rPr>
            </w:pPr>
            <w:r w:rsidRPr="00314E4F">
              <w:rPr>
                <w:rFonts w:cs="Arial"/>
                <w:color w:val="000000" w:themeColor="text1"/>
                <w:szCs w:val="18"/>
              </w:rPr>
              <w:t>2.4</w:t>
            </w:r>
          </w:p>
        </w:tc>
        <w:tc>
          <w:tcPr>
            <w:tcW w:w="1716" w:type="dxa"/>
            <w:tcBorders>
              <w:top w:val="nil"/>
              <w:bottom w:val="nil"/>
            </w:tcBorders>
            <w:shd w:val="clear" w:color="auto" w:fill="FFFFFF"/>
            <w:vAlign w:val="center"/>
          </w:tcPr>
          <w:p w14:paraId="5B6E1EE0" w14:textId="77777777" w:rsidR="00B36718" w:rsidRPr="00314E4F" w:rsidRDefault="00B36718" w:rsidP="00B36718">
            <w:pPr>
              <w:ind w:left="152"/>
              <w:jc w:val="center"/>
              <w:rPr>
                <w:rFonts w:cs="Arial"/>
                <w:color w:val="000000" w:themeColor="text1"/>
                <w:szCs w:val="18"/>
              </w:rPr>
            </w:pPr>
            <w:r w:rsidRPr="00314E4F">
              <w:rPr>
                <w:rFonts w:cs="Arial"/>
                <w:color w:val="000000" w:themeColor="text1"/>
                <w:szCs w:val="18"/>
              </w:rPr>
              <w:t>0.3</w:t>
            </w:r>
          </w:p>
        </w:tc>
        <w:tc>
          <w:tcPr>
            <w:tcW w:w="1716" w:type="dxa"/>
            <w:tcBorders>
              <w:top w:val="nil"/>
              <w:bottom w:val="nil"/>
            </w:tcBorders>
            <w:shd w:val="clear" w:color="auto" w:fill="FFFFFF"/>
            <w:vAlign w:val="center"/>
          </w:tcPr>
          <w:p w14:paraId="2AA36C91" w14:textId="77777777" w:rsidR="00B36718" w:rsidRPr="00314E4F" w:rsidRDefault="00B36718" w:rsidP="00B36718">
            <w:pPr>
              <w:ind w:left="152"/>
              <w:jc w:val="center"/>
              <w:rPr>
                <w:rFonts w:cs="Arial"/>
                <w:color w:val="000000" w:themeColor="text1"/>
                <w:szCs w:val="18"/>
              </w:rPr>
            </w:pPr>
            <w:r w:rsidRPr="00314E4F">
              <w:rPr>
                <w:rFonts w:cs="Arial"/>
                <w:color w:val="000000" w:themeColor="text1"/>
                <w:szCs w:val="18"/>
              </w:rPr>
              <w:t>1.5</w:t>
            </w:r>
          </w:p>
        </w:tc>
      </w:tr>
      <w:tr w:rsidR="00B36718" w:rsidRPr="00314E4F" w14:paraId="304C5C85" w14:textId="77777777" w:rsidTr="00A85F4B">
        <w:trPr>
          <w:trHeight w:val="308"/>
          <w:jc w:val="center"/>
        </w:trPr>
        <w:tc>
          <w:tcPr>
            <w:tcW w:w="2041" w:type="dxa"/>
            <w:tcBorders>
              <w:top w:val="nil"/>
              <w:bottom w:val="single" w:sz="12" w:space="0" w:color="006C31"/>
            </w:tcBorders>
            <w:shd w:val="clear" w:color="auto" w:fill="FFFFFF"/>
            <w:vAlign w:val="center"/>
          </w:tcPr>
          <w:p w14:paraId="4872E626" w14:textId="77777777" w:rsidR="00B36718" w:rsidRDefault="00B36718" w:rsidP="00B36718">
            <w:pPr>
              <w:ind w:right="-1"/>
              <w:rPr>
                <w:b/>
                <w:color w:val="000000" w:themeColor="text1"/>
              </w:rPr>
            </w:pPr>
            <w:r w:rsidRPr="007442C8">
              <w:rPr>
                <w:b/>
                <w:color w:val="000000" w:themeColor="text1"/>
                <w:highlight w:val="yellow"/>
              </w:rPr>
              <w:t>Main e</w:t>
            </w:r>
            <w:r w:rsidRPr="00314E4F">
              <w:rPr>
                <w:b/>
                <w:color w:val="000000" w:themeColor="text1"/>
              </w:rPr>
              <w:t>lemental</w:t>
            </w:r>
          </w:p>
          <w:p w14:paraId="7AF423AE" w14:textId="77777777" w:rsidR="00B36718" w:rsidRPr="00314E4F" w:rsidRDefault="00B36718" w:rsidP="00B36718">
            <w:pPr>
              <w:ind w:right="-1"/>
              <w:rPr>
                <w:rFonts w:cs="Arial"/>
                <w:b/>
                <w:color w:val="000000" w:themeColor="text1"/>
                <w:szCs w:val="18"/>
              </w:rPr>
            </w:pPr>
            <w:r w:rsidRPr="00314E4F">
              <w:rPr>
                <w:b/>
                <w:color w:val="000000" w:themeColor="text1"/>
              </w:rPr>
              <w:t>content, %</w:t>
            </w:r>
          </w:p>
        </w:tc>
        <w:tc>
          <w:tcPr>
            <w:tcW w:w="1716" w:type="dxa"/>
            <w:tcBorders>
              <w:top w:val="nil"/>
              <w:bottom w:val="single" w:sz="12" w:space="0" w:color="006C31"/>
            </w:tcBorders>
            <w:shd w:val="clear" w:color="auto" w:fill="FFFFFF"/>
            <w:vAlign w:val="center"/>
          </w:tcPr>
          <w:p w14:paraId="0309CF4A" w14:textId="77777777" w:rsidR="00B36718" w:rsidRPr="00314E4F" w:rsidRDefault="00B36718" w:rsidP="00B36718">
            <w:pPr>
              <w:ind w:left="152" w:right="-1"/>
              <w:jc w:val="center"/>
              <w:rPr>
                <w:rFonts w:cs="Arial"/>
                <w:color w:val="000000" w:themeColor="text1"/>
                <w:szCs w:val="18"/>
              </w:rPr>
            </w:pPr>
            <w:r w:rsidRPr="00314E4F">
              <w:rPr>
                <w:rFonts w:cs="Arial"/>
                <w:color w:val="000000" w:themeColor="text1"/>
                <w:szCs w:val="18"/>
              </w:rPr>
              <w:t>O (17.3), Co (15.8), Ni (17.2), Mn (5.1), Li (6.3)</w:t>
            </w:r>
            <w:r>
              <w:rPr>
                <w:rFonts w:cs="Arial"/>
                <w:color w:val="000000" w:themeColor="text1"/>
                <w:szCs w:val="18"/>
              </w:rPr>
              <w:t xml:space="preserve"> </w:t>
            </w:r>
            <w:r w:rsidRPr="00314E4F">
              <w:rPr>
                <w:rFonts w:cs="Arial"/>
                <w:color w:val="000000" w:themeColor="text1"/>
                <w:szCs w:val="18"/>
              </w:rPr>
              <w:t>Al (16.8), Cu (8.3), C (6.4)</w:t>
            </w:r>
          </w:p>
        </w:tc>
        <w:tc>
          <w:tcPr>
            <w:tcW w:w="1716" w:type="dxa"/>
            <w:tcBorders>
              <w:top w:val="nil"/>
              <w:bottom w:val="single" w:sz="12" w:space="0" w:color="006C31"/>
            </w:tcBorders>
            <w:shd w:val="clear" w:color="auto" w:fill="FFFFFF"/>
            <w:vAlign w:val="center"/>
          </w:tcPr>
          <w:p w14:paraId="2A61EDC6" w14:textId="1753C251" w:rsidR="00B36718" w:rsidRPr="00314E4F" w:rsidRDefault="00B36718" w:rsidP="00B36718">
            <w:pPr>
              <w:ind w:left="152" w:right="-1"/>
              <w:jc w:val="center"/>
              <w:rPr>
                <w:rFonts w:cs="Arial"/>
                <w:color w:val="000000" w:themeColor="text1"/>
                <w:szCs w:val="18"/>
              </w:rPr>
            </w:pPr>
            <w:r w:rsidRPr="00314E4F">
              <w:rPr>
                <w:rFonts w:cs="Arial"/>
                <w:color w:val="000000" w:themeColor="text1"/>
                <w:szCs w:val="18"/>
              </w:rPr>
              <w:t xml:space="preserve">O (34.1), Co (9.6), Ni </w:t>
            </w:r>
            <w:r>
              <w:rPr>
                <w:rFonts w:cs="Arial"/>
                <w:color w:val="000000" w:themeColor="text1"/>
                <w:szCs w:val="18"/>
              </w:rPr>
              <w:t>(</w:t>
            </w:r>
            <w:r w:rsidRPr="00314E4F">
              <w:rPr>
                <w:rFonts w:cs="Arial"/>
                <w:color w:val="000000" w:themeColor="text1"/>
                <w:szCs w:val="18"/>
              </w:rPr>
              <w:t>12</w:t>
            </w:r>
            <w:r>
              <w:rPr>
                <w:rFonts w:cs="Arial"/>
                <w:color w:val="000000" w:themeColor="text1"/>
                <w:szCs w:val="18"/>
              </w:rPr>
              <w:t>.0)</w:t>
            </w:r>
            <w:r w:rsidRPr="00314E4F">
              <w:rPr>
                <w:rFonts w:cs="Arial"/>
                <w:color w:val="000000" w:themeColor="text1"/>
                <w:szCs w:val="18"/>
              </w:rPr>
              <w:t>, Mn (7.2), Li (5.4), Al (12.1), Cu (5.7), C (&lt;1</w:t>
            </w:r>
            <w:r w:rsidRPr="007442C8">
              <w:rPr>
                <w:rFonts w:cs="Arial"/>
                <w:color w:val="000000" w:themeColor="text1"/>
                <w:szCs w:val="18"/>
                <w:highlight w:val="yellow"/>
              </w:rPr>
              <w:t>.0</w:t>
            </w:r>
            <w:r w:rsidRPr="00314E4F">
              <w:rPr>
                <w:rFonts w:cs="Arial"/>
                <w:color w:val="000000" w:themeColor="text1"/>
                <w:szCs w:val="18"/>
              </w:rPr>
              <w:t>)</w:t>
            </w:r>
          </w:p>
        </w:tc>
        <w:tc>
          <w:tcPr>
            <w:tcW w:w="1716" w:type="dxa"/>
            <w:tcBorders>
              <w:top w:val="nil"/>
              <w:bottom w:val="single" w:sz="12" w:space="0" w:color="006C31"/>
            </w:tcBorders>
            <w:shd w:val="clear" w:color="auto" w:fill="FFFFFF"/>
            <w:vAlign w:val="center"/>
          </w:tcPr>
          <w:p w14:paraId="09EB9F00" w14:textId="77777777" w:rsidR="00B36718" w:rsidRPr="00314E4F" w:rsidRDefault="00B36718" w:rsidP="00B36718">
            <w:pPr>
              <w:ind w:left="152" w:right="-1"/>
              <w:jc w:val="center"/>
              <w:rPr>
                <w:rFonts w:cs="Arial"/>
                <w:color w:val="000000" w:themeColor="text1"/>
                <w:szCs w:val="18"/>
              </w:rPr>
            </w:pPr>
            <w:r w:rsidRPr="00314E4F">
              <w:rPr>
                <w:rFonts w:cs="Arial"/>
                <w:color w:val="000000" w:themeColor="text1"/>
                <w:szCs w:val="18"/>
              </w:rPr>
              <w:t>O (8.9), Co (18.1), Ni (21.3), Mn (7.4), Li (2.5), Al (14.6), Cu (6.2), C (3.8)</w:t>
            </w:r>
          </w:p>
        </w:tc>
        <w:tc>
          <w:tcPr>
            <w:tcW w:w="1716" w:type="dxa"/>
            <w:tcBorders>
              <w:top w:val="nil"/>
              <w:bottom w:val="single" w:sz="12" w:space="0" w:color="006C31"/>
            </w:tcBorders>
            <w:shd w:val="clear" w:color="auto" w:fill="FFFFFF"/>
            <w:vAlign w:val="center"/>
          </w:tcPr>
          <w:p w14:paraId="2F3F73DB" w14:textId="77777777" w:rsidR="00B36718" w:rsidRPr="00314E4F" w:rsidRDefault="00B36718" w:rsidP="00B36718">
            <w:pPr>
              <w:ind w:left="152" w:right="-1"/>
              <w:jc w:val="center"/>
              <w:rPr>
                <w:rFonts w:cs="Arial"/>
                <w:color w:val="000000" w:themeColor="text1"/>
                <w:szCs w:val="18"/>
              </w:rPr>
            </w:pPr>
            <w:r w:rsidRPr="00314E4F">
              <w:rPr>
                <w:rFonts w:cs="Arial"/>
                <w:color w:val="000000" w:themeColor="text1"/>
                <w:szCs w:val="18"/>
              </w:rPr>
              <w:t>O (26.8), Co (16.2), Ni (14.1), Mn (9.5), Li (1.2), Al (15.5), Cu (9.1), C (&lt;1</w:t>
            </w:r>
            <w:r w:rsidRPr="007442C8">
              <w:rPr>
                <w:rFonts w:cs="Arial"/>
                <w:color w:val="000000" w:themeColor="text1"/>
                <w:szCs w:val="18"/>
                <w:highlight w:val="yellow"/>
              </w:rPr>
              <w:t>.0</w:t>
            </w:r>
            <w:r w:rsidRPr="00314E4F">
              <w:rPr>
                <w:rFonts w:cs="Arial"/>
                <w:color w:val="000000" w:themeColor="text1"/>
                <w:szCs w:val="18"/>
              </w:rPr>
              <w:t>)</w:t>
            </w:r>
          </w:p>
        </w:tc>
      </w:tr>
    </w:tbl>
    <w:p w14:paraId="5033CB07" w14:textId="77777777" w:rsidR="007442C8" w:rsidRDefault="007442C8" w:rsidP="00956431">
      <w:pPr>
        <w:pStyle w:val="CETBodytext"/>
        <w:rPr>
          <w:highlight w:val="yellow"/>
        </w:rPr>
      </w:pPr>
    </w:p>
    <w:p w14:paraId="2AF9BAB6" w14:textId="4568547A" w:rsidR="007442C8" w:rsidRPr="007442C8" w:rsidRDefault="005E4912" w:rsidP="00956431">
      <w:pPr>
        <w:pStyle w:val="CETBodytext"/>
        <w:rPr>
          <w:highlight w:val="yellow"/>
          <w:lang w:val="en-GB"/>
        </w:rPr>
      </w:pPr>
      <w:r w:rsidRPr="00314E4F">
        <w:rPr>
          <w:lang w:val="en-GB"/>
        </w:rPr>
        <w:t>Due to sintering and phase change or even pore collapse, less surface area was found at higher temperature. Regarding the atmosphere, primary the partial reduction and metallic phase formation enhancing partial coalescence are responsible for lower surface area.</w:t>
      </w:r>
      <w:r w:rsidR="001E2622">
        <w:rPr>
          <w:lang w:val="en-GB"/>
        </w:rPr>
        <w:t xml:space="preserve"> </w:t>
      </w:r>
      <w:r w:rsidR="001E2622" w:rsidRPr="001E2622">
        <w:rPr>
          <w:highlight w:val="yellow"/>
          <w:lang w:val="en-GB"/>
        </w:rPr>
        <w:t>C</w:t>
      </w:r>
      <w:r w:rsidR="0069636F" w:rsidRPr="001E2622">
        <w:rPr>
          <w:highlight w:val="yellow"/>
          <w:lang w:val="en-GB"/>
        </w:rPr>
        <w:t>a</w:t>
      </w:r>
      <w:r w:rsidR="0069636F" w:rsidRPr="0069636F">
        <w:rPr>
          <w:highlight w:val="yellow"/>
          <w:lang w:val="en-GB"/>
        </w:rPr>
        <w:t>talysts had higher oxygen content and lower carbon content due to oxidation processes</w:t>
      </w:r>
      <w:r w:rsidR="00B36718">
        <w:rPr>
          <w:highlight w:val="yellow"/>
          <w:lang w:val="en-GB"/>
        </w:rPr>
        <w:t xml:space="preserve"> a</w:t>
      </w:r>
      <w:r w:rsidR="00B36718" w:rsidRPr="0069636F">
        <w:rPr>
          <w:highlight w:val="yellow"/>
          <w:lang w:val="en-GB"/>
        </w:rPr>
        <w:t>t higher temperatures and in the presence of air</w:t>
      </w:r>
      <w:r w:rsidR="0069636F" w:rsidRPr="0069636F">
        <w:rPr>
          <w:highlight w:val="yellow"/>
          <w:lang w:val="en-GB"/>
        </w:rPr>
        <w:t>.</w:t>
      </w:r>
      <w:r w:rsidR="00B36718">
        <w:rPr>
          <w:highlight w:val="yellow"/>
          <w:lang w:val="en-GB"/>
        </w:rPr>
        <w:t xml:space="preserve"> H</w:t>
      </w:r>
      <w:r w:rsidR="0069636F" w:rsidRPr="0069636F">
        <w:rPr>
          <w:highlight w:val="yellow"/>
          <w:lang w:val="en-GB"/>
        </w:rPr>
        <w:t>igher temperature also favour</w:t>
      </w:r>
      <w:r w:rsidR="00B36718">
        <w:rPr>
          <w:highlight w:val="yellow"/>
          <w:lang w:val="en-GB"/>
        </w:rPr>
        <w:t>s</w:t>
      </w:r>
      <w:r w:rsidR="0069636F" w:rsidRPr="0069636F">
        <w:rPr>
          <w:highlight w:val="yellow"/>
          <w:lang w:val="en-GB"/>
        </w:rPr>
        <w:t xml:space="preserve"> t</w:t>
      </w:r>
      <w:r w:rsidR="00B36718">
        <w:rPr>
          <w:highlight w:val="yellow"/>
          <w:lang w:val="en-GB"/>
        </w:rPr>
        <w:t>o</w:t>
      </w:r>
      <w:r w:rsidR="0069636F" w:rsidRPr="0069636F">
        <w:rPr>
          <w:highlight w:val="yellow"/>
          <w:lang w:val="en-GB"/>
        </w:rPr>
        <w:t xml:space="preserve"> release </w:t>
      </w:r>
      <w:r w:rsidR="00B36718">
        <w:rPr>
          <w:highlight w:val="yellow"/>
          <w:lang w:val="en-GB"/>
        </w:rPr>
        <w:t>the</w:t>
      </w:r>
      <w:r w:rsidR="0069636F" w:rsidRPr="0069636F">
        <w:rPr>
          <w:highlight w:val="yellow"/>
          <w:lang w:val="en-GB"/>
        </w:rPr>
        <w:t xml:space="preserve"> metals in volatile form</w:t>
      </w:r>
      <w:r w:rsidR="00B36718">
        <w:rPr>
          <w:highlight w:val="yellow"/>
          <w:lang w:val="en-GB"/>
        </w:rPr>
        <w:t xml:space="preserve"> in case of </w:t>
      </w:r>
      <w:r w:rsidR="00B36718" w:rsidRPr="0069636F">
        <w:rPr>
          <w:highlight w:val="yellow"/>
          <w:lang w:val="en-GB"/>
        </w:rPr>
        <w:t>catalyst preparation in nitrogen atmosphere</w:t>
      </w:r>
      <w:r w:rsidR="0069636F" w:rsidRPr="0069636F">
        <w:rPr>
          <w:highlight w:val="yellow"/>
          <w:lang w:val="en-GB"/>
        </w:rPr>
        <w:t>.</w:t>
      </w:r>
    </w:p>
    <w:p w14:paraId="4BA5C259" w14:textId="6E2D055E" w:rsidR="00A746FC" w:rsidRPr="00314E4F" w:rsidRDefault="00A746FC" w:rsidP="00314E4F">
      <w:pPr>
        <w:pStyle w:val="CETheadingx"/>
        <w:rPr>
          <w:lang w:val="en-GB"/>
        </w:rPr>
      </w:pPr>
      <w:r w:rsidRPr="00314E4F">
        <w:rPr>
          <w:lang w:val="en-GB"/>
        </w:rPr>
        <w:t>Pyrolysis-gasification</w:t>
      </w:r>
    </w:p>
    <w:p w14:paraId="3A89EC12" w14:textId="3688AE03" w:rsidR="005E4912" w:rsidRPr="00314E4F" w:rsidRDefault="006F2A6E" w:rsidP="008F3255">
      <w:pPr>
        <w:pStyle w:val="CETReferencetext"/>
        <w:ind w:left="0" w:firstLine="0"/>
      </w:pPr>
      <w:r w:rsidRPr="00314E4F">
        <w:t>Separator foil obtained from</w:t>
      </w:r>
      <w:r w:rsidR="003F2F61" w:rsidRPr="00314E4F">
        <w:t xml:space="preserve"> </w:t>
      </w:r>
      <w:r w:rsidRPr="00314E4F">
        <w:t>spent Li-battery have been decomposed by pyrolysis-gasification in a tubular reactor</w:t>
      </w:r>
      <w:r w:rsidR="00886FC8">
        <w:t xml:space="preserve"> </w:t>
      </w:r>
      <w:r w:rsidR="00886FC8" w:rsidRPr="00886FC8">
        <w:rPr>
          <w:highlight w:val="yellow"/>
        </w:rPr>
        <w:t>using</w:t>
      </w:r>
      <w:r w:rsidRPr="00314E4F">
        <w:t xml:space="preserve"> nitrogen atmosphere. </w:t>
      </w:r>
      <w:r w:rsidR="008F3255" w:rsidRPr="00314E4F">
        <w:t>The temperature was 500°C and 600°C during the pyrolysis</w:t>
      </w:r>
      <w:r w:rsidR="003F2F61" w:rsidRPr="00314E4F">
        <w:t xml:space="preserve"> in the first reactor zone</w:t>
      </w:r>
      <w:r w:rsidR="008F3255" w:rsidRPr="00314E4F">
        <w:t>, while 750°C during the gasification step.</w:t>
      </w:r>
      <w:r w:rsidR="00F34507">
        <w:t xml:space="preserve"> </w:t>
      </w:r>
      <w:r w:rsidR="00CC7021" w:rsidRPr="00FB02D7">
        <w:rPr>
          <w:highlight w:val="yellow"/>
        </w:rPr>
        <w:t>In general, pyrolysis takes place between 400-600°C, while gasification over 700°C. Different temperatures result significant differences in composition of products.</w:t>
      </w:r>
      <w:r w:rsidR="00886FC8">
        <w:rPr>
          <w:highlight w:val="yellow"/>
        </w:rPr>
        <w:t xml:space="preserve"> Therefore</w:t>
      </w:r>
      <w:r w:rsidR="00F56C87">
        <w:rPr>
          <w:highlight w:val="yellow"/>
        </w:rPr>
        <w:t>,</w:t>
      </w:r>
      <w:r w:rsidR="00886FC8">
        <w:rPr>
          <w:highlight w:val="yellow"/>
        </w:rPr>
        <w:t xml:space="preserve"> t</w:t>
      </w:r>
      <w:r w:rsidR="00CC7021" w:rsidRPr="00FB02D7">
        <w:rPr>
          <w:highlight w:val="yellow"/>
        </w:rPr>
        <w:t xml:space="preserve">he </w:t>
      </w:r>
      <w:r w:rsidR="00F56C87">
        <w:rPr>
          <w:highlight w:val="yellow"/>
        </w:rPr>
        <w:t xml:space="preserve">effect of volatiles with different composition to the </w:t>
      </w:r>
      <w:r w:rsidR="00CC7021" w:rsidRPr="00FB02D7">
        <w:rPr>
          <w:highlight w:val="yellow"/>
        </w:rPr>
        <w:t>catalysts activity</w:t>
      </w:r>
      <w:r w:rsidR="00F56C87">
        <w:rPr>
          <w:highlight w:val="yellow"/>
        </w:rPr>
        <w:t xml:space="preserve"> in gasification step </w:t>
      </w:r>
      <w:r w:rsidR="00CC7021" w:rsidRPr="00FB02D7">
        <w:rPr>
          <w:highlight w:val="yellow"/>
        </w:rPr>
        <w:t xml:space="preserve">was also investigated. Regarding gasification temperature, the 750°C was selected, </w:t>
      </w:r>
      <w:r w:rsidR="00FB02D7" w:rsidRPr="00FB02D7">
        <w:rPr>
          <w:highlight w:val="yellow"/>
        </w:rPr>
        <w:t>because higher temperatures could have caused structural changes in the catalysts.</w:t>
      </w:r>
      <w:r w:rsidR="00FB02D7">
        <w:t xml:space="preserve"> </w:t>
      </w:r>
      <w:r w:rsidR="008F3255" w:rsidRPr="00314E4F">
        <w:t xml:space="preserve">In order to increase the hydrogen content of the gas product, </w:t>
      </w:r>
      <w:r w:rsidR="008F3255" w:rsidRPr="00314E4F">
        <w:lastRenderedPageBreak/>
        <w:t>steam was added to the catalyst bed at 750°C at a flow rate of 5dm</w:t>
      </w:r>
      <w:r w:rsidR="008F3255" w:rsidRPr="00314E4F">
        <w:rPr>
          <w:vertAlign w:val="superscript"/>
        </w:rPr>
        <w:t>3</w:t>
      </w:r>
      <w:r w:rsidR="008F3255" w:rsidRPr="00314E4F">
        <w:t xml:space="preserve">/h. </w:t>
      </w:r>
      <w:r w:rsidR="00F56C87" w:rsidRPr="00F56C87">
        <w:rPr>
          <w:highlight w:val="yellow"/>
        </w:rPr>
        <w:t xml:space="preserve">5g </w:t>
      </w:r>
      <w:r w:rsidR="008F3255" w:rsidRPr="00F56C87">
        <w:rPr>
          <w:highlight w:val="yellow"/>
        </w:rPr>
        <w:t xml:space="preserve">of separator foil </w:t>
      </w:r>
      <w:r w:rsidR="008F20CC" w:rsidRPr="00F56C87">
        <w:rPr>
          <w:highlight w:val="yellow"/>
        </w:rPr>
        <w:t xml:space="preserve">and </w:t>
      </w:r>
      <w:r w:rsidR="00F56C87" w:rsidRPr="00F56C87">
        <w:rPr>
          <w:highlight w:val="yellow"/>
        </w:rPr>
        <w:t xml:space="preserve">2g of </w:t>
      </w:r>
      <w:r w:rsidR="008F20CC" w:rsidRPr="00F56C87">
        <w:rPr>
          <w:highlight w:val="yellow"/>
        </w:rPr>
        <w:t xml:space="preserve">catalyst </w:t>
      </w:r>
      <w:r w:rsidR="00F56C87" w:rsidRPr="00F56C87">
        <w:rPr>
          <w:highlight w:val="yellow"/>
        </w:rPr>
        <w:t xml:space="preserve">were </w:t>
      </w:r>
      <w:r w:rsidR="003F2F61" w:rsidRPr="00F56C87">
        <w:rPr>
          <w:highlight w:val="yellow"/>
        </w:rPr>
        <w:t>put</w:t>
      </w:r>
      <w:r w:rsidR="008F3255" w:rsidRPr="00F56C87">
        <w:rPr>
          <w:highlight w:val="yellow"/>
        </w:rPr>
        <w:t xml:space="preserve"> into the reactor</w:t>
      </w:r>
      <w:r w:rsidR="00F56C87" w:rsidRPr="00F56C87">
        <w:rPr>
          <w:highlight w:val="yellow"/>
        </w:rPr>
        <w:t>, and the</w:t>
      </w:r>
      <w:r w:rsidR="008F20CC" w:rsidRPr="00F56C87">
        <w:rPr>
          <w:highlight w:val="yellow"/>
        </w:rPr>
        <w:t xml:space="preserve"> reaction time was 20minutes. </w:t>
      </w:r>
      <w:r w:rsidR="00047B6D" w:rsidRPr="008F20CC">
        <w:rPr>
          <w:highlight w:val="yellow"/>
        </w:rPr>
        <w:t xml:space="preserve">Based on three independent measurements, the RSD% values of the pyrolysis-gasification are </w:t>
      </w:r>
      <w:r w:rsidR="008F20CC" w:rsidRPr="008F20CC">
        <w:rPr>
          <w:highlight w:val="yellow"/>
        </w:rPr>
        <w:t>2.5-3.8</w:t>
      </w:r>
      <w:r w:rsidR="00047B6D" w:rsidRPr="008F20CC">
        <w:rPr>
          <w:highlight w:val="yellow"/>
        </w:rPr>
        <w:t>% for product yield and</w:t>
      </w:r>
      <w:r w:rsidR="008F20CC" w:rsidRPr="008F20CC">
        <w:rPr>
          <w:highlight w:val="yellow"/>
        </w:rPr>
        <w:t xml:space="preserve"> 3.5-3.9% for gas composition.</w:t>
      </w:r>
      <w:r w:rsidR="008F20CC">
        <w:t xml:space="preserve"> T</w:t>
      </w:r>
      <w:r w:rsidR="008F3255" w:rsidRPr="00314E4F">
        <w:t xml:space="preserve">he gas products formed in the reaction were collected in a </w:t>
      </w:r>
      <w:proofErr w:type="spellStart"/>
      <w:r w:rsidR="008F3255" w:rsidRPr="00314E4F">
        <w:t>Tedlar</w:t>
      </w:r>
      <w:proofErr w:type="spellEnd"/>
      <w:r w:rsidR="008F3255" w:rsidRPr="00314E4F">
        <w:t xml:space="preserve"> bag for further analysis.</w:t>
      </w:r>
    </w:p>
    <w:bookmarkEnd w:id="1"/>
    <w:p w14:paraId="36527C00" w14:textId="360C91C8" w:rsidR="001A6F45" w:rsidRPr="00314E4F" w:rsidRDefault="0065169C" w:rsidP="00314E4F">
      <w:pPr>
        <w:pStyle w:val="CETheadingx"/>
        <w:rPr>
          <w:lang w:val="en-GB"/>
        </w:rPr>
      </w:pPr>
      <w:r w:rsidRPr="00314E4F">
        <w:rPr>
          <w:lang w:val="en-GB"/>
        </w:rPr>
        <w:t>Analysis</w:t>
      </w:r>
    </w:p>
    <w:p w14:paraId="37C25C0F" w14:textId="181C3F91" w:rsidR="001A6F45" w:rsidRPr="00314E4F" w:rsidRDefault="00047B6D" w:rsidP="00673C9F">
      <w:pPr>
        <w:pStyle w:val="CETBodytext"/>
        <w:rPr>
          <w:lang w:val="en-GB"/>
        </w:rPr>
      </w:pPr>
      <w:r w:rsidRPr="00047B6D">
        <w:rPr>
          <w:highlight w:val="yellow"/>
          <w:lang w:val="en-GB"/>
        </w:rPr>
        <w:t>The gas composition was investigated</w:t>
      </w:r>
      <w:r>
        <w:rPr>
          <w:lang w:val="en-GB"/>
        </w:rPr>
        <w:t xml:space="preserve"> </w:t>
      </w:r>
      <w:r w:rsidR="00673C9F" w:rsidRPr="00314E4F">
        <w:rPr>
          <w:lang w:val="en-GB"/>
        </w:rPr>
        <w:t xml:space="preserve">by DANI GC gas-chromatograph. The instrument </w:t>
      </w:r>
      <w:r w:rsidR="003F2F61" w:rsidRPr="00314E4F">
        <w:rPr>
          <w:lang w:val="en-GB"/>
        </w:rPr>
        <w:t>was</w:t>
      </w:r>
      <w:r w:rsidR="00673C9F" w:rsidRPr="00314E4F">
        <w:rPr>
          <w:lang w:val="en-GB"/>
        </w:rPr>
        <w:t xml:space="preserve"> fitted with FID and TCD detectors, the used columns </w:t>
      </w:r>
      <w:r w:rsidR="003F2F61" w:rsidRPr="00314E4F">
        <w:rPr>
          <w:lang w:val="en-GB"/>
        </w:rPr>
        <w:t>were</w:t>
      </w:r>
      <w:r w:rsidR="00673C9F" w:rsidRPr="00314E4F">
        <w:rPr>
          <w:lang w:val="en-GB"/>
        </w:rPr>
        <w:t xml:space="preserve"> an Rtx-1 PONA type (100 m long with an internal diameter of 0.25 mm and film thickness of 0.5 </w:t>
      </w:r>
      <w:proofErr w:type="spellStart"/>
      <w:r w:rsidR="00673C9F" w:rsidRPr="00314E4F">
        <w:rPr>
          <w:lang w:val="en-GB"/>
        </w:rPr>
        <w:t>μm</w:t>
      </w:r>
      <w:proofErr w:type="spellEnd"/>
      <w:r w:rsidR="00673C9F" w:rsidRPr="00314E4F">
        <w:rPr>
          <w:lang w:val="en-GB"/>
        </w:rPr>
        <w:t xml:space="preserve">) and a </w:t>
      </w:r>
      <w:proofErr w:type="spellStart"/>
      <w:r w:rsidR="00673C9F" w:rsidRPr="00314E4F">
        <w:rPr>
          <w:lang w:val="en-GB"/>
        </w:rPr>
        <w:t>CarboxenTM</w:t>
      </w:r>
      <w:proofErr w:type="spellEnd"/>
      <w:r w:rsidR="00673C9F" w:rsidRPr="00314E4F">
        <w:rPr>
          <w:lang w:val="en-GB"/>
        </w:rPr>
        <w:t xml:space="preserve"> 1006 PLOT column (30 m long and 0.53 mm internal diameter). Clarity software was used to evaluate the chromatograms.</w:t>
      </w:r>
    </w:p>
    <w:p w14:paraId="68AB045B" w14:textId="2BE0D903" w:rsidR="00673C9F" w:rsidRPr="00314E4F" w:rsidRDefault="00673C9F" w:rsidP="00673C9F">
      <w:pPr>
        <w:pStyle w:val="CETHeading1"/>
        <w:numPr>
          <w:ilvl w:val="1"/>
          <w:numId w:val="23"/>
        </w:numPr>
        <w:rPr>
          <w:color w:val="000000" w:themeColor="text1"/>
          <w:lang w:val="en-GB"/>
        </w:rPr>
      </w:pPr>
      <w:r w:rsidRPr="00314E4F">
        <w:rPr>
          <w:color w:val="000000" w:themeColor="text1"/>
          <w:lang w:val="en-GB"/>
        </w:rPr>
        <w:t>Result and discussion</w:t>
      </w:r>
    </w:p>
    <w:p w14:paraId="03D31518" w14:textId="2904FBE7" w:rsidR="00673C9F" w:rsidRPr="00314E4F" w:rsidRDefault="00673C9F" w:rsidP="00314E4F">
      <w:pPr>
        <w:pStyle w:val="CETheadingx"/>
        <w:rPr>
          <w:lang w:val="en-GB"/>
        </w:rPr>
      </w:pPr>
      <w:r w:rsidRPr="00314E4F">
        <w:rPr>
          <w:lang w:val="en-GB"/>
        </w:rPr>
        <w:t>Product yields</w:t>
      </w:r>
    </w:p>
    <w:p w14:paraId="23FB6A98" w14:textId="13712415" w:rsidR="00FF6F3F" w:rsidRPr="00314E4F" w:rsidRDefault="00A51B09" w:rsidP="00673C9F">
      <w:pPr>
        <w:pStyle w:val="CETBodytext"/>
        <w:rPr>
          <w:lang w:val="en-GB"/>
        </w:rPr>
      </w:pPr>
      <w:r w:rsidRPr="00A15B67">
        <w:rPr>
          <w:highlight w:val="yellow"/>
          <w:lang w:val="en-GB"/>
        </w:rPr>
        <w:t xml:space="preserve">The </w:t>
      </w:r>
      <w:r w:rsidR="0003396D">
        <w:rPr>
          <w:highlight w:val="yellow"/>
          <w:lang w:val="en-GB"/>
        </w:rPr>
        <w:t xml:space="preserve">product </w:t>
      </w:r>
      <w:r w:rsidRPr="00A15B67">
        <w:rPr>
          <w:highlight w:val="yellow"/>
          <w:lang w:val="en-GB"/>
        </w:rPr>
        <w:t>yield</w:t>
      </w:r>
      <w:r w:rsidR="0003396D">
        <w:rPr>
          <w:highlight w:val="yellow"/>
          <w:lang w:val="en-GB"/>
        </w:rPr>
        <w:t>s</w:t>
      </w:r>
      <w:r w:rsidR="00A15B67" w:rsidRPr="00A15B67">
        <w:rPr>
          <w:highlight w:val="yellow"/>
          <w:lang w:val="en-GB"/>
        </w:rPr>
        <w:t xml:space="preserve"> were calculated based on the weight balance. The weight of pyrolysis oil, water and residue were weighted by </w:t>
      </w:r>
      <w:r w:rsidR="0003396D">
        <w:rPr>
          <w:highlight w:val="yellow"/>
          <w:lang w:val="en-GB"/>
        </w:rPr>
        <w:t xml:space="preserve">laboratory </w:t>
      </w:r>
      <w:r w:rsidR="00A15B67" w:rsidRPr="00A15B67">
        <w:rPr>
          <w:highlight w:val="yellow"/>
          <w:lang w:val="en-GB"/>
        </w:rPr>
        <w:t>balance. The amount of coke on catalyst was determined by its combustion from catalyst surface at 800°C using air. Results</w:t>
      </w:r>
      <w:r w:rsidRPr="00314E4F">
        <w:rPr>
          <w:lang w:val="en-GB"/>
        </w:rPr>
        <w:t xml:space="preserve"> are summarized in Table </w:t>
      </w:r>
      <w:r w:rsidR="003F2F61" w:rsidRPr="00314E4F">
        <w:rPr>
          <w:lang w:val="en-GB"/>
        </w:rPr>
        <w:t>2</w:t>
      </w:r>
      <w:r w:rsidRPr="00314E4F">
        <w:rPr>
          <w:lang w:val="en-GB"/>
        </w:rPr>
        <w:t xml:space="preserve">. </w:t>
      </w:r>
      <w:r w:rsidR="0003396D" w:rsidRPr="0003396D">
        <w:rPr>
          <w:highlight w:val="yellow"/>
          <w:lang w:val="en-GB"/>
        </w:rPr>
        <w:t>I</w:t>
      </w:r>
      <w:r w:rsidR="00A66DD7" w:rsidRPr="0003396D">
        <w:rPr>
          <w:highlight w:val="yellow"/>
          <w:lang w:val="en-GB"/>
        </w:rPr>
        <w:t>t</w:t>
      </w:r>
      <w:r w:rsidR="00A66DD7" w:rsidRPr="00314E4F">
        <w:rPr>
          <w:lang w:val="en-GB"/>
        </w:rPr>
        <w:t xml:space="preserve"> is clear that</w:t>
      </w:r>
      <w:r w:rsidR="00FD7592" w:rsidRPr="00314E4F">
        <w:rPr>
          <w:lang w:val="en-GB"/>
        </w:rPr>
        <w:t xml:space="preserve"> mostly</w:t>
      </w:r>
      <w:r w:rsidR="00A66DD7" w:rsidRPr="00314E4F">
        <w:rPr>
          <w:lang w:val="en-GB"/>
        </w:rPr>
        <w:t xml:space="preserve"> gase</w:t>
      </w:r>
      <w:r w:rsidR="0003396D">
        <w:rPr>
          <w:lang w:val="en-GB"/>
        </w:rPr>
        <w:t>s</w:t>
      </w:r>
      <w:r w:rsidR="00A66DD7" w:rsidRPr="00314E4F">
        <w:rPr>
          <w:lang w:val="en-GB"/>
        </w:rPr>
        <w:t xml:space="preserve"> were produced from the used Li-battery separator, which varied between </w:t>
      </w:r>
      <w:r w:rsidR="00446C54" w:rsidRPr="0003396D">
        <w:rPr>
          <w:highlight w:val="yellow"/>
          <w:lang w:val="en-GB"/>
        </w:rPr>
        <w:t>88.2</w:t>
      </w:r>
      <w:r w:rsidR="00A66DD7" w:rsidRPr="0003396D">
        <w:rPr>
          <w:highlight w:val="yellow"/>
          <w:lang w:val="en-GB"/>
        </w:rPr>
        <w:t>%-</w:t>
      </w:r>
      <w:r w:rsidR="00446C54" w:rsidRPr="0003396D">
        <w:rPr>
          <w:highlight w:val="yellow"/>
          <w:lang w:val="en-GB"/>
        </w:rPr>
        <w:t>9</w:t>
      </w:r>
      <w:r w:rsidR="00FB02D7" w:rsidRPr="0003396D">
        <w:rPr>
          <w:highlight w:val="yellow"/>
          <w:lang w:val="en-GB"/>
        </w:rPr>
        <w:t>2</w:t>
      </w:r>
      <w:r w:rsidR="00446C54" w:rsidRPr="0003396D">
        <w:rPr>
          <w:highlight w:val="yellow"/>
          <w:lang w:val="en-GB"/>
        </w:rPr>
        <w:t>.</w:t>
      </w:r>
      <w:r w:rsidR="00FB02D7" w:rsidRPr="0003396D">
        <w:rPr>
          <w:highlight w:val="yellow"/>
          <w:lang w:val="en-GB"/>
        </w:rPr>
        <w:t>1</w:t>
      </w:r>
      <w:r w:rsidR="00A66DD7" w:rsidRPr="0003396D">
        <w:rPr>
          <w:highlight w:val="yellow"/>
          <w:lang w:val="en-GB"/>
        </w:rPr>
        <w:t>%</w:t>
      </w:r>
      <w:r w:rsidR="00FB02D7" w:rsidRPr="0003396D">
        <w:rPr>
          <w:highlight w:val="yellow"/>
          <w:lang w:val="en-GB"/>
        </w:rPr>
        <w:t xml:space="preserve"> and </w:t>
      </w:r>
      <w:r w:rsidR="00FB02D7" w:rsidRPr="00FB02D7">
        <w:rPr>
          <w:highlight w:val="yellow"/>
          <w:lang w:val="en-GB"/>
        </w:rPr>
        <w:t>90.0-94.2%, in case of 500°C and 600°C pyrolysis temperatures, respectively.</w:t>
      </w:r>
      <w:r w:rsidR="00A66DD7" w:rsidRPr="00FB02D7">
        <w:rPr>
          <w:highlight w:val="yellow"/>
          <w:lang w:val="en-GB"/>
        </w:rPr>
        <w:t xml:space="preserve"> </w:t>
      </w:r>
      <w:r w:rsidR="00FB02D7" w:rsidRPr="00FB02D7">
        <w:rPr>
          <w:highlight w:val="yellow"/>
          <w:lang w:val="en-GB"/>
        </w:rPr>
        <w:t>Due to more coke on catalyst surface, the gas yield was lower using 500°C pyrolysis temperature.</w:t>
      </w:r>
      <w:r w:rsidR="00FB02D7">
        <w:rPr>
          <w:highlight w:val="yellow"/>
          <w:lang w:val="en-GB"/>
        </w:rPr>
        <w:t xml:space="preserve"> </w:t>
      </w:r>
      <w:r w:rsidR="00FD7592" w:rsidRPr="00314E4F">
        <w:rPr>
          <w:lang w:val="en-GB"/>
        </w:rPr>
        <w:t xml:space="preserve">Limited amount of </w:t>
      </w:r>
      <w:r w:rsidR="00A66DD7" w:rsidRPr="00314E4F">
        <w:rPr>
          <w:lang w:val="en-GB"/>
        </w:rPr>
        <w:t xml:space="preserve">solid residue </w:t>
      </w:r>
      <w:r w:rsidR="00FD7592" w:rsidRPr="00314E4F">
        <w:rPr>
          <w:lang w:val="en-GB"/>
        </w:rPr>
        <w:t xml:space="preserve">(2.6-2.9%) </w:t>
      </w:r>
      <w:r w:rsidR="00A66DD7" w:rsidRPr="00314E4F">
        <w:rPr>
          <w:lang w:val="en-GB"/>
        </w:rPr>
        <w:t>remained in the reactor, which was due to the high volatile content of the feedstock</w:t>
      </w:r>
      <w:r w:rsidR="007442C8">
        <w:rPr>
          <w:lang w:val="en-GB"/>
        </w:rPr>
        <w:t xml:space="preserve"> </w:t>
      </w:r>
      <w:r w:rsidR="007442C8" w:rsidRPr="007442C8">
        <w:rPr>
          <w:highlight w:val="yellow"/>
          <w:lang w:val="en-GB"/>
        </w:rPr>
        <w:t>and only slightly changed with the experimental parameters.</w:t>
      </w:r>
    </w:p>
    <w:p w14:paraId="28331BD1" w14:textId="64FC3A3D" w:rsidR="009B1490" w:rsidRPr="00314E4F" w:rsidRDefault="009B1490" w:rsidP="009B1490">
      <w:pPr>
        <w:keepNext/>
        <w:tabs>
          <w:tab w:val="clear" w:pos="7100"/>
        </w:tabs>
        <w:spacing w:before="240" w:after="80" w:line="240" w:lineRule="exact"/>
        <w:jc w:val="left"/>
        <w:rPr>
          <w:i/>
          <w:color w:val="000000" w:themeColor="text1"/>
        </w:rPr>
      </w:pPr>
      <w:r w:rsidRPr="00314E4F">
        <w:rPr>
          <w:i/>
          <w:color w:val="000000" w:themeColor="text1"/>
        </w:rPr>
        <w:t xml:space="preserve">Table </w:t>
      </w:r>
      <w:r w:rsidR="00FD7592" w:rsidRPr="00314E4F">
        <w:rPr>
          <w:i/>
          <w:color w:val="000000" w:themeColor="text1"/>
        </w:rPr>
        <w:t>2</w:t>
      </w:r>
      <w:r w:rsidRPr="00314E4F">
        <w:rPr>
          <w:i/>
          <w:color w:val="000000" w:themeColor="text1"/>
        </w:rPr>
        <w:t xml:space="preserve">: </w:t>
      </w:r>
      <w:r w:rsidR="00956431" w:rsidRPr="00314E4F">
        <w:rPr>
          <w:i/>
          <w:color w:val="000000" w:themeColor="text1"/>
        </w:rPr>
        <w:t xml:space="preserve">Product yields, </w:t>
      </w:r>
      <w:r w:rsidR="00612545" w:rsidRPr="00314E4F">
        <w:rPr>
          <w:i/>
          <w:color w:val="000000" w:themeColor="text1"/>
        </w:rPr>
        <w:t>%</w:t>
      </w:r>
    </w:p>
    <w:tbl>
      <w:tblPr>
        <w:tblW w:w="8668" w:type="dxa"/>
        <w:jc w:val="center"/>
        <w:tblBorders>
          <w:top w:val="single" w:sz="12" w:space="0" w:color="008000"/>
          <w:bottom w:val="single" w:sz="12" w:space="0" w:color="008000"/>
        </w:tblBorders>
        <w:tblCellMar>
          <w:left w:w="0" w:type="dxa"/>
          <w:right w:w="0" w:type="dxa"/>
        </w:tblCellMar>
        <w:tblLook w:val="00A0" w:firstRow="1" w:lastRow="0" w:firstColumn="1" w:lastColumn="0" w:noHBand="0" w:noVBand="0"/>
      </w:tblPr>
      <w:tblGrid>
        <w:gridCol w:w="1118"/>
        <w:gridCol w:w="905"/>
        <w:gridCol w:w="906"/>
        <w:gridCol w:w="910"/>
        <w:gridCol w:w="907"/>
        <w:gridCol w:w="292"/>
        <w:gridCol w:w="906"/>
        <w:gridCol w:w="906"/>
        <w:gridCol w:w="910"/>
        <w:gridCol w:w="908"/>
      </w:tblGrid>
      <w:tr w:rsidR="009B1490" w:rsidRPr="00314E4F" w14:paraId="6596EF8B" w14:textId="77777777" w:rsidTr="008833E7">
        <w:trPr>
          <w:trHeight w:val="329"/>
          <w:jc w:val="center"/>
        </w:trPr>
        <w:tc>
          <w:tcPr>
            <w:tcW w:w="1118" w:type="dxa"/>
            <w:tcBorders>
              <w:top w:val="single" w:sz="12" w:space="0" w:color="006C31"/>
              <w:bottom w:val="single" w:sz="6" w:space="0" w:color="008000"/>
            </w:tcBorders>
            <w:shd w:val="clear" w:color="auto" w:fill="auto"/>
          </w:tcPr>
          <w:p w14:paraId="4198E890" w14:textId="77777777" w:rsidR="009B1490" w:rsidRPr="00314E4F" w:rsidRDefault="009B1490" w:rsidP="009B1490">
            <w:pPr>
              <w:jc w:val="center"/>
              <w:rPr>
                <w:b/>
                <w:color w:val="000000" w:themeColor="text1"/>
              </w:rPr>
            </w:pPr>
          </w:p>
        </w:tc>
        <w:tc>
          <w:tcPr>
            <w:tcW w:w="3628" w:type="dxa"/>
            <w:gridSpan w:val="4"/>
            <w:tcBorders>
              <w:top w:val="single" w:sz="12" w:space="0" w:color="006C31"/>
              <w:bottom w:val="single" w:sz="6" w:space="0" w:color="008000"/>
            </w:tcBorders>
            <w:shd w:val="clear" w:color="auto" w:fill="auto"/>
          </w:tcPr>
          <w:p w14:paraId="0A449366" w14:textId="476EE8D7" w:rsidR="009B1490" w:rsidRPr="00314E4F" w:rsidRDefault="009B1490" w:rsidP="009B1490">
            <w:pPr>
              <w:jc w:val="center"/>
              <w:rPr>
                <w:b/>
                <w:color w:val="000000" w:themeColor="text1"/>
              </w:rPr>
            </w:pPr>
            <w:r w:rsidRPr="00314E4F">
              <w:rPr>
                <w:b/>
                <w:color w:val="000000" w:themeColor="text1"/>
              </w:rPr>
              <w:t>Pyrolysis at 500°C</w:t>
            </w:r>
          </w:p>
        </w:tc>
        <w:tc>
          <w:tcPr>
            <w:tcW w:w="292" w:type="dxa"/>
            <w:tcBorders>
              <w:top w:val="single" w:sz="12" w:space="0" w:color="006C31"/>
              <w:bottom w:val="nil"/>
            </w:tcBorders>
            <w:shd w:val="clear" w:color="auto" w:fill="auto"/>
          </w:tcPr>
          <w:p w14:paraId="03D7608A" w14:textId="77777777" w:rsidR="009B1490" w:rsidRPr="00314E4F" w:rsidRDefault="009B1490" w:rsidP="009B1490">
            <w:pPr>
              <w:jc w:val="center"/>
              <w:rPr>
                <w:b/>
                <w:color w:val="000000" w:themeColor="text1"/>
              </w:rPr>
            </w:pPr>
          </w:p>
        </w:tc>
        <w:tc>
          <w:tcPr>
            <w:tcW w:w="3630" w:type="dxa"/>
            <w:gridSpan w:val="4"/>
            <w:tcBorders>
              <w:top w:val="single" w:sz="12" w:space="0" w:color="006C31"/>
              <w:bottom w:val="single" w:sz="6" w:space="0" w:color="008000"/>
            </w:tcBorders>
            <w:shd w:val="clear" w:color="auto" w:fill="auto"/>
          </w:tcPr>
          <w:p w14:paraId="581981D7" w14:textId="445EB464" w:rsidR="009B1490" w:rsidRPr="00314E4F" w:rsidRDefault="009B1490" w:rsidP="009B1490">
            <w:pPr>
              <w:jc w:val="center"/>
              <w:rPr>
                <w:b/>
                <w:color w:val="000000" w:themeColor="text1"/>
              </w:rPr>
            </w:pPr>
            <w:r w:rsidRPr="00314E4F">
              <w:rPr>
                <w:b/>
                <w:color w:val="000000" w:themeColor="text1"/>
              </w:rPr>
              <w:t>Pyrolysis at 600°C</w:t>
            </w:r>
          </w:p>
        </w:tc>
      </w:tr>
      <w:tr w:rsidR="009B1490" w:rsidRPr="00314E4F" w14:paraId="37539130" w14:textId="77777777" w:rsidTr="00446C54">
        <w:trPr>
          <w:trHeight w:val="329"/>
          <w:jc w:val="center"/>
        </w:trPr>
        <w:tc>
          <w:tcPr>
            <w:tcW w:w="1118" w:type="dxa"/>
            <w:tcBorders>
              <w:top w:val="single" w:sz="6" w:space="0" w:color="008000"/>
              <w:bottom w:val="single" w:sz="6" w:space="0" w:color="008000"/>
            </w:tcBorders>
            <w:shd w:val="clear" w:color="auto" w:fill="FFFFFF"/>
          </w:tcPr>
          <w:p w14:paraId="5C3B2F68" w14:textId="77777777" w:rsidR="009B1490" w:rsidRPr="00314E4F" w:rsidRDefault="009B1490" w:rsidP="009B1490">
            <w:pPr>
              <w:rPr>
                <w:b/>
                <w:color w:val="000000" w:themeColor="text1"/>
              </w:rPr>
            </w:pPr>
          </w:p>
        </w:tc>
        <w:tc>
          <w:tcPr>
            <w:tcW w:w="905" w:type="dxa"/>
            <w:tcBorders>
              <w:top w:val="single" w:sz="6" w:space="0" w:color="008000"/>
              <w:bottom w:val="single" w:sz="6" w:space="0" w:color="008000"/>
            </w:tcBorders>
            <w:shd w:val="clear" w:color="auto" w:fill="FFFFFF"/>
          </w:tcPr>
          <w:p w14:paraId="65968AA3" w14:textId="560D8FE0" w:rsidR="009B1490" w:rsidRPr="00314E4F" w:rsidRDefault="009B1490" w:rsidP="009B1490">
            <w:pPr>
              <w:jc w:val="center"/>
              <w:rPr>
                <w:b/>
                <w:color w:val="000000" w:themeColor="text1"/>
              </w:rPr>
            </w:pPr>
            <w:r w:rsidRPr="00314E4F">
              <w:rPr>
                <w:b/>
                <w:color w:val="000000" w:themeColor="text1"/>
              </w:rPr>
              <w:t>900°C/N</w:t>
            </w:r>
            <w:r w:rsidRPr="00314E4F">
              <w:rPr>
                <w:b/>
                <w:color w:val="000000" w:themeColor="text1"/>
                <w:vertAlign w:val="subscript"/>
              </w:rPr>
              <w:t>2</w:t>
            </w:r>
          </w:p>
        </w:tc>
        <w:tc>
          <w:tcPr>
            <w:tcW w:w="906" w:type="dxa"/>
            <w:tcBorders>
              <w:top w:val="single" w:sz="6" w:space="0" w:color="008000"/>
              <w:bottom w:val="single" w:sz="6" w:space="0" w:color="008000"/>
            </w:tcBorders>
            <w:shd w:val="clear" w:color="auto" w:fill="FFFFFF"/>
          </w:tcPr>
          <w:p w14:paraId="5B517198" w14:textId="10EB367F" w:rsidR="009B1490" w:rsidRPr="00314E4F" w:rsidRDefault="009B1490" w:rsidP="009B1490">
            <w:pPr>
              <w:jc w:val="center"/>
              <w:rPr>
                <w:b/>
                <w:color w:val="000000" w:themeColor="text1"/>
              </w:rPr>
            </w:pPr>
            <w:r w:rsidRPr="00314E4F">
              <w:rPr>
                <w:b/>
                <w:color w:val="000000" w:themeColor="text1"/>
              </w:rPr>
              <w:t>900°C/Air</w:t>
            </w:r>
          </w:p>
        </w:tc>
        <w:tc>
          <w:tcPr>
            <w:tcW w:w="910" w:type="dxa"/>
            <w:tcBorders>
              <w:top w:val="single" w:sz="6" w:space="0" w:color="008000"/>
              <w:bottom w:val="single" w:sz="6" w:space="0" w:color="008000"/>
            </w:tcBorders>
            <w:shd w:val="clear" w:color="auto" w:fill="FFFFFF"/>
          </w:tcPr>
          <w:p w14:paraId="5E7FC103" w14:textId="06A293B1" w:rsidR="009B1490" w:rsidRPr="00314E4F" w:rsidRDefault="009B1490" w:rsidP="009B1490">
            <w:pPr>
              <w:jc w:val="center"/>
              <w:rPr>
                <w:b/>
                <w:color w:val="000000" w:themeColor="text1"/>
              </w:rPr>
            </w:pPr>
            <w:r w:rsidRPr="00314E4F">
              <w:rPr>
                <w:b/>
                <w:color w:val="000000" w:themeColor="text1"/>
              </w:rPr>
              <w:t>1000°C/N</w:t>
            </w:r>
            <w:r w:rsidRPr="00314E4F">
              <w:rPr>
                <w:b/>
                <w:color w:val="000000" w:themeColor="text1"/>
                <w:vertAlign w:val="subscript"/>
              </w:rPr>
              <w:t>2</w:t>
            </w:r>
          </w:p>
        </w:tc>
        <w:tc>
          <w:tcPr>
            <w:tcW w:w="907" w:type="dxa"/>
            <w:tcBorders>
              <w:top w:val="single" w:sz="6" w:space="0" w:color="008000"/>
              <w:bottom w:val="single" w:sz="6" w:space="0" w:color="008000"/>
            </w:tcBorders>
            <w:shd w:val="clear" w:color="auto" w:fill="FFFFFF"/>
          </w:tcPr>
          <w:p w14:paraId="661C8666" w14:textId="7A804A3A" w:rsidR="009B1490" w:rsidRPr="00314E4F" w:rsidRDefault="009B1490" w:rsidP="009B1490">
            <w:pPr>
              <w:jc w:val="center"/>
              <w:rPr>
                <w:b/>
                <w:color w:val="000000" w:themeColor="text1"/>
              </w:rPr>
            </w:pPr>
            <w:r w:rsidRPr="00314E4F">
              <w:rPr>
                <w:b/>
                <w:color w:val="000000" w:themeColor="text1"/>
              </w:rPr>
              <w:t>1000°C/Air</w:t>
            </w:r>
          </w:p>
        </w:tc>
        <w:tc>
          <w:tcPr>
            <w:tcW w:w="292" w:type="dxa"/>
            <w:tcBorders>
              <w:top w:val="nil"/>
              <w:bottom w:val="single" w:sz="6" w:space="0" w:color="008000"/>
            </w:tcBorders>
            <w:shd w:val="clear" w:color="auto" w:fill="FFFFFF"/>
          </w:tcPr>
          <w:p w14:paraId="5B6F9D31" w14:textId="77777777" w:rsidR="009B1490" w:rsidRPr="00314E4F" w:rsidRDefault="009B1490" w:rsidP="009B1490">
            <w:pPr>
              <w:jc w:val="center"/>
              <w:rPr>
                <w:b/>
                <w:color w:val="000000" w:themeColor="text1"/>
              </w:rPr>
            </w:pPr>
          </w:p>
        </w:tc>
        <w:tc>
          <w:tcPr>
            <w:tcW w:w="906" w:type="dxa"/>
            <w:tcBorders>
              <w:top w:val="single" w:sz="6" w:space="0" w:color="008000"/>
              <w:bottom w:val="single" w:sz="6" w:space="0" w:color="008000"/>
            </w:tcBorders>
            <w:shd w:val="clear" w:color="auto" w:fill="FFFFFF"/>
          </w:tcPr>
          <w:p w14:paraId="63EE4A5F" w14:textId="374D4E45" w:rsidR="009B1490" w:rsidRPr="00314E4F" w:rsidRDefault="009B1490" w:rsidP="009B1490">
            <w:pPr>
              <w:jc w:val="center"/>
              <w:rPr>
                <w:b/>
                <w:color w:val="000000" w:themeColor="text1"/>
              </w:rPr>
            </w:pPr>
            <w:r w:rsidRPr="00314E4F">
              <w:rPr>
                <w:b/>
                <w:color w:val="000000" w:themeColor="text1"/>
              </w:rPr>
              <w:t>900°C/N</w:t>
            </w:r>
            <w:r w:rsidRPr="00314E4F">
              <w:rPr>
                <w:b/>
                <w:color w:val="000000" w:themeColor="text1"/>
                <w:vertAlign w:val="subscript"/>
              </w:rPr>
              <w:t>2</w:t>
            </w:r>
          </w:p>
        </w:tc>
        <w:tc>
          <w:tcPr>
            <w:tcW w:w="906" w:type="dxa"/>
            <w:tcBorders>
              <w:top w:val="single" w:sz="6" w:space="0" w:color="008000"/>
              <w:bottom w:val="single" w:sz="6" w:space="0" w:color="008000"/>
            </w:tcBorders>
            <w:shd w:val="clear" w:color="auto" w:fill="FFFFFF"/>
          </w:tcPr>
          <w:p w14:paraId="47A81C17" w14:textId="2BC07B71" w:rsidR="009B1490" w:rsidRPr="00314E4F" w:rsidRDefault="009B1490" w:rsidP="009B1490">
            <w:pPr>
              <w:jc w:val="center"/>
              <w:rPr>
                <w:b/>
                <w:color w:val="000000" w:themeColor="text1"/>
              </w:rPr>
            </w:pPr>
            <w:r w:rsidRPr="00314E4F">
              <w:rPr>
                <w:b/>
                <w:color w:val="000000" w:themeColor="text1"/>
              </w:rPr>
              <w:t>900°C/Air</w:t>
            </w:r>
          </w:p>
        </w:tc>
        <w:tc>
          <w:tcPr>
            <w:tcW w:w="910" w:type="dxa"/>
            <w:tcBorders>
              <w:top w:val="single" w:sz="6" w:space="0" w:color="008000"/>
              <w:bottom w:val="single" w:sz="6" w:space="0" w:color="008000"/>
            </w:tcBorders>
            <w:shd w:val="clear" w:color="auto" w:fill="FFFFFF"/>
          </w:tcPr>
          <w:p w14:paraId="174A88AE" w14:textId="124C77BE" w:rsidR="009B1490" w:rsidRPr="00314E4F" w:rsidRDefault="009B1490" w:rsidP="009B1490">
            <w:pPr>
              <w:jc w:val="center"/>
              <w:rPr>
                <w:b/>
                <w:color w:val="000000" w:themeColor="text1"/>
              </w:rPr>
            </w:pPr>
            <w:r w:rsidRPr="00314E4F">
              <w:rPr>
                <w:b/>
                <w:color w:val="000000" w:themeColor="text1"/>
              </w:rPr>
              <w:t>1000°C/N</w:t>
            </w:r>
            <w:r w:rsidRPr="00314E4F">
              <w:rPr>
                <w:b/>
                <w:color w:val="000000" w:themeColor="text1"/>
                <w:vertAlign w:val="subscript"/>
              </w:rPr>
              <w:t>2</w:t>
            </w:r>
          </w:p>
        </w:tc>
        <w:tc>
          <w:tcPr>
            <w:tcW w:w="908" w:type="dxa"/>
            <w:tcBorders>
              <w:top w:val="single" w:sz="6" w:space="0" w:color="008000"/>
              <w:bottom w:val="single" w:sz="6" w:space="0" w:color="008000"/>
            </w:tcBorders>
            <w:shd w:val="clear" w:color="auto" w:fill="FFFFFF"/>
          </w:tcPr>
          <w:p w14:paraId="216A4B63" w14:textId="1A9A77C3" w:rsidR="009B1490" w:rsidRPr="00314E4F" w:rsidRDefault="009B1490" w:rsidP="009B1490">
            <w:pPr>
              <w:jc w:val="center"/>
              <w:rPr>
                <w:b/>
                <w:color w:val="000000" w:themeColor="text1"/>
              </w:rPr>
            </w:pPr>
            <w:r w:rsidRPr="00314E4F">
              <w:rPr>
                <w:b/>
                <w:color w:val="000000" w:themeColor="text1"/>
              </w:rPr>
              <w:t>1000°C/Air</w:t>
            </w:r>
          </w:p>
        </w:tc>
      </w:tr>
      <w:tr w:rsidR="00446C54" w:rsidRPr="00314E4F" w14:paraId="55412FCE" w14:textId="77777777" w:rsidTr="00446C54">
        <w:trPr>
          <w:trHeight w:val="259"/>
          <w:jc w:val="center"/>
        </w:trPr>
        <w:tc>
          <w:tcPr>
            <w:tcW w:w="1118" w:type="dxa"/>
            <w:tcBorders>
              <w:top w:val="single" w:sz="4" w:space="0" w:color="006C31"/>
              <w:bottom w:val="nil"/>
            </w:tcBorders>
            <w:shd w:val="clear" w:color="auto" w:fill="FFFFFF"/>
          </w:tcPr>
          <w:p w14:paraId="794B5BBE" w14:textId="48DC323B" w:rsidR="00446C54" w:rsidRPr="00314E4F" w:rsidRDefault="00446C54" w:rsidP="00446C54">
            <w:pPr>
              <w:rPr>
                <w:b/>
                <w:color w:val="000000" w:themeColor="text1"/>
              </w:rPr>
            </w:pPr>
            <w:r w:rsidRPr="00314E4F">
              <w:rPr>
                <w:b/>
                <w:color w:val="000000" w:themeColor="text1"/>
              </w:rPr>
              <w:t>Gases</w:t>
            </w:r>
          </w:p>
        </w:tc>
        <w:tc>
          <w:tcPr>
            <w:tcW w:w="905" w:type="dxa"/>
            <w:tcBorders>
              <w:top w:val="single" w:sz="4" w:space="0" w:color="006C31"/>
              <w:bottom w:val="nil"/>
            </w:tcBorders>
            <w:shd w:val="clear" w:color="auto" w:fill="FFFFFF"/>
            <w:vAlign w:val="center"/>
          </w:tcPr>
          <w:p w14:paraId="5B0B8EAB" w14:textId="61F5A20B" w:rsidR="00446C54" w:rsidRPr="00314E4F" w:rsidRDefault="00446C54" w:rsidP="00446C54">
            <w:pPr>
              <w:ind w:right="-1"/>
              <w:jc w:val="center"/>
              <w:rPr>
                <w:rFonts w:cs="Arial"/>
                <w:color w:val="000000" w:themeColor="text1"/>
                <w:szCs w:val="18"/>
              </w:rPr>
            </w:pPr>
            <w:r w:rsidRPr="00314E4F">
              <w:t>90.5</w:t>
            </w:r>
          </w:p>
        </w:tc>
        <w:tc>
          <w:tcPr>
            <w:tcW w:w="906" w:type="dxa"/>
            <w:tcBorders>
              <w:top w:val="single" w:sz="4" w:space="0" w:color="006C31"/>
              <w:bottom w:val="nil"/>
            </w:tcBorders>
            <w:shd w:val="clear" w:color="auto" w:fill="FFFFFF"/>
            <w:vAlign w:val="center"/>
          </w:tcPr>
          <w:p w14:paraId="656D1FB1" w14:textId="36A479B5" w:rsidR="00446C54" w:rsidRPr="00314E4F" w:rsidRDefault="00446C54" w:rsidP="00446C54">
            <w:pPr>
              <w:jc w:val="center"/>
              <w:rPr>
                <w:rFonts w:cs="Arial"/>
                <w:color w:val="000000" w:themeColor="text1"/>
                <w:szCs w:val="18"/>
              </w:rPr>
            </w:pPr>
            <w:r w:rsidRPr="00314E4F">
              <w:t>92.1</w:t>
            </w:r>
          </w:p>
        </w:tc>
        <w:tc>
          <w:tcPr>
            <w:tcW w:w="910" w:type="dxa"/>
            <w:tcBorders>
              <w:top w:val="single" w:sz="4" w:space="0" w:color="006C31"/>
              <w:bottom w:val="nil"/>
            </w:tcBorders>
            <w:shd w:val="clear" w:color="auto" w:fill="FFFFFF"/>
            <w:vAlign w:val="center"/>
          </w:tcPr>
          <w:p w14:paraId="2665C6E2" w14:textId="03730AC2" w:rsidR="00446C54" w:rsidRPr="00314E4F" w:rsidRDefault="00446C54" w:rsidP="00446C54">
            <w:pPr>
              <w:jc w:val="center"/>
              <w:rPr>
                <w:rFonts w:cs="Arial"/>
                <w:color w:val="000000" w:themeColor="text1"/>
                <w:szCs w:val="18"/>
              </w:rPr>
            </w:pPr>
            <w:r w:rsidRPr="00314E4F">
              <w:t>88.2</w:t>
            </w:r>
          </w:p>
        </w:tc>
        <w:tc>
          <w:tcPr>
            <w:tcW w:w="907" w:type="dxa"/>
            <w:tcBorders>
              <w:top w:val="single" w:sz="4" w:space="0" w:color="006C31"/>
              <w:bottom w:val="nil"/>
            </w:tcBorders>
            <w:shd w:val="clear" w:color="auto" w:fill="FFFFFF"/>
            <w:vAlign w:val="center"/>
          </w:tcPr>
          <w:p w14:paraId="298B9010" w14:textId="43BBAB0F" w:rsidR="00446C54" w:rsidRPr="00314E4F" w:rsidRDefault="00446C54" w:rsidP="00446C54">
            <w:pPr>
              <w:jc w:val="center"/>
              <w:rPr>
                <w:rFonts w:cs="Arial"/>
                <w:color w:val="000000" w:themeColor="text1"/>
                <w:szCs w:val="18"/>
              </w:rPr>
            </w:pPr>
            <w:r w:rsidRPr="00314E4F">
              <w:t>91.4</w:t>
            </w:r>
          </w:p>
        </w:tc>
        <w:tc>
          <w:tcPr>
            <w:tcW w:w="292" w:type="dxa"/>
            <w:tcBorders>
              <w:top w:val="single" w:sz="4" w:space="0" w:color="006C31"/>
              <w:bottom w:val="nil"/>
            </w:tcBorders>
            <w:shd w:val="clear" w:color="auto" w:fill="FFFFFF"/>
            <w:vAlign w:val="center"/>
          </w:tcPr>
          <w:p w14:paraId="497AFC06" w14:textId="77777777" w:rsidR="00446C54" w:rsidRPr="00314E4F" w:rsidRDefault="00446C54" w:rsidP="00446C54">
            <w:pPr>
              <w:jc w:val="center"/>
              <w:rPr>
                <w:rFonts w:cs="Arial"/>
                <w:color w:val="000000" w:themeColor="text1"/>
                <w:szCs w:val="18"/>
              </w:rPr>
            </w:pPr>
          </w:p>
        </w:tc>
        <w:tc>
          <w:tcPr>
            <w:tcW w:w="906" w:type="dxa"/>
            <w:tcBorders>
              <w:top w:val="single" w:sz="4" w:space="0" w:color="006C31"/>
              <w:bottom w:val="nil"/>
            </w:tcBorders>
            <w:shd w:val="clear" w:color="auto" w:fill="FFFFFF"/>
            <w:vAlign w:val="center"/>
          </w:tcPr>
          <w:p w14:paraId="0E23461A" w14:textId="7C21D4BA" w:rsidR="00446C54" w:rsidRPr="00314E4F" w:rsidRDefault="00446C54" w:rsidP="00446C54">
            <w:pPr>
              <w:jc w:val="center"/>
              <w:rPr>
                <w:rFonts w:cs="Arial"/>
                <w:color w:val="000000" w:themeColor="text1"/>
                <w:szCs w:val="18"/>
              </w:rPr>
            </w:pPr>
            <w:r w:rsidRPr="00314E4F">
              <w:t>93.3</w:t>
            </w:r>
          </w:p>
        </w:tc>
        <w:tc>
          <w:tcPr>
            <w:tcW w:w="906" w:type="dxa"/>
            <w:tcBorders>
              <w:top w:val="single" w:sz="4" w:space="0" w:color="006C31"/>
              <w:bottom w:val="nil"/>
            </w:tcBorders>
            <w:shd w:val="clear" w:color="auto" w:fill="FFFFFF"/>
            <w:vAlign w:val="center"/>
          </w:tcPr>
          <w:p w14:paraId="7A4517B4" w14:textId="24BB457E" w:rsidR="00446C54" w:rsidRPr="00314E4F" w:rsidRDefault="00446C54" w:rsidP="00446C54">
            <w:pPr>
              <w:jc w:val="center"/>
              <w:rPr>
                <w:rFonts w:cs="Arial"/>
                <w:color w:val="000000" w:themeColor="text1"/>
                <w:szCs w:val="18"/>
              </w:rPr>
            </w:pPr>
            <w:r w:rsidRPr="00314E4F">
              <w:t>94.2</w:t>
            </w:r>
          </w:p>
        </w:tc>
        <w:tc>
          <w:tcPr>
            <w:tcW w:w="910" w:type="dxa"/>
            <w:tcBorders>
              <w:top w:val="single" w:sz="4" w:space="0" w:color="006C31"/>
              <w:bottom w:val="nil"/>
            </w:tcBorders>
            <w:shd w:val="clear" w:color="auto" w:fill="FFFFFF"/>
            <w:vAlign w:val="center"/>
          </w:tcPr>
          <w:p w14:paraId="47AB4070" w14:textId="582A70E1" w:rsidR="00446C54" w:rsidRPr="00314E4F" w:rsidRDefault="00446C54" w:rsidP="00446C54">
            <w:pPr>
              <w:jc w:val="center"/>
              <w:rPr>
                <w:rFonts w:cs="Arial"/>
                <w:color w:val="000000" w:themeColor="text1"/>
                <w:szCs w:val="18"/>
              </w:rPr>
            </w:pPr>
            <w:r w:rsidRPr="00314E4F">
              <w:t>90.0</w:t>
            </w:r>
          </w:p>
        </w:tc>
        <w:tc>
          <w:tcPr>
            <w:tcW w:w="908" w:type="dxa"/>
            <w:tcBorders>
              <w:top w:val="single" w:sz="4" w:space="0" w:color="006C31"/>
              <w:bottom w:val="nil"/>
            </w:tcBorders>
            <w:shd w:val="clear" w:color="auto" w:fill="FFFFFF"/>
            <w:vAlign w:val="center"/>
          </w:tcPr>
          <w:p w14:paraId="0FD3DFD5" w14:textId="3A6E0E00" w:rsidR="00446C54" w:rsidRPr="00314E4F" w:rsidRDefault="00446C54" w:rsidP="00446C54">
            <w:pPr>
              <w:jc w:val="center"/>
              <w:rPr>
                <w:rFonts w:cs="Arial"/>
                <w:color w:val="000000" w:themeColor="text1"/>
                <w:szCs w:val="18"/>
              </w:rPr>
            </w:pPr>
            <w:r w:rsidRPr="00314E4F">
              <w:t>92.9</w:t>
            </w:r>
          </w:p>
        </w:tc>
      </w:tr>
      <w:tr w:rsidR="00446C54" w:rsidRPr="00314E4F" w14:paraId="483FCBA3" w14:textId="77777777" w:rsidTr="00446C54">
        <w:trPr>
          <w:trHeight w:val="259"/>
          <w:jc w:val="center"/>
        </w:trPr>
        <w:tc>
          <w:tcPr>
            <w:tcW w:w="1118" w:type="dxa"/>
            <w:tcBorders>
              <w:top w:val="nil"/>
              <w:bottom w:val="nil"/>
            </w:tcBorders>
            <w:shd w:val="clear" w:color="auto" w:fill="FFFFFF"/>
          </w:tcPr>
          <w:p w14:paraId="1A3646A2" w14:textId="419A4F74" w:rsidR="00446C54" w:rsidRPr="00314E4F" w:rsidRDefault="00446C54" w:rsidP="00446C54">
            <w:pPr>
              <w:rPr>
                <w:b/>
                <w:color w:val="000000" w:themeColor="text1"/>
              </w:rPr>
            </w:pPr>
            <w:r w:rsidRPr="00314E4F">
              <w:rPr>
                <w:b/>
                <w:color w:val="000000" w:themeColor="text1"/>
              </w:rPr>
              <w:t xml:space="preserve">Pyrolysis oil </w:t>
            </w:r>
          </w:p>
        </w:tc>
        <w:tc>
          <w:tcPr>
            <w:tcW w:w="905" w:type="dxa"/>
            <w:tcBorders>
              <w:top w:val="nil"/>
              <w:bottom w:val="nil"/>
            </w:tcBorders>
            <w:shd w:val="clear" w:color="auto" w:fill="FFFFFF"/>
            <w:vAlign w:val="center"/>
          </w:tcPr>
          <w:p w14:paraId="2F40675B" w14:textId="248EB5CB" w:rsidR="00446C54" w:rsidRPr="00314E4F" w:rsidRDefault="00446C54" w:rsidP="00446C54">
            <w:pPr>
              <w:ind w:right="-1"/>
              <w:jc w:val="center"/>
              <w:rPr>
                <w:rFonts w:cs="Arial"/>
                <w:color w:val="000000" w:themeColor="text1"/>
                <w:szCs w:val="18"/>
              </w:rPr>
            </w:pPr>
            <w:r w:rsidRPr="00314E4F">
              <w:t>None</w:t>
            </w:r>
          </w:p>
        </w:tc>
        <w:tc>
          <w:tcPr>
            <w:tcW w:w="906" w:type="dxa"/>
            <w:tcBorders>
              <w:top w:val="nil"/>
              <w:bottom w:val="nil"/>
            </w:tcBorders>
            <w:shd w:val="clear" w:color="auto" w:fill="FFFFFF"/>
            <w:vAlign w:val="center"/>
          </w:tcPr>
          <w:p w14:paraId="54C9D1DE" w14:textId="7E9E92FE" w:rsidR="00446C54" w:rsidRPr="00314E4F" w:rsidRDefault="00446C54" w:rsidP="00446C54">
            <w:pPr>
              <w:jc w:val="center"/>
              <w:rPr>
                <w:rFonts w:cs="Arial"/>
                <w:color w:val="000000" w:themeColor="text1"/>
                <w:szCs w:val="18"/>
              </w:rPr>
            </w:pPr>
            <w:r w:rsidRPr="00314E4F">
              <w:t>None</w:t>
            </w:r>
          </w:p>
        </w:tc>
        <w:tc>
          <w:tcPr>
            <w:tcW w:w="910" w:type="dxa"/>
            <w:tcBorders>
              <w:top w:val="nil"/>
              <w:bottom w:val="nil"/>
            </w:tcBorders>
            <w:shd w:val="clear" w:color="auto" w:fill="FFFFFF"/>
            <w:vAlign w:val="center"/>
          </w:tcPr>
          <w:p w14:paraId="5D851A3F" w14:textId="791D65AC" w:rsidR="00446C54" w:rsidRPr="00314E4F" w:rsidRDefault="00446C54" w:rsidP="00446C54">
            <w:pPr>
              <w:jc w:val="center"/>
              <w:rPr>
                <w:rFonts w:cs="Arial"/>
                <w:color w:val="000000" w:themeColor="text1"/>
                <w:szCs w:val="18"/>
              </w:rPr>
            </w:pPr>
            <w:r w:rsidRPr="00314E4F">
              <w:t>None</w:t>
            </w:r>
          </w:p>
        </w:tc>
        <w:tc>
          <w:tcPr>
            <w:tcW w:w="907" w:type="dxa"/>
            <w:tcBorders>
              <w:top w:val="nil"/>
              <w:bottom w:val="nil"/>
            </w:tcBorders>
            <w:shd w:val="clear" w:color="auto" w:fill="FFFFFF"/>
            <w:vAlign w:val="center"/>
          </w:tcPr>
          <w:p w14:paraId="564CD29B" w14:textId="5D0D71B9" w:rsidR="00446C54" w:rsidRPr="00314E4F" w:rsidRDefault="00446C54" w:rsidP="00446C54">
            <w:pPr>
              <w:jc w:val="center"/>
              <w:rPr>
                <w:rFonts w:cs="Arial"/>
                <w:color w:val="000000" w:themeColor="text1"/>
                <w:szCs w:val="18"/>
              </w:rPr>
            </w:pPr>
            <w:r w:rsidRPr="00314E4F">
              <w:t>None</w:t>
            </w:r>
          </w:p>
        </w:tc>
        <w:tc>
          <w:tcPr>
            <w:tcW w:w="292" w:type="dxa"/>
            <w:tcBorders>
              <w:top w:val="nil"/>
              <w:bottom w:val="nil"/>
            </w:tcBorders>
            <w:shd w:val="clear" w:color="auto" w:fill="FFFFFF"/>
            <w:vAlign w:val="center"/>
          </w:tcPr>
          <w:p w14:paraId="7880D4FC" w14:textId="77777777" w:rsidR="00446C54" w:rsidRPr="00314E4F" w:rsidRDefault="00446C54" w:rsidP="00446C54">
            <w:pPr>
              <w:jc w:val="center"/>
              <w:rPr>
                <w:rFonts w:cs="Arial"/>
                <w:color w:val="000000" w:themeColor="text1"/>
                <w:szCs w:val="18"/>
              </w:rPr>
            </w:pPr>
          </w:p>
        </w:tc>
        <w:tc>
          <w:tcPr>
            <w:tcW w:w="906" w:type="dxa"/>
            <w:tcBorders>
              <w:top w:val="nil"/>
              <w:bottom w:val="nil"/>
            </w:tcBorders>
            <w:shd w:val="clear" w:color="auto" w:fill="FFFFFF"/>
            <w:vAlign w:val="center"/>
          </w:tcPr>
          <w:p w14:paraId="0177B672" w14:textId="4E5007B7" w:rsidR="00446C54" w:rsidRPr="00314E4F" w:rsidRDefault="00446C54" w:rsidP="00446C54">
            <w:pPr>
              <w:jc w:val="center"/>
              <w:rPr>
                <w:rFonts w:cs="Arial"/>
                <w:color w:val="000000" w:themeColor="text1"/>
                <w:szCs w:val="18"/>
              </w:rPr>
            </w:pPr>
            <w:r w:rsidRPr="00314E4F">
              <w:t>None</w:t>
            </w:r>
          </w:p>
        </w:tc>
        <w:tc>
          <w:tcPr>
            <w:tcW w:w="906" w:type="dxa"/>
            <w:tcBorders>
              <w:top w:val="nil"/>
              <w:bottom w:val="nil"/>
            </w:tcBorders>
            <w:shd w:val="clear" w:color="auto" w:fill="FFFFFF"/>
            <w:vAlign w:val="center"/>
          </w:tcPr>
          <w:p w14:paraId="689EE04B" w14:textId="3D6150FF" w:rsidR="00446C54" w:rsidRPr="00314E4F" w:rsidRDefault="00446C54" w:rsidP="00446C54">
            <w:pPr>
              <w:jc w:val="center"/>
              <w:rPr>
                <w:rFonts w:cs="Arial"/>
                <w:color w:val="000000" w:themeColor="text1"/>
                <w:szCs w:val="18"/>
              </w:rPr>
            </w:pPr>
            <w:r w:rsidRPr="00314E4F">
              <w:t>None</w:t>
            </w:r>
          </w:p>
        </w:tc>
        <w:tc>
          <w:tcPr>
            <w:tcW w:w="910" w:type="dxa"/>
            <w:tcBorders>
              <w:top w:val="nil"/>
              <w:bottom w:val="nil"/>
            </w:tcBorders>
            <w:shd w:val="clear" w:color="auto" w:fill="FFFFFF"/>
            <w:vAlign w:val="center"/>
          </w:tcPr>
          <w:p w14:paraId="320F95E2" w14:textId="4AF6B4D2" w:rsidR="00446C54" w:rsidRPr="00314E4F" w:rsidRDefault="00446C54" w:rsidP="00446C54">
            <w:pPr>
              <w:jc w:val="center"/>
              <w:rPr>
                <w:rFonts w:cs="Arial"/>
                <w:color w:val="000000" w:themeColor="text1"/>
                <w:szCs w:val="18"/>
              </w:rPr>
            </w:pPr>
            <w:r w:rsidRPr="00314E4F">
              <w:t>None</w:t>
            </w:r>
          </w:p>
        </w:tc>
        <w:tc>
          <w:tcPr>
            <w:tcW w:w="908" w:type="dxa"/>
            <w:tcBorders>
              <w:top w:val="nil"/>
              <w:bottom w:val="nil"/>
            </w:tcBorders>
            <w:shd w:val="clear" w:color="auto" w:fill="FFFFFF"/>
            <w:vAlign w:val="center"/>
          </w:tcPr>
          <w:p w14:paraId="1AF5CEFA" w14:textId="5728B618" w:rsidR="00446C54" w:rsidRPr="00314E4F" w:rsidRDefault="00446C54" w:rsidP="00446C54">
            <w:pPr>
              <w:jc w:val="center"/>
              <w:rPr>
                <w:rFonts w:cs="Arial"/>
                <w:color w:val="000000" w:themeColor="text1"/>
                <w:szCs w:val="18"/>
              </w:rPr>
            </w:pPr>
            <w:r w:rsidRPr="00314E4F">
              <w:t>None</w:t>
            </w:r>
          </w:p>
        </w:tc>
      </w:tr>
      <w:tr w:rsidR="00446C54" w:rsidRPr="00314E4F" w14:paraId="7614FB88" w14:textId="77777777" w:rsidTr="00446C54">
        <w:trPr>
          <w:trHeight w:val="259"/>
          <w:jc w:val="center"/>
        </w:trPr>
        <w:tc>
          <w:tcPr>
            <w:tcW w:w="1118" w:type="dxa"/>
            <w:tcBorders>
              <w:top w:val="nil"/>
              <w:bottom w:val="nil"/>
            </w:tcBorders>
            <w:shd w:val="clear" w:color="auto" w:fill="FFFFFF"/>
          </w:tcPr>
          <w:p w14:paraId="4A637E60" w14:textId="6FDE5B24" w:rsidR="00446C54" w:rsidRPr="00314E4F" w:rsidRDefault="00446C54" w:rsidP="00446C54">
            <w:pPr>
              <w:rPr>
                <w:b/>
                <w:color w:val="000000" w:themeColor="text1"/>
              </w:rPr>
            </w:pPr>
            <w:r w:rsidRPr="00314E4F">
              <w:rPr>
                <w:b/>
                <w:color w:val="000000" w:themeColor="text1"/>
              </w:rPr>
              <w:t>Water</w:t>
            </w:r>
          </w:p>
        </w:tc>
        <w:tc>
          <w:tcPr>
            <w:tcW w:w="905" w:type="dxa"/>
            <w:tcBorders>
              <w:top w:val="nil"/>
              <w:bottom w:val="nil"/>
            </w:tcBorders>
            <w:shd w:val="clear" w:color="auto" w:fill="FFFFFF"/>
            <w:vAlign w:val="center"/>
          </w:tcPr>
          <w:p w14:paraId="65F4058F" w14:textId="28231236" w:rsidR="00446C54" w:rsidRPr="00314E4F" w:rsidRDefault="00446C54" w:rsidP="00446C54">
            <w:pPr>
              <w:ind w:right="-1"/>
              <w:jc w:val="center"/>
              <w:rPr>
                <w:rFonts w:cs="Arial"/>
                <w:color w:val="000000" w:themeColor="text1"/>
                <w:szCs w:val="18"/>
              </w:rPr>
            </w:pPr>
            <w:r w:rsidRPr="00314E4F">
              <w:t>&lt;1</w:t>
            </w:r>
          </w:p>
        </w:tc>
        <w:tc>
          <w:tcPr>
            <w:tcW w:w="906" w:type="dxa"/>
            <w:tcBorders>
              <w:top w:val="nil"/>
              <w:bottom w:val="nil"/>
            </w:tcBorders>
            <w:shd w:val="clear" w:color="auto" w:fill="FFFFFF"/>
            <w:vAlign w:val="center"/>
          </w:tcPr>
          <w:p w14:paraId="5D86333D" w14:textId="5E5C8256" w:rsidR="00446C54" w:rsidRPr="00314E4F" w:rsidRDefault="00446C54" w:rsidP="00446C54">
            <w:pPr>
              <w:jc w:val="center"/>
              <w:rPr>
                <w:rFonts w:cs="Arial"/>
                <w:color w:val="000000" w:themeColor="text1"/>
                <w:szCs w:val="18"/>
              </w:rPr>
            </w:pPr>
            <w:r w:rsidRPr="00314E4F">
              <w:t>&lt;1</w:t>
            </w:r>
          </w:p>
        </w:tc>
        <w:tc>
          <w:tcPr>
            <w:tcW w:w="910" w:type="dxa"/>
            <w:tcBorders>
              <w:top w:val="nil"/>
              <w:bottom w:val="nil"/>
            </w:tcBorders>
            <w:shd w:val="clear" w:color="auto" w:fill="FFFFFF"/>
            <w:vAlign w:val="center"/>
          </w:tcPr>
          <w:p w14:paraId="00688168" w14:textId="28C59344" w:rsidR="00446C54" w:rsidRPr="00314E4F" w:rsidRDefault="00446C54" w:rsidP="00446C54">
            <w:pPr>
              <w:jc w:val="center"/>
              <w:rPr>
                <w:rFonts w:cs="Arial"/>
                <w:color w:val="000000" w:themeColor="text1"/>
                <w:szCs w:val="18"/>
              </w:rPr>
            </w:pPr>
            <w:r w:rsidRPr="00314E4F">
              <w:t>&lt;1</w:t>
            </w:r>
          </w:p>
        </w:tc>
        <w:tc>
          <w:tcPr>
            <w:tcW w:w="907" w:type="dxa"/>
            <w:tcBorders>
              <w:top w:val="nil"/>
              <w:bottom w:val="nil"/>
            </w:tcBorders>
            <w:shd w:val="clear" w:color="auto" w:fill="FFFFFF"/>
            <w:vAlign w:val="center"/>
          </w:tcPr>
          <w:p w14:paraId="443928E1" w14:textId="6714A7AC" w:rsidR="00446C54" w:rsidRPr="00314E4F" w:rsidRDefault="00446C54" w:rsidP="00446C54">
            <w:pPr>
              <w:jc w:val="center"/>
              <w:rPr>
                <w:rFonts w:cs="Arial"/>
                <w:color w:val="000000" w:themeColor="text1"/>
                <w:szCs w:val="18"/>
              </w:rPr>
            </w:pPr>
            <w:r w:rsidRPr="00314E4F">
              <w:t>&lt;1</w:t>
            </w:r>
          </w:p>
        </w:tc>
        <w:tc>
          <w:tcPr>
            <w:tcW w:w="292" w:type="dxa"/>
            <w:tcBorders>
              <w:top w:val="nil"/>
              <w:bottom w:val="nil"/>
            </w:tcBorders>
            <w:shd w:val="clear" w:color="auto" w:fill="FFFFFF"/>
            <w:vAlign w:val="center"/>
          </w:tcPr>
          <w:p w14:paraId="00D0D942" w14:textId="77777777" w:rsidR="00446C54" w:rsidRPr="00314E4F" w:rsidRDefault="00446C54" w:rsidP="00446C54">
            <w:pPr>
              <w:jc w:val="center"/>
              <w:rPr>
                <w:rFonts w:cs="Arial"/>
                <w:color w:val="000000" w:themeColor="text1"/>
                <w:szCs w:val="18"/>
              </w:rPr>
            </w:pPr>
          </w:p>
        </w:tc>
        <w:tc>
          <w:tcPr>
            <w:tcW w:w="906" w:type="dxa"/>
            <w:tcBorders>
              <w:top w:val="nil"/>
              <w:bottom w:val="nil"/>
            </w:tcBorders>
            <w:shd w:val="clear" w:color="auto" w:fill="FFFFFF"/>
            <w:vAlign w:val="center"/>
          </w:tcPr>
          <w:p w14:paraId="672B6927" w14:textId="7ED8D8FD" w:rsidR="00446C54" w:rsidRPr="00314E4F" w:rsidRDefault="00446C54" w:rsidP="00446C54">
            <w:pPr>
              <w:jc w:val="center"/>
              <w:rPr>
                <w:rFonts w:cs="Arial"/>
                <w:color w:val="000000" w:themeColor="text1"/>
                <w:szCs w:val="18"/>
              </w:rPr>
            </w:pPr>
            <w:r w:rsidRPr="00314E4F">
              <w:t>&lt;1</w:t>
            </w:r>
          </w:p>
        </w:tc>
        <w:tc>
          <w:tcPr>
            <w:tcW w:w="906" w:type="dxa"/>
            <w:tcBorders>
              <w:top w:val="nil"/>
              <w:bottom w:val="nil"/>
            </w:tcBorders>
            <w:shd w:val="clear" w:color="auto" w:fill="FFFFFF"/>
            <w:vAlign w:val="center"/>
          </w:tcPr>
          <w:p w14:paraId="076DF582" w14:textId="62760ABF" w:rsidR="00446C54" w:rsidRPr="00314E4F" w:rsidRDefault="00446C54" w:rsidP="00446C54">
            <w:pPr>
              <w:jc w:val="center"/>
              <w:rPr>
                <w:rFonts w:cs="Arial"/>
                <w:color w:val="000000" w:themeColor="text1"/>
                <w:szCs w:val="18"/>
              </w:rPr>
            </w:pPr>
            <w:r w:rsidRPr="00314E4F">
              <w:t>&lt;1</w:t>
            </w:r>
          </w:p>
        </w:tc>
        <w:tc>
          <w:tcPr>
            <w:tcW w:w="910" w:type="dxa"/>
            <w:tcBorders>
              <w:top w:val="nil"/>
              <w:bottom w:val="nil"/>
            </w:tcBorders>
            <w:shd w:val="clear" w:color="auto" w:fill="FFFFFF"/>
            <w:vAlign w:val="center"/>
          </w:tcPr>
          <w:p w14:paraId="2070303B" w14:textId="0E488DEC" w:rsidR="00446C54" w:rsidRPr="00314E4F" w:rsidRDefault="00446C54" w:rsidP="00446C54">
            <w:pPr>
              <w:jc w:val="center"/>
              <w:rPr>
                <w:rFonts w:cs="Arial"/>
                <w:color w:val="000000" w:themeColor="text1"/>
                <w:szCs w:val="18"/>
              </w:rPr>
            </w:pPr>
            <w:r w:rsidRPr="00314E4F">
              <w:t>&lt;1</w:t>
            </w:r>
          </w:p>
        </w:tc>
        <w:tc>
          <w:tcPr>
            <w:tcW w:w="908" w:type="dxa"/>
            <w:tcBorders>
              <w:top w:val="nil"/>
              <w:bottom w:val="nil"/>
            </w:tcBorders>
            <w:shd w:val="clear" w:color="auto" w:fill="FFFFFF"/>
            <w:vAlign w:val="center"/>
          </w:tcPr>
          <w:p w14:paraId="0AF6FD29" w14:textId="1976DBE7" w:rsidR="00446C54" w:rsidRPr="00314E4F" w:rsidRDefault="00446C54" w:rsidP="00446C54">
            <w:pPr>
              <w:jc w:val="center"/>
              <w:rPr>
                <w:rFonts w:cs="Arial"/>
                <w:color w:val="000000" w:themeColor="text1"/>
                <w:szCs w:val="18"/>
              </w:rPr>
            </w:pPr>
            <w:r w:rsidRPr="00314E4F">
              <w:t>&lt;1</w:t>
            </w:r>
          </w:p>
        </w:tc>
      </w:tr>
      <w:tr w:rsidR="00446C54" w:rsidRPr="00314E4F" w14:paraId="0859D592" w14:textId="77777777" w:rsidTr="00446C54">
        <w:trPr>
          <w:trHeight w:val="259"/>
          <w:jc w:val="center"/>
        </w:trPr>
        <w:tc>
          <w:tcPr>
            <w:tcW w:w="1118" w:type="dxa"/>
            <w:tcBorders>
              <w:top w:val="nil"/>
              <w:bottom w:val="nil"/>
            </w:tcBorders>
            <w:shd w:val="clear" w:color="auto" w:fill="FFFFFF"/>
            <w:vAlign w:val="center"/>
          </w:tcPr>
          <w:p w14:paraId="782EBD32" w14:textId="24C17544" w:rsidR="00446C54" w:rsidRPr="00314E4F" w:rsidRDefault="00446C54" w:rsidP="00446C54">
            <w:pPr>
              <w:jc w:val="left"/>
              <w:rPr>
                <w:b/>
                <w:color w:val="000000" w:themeColor="text1"/>
              </w:rPr>
            </w:pPr>
            <w:r w:rsidRPr="00314E4F">
              <w:rPr>
                <w:b/>
                <w:color w:val="000000" w:themeColor="text1"/>
              </w:rPr>
              <w:t>Coke on catalyst</w:t>
            </w:r>
          </w:p>
        </w:tc>
        <w:tc>
          <w:tcPr>
            <w:tcW w:w="905" w:type="dxa"/>
            <w:tcBorders>
              <w:top w:val="nil"/>
              <w:bottom w:val="nil"/>
            </w:tcBorders>
            <w:shd w:val="clear" w:color="auto" w:fill="FFFFFF"/>
            <w:vAlign w:val="center"/>
          </w:tcPr>
          <w:p w14:paraId="341D0F04" w14:textId="675D18D7" w:rsidR="00446C54" w:rsidRPr="00314E4F" w:rsidRDefault="00446C54" w:rsidP="00446C54">
            <w:pPr>
              <w:ind w:right="-1"/>
              <w:jc w:val="center"/>
              <w:rPr>
                <w:rFonts w:cs="Arial"/>
                <w:color w:val="000000" w:themeColor="text1"/>
                <w:szCs w:val="18"/>
              </w:rPr>
            </w:pPr>
            <w:r w:rsidRPr="00314E4F">
              <w:t>6.8</w:t>
            </w:r>
          </w:p>
        </w:tc>
        <w:tc>
          <w:tcPr>
            <w:tcW w:w="906" w:type="dxa"/>
            <w:tcBorders>
              <w:top w:val="nil"/>
              <w:bottom w:val="nil"/>
            </w:tcBorders>
            <w:shd w:val="clear" w:color="auto" w:fill="FFFFFF"/>
            <w:vAlign w:val="center"/>
          </w:tcPr>
          <w:p w14:paraId="59D5DD00" w14:textId="779DE6CC" w:rsidR="00446C54" w:rsidRPr="00314E4F" w:rsidRDefault="00446C54" w:rsidP="00446C54">
            <w:pPr>
              <w:jc w:val="center"/>
              <w:rPr>
                <w:rFonts w:cs="Arial"/>
                <w:color w:val="000000" w:themeColor="text1"/>
                <w:szCs w:val="18"/>
              </w:rPr>
            </w:pPr>
            <w:r w:rsidRPr="00314E4F">
              <w:t>5.1</w:t>
            </w:r>
          </w:p>
        </w:tc>
        <w:tc>
          <w:tcPr>
            <w:tcW w:w="910" w:type="dxa"/>
            <w:tcBorders>
              <w:top w:val="nil"/>
              <w:bottom w:val="nil"/>
            </w:tcBorders>
            <w:shd w:val="clear" w:color="auto" w:fill="FFFFFF"/>
            <w:vAlign w:val="center"/>
          </w:tcPr>
          <w:p w14:paraId="7C8C2CF3" w14:textId="06D10C4D" w:rsidR="00446C54" w:rsidRPr="00314E4F" w:rsidRDefault="00446C54" w:rsidP="00446C54">
            <w:pPr>
              <w:jc w:val="center"/>
              <w:rPr>
                <w:rFonts w:cs="Arial"/>
                <w:color w:val="000000" w:themeColor="text1"/>
                <w:szCs w:val="18"/>
              </w:rPr>
            </w:pPr>
            <w:r w:rsidRPr="00314E4F">
              <w:t>9.1</w:t>
            </w:r>
          </w:p>
        </w:tc>
        <w:tc>
          <w:tcPr>
            <w:tcW w:w="907" w:type="dxa"/>
            <w:tcBorders>
              <w:top w:val="nil"/>
              <w:bottom w:val="nil"/>
            </w:tcBorders>
            <w:shd w:val="clear" w:color="auto" w:fill="FFFFFF"/>
            <w:vAlign w:val="center"/>
          </w:tcPr>
          <w:p w14:paraId="28A57252" w14:textId="2E0A38B2" w:rsidR="00446C54" w:rsidRPr="00314E4F" w:rsidRDefault="00446C54" w:rsidP="00446C54">
            <w:pPr>
              <w:jc w:val="center"/>
              <w:rPr>
                <w:rFonts w:cs="Arial"/>
                <w:color w:val="000000" w:themeColor="text1"/>
                <w:szCs w:val="18"/>
              </w:rPr>
            </w:pPr>
            <w:r w:rsidRPr="00314E4F">
              <w:t>5.9</w:t>
            </w:r>
          </w:p>
        </w:tc>
        <w:tc>
          <w:tcPr>
            <w:tcW w:w="292" w:type="dxa"/>
            <w:tcBorders>
              <w:top w:val="nil"/>
              <w:bottom w:val="nil"/>
            </w:tcBorders>
            <w:shd w:val="clear" w:color="auto" w:fill="FFFFFF"/>
            <w:vAlign w:val="center"/>
          </w:tcPr>
          <w:p w14:paraId="6E1F79FF" w14:textId="77777777" w:rsidR="00446C54" w:rsidRPr="00314E4F" w:rsidRDefault="00446C54" w:rsidP="00446C54">
            <w:pPr>
              <w:jc w:val="center"/>
              <w:rPr>
                <w:rFonts w:cs="Arial"/>
                <w:color w:val="000000" w:themeColor="text1"/>
                <w:szCs w:val="18"/>
              </w:rPr>
            </w:pPr>
          </w:p>
        </w:tc>
        <w:tc>
          <w:tcPr>
            <w:tcW w:w="906" w:type="dxa"/>
            <w:tcBorders>
              <w:top w:val="nil"/>
              <w:bottom w:val="nil"/>
            </w:tcBorders>
            <w:shd w:val="clear" w:color="auto" w:fill="FFFFFF"/>
            <w:vAlign w:val="center"/>
          </w:tcPr>
          <w:p w14:paraId="48980D0B" w14:textId="4CAA2FF8" w:rsidR="00446C54" w:rsidRPr="00314E4F" w:rsidRDefault="00446C54" w:rsidP="00446C54">
            <w:pPr>
              <w:jc w:val="center"/>
              <w:rPr>
                <w:rFonts w:cs="Arial"/>
                <w:color w:val="000000" w:themeColor="text1"/>
                <w:szCs w:val="18"/>
              </w:rPr>
            </w:pPr>
            <w:r w:rsidRPr="00314E4F">
              <w:t>3.9</w:t>
            </w:r>
          </w:p>
        </w:tc>
        <w:tc>
          <w:tcPr>
            <w:tcW w:w="906" w:type="dxa"/>
            <w:tcBorders>
              <w:top w:val="nil"/>
              <w:bottom w:val="nil"/>
            </w:tcBorders>
            <w:shd w:val="clear" w:color="auto" w:fill="FFFFFF"/>
            <w:vAlign w:val="center"/>
          </w:tcPr>
          <w:p w14:paraId="0C393DEF" w14:textId="528C8490" w:rsidR="00446C54" w:rsidRPr="00314E4F" w:rsidRDefault="00446C54" w:rsidP="00446C54">
            <w:pPr>
              <w:jc w:val="center"/>
              <w:rPr>
                <w:rFonts w:cs="Arial"/>
                <w:color w:val="000000" w:themeColor="text1"/>
                <w:szCs w:val="18"/>
              </w:rPr>
            </w:pPr>
            <w:r w:rsidRPr="00314E4F">
              <w:t>3.2</w:t>
            </w:r>
          </w:p>
        </w:tc>
        <w:tc>
          <w:tcPr>
            <w:tcW w:w="910" w:type="dxa"/>
            <w:tcBorders>
              <w:top w:val="nil"/>
              <w:bottom w:val="nil"/>
            </w:tcBorders>
            <w:shd w:val="clear" w:color="auto" w:fill="FFFFFF"/>
            <w:vAlign w:val="center"/>
          </w:tcPr>
          <w:p w14:paraId="0B09B2A0" w14:textId="1B741211" w:rsidR="00446C54" w:rsidRPr="00314E4F" w:rsidRDefault="00446C54" w:rsidP="00446C54">
            <w:pPr>
              <w:jc w:val="center"/>
              <w:rPr>
                <w:rFonts w:cs="Arial"/>
                <w:color w:val="000000" w:themeColor="text1"/>
                <w:szCs w:val="18"/>
              </w:rPr>
            </w:pPr>
            <w:r w:rsidRPr="00314E4F">
              <w:t>7.1</w:t>
            </w:r>
          </w:p>
        </w:tc>
        <w:tc>
          <w:tcPr>
            <w:tcW w:w="908" w:type="dxa"/>
            <w:tcBorders>
              <w:top w:val="nil"/>
              <w:bottom w:val="nil"/>
            </w:tcBorders>
            <w:shd w:val="clear" w:color="auto" w:fill="FFFFFF"/>
            <w:vAlign w:val="center"/>
          </w:tcPr>
          <w:p w14:paraId="0E164B77" w14:textId="6516280E" w:rsidR="00446C54" w:rsidRPr="00314E4F" w:rsidRDefault="00446C54" w:rsidP="00446C54">
            <w:pPr>
              <w:jc w:val="center"/>
              <w:rPr>
                <w:rFonts w:cs="Arial"/>
                <w:color w:val="000000" w:themeColor="text1"/>
                <w:szCs w:val="18"/>
              </w:rPr>
            </w:pPr>
            <w:r w:rsidRPr="00314E4F">
              <w:t>4.3</w:t>
            </w:r>
          </w:p>
        </w:tc>
      </w:tr>
      <w:tr w:rsidR="00446C54" w:rsidRPr="00314E4F" w14:paraId="7E0E3A53" w14:textId="77777777" w:rsidTr="00446C54">
        <w:trPr>
          <w:trHeight w:val="259"/>
          <w:jc w:val="center"/>
        </w:trPr>
        <w:tc>
          <w:tcPr>
            <w:tcW w:w="1118" w:type="dxa"/>
            <w:tcBorders>
              <w:top w:val="nil"/>
              <w:bottom w:val="single" w:sz="12" w:space="0" w:color="006C31"/>
            </w:tcBorders>
            <w:shd w:val="clear" w:color="auto" w:fill="FFFFFF"/>
          </w:tcPr>
          <w:p w14:paraId="14596381" w14:textId="00DBB83D" w:rsidR="00446C54" w:rsidRPr="00314E4F" w:rsidRDefault="00446C54" w:rsidP="00446C54">
            <w:pPr>
              <w:ind w:right="-1"/>
              <w:rPr>
                <w:rFonts w:cs="Arial"/>
                <w:b/>
                <w:color w:val="000000" w:themeColor="text1"/>
                <w:szCs w:val="18"/>
              </w:rPr>
            </w:pPr>
            <w:r w:rsidRPr="00314E4F">
              <w:rPr>
                <w:rFonts w:cs="Arial"/>
                <w:b/>
                <w:color w:val="000000" w:themeColor="text1"/>
                <w:szCs w:val="18"/>
              </w:rPr>
              <w:t>Residue</w:t>
            </w:r>
          </w:p>
        </w:tc>
        <w:tc>
          <w:tcPr>
            <w:tcW w:w="905" w:type="dxa"/>
            <w:tcBorders>
              <w:top w:val="nil"/>
              <w:bottom w:val="single" w:sz="12" w:space="0" w:color="006C31"/>
            </w:tcBorders>
            <w:shd w:val="clear" w:color="auto" w:fill="FFFFFF"/>
            <w:vAlign w:val="center"/>
          </w:tcPr>
          <w:p w14:paraId="444B0961" w14:textId="3DAAB767" w:rsidR="00446C54" w:rsidRPr="00314E4F" w:rsidRDefault="00446C54" w:rsidP="00446C54">
            <w:pPr>
              <w:ind w:right="-1"/>
              <w:jc w:val="center"/>
              <w:rPr>
                <w:rFonts w:cs="Arial"/>
                <w:color w:val="000000" w:themeColor="text1"/>
                <w:szCs w:val="18"/>
              </w:rPr>
            </w:pPr>
            <w:r w:rsidRPr="00314E4F">
              <w:t>2.7</w:t>
            </w:r>
          </w:p>
        </w:tc>
        <w:tc>
          <w:tcPr>
            <w:tcW w:w="906" w:type="dxa"/>
            <w:tcBorders>
              <w:top w:val="nil"/>
              <w:bottom w:val="single" w:sz="12" w:space="0" w:color="006C31"/>
            </w:tcBorders>
            <w:shd w:val="clear" w:color="auto" w:fill="FFFFFF"/>
            <w:vAlign w:val="center"/>
          </w:tcPr>
          <w:p w14:paraId="0DB3ACF3" w14:textId="2343F611" w:rsidR="00446C54" w:rsidRPr="00314E4F" w:rsidRDefault="00446C54" w:rsidP="00446C54">
            <w:pPr>
              <w:jc w:val="center"/>
              <w:rPr>
                <w:rFonts w:cs="Arial"/>
                <w:color w:val="000000" w:themeColor="text1"/>
                <w:szCs w:val="18"/>
              </w:rPr>
            </w:pPr>
            <w:r w:rsidRPr="00314E4F">
              <w:t>2.8</w:t>
            </w:r>
          </w:p>
        </w:tc>
        <w:tc>
          <w:tcPr>
            <w:tcW w:w="910" w:type="dxa"/>
            <w:tcBorders>
              <w:top w:val="nil"/>
              <w:bottom w:val="single" w:sz="12" w:space="0" w:color="006C31"/>
            </w:tcBorders>
            <w:shd w:val="clear" w:color="auto" w:fill="FFFFFF"/>
            <w:vAlign w:val="center"/>
          </w:tcPr>
          <w:p w14:paraId="40FEB088" w14:textId="1BBE8D6D" w:rsidR="00446C54" w:rsidRPr="00314E4F" w:rsidRDefault="00446C54" w:rsidP="00446C54">
            <w:pPr>
              <w:jc w:val="center"/>
              <w:rPr>
                <w:rFonts w:cs="Arial"/>
                <w:color w:val="000000" w:themeColor="text1"/>
                <w:szCs w:val="18"/>
              </w:rPr>
            </w:pPr>
            <w:r w:rsidRPr="00314E4F">
              <w:t>2.7</w:t>
            </w:r>
          </w:p>
        </w:tc>
        <w:tc>
          <w:tcPr>
            <w:tcW w:w="907" w:type="dxa"/>
            <w:tcBorders>
              <w:top w:val="nil"/>
              <w:bottom w:val="single" w:sz="12" w:space="0" w:color="006C31"/>
            </w:tcBorders>
            <w:shd w:val="clear" w:color="auto" w:fill="FFFFFF"/>
            <w:vAlign w:val="center"/>
          </w:tcPr>
          <w:p w14:paraId="05C72B79" w14:textId="70371296" w:rsidR="00446C54" w:rsidRPr="00314E4F" w:rsidRDefault="00446C54" w:rsidP="00446C54">
            <w:pPr>
              <w:jc w:val="center"/>
              <w:rPr>
                <w:rFonts w:cs="Arial"/>
                <w:color w:val="000000" w:themeColor="text1"/>
                <w:szCs w:val="18"/>
              </w:rPr>
            </w:pPr>
            <w:r w:rsidRPr="00314E4F">
              <w:t>2.7</w:t>
            </w:r>
          </w:p>
        </w:tc>
        <w:tc>
          <w:tcPr>
            <w:tcW w:w="292" w:type="dxa"/>
            <w:tcBorders>
              <w:top w:val="nil"/>
              <w:bottom w:val="single" w:sz="12" w:space="0" w:color="006C31"/>
            </w:tcBorders>
            <w:shd w:val="clear" w:color="auto" w:fill="FFFFFF"/>
            <w:vAlign w:val="center"/>
          </w:tcPr>
          <w:p w14:paraId="33F74203" w14:textId="77777777" w:rsidR="00446C54" w:rsidRPr="00314E4F" w:rsidRDefault="00446C54" w:rsidP="00446C54">
            <w:pPr>
              <w:jc w:val="center"/>
              <w:rPr>
                <w:rFonts w:cs="Arial"/>
                <w:color w:val="000000" w:themeColor="text1"/>
                <w:szCs w:val="18"/>
              </w:rPr>
            </w:pPr>
          </w:p>
        </w:tc>
        <w:tc>
          <w:tcPr>
            <w:tcW w:w="906" w:type="dxa"/>
            <w:tcBorders>
              <w:top w:val="nil"/>
              <w:bottom w:val="single" w:sz="12" w:space="0" w:color="006C31"/>
            </w:tcBorders>
            <w:shd w:val="clear" w:color="auto" w:fill="FFFFFF"/>
            <w:vAlign w:val="center"/>
          </w:tcPr>
          <w:p w14:paraId="2FAC3C71" w14:textId="6BFBBA6D" w:rsidR="00446C54" w:rsidRPr="00314E4F" w:rsidRDefault="00446C54" w:rsidP="00446C54">
            <w:pPr>
              <w:jc w:val="center"/>
              <w:rPr>
                <w:rFonts w:cs="Arial"/>
                <w:color w:val="000000" w:themeColor="text1"/>
                <w:szCs w:val="18"/>
              </w:rPr>
            </w:pPr>
            <w:r w:rsidRPr="00314E4F">
              <w:t>2.8</w:t>
            </w:r>
          </w:p>
        </w:tc>
        <w:tc>
          <w:tcPr>
            <w:tcW w:w="906" w:type="dxa"/>
            <w:tcBorders>
              <w:top w:val="nil"/>
              <w:bottom w:val="single" w:sz="12" w:space="0" w:color="006C31"/>
            </w:tcBorders>
            <w:shd w:val="clear" w:color="auto" w:fill="FFFFFF"/>
            <w:vAlign w:val="center"/>
          </w:tcPr>
          <w:p w14:paraId="7D977C3C" w14:textId="356E6066" w:rsidR="00446C54" w:rsidRPr="00314E4F" w:rsidRDefault="00446C54" w:rsidP="00446C54">
            <w:pPr>
              <w:jc w:val="center"/>
              <w:rPr>
                <w:rFonts w:cs="Arial"/>
                <w:color w:val="000000" w:themeColor="text1"/>
                <w:szCs w:val="18"/>
              </w:rPr>
            </w:pPr>
            <w:r w:rsidRPr="00314E4F">
              <w:t>2.6</w:t>
            </w:r>
          </w:p>
        </w:tc>
        <w:tc>
          <w:tcPr>
            <w:tcW w:w="910" w:type="dxa"/>
            <w:tcBorders>
              <w:top w:val="nil"/>
              <w:bottom w:val="single" w:sz="12" w:space="0" w:color="006C31"/>
            </w:tcBorders>
            <w:shd w:val="clear" w:color="auto" w:fill="FFFFFF"/>
            <w:vAlign w:val="center"/>
          </w:tcPr>
          <w:p w14:paraId="37860B0D" w14:textId="2E28A8F7" w:rsidR="00446C54" w:rsidRPr="00314E4F" w:rsidRDefault="00446C54" w:rsidP="00446C54">
            <w:pPr>
              <w:jc w:val="center"/>
              <w:rPr>
                <w:rFonts w:cs="Arial"/>
                <w:color w:val="000000" w:themeColor="text1"/>
                <w:szCs w:val="18"/>
              </w:rPr>
            </w:pPr>
            <w:r w:rsidRPr="00314E4F">
              <w:t>2.9</w:t>
            </w:r>
          </w:p>
        </w:tc>
        <w:tc>
          <w:tcPr>
            <w:tcW w:w="908" w:type="dxa"/>
            <w:tcBorders>
              <w:top w:val="nil"/>
              <w:bottom w:val="single" w:sz="12" w:space="0" w:color="006C31"/>
            </w:tcBorders>
            <w:shd w:val="clear" w:color="auto" w:fill="FFFFFF"/>
            <w:vAlign w:val="center"/>
          </w:tcPr>
          <w:p w14:paraId="2C62B1F0" w14:textId="7AD15CED" w:rsidR="00446C54" w:rsidRPr="00314E4F" w:rsidRDefault="00446C54" w:rsidP="00446C54">
            <w:pPr>
              <w:jc w:val="center"/>
              <w:rPr>
                <w:rFonts w:cs="Arial"/>
                <w:color w:val="000000" w:themeColor="text1"/>
                <w:szCs w:val="18"/>
              </w:rPr>
            </w:pPr>
            <w:r w:rsidRPr="00314E4F">
              <w:t>2.8</w:t>
            </w:r>
          </w:p>
        </w:tc>
      </w:tr>
    </w:tbl>
    <w:p w14:paraId="02E09012" w14:textId="77777777" w:rsidR="009B1490" w:rsidRPr="00314E4F" w:rsidRDefault="009B1490" w:rsidP="009B1490">
      <w:pPr>
        <w:pStyle w:val="CETBodytext"/>
        <w:rPr>
          <w:lang w:val="en-GB"/>
        </w:rPr>
      </w:pPr>
    </w:p>
    <w:p w14:paraId="6F879B7B" w14:textId="32A6FA12" w:rsidR="009F7BA7" w:rsidRPr="00314E4F" w:rsidRDefault="00FD7592" w:rsidP="008833E7">
      <w:pPr>
        <w:pStyle w:val="CETBodytext"/>
        <w:rPr>
          <w:lang w:val="en-GB"/>
        </w:rPr>
      </w:pPr>
      <w:r w:rsidRPr="00314E4F">
        <w:rPr>
          <w:lang w:val="en-GB"/>
        </w:rPr>
        <w:t xml:space="preserve">Carbonaceous deposition </w:t>
      </w:r>
      <w:r w:rsidR="009F7BA7" w:rsidRPr="00314E4F">
        <w:rPr>
          <w:lang w:val="en-GB"/>
        </w:rPr>
        <w:t xml:space="preserve">was observed on the </w:t>
      </w:r>
      <w:r w:rsidR="009F7BA7" w:rsidRPr="0003396D">
        <w:rPr>
          <w:highlight w:val="yellow"/>
          <w:lang w:val="en-GB"/>
        </w:rPr>
        <w:t xml:space="preserve">catalyst </w:t>
      </w:r>
      <w:r w:rsidR="0003396D" w:rsidRPr="0003396D">
        <w:rPr>
          <w:highlight w:val="yellow"/>
          <w:lang w:val="en-GB"/>
        </w:rPr>
        <w:t>surface</w:t>
      </w:r>
      <w:r w:rsidR="0003396D" w:rsidRPr="00314E4F">
        <w:rPr>
          <w:lang w:val="en-GB"/>
        </w:rPr>
        <w:t xml:space="preserve"> </w:t>
      </w:r>
      <w:r w:rsidR="009F7BA7" w:rsidRPr="00314E4F">
        <w:rPr>
          <w:lang w:val="en-GB"/>
        </w:rPr>
        <w:t xml:space="preserve">in all cases, the extent of which varied between </w:t>
      </w:r>
      <w:r w:rsidR="009F7BA7" w:rsidRPr="00F50009">
        <w:rPr>
          <w:highlight w:val="yellow"/>
          <w:lang w:val="en-GB"/>
        </w:rPr>
        <w:t>3.2-</w:t>
      </w:r>
      <w:r w:rsidR="00F50009" w:rsidRPr="00F50009">
        <w:rPr>
          <w:highlight w:val="yellow"/>
          <w:lang w:val="en-GB"/>
        </w:rPr>
        <w:t>7.1% (at 600°C pyrolysis temperature) and 5.1-</w:t>
      </w:r>
      <w:r w:rsidR="009F7BA7" w:rsidRPr="00F50009">
        <w:rPr>
          <w:highlight w:val="yellow"/>
          <w:lang w:val="en-GB"/>
        </w:rPr>
        <w:t>9.1%</w:t>
      </w:r>
      <w:r w:rsidR="00F50009" w:rsidRPr="00F50009">
        <w:rPr>
          <w:highlight w:val="yellow"/>
          <w:lang w:val="en-GB"/>
        </w:rPr>
        <w:t xml:space="preserve"> (at 500°C pyrolysis temperature)</w:t>
      </w:r>
      <w:r w:rsidR="009F7BA7" w:rsidRPr="00F50009">
        <w:rPr>
          <w:highlight w:val="yellow"/>
          <w:lang w:val="en-GB"/>
        </w:rPr>
        <w:t>.</w:t>
      </w:r>
      <w:r w:rsidR="009F7BA7" w:rsidRPr="00314E4F">
        <w:rPr>
          <w:lang w:val="en-GB"/>
        </w:rPr>
        <w:t xml:space="preserve"> Regarding the different </w:t>
      </w:r>
      <w:r w:rsidR="009F7BA7" w:rsidRPr="0003396D">
        <w:rPr>
          <w:highlight w:val="yellow"/>
          <w:lang w:val="en-GB"/>
        </w:rPr>
        <w:t>catalysts, the</w:t>
      </w:r>
      <w:r w:rsidR="009F7BA7" w:rsidRPr="00314E4F">
        <w:rPr>
          <w:lang w:val="en-GB"/>
        </w:rPr>
        <w:t xml:space="preserve"> extent of surface </w:t>
      </w:r>
      <w:r w:rsidR="00284EEF" w:rsidRPr="00314E4F">
        <w:rPr>
          <w:lang w:val="en-GB"/>
        </w:rPr>
        <w:t>deposition</w:t>
      </w:r>
      <w:r w:rsidR="009F7BA7" w:rsidRPr="00314E4F">
        <w:rPr>
          <w:lang w:val="en-GB"/>
        </w:rPr>
        <w:t xml:space="preserve"> was lower on the catalysts obtained in air atmosphere</w:t>
      </w:r>
      <w:r w:rsidR="0003396D">
        <w:rPr>
          <w:lang w:val="en-GB"/>
        </w:rPr>
        <w:t xml:space="preserve"> </w:t>
      </w:r>
      <w:r w:rsidR="0003396D" w:rsidRPr="0003396D">
        <w:rPr>
          <w:highlight w:val="yellow"/>
          <w:lang w:val="en-GB"/>
        </w:rPr>
        <w:t>during</w:t>
      </w:r>
      <w:r w:rsidR="0003396D">
        <w:rPr>
          <w:lang w:val="en-GB"/>
        </w:rPr>
        <w:t xml:space="preserve"> </w:t>
      </w:r>
      <w:r w:rsidR="009F7BA7" w:rsidRPr="00314E4F">
        <w:rPr>
          <w:lang w:val="en-GB"/>
        </w:rPr>
        <w:t xml:space="preserve">the pyrometallurgical method. </w:t>
      </w:r>
      <w:r w:rsidR="001C2F2C" w:rsidRPr="001C2F2C">
        <w:rPr>
          <w:highlight w:val="yellow"/>
          <w:lang w:val="en-GB"/>
        </w:rPr>
        <w:t>I</w:t>
      </w:r>
      <w:r w:rsidR="009F7BA7" w:rsidRPr="001C2F2C">
        <w:rPr>
          <w:highlight w:val="yellow"/>
          <w:lang w:val="en-GB"/>
        </w:rPr>
        <w:t>n</w:t>
      </w:r>
      <w:r w:rsidR="009F7BA7" w:rsidRPr="00314E4F">
        <w:rPr>
          <w:lang w:val="en-GB"/>
        </w:rPr>
        <w:t xml:space="preserve"> this case the metal content of the catalysts was typically more oxidized</w:t>
      </w:r>
      <w:r w:rsidR="001C2F2C" w:rsidRPr="001C2F2C">
        <w:rPr>
          <w:highlight w:val="yellow"/>
          <w:lang w:val="en-GB"/>
        </w:rPr>
        <w:t>,</w:t>
      </w:r>
      <w:r w:rsidR="009F7BA7" w:rsidRPr="00314E4F">
        <w:rPr>
          <w:lang w:val="en-GB"/>
        </w:rPr>
        <w:t xml:space="preserve"> than that of waste-based catalysts produced </w:t>
      </w:r>
      <w:r w:rsidR="009F7BA7" w:rsidRPr="001C2F2C">
        <w:rPr>
          <w:highlight w:val="yellow"/>
          <w:lang w:val="en-GB"/>
        </w:rPr>
        <w:t>in nitrogen</w:t>
      </w:r>
      <w:r w:rsidR="009F7BA7" w:rsidRPr="00314E4F">
        <w:rPr>
          <w:lang w:val="en-GB"/>
        </w:rPr>
        <w:t xml:space="preserve"> atmosphere. </w:t>
      </w:r>
      <w:r w:rsidR="001C2F2C" w:rsidRPr="001C2F2C">
        <w:rPr>
          <w:highlight w:val="yellow"/>
          <w:lang w:val="en-GB"/>
        </w:rPr>
        <w:t>Therefore</w:t>
      </w:r>
      <w:r w:rsidR="009F7BA7" w:rsidRPr="00314E4F">
        <w:rPr>
          <w:lang w:val="en-GB"/>
        </w:rPr>
        <w:t xml:space="preserve">, the metal content of the catalysts typically contained metals in the elemental </w:t>
      </w:r>
      <w:r w:rsidR="00284EEF" w:rsidRPr="00314E4F">
        <w:rPr>
          <w:lang w:val="en-GB"/>
        </w:rPr>
        <w:t>form</w:t>
      </w:r>
      <w:r w:rsidR="009F7BA7" w:rsidRPr="00314E4F">
        <w:rPr>
          <w:lang w:val="en-GB"/>
        </w:rPr>
        <w:t xml:space="preserve">. </w:t>
      </w:r>
      <w:r w:rsidR="001C2F2C" w:rsidRPr="001C2F2C">
        <w:rPr>
          <w:highlight w:val="yellow"/>
          <w:lang w:val="en-GB"/>
        </w:rPr>
        <w:t>T</w:t>
      </w:r>
      <w:r w:rsidR="009F7BA7" w:rsidRPr="001C2F2C">
        <w:rPr>
          <w:highlight w:val="yellow"/>
          <w:lang w:val="en-GB"/>
        </w:rPr>
        <w:t>he</w:t>
      </w:r>
      <w:r w:rsidR="009F7BA7" w:rsidRPr="00314E4F">
        <w:rPr>
          <w:lang w:val="en-GB"/>
        </w:rPr>
        <w:t xml:space="preserve"> high partial pressure of oxygen creates high oxygen chemical potential</w:t>
      </w:r>
      <w:r w:rsidR="001C2F2C">
        <w:rPr>
          <w:lang w:val="en-GB"/>
        </w:rPr>
        <w:t xml:space="preserve"> </w:t>
      </w:r>
      <w:r w:rsidR="001C2F2C" w:rsidRPr="001C2F2C">
        <w:rPr>
          <w:highlight w:val="yellow"/>
          <w:lang w:val="en-GB"/>
        </w:rPr>
        <w:t xml:space="preserve">in oxygen atmosphere </w:t>
      </w:r>
      <w:r w:rsidR="001C2F2C">
        <w:rPr>
          <w:highlight w:val="yellow"/>
          <w:lang w:val="en-GB"/>
        </w:rPr>
        <w:t>or using</w:t>
      </w:r>
      <w:r w:rsidR="001C2F2C" w:rsidRPr="001C2F2C">
        <w:rPr>
          <w:highlight w:val="yellow"/>
          <w:lang w:val="en-GB"/>
        </w:rPr>
        <w:t xml:space="preserve"> high temperature</w:t>
      </w:r>
      <w:r w:rsidR="009F7BA7" w:rsidRPr="001C2F2C">
        <w:rPr>
          <w:highlight w:val="yellow"/>
          <w:lang w:val="en-GB"/>
        </w:rPr>
        <w:t>, therefor</w:t>
      </w:r>
      <w:r w:rsidR="001C2F2C" w:rsidRPr="001C2F2C">
        <w:rPr>
          <w:highlight w:val="yellow"/>
          <w:lang w:val="en-GB"/>
        </w:rPr>
        <w:t>e</w:t>
      </w:r>
      <w:r w:rsidR="009F7BA7" w:rsidRPr="00314E4F">
        <w:rPr>
          <w:lang w:val="en-GB"/>
        </w:rPr>
        <w:t xml:space="preserve"> the metal oxides has higher thermodynamically stability. It means, that metallic elements </w:t>
      </w:r>
      <w:r w:rsidR="00284EEF" w:rsidRPr="00314E4F">
        <w:rPr>
          <w:lang w:val="en-GB"/>
        </w:rPr>
        <w:t>should be</w:t>
      </w:r>
      <w:r w:rsidR="009F7BA7" w:rsidRPr="00314E4F">
        <w:rPr>
          <w:lang w:val="en-GB"/>
        </w:rPr>
        <w:t xml:space="preserve"> re-oxidized. Contrary, the oxygen potential is low in nitrogen atmosphere, therefore the carbonaceous materials from electrodes promotes the carbothermal reduction (</w:t>
      </w:r>
      <w:proofErr w:type="spellStart"/>
      <w:r w:rsidR="009F7BA7" w:rsidRPr="00314E4F">
        <w:rPr>
          <w:lang w:val="en-GB"/>
        </w:rPr>
        <w:t>MeO+C</w:t>
      </w:r>
      <w:proofErr w:type="spellEnd"/>
      <w:r w:rsidR="009F7BA7" w:rsidRPr="00314E4F">
        <w:rPr>
          <w:lang w:val="en-GB"/>
        </w:rPr>
        <w:t xml:space="preserve"> </w:t>
      </w:r>
      <w:r w:rsidR="009F7BA7" w:rsidRPr="00314E4F">
        <w:rPr>
          <w:rFonts w:cs="Arial"/>
          <w:lang w:val="en-GB"/>
        </w:rPr>
        <w:t xml:space="preserve">→ </w:t>
      </w:r>
      <w:proofErr w:type="spellStart"/>
      <w:r w:rsidR="009F7BA7" w:rsidRPr="00314E4F">
        <w:rPr>
          <w:lang w:val="en-GB"/>
        </w:rPr>
        <w:t>Me+CO</w:t>
      </w:r>
      <w:proofErr w:type="spellEnd"/>
      <w:r w:rsidR="009F7BA7" w:rsidRPr="00314E4F">
        <w:rPr>
          <w:lang w:val="en-GB"/>
        </w:rPr>
        <w:t xml:space="preserve">), which shifting the equilibrium toward elemental metals and stabilizing them. Metals </w:t>
      </w:r>
      <w:r w:rsidR="00284EEF" w:rsidRPr="00314E4F">
        <w:rPr>
          <w:lang w:val="en-GB"/>
        </w:rPr>
        <w:t>o</w:t>
      </w:r>
      <w:r w:rsidR="009F7BA7" w:rsidRPr="00314E4F">
        <w:rPr>
          <w:lang w:val="en-GB"/>
        </w:rPr>
        <w:t>n catalysts promote</w:t>
      </w:r>
      <w:r w:rsidR="00284EEF" w:rsidRPr="00314E4F">
        <w:rPr>
          <w:lang w:val="en-GB"/>
        </w:rPr>
        <w:t>d</w:t>
      </w:r>
      <w:r w:rsidR="009F7BA7" w:rsidRPr="00314E4F">
        <w:rPr>
          <w:lang w:val="en-GB"/>
        </w:rPr>
        <w:t xml:space="preserve"> the </w:t>
      </w:r>
      <w:r w:rsidR="0009333F" w:rsidRPr="0009333F">
        <w:rPr>
          <w:highlight w:val="yellow"/>
          <w:lang w:val="en-GB"/>
        </w:rPr>
        <w:t>further</w:t>
      </w:r>
      <w:r w:rsidR="009F7BA7" w:rsidRPr="00314E4F">
        <w:rPr>
          <w:lang w:val="en-GB"/>
        </w:rPr>
        <w:t xml:space="preserve"> scission of </w:t>
      </w:r>
      <w:r w:rsidR="00284EEF" w:rsidRPr="00314E4F">
        <w:rPr>
          <w:lang w:val="en-GB"/>
        </w:rPr>
        <w:t xml:space="preserve">C-C, </w:t>
      </w:r>
      <w:r w:rsidR="009F7BA7" w:rsidRPr="00314E4F">
        <w:rPr>
          <w:lang w:val="en-GB"/>
        </w:rPr>
        <w:t xml:space="preserve">C-H and C-O bonds, enhancing the cracking reactions or even </w:t>
      </w:r>
      <w:proofErr w:type="spellStart"/>
      <w:r w:rsidR="009F7BA7" w:rsidRPr="00314E4F">
        <w:rPr>
          <w:lang w:val="en-GB"/>
        </w:rPr>
        <w:t>Boudouard</w:t>
      </w:r>
      <w:proofErr w:type="spellEnd"/>
      <w:r w:rsidR="009F7BA7" w:rsidRPr="00314E4F">
        <w:rPr>
          <w:lang w:val="en-GB"/>
        </w:rPr>
        <w:t xml:space="preserve"> reaction</w:t>
      </w:r>
      <w:r w:rsidR="00284EEF" w:rsidRPr="00314E4F">
        <w:rPr>
          <w:lang w:val="en-GB"/>
        </w:rPr>
        <w:t xml:space="preserve"> (</w:t>
      </w:r>
      <w:r w:rsidR="00F64B47" w:rsidRPr="00314E4F">
        <w:rPr>
          <w:lang w:val="en-GB"/>
        </w:rPr>
        <w:t xml:space="preserve">CO </w:t>
      </w:r>
      <w:r w:rsidR="00F64B47" w:rsidRPr="00314E4F">
        <w:rPr>
          <w:rFonts w:cs="Arial"/>
          <w:lang w:val="en-GB"/>
        </w:rPr>
        <w:t xml:space="preserve">→ </w:t>
      </w:r>
      <w:r w:rsidR="00F64B47" w:rsidRPr="00314E4F">
        <w:rPr>
          <w:lang w:val="en-GB"/>
        </w:rPr>
        <w:t>CO</w:t>
      </w:r>
      <w:r w:rsidR="00F64B47" w:rsidRPr="00314E4F">
        <w:rPr>
          <w:vertAlign w:val="subscript"/>
          <w:lang w:val="en-GB"/>
        </w:rPr>
        <w:t>2</w:t>
      </w:r>
      <w:r w:rsidR="00F64B47" w:rsidRPr="00314E4F">
        <w:rPr>
          <w:lang w:val="en-GB"/>
        </w:rPr>
        <w:t>+C</w:t>
      </w:r>
      <w:r w:rsidR="00284EEF" w:rsidRPr="00314E4F">
        <w:rPr>
          <w:lang w:val="en-GB"/>
        </w:rPr>
        <w:t>)</w:t>
      </w:r>
      <w:r w:rsidR="009F7BA7" w:rsidRPr="00314E4F">
        <w:rPr>
          <w:lang w:val="en-GB"/>
        </w:rPr>
        <w:t xml:space="preserve">, which generate carbon deposition on catalyst surface. Furthermore, metals can also dissolve carbon, enabling filamentous carbon. Contrary, metal-oxides have lower cracking activity and provide structural oxygen that oxidizes the deposited carbon on </w:t>
      </w:r>
      <w:r w:rsidR="0009333F" w:rsidRPr="0009333F">
        <w:rPr>
          <w:highlight w:val="yellow"/>
          <w:lang w:val="en-GB"/>
        </w:rPr>
        <w:t>the</w:t>
      </w:r>
      <w:r w:rsidR="0009333F">
        <w:rPr>
          <w:lang w:val="en-GB"/>
        </w:rPr>
        <w:t xml:space="preserve"> </w:t>
      </w:r>
      <w:r w:rsidR="009F7BA7" w:rsidRPr="00314E4F">
        <w:rPr>
          <w:lang w:val="en-GB"/>
        </w:rPr>
        <w:t>catalyst surface to produce CO and CO</w:t>
      </w:r>
      <w:r w:rsidR="009F7BA7" w:rsidRPr="00314E4F">
        <w:rPr>
          <w:vertAlign w:val="subscript"/>
          <w:lang w:val="en-GB"/>
        </w:rPr>
        <w:t>2</w:t>
      </w:r>
      <w:r w:rsidR="009F7BA7" w:rsidRPr="00314E4F">
        <w:rPr>
          <w:lang w:val="en-GB"/>
        </w:rPr>
        <w:t>, reducing the coke accumulation on catalyst</w:t>
      </w:r>
      <w:r w:rsidR="0009333F" w:rsidRPr="0009333F">
        <w:rPr>
          <w:highlight w:val="yellow"/>
          <w:lang w:val="en-GB"/>
        </w:rPr>
        <w:t>s</w:t>
      </w:r>
      <w:r w:rsidR="009F7BA7" w:rsidRPr="00314E4F">
        <w:rPr>
          <w:lang w:val="en-GB"/>
        </w:rPr>
        <w:t>.</w:t>
      </w:r>
    </w:p>
    <w:p w14:paraId="7E0CBC63" w14:textId="0AD73C6B" w:rsidR="00545A89" w:rsidRPr="00314E4F" w:rsidRDefault="008833E7" w:rsidP="00673C9F">
      <w:pPr>
        <w:pStyle w:val="CETBodytext"/>
        <w:rPr>
          <w:lang w:val="en-GB"/>
        </w:rPr>
      </w:pPr>
      <w:r w:rsidRPr="00314E4F">
        <w:rPr>
          <w:lang w:val="en-GB"/>
        </w:rPr>
        <w:t>Regarding the waste based catalysts, it is also clear, that higher temperature of pyrometallurgy process results more coke deposition on catalyst surface</w:t>
      </w:r>
      <w:r w:rsidR="00FA1643" w:rsidRPr="00FA1643">
        <w:rPr>
          <w:highlight w:val="yellow"/>
          <w:lang w:val="en-GB"/>
        </w:rPr>
        <w:t xml:space="preserve">, because </w:t>
      </w:r>
      <w:r w:rsidRPr="00FA1643">
        <w:rPr>
          <w:highlight w:val="yellow"/>
          <w:lang w:val="en-GB"/>
        </w:rPr>
        <w:t xml:space="preserve">metal oxides </w:t>
      </w:r>
      <w:r w:rsidR="00FA1643" w:rsidRPr="00FA1643">
        <w:rPr>
          <w:highlight w:val="yellow"/>
          <w:lang w:val="en-GB"/>
        </w:rPr>
        <w:t>have</w:t>
      </w:r>
      <w:r w:rsidRPr="00314E4F">
        <w:rPr>
          <w:lang w:val="en-GB"/>
        </w:rPr>
        <w:t xml:space="preserve"> slightly less thermodynamically stability</w:t>
      </w:r>
      <w:r w:rsidR="00A85F4B" w:rsidRPr="00A85F4B">
        <w:rPr>
          <w:lang w:val="en-GB"/>
        </w:rPr>
        <w:t xml:space="preserve"> </w:t>
      </w:r>
      <w:r w:rsidR="00A85F4B" w:rsidRPr="00FA1643">
        <w:rPr>
          <w:highlight w:val="yellow"/>
          <w:lang w:val="en-GB"/>
        </w:rPr>
        <w:t>at higher temperature</w:t>
      </w:r>
      <w:r w:rsidRPr="00314E4F">
        <w:rPr>
          <w:lang w:val="en-GB"/>
        </w:rPr>
        <w:t>. It also means, that the reduction of metals to metallic Ni, Co, Li or Fe, etc. is more complete at 1000°C</w:t>
      </w:r>
      <w:r w:rsidR="00F64B47" w:rsidRPr="00314E4F">
        <w:rPr>
          <w:lang w:val="en-GB"/>
        </w:rPr>
        <w:t>,</w:t>
      </w:r>
      <w:r w:rsidRPr="00314E4F">
        <w:rPr>
          <w:lang w:val="en-GB"/>
        </w:rPr>
        <w:t xml:space="preserve"> than that of at 900°C in the presence of residual carbon using nitrogen. On the other hand, the reaction rate also increase at higher temperature, accelerating the cathode decomposition, oxide reduction, carbon gasification and diffusion process</w:t>
      </w:r>
      <w:r w:rsidR="00F64B47" w:rsidRPr="00314E4F">
        <w:rPr>
          <w:lang w:val="en-GB"/>
        </w:rPr>
        <w:t xml:space="preserve"> during the pyrometallurgy treating</w:t>
      </w:r>
      <w:r w:rsidRPr="00314E4F">
        <w:rPr>
          <w:lang w:val="en-GB"/>
        </w:rPr>
        <w:t xml:space="preserve">. Finally, the higher temperature also </w:t>
      </w:r>
      <w:r w:rsidRPr="00314E4F">
        <w:rPr>
          <w:lang w:val="en-GB"/>
        </w:rPr>
        <w:lastRenderedPageBreak/>
        <w:t xml:space="preserve">promotes the particle sintering, metallic coalescence and improve </w:t>
      </w:r>
      <w:r w:rsidR="00FA1643" w:rsidRPr="00FA1643">
        <w:rPr>
          <w:highlight w:val="yellow"/>
          <w:lang w:val="en-GB"/>
        </w:rPr>
        <w:t>the</w:t>
      </w:r>
      <w:r w:rsidR="00FA1643">
        <w:rPr>
          <w:lang w:val="en-GB"/>
        </w:rPr>
        <w:t xml:space="preserve"> </w:t>
      </w:r>
      <w:r w:rsidRPr="00314E4F">
        <w:rPr>
          <w:lang w:val="en-GB"/>
        </w:rPr>
        <w:t>metal-slag separation leading to larger metallic domains and more advanced phase transformation</w:t>
      </w:r>
      <w:r w:rsidR="00F64B47" w:rsidRPr="00314E4F">
        <w:rPr>
          <w:lang w:val="en-GB"/>
        </w:rPr>
        <w:t>,</w:t>
      </w:r>
      <w:r w:rsidRPr="00314E4F">
        <w:rPr>
          <w:lang w:val="en-GB"/>
        </w:rPr>
        <w:t xml:space="preserve"> than those of at 900°C.</w:t>
      </w:r>
    </w:p>
    <w:p w14:paraId="52A32E17" w14:textId="69162198" w:rsidR="00673C9F" w:rsidRPr="00314E4F" w:rsidRDefault="00673C9F" w:rsidP="00314E4F">
      <w:pPr>
        <w:pStyle w:val="CETheadingx"/>
        <w:rPr>
          <w:lang w:val="en-GB"/>
        </w:rPr>
      </w:pPr>
      <w:r w:rsidRPr="00314E4F">
        <w:rPr>
          <w:lang w:val="en-GB"/>
        </w:rPr>
        <w:t>Gases</w:t>
      </w:r>
    </w:p>
    <w:p w14:paraId="2B81596E" w14:textId="4602FFB6" w:rsidR="00112E5F" w:rsidRDefault="00112E5F" w:rsidP="00673C9F">
      <w:pPr>
        <w:pStyle w:val="CETBodytext"/>
        <w:rPr>
          <w:highlight w:val="yellow"/>
          <w:lang w:val="en-GB"/>
        </w:rPr>
      </w:pPr>
      <w:r w:rsidRPr="00314E4F">
        <w:rPr>
          <w:lang w:val="en-GB"/>
        </w:rPr>
        <w:t xml:space="preserve">The composition of gases are shown in Figure </w:t>
      </w:r>
      <w:r w:rsidR="00F34507" w:rsidRPr="00F34507">
        <w:rPr>
          <w:highlight w:val="yellow"/>
          <w:lang w:val="en-GB"/>
        </w:rPr>
        <w:t>1</w:t>
      </w:r>
      <w:r w:rsidR="000145F5" w:rsidRPr="00314E4F">
        <w:rPr>
          <w:lang w:val="en-GB"/>
        </w:rPr>
        <w:t xml:space="preserve">, while Figure </w:t>
      </w:r>
      <w:r w:rsidR="00F34507" w:rsidRPr="00F34507">
        <w:rPr>
          <w:highlight w:val="yellow"/>
          <w:lang w:val="en-GB"/>
        </w:rPr>
        <w:t>2</w:t>
      </w:r>
      <w:r w:rsidR="000145F5" w:rsidRPr="00314E4F">
        <w:rPr>
          <w:lang w:val="en-GB"/>
        </w:rPr>
        <w:t xml:space="preserve"> summarizes the hydrogen/CO and CO/CO</w:t>
      </w:r>
      <w:r w:rsidR="000145F5" w:rsidRPr="00314E4F">
        <w:rPr>
          <w:vertAlign w:val="subscript"/>
          <w:lang w:val="en-GB"/>
        </w:rPr>
        <w:t>2</w:t>
      </w:r>
      <w:r w:rsidR="00B854B8">
        <w:rPr>
          <w:lang w:val="en-GB"/>
        </w:rPr>
        <w:t xml:space="preserve"> </w:t>
      </w:r>
      <w:r w:rsidR="00B854B8" w:rsidRPr="00B854B8">
        <w:rPr>
          <w:highlight w:val="yellow"/>
          <w:lang w:val="en-GB"/>
        </w:rPr>
        <w:t>ratios.</w:t>
      </w:r>
      <w:r w:rsidRPr="00B854B8">
        <w:rPr>
          <w:highlight w:val="yellow"/>
          <w:lang w:val="en-GB"/>
        </w:rPr>
        <w:t xml:space="preserve"> </w:t>
      </w:r>
      <w:r w:rsidR="00B854B8" w:rsidRPr="00B854B8">
        <w:rPr>
          <w:highlight w:val="yellow"/>
          <w:lang w:val="en-GB"/>
        </w:rPr>
        <w:t>G</w:t>
      </w:r>
      <w:r w:rsidRPr="00B854B8">
        <w:rPr>
          <w:highlight w:val="yellow"/>
          <w:lang w:val="en-GB"/>
        </w:rPr>
        <w:t>ases</w:t>
      </w:r>
      <w:r w:rsidRPr="00314E4F">
        <w:rPr>
          <w:lang w:val="en-GB"/>
        </w:rPr>
        <w:t xml:space="preserve"> consist of hydrogen, CO, CO</w:t>
      </w:r>
      <w:r w:rsidRPr="00314E4F">
        <w:rPr>
          <w:vertAlign w:val="subscript"/>
          <w:lang w:val="en-GB"/>
        </w:rPr>
        <w:t>2</w:t>
      </w:r>
      <w:r w:rsidRPr="00314E4F">
        <w:rPr>
          <w:lang w:val="en-GB"/>
        </w:rPr>
        <w:t>, methane and C</w:t>
      </w:r>
      <w:r w:rsidRPr="00314E4F">
        <w:rPr>
          <w:vertAlign w:val="subscript"/>
          <w:lang w:val="en-GB"/>
        </w:rPr>
        <w:t>2</w:t>
      </w:r>
      <w:r w:rsidRPr="00314E4F">
        <w:rPr>
          <w:lang w:val="en-GB"/>
        </w:rPr>
        <w:t>-C</w:t>
      </w:r>
      <w:r w:rsidRPr="00314E4F">
        <w:rPr>
          <w:vertAlign w:val="subscript"/>
          <w:lang w:val="en-GB"/>
        </w:rPr>
        <w:t>5</w:t>
      </w:r>
      <w:r w:rsidRPr="00314E4F">
        <w:rPr>
          <w:lang w:val="en-GB"/>
        </w:rPr>
        <w:t xml:space="preserve"> compounds. </w:t>
      </w:r>
      <w:r w:rsidR="00B16856" w:rsidRPr="00B16856">
        <w:rPr>
          <w:highlight w:val="yellow"/>
          <w:lang w:val="en-GB"/>
        </w:rPr>
        <w:t xml:space="preserve">Catalysts </w:t>
      </w:r>
      <w:r w:rsidR="00B854B8">
        <w:rPr>
          <w:highlight w:val="yellow"/>
          <w:lang w:val="en-GB"/>
        </w:rPr>
        <w:t>synthetized in</w:t>
      </w:r>
      <w:r w:rsidR="00B16856" w:rsidRPr="00B16856">
        <w:rPr>
          <w:highlight w:val="yellow"/>
          <w:lang w:val="en-GB"/>
        </w:rPr>
        <w:t xml:space="preserve"> nitrogen result</w:t>
      </w:r>
      <w:r w:rsidR="00B854B8">
        <w:rPr>
          <w:highlight w:val="yellow"/>
          <w:lang w:val="en-GB"/>
        </w:rPr>
        <w:t>s</w:t>
      </w:r>
      <w:r w:rsidR="00B16856" w:rsidRPr="00B16856">
        <w:rPr>
          <w:highlight w:val="yellow"/>
          <w:lang w:val="en-GB"/>
        </w:rPr>
        <w:t xml:space="preserve"> more hydrogen in gases (</w:t>
      </w:r>
      <w:r w:rsidR="007C655D">
        <w:rPr>
          <w:highlight w:val="yellow"/>
          <w:lang w:val="en-GB"/>
        </w:rPr>
        <w:t>4</w:t>
      </w:r>
      <w:r w:rsidR="001C48A8">
        <w:rPr>
          <w:highlight w:val="yellow"/>
          <w:lang w:val="en-GB"/>
        </w:rPr>
        <w:t>1</w:t>
      </w:r>
      <w:r w:rsidR="007C655D">
        <w:rPr>
          <w:highlight w:val="yellow"/>
          <w:lang w:val="en-GB"/>
        </w:rPr>
        <w:t>-128</w:t>
      </w:r>
      <w:r w:rsidR="00B16856" w:rsidRPr="00B16856">
        <w:rPr>
          <w:highlight w:val="yellow"/>
          <w:lang w:val="en-GB"/>
        </w:rPr>
        <w:t>% increasing), than</w:t>
      </w:r>
      <w:r w:rsidR="0020069C" w:rsidRPr="00B16856">
        <w:rPr>
          <w:highlight w:val="yellow"/>
          <w:lang w:val="en-GB"/>
        </w:rPr>
        <w:t xml:space="preserve"> those </w:t>
      </w:r>
      <w:r w:rsidR="00B16856" w:rsidRPr="00B16856">
        <w:rPr>
          <w:highlight w:val="yellow"/>
          <w:lang w:val="en-GB"/>
        </w:rPr>
        <w:t xml:space="preserve">of </w:t>
      </w:r>
      <w:r w:rsidR="0020069C" w:rsidRPr="00B16856">
        <w:rPr>
          <w:highlight w:val="yellow"/>
          <w:lang w:val="en-GB"/>
        </w:rPr>
        <w:t xml:space="preserve">formed in </w:t>
      </w:r>
      <w:r w:rsidR="00B16856" w:rsidRPr="00B16856">
        <w:rPr>
          <w:highlight w:val="yellow"/>
          <w:lang w:val="en-GB"/>
        </w:rPr>
        <w:t>air</w:t>
      </w:r>
      <w:r w:rsidR="0020069C" w:rsidRPr="00B16856">
        <w:rPr>
          <w:highlight w:val="yellow"/>
          <w:lang w:val="en-GB"/>
        </w:rPr>
        <w:t xml:space="preserve"> atmosphere. </w:t>
      </w:r>
      <w:r w:rsidR="00B16856" w:rsidRPr="00B16856">
        <w:rPr>
          <w:highlight w:val="yellow"/>
          <w:lang w:val="en-GB"/>
        </w:rPr>
        <w:t>On the other hand, the hydrogen content of gases was also higher using catalysts produced at 900°C, than that of at 1000°C</w:t>
      </w:r>
      <w:r w:rsidR="00B16856">
        <w:rPr>
          <w:highlight w:val="yellow"/>
          <w:lang w:val="en-GB"/>
        </w:rPr>
        <w:t xml:space="preserve"> (1</w:t>
      </w:r>
      <w:r w:rsidR="007C655D">
        <w:rPr>
          <w:highlight w:val="yellow"/>
          <w:lang w:val="en-GB"/>
        </w:rPr>
        <w:t>4</w:t>
      </w:r>
      <w:r w:rsidR="00B16856">
        <w:rPr>
          <w:highlight w:val="yellow"/>
          <w:lang w:val="en-GB"/>
        </w:rPr>
        <w:t>-56% increasing)</w:t>
      </w:r>
      <w:r w:rsidR="00B16856">
        <w:rPr>
          <w:lang w:val="en-GB"/>
        </w:rPr>
        <w:t xml:space="preserve">. </w:t>
      </w:r>
      <w:r w:rsidR="00430B63" w:rsidRPr="00314E4F">
        <w:rPr>
          <w:lang w:val="en-GB"/>
        </w:rPr>
        <w:t>900°C/</w:t>
      </w:r>
      <w:r w:rsidR="000C5A88" w:rsidRPr="00314E4F">
        <w:rPr>
          <w:lang w:val="en-GB"/>
        </w:rPr>
        <w:t>Air</w:t>
      </w:r>
      <w:r w:rsidR="00430B63" w:rsidRPr="00314E4F">
        <w:rPr>
          <w:lang w:val="en-GB"/>
        </w:rPr>
        <w:t xml:space="preserve"> or 1000°C/</w:t>
      </w:r>
      <w:r w:rsidR="000C5A88" w:rsidRPr="00314E4F">
        <w:rPr>
          <w:lang w:val="en-GB"/>
        </w:rPr>
        <w:t>Air</w:t>
      </w:r>
      <w:r w:rsidR="00430B63" w:rsidRPr="00314E4F">
        <w:rPr>
          <w:lang w:val="en-GB"/>
        </w:rPr>
        <w:t xml:space="preserve"> marked catalysts contained metals rather in oxidized form, than that of 900°C/N</w:t>
      </w:r>
      <w:r w:rsidR="00430B63" w:rsidRPr="00314E4F">
        <w:rPr>
          <w:vertAlign w:val="subscript"/>
          <w:lang w:val="en-GB"/>
        </w:rPr>
        <w:t>2</w:t>
      </w:r>
      <w:r w:rsidR="00430B63" w:rsidRPr="00314E4F">
        <w:rPr>
          <w:lang w:val="en-GB"/>
        </w:rPr>
        <w:t xml:space="preserve"> or 1000°C/</w:t>
      </w:r>
      <w:r w:rsidR="000C5A88" w:rsidRPr="00314E4F">
        <w:rPr>
          <w:lang w:val="en-GB"/>
        </w:rPr>
        <w:t>N</w:t>
      </w:r>
      <w:r w:rsidR="000C5A88" w:rsidRPr="00314E4F">
        <w:rPr>
          <w:vertAlign w:val="subscript"/>
          <w:lang w:val="en-GB"/>
        </w:rPr>
        <w:t>2</w:t>
      </w:r>
      <w:r w:rsidR="00430B63" w:rsidRPr="00314E4F">
        <w:rPr>
          <w:lang w:val="en-GB"/>
        </w:rPr>
        <w:t xml:space="preserve"> marked. The </w:t>
      </w:r>
      <w:r w:rsidR="00192A75" w:rsidRPr="00314E4F">
        <w:rPr>
          <w:lang w:val="en-GB"/>
        </w:rPr>
        <w:t>metal-</w:t>
      </w:r>
      <w:r w:rsidR="00430B63" w:rsidRPr="00314E4F">
        <w:rPr>
          <w:lang w:val="en-GB"/>
        </w:rPr>
        <w:t xml:space="preserve">oxides initially act as oxygen donor for pyrolysis </w:t>
      </w:r>
      <w:r w:rsidR="00314E4F" w:rsidRPr="00314E4F">
        <w:rPr>
          <w:lang w:val="en-GB"/>
        </w:rPr>
        <w:t>vapours</w:t>
      </w:r>
      <w:r w:rsidR="00430B63" w:rsidRPr="00314E4F">
        <w:rPr>
          <w:lang w:val="en-GB"/>
        </w:rPr>
        <w:t xml:space="preserve"> and char-like intermediates. Therefore the 900°C/N</w:t>
      </w:r>
      <w:r w:rsidR="00430B63" w:rsidRPr="00314E4F">
        <w:rPr>
          <w:vertAlign w:val="subscript"/>
          <w:lang w:val="en-GB"/>
        </w:rPr>
        <w:t>2</w:t>
      </w:r>
      <w:r w:rsidR="00430B63" w:rsidRPr="00314E4F">
        <w:rPr>
          <w:lang w:val="en-GB"/>
        </w:rPr>
        <w:t xml:space="preserve"> or 1000°C/N</w:t>
      </w:r>
      <w:r w:rsidR="00430B63" w:rsidRPr="00314E4F">
        <w:rPr>
          <w:vertAlign w:val="subscript"/>
          <w:lang w:val="en-GB"/>
        </w:rPr>
        <w:t>2</w:t>
      </w:r>
      <w:r w:rsidR="00430B63" w:rsidRPr="00314E4F">
        <w:rPr>
          <w:lang w:val="en-GB"/>
        </w:rPr>
        <w:t xml:space="preserve"> marked catalysts can push the carbon toward CO</w:t>
      </w:r>
      <w:r w:rsidR="00430B63" w:rsidRPr="00314E4F">
        <w:rPr>
          <w:vertAlign w:val="subscript"/>
          <w:lang w:val="en-GB"/>
        </w:rPr>
        <w:t>2</w:t>
      </w:r>
      <w:r w:rsidR="00B16856" w:rsidRPr="00B16856">
        <w:rPr>
          <w:highlight w:val="yellow"/>
          <w:vertAlign w:val="subscript"/>
          <w:lang w:val="en-GB"/>
        </w:rPr>
        <w:t xml:space="preserve">, </w:t>
      </w:r>
      <w:r w:rsidR="00B16856" w:rsidRPr="00B16856">
        <w:rPr>
          <w:highlight w:val="yellow"/>
          <w:lang w:val="en-GB"/>
        </w:rPr>
        <w:t>which supports the dry reforming of hydrocarbons to hydrogen.</w:t>
      </w:r>
    </w:p>
    <w:p w14:paraId="1FB941EE" w14:textId="7C7A5440" w:rsidR="00F34507" w:rsidRDefault="00F34507" w:rsidP="00673C9F">
      <w:pPr>
        <w:pStyle w:val="CETBodytext"/>
        <w:rPr>
          <w:lang w:val="en-GB"/>
        </w:rPr>
      </w:pPr>
    </w:p>
    <w:tbl>
      <w:tblPr>
        <w:tblStyle w:val="Rcsostblzat"/>
        <w:tblW w:w="8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8"/>
      </w:tblGrid>
      <w:tr w:rsidR="00F34507" w14:paraId="693C2281" w14:textId="77777777" w:rsidTr="00F34507">
        <w:tc>
          <w:tcPr>
            <w:tcW w:w="4388" w:type="dxa"/>
          </w:tcPr>
          <w:p w14:paraId="1DF91EC1" w14:textId="0B842D44" w:rsidR="00F34507" w:rsidRDefault="00F34507" w:rsidP="00F34507">
            <w:pPr>
              <w:pStyle w:val="CETBodytext"/>
              <w:jc w:val="center"/>
              <w:rPr>
                <w:lang w:val="en-GB"/>
              </w:rPr>
            </w:pPr>
            <w:r w:rsidRPr="00314E4F">
              <w:rPr>
                <w:noProof/>
                <w:lang w:val="en-GB"/>
              </w:rPr>
              <w:drawing>
                <wp:inline distT="0" distB="0" distL="0" distR="0" wp14:anchorId="68C94438" wp14:editId="26D9F526">
                  <wp:extent cx="2167200" cy="1800000"/>
                  <wp:effectExtent l="0" t="0" r="508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7200" cy="1800000"/>
                          </a:xfrm>
                          <a:prstGeom prst="rect">
                            <a:avLst/>
                          </a:prstGeom>
                          <a:noFill/>
                          <a:ln>
                            <a:noFill/>
                          </a:ln>
                        </pic:spPr>
                      </pic:pic>
                    </a:graphicData>
                  </a:graphic>
                </wp:inline>
              </w:drawing>
            </w:r>
          </w:p>
        </w:tc>
        <w:tc>
          <w:tcPr>
            <w:tcW w:w="4388" w:type="dxa"/>
          </w:tcPr>
          <w:p w14:paraId="22629CFB" w14:textId="2CCFEBD4" w:rsidR="00F34507" w:rsidRDefault="00F34507" w:rsidP="00F34507">
            <w:pPr>
              <w:pStyle w:val="CETBodytext"/>
              <w:jc w:val="center"/>
              <w:rPr>
                <w:lang w:val="en-GB"/>
              </w:rPr>
            </w:pPr>
            <w:r w:rsidRPr="00314E4F">
              <w:rPr>
                <w:noProof/>
                <w:lang w:val="en-GB"/>
              </w:rPr>
              <w:drawing>
                <wp:inline distT="0" distB="0" distL="0" distR="0" wp14:anchorId="3F96F3D1" wp14:editId="2EFFCFF7">
                  <wp:extent cx="2170800" cy="1800000"/>
                  <wp:effectExtent l="0" t="0" r="127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0800" cy="1800000"/>
                          </a:xfrm>
                          <a:prstGeom prst="rect">
                            <a:avLst/>
                          </a:prstGeom>
                          <a:noFill/>
                          <a:ln>
                            <a:noFill/>
                          </a:ln>
                        </pic:spPr>
                      </pic:pic>
                    </a:graphicData>
                  </a:graphic>
                </wp:inline>
              </w:drawing>
            </w:r>
          </w:p>
        </w:tc>
      </w:tr>
      <w:tr w:rsidR="00F34507" w14:paraId="536A8E54" w14:textId="77777777" w:rsidTr="00F34507">
        <w:tc>
          <w:tcPr>
            <w:tcW w:w="4388" w:type="dxa"/>
          </w:tcPr>
          <w:p w14:paraId="7CBA621A" w14:textId="372D6DB7" w:rsidR="00F34507" w:rsidRDefault="00F34507" w:rsidP="00F34507">
            <w:pPr>
              <w:pStyle w:val="CETBodytext"/>
              <w:spacing w:after="120"/>
              <w:jc w:val="center"/>
              <w:rPr>
                <w:lang w:val="en-GB"/>
              </w:rPr>
            </w:pPr>
            <w:r w:rsidRPr="00314E4F">
              <w:rPr>
                <w:lang w:val="en-GB"/>
              </w:rPr>
              <w:t>Pyrolysis at 500°C</w:t>
            </w:r>
          </w:p>
        </w:tc>
        <w:tc>
          <w:tcPr>
            <w:tcW w:w="4388" w:type="dxa"/>
          </w:tcPr>
          <w:p w14:paraId="27BCF059" w14:textId="31561F7A" w:rsidR="00F34507" w:rsidRDefault="00F34507" w:rsidP="00F34507">
            <w:pPr>
              <w:pStyle w:val="CETBodytext"/>
              <w:spacing w:after="120"/>
              <w:jc w:val="center"/>
              <w:rPr>
                <w:lang w:val="en-GB"/>
              </w:rPr>
            </w:pPr>
            <w:r w:rsidRPr="00314E4F">
              <w:rPr>
                <w:lang w:val="en-GB"/>
              </w:rPr>
              <w:t>Pyrolysis at 600°C</w:t>
            </w:r>
          </w:p>
        </w:tc>
      </w:tr>
    </w:tbl>
    <w:p w14:paraId="6A8A1755" w14:textId="3D0D054F" w:rsidR="0020069C" w:rsidRPr="004B7288" w:rsidRDefault="0020069C" w:rsidP="0020069C">
      <w:pPr>
        <w:pStyle w:val="CETReferencetext"/>
        <w:rPr>
          <w:i/>
        </w:rPr>
      </w:pPr>
      <w:r w:rsidRPr="004B7288">
        <w:rPr>
          <w:i/>
          <w:highlight w:val="yellow"/>
        </w:rPr>
        <w:t xml:space="preserve">Figure </w:t>
      </w:r>
      <w:r w:rsidR="00F34507">
        <w:rPr>
          <w:i/>
          <w:highlight w:val="yellow"/>
        </w:rPr>
        <w:t>1</w:t>
      </w:r>
      <w:r w:rsidR="004B7288" w:rsidRPr="004B7288">
        <w:rPr>
          <w:i/>
          <w:highlight w:val="yellow"/>
        </w:rPr>
        <w:t xml:space="preserve">: </w:t>
      </w:r>
      <w:r w:rsidRPr="004B7288">
        <w:rPr>
          <w:i/>
          <w:highlight w:val="yellow"/>
        </w:rPr>
        <w:t>The composition of gases</w:t>
      </w:r>
    </w:p>
    <w:p w14:paraId="2FF5CBC3" w14:textId="77777777" w:rsidR="00F34507" w:rsidRDefault="00F34507" w:rsidP="002D6624">
      <w:pPr>
        <w:pStyle w:val="CETBodytext"/>
        <w:rPr>
          <w:lang w:val="en-GB"/>
        </w:rPr>
      </w:pPr>
    </w:p>
    <w:p w14:paraId="7634591F" w14:textId="317CBF43" w:rsidR="00F34507" w:rsidRDefault="000C5A88" w:rsidP="002D6624">
      <w:pPr>
        <w:pStyle w:val="CETBodytext"/>
        <w:rPr>
          <w:lang w:val="en-GB"/>
        </w:rPr>
      </w:pPr>
      <w:r w:rsidRPr="00314E4F">
        <w:rPr>
          <w:lang w:val="en-GB"/>
        </w:rPr>
        <w:t xml:space="preserve">The reforming activity of catalysts was </w:t>
      </w:r>
      <w:r w:rsidR="00B854B8" w:rsidRPr="00B854B8">
        <w:rPr>
          <w:highlight w:val="yellow"/>
          <w:lang w:val="en-GB"/>
        </w:rPr>
        <w:t>limited</w:t>
      </w:r>
      <w:r w:rsidRPr="00314E4F">
        <w:rPr>
          <w:lang w:val="en-GB"/>
        </w:rPr>
        <w:t xml:space="preserve"> until the</w:t>
      </w:r>
      <w:r w:rsidR="000145F5" w:rsidRPr="00314E4F">
        <w:rPr>
          <w:lang w:val="en-GB"/>
        </w:rPr>
        <w:t>y</w:t>
      </w:r>
      <w:r w:rsidRPr="00314E4F">
        <w:rPr>
          <w:lang w:val="en-GB"/>
        </w:rPr>
        <w:t xml:space="preserve"> become reduced</w:t>
      </w:r>
      <w:r w:rsidR="000145F5" w:rsidRPr="00314E4F">
        <w:rPr>
          <w:lang w:val="en-GB"/>
        </w:rPr>
        <w:t xml:space="preserve"> form</w:t>
      </w:r>
      <w:r w:rsidRPr="00314E4F">
        <w:rPr>
          <w:lang w:val="en-GB"/>
        </w:rPr>
        <w:t>. This is the reason for more methane and C</w:t>
      </w:r>
      <w:r w:rsidRPr="00314E4F">
        <w:rPr>
          <w:vertAlign w:val="subscript"/>
          <w:lang w:val="en-GB"/>
        </w:rPr>
        <w:t>2</w:t>
      </w:r>
      <w:r w:rsidRPr="00314E4F">
        <w:rPr>
          <w:lang w:val="en-GB"/>
        </w:rPr>
        <w:t>-C</w:t>
      </w:r>
      <w:r w:rsidRPr="00314E4F">
        <w:rPr>
          <w:vertAlign w:val="subscript"/>
          <w:lang w:val="en-GB"/>
        </w:rPr>
        <w:t>5</w:t>
      </w:r>
      <w:r w:rsidRPr="00314E4F">
        <w:rPr>
          <w:lang w:val="en-GB"/>
        </w:rPr>
        <w:t xml:space="preserve"> hydrocarbon in gases obtained by the using of 900°C/N</w:t>
      </w:r>
      <w:r w:rsidRPr="00314E4F">
        <w:rPr>
          <w:vertAlign w:val="subscript"/>
          <w:lang w:val="en-GB"/>
        </w:rPr>
        <w:t>2</w:t>
      </w:r>
      <w:r w:rsidRPr="00314E4F">
        <w:rPr>
          <w:lang w:val="en-GB"/>
        </w:rPr>
        <w:t xml:space="preserve"> or 1000°C/N</w:t>
      </w:r>
      <w:r w:rsidRPr="00314E4F">
        <w:rPr>
          <w:vertAlign w:val="subscript"/>
          <w:lang w:val="en-GB"/>
        </w:rPr>
        <w:t>2</w:t>
      </w:r>
      <w:r w:rsidRPr="00314E4F">
        <w:rPr>
          <w:lang w:val="en-GB"/>
        </w:rPr>
        <w:t xml:space="preserve"> marked catalysts. When metals are reduced to their metallic </w:t>
      </w:r>
      <w:r w:rsidR="000145F5" w:rsidRPr="00314E4F">
        <w:rPr>
          <w:lang w:val="en-GB"/>
        </w:rPr>
        <w:t>form</w:t>
      </w:r>
      <w:r w:rsidRPr="00314E4F">
        <w:rPr>
          <w:lang w:val="en-GB"/>
        </w:rPr>
        <w:t>, they act as strong reforming and C-C scission catalyst, enhancing steam reforming and tar cracking, which increase the hydrogen and CO concentration, while decrease the concentration of methane and heavier hydrocarbons.</w:t>
      </w: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F34507" w:rsidRPr="00314E4F" w14:paraId="2BC3BC43" w14:textId="77777777" w:rsidTr="00A85F4B">
        <w:trPr>
          <w:jc w:val="center"/>
        </w:trPr>
        <w:tc>
          <w:tcPr>
            <w:tcW w:w="4388" w:type="dxa"/>
          </w:tcPr>
          <w:p w14:paraId="7A850CC6" w14:textId="77777777" w:rsidR="00F34507" w:rsidRPr="00314E4F" w:rsidRDefault="00F34507" w:rsidP="00A85F4B">
            <w:pPr>
              <w:pStyle w:val="CETBodytext"/>
              <w:spacing w:before="240"/>
              <w:jc w:val="center"/>
              <w:rPr>
                <w:lang w:val="en-GB"/>
              </w:rPr>
            </w:pPr>
            <w:r w:rsidRPr="00314E4F">
              <w:rPr>
                <w:noProof/>
                <w:lang w:val="en-GB"/>
              </w:rPr>
              <w:drawing>
                <wp:inline distT="0" distB="0" distL="0" distR="0" wp14:anchorId="2C20C3DD" wp14:editId="0006B534">
                  <wp:extent cx="2001600" cy="1800000"/>
                  <wp:effectExtent l="0" t="0" r="0" b="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1600" cy="1800000"/>
                          </a:xfrm>
                          <a:prstGeom prst="rect">
                            <a:avLst/>
                          </a:prstGeom>
                          <a:noFill/>
                          <a:ln>
                            <a:noFill/>
                          </a:ln>
                        </pic:spPr>
                      </pic:pic>
                    </a:graphicData>
                  </a:graphic>
                </wp:inline>
              </w:drawing>
            </w:r>
          </w:p>
        </w:tc>
        <w:tc>
          <w:tcPr>
            <w:tcW w:w="4389" w:type="dxa"/>
          </w:tcPr>
          <w:p w14:paraId="5D47EFB4" w14:textId="77777777" w:rsidR="00F34507" w:rsidRPr="00314E4F" w:rsidRDefault="00F34507" w:rsidP="00A85F4B">
            <w:pPr>
              <w:pStyle w:val="CETBodytext"/>
              <w:spacing w:before="240"/>
              <w:jc w:val="center"/>
              <w:rPr>
                <w:lang w:val="en-GB"/>
              </w:rPr>
            </w:pPr>
            <w:r w:rsidRPr="00314E4F">
              <w:rPr>
                <w:noProof/>
                <w:lang w:val="en-GB"/>
              </w:rPr>
              <w:drawing>
                <wp:inline distT="0" distB="0" distL="0" distR="0" wp14:anchorId="1C623D0C" wp14:editId="7FCCAED4">
                  <wp:extent cx="2001600" cy="1800000"/>
                  <wp:effectExtent l="0" t="0" r="0" b="0"/>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1600" cy="1800000"/>
                          </a:xfrm>
                          <a:prstGeom prst="rect">
                            <a:avLst/>
                          </a:prstGeom>
                          <a:noFill/>
                          <a:ln>
                            <a:noFill/>
                          </a:ln>
                        </pic:spPr>
                      </pic:pic>
                    </a:graphicData>
                  </a:graphic>
                </wp:inline>
              </w:drawing>
            </w:r>
          </w:p>
        </w:tc>
      </w:tr>
      <w:tr w:rsidR="00F34507" w:rsidRPr="00314E4F" w14:paraId="1B22AE5E" w14:textId="77777777" w:rsidTr="00A85F4B">
        <w:trPr>
          <w:jc w:val="center"/>
        </w:trPr>
        <w:tc>
          <w:tcPr>
            <w:tcW w:w="4388" w:type="dxa"/>
          </w:tcPr>
          <w:p w14:paraId="0F1A1116" w14:textId="77777777" w:rsidR="00F34507" w:rsidRPr="00314E4F" w:rsidRDefault="00F34507" w:rsidP="00A85F4B">
            <w:pPr>
              <w:pStyle w:val="CETBodytext"/>
              <w:spacing w:after="120"/>
              <w:jc w:val="center"/>
              <w:rPr>
                <w:lang w:val="en-GB"/>
              </w:rPr>
            </w:pPr>
            <w:r w:rsidRPr="00314E4F">
              <w:rPr>
                <w:lang w:val="en-GB"/>
              </w:rPr>
              <w:t>Pyrolysis at 500°C</w:t>
            </w:r>
          </w:p>
        </w:tc>
        <w:tc>
          <w:tcPr>
            <w:tcW w:w="4389" w:type="dxa"/>
          </w:tcPr>
          <w:p w14:paraId="760E3C0D" w14:textId="77777777" w:rsidR="00F34507" w:rsidRPr="00314E4F" w:rsidRDefault="00F34507" w:rsidP="00A85F4B">
            <w:pPr>
              <w:pStyle w:val="CETBodytext"/>
              <w:spacing w:after="120"/>
              <w:jc w:val="center"/>
              <w:rPr>
                <w:lang w:val="en-GB"/>
              </w:rPr>
            </w:pPr>
            <w:r w:rsidRPr="00314E4F">
              <w:rPr>
                <w:lang w:val="en-GB"/>
              </w:rPr>
              <w:t>Pyrolysis at 600°C</w:t>
            </w:r>
          </w:p>
        </w:tc>
      </w:tr>
    </w:tbl>
    <w:p w14:paraId="1C881881" w14:textId="77777777" w:rsidR="00F34507" w:rsidRPr="004B7288" w:rsidRDefault="00F34507" w:rsidP="00F34507">
      <w:pPr>
        <w:pStyle w:val="CETReferencetext"/>
        <w:rPr>
          <w:i/>
        </w:rPr>
      </w:pPr>
      <w:r w:rsidRPr="004B7288">
        <w:rPr>
          <w:i/>
          <w:highlight w:val="yellow"/>
        </w:rPr>
        <w:t xml:space="preserve">Figure </w:t>
      </w:r>
      <w:r>
        <w:rPr>
          <w:i/>
          <w:highlight w:val="yellow"/>
        </w:rPr>
        <w:t>2</w:t>
      </w:r>
      <w:r w:rsidRPr="004B7288">
        <w:rPr>
          <w:i/>
          <w:highlight w:val="yellow"/>
        </w:rPr>
        <w:t>: The ratios of Hydrogen/CO and CO/CO</w:t>
      </w:r>
      <w:r w:rsidRPr="004B7288">
        <w:rPr>
          <w:i/>
          <w:highlight w:val="yellow"/>
          <w:vertAlign w:val="subscript"/>
        </w:rPr>
        <w:t>2</w:t>
      </w:r>
    </w:p>
    <w:p w14:paraId="6864B51D" w14:textId="77777777" w:rsidR="00F34507" w:rsidRDefault="00F34507" w:rsidP="002D6624">
      <w:pPr>
        <w:pStyle w:val="CETBodytext"/>
        <w:rPr>
          <w:lang w:val="en-GB"/>
        </w:rPr>
      </w:pPr>
    </w:p>
    <w:p w14:paraId="41C8ED02" w14:textId="30AEADF3" w:rsidR="002D6624" w:rsidRPr="00314E4F" w:rsidRDefault="002D6624" w:rsidP="002D6624">
      <w:pPr>
        <w:pStyle w:val="CETBodytext"/>
        <w:rPr>
          <w:lang w:val="en-GB"/>
        </w:rPr>
      </w:pPr>
      <w:r w:rsidRPr="00314E4F">
        <w:rPr>
          <w:lang w:val="en-GB"/>
        </w:rPr>
        <w:t>Regarding the CO and CO</w:t>
      </w:r>
      <w:r w:rsidRPr="00314E4F">
        <w:rPr>
          <w:vertAlign w:val="subscript"/>
          <w:lang w:val="en-GB"/>
        </w:rPr>
        <w:t>2</w:t>
      </w:r>
      <w:r w:rsidRPr="00314E4F">
        <w:rPr>
          <w:lang w:val="en-GB"/>
        </w:rPr>
        <w:t xml:space="preserve"> concentration, it is clear, that transition metals in reduced form can catalyse the steam and dry reforming reaction, therefore, the yield of CO was higher </w:t>
      </w:r>
      <w:r w:rsidRPr="007C655D">
        <w:rPr>
          <w:highlight w:val="yellow"/>
          <w:lang w:val="en-GB"/>
        </w:rPr>
        <w:t>(10-83% increasing)</w:t>
      </w:r>
      <w:r>
        <w:rPr>
          <w:lang w:val="en-GB"/>
        </w:rPr>
        <w:t xml:space="preserve"> </w:t>
      </w:r>
      <w:r w:rsidRPr="00314E4F">
        <w:rPr>
          <w:lang w:val="en-GB"/>
        </w:rPr>
        <w:t>and the CO</w:t>
      </w:r>
      <w:r w:rsidRPr="00314E4F">
        <w:rPr>
          <w:vertAlign w:val="subscript"/>
          <w:lang w:val="en-GB"/>
        </w:rPr>
        <w:t>2</w:t>
      </w:r>
      <w:r w:rsidRPr="00314E4F">
        <w:rPr>
          <w:lang w:val="en-GB"/>
        </w:rPr>
        <w:t xml:space="preserve"> concentration was lower</w:t>
      </w:r>
      <w:r>
        <w:rPr>
          <w:lang w:val="en-GB"/>
        </w:rPr>
        <w:t xml:space="preserve"> </w:t>
      </w:r>
      <w:r w:rsidRPr="007C655D">
        <w:rPr>
          <w:highlight w:val="yellow"/>
          <w:lang w:val="en-GB"/>
        </w:rPr>
        <w:t>(38-88% decreasing)</w:t>
      </w:r>
      <w:r w:rsidRPr="00314E4F">
        <w:rPr>
          <w:lang w:val="en-GB"/>
        </w:rPr>
        <w:t xml:space="preserve"> in case of catalysts produced at 900°C and 1000°C in nitrogen, than that of in air. </w:t>
      </w:r>
      <w:r w:rsidR="00B854B8" w:rsidRPr="00B854B8">
        <w:rPr>
          <w:highlight w:val="yellow"/>
          <w:lang w:val="en-GB"/>
        </w:rPr>
        <w:t>The o</w:t>
      </w:r>
      <w:r w:rsidRPr="00B854B8">
        <w:rPr>
          <w:highlight w:val="yellow"/>
          <w:lang w:val="en-GB"/>
        </w:rPr>
        <w:t>xidized</w:t>
      </w:r>
      <w:r w:rsidRPr="00314E4F">
        <w:rPr>
          <w:lang w:val="en-GB"/>
        </w:rPr>
        <w:t xml:space="preserve"> form of transition metals are oxygen active, and they can catalyse the CO oxidation to CO</w:t>
      </w:r>
      <w:r w:rsidRPr="00314E4F">
        <w:rPr>
          <w:vertAlign w:val="subscript"/>
          <w:lang w:val="en-GB"/>
        </w:rPr>
        <w:t>2</w:t>
      </w:r>
      <w:r w:rsidRPr="00314E4F">
        <w:rPr>
          <w:lang w:val="en-GB"/>
        </w:rPr>
        <w:t xml:space="preserve"> via redox mechanism, which led to less CO and more CO</w:t>
      </w:r>
      <w:r w:rsidRPr="00314E4F">
        <w:rPr>
          <w:vertAlign w:val="subscript"/>
          <w:lang w:val="en-GB"/>
        </w:rPr>
        <w:t>2</w:t>
      </w:r>
      <w:r w:rsidRPr="00314E4F">
        <w:rPr>
          <w:lang w:val="en-GB"/>
        </w:rPr>
        <w:t xml:space="preserve"> in gases. It is important to mention, that less difference was found in CO</w:t>
      </w:r>
      <w:r w:rsidRPr="00314E4F">
        <w:rPr>
          <w:vertAlign w:val="subscript"/>
          <w:lang w:val="en-GB"/>
        </w:rPr>
        <w:t>2</w:t>
      </w:r>
      <w:r w:rsidRPr="00314E4F">
        <w:rPr>
          <w:lang w:val="en-GB"/>
        </w:rPr>
        <w:t xml:space="preserve"> concentrations using catalysis containing metals in reduced and oxidized form in case of 600°C pyrolysis temperature. That phenomena can be explained by the following. The water-</w:t>
      </w:r>
      <w:r w:rsidRPr="00314E4F">
        <w:rPr>
          <w:lang w:val="en-GB"/>
        </w:rPr>
        <w:lastRenderedPageBreak/>
        <w:t xml:space="preserve">gas shift reaction can convert </w:t>
      </w:r>
      <w:r w:rsidR="00700C5D" w:rsidRPr="00700C5D">
        <w:rPr>
          <w:highlight w:val="yellow"/>
          <w:lang w:val="en-GB"/>
        </w:rPr>
        <w:t>the</w:t>
      </w:r>
      <w:r w:rsidR="00700C5D">
        <w:rPr>
          <w:lang w:val="en-GB"/>
        </w:rPr>
        <w:t xml:space="preserve"> </w:t>
      </w:r>
      <w:r w:rsidRPr="00314E4F">
        <w:rPr>
          <w:lang w:val="en-GB"/>
        </w:rPr>
        <w:t>CO to CO</w:t>
      </w:r>
      <w:r w:rsidRPr="00314E4F">
        <w:rPr>
          <w:vertAlign w:val="subscript"/>
          <w:lang w:val="en-GB"/>
        </w:rPr>
        <w:t>2</w:t>
      </w:r>
      <w:r w:rsidRPr="00314E4F">
        <w:rPr>
          <w:lang w:val="en-GB"/>
        </w:rPr>
        <w:t xml:space="preserve"> and hydrogen.</w:t>
      </w:r>
      <w:r w:rsidR="00F34507">
        <w:rPr>
          <w:lang w:val="en-GB"/>
        </w:rPr>
        <w:t xml:space="preserve"> </w:t>
      </w:r>
      <w:r w:rsidR="00700C5D" w:rsidRPr="00700C5D">
        <w:rPr>
          <w:highlight w:val="yellow"/>
          <w:lang w:val="en-GB"/>
        </w:rPr>
        <w:t>T</w:t>
      </w:r>
      <w:r w:rsidRPr="00700C5D">
        <w:rPr>
          <w:highlight w:val="yellow"/>
          <w:lang w:val="en-GB"/>
        </w:rPr>
        <w:t>he catalyst activity in gasification and water gas-shift reaction was more significant</w:t>
      </w:r>
      <w:r w:rsidR="00700C5D">
        <w:rPr>
          <w:highlight w:val="yellow"/>
          <w:lang w:val="en-GB"/>
        </w:rPr>
        <w:t>,</w:t>
      </w:r>
      <w:r w:rsidR="00700C5D" w:rsidRPr="00700C5D">
        <w:rPr>
          <w:highlight w:val="yellow"/>
          <w:lang w:val="en-GB"/>
        </w:rPr>
        <w:t xml:space="preserve"> because hydrocarbons obtained at 600°C pyrolysis temperature has shorter average chain length</w:t>
      </w:r>
      <w:r w:rsidRPr="00700C5D">
        <w:rPr>
          <w:highlight w:val="yellow"/>
          <w:lang w:val="en-GB"/>
        </w:rPr>
        <w:t>.</w:t>
      </w:r>
      <w:r w:rsidR="00F34507" w:rsidRPr="00700C5D">
        <w:rPr>
          <w:highlight w:val="yellow"/>
          <w:lang w:val="en-GB"/>
        </w:rPr>
        <w:t xml:space="preserve"> </w:t>
      </w:r>
      <w:r w:rsidR="00700C5D" w:rsidRPr="00700C5D">
        <w:rPr>
          <w:highlight w:val="yellow"/>
          <w:lang w:val="en-GB"/>
        </w:rPr>
        <w:t>N</w:t>
      </w:r>
      <w:r w:rsidRPr="00700C5D">
        <w:rPr>
          <w:highlight w:val="yellow"/>
          <w:lang w:val="en-GB"/>
        </w:rPr>
        <w:t xml:space="preserve">on-oxidized catalysts </w:t>
      </w:r>
      <w:r w:rsidR="00700C5D" w:rsidRPr="00700C5D">
        <w:rPr>
          <w:highlight w:val="yellow"/>
          <w:lang w:val="en-GB"/>
        </w:rPr>
        <w:t>results more hydrogen using at 500°C pyrolysis temperature</w:t>
      </w:r>
      <w:r w:rsidRPr="00314E4F">
        <w:rPr>
          <w:lang w:val="en-GB"/>
        </w:rPr>
        <w:t>, however, the hydrogen/CO ratio was higher</w:t>
      </w:r>
      <w:r>
        <w:rPr>
          <w:lang w:val="en-GB"/>
        </w:rPr>
        <w:t xml:space="preserve"> </w:t>
      </w:r>
      <w:r w:rsidRPr="007C655D">
        <w:rPr>
          <w:highlight w:val="yellow"/>
          <w:lang w:val="en-GB"/>
        </w:rPr>
        <w:t>(111-495% increasing)</w:t>
      </w:r>
      <w:r w:rsidRPr="00314E4F">
        <w:rPr>
          <w:lang w:val="en-GB"/>
        </w:rPr>
        <w:t xml:space="preserve"> using metal-oxides in catalysts at 600°C pyrolysis temperature, which was explained by the lower CO concentration occurred by water-gas shift reaction.</w:t>
      </w:r>
    </w:p>
    <w:p w14:paraId="29D1C392" w14:textId="779793EE" w:rsidR="00673C9F" w:rsidRPr="00F34507" w:rsidRDefault="00F34507" w:rsidP="00314E4F">
      <w:pPr>
        <w:pStyle w:val="CETheadingx"/>
        <w:rPr>
          <w:highlight w:val="yellow"/>
          <w:lang w:val="en-GB"/>
        </w:rPr>
      </w:pPr>
      <w:r w:rsidRPr="00F34507">
        <w:rPr>
          <w:highlight w:val="yellow"/>
          <w:lang w:val="en-GB"/>
        </w:rPr>
        <w:t>Cost balance of spent Li-ion battery recycling</w:t>
      </w:r>
    </w:p>
    <w:p w14:paraId="38FE469B" w14:textId="6A883E27" w:rsidR="00430AC2" w:rsidRPr="00314E4F" w:rsidRDefault="00FA268A" w:rsidP="00FA268A">
      <w:r w:rsidRPr="00314E4F">
        <w:t xml:space="preserve">Table 3 summarize </w:t>
      </w:r>
      <w:r w:rsidR="0001306B">
        <w:t xml:space="preserve">the </w:t>
      </w:r>
      <w:r w:rsidR="0001306B" w:rsidRPr="0001306B">
        <w:rPr>
          <w:highlight w:val="yellow"/>
        </w:rPr>
        <w:t xml:space="preserve">cost balance </w:t>
      </w:r>
      <w:r w:rsidRPr="0001306B">
        <w:rPr>
          <w:highlight w:val="yellow"/>
        </w:rPr>
        <w:t>calculation</w:t>
      </w:r>
      <w:r w:rsidRPr="00314E4F">
        <w:t xml:space="preserve"> of spent Li-ion battery recycling to obtain hydrogen by gasification of separator foil according to the scheme on Figure </w:t>
      </w:r>
      <w:r w:rsidR="00F34507" w:rsidRPr="00F34507">
        <w:rPr>
          <w:highlight w:val="yellow"/>
        </w:rPr>
        <w:t>3</w:t>
      </w:r>
      <w:r w:rsidRPr="00314E4F">
        <w:t>.</w:t>
      </w:r>
    </w:p>
    <w:p w14:paraId="41B9A9AA" w14:textId="144B20F8" w:rsidR="00673C9F" w:rsidRPr="00314E4F" w:rsidRDefault="00491B85" w:rsidP="00314E4F">
      <w:pPr>
        <w:pStyle w:val="CETBodytext"/>
        <w:spacing w:before="240"/>
        <w:rPr>
          <w:lang w:val="en-GB"/>
        </w:rPr>
      </w:pPr>
      <w:r w:rsidRPr="00314E4F">
        <w:rPr>
          <w:noProof/>
          <w:lang w:val="en-GB"/>
        </w:rPr>
        <w:drawing>
          <wp:inline distT="0" distB="0" distL="0" distR="0" wp14:anchorId="5D15B63F" wp14:editId="266330B9">
            <wp:extent cx="5340927" cy="947311"/>
            <wp:effectExtent l="0" t="0" r="0" b="0"/>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0927" cy="947311"/>
                    </a:xfrm>
                    <a:prstGeom prst="rect">
                      <a:avLst/>
                    </a:prstGeom>
                    <a:noFill/>
                    <a:ln>
                      <a:noFill/>
                    </a:ln>
                  </pic:spPr>
                </pic:pic>
              </a:graphicData>
            </a:graphic>
          </wp:inline>
        </w:drawing>
      </w:r>
    </w:p>
    <w:p w14:paraId="0DD69D5B" w14:textId="63E15A9C" w:rsidR="00491B85" w:rsidRPr="004B7288" w:rsidRDefault="00491B85" w:rsidP="00491B85">
      <w:pPr>
        <w:pStyle w:val="CETReferencetext"/>
        <w:rPr>
          <w:i/>
        </w:rPr>
      </w:pPr>
      <w:r w:rsidRPr="004B7288">
        <w:rPr>
          <w:i/>
          <w:highlight w:val="yellow"/>
        </w:rPr>
        <w:t xml:space="preserve">Figure </w:t>
      </w:r>
      <w:r w:rsidR="00F34507">
        <w:rPr>
          <w:i/>
          <w:highlight w:val="yellow"/>
        </w:rPr>
        <w:t>3</w:t>
      </w:r>
      <w:r w:rsidR="004B7288" w:rsidRPr="004B7288">
        <w:rPr>
          <w:i/>
          <w:highlight w:val="yellow"/>
        </w:rPr>
        <w:t xml:space="preserve">: </w:t>
      </w:r>
      <w:r w:rsidRPr="004B7288">
        <w:rPr>
          <w:i/>
          <w:highlight w:val="yellow"/>
        </w:rPr>
        <w:t>The scheme of analysis</w:t>
      </w:r>
    </w:p>
    <w:p w14:paraId="5A1C3135" w14:textId="77777777" w:rsidR="00FA268A" w:rsidRPr="00314E4F" w:rsidRDefault="00FA268A" w:rsidP="00FA268A"/>
    <w:p w14:paraId="6BD135B7" w14:textId="117A8F01" w:rsidR="00545A89" w:rsidRPr="00314E4F" w:rsidRDefault="00FA268A" w:rsidP="00FA268A">
      <w:r w:rsidRPr="00314E4F">
        <w:t xml:space="preserve">The Li-ion battery separators made from polyolefins has heating values of 40-46MJ/kg </w:t>
      </w:r>
      <w:r w:rsidR="00C378F4" w:rsidRPr="00700C5D">
        <w:rPr>
          <w:highlight w:val="yellow"/>
        </w:rPr>
        <w:t>(</w:t>
      </w:r>
      <w:r w:rsidRPr="00700C5D">
        <w:rPr>
          <w:highlight w:val="yellow"/>
        </w:rPr>
        <w:t>Zhang 2007</w:t>
      </w:r>
      <w:r w:rsidR="00C378F4" w:rsidRPr="00700C5D">
        <w:rPr>
          <w:highlight w:val="yellow"/>
        </w:rPr>
        <w:t>)</w:t>
      </w:r>
      <w:r w:rsidRPr="00314E4F">
        <w:t>. Contrary the incineration, hydrogen rich gas fraction should be also produced by gasification. Electrodes from spent Li-ion batteries contained different elements, which have catalytic activity in case of waste gasification for hydrogen production. Spent Li-ion battery contains 6-8% separators. According to previously demonstrated results, depending on the reaction parameters, the yield of gas fraction is up to 90%, while the average hydrogen content of gas product is 30-50% in case of gasification. It means, that 6-9 kg H</w:t>
      </w:r>
      <w:r w:rsidR="00C84B68" w:rsidRPr="00C84B68">
        <w:rPr>
          <w:vertAlign w:val="subscript"/>
        </w:rPr>
        <w:t>2</w:t>
      </w:r>
      <w:r w:rsidRPr="00314E4F">
        <w:t xml:space="preserve"> should be obtained from 1 tonne separator foil </w:t>
      </w:r>
      <w:r w:rsidR="00C378F4" w:rsidRPr="00700C5D">
        <w:rPr>
          <w:highlight w:val="yellow"/>
        </w:rPr>
        <w:t>(</w:t>
      </w:r>
      <w:r w:rsidRPr="00700C5D">
        <w:rPr>
          <w:highlight w:val="yellow"/>
        </w:rPr>
        <w:t>Zhan et al. 2018</w:t>
      </w:r>
      <w:r w:rsidR="00C378F4" w:rsidRPr="00700C5D">
        <w:rPr>
          <w:highlight w:val="yellow"/>
        </w:rPr>
        <w:t>)</w:t>
      </w:r>
      <w:r w:rsidRPr="00314E4F">
        <w:t xml:space="preserve">. </w:t>
      </w:r>
    </w:p>
    <w:p w14:paraId="45F4170B" w14:textId="3C84E9A8" w:rsidR="00DE686F" w:rsidRPr="00314E4F" w:rsidRDefault="00DE686F" w:rsidP="00DE686F">
      <w:pPr>
        <w:keepNext/>
        <w:tabs>
          <w:tab w:val="clear" w:pos="7100"/>
        </w:tabs>
        <w:spacing w:before="240" w:after="80" w:line="240" w:lineRule="exact"/>
        <w:jc w:val="left"/>
        <w:rPr>
          <w:i/>
          <w:color w:val="000000" w:themeColor="text1"/>
        </w:rPr>
      </w:pPr>
      <w:r w:rsidRPr="00314E4F">
        <w:rPr>
          <w:i/>
          <w:color w:val="000000" w:themeColor="text1"/>
        </w:rPr>
        <w:t xml:space="preserve">Table </w:t>
      </w:r>
      <w:r w:rsidR="00545A89" w:rsidRPr="00314E4F">
        <w:rPr>
          <w:i/>
          <w:color w:val="000000" w:themeColor="text1"/>
        </w:rPr>
        <w:t>3</w:t>
      </w:r>
      <w:r w:rsidRPr="00314E4F">
        <w:rPr>
          <w:i/>
          <w:color w:val="000000" w:themeColor="text1"/>
        </w:rPr>
        <w:t xml:space="preserve">: The main </w:t>
      </w:r>
      <w:r w:rsidR="00545A89" w:rsidRPr="00314E4F">
        <w:rPr>
          <w:i/>
          <w:color w:val="000000" w:themeColor="text1"/>
        </w:rPr>
        <w:t>costs of techno-economic analysis</w:t>
      </w:r>
      <w:r w:rsidR="00314E4F" w:rsidRPr="00314E4F">
        <w:rPr>
          <w:i/>
          <w:color w:val="000000" w:themeColor="text1"/>
        </w:rPr>
        <w:t>, in EUR</w:t>
      </w:r>
      <w:r w:rsidR="00545A89" w:rsidRPr="00314E4F">
        <w:rPr>
          <w:i/>
          <w:color w:val="000000" w:themeColor="text1"/>
        </w:rPr>
        <w:t xml:space="preserve"> </w:t>
      </w:r>
      <w:r w:rsidR="00C378F4" w:rsidRPr="00700C5D">
        <w:rPr>
          <w:i/>
          <w:color w:val="000000" w:themeColor="text1"/>
          <w:highlight w:val="yellow"/>
        </w:rPr>
        <w:t>(</w:t>
      </w:r>
      <w:r w:rsidR="00545A89" w:rsidRPr="00700C5D">
        <w:rPr>
          <w:rFonts w:cs="Arial"/>
          <w:i/>
          <w:color w:val="000000" w:themeColor="text1"/>
          <w:szCs w:val="18"/>
          <w:highlight w:val="yellow"/>
        </w:rPr>
        <w:t>Wilke et al. 2023, Afzal et al. 2023, Curcio, 2025, Das et al. 2025</w:t>
      </w:r>
      <w:r w:rsidR="00C378F4" w:rsidRPr="00700C5D">
        <w:rPr>
          <w:i/>
          <w:color w:val="000000" w:themeColor="text1"/>
          <w:highlight w:val="yellow"/>
        </w:rPr>
        <w:t>)</w:t>
      </w:r>
    </w:p>
    <w:tbl>
      <w:tblPr>
        <w:tblW w:w="7615" w:type="dxa"/>
        <w:jc w:val="center"/>
        <w:tblBorders>
          <w:top w:val="single" w:sz="12" w:space="0" w:color="008000"/>
          <w:bottom w:val="single" w:sz="12" w:space="0" w:color="008000"/>
        </w:tblBorders>
        <w:tblCellMar>
          <w:left w:w="0" w:type="dxa"/>
          <w:right w:w="0" w:type="dxa"/>
        </w:tblCellMar>
        <w:tblLook w:val="00A0" w:firstRow="1" w:lastRow="0" w:firstColumn="1" w:lastColumn="0" w:noHBand="0" w:noVBand="0"/>
      </w:tblPr>
      <w:tblGrid>
        <w:gridCol w:w="2532"/>
        <w:gridCol w:w="855"/>
        <w:gridCol w:w="566"/>
        <w:gridCol w:w="1127"/>
        <w:gridCol w:w="1127"/>
        <w:gridCol w:w="1408"/>
      </w:tblGrid>
      <w:tr w:rsidR="00315AC0" w:rsidRPr="00314E4F" w14:paraId="17F52BFF" w14:textId="77777777" w:rsidTr="00314E4F">
        <w:trPr>
          <w:trHeight w:val="301"/>
          <w:jc w:val="center"/>
        </w:trPr>
        <w:tc>
          <w:tcPr>
            <w:tcW w:w="2532" w:type="dxa"/>
            <w:tcBorders>
              <w:top w:val="single" w:sz="12" w:space="0" w:color="006C31"/>
              <w:bottom w:val="single" w:sz="4" w:space="0" w:color="006C31"/>
            </w:tcBorders>
            <w:shd w:val="clear" w:color="auto" w:fill="auto"/>
            <w:vAlign w:val="center"/>
          </w:tcPr>
          <w:p w14:paraId="4024E626" w14:textId="77777777" w:rsidR="00315AC0" w:rsidRPr="00314E4F" w:rsidRDefault="00315AC0" w:rsidP="00DE686F">
            <w:pPr>
              <w:jc w:val="center"/>
              <w:rPr>
                <w:rFonts w:cs="Arial"/>
                <w:b/>
                <w:color w:val="000000" w:themeColor="text1"/>
                <w:szCs w:val="18"/>
              </w:rPr>
            </w:pPr>
          </w:p>
        </w:tc>
        <w:tc>
          <w:tcPr>
            <w:tcW w:w="855" w:type="dxa"/>
            <w:tcBorders>
              <w:top w:val="single" w:sz="12" w:space="0" w:color="006C31"/>
              <w:bottom w:val="single" w:sz="4" w:space="0" w:color="006C31"/>
            </w:tcBorders>
            <w:vAlign w:val="center"/>
          </w:tcPr>
          <w:p w14:paraId="4F55B4ED" w14:textId="115B1391" w:rsidR="00315AC0" w:rsidRPr="00314E4F" w:rsidRDefault="00315AC0" w:rsidP="00DE686F">
            <w:pPr>
              <w:jc w:val="center"/>
              <w:rPr>
                <w:rFonts w:cs="Arial"/>
                <w:b/>
                <w:color w:val="000000" w:themeColor="text1"/>
                <w:szCs w:val="18"/>
              </w:rPr>
            </w:pPr>
            <w:r w:rsidRPr="00314E4F">
              <w:rPr>
                <w:rFonts w:cs="Arial"/>
                <w:b/>
                <w:color w:val="000000"/>
                <w:szCs w:val="18"/>
              </w:rPr>
              <w:t>Value</w:t>
            </w:r>
          </w:p>
        </w:tc>
        <w:tc>
          <w:tcPr>
            <w:tcW w:w="566" w:type="dxa"/>
            <w:tcBorders>
              <w:top w:val="single" w:sz="12" w:space="0" w:color="006C31"/>
              <w:bottom w:val="single" w:sz="4" w:space="0" w:color="006C31"/>
            </w:tcBorders>
            <w:vAlign w:val="center"/>
          </w:tcPr>
          <w:p w14:paraId="5D21C651" w14:textId="6E0A51ED" w:rsidR="00315AC0" w:rsidRPr="00314E4F" w:rsidRDefault="00315AC0" w:rsidP="00DE686F">
            <w:pPr>
              <w:jc w:val="center"/>
              <w:rPr>
                <w:rFonts w:cs="Arial"/>
                <w:b/>
                <w:color w:val="000000" w:themeColor="text1"/>
                <w:szCs w:val="18"/>
              </w:rPr>
            </w:pPr>
            <w:r w:rsidRPr="00314E4F">
              <w:rPr>
                <w:rFonts w:cs="Arial"/>
                <w:b/>
                <w:color w:val="000000"/>
                <w:szCs w:val="18"/>
              </w:rPr>
              <w:t>Unit</w:t>
            </w:r>
          </w:p>
        </w:tc>
        <w:tc>
          <w:tcPr>
            <w:tcW w:w="3662" w:type="dxa"/>
            <w:gridSpan w:val="3"/>
            <w:tcBorders>
              <w:top w:val="single" w:sz="12" w:space="0" w:color="006C31"/>
              <w:bottom w:val="single" w:sz="4" w:space="0" w:color="006C31"/>
            </w:tcBorders>
            <w:vAlign w:val="center"/>
          </w:tcPr>
          <w:p w14:paraId="629E21E2" w14:textId="4ECD075F" w:rsidR="00315AC0" w:rsidRPr="00314E4F" w:rsidRDefault="00314E4F" w:rsidP="00DE686F">
            <w:pPr>
              <w:jc w:val="center"/>
              <w:rPr>
                <w:rFonts w:cs="Arial"/>
                <w:b/>
                <w:color w:val="000000"/>
                <w:szCs w:val="18"/>
              </w:rPr>
            </w:pPr>
            <w:r>
              <w:rPr>
                <w:rFonts w:cs="Arial"/>
                <w:b/>
                <w:color w:val="000000"/>
                <w:szCs w:val="18"/>
              </w:rPr>
              <w:t>Cost, EUR</w:t>
            </w:r>
          </w:p>
        </w:tc>
      </w:tr>
      <w:tr w:rsidR="00315AC0" w:rsidRPr="00314E4F" w14:paraId="436880F8" w14:textId="77777777" w:rsidTr="00314E4F">
        <w:trPr>
          <w:trHeight w:val="237"/>
          <w:jc w:val="center"/>
        </w:trPr>
        <w:tc>
          <w:tcPr>
            <w:tcW w:w="2532" w:type="dxa"/>
            <w:tcBorders>
              <w:top w:val="single" w:sz="4" w:space="0" w:color="006C31"/>
              <w:bottom w:val="single" w:sz="4" w:space="0" w:color="006C31"/>
            </w:tcBorders>
            <w:shd w:val="clear" w:color="auto" w:fill="FFFFFF"/>
            <w:vAlign w:val="center"/>
          </w:tcPr>
          <w:p w14:paraId="33A59E78" w14:textId="1CF5F067" w:rsidR="00315AC0" w:rsidRPr="00314E4F" w:rsidRDefault="00315AC0" w:rsidP="00DE686F">
            <w:pPr>
              <w:rPr>
                <w:rFonts w:cs="Arial"/>
                <w:b/>
                <w:color w:val="000000" w:themeColor="text1"/>
                <w:szCs w:val="18"/>
              </w:rPr>
            </w:pPr>
            <w:r w:rsidRPr="00314E4F">
              <w:rPr>
                <w:rFonts w:cs="Arial"/>
                <w:b/>
                <w:color w:val="000000"/>
                <w:szCs w:val="18"/>
              </w:rPr>
              <w:t>Spent Li-ion battery capacity</w:t>
            </w:r>
          </w:p>
        </w:tc>
        <w:tc>
          <w:tcPr>
            <w:tcW w:w="855" w:type="dxa"/>
            <w:tcBorders>
              <w:top w:val="single" w:sz="4" w:space="0" w:color="006C31"/>
              <w:bottom w:val="single" w:sz="4" w:space="0" w:color="006C31"/>
            </w:tcBorders>
            <w:shd w:val="clear" w:color="auto" w:fill="FFFFFF"/>
            <w:vAlign w:val="center"/>
          </w:tcPr>
          <w:p w14:paraId="058B2831" w14:textId="7765008E" w:rsidR="00315AC0" w:rsidRPr="00314E4F" w:rsidRDefault="00315AC0" w:rsidP="00DE686F">
            <w:pPr>
              <w:ind w:right="-1"/>
              <w:jc w:val="center"/>
              <w:rPr>
                <w:rFonts w:cs="Arial"/>
                <w:b/>
                <w:color w:val="000000" w:themeColor="text1"/>
                <w:szCs w:val="18"/>
              </w:rPr>
            </w:pPr>
          </w:p>
        </w:tc>
        <w:tc>
          <w:tcPr>
            <w:tcW w:w="566" w:type="dxa"/>
            <w:tcBorders>
              <w:top w:val="single" w:sz="4" w:space="0" w:color="006C31"/>
              <w:bottom w:val="single" w:sz="4" w:space="0" w:color="006C31"/>
            </w:tcBorders>
            <w:shd w:val="clear" w:color="auto" w:fill="FFFFFF"/>
            <w:vAlign w:val="center"/>
          </w:tcPr>
          <w:p w14:paraId="7636CA26" w14:textId="7C4ED597" w:rsidR="00315AC0" w:rsidRPr="00314E4F" w:rsidRDefault="00315AC0" w:rsidP="00DE686F">
            <w:pPr>
              <w:ind w:right="-1"/>
              <w:jc w:val="center"/>
              <w:rPr>
                <w:rFonts w:cs="Arial"/>
                <w:b/>
                <w:color w:val="000000" w:themeColor="text1"/>
                <w:szCs w:val="18"/>
              </w:rPr>
            </w:pPr>
          </w:p>
        </w:tc>
        <w:tc>
          <w:tcPr>
            <w:tcW w:w="1127" w:type="dxa"/>
            <w:tcBorders>
              <w:top w:val="single" w:sz="4" w:space="0" w:color="006C31"/>
              <w:bottom w:val="single" w:sz="4" w:space="0" w:color="006C31"/>
            </w:tcBorders>
            <w:shd w:val="clear" w:color="auto" w:fill="FFFFFF"/>
            <w:vAlign w:val="center"/>
          </w:tcPr>
          <w:p w14:paraId="7B145BBA" w14:textId="2D68C132" w:rsidR="00315AC0" w:rsidRPr="00314E4F" w:rsidRDefault="00315AC0" w:rsidP="00DE686F">
            <w:pPr>
              <w:ind w:right="-1"/>
              <w:jc w:val="center"/>
              <w:rPr>
                <w:rFonts w:cs="Arial"/>
                <w:b/>
                <w:color w:val="000000" w:themeColor="text1"/>
                <w:szCs w:val="18"/>
              </w:rPr>
            </w:pPr>
            <w:r w:rsidRPr="00314E4F">
              <w:rPr>
                <w:rFonts w:cs="Arial"/>
                <w:b/>
                <w:color w:val="000000"/>
                <w:szCs w:val="18"/>
              </w:rPr>
              <w:t>10</w:t>
            </w:r>
            <w:r w:rsidR="00314E4F" w:rsidRPr="00314E4F">
              <w:rPr>
                <w:rFonts w:cs="Arial"/>
                <w:b/>
                <w:color w:val="000000"/>
                <w:szCs w:val="18"/>
              </w:rPr>
              <w:t> </w:t>
            </w:r>
            <w:r w:rsidRPr="00314E4F">
              <w:rPr>
                <w:rFonts w:cs="Arial"/>
                <w:b/>
                <w:color w:val="000000"/>
                <w:szCs w:val="18"/>
              </w:rPr>
              <w:t>000</w:t>
            </w:r>
            <w:r w:rsidR="00314E4F" w:rsidRPr="00314E4F">
              <w:rPr>
                <w:rFonts w:cs="Arial"/>
                <w:b/>
                <w:color w:val="000000"/>
                <w:szCs w:val="18"/>
              </w:rPr>
              <w:t>t/y</w:t>
            </w:r>
          </w:p>
        </w:tc>
        <w:tc>
          <w:tcPr>
            <w:tcW w:w="1127" w:type="dxa"/>
            <w:tcBorders>
              <w:top w:val="single" w:sz="4" w:space="0" w:color="006C31"/>
              <w:bottom w:val="single" w:sz="4" w:space="0" w:color="006C31"/>
            </w:tcBorders>
            <w:shd w:val="clear" w:color="auto" w:fill="FFFFFF"/>
            <w:vAlign w:val="center"/>
          </w:tcPr>
          <w:p w14:paraId="45152C07" w14:textId="72E832D3" w:rsidR="00315AC0" w:rsidRPr="00314E4F" w:rsidRDefault="00315AC0" w:rsidP="00DE686F">
            <w:pPr>
              <w:ind w:right="-1"/>
              <w:jc w:val="center"/>
              <w:rPr>
                <w:rFonts w:cs="Arial"/>
                <w:b/>
                <w:color w:val="000000" w:themeColor="text1"/>
                <w:szCs w:val="18"/>
              </w:rPr>
            </w:pPr>
            <w:r w:rsidRPr="00314E4F">
              <w:rPr>
                <w:rFonts w:cs="Arial"/>
                <w:b/>
                <w:color w:val="000000"/>
                <w:szCs w:val="18"/>
              </w:rPr>
              <w:t>50</w:t>
            </w:r>
            <w:r w:rsidR="00314E4F" w:rsidRPr="00314E4F">
              <w:rPr>
                <w:rFonts w:cs="Arial"/>
                <w:b/>
                <w:color w:val="000000"/>
                <w:szCs w:val="18"/>
              </w:rPr>
              <w:t> </w:t>
            </w:r>
            <w:r w:rsidRPr="00314E4F">
              <w:rPr>
                <w:rFonts w:cs="Arial"/>
                <w:b/>
                <w:color w:val="000000"/>
                <w:szCs w:val="18"/>
              </w:rPr>
              <w:t>000</w:t>
            </w:r>
            <w:r w:rsidR="00314E4F" w:rsidRPr="00314E4F">
              <w:rPr>
                <w:rFonts w:cs="Arial"/>
                <w:b/>
                <w:color w:val="000000"/>
                <w:szCs w:val="18"/>
              </w:rPr>
              <w:t>t/y</w:t>
            </w:r>
          </w:p>
        </w:tc>
        <w:tc>
          <w:tcPr>
            <w:tcW w:w="1408" w:type="dxa"/>
            <w:tcBorders>
              <w:top w:val="single" w:sz="4" w:space="0" w:color="006C31"/>
              <w:bottom w:val="single" w:sz="4" w:space="0" w:color="006C31"/>
            </w:tcBorders>
            <w:shd w:val="clear" w:color="auto" w:fill="FFFFFF"/>
            <w:vAlign w:val="center"/>
          </w:tcPr>
          <w:p w14:paraId="73BD2A59" w14:textId="04946C6D" w:rsidR="00315AC0" w:rsidRPr="00314E4F" w:rsidRDefault="00315AC0" w:rsidP="00DE686F">
            <w:pPr>
              <w:ind w:right="-1"/>
              <w:jc w:val="center"/>
              <w:rPr>
                <w:rFonts w:cs="Arial"/>
                <w:b/>
                <w:color w:val="000000" w:themeColor="text1"/>
                <w:szCs w:val="18"/>
              </w:rPr>
            </w:pPr>
            <w:r w:rsidRPr="00314E4F">
              <w:rPr>
                <w:rFonts w:cs="Arial"/>
                <w:b/>
                <w:color w:val="000000"/>
                <w:szCs w:val="18"/>
              </w:rPr>
              <w:t>100</w:t>
            </w:r>
            <w:r w:rsidR="00314E4F" w:rsidRPr="00314E4F">
              <w:rPr>
                <w:rFonts w:cs="Arial"/>
                <w:b/>
                <w:color w:val="000000"/>
                <w:szCs w:val="18"/>
              </w:rPr>
              <w:t> </w:t>
            </w:r>
            <w:r w:rsidRPr="00314E4F">
              <w:rPr>
                <w:rFonts w:cs="Arial"/>
                <w:b/>
                <w:color w:val="000000"/>
                <w:szCs w:val="18"/>
              </w:rPr>
              <w:t>000</w:t>
            </w:r>
            <w:r w:rsidR="00314E4F" w:rsidRPr="00314E4F">
              <w:rPr>
                <w:rFonts w:cs="Arial"/>
                <w:b/>
                <w:color w:val="000000"/>
                <w:szCs w:val="18"/>
              </w:rPr>
              <w:t>t/y</w:t>
            </w:r>
          </w:p>
        </w:tc>
      </w:tr>
      <w:tr w:rsidR="00315AC0" w:rsidRPr="00314E4F" w14:paraId="7DDF66FA" w14:textId="77777777" w:rsidTr="00314E4F">
        <w:trPr>
          <w:trHeight w:val="237"/>
          <w:jc w:val="center"/>
        </w:trPr>
        <w:tc>
          <w:tcPr>
            <w:tcW w:w="2532" w:type="dxa"/>
            <w:tcBorders>
              <w:top w:val="single" w:sz="4" w:space="0" w:color="006C31"/>
              <w:bottom w:val="nil"/>
            </w:tcBorders>
            <w:shd w:val="clear" w:color="auto" w:fill="FFFFFF"/>
            <w:vAlign w:val="center"/>
          </w:tcPr>
          <w:p w14:paraId="6C2B9851" w14:textId="105469E5" w:rsidR="00315AC0" w:rsidRPr="00314E4F" w:rsidRDefault="00315AC0" w:rsidP="00E32C4F">
            <w:pPr>
              <w:rPr>
                <w:rFonts w:cs="Arial"/>
                <w:b/>
                <w:color w:val="000000" w:themeColor="text1"/>
                <w:szCs w:val="18"/>
              </w:rPr>
            </w:pPr>
            <w:r w:rsidRPr="00314E4F">
              <w:rPr>
                <w:rFonts w:cs="Arial"/>
                <w:b/>
                <w:color w:val="000000"/>
                <w:szCs w:val="18"/>
              </w:rPr>
              <w:t>Dismantling &amp; separation</w:t>
            </w:r>
          </w:p>
        </w:tc>
        <w:tc>
          <w:tcPr>
            <w:tcW w:w="855" w:type="dxa"/>
            <w:tcBorders>
              <w:top w:val="single" w:sz="4" w:space="0" w:color="006C31"/>
              <w:bottom w:val="nil"/>
            </w:tcBorders>
            <w:shd w:val="clear" w:color="auto" w:fill="FFFFFF"/>
            <w:vAlign w:val="center"/>
          </w:tcPr>
          <w:p w14:paraId="5F7F4333" w14:textId="116F40C0" w:rsidR="00315AC0" w:rsidRPr="00314E4F" w:rsidRDefault="00315AC0" w:rsidP="00E32C4F">
            <w:pPr>
              <w:ind w:right="-1"/>
              <w:jc w:val="center"/>
              <w:rPr>
                <w:rFonts w:cs="Arial"/>
                <w:color w:val="000000" w:themeColor="text1"/>
                <w:szCs w:val="18"/>
              </w:rPr>
            </w:pPr>
            <w:r w:rsidRPr="00314E4F">
              <w:rPr>
                <w:rFonts w:cs="Arial"/>
                <w:color w:val="000000"/>
                <w:szCs w:val="18"/>
              </w:rPr>
              <w:t>17</w:t>
            </w:r>
          </w:p>
        </w:tc>
        <w:tc>
          <w:tcPr>
            <w:tcW w:w="566" w:type="dxa"/>
            <w:tcBorders>
              <w:top w:val="single" w:sz="4" w:space="0" w:color="006C31"/>
              <w:bottom w:val="nil"/>
            </w:tcBorders>
            <w:shd w:val="clear" w:color="auto" w:fill="FFFFFF"/>
            <w:vAlign w:val="center"/>
          </w:tcPr>
          <w:p w14:paraId="3041EB66" w14:textId="7413AEF5" w:rsidR="00315AC0" w:rsidRPr="00314E4F" w:rsidRDefault="00315AC0" w:rsidP="00E32C4F">
            <w:pPr>
              <w:ind w:right="-1"/>
              <w:jc w:val="center"/>
              <w:rPr>
                <w:rFonts w:cs="Arial"/>
                <w:color w:val="000000" w:themeColor="text1"/>
                <w:szCs w:val="18"/>
              </w:rPr>
            </w:pPr>
            <w:r w:rsidRPr="00314E4F">
              <w:rPr>
                <w:rFonts w:cs="Arial"/>
                <w:color w:val="000000"/>
                <w:szCs w:val="18"/>
              </w:rPr>
              <w:t>EUR/t</w:t>
            </w:r>
          </w:p>
        </w:tc>
        <w:tc>
          <w:tcPr>
            <w:tcW w:w="1127" w:type="dxa"/>
            <w:tcBorders>
              <w:top w:val="single" w:sz="4" w:space="0" w:color="006C31"/>
              <w:bottom w:val="nil"/>
            </w:tcBorders>
            <w:shd w:val="clear" w:color="auto" w:fill="FFFFFF"/>
            <w:vAlign w:val="center"/>
          </w:tcPr>
          <w:p w14:paraId="6BF062CC" w14:textId="322BE976" w:rsidR="00315AC0" w:rsidRPr="00314E4F" w:rsidRDefault="00315AC0" w:rsidP="00E32C4F">
            <w:pPr>
              <w:ind w:right="-1"/>
              <w:jc w:val="center"/>
              <w:rPr>
                <w:rFonts w:cs="Arial"/>
                <w:color w:val="000000" w:themeColor="text1"/>
                <w:szCs w:val="18"/>
              </w:rPr>
            </w:pPr>
            <w:r w:rsidRPr="00314E4F">
              <w:rPr>
                <w:rFonts w:cs="Arial"/>
                <w:color w:val="000000"/>
                <w:szCs w:val="18"/>
              </w:rPr>
              <w:t>170 000</w:t>
            </w:r>
          </w:p>
        </w:tc>
        <w:tc>
          <w:tcPr>
            <w:tcW w:w="1127" w:type="dxa"/>
            <w:tcBorders>
              <w:top w:val="single" w:sz="4" w:space="0" w:color="006C31"/>
              <w:bottom w:val="nil"/>
            </w:tcBorders>
            <w:shd w:val="clear" w:color="auto" w:fill="FFFFFF"/>
            <w:vAlign w:val="center"/>
          </w:tcPr>
          <w:p w14:paraId="000B158A" w14:textId="59A82277" w:rsidR="00315AC0" w:rsidRPr="00314E4F" w:rsidRDefault="00315AC0" w:rsidP="00E32C4F">
            <w:pPr>
              <w:ind w:right="-1"/>
              <w:jc w:val="center"/>
              <w:rPr>
                <w:rFonts w:cs="Arial"/>
                <w:color w:val="000000" w:themeColor="text1"/>
                <w:szCs w:val="18"/>
              </w:rPr>
            </w:pPr>
            <w:r w:rsidRPr="00314E4F">
              <w:rPr>
                <w:rFonts w:cs="Arial"/>
                <w:color w:val="000000"/>
                <w:szCs w:val="18"/>
              </w:rPr>
              <w:t>850 000</w:t>
            </w:r>
          </w:p>
        </w:tc>
        <w:tc>
          <w:tcPr>
            <w:tcW w:w="1408" w:type="dxa"/>
            <w:tcBorders>
              <w:top w:val="single" w:sz="4" w:space="0" w:color="006C31"/>
              <w:bottom w:val="nil"/>
            </w:tcBorders>
            <w:shd w:val="clear" w:color="auto" w:fill="FFFFFF"/>
            <w:vAlign w:val="center"/>
          </w:tcPr>
          <w:p w14:paraId="4445F220" w14:textId="6DF635CE" w:rsidR="00315AC0" w:rsidRPr="00314E4F" w:rsidRDefault="00314E4F" w:rsidP="00E32C4F">
            <w:pPr>
              <w:ind w:right="-1"/>
              <w:jc w:val="center"/>
              <w:rPr>
                <w:rFonts w:cs="Arial"/>
                <w:color w:val="000000" w:themeColor="text1"/>
                <w:szCs w:val="18"/>
              </w:rPr>
            </w:pPr>
            <w:r>
              <w:rPr>
                <w:rFonts w:cs="Arial"/>
                <w:color w:val="000000" w:themeColor="text1"/>
                <w:szCs w:val="18"/>
              </w:rPr>
              <w:t>1 700 000</w:t>
            </w:r>
          </w:p>
        </w:tc>
      </w:tr>
      <w:tr w:rsidR="00315AC0" w:rsidRPr="00314E4F" w14:paraId="34D37A28" w14:textId="77777777" w:rsidTr="00314E4F">
        <w:trPr>
          <w:trHeight w:val="237"/>
          <w:jc w:val="center"/>
        </w:trPr>
        <w:tc>
          <w:tcPr>
            <w:tcW w:w="2532" w:type="dxa"/>
            <w:tcBorders>
              <w:top w:val="nil"/>
              <w:bottom w:val="nil"/>
            </w:tcBorders>
            <w:shd w:val="clear" w:color="auto" w:fill="FFFFFF"/>
            <w:vAlign w:val="center"/>
          </w:tcPr>
          <w:p w14:paraId="0D7AC446" w14:textId="33A389B9" w:rsidR="00315AC0" w:rsidRPr="00314E4F" w:rsidRDefault="00315AC0" w:rsidP="00E32C4F">
            <w:pPr>
              <w:rPr>
                <w:rFonts w:cs="Arial"/>
                <w:b/>
                <w:color w:val="000000" w:themeColor="text1"/>
                <w:szCs w:val="18"/>
              </w:rPr>
            </w:pPr>
            <w:r w:rsidRPr="00314E4F">
              <w:rPr>
                <w:rFonts w:cs="Arial"/>
                <w:b/>
                <w:color w:val="000000"/>
                <w:szCs w:val="18"/>
              </w:rPr>
              <w:t>Pyrometallurgy</w:t>
            </w:r>
          </w:p>
        </w:tc>
        <w:tc>
          <w:tcPr>
            <w:tcW w:w="855" w:type="dxa"/>
            <w:tcBorders>
              <w:top w:val="nil"/>
              <w:bottom w:val="nil"/>
            </w:tcBorders>
            <w:shd w:val="clear" w:color="auto" w:fill="FFFFFF"/>
            <w:vAlign w:val="center"/>
          </w:tcPr>
          <w:p w14:paraId="39C878E9" w14:textId="23E7411F" w:rsidR="00315AC0" w:rsidRPr="00314E4F" w:rsidRDefault="00315AC0" w:rsidP="00E32C4F">
            <w:pPr>
              <w:ind w:right="-1"/>
              <w:jc w:val="center"/>
              <w:rPr>
                <w:rFonts w:cs="Arial"/>
                <w:color w:val="000000" w:themeColor="text1"/>
                <w:szCs w:val="18"/>
              </w:rPr>
            </w:pPr>
            <w:r w:rsidRPr="00314E4F">
              <w:rPr>
                <w:rFonts w:cs="Arial"/>
                <w:color w:val="000000"/>
                <w:szCs w:val="18"/>
              </w:rPr>
              <w:t>900</w:t>
            </w:r>
          </w:p>
        </w:tc>
        <w:tc>
          <w:tcPr>
            <w:tcW w:w="566" w:type="dxa"/>
            <w:tcBorders>
              <w:top w:val="nil"/>
              <w:bottom w:val="nil"/>
            </w:tcBorders>
            <w:shd w:val="clear" w:color="auto" w:fill="FFFFFF"/>
            <w:vAlign w:val="center"/>
          </w:tcPr>
          <w:p w14:paraId="5AD3676C" w14:textId="79B9FD9A" w:rsidR="00315AC0" w:rsidRPr="00314E4F" w:rsidRDefault="00315AC0" w:rsidP="00E32C4F">
            <w:pPr>
              <w:ind w:right="-1"/>
              <w:jc w:val="center"/>
              <w:rPr>
                <w:rFonts w:cs="Arial"/>
                <w:color w:val="000000" w:themeColor="text1"/>
                <w:szCs w:val="18"/>
              </w:rPr>
            </w:pPr>
            <w:r w:rsidRPr="00314E4F">
              <w:rPr>
                <w:rFonts w:cs="Arial"/>
                <w:color w:val="000000"/>
                <w:szCs w:val="18"/>
              </w:rPr>
              <w:t>EUR/t</w:t>
            </w:r>
          </w:p>
        </w:tc>
        <w:tc>
          <w:tcPr>
            <w:tcW w:w="1127" w:type="dxa"/>
            <w:tcBorders>
              <w:top w:val="nil"/>
              <w:bottom w:val="nil"/>
            </w:tcBorders>
            <w:shd w:val="clear" w:color="auto" w:fill="FFFFFF"/>
            <w:vAlign w:val="center"/>
          </w:tcPr>
          <w:p w14:paraId="7B337FD5" w14:textId="6F42F7C0" w:rsidR="00315AC0" w:rsidRPr="00314E4F" w:rsidRDefault="00315AC0" w:rsidP="00E32C4F">
            <w:pPr>
              <w:ind w:right="-1"/>
              <w:jc w:val="center"/>
              <w:rPr>
                <w:rFonts w:cs="Arial"/>
                <w:color w:val="000000" w:themeColor="text1"/>
                <w:szCs w:val="18"/>
              </w:rPr>
            </w:pPr>
            <w:r w:rsidRPr="00314E4F">
              <w:rPr>
                <w:rFonts w:cs="Arial"/>
                <w:color w:val="000000"/>
                <w:szCs w:val="18"/>
              </w:rPr>
              <w:t>9 000 000</w:t>
            </w:r>
          </w:p>
        </w:tc>
        <w:tc>
          <w:tcPr>
            <w:tcW w:w="1127" w:type="dxa"/>
            <w:tcBorders>
              <w:top w:val="nil"/>
              <w:bottom w:val="nil"/>
            </w:tcBorders>
            <w:shd w:val="clear" w:color="auto" w:fill="FFFFFF"/>
            <w:vAlign w:val="center"/>
          </w:tcPr>
          <w:p w14:paraId="01BC1A46" w14:textId="772775DC" w:rsidR="00315AC0" w:rsidRPr="00314E4F" w:rsidRDefault="00315AC0" w:rsidP="00E32C4F">
            <w:pPr>
              <w:ind w:right="-1"/>
              <w:jc w:val="center"/>
              <w:rPr>
                <w:rFonts w:cs="Arial"/>
                <w:color w:val="000000" w:themeColor="text1"/>
                <w:szCs w:val="18"/>
              </w:rPr>
            </w:pPr>
            <w:r w:rsidRPr="00314E4F">
              <w:rPr>
                <w:rFonts w:cs="Arial"/>
                <w:color w:val="000000"/>
                <w:szCs w:val="18"/>
              </w:rPr>
              <w:t>45 000 000</w:t>
            </w:r>
          </w:p>
        </w:tc>
        <w:tc>
          <w:tcPr>
            <w:tcW w:w="1408" w:type="dxa"/>
            <w:tcBorders>
              <w:top w:val="nil"/>
              <w:bottom w:val="nil"/>
            </w:tcBorders>
            <w:shd w:val="clear" w:color="auto" w:fill="FFFFFF"/>
            <w:vAlign w:val="center"/>
          </w:tcPr>
          <w:p w14:paraId="2848A7B4" w14:textId="3FE17587" w:rsidR="00315AC0" w:rsidRPr="00314E4F" w:rsidRDefault="00315AC0" w:rsidP="00E32C4F">
            <w:pPr>
              <w:ind w:right="-1"/>
              <w:jc w:val="center"/>
              <w:rPr>
                <w:rFonts w:cs="Arial"/>
                <w:color w:val="000000" w:themeColor="text1"/>
                <w:szCs w:val="18"/>
              </w:rPr>
            </w:pPr>
            <w:r w:rsidRPr="00314E4F">
              <w:rPr>
                <w:rFonts w:cs="Arial"/>
                <w:color w:val="000000"/>
                <w:szCs w:val="18"/>
              </w:rPr>
              <w:t>90 000 000</w:t>
            </w:r>
          </w:p>
        </w:tc>
      </w:tr>
      <w:tr w:rsidR="00315AC0" w:rsidRPr="00314E4F" w14:paraId="6755BBD7" w14:textId="77777777" w:rsidTr="00314E4F">
        <w:trPr>
          <w:trHeight w:val="237"/>
          <w:jc w:val="center"/>
        </w:trPr>
        <w:tc>
          <w:tcPr>
            <w:tcW w:w="2532" w:type="dxa"/>
            <w:tcBorders>
              <w:top w:val="nil"/>
              <w:bottom w:val="single" w:sz="4" w:space="0" w:color="006C31"/>
            </w:tcBorders>
            <w:shd w:val="clear" w:color="auto" w:fill="FFFFFF"/>
            <w:vAlign w:val="center"/>
          </w:tcPr>
          <w:p w14:paraId="14A6741A" w14:textId="45F84C1E" w:rsidR="00315AC0" w:rsidRPr="00314E4F" w:rsidRDefault="00315AC0" w:rsidP="00E32C4F">
            <w:pPr>
              <w:rPr>
                <w:rFonts w:cs="Arial"/>
                <w:b/>
                <w:color w:val="000000" w:themeColor="text1"/>
                <w:szCs w:val="18"/>
              </w:rPr>
            </w:pPr>
            <w:r w:rsidRPr="00314E4F">
              <w:rPr>
                <w:rFonts w:cs="Arial"/>
                <w:b/>
                <w:color w:val="000000"/>
                <w:szCs w:val="18"/>
              </w:rPr>
              <w:t>Gasification</w:t>
            </w:r>
          </w:p>
        </w:tc>
        <w:tc>
          <w:tcPr>
            <w:tcW w:w="855" w:type="dxa"/>
            <w:tcBorders>
              <w:top w:val="nil"/>
              <w:bottom w:val="single" w:sz="4" w:space="0" w:color="006C31"/>
            </w:tcBorders>
            <w:shd w:val="clear" w:color="auto" w:fill="FFFFFF"/>
            <w:vAlign w:val="center"/>
          </w:tcPr>
          <w:p w14:paraId="50C0D8B8" w14:textId="618CF962" w:rsidR="00315AC0" w:rsidRPr="00314E4F" w:rsidRDefault="00315AC0" w:rsidP="00E32C4F">
            <w:pPr>
              <w:ind w:right="-1"/>
              <w:jc w:val="center"/>
              <w:rPr>
                <w:rFonts w:cs="Arial"/>
                <w:color w:val="000000" w:themeColor="text1"/>
                <w:szCs w:val="18"/>
              </w:rPr>
            </w:pPr>
            <w:r w:rsidRPr="00314E4F">
              <w:rPr>
                <w:rFonts w:cs="Arial"/>
                <w:color w:val="000000"/>
                <w:szCs w:val="18"/>
              </w:rPr>
              <w:t>300</w:t>
            </w:r>
          </w:p>
        </w:tc>
        <w:tc>
          <w:tcPr>
            <w:tcW w:w="566" w:type="dxa"/>
            <w:tcBorders>
              <w:top w:val="nil"/>
              <w:bottom w:val="single" w:sz="4" w:space="0" w:color="006C31"/>
            </w:tcBorders>
            <w:shd w:val="clear" w:color="auto" w:fill="FFFFFF"/>
            <w:vAlign w:val="center"/>
          </w:tcPr>
          <w:p w14:paraId="1146EB6E" w14:textId="78480050" w:rsidR="00315AC0" w:rsidRPr="00314E4F" w:rsidRDefault="00315AC0" w:rsidP="00E32C4F">
            <w:pPr>
              <w:ind w:right="-1"/>
              <w:jc w:val="center"/>
              <w:rPr>
                <w:rFonts w:cs="Arial"/>
                <w:color w:val="000000" w:themeColor="text1"/>
                <w:szCs w:val="18"/>
              </w:rPr>
            </w:pPr>
            <w:r w:rsidRPr="00314E4F">
              <w:rPr>
                <w:rFonts w:cs="Arial"/>
                <w:color w:val="000000"/>
                <w:szCs w:val="18"/>
              </w:rPr>
              <w:t>EUR/t</w:t>
            </w:r>
          </w:p>
        </w:tc>
        <w:tc>
          <w:tcPr>
            <w:tcW w:w="1127" w:type="dxa"/>
            <w:tcBorders>
              <w:top w:val="nil"/>
              <w:bottom w:val="single" w:sz="4" w:space="0" w:color="006C31"/>
            </w:tcBorders>
            <w:shd w:val="clear" w:color="auto" w:fill="FFFFFF"/>
            <w:vAlign w:val="center"/>
          </w:tcPr>
          <w:p w14:paraId="68C2939B" w14:textId="7D40E37C" w:rsidR="00315AC0" w:rsidRPr="00314E4F" w:rsidRDefault="00315AC0" w:rsidP="00E32C4F">
            <w:pPr>
              <w:ind w:right="-1"/>
              <w:jc w:val="center"/>
              <w:rPr>
                <w:rFonts w:cs="Arial"/>
                <w:color w:val="000000" w:themeColor="text1"/>
                <w:szCs w:val="18"/>
              </w:rPr>
            </w:pPr>
            <w:r w:rsidRPr="00314E4F">
              <w:rPr>
                <w:rFonts w:cs="Arial"/>
                <w:color w:val="000000"/>
                <w:szCs w:val="18"/>
              </w:rPr>
              <w:t>240 000</w:t>
            </w:r>
          </w:p>
        </w:tc>
        <w:tc>
          <w:tcPr>
            <w:tcW w:w="1127" w:type="dxa"/>
            <w:tcBorders>
              <w:top w:val="nil"/>
              <w:bottom w:val="single" w:sz="4" w:space="0" w:color="006C31"/>
            </w:tcBorders>
            <w:shd w:val="clear" w:color="auto" w:fill="FFFFFF"/>
            <w:vAlign w:val="center"/>
          </w:tcPr>
          <w:p w14:paraId="0BA58770" w14:textId="3D6417F0" w:rsidR="00315AC0" w:rsidRPr="00314E4F" w:rsidRDefault="00315AC0" w:rsidP="00E32C4F">
            <w:pPr>
              <w:ind w:right="-1"/>
              <w:jc w:val="center"/>
              <w:rPr>
                <w:rFonts w:cs="Arial"/>
                <w:color w:val="000000" w:themeColor="text1"/>
                <w:szCs w:val="18"/>
              </w:rPr>
            </w:pPr>
            <w:r w:rsidRPr="00314E4F">
              <w:rPr>
                <w:rFonts w:cs="Arial"/>
                <w:color w:val="000000"/>
                <w:szCs w:val="18"/>
              </w:rPr>
              <w:t>1 200 000</w:t>
            </w:r>
          </w:p>
        </w:tc>
        <w:tc>
          <w:tcPr>
            <w:tcW w:w="1408" w:type="dxa"/>
            <w:tcBorders>
              <w:top w:val="nil"/>
              <w:bottom w:val="single" w:sz="4" w:space="0" w:color="006C31"/>
            </w:tcBorders>
            <w:shd w:val="clear" w:color="auto" w:fill="FFFFFF"/>
            <w:vAlign w:val="center"/>
          </w:tcPr>
          <w:p w14:paraId="68499D44" w14:textId="43F730D2" w:rsidR="00315AC0" w:rsidRPr="00314E4F" w:rsidRDefault="00315AC0" w:rsidP="00E32C4F">
            <w:pPr>
              <w:ind w:right="-1"/>
              <w:jc w:val="center"/>
              <w:rPr>
                <w:rFonts w:cs="Arial"/>
                <w:color w:val="000000" w:themeColor="text1"/>
                <w:szCs w:val="18"/>
              </w:rPr>
            </w:pPr>
            <w:r w:rsidRPr="00314E4F">
              <w:rPr>
                <w:rFonts w:cs="Arial"/>
                <w:color w:val="000000"/>
                <w:szCs w:val="18"/>
              </w:rPr>
              <w:t>2 400 000</w:t>
            </w:r>
          </w:p>
        </w:tc>
      </w:tr>
      <w:tr w:rsidR="00315AC0" w:rsidRPr="00314E4F" w14:paraId="4A178B1B" w14:textId="77777777" w:rsidTr="00314E4F">
        <w:trPr>
          <w:trHeight w:val="237"/>
          <w:jc w:val="center"/>
        </w:trPr>
        <w:tc>
          <w:tcPr>
            <w:tcW w:w="2532" w:type="dxa"/>
            <w:tcBorders>
              <w:top w:val="single" w:sz="4" w:space="0" w:color="006C31"/>
              <w:bottom w:val="nil"/>
            </w:tcBorders>
            <w:shd w:val="clear" w:color="auto" w:fill="FFFFFF"/>
            <w:vAlign w:val="center"/>
          </w:tcPr>
          <w:p w14:paraId="434E6120" w14:textId="39E4F4AF" w:rsidR="00315AC0" w:rsidRPr="00314E4F" w:rsidRDefault="00315AC0" w:rsidP="00E32C4F">
            <w:pPr>
              <w:rPr>
                <w:rFonts w:cs="Arial"/>
                <w:b/>
                <w:color w:val="000000" w:themeColor="text1"/>
                <w:szCs w:val="18"/>
              </w:rPr>
            </w:pPr>
            <w:r w:rsidRPr="00314E4F">
              <w:rPr>
                <w:rFonts w:cs="Arial"/>
                <w:b/>
                <w:color w:val="000000"/>
                <w:szCs w:val="18"/>
              </w:rPr>
              <w:t>Hydrogen (</w:t>
            </w:r>
            <w:r w:rsidR="00314E4F" w:rsidRPr="00314E4F">
              <w:rPr>
                <w:rFonts w:cs="Arial"/>
                <w:b/>
                <w:color w:val="000000"/>
                <w:szCs w:val="18"/>
              </w:rPr>
              <w:t>grey</w:t>
            </w:r>
            <w:r w:rsidRPr="00314E4F">
              <w:rPr>
                <w:rFonts w:cs="Arial"/>
                <w:b/>
                <w:color w:val="000000"/>
                <w:szCs w:val="18"/>
              </w:rPr>
              <w:t>)</w:t>
            </w:r>
          </w:p>
        </w:tc>
        <w:tc>
          <w:tcPr>
            <w:tcW w:w="855" w:type="dxa"/>
            <w:tcBorders>
              <w:top w:val="single" w:sz="4" w:space="0" w:color="006C31"/>
              <w:bottom w:val="nil"/>
            </w:tcBorders>
            <w:shd w:val="clear" w:color="auto" w:fill="FFFFFF"/>
            <w:vAlign w:val="center"/>
          </w:tcPr>
          <w:p w14:paraId="30F0E10B" w14:textId="353F9CCA" w:rsidR="00315AC0" w:rsidRPr="00314E4F" w:rsidRDefault="00315AC0" w:rsidP="00E32C4F">
            <w:pPr>
              <w:ind w:right="-1"/>
              <w:jc w:val="center"/>
              <w:rPr>
                <w:rFonts w:cs="Arial"/>
                <w:color w:val="000000" w:themeColor="text1"/>
                <w:szCs w:val="18"/>
              </w:rPr>
            </w:pPr>
            <w:r w:rsidRPr="00314E4F">
              <w:rPr>
                <w:rFonts w:cs="Arial"/>
                <w:color w:val="000000"/>
                <w:szCs w:val="18"/>
              </w:rPr>
              <w:t>2000</w:t>
            </w:r>
          </w:p>
        </w:tc>
        <w:tc>
          <w:tcPr>
            <w:tcW w:w="566" w:type="dxa"/>
            <w:tcBorders>
              <w:top w:val="single" w:sz="4" w:space="0" w:color="006C31"/>
              <w:bottom w:val="nil"/>
            </w:tcBorders>
            <w:shd w:val="clear" w:color="auto" w:fill="FFFFFF"/>
            <w:vAlign w:val="center"/>
          </w:tcPr>
          <w:p w14:paraId="23F6235D" w14:textId="646EC8E6" w:rsidR="00315AC0" w:rsidRPr="00314E4F" w:rsidRDefault="00315AC0" w:rsidP="00E32C4F">
            <w:pPr>
              <w:ind w:right="-1"/>
              <w:jc w:val="center"/>
              <w:rPr>
                <w:rFonts w:cs="Arial"/>
                <w:color w:val="000000" w:themeColor="text1"/>
                <w:szCs w:val="18"/>
              </w:rPr>
            </w:pPr>
            <w:r w:rsidRPr="00314E4F">
              <w:rPr>
                <w:rFonts w:cs="Arial"/>
                <w:color w:val="000000"/>
                <w:szCs w:val="18"/>
              </w:rPr>
              <w:t>EUR/t</w:t>
            </w:r>
          </w:p>
        </w:tc>
        <w:tc>
          <w:tcPr>
            <w:tcW w:w="1127" w:type="dxa"/>
            <w:tcBorders>
              <w:top w:val="single" w:sz="4" w:space="0" w:color="006C31"/>
              <w:bottom w:val="nil"/>
            </w:tcBorders>
            <w:shd w:val="clear" w:color="auto" w:fill="FFFFFF"/>
            <w:vAlign w:val="center"/>
          </w:tcPr>
          <w:p w14:paraId="34B75B63" w14:textId="091DFF64" w:rsidR="00315AC0" w:rsidRPr="00314E4F" w:rsidRDefault="00315AC0" w:rsidP="00E32C4F">
            <w:pPr>
              <w:ind w:right="-1"/>
              <w:jc w:val="center"/>
              <w:rPr>
                <w:rFonts w:cs="Arial"/>
                <w:color w:val="000000" w:themeColor="text1"/>
                <w:szCs w:val="18"/>
              </w:rPr>
            </w:pPr>
            <w:r w:rsidRPr="00314E4F">
              <w:rPr>
                <w:rFonts w:cs="Arial"/>
                <w:color w:val="000000"/>
                <w:szCs w:val="18"/>
              </w:rPr>
              <w:t>320 000</w:t>
            </w:r>
          </w:p>
        </w:tc>
        <w:tc>
          <w:tcPr>
            <w:tcW w:w="1127" w:type="dxa"/>
            <w:tcBorders>
              <w:top w:val="single" w:sz="4" w:space="0" w:color="006C31"/>
              <w:bottom w:val="nil"/>
            </w:tcBorders>
            <w:shd w:val="clear" w:color="auto" w:fill="FFFFFF"/>
            <w:vAlign w:val="center"/>
          </w:tcPr>
          <w:p w14:paraId="7939AC12" w14:textId="5EDB5F04" w:rsidR="00315AC0" w:rsidRPr="00314E4F" w:rsidRDefault="00315AC0" w:rsidP="00E32C4F">
            <w:pPr>
              <w:ind w:right="-1"/>
              <w:jc w:val="center"/>
              <w:rPr>
                <w:rFonts w:cs="Arial"/>
                <w:color w:val="000000" w:themeColor="text1"/>
                <w:szCs w:val="18"/>
              </w:rPr>
            </w:pPr>
            <w:r w:rsidRPr="00314E4F">
              <w:rPr>
                <w:rFonts w:cs="Arial"/>
                <w:color w:val="000000"/>
                <w:szCs w:val="18"/>
              </w:rPr>
              <w:t>1 600 000</w:t>
            </w:r>
          </w:p>
        </w:tc>
        <w:tc>
          <w:tcPr>
            <w:tcW w:w="1408" w:type="dxa"/>
            <w:tcBorders>
              <w:top w:val="single" w:sz="4" w:space="0" w:color="006C31"/>
              <w:bottom w:val="nil"/>
            </w:tcBorders>
            <w:shd w:val="clear" w:color="auto" w:fill="FFFFFF"/>
            <w:vAlign w:val="center"/>
          </w:tcPr>
          <w:p w14:paraId="348B16D7" w14:textId="20D9056E" w:rsidR="00315AC0" w:rsidRPr="00314E4F" w:rsidRDefault="00315AC0" w:rsidP="00E32C4F">
            <w:pPr>
              <w:ind w:right="-1"/>
              <w:jc w:val="center"/>
              <w:rPr>
                <w:rFonts w:cs="Arial"/>
                <w:color w:val="000000" w:themeColor="text1"/>
                <w:szCs w:val="18"/>
              </w:rPr>
            </w:pPr>
            <w:r w:rsidRPr="00314E4F">
              <w:rPr>
                <w:rFonts w:cs="Arial"/>
                <w:color w:val="000000"/>
                <w:szCs w:val="18"/>
              </w:rPr>
              <w:t>3 200 000</w:t>
            </w:r>
          </w:p>
        </w:tc>
      </w:tr>
      <w:tr w:rsidR="00315AC0" w:rsidRPr="00314E4F" w14:paraId="336F2BD1" w14:textId="77777777" w:rsidTr="00314E4F">
        <w:trPr>
          <w:trHeight w:val="237"/>
          <w:jc w:val="center"/>
        </w:trPr>
        <w:tc>
          <w:tcPr>
            <w:tcW w:w="2532" w:type="dxa"/>
            <w:tcBorders>
              <w:top w:val="nil"/>
              <w:bottom w:val="nil"/>
            </w:tcBorders>
            <w:shd w:val="clear" w:color="auto" w:fill="FFFFFF"/>
            <w:vAlign w:val="center"/>
          </w:tcPr>
          <w:p w14:paraId="24DA3069" w14:textId="0A87DAAE" w:rsidR="00315AC0" w:rsidRPr="00314E4F" w:rsidRDefault="00315AC0" w:rsidP="00E32C4F">
            <w:pPr>
              <w:rPr>
                <w:rFonts w:cs="Arial"/>
                <w:b/>
                <w:color w:val="000000" w:themeColor="text1"/>
                <w:szCs w:val="18"/>
              </w:rPr>
            </w:pPr>
            <w:r w:rsidRPr="00314E4F">
              <w:rPr>
                <w:rFonts w:cs="Arial"/>
                <w:b/>
                <w:color w:val="000000"/>
                <w:szCs w:val="18"/>
              </w:rPr>
              <w:t>Hydrogen (green)</w:t>
            </w:r>
          </w:p>
        </w:tc>
        <w:tc>
          <w:tcPr>
            <w:tcW w:w="855" w:type="dxa"/>
            <w:tcBorders>
              <w:top w:val="nil"/>
              <w:bottom w:val="nil"/>
            </w:tcBorders>
            <w:shd w:val="clear" w:color="auto" w:fill="FFFFFF"/>
            <w:vAlign w:val="center"/>
          </w:tcPr>
          <w:p w14:paraId="6180024F" w14:textId="18DCEC07" w:rsidR="00315AC0" w:rsidRPr="00314E4F" w:rsidRDefault="00315AC0" w:rsidP="00E32C4F">
            <w:pPr>
              <w:ind w:right="-1"/>
              <w:jc w:val="center"/>
              <w:rPr>
                <w:rFonts w:cs="Arial"/>
                <w:color w:val="000000" w:themeColor="text1"/>
                <w:szCs w:val="18"/>
              </w:rPr>
            </w:pPr>
            <w:r w:rsidRPr="00314E4F">
              <w:rPr>
                <w:rFonts w:cs="Arial"/>
                <w:color w:val="000000"/>
                <w:szCs w:val="18"/>
              </w:rPr>
              <w:t>6000</w:t>
            </w:r>
          </w:p>
        </w:tc>
        <w:tc>
          <w:tcPr>
            <w:tcW w:w="566" w:type="dxa"/>
            <w:tcBorders>
              <w:top w:val="nil"/>
              <w:bottom w:val="nil"/>
            </w:tcBorders>
            <w:shd w:val="clear" w:color="auto" w:fill="FFFFFF"/>
            <w:vAlign w:val="center"/>
          </w:tcPr>
          <w:p w14:paraId="06E58C8F" w14:textId="6E577F77" w:rsidR="00315AC0" w:rsidRPr="00314E4F" w:rsidRDefault="00315AC0" w:rsidP="00E32C4F">
            <w:pPr>
              <w:ind w:right="-1"/>
              <w:jc w:val="center"/>
              <w:rPr>
                <w:rFonts w:cs="Arial"/>
                <w:color w:val="000000" w:themeColor="text1"/>
                <w:szCs w:val="18"/>
              </w:rPr>
            </w:pPr>
            <w:r w:rsidRPr="00314E4F">
              <w:rPr>
                <w:rFonts w:cs="Arial"/>
                <w:color w:val="000000"/>
                <w:szCs w:val="18"/>
              </w:rPr>
              <w:t>EUR/t</w:t>
            </w:r>
          </w:p>
        </w:tc>
        <w:tc>
          <w:tcPr>
            <w:tcW w:w="1127" w:type="dxa"/>
            <w:tcBorders>
              <w:top w:val="nil"/>
              <w:bottom w:val="nil"/>
            </w:tcBorders>
            <w:shd w:val="clear" w:color="auto" w:fill="FFFFFF"/>
            <w:vAlign w:val="center"/>
          </w:tcPr>
          <w:p w14:paraId="2F4E0718" w14:textId="2DC1D78A" w:rsidR="00315AC0" w:rsidRPr="00314E4F" w:rsidRDefault="00315AC0" w:rsidP="00E32C4F">
            <w:pPr>
              <w:ind w:right="-1"/>
              <w:jc w:val="center"/>
              <w:rPr>
                <w:rFonts w:cs="Arial"/>
                <w:color w:val="000000" w:themeColor="text1"/>
                <w:szCs w:val="18"/>
              </w:rPr>
            </w:pPr>
            <w:r w:rsidRPr="00314E4F">
              <w:rPr>
                <w:rFonts w:cs="Arial"/>
                <w:color w:val="000000"/>
                <w:szCs w:val="18"/>
              </w:rPr>
              <w:t>960 000</w:t>
            </w:r>
          </w:p>
        </w:tc>
        <w:tc>
          <w:tcPr>
            <w:tcW w:w="1127" w:type="dxa"/>
            <w:tcBorders>
              <w:top w:val="nil"/>
              <w:bottom w:val="nil"/>
            </w:tcBorders>
            <w:shd w:val="clear" w:color="auto" w:fill="FFFFFF"/>
            <w:vAlign w:val="center"/>
          </w:tcPr>
          <w:p w14:paraId="5F72DF96" w14:textId="0076A4C6" w:rsidR="00315AC0" w:rsidRPr="00314E4F" w:rsidRDefault="00315AC0" w:rsidP="00E32C4F">
            <w:pPr>
              <w:ind w:right="-1"/>
              <w:jc w:val="center"/>
              <w:rPr>
                <w:rFonts w:cs="Arial"/>
                <w:color w:val="000000" w:themeColor="text1"/>
                <w:szCs w:val="18"/>
              </w:rPr>
            </w:pPr>
            <w:r w:rsidRPr="00314E4F">
              <w:rPr>
                <w:rFonts w:cs="Arial"/>
                <w:color w:val="000000"/>
                <w:szCs w:val="18"/>
              </w:rPr>
              <w:t>4 800 000</w:t>
            </w:r>
          </w:p>
        </w:tc>
        <w:tc>
          <w:tcPr>
            <w:tcW w:w="1408" w:type="dxa"/>
            <w:tcBorders>
              <w:top w:val="nil"/>
              <w:bottom w:val="nil"/>
            </w:tcBorders>
            <w:shd w:val="clear" w:color="auto" w:fill="FFFFFF"/>
            <w:vAlign w:val="center"/>
          </w:tcPr>
          <w:p w14:paraId="54F85C5A" w14:textId="629BF906" w:rsidR="00315AC0" w:rsidRPr="00314E4F" w:rsidRDefault="00315AC0" w:rsidP="00E32C4F">
            <w:pPr>
              <w:ind w:right="-1"/>
              <w:jc w:val="center"/>
              <w:rPr>
                <w:rFonts w:cs="Arial"/>
                <w:color w:val="000000" w:themeColor="text1"/>
                <w:szCs w:val="18"/>
              </w:rPr>
            </w:pPr>
            <w:r w:rsidRPr="00314E4F">
              <w:rPr>
                <w:rFonts w:cs="Arial"/>
                <w:color w:val="000000"/>
                <w:szCs w:val="18"/>
              </w:rPr>
              <w:t>9 600 000</w:t>
            </w:r>
          </w:p>
        </w:tc>
      </w:tr>
      <w:tr w:rsidR="00315AC0" w:rsidRPr="00314E4F" w14:paraId="7D12BC29" w14:textId="77777777" w:rsidTr="00314E4F">
        <w:trPr>
          <w:trHeight w:val="237"/>
          <w:jc w:val="center"/>
        </w:trPr>
        <w:tc>
          <w:tcPr>
            <w:tcW w:w="2532" w:type="dxa"/>
            <w:tcBorders>
              <w:top w:val="nil"/>
              <w:bottom w:val="single" w:sz="4" w:space="0" w:color="006C31"/>
            </w:tcBorders>
            <w:shd w:val="clear" w:color="auto" w:fill="FFFFFF"/>
            <w:vAlign w:val="center"/>
          </w:tcPr>
          <w:p w14:paraId="4C8D8751" w14:textId="563382CB" w:rsidR="00315AC0" w:rsidRPr="00314E4F" w:rsidRDefault="00315AC0" w:rsidP="00E32C4F">
            <w:pPr>
              <w:rPr>
                <w:rFonts w:cs="Arial"/>
                <w:b/>
                <w:color w:val="000000" w:themeColor="text1"/>
                <w:szCs w:val="18"/>
              </w:rPr>
            </w:pPr>
            <w:r w:rsidRPr="00314E4F">
              <w:rPr>
                <w:rFonts w:cs="Arial"/>
                <w:b/>
                <w:color w:val="000000"/>
                <w:szCs w:val="18"/>
              </w:rPr>
              <w:t>Metals</w:t>
            </w:r>
          </w:p>
        </w:tc>
        <w:tc>
          <w:tcPr>
            <w:tcW w:w="855" w:type="dxa"/>
            <w:tcBorders>
              <w:top w:val="nil"/>
              <w:bottom w:val="single" w:sz="4" w:space="0" w:color="006C31"/>
            </w:tcBorders>
            <w:shd w:val="clear" w:color="auto" w:fill="FFFFFF"/>
            <w:vAlign w:val="center"/>
          </w:tcPr>
          <w:p w14:paraId="6C8D0BB6" w14:textId="112D880E" w:rsidR="00315AC0" w:rsidRPr="00314E4F" w:rsidRDefault="00315AC0" w:rsidP="00E32C4F">
            <w:pPr>
              <w:ind w:right="-1"/>
              <w:jc w:val="center"/>
              <w:rPr>
                <w:rFonts w:cs="Arial"/>
                <w:color w:val="000000" w:themeColor="text1"/>
                <w:szCs w:val="18"/>
              </w:rPr>
            </w:pPr>
            <w:r w:rsidRPr="00314E4F">
              <w:rPr>
                <w:rFonts w:cs="Arial"/>
                <w:color w:val="000000"/>
                <w:szCs w:val="18"/>
              </w:rPr>
              <w:t>4500</w:t>
            </w:r>
          </w:p>
        </w:tc>
        <w:tc>
          <w:tcPr>
            <w:tcW w:w="566" w:type="dxa"/>
            <w:tcBorders>
              <w:top w:val="nil"/>
              <w:bottom w:val="single" w:sz="4" w:space="0" w:color="006C31"/>
            </w:tcBorders>
            <w:shd w:val="clear" w:color="auto" w:fill="FFFFFF"/>
            <w:vAlign w:val="center"/>
          </w:tcPr>
          <w:p w14:paraId="7A07246C" w14:textId="1AC9408E" w:rsidR="00315AC0" w:rsidRPr="00314E4F" w:rsidRDefault="00315AC0" w:rsidP="00E32C4F">
            <w:pPr>
              <w:ind w:right="-1"/>
              <w:jc w:val="center"/>
              <w:rPr>
                <w:rFonts w:cs="Arial"/>
                <w:color w:val="000000" w:themeColor="text1"/>
                <w:szCs w:val="18"/>
              </w:rPr>
            </w:pPr>
            <w:r w:rsidRPr="00314E4F">
              <w:rPr>
                <w:rFonts w:cs="Arial"/>
                <w:color w:val="000000"/>
                <w:szCs w:val="18"/>
              </w:rPr>
              <w:t>EUR/t</w:t>
            </w:r>
          </w:p>
        </w:tc>
        <w:tc>
          <w:tcPr>
            <w:tcW w:w="1127" w:type="dxa"/>
            <w:tcBorders>
              <w:top w:val="nil"/>
              <w:bottom w:val="single" w:sz="4" w:space="0" w:color="006C31"/>
            </w:tcBorders>
            <w:shd w:val="clear" w:color="auto" w:fill="FFFFFF"/>
            <w:vAlign w:val="center"/>
          </w:tcPr>
          <w:p w14:paraId="7F0D453B" w14:textId="35BE354B" w:rsidR="00315AC0" w:rsidRPr="00314E4F" w:rsidRDefault="00315AC0" w:rsidP="00E32C4F">
            <w:pPr>
              <w:ind w:right="-1"/>
              <w:jc w:val="center"/>
              <w:rPr>
                <w:rFonts w:cs="Arial"/>
                <w:color w:val="000000" w:themeColor="text1"/>
                <w:szCs w:val="18"/>
              </w:rPr>
            </w:pPr>
            <w:r w:rsidRPr="00314E4F">
              <w:rPr>
                <w:rFonts w:cs="Arial"/>
                <w:color w:val="000000"/>
                <w:szCs w:val="18"/>
              </w:rPr>
              <w:t>22 500 000</w:t>
            </w:r>
          </w:p>
        </w:tc>
        <w:tc>
          <w:tcPr>
            <w:tcW w:w="1127" w:type="dxa"/>
            <w:tcBorders>
              <w:top w:val="nil"/>
              <w:bottom w:val="single" w:sz="4" w:space="0" w:color="006C31"/>
            </w:tcBorders>
            <w:shd w:val="clear" w:color="auto" w:fill="FFFFFF"/>
            <w:vAlign w:val="center"/>
          </w:tcPr>
          <w:p w14:paraId="3B25EE55" w14:textId="5D0F5071" w:rsidR="00315AC0" w:rsidRPr="00314E4F" w:rsidRDefault="00315AC0" w:rsidP="00E32C4F">
            <w:pPr>
              <w:ind w:right="-1"/>
              <w:jc w:val="center"/>
              <w:rPr>
                <w:rFonts w:cs="Arial"/>
                <w:color w:val="000000" w:themeColor="text1"/>
                <w:szCs w:val="18"/>
              </w:rPr>
            </w:pPr>
            <w:r w:rsidRPr="00314E4F">
              <w:rPr>
                <w:rFonts w:cs="Arial"/>
                <w:color w:val="000000"/>
                <w:szCs w:val="18"/>
              </w:rPr>
              <w:t>112 500 000</w:t>
            </w:r>
          </w:p>
        </w:tc>
        <w:tc>
          <w:tcPr>
            <w:tcW w:w="1408" w:type="dxa"/>
            <w:tcBorders>
              <w:top w:val="nil"/>
              <w:bottom w:val="single" w:sz="4" w:space="0" w:color="006C31"/>
            </w:tcBorders>
            <w:shd w:val="clear" w:color="auto" w:fill="FFFFFF"/>
            <w:vAlign w:val="center"/>
          </w:tcPr>
          <w:p w14:paraId="3934FD22" w14:textId="2F8DE2DB" w:rsidR="00315AC0" w:rsidRPr="00314E4F" w:rsidRDefault="00315AC0" w:rsidP="00E32C4F">
            <w:pPr>
              <w:ind w:right="-1"/>
              <w:jc w:val="center"/>
              <w:rPr>
                <w:rFonts w:cs="Arial"/>
                <w:color w:val="000000" w:themeColor="text1"/>
                <w:szCs w:val="18"/>
              </w:rPr>
            </w:pPr>
            <w:r w:rsidRPr="00314E4F">
              <w:rPr>
                <w:rFonts w:cs="Arial"/>
                <w:color w:val="000000"/>
                <w:szCs w:val="18"/>
              </w:rPr>
              <w:t>225 000 000</w:t>
            </w:r>
          </w:p>
        </w:tc>
      </w:tr>
      <w:tr w:rsidR="00315AC0" w:rsidRPr="00314E4F" w14:paraId="3B214236" w14:textId="77777777" w:rsidTr="00314E4F">
        <w:trPr>
          <w:trHeight w:val="237"/>
          <w:jc w:val="center"/>
        </w:trPr>
        <w:tc>
          <w:tcPr>
            <w:tcW w:w="2532" w:type="dxa"/>
            <w:tcBorders>
              <w:top w:val="single" w:sz="4" w:space="0" w:color="006C31"/>
              <w:bottom w:val="nil"/>
            </w:tcBorders>
            <w:shd w:val="clear" w:color="auto" w:fill="FFFFFF"/>
            <w:vAlign w:val="center"/>
          </w:tcPr>
          <w:p w14:paraId="1B288882" w14:textId="4C2824C7" w:rsidR="00315AC0" w:rsidRPr="00314E4F" w:rsidRDefault="00315AC0" w:rsidP="00E32C4F">
            <w:pPr>
              <w:rPr>
                <w:rFonts w:cs="Arial"/>
                <w:b/>
                <w:color w:val="000000" w:themeColor="text1"/>
                <w:szCs w:val="18"/>
              </w:rPr>
            </w:pPr>
            <w:r w:rsidRPr="00314E4F">
              <w:rPr>
                <w:rFonts w:cs="Arial"/>
                <w:b/>
                <w:color w:val="000000"/>
                <w:szCs w:val="18"/>
              </w:rPr>
              <w:t>Balance (hydrogen (</w:t>
            </w:r>
            <w:r w:rsidR="00314E4F" w:rsidRPr="00314E4F">
              <w:rPr>
                <w:rFonts w:cs="Arial"/>
                <w:b/>
                <w:color w:val="000000"/>
                <w:szCs w:val="18"/>
              </w:rPr>
              <w:t>grey</w:t>
            </w:r>
            <w:r w:rsidRPr="00314E4F">
              <w:rPr>
                <w:rFonts w:cs="Arial"/>
                <w:b/>
                <w:color w:val="000000"/>
                <w:szCs w:val="18"/>
              </w:rPr>
              <w:t>))</w:t>
            </w:r>
          </w:p>
        </w:tc>
        <w:tc>
          <w:tcPr>
            <w:tcW w:w="855" w:type="dxa"/>
            <w:tcBorders>
              <w:top w:val="single" w:sz="4" w:space="0" w:color="006C31"/>
              <w:bottom w:val="nil"/>
            </w:tcBorders>
            <w:shd w:val="clear" w:color="auto" w:fill="FFFFFF"/>
            <w:vAlign w:val="center"/>
          </w:tcPr>
          <w:p w14:paraId="5958E1A3" w14:textId="77777777" w:rsidR="00315AC0" w:rsidRPr="00314E4F" w:rsidRDefault="00315AC0" w:rsidP="00E32C4F">
            <w:pPr>
              <w:ind w:right="-1"/>
              <w:jc w:val="center"/>
              <w:rPr>
                <w:rFonts w:cs="Arial"/>
                <w:color w:val="000000" w:themeColor="text1"/>
                <w:szCs w:val="18"/>
              </w:rPr>
            </w:pPr>
          </w:p>
        </w:tc>
        <w:tc>
          <w:tcPr>
            <w:tcW w:w="566" w:type="dxa"/>
            <w:tcBorders>
              <w:top w:val="single" w:sz="4" w:space="0" w:color="006C31"/>
              <w:bottom w:val="nil"/>
            </w:tcBorders>
            <w:shd w:val="clear" w:color="auto" w:fill="FFFFFF"/>
            <w:vAlign w:val="center"/>
          </w:tcPr>
          <w:p w14:paraId="321C9A75" w14:textId="3FF6432C" w:rsidR="00315AC0" w:rsidRPr="00314E4F" w:rsidRDefault="00315AC0" w:rsidP="00E32C4F">
            <w:pPr>
              <w:ind w:right="-1"/>
              <w:jc w:val="center"/>
              <w:rPr>
                <w:rFonts w:cs="Arial"/>
                <w:color w:val="000000" w:themeColor="text1"/>
                <w:szCs w:val="18"/>
              </w:rPr>
            </w:pPr>
            <w:r w:rsidRPr="00314E4F">
              <w:rPr>
                <w:rFonts w:cs="Arial"/>
                <w:color w:val="000000"/>
                <w:szCs w:val="18"/>
              </w:rPr>
              <w:t>EUR</w:t>
            </w:r>
          </w:p>
        </w:tc>
        <w:tc>
          <w:tcPr>
            <w:tcW w:w="1127" w:type="dxa"/>
            <w:tcBorders>
              <w:top w:val="single" w:sz="4" w:space="0" w:color="006C31"/>
              <w:bottom w:val="nil"/>
            </w:tcBorders>
            <w:shd w:val="clear" w:color="auto" w:fill="FFFFFF"/>
            <w:vAlign w:val="center"/>
          </w:tcPr>
          <w:p w14:paraId="1B199EBA" w14:textId="657BC0BB" w:rsidR="00315AC0" w:rsidRPr="00314E4F" w:rsidRDefault="00315AC0" w:rsidP="00E32C4F">
            <w:pPr>
              <w:ind w:right="-1"/>
              <w:jc w:val="center"/>
              <w:rPr>
                <w:rFonts w:cs="Arial"/>
                <w:color w:val="000000" w:themeColor="text1"/>
                <w:szCs w:val="18"/>
              </w:rPr>
            </w:pPr>
            <w:r w:rsidRPr="00314E4F">
              <w:rPr>
                <w:rFonts w:cs="Arial"/>
                <w:color w:val="000000"/>
                <w:szCs w:val="18"/>
              </w:rPr>
              <w:t>-90 000</w:t>
            </w:r>
          </w:p>
        </w:tc>
        <w:tc>
          <w:tcPr>
            <w:tcW w:w="1127" w:type="dxa"/>
            <w:tcBorders>
              <w:top w:val="single" w:sz="4" w:space="0" w:color="006C31"/>
              <w:bottom w:val="nil"/>
            </w:tcBorders>
            <w:shd w:val="clear" w:color="auto" w:fill="FFFFFF"/>
            <w:vAlign w:val="center"/>
          </w:tcPr>
          <w:p w14:paraId="30DAED1F" w14:textId="579DA64A" w:rsidR="00315AC0" w:rsidRPr="00314E4F" w:rsidRDefault="00315AC0" w:rsidP="00E32C4F">
            <w:pPr>
              <w:ind w:right="-1"/>
              <w:jc w:val="center"/>
              <w:rPr>
                <w:rFonts w:cs="Arial"/>
                <w:color w:val="000000" w:themeColor="text1"/>
                <w:szCs w:val="18"/>
              </w:rPr>
            </w:pPr>
            <w:r w:rsidRPr="00314E4F">
              <w:rPr>
                <w:rFonts w:cs="Arial"/>
                <w:color w:val="000000"/>
                <w:szCs w:val="18"/>
              </w:rPr>
              <w:t>-450 000</w:t>
            </w:r>
          </w:p>
        </w:tc>
        <w:tc>
          <w:tcPr>
            <w:tcW w:w="1408" w:type="dxa"/>
            <w:tcBorders>
              <w:top w:val="single" w:sz="4" w:space="0" w:color="006C31"/>
              <w:bottom w:val="nil"/>
            </w:tcBorders>
            <w:shd w:val="clear" w:color="auto" w:fill="FFFFFF"/>
            <w:vAlign w:val="center"/>
          </w:tcPr>
          <w:p w14:paraId="7D09919B" w14:textId="56015559" w:rsidR="00315AC0" w:rsidRPr="00314E4F" w:rsidRDefault="00315AC0" w:rsidP="00E32C4F">
            <w:pPr>
              <w:ind w:right="-1"/>
              <w:jc w:val="center"/>
              <w:rPr>
                <w:rFonts w:cs="Arial"/>
                <w:color w:val="000000" w:themeColor="text1"/>
                <w:szCs w:val="18"/>
              </w:rPr>
            </w:pPr>
            <w:r w:rsidRPr="00314E4F">
              <w:rPr>
                <w:rFonts w:cs="Arial"/>
                <w:color w:val="000000"/>
                <w:szCs w:val="18"/>
              </w:rPr>
              <w:t>-900 000</w:t>
            </w:r>
          </w:p>
        </w:tc>
      </w:tr>
      <w:tr w:rsidR="00315AC0" w:rsidRPr="00314E4F" w14:paraId="65039C8A" w14:textId="77777777" w:rsidTr="00314E4F">
        <w:trPr>
          <w:trHeight w:val="237"/>
          <w:jc w:val="center"/>
        </w:trPr>
        <w:tc>
          <w:tcPr>
            <w:tcW w:w="2532" w:type="dxa"/>
            <w:tcBorders>
              <w:top w:val="nil"/>
              <w:bottom w:val="single" w:sz="12" w:space="0" w:color="006C31"/>
            </w:tcBorders>
            <w:shd w:val="clear" w:color="auto" w:fill="FFFFFF"/>
            <w:vAlign w:val="center"/>
          </w:tcPr>
          <w:p w14:paraId="05F5EE4F" w14:textId="48354C1C" w:rsidR="00315AC0" w:rsidRPr="00314E4F" w:rsidRDefault="00315AC0" w:rsidP="00E32C4F">
            <w:pPr>
              <w:ind w:right="-1"/>
              <w:rPr>
                <w:rFonts w:cs="Arial"/>
                <w:b/>
                <w:color w:val="000000" w:themeColor="text1"/>
                <w:szCs w:val="18"/>
              </w:rPr>
            </w:pPr>
            <w:r w:rsidRPr="00314E4F">
              <w:rPr>
                <w:rFonts w:cs="Arial"/>
                <w:b/>
                <w:color w:val="000000"/>
                <w:szCs w:val="18"/>
              </w:rPr>
              <w:t>Balance (hydrogen (green))</w:t>
            </w:r>
          </w:p>
        </w:tc>
        <w:tc>
          <w:tcPr>
            <w:tcW w:w="855" w:type="dxa"/>
            <w:tcBorders>
              <w:top w:val="nil"/>
              <w:bottom w:val="single" w:sz="12" w:space="0" w:color="006C31"/>
            </w:tcBorders>
            <w:shd w:val="clear" w:color="auto" w:fill="FFFFFF"/>
            <w:vAlign w:val="center"/>
          </w:tcPr>
          <w:p w14:paraId="25AD0BE1" w14:textId="77777777" w:rsidR="00315AC0" w:rsidRPr="00314E4F" w:rsidRDefault="00315AC0" w:rsidP="00E32C4F">
            <w:pPr>
              <w:ind w:right="-1"/>
              <w:jc w:val="center"/>
              <w:rPr>
                <w:rFonts w:cs="Arial"/>
                <w:color w:val="000000" w:themeColor="text1"/>
                <w:szCs w:val="18"/>
              </w:rPr>
            </w:pPr>
          </w:p>
        </w:tc>
        <w:tc>
          <w:tcPr>
            <w:tcW w:w="566" w:type="dxa"/>
            <w:tcBorders>
              <w:top w:val="nil"/>
              <w:bottom w:val="single" w:sz="12" w:space="0" w:color="006C31"/>
            </w:tcBorders>
            <w:shd w:val="clear" w:color="auto" w:fill="FFFFFF"/>
            <w:vAlign w:val="center"/>
          </w:tcPr>
          <w:p w14:paraId="5105061A" w14:textId="3FB59A73" w:rsidR="00315AC0" w:rsidRPr="00314E4F" w:rsidRDefault="00315AC0" w:rsidP="00E32C4F">
            <w:pPr>
              <w:ind w:right="-1"/>
              <w:jc w:val="center"/>
              <w:rPr>
                <w:rFonts w:cs="Arial"/>
                <w:color w:val="000000" w:themeColor="text1"/>
                <w:szCs w:val="18"/>
              </w:rPr>
            </w:pPr>
            <w:r w:rsidRPr="00314E4F">
              <w:rPr>
                <w:rFonts w:cs="Arial"/>
                <w:color w:val="000000"/>
                <w:szCs w:val="18"/>
              </w:rPr>
              <w:t>EUR</w:t>
            </w:r>
          </w:p>
        </w:tc>
        <w:tc>
          <w:tcPr>
            <w:tcW w:w="1127" w:type="dxa"/>
            <w:tcBorders>
              <w:top w:val="nil"/>
              <w:bottom w:val="single" w:sz="12" w:space="0" w:color="006C31"/>
            </w:tcBorders>
            <w:shd w:val="clear" w:color="auto" w:fill="FFFFFF"/>
            <w:vAlign w:val="center"/>
          </w:tcPr>
          <w:p w14:paraId="15CAC036" w14:textId="34F3042C" w:rsidR="00315AC0" w:rsidRPr="00314E4F" w:rsidRDefault="00315AC0" w:rsidP="00E32C4F">
            <w:pPr>
              <w:ind w:right="-1"/>
              <w:jc w:val="center"/>
              <w:rPr>
                <w:rFonts w:cs="Arial"/>
                <w:color w:val="000000" w:themeColor="text1"/>
                <w:szCs w:val="18"/>
              </w:rPr>
            </w:pPr>
            <w:r w:rsidRPr="00314E4F">
              <w:rPr>
                <w:rFonts w:cs="Arial"/>
                <w:color w:val="000000"/>
                <w:szCs w:val="18"/>
              </w:rPr>
              <w:t>550 000</w:t>
            </w:r>
          </w:p>
        </w:tc>
        <w:tc>
          <w:tcPr>
            <w:tcW w:w="1127" w:type="dxa"/>
            <w:tcBorders>
              <w:top w:val="nil"/>
              <w:bottom w:val="single" w:sz="12" w:space="0" w:color="006C31"/>
            </w:tcBorders>
            <w:shd w:val="clear" w:color="auto" w:fill="FFFFFF"/>
            <w:vAlign w:val="center"/>
          </w:tcPr>
          <w:p w14:paraId="580EFB88" w14:textId="69F3D004" w:rsidR="00315AC0" w:rsidRPr="00314E4F" w:rsidRDefault="00315AC0" w:rsidP="00E32C4F">
            <w:pPr>
              <w:ind w:right="-1"/>
              <w:jc w:val="center"/>
              <w:rPr>
                <w:rFonts w:cs="Arial"/>
                <w:color w:val="000000" w:themeColor="text1"/>
                <w:szCs w:val="18"/>
              </w:rPr>
            </w:pPr>
            <w:r w:rsidRPr="00314E4F">
              <w:rPr>
                <w:rFonts w:cs="Arial"/>
                <w:color w:val="000000"/>
                <w:szCs w:val="18"/>
              </w:rPr>
              <w:t>2 750 000</w:t>
            </w:r>
          </w:p>
        </w:tc>
        <w:tc>
          <w:tcPr>
            <w:tcW w:w="1408" w:type="dxa"/>
            <w:tcBorders>
              <w:top w:val="nil"/>
              <w:bottom w:val="single" w:sz="12" w:space="0" w:color="006C31"/>
            </w:tcBorders>
            <w:shd w:val="clear" w:color="auto" w:fill="FFFFFF"/>
            <w:vAlign w:val="center"/>
          </w:tcPr>
          <w:p w14:paraId="667E8495" w14:textId="498026F5" w:rsidR="00315AC0" w:rsidRPr="00314E4F" w:rsidRDefault="00315AC0" w:rsidP="00E32C4F">
            <w:pPr>
              <w:ind w:right="-1"/>
              <w:jc w:val="center"/>
              <w:rPr>
                <w:rFonts w:cs="Arial"/>
                <w:color w:val="000000" w:themeColor="text1"/>
                <w:szCs w:val="18"/>
              </w:rPr>
            </w:pPr>
            <w:r w:rsidRPr="00314E4F">
              <w:rPr>
                <w:rFonts w:cs="Arial"/>
                <w:color w:val="000000"/>
                <w:szCs w:val="18"/>
              </w:rPr>
              <w:t>5 500 000</w:t>
            </w:r>
          </w:p>
        </w:tc>
      </w:tr>
    </w:tbl>
    <w:p w14:paraId="10C9E704" w14:textId="45A29078" w:rsidR="00315AC0" w:rsidRPr="00314E4F" w:rsidRDefault="00315AC0" w:rsidP="00673C9F">
      <w:pPr>
        <w:pStyle w:val="CETBodytext"/>
        <w:rPr>
          <w:lang w:val="en-GB"/>
        </w:rPr>
      </w:pPr>
    </w:p>
    <w:p w14:paraId="088D14F4" w14:textId="43D785F0" w:rsidR="00FA268A" w:rsidRPr="00314E4F" w:rsidRDefault="00FA268A" w:rsidP="00673C9F">
      <w:pPr>
        <w:pStyle w:val="CETBodytext"/>
        <w:rPr>
          <w:lang w:val="en-GB"/>
        </w:rPr>
      </w:pPr>
      <w:r w:rsidRPr="00314E4F">
        <w:rPr>
          <w:lang w:val="en-GB"/>
        </w:rPr>
        <w:t xml:space="preserve">Three different capacities of spent Li-ion battery recycling plant was calculated (10,000, 50,000 and 100,000t/y). The cost of dismantling and separation </w:t>
      </w:r>
      <w:r w:rsidR="006019D4" w:rsidRPr="00314E4F">
        <w:rPr>
          <w:lang w:val="en-GB"/>
        </w:rPr>
        <w:t>is</w:t>
      </w:r>
      <w:r w:rsidRPr="00314E4F">
        <w:rPr>
          <w:lang w:val="en-GB"/>
        </w:rPr>
        <w:t xml:space="preserve"> ~600EUR/t in case of manual and ~17EUR/t in case of automated operation. The amount of electrodes containing difference metals is 30-60% of the battery, therefore, the cost of pyrometallurgy process is ~900EUR/t battery. Regarding the gasification</w:t>
      </w:r>
      <w:r w:rsidR="006019D4" w:rsidRPr="00314E4F">
        <w:rPr>
          <w:lang w:val="en-GB"/>
        </w:rPr>
        <w:t>,</w:t>
      </w:r>
      <w:r w:rsidRPr="00314E4F">
        <w:rPr>
          <w:lang w:val="en-GB"/>
        </w:rPr>
        <w:t xml:space="preserve"> </w:t>
      </w:r>
      <w:r w:rsidR="006019D4" w:rsidRPr="00314E4F">
        <w:rPr>
          <w:lang w:val="en-GB"/>
        </w:rPr>
        <w:t xml:space="preserve">8% of </w:t>
      </w:r>
      <w:r w:rsidRPr="00314E4F">
        <w:rPr>
          <w:lang w:val="en-GB"/>
        </w:rPr>
        <w:t>separator content of batter</w:t>
      </w:r>
      <w:r w:rsidR="006019D4" w:rsidRPr="00314E4F">
        <w:rPr>
          <w:lang w:val="en-GB"/>
        </w:rPr>
        <w:t>y,</w:t>
      </w:r>
      <w:r w:rsidRPr="00314E4F">
        <w:rPr>
          <w:lang w:val="en-GB"/>
        </w:rPr>
        <w:t xml:space="preserve"> while 20% of hydrogen yield was used for the calculation. Based on the data in the table, excluding the cost of the pyrometallurgical method and the income from the metals produced by its application, in this case, only the selling price of hydrogen </w:t>
      </w:r>
      <w:r w:rsidR="006019D4" w:rsidRPr="00314E4F">
        <w:rPr>
          <w:lang w:val="en-GB"/>
        </w:rPr>
        <w:t>was</w:t>
      </w:r>
      <w:r w:rsidRPr="00314E4F">
        <w:rPr>
          <w:lang w:val="en-GB"/>
        </w:rPr>
        <w:t xml:space="preserve"> calculated, </w:t>
      </w:r>
      <w:r w:rsidR="006019D4" w:rsidRPr="00314E4F">
        <w:rPr>
          <w:lang w:val="en-GB"/>
        </w:rPr>
        <w:t xml:space="preserve">and </w:t>
      </w:r>
      <w:r w:rsidRPr="00314E4F">
        <w:rPr>
          <w:lang w:val="en-GB"/>
        </w:rPr>
        <w:t xml:space="preserve">the </w:t>
      </w:r>
      <w:r w:rsidR="00700C5D" w:rsidRPr="00700C5D">
        <w:rPr>
          <w:highlight w:val="yellow"/>
          <w:lang w:val="en-GB"/>
        </w:rPr>
        <w:t>balance</w:t>
      </w:r>
      <w:r w:rsidRPr="00314E4F">
        <w:rPr>
          <w:lang w:val="en-GB"/>
        </w:rPr>
        <w:t xml:space="preserve"> </w:t>
      </w:r>
      <w:r w:rsidR="006019D4" w:rsidRPr="00314E4F">
        <w:rPr>
          <w:lang w:val="en-GB"/>
        </w:rPr>
        <w:t>wa</w:t>
      </w:r>
      <w:r w:rsidRPr="00314E4F">
        <w:rPr>
          <w:lang w:val="en-GB"/>
        </w:rPr>
        <w:t>s positive in the case of green hydrogen</w:t>
      </w:r>
      <w:r w:rsidR="006019D4" w:rsidRPr="00314E4F">
        <w:rPr>
          <w:lang w:val="en-GB"/>
        </w:rPr>
        <w:t xml:space="preserve"> price</w:t>
      </w:r>
      <w:r w:rsidRPr="00314E4F">
        <w:rPr>
          <w:lang w:val="en-GB"/>
        </w:rPr>
        <w:t xml:space="preserve">. The price of </w:t>
      </w:r>
      <w:r w:rsidR="00314E4F" w:rsidRPr="00314E4F">
        <w:rPr>
          <w:lang w:val="en-GB"/>
        </w:rPr>
        <w:t>grey</w:t>
      </w:r>
      <w:r w:rsidRPr="00314E4F">
        <w:rPr>
          <w:lang w:val="en-GB"/>
        </w:rPr>
        <w:t xml:space="preserve"> hydrogen is almost a third of the price of green hydrogen, but in this case additional costs must be paid due to CO</w:t>
      </w:r>
      <w:r w:rsidRPr="00314E4F">
        <w:rPr>
          <w:vertAlign w:val="subscript"/>
          <w:lang w:val="en-GB"/>
        </w:rPr>
        <w:t>2</w:t>
      </w:r>
      <w:r w:rsidRPr="00314E4F">
        <w:rPr>
          <w:lang w:val="en-GB"/>
        </w:rPr>
        <w:t xml:space="preserve"> quotas. In case of hydrogen </w:t>
      </w:r>
      <w:r w:rsidR="006019D4" w:rsidRPr="00314E4F">
        <w:rPr>
          <w:lang w:val="en-GB"/>
        </w:rPr>
        <w:t>obtained</w:t>
      </w:r>
      <w:r w:rsidRPr="00314E4F">
        <w:rPr>
          <w:lang w:val="en-GB"/>
        </w:rPr>
        <w:t xml:space="preserve"> from spent Li-ion batteries, there are much more </w:t>
      </w:r>
      <w:r w:rsidR="00314E4F" w:rsidRPr="00314E4F">
        <w:rPr>
          <w:lang w:val="en-GB"/>
        </w:rPr>
        <w:t>favourable</w:t>
      </w:r>
      <w:r w:rsidRPr="00314E4F">
        <w:rPr>
          <w:lang w:val="en-GB"/>
        </w:rPr>
        <w:t xml:space="preserve"> quota regulations because it uses waste as a raw material.</w:t>
      </w:r>
    </w:p>
    <w:p w14:paraId="2F6D0DFF" w14:textId="77777777" w:rsidR="00391293" w:rsidRPr="00314E4F" w:rsidRDefault="00391293" w:rsidP="00391293">
      <w:pPr>
        <w:pStyle w:val="CETHeading1"/>
        <w:rPr>
          <w:color w:val="000000" w:themeColor="text1"/>
          <w:lang w:val="en-GB"/>
        </w:rPr>
      </w:pPr>
      <w:r w:rsidRPr="00314E4F">
        <w:rPr>
          <w:color w:val="000000" w:themeColor="text1"/>
          <w:lang w:val="en-GB"/>
        </w:rPr>
        <w:t>Conclusions</w:t>
      </w:r>
    </w:p>
    <w:p w14:paraId="731F8AD1" w14:textId="5B8B49BE" w:rsidR="00730A8E" w:rsidRPr="00314E4F" w:rsidRDefault="00F42156" w:rsidP="00391293">
      <w:pPr>
        <w:pStyle w:val="CETBodytext"/>
        <w:rPr>
          <w:color w:val="000000" w:themeColor="text1"/>
          <w:lang w:val="en-GB"/>
        </w:rPr>
      </w:pPr>
      <w:r w:rsidRPr="00314E4F">
        <w:rPr>
          <w:color w:val="000000" w:themeColor="text1"/>
          <w:lang w:val="en-GB"/>
        </w:rPr>
        <w:t xml:space="preserve">In this work, the possibility of catalysts production from waste Li-ion batteries and their application in gasification reactions were investigated. Electrodes and separator foil obtained from spent Li-ion batteries were used as raw materials. This solution opens up the possibility of value-added recycling of spent Li-ion batteries, which can also be used to produce hydrogen. It was found, that the used separator foil could be converted into gases with </w:t>
      </w:r>
      <w:r w:rsidRPr="00314E4F">
        <w:rPr>
          <w:color w:val="000000" w:themeColor="text1"/>
          <w:lang w:val="en-GB"/>
        </w:rPr>
        <w:lastRenderedPageBreak/>
        <w:t xml:space="preserve">yields of 88.2-94.2%. The gas product contained significant amounts of hydrogen </w:t>
      </w:r>
      <w:r w:rsidRPr="001917C8">
        <w:rPr>
          <w:color w:val="000000" w:themeColor="text1"/>
          <w:highlight w:val="yellow"/>
          <w:lang w:val="en-GB"/>
        </w:rPr>
        <w:t>(7.8-39.5%)</w:t>
      </w:r>
      <w:r>
        <w:rPr>
          <w:color w:val="000000" w:themeColor="text1"/>
          <w:lang w:val="en-GB"/>
        </w:rPr>
        <w:t xml:space="preserve"> </w:t>
      </w:r>
      <w:r w:rsidRPr="00314E4F">
        <w:rPr>
          <w:color w:val="000000" w:themeColor="text1"/>
          <w:lang w:val="en-GB"/>
        </w:rPr>
        <w:t>and CO</w:t>
      </w:r>
      <w:r>
        <w:rPr>
          <w:color w:val="000000" w:themeColor="text1"/>
          <w:lang w:val="en-GB"/>
        </w:rPr>
        <w:t xml:space="preserve"> </w:t>
      </w:r>
      <w:r w:rsidRPr="001917C8">
        <w:rPr>
          <w:color w:val="000000" w:themeColor="text1"/>
          <w:highlight w:val="yellow"/>
          <w:lang w:val="en-GB"/>
        </w:rPr>
        <w:t>(10.6-27.2%). More hydrogen (23.2-39.5%) was found at 600°C pyrolysis temperature, than that of at 500°C (7.8-21.7%)</w:t>
      </w:r>
      <w:r>
        <w:rPr>
          <w:color w:val="000000" w:themeColor="text1"/>
          <w:lang w:val="en-GB"/>
        </w:rPr>
        <w:t xml:space="preserve">. </w:t>
      </w:r>
      <w:r w:rsidRPr="00314E4F">
        <w:rPr>
          <w:color w:val="000000" w:themeColor="text1"/>
          <w:lang w:val="en-GB"/>
        </w:rPr>
        <w:t xml:space="preserve">The catalytic effect was significantly influenced by the parameters of catalyst production. In case of non-oxidizing atmosphere, catalysts obtained by the pyrometallurgical method, resulted gases with </w:t>
      </w:r>
      <w:r w:rsidRPr="001917C8">
        <w:rPr>
          <w:color w:val="000000" w:themeColor="text1"/>
          <w:highlight w:val="yellow"/>
          <w:lang w:val="en-GB"/>
        </w:rPr>
        <w:t>higher hydrogen content (41-128% increasing)</w:t>
      </w:r>
      <w:r w:rsidRPr="00314E4F">
        <w:rPr>
          <w:color w:val="000000" w:themeColor="text1"/>
          <w:lang w:val="en-GB"/>
        </w:rPr>
        <w:t xml:space="preserve">. In order to investigate the feasibility of the process, </w:t>
      </w:r>
      <w:r w:rsidRPr="001917C8">
        <w:rPr>
          <w:color w:val="000000" w:themeColor="text1"/>
          <w:highlight w:val="yellow"/>
          <w:lang w:val="en-GB"/>
        </w:rPr>
        <w:t>the cost balance was calculated</w:t>
      </w:r>
      <w:r w:rsidRPr="00314E4F">
        <w:rPr>
          <w:color w:val="000000" w:themeColor="text1"/>
          <w:lang w:val="en-GB"/>
        </w:rPr>
        <w:t>, based on which it was concluded that the presented waste management solution has favourable economic characteristics, which can provide new solutions for the value-added recycling of spent Li-ion batteries.</w:t>
      </w:r>
      <w:r w:rsidR="00730A8E" w:rsidRPr="00314E4F">
        <w:rPr>
          <w:color w:val="000000" w:themeColor="text1"/>
          <w:lang w:val="en-GB"/>
        </w:rPr>
        <w:t xml:space="preserve"> </w:t>
      </w:r>
    </w:p>
    <w:p w14:paraId="03B719D3" w14:textId="77777777" w:rsidR="00391293" w:rsidRPr="00314E4F" w:rsidRDefault="00391293" w:rsidP="00314E4F">
      <w:pPr>
        <w:pStyle w:val="CETHeadingxx"/>
        <w:rPr>
          <w:lang w:val="en-GB"/>
        </w:rPr>
      </w:pPr>
      <w:r w:rsidRPr="00314E4F">
        <w:rPr>
          <w:lang w:val="en-GB"/>
        </w:rPr>
        <w:t>Acknowledgments</w:t>
      </w:r>
    </w:p>
    <w:p w14:paraId="22665B4B" w14:textId="0795E6E8" w:rsidR="00391293" w:rsidRPr="00314E4F" w:rsidRDefault="00FB7C1A" w:rsidP="00391293">
      <w:pPr>
        <w:pStyle w:val="CETBodytext"/>
        <w:rPr>
          <w:lang w:val="en-GB"/>
        </w:rPr>
      </w:pPr>
      <w:r w:rsidRPr="00314E4F">
        <w:rPr>
          <w:lang w:val="en-GB"/>
        </w:rPr>
        <w:t>The project No. 2024-1.2.5-TÉT-2024-00025 was financed by the Ministry of Cultural and Innovation from the National Research Development and Innovation Fund, within the 2024-1.2.5-TET program.</w:t>
      </w:r>
    </w:p>
    <w:p w14:paraId="4BC90318" w14:textId="77777777" w:rsidR="00391293" w:rsidRPr="00314E4F" w:rsidRDefault="00391293" w:rsidP="00391293">
      <w:pPr>
        <w:pStyle w:val="CETReference"/>
        <w:rPr>
          <w:color w:val="000000" w:themeColor="text1"/>
        </w:rPr>
      </w:pPr>
      <w:r w:rsidRPr="00314E4F">
        <w:rPr>
          <w:color w:val="000000" w:themeColor="text1"/>
        </w:rPr>
        <w:t>References</w:t>
      </w:r>
    </w:p>
    <w:p w14:paraId="53BF944C" w14:textId="1C9E53A1" w:rsidR="00315AC0" w:rsidRPr="009D5FE7" w:rsidRDefault="00315AC0" w:rsidP="00315AC0">
      <w:pPr>
        <w:pStyle w:val="CETReferencetext"/>
        <w:rPr>
          <w:rFonts w:cs="Arial"/>
          <w:color w:val="000000" w:themeColor="text1"/>
          <w:szCs w:val="18"/>
        </w:rPr>
      </w:pPr>
      <w:r w:rsidRPr="009D5FE7">
        <w:rPr>
          <w:rFonts w:cs="Arial"/>
          <w:color w:val="000000" w:themeColor="text1"/>
          <w:szCs w:val="18"/>
        </w:rPr>
        <w:t xml:space="preserve">Afzal S., Singh A., Nicholson S.R., </w:t>
      </w:r>
      <w:proofErr w:type="spellStart"/>
      <w:r w:rsidRPr="009D5FE7">
        <w:rPr>
          <w:rFonts w:cs="Arial"/>
          <w:color w:val="000000" w:themeColor="text1"/>
          <w:szCs w:val="18"/>
        </w:rPr>
        <w:t>Uekert</w:t>
      </w:r>
      <w:proofErr w:type="spellEnd"/>
      <w:r w:rsidRPr="009D5FE7">
        <w:rPr>
          <w:rFonts w:cs="Arial"/>
          <w:color w:val="000000" w:themeColor="text1"/>
          <w:szCs w:val="18"/>
        </w:rPr>
        <w:t xml:space="preserve"> T., </w:t>
      </w:r>
      <w:proofErr w:type="spellStart"/>
      <w:r w:rsidRPr="009D5FE7">
        <w:rPr>
          <w:rFonts w:cs="Arial"/>
          <w:color w:val="000000" w:themeColor="text1"/>
          <w:szCs w:val="18"/>
        </w:rPr>
        <w:t>DesVeaux</w:t>
      </w:r>
      <w:proofErr w:type="spellEnd"/>
      <w:r w:rsidRPr="009D5FE7">
        <w:rPr>
          <w:rFonts w:cs="Arial"/>
          <w:color w:val="000000" w:themeColor="text1"/>
          <w:szCs w:val="18"/>
        </w:rPr>
        <w:t>, J., Tan E.C.D., Dutta A., Carpenter A.C., Baldwin R.M., Beckham G.T., 2023, Techno-economic analysis and life cycle assessment of mixed plastic waste gasification for production of methanol and hydrogen</w:t>
      </w:r>
      <w:r w:rsidR="009D5FE7" w:rsidRPr="009D5FE7">
        <w:rPr>
          <w:rFonts w:cs="Arial"/>
          <w:color w:val="000000" w:themeColor="text1"/>
          <w:szCs w:val="18"/>
        </w:rPr>
        <w:t>,</w:t>
      </w:r>
      <w:r w:rsidRPr="009D5FE7">
        <w:rPr>
          <w:rFonts w:cs="Arial"/>
          <w:color w:val="000000" w:themeColor="text1"/>
          <w:szCs w:val="18"/>
        </w:rPr>
        <w:t xml:space="preserve"> Green Chemistry 25, 5068-5089.</w:t>
      </w:r>
    </w:p>
    <w:p w14:paraId="47C318AC" w14:textId="3A719F46" w:rsidR="00315AC0" w:rsidRPr="009D5FE7" w:rsidRDefault="00315AC0" w:rsidP="00315AC0">
      <w:pPr>
        <w:pStyle w:val="CETReferencetext"/>
        <w:rPr>
          <w:rFonts w:cs="Arial"/>
          <w:color w:val="000000" w:themeColor="text1"/>
          <w:szCs w:val="18"/>
        </w:rPr>
      </w:pPr>
      <w:r w:rsidRPr="009D5FE7">
        <w:rPr>
          <w:rFonts w:cs="Arial"/>
          <w:color w:val="000000" w:themeColor="text1"/>
          <w:szCs w:val="18"/>
        </w:rPr>
        <w:t xml:space="preserve">Biswal B.K., Zhang B., Tran P.T.M., Zhang J., Balasubramanian R., 2024, </w:t>
      </w:r>
      <w:r w:rsidRPr="009D5FE7">
        <w:rPr>
          <w:rFonts w:cs="Arial"/>
          <w:iCs/>
          <w:color w:val="000000" w:themeColor="text1"/>
          <w:szCs w:val="18"/>
        </w:rPr>
        <w:t>Recycling of spent lithium-ion batteries for a sustainable future: recent advancements.</w:t>
      </w:r>
      <w:r w:rsidRPr="009D5FE7">
        <w:rPr>
          <w:rFonts w:cs="Arial"/>
          <w:color w:val="000000" w:themeColor="text1"/>
          <w:szCs w:val="18"/>
        </w:rPr>
        <w:t xml:space="preserve"> </w:t>
      </w:r>
      <w:r w:rsidRPr="009D5FE7">
        <w:rPr>
          <w:rFonts w:cs="Arial"/>
          <w:bCs/>
          <w:color w:val="000000" w:themeColor="text1"/>
          <w:szCs w:val="18"/>
        </w:rPr>
        <w:t>Chemical Society Reviews</w:t>
      </w:r>
      <w:r w:rsidRPr="009D5FE7">
        <w:rPr>
          <w:rFonts w:cs="Arial"/>
          <w:color w:val="000000" w:themeColor="text1"/>
          <w:szCs w:val="18"/>
        </w:rPr>
        <w:t xml:space="preserve"> </w:t>
      </w:r>
      <w:r w:rsidRPr="009D5FE7">
        <w:rPr>
          <w:rFonts w:cs="Arial"/>
          <w:bCs/>
          <w:color w:val="000000" w:themeColor="text1"/>
          <w:szCs w:val="18"/>
        </w:rPr>
        <w:t>53, 5552</w:t>
      </w:r>
      <w:r w:rsidR="009D5FE7" w:rsidRPr="009D5FE7">
        <w:rPr>
          <w:rFonts w:cs="Arial"/>
          <w:bCs/>
          <w:color w:val="000000" w:themeColor="text1"/>
          <w:szCs w:val="18"/>
        </w:rPr>
        <w:t>-</w:t>
      </w:r>
      <w:r w:rsidRPr="009D5FE7">
        <w:rPr>
          <w:rFonts w:cs="Arial"/>
          <w:bCs/>
          <w:color w:val="000000" w:themeColor="text1"/>
          <w:szCs w:val="18"/>
        </w:rPr>
        <w:t>5592.</w:t>
      </w:r>
      <w:r w:rsidRPr="009D5FE7">
        <w:rPr>
          <w:rFonts w:cs="Arial"/>
          <w:color w:val="000000" w:themeColor="text1"/>
          <w:szCs w:val="18"/>
        </w:rPr>
        <w:t xml:space="preserve"> </w:t>
      </w:r>
    </w:p>
    <w:p w14:paraId="64577A4D" w14:textId="4F3184F4" w:rsidR="00315AC0" w:rsidRPr="009D5FE7" w:rsidRDefault="00315AC0" w:rsidP="00315AC0">
      <w:pPr>
        <w:pStyle w:val="CETReferencetext"/>
        <w:rPr>
          <w:rFonts w:cs="Arial"/>
          <w:color w:val="000000" w:themeColor="text1"/>
          <w:szCs w:val="18"/>
        </w:rPr>
      </w:pPr>
      <w:r w:rsidRPr="009D5FE7">
        <w:rPr>
          <w:rFonts w:cs="Arial"/>
          <w:color w:val="000000" w:themeColor="text1"/>
          <w:szCs w:val="18"/>
        </w:rPr>
        <w:t xml:space="preserve">Costa C.M., Lee Y.S. </w:t>
      </w:r>
      <w:proofErr w:type="spellStart"/>
      <w:r w:rsidRPr="009D5FE7">
        <w:rPr>
          <w:rFonts w:cs="Arial"/>
          <w:color w:val="000000" w:themeColor="text1"/>
          <w:szCs w:val="18"/>
        </w:rPr>
        <w:t>Lanceros</w:t>
      </w:r>
      <w:proofErr w:type="spellEnd"/>
      <w:r w:rsidRPr="009D5FE7">
        <w:rPr>
          <w:rFonts w:cs="Arial"/>
          <w:color w:val="000000" w:themeColor="text1"/>
          <w:szCs w:val="18"/>
        </w:rPr>
        <w:t>-Méndez S., 2019, Recent advances on separator membranes for lithium-ion batteries</w:t>
      </w:r>
      <w:r w:rsidR="009D5FE7" w:rsidRPr="009D5FE7">
        <w:rPr>
          <w:rFonts w:cs="Arial"/>
          <w:color w:val="000000" w:themeColor="text1"/>
          <w:szCs w:val="18"/>
        </w:rPr>
        <w:t>,</w:t>
      </w:r>
      <w:r w:rsidRPr="009D5FE7">
        <w:rPr>
          <w:rFonts w:cs="Arial"/>
          <w:color w:val="000000" w:themeColor="text1"/>
          <w:szCs w:val="18"/>
        </w:rPr>
        <w:t xml:space="preserve"> Energy Storage Materials 19, 360</w:t>
      </w:r>
      <w:r w:rsidR="009D5FE7" w:rsidRPr="009D5FE7">
        <w:rPr>
          <w:rFonts w:cs="Arial"/>
          <w:color w:val="000000" w:themeColor="text1"/>
          <w:szCs w:val="18"/>
        </w:rPr>
        <w:t>-</w:t>
      </w:r>
      <w:r w:rsidRPr="009D5FE7">
        <w:rPr>
          <w:rFonts w:cs="Arial"/>
          <w:color w:val="000000" w:themeColor="text1"/>
          <w:szCs w:val="18"/>
        </w:rPr>
        <w:t>377.</w:t>
      </w:r>
    </w:p>
    <w:p w14:paraId="3D77A63C" w14:textId="77777777" w:rsidR="00315AC0" w:rsidRPr="009D5FE7" w:rsidRDefault="00315AC0" w:rsidP="00315AC0">
      <w:pPr>
        <w:pStyle w:val="CETReferencetext"/>
        <w:rPr>
          <w:rFonts w:cs="Arial"/>
          <w:color w:val="000000" w:themeColor="text1"/>
          <w:szCs w:val="18"/>
        </w:rPr>
      </w:pPr>
      <w:r w:rsidRPr="009D5FE7">
        <w:rPr>
          <w:rFonts w:cs="Arial"/>
          <w:color w:val="000000" w:themeColor="text1"/>
          <w:szCs w:val="18"/>
        </w:rPr>
        <w:t>Curcio, E., 2025, Techno</w:t>
      </w:r>
      <w:r w:rsidRPr="009D5FE7">
        <w:rPr>
          <w:rFonts w:ascii="Cambria Math" w:hAnsi="Cambria Math" w:cs="Cambria Math"/>
          <w:color w:val="000000" w:themeColor="text1"/>
          <w:szCs w:val="18"/>
        </w:rPr>
        <w:t>‐</w:t>
      </w:r>
      <w:r w:rsidRPr="009D5FE7">
        <w:rPr>
          <w:rFonts w:cs="Arial"/>
          <w:color w:val="000000" w:themeColor="text1"/>
          <w:szCs w:val="18"/>
        </w:rPr>
        <w:t>economic analysis of hydrogen production: Costs, policies, and scalability in the transition to net-zero. International Journal of Hydrogen Energy, 128, 473–487.</w:t>
      </w:r>
    </w:p>
    <w:p w14:paraId="0B200C79" w14:textId="38E7B2E7" w:rsidR="00315AC0" w:rsidRPr="009D5FE7" w:rsidRDefault="00315AC0" w:rsidP="00315AC0">
      <w:pPr>
        <w:pStyle w:val="CETReferencetext"/>
        <w:rPr>
          <w:rStyle w:val="Kiemels"/>
          <w:rFonts w:cs="Arial"/>
          <w:color w:val="000000" w:themeColor="text1"/>
          <w:szCs w:val="18"/>
        </w:rPr>
      </w:pPr>
      <w:r w:rsidRPr="009D5FE7">
        <w:rPr>
          <w:rFonts w:cs="Arial"/>
          <w:color w:val="000000" w:themeColor="text1"/>
          <w:szCs w:val="18"/>
        </w:rPr>
        <w:t xml:space="preserve">Das P., </w:t>
      </w:r>
      <w:proofErr w:type="spellStart"/>
      <w:r w:rsidRPr="009D5FE7">
        <w:rPr>
          <w:rFonts w:cs="Arial"/>
          <w:color w:val="000000" w:themeColor="text1"/>
          <w:szCs w:val="18"/>
        </w:rPr>
        <w:t>Hewage</w:t>
      </w:r>
      <w:proofErr w:type="spellEnd"/>
      <w:r w:rsidRPr="009D5FE7">
        <w:rPr>
          <w:rFonts w:cs="Arial"/>
          <w:color w:val="000000" w:themeColor="text1"/>
          <w:szCs w:val="18"/>
        </w:rPr>
        <w:t xml:space="preserve"> K., </w:t>
      </w:r>
      <w:proofErr w:type="spellStart"/>
      <w:r w:rsidRPr="009D5FE7">
        <w:rPr>
          <w:rFonts w:cs="Arial"/>
          <w:color w:val="000000" w:themeColor="text1"/>
          <w:szCs w:val="18"/>
        </w:rPr>
        <w:t>Kotagodahetti</w:t>
      </w:r>
      <w:proofErr w:type="spellEnd"/>
      <w:r w:rsidRPr="009D5FE7">
        <w:rPr>
          <w:rFonts w:cs="Arial"/>
          <w:color w:val="000000" w:themeColor="text1"/>
          <w:szCs w:val="18"/>
        </w:rPr>
        <w:t xml:space="preserve"> R., </w:t>
      </w:r>
      <w:proofErr w:type="spellStart"/>
      <w:r w:rsidRPr="009D5FE7">
        <w:rPr>
          <w:rFonts w:cs="Arial"/>
          <w:color w:val="000000" w:themeColor="text1"/>
          <w:szCs w:val="18"/>
        </w:rPr>
        <w:t>Wanniarachchi</w:t>
      </w:r>
      <w:proofErr w:type="spellEnd"/>
      <w:r w:rsidRPr="009D5FE7">
        <w:rPr>
          <w:rFonts w:cs="Arial"/>
          <w:color w:val="000000" w:themeColor="text1"/>
          <w:szCs w:val="18"/>
        </w:rPr>
        <w:t xml:space="preserve"> S., Sadiq R., 2026, </w:t>
      </w:r>
      <w:r w:rsidRPr="009D5FE7">
        <w:rPr>
          <w:rStyle w:val="Kiemels"/>
          <w:rFonts w:cs="Arial"/>
          <w:color w:val="000000" w:themeColor="text1"/>
          <w:szCs w:val="18"/>
        </w:rPr>
        <w:t>Lithium-ion battery recycling: a critical review of techno-economical and socio-environmental impacts</w:t>
      </w:r>
      <w:r w:rsidR="009D5FE7" w:rsidRPr="009D5FE7">
        <w:rPr>
          <w:rStyle w:val="Kiemels"/>
          <w:rFonts w:cs="Arial"/>
          <w:color w:val="000000" w:themeColor="text1"/>
          <w:szCs w:val="18"/>
        </w:rPr>
        <w:t>,</w:t>
      </w:r>
      <w:r w:rsidRPr="009D5FE7">
        <w:rPr>
          <w:rFonts w:cs="Arial"/>
          <w:color w:val="000000" w:themeColor="text1"/>
          <w:szCs w:val="18"/>
        </w:rPr>
        <w:t xml:space="preserve"> </w:t>
      </w:r>
      <w:r w:rsidRPr="009D5FE7">
        <w:rPr>
          <w:rStyle w:val="Kiemels"/>
          <w:rFonts w:cs="Arial"/>
          <w:color w:val="000000" w:themeColor="text1"/>
          <w:szCs w:val="18"/>
        </w:rPr>
        <w:t>Separation and Purification Technology 382, 135847</w:t>
      </w:r>
    </w:p>
    <w:p w14:paraId="4585385B" w14:textId="11A8FE2D" w:rsidR="00315AC0" w:rsidRPr="009D5FE7" w:rsidRDefault="00315AC0" w:rsidP="00315AC0">
      <w:pPr>
        <w:pStyle w:val="CETReferencetext"/>
        <w:rPr>
          <w:rFonts w:cs="Arial"/>
          <w:color w:val="000000" w:themeColor="text1"/>
          <w:szCs w:val="18"/>
        </w:rPr>
      </w:pPr>
      <w:proofErr w:type="spellStart"/>
      <w:r w:rsidRPr="009D5FE7">
        <w:rPr>
          <w:rFonts w:cs="Arial"/>
          <w:color w:val="000000" w:themeColor="text1"/>
          <w:szCs w:val="18"/>
        </w:rPr>
        <w:t>Faizan</w:t>
      </w:r>
      <w:proofErr w:type="spellEnd"/>
      <w:r w:rsidRPr="009D5FE7">
        <w:rPr>
          <w:rFonts w:cs="Arial"/>
          <w:color w:val="000000" w:themeColor="text1"/>
          <w:szCs w:val="18"/>
        </w:rPr>
        <w:t xml:space="preserve"> M., Song H., 2023, Critical review on catalytic biomass gasification: State-of-Art progress, technical challenges, and perspectives in future development</w:t>
      </w:r>
      <w:r w:rsidR="009D5FE7" w:rsidRPr="009D5FE7">
        <w:rPr>
          <w:rFonts w:cs="Arial"/>
          <w:color w:val="000000" w:themeColor="text1"/>
          <w:szCs w:val="18"/>
        </w:rPr>
        <w:t>,</w:t>
      </w:r>
      <w:r w:rsidRPr="009D5FE7">
        <w:rPr>
          <w:rFonts w:cs="Arial"/>
          <w:color w:val="000000" w:themeColor="text1"/>
          <w:szCs w:val="18"/>
        </w:rPr>
        <w:t xml:space="preserve"> Journal of Cleaner Production 408, 137224.</w:t>
      </w:r>
    </w:p>
    <w:p w14:paraId="132D515B" w14:textId="411DB950" w:rsidR="00315AC0" w:rsidRPr="009D5FE7" w:rsidRDefault="00315AC0" w:rsidP="00315AC0">
      <w:pPr>
        <w:pStyle w:val="CETReferencetext"/>
        <w:rPr>
          <w:rFonts w:cs="Arial"/>
          <w:color w:val="000000" w:themeColor="text1"/>
          <w:szCs w:val="18"/>
        </w:rPr>
      </w:pPr>
      <w:r w:rsidRPr="009D5FE7">
        <w:rPr>
          <w:rFonts w:cs="Arial"/>
          <w:color w:val="000000" w:themeColor="text1"/>
          <w:szCs w:val="18"/>
        </w:rPr>
        <w:t xml:space="preserve">Fan M., Abdullah A.Z., Bhatia S., 2021, Catalytic technology for carbon dioxide reforming of methane to synthesis gas. </w:t>
      </w:r>
      <w:proofErr w:type="spellStart"/>
      <w:r w:rsidRPr="009D5FE7">
        <w:rPr>
          <w:rFonts w:cs="Arial"/>
          <w:color w:val="000000" w:themeColor="text1"/>
          <w:szCs w:val="18"/>
        </w:rPr>
        <w:t>ChemCatChem</w:t>
      </w:r>
      <w:proofErr w:type="spellEnd"/>
      <w:r w:rsidRPr="009D5FE7">
        <w:rPr>
          <w:rFonts w:cs="Arial"/>
          <w:color w:val="000000" w:themeColor="text1"/>
          <w:szCs w:val="18"/>
        </w:rPr>
        <w:t xml:space="preserve"> 13, 2298</w:t>
      </w:r>
      <w:r w:rsidR="009D5FE7" w:rsidRPr="009D5FE7">
        <w:rPr>
          <w:rFonts w:cs="Arial"/>
          <w:color w:val="000000" w:themeColor="text1"/>
          <w:szCs w:val="18"/>
        </w:rPr>
        <w:t>-</w:t>
      </w:r>
      <w:r w:rsidRPr="009D5FE7">
        <w:rPr>
          <w:rFonts w:cs="Arial"/>
          <w:color w:val="000000" w:themeColor="text1"/>
          <w:szCs w:val="18"/>
        </w:rPr>
        <w:t>2314.</w:t>
      </w:r>
    </w:p>
    <w:p w14:paraId="1638FD03" w14:textId="77777777" w:rsidR="00315AC0" w:rsidRPr="009D5FE7" w:rsidRDefault="00315AC0" w:rsidP="00315AC0">
      <w:pPr>
        <w:pStyle w:val="CETReferencetext"/>
        <w:rPr>
          <w:rFonts w:cs="Arial"/>
          <w:color w:val="000000" w:themeColor="text1"/>
          <w:szCs w:val="18"/>
          <w:shd w:val="clear" w:color="auto" w:fill="FFFFFF"/>
        </w:rPr>
      </w:pPr>
      <w:r w:rsidRPr="009D5FE7">
        <w:rPr>
          <w:rFonts w:cs="Arial"/>
          <w:color w:val="000000" w:themeColor="text1"/>
          <w:szCs w:val="18"/>
          <w:shd w:val="clear" w:color="auto" w:fill="FFFFFF"/>
        </w:rPr>
        <w:t>Hong, W.Y., 2022, A techno-economic review on carbon capture, utilisation and storage systems for achieving a net-zero CO</w:t>
      </w:r>
      <w:r w:rsidRPr="009D5FE7">
        <w:rPr>
          <w:rFonts w:cs="Arial"/>
          <w:color w:val="000000" w:themeColor="text1"/>
          <w:szCs w:val="18"/>
          <w:shd w:val="clear" w:color="auto" w:fill="FFFFFF"/>
          <w:vertAlign w:val="subscript"/>
        </w:rPr>
        <w:t>2</w:t>
      </w:r>
      <w:r w:rsidRPr="009D5FE7">
        <w:rPr>
          <w:rFonts w:cs="Arial"/>
          <w:color w:val="000000" w:themeColor="text1"/>
          <w:szCs w:val="18"/>
          <w:shd w:val="clear" w:color="auto" w:fill="FFFFFF"/>
        </w:rPr>
        <w:t> emission future, </w:t>
      </w:r>
      <w:r w:rsidRPr="009D5FE7">
        <w:rPr>
          <w:rStyle w:val="html-italic"/>
          <w:rFonts w:cs="Arial"/>
          <w:iCs/>
          <w:color w:val="000000" w:themeColor="text1"/>
          <w:szCs w:val="18"/>
          <w:shd w:val="clear" w:color="auto" w:fill="FFFFFF"/>
        </w:rPr>
        <w:t>Carbon Capture Science and Technology</w:t>
      </w:r>
      <w:r w:rsidRPr="009D5FE7">
        <w:rPr>
          <w:rFonts w:cs="Arial"/>
          <w:color w:val="000000" w:themeColor="text1"/>
          <w:szCs w:val="18"/>
          <w:shd w:val="clear" w:color="auto" w:fill="FFFFFF"/>
        </w:rPr>
        <w:t> </w:t>
      </w:r>
      <w:r w:rsidRPr="009D5FE7">
        <w:rPr>
          <w:rStyle w:val="html-italic"/>
          <w:rFonts w:cs="Arial"/>
          <w:iCs/>
          <w:color w:val="000000" w:themeColor="text1"/>
          <w:szCs w:val="18"/>
          <w:shd w:val="clear" w:color="auto" w:fill="FFFFFF"/>
        </w:rPr>
        <w:t>3</w:t>
      </w:r>
      <w:r w:rsidRPr="009D5FE7">
        <w:rPr>
          <w:rFonts w:cs="Arial"/>
          <w:color w:val="000000" w:themeColor="text1"/>
          <w:szCs w:val="18"/>
          <w:shd w:val="clear" w:color="auto" w:fill="FFFFFF"/>
        </w:rPr>
        <w:t>, 100044.</w:t>
      </w:r>
    </w:p>
    <w:p w14:paraId="4642F096" w14:textId="2D3322F6" w:rsidR="00315AC0" w:rsidRPr="009D5FE7" w:rsidRDefault="00315AC0" w:rsidP="00315AC0">
      <w:pPr>
        <w:pStyle w:val="CETReferencetext"/>
        <w:rPr>
          <w:rFonts w:cs="Arial"/>
          <w:color w:val="000000" w:themeColor="text1"/>
          <w:szCs w:val="18"/>
        </w:rPr>
      </w:pPr>
      <w:r w:rsidRPr="009D5FE7">
        <w:rPr>
          <w:rFonts w:cs="Arial"/>
          <w:color w:val="000000" w:themeColor="text1"/>
          <w:szCs w:val="18"/>
        </w:rPr>
        <w:t xml:space="preserve">Li L., Dunn J.B., Zhang, X.X., Gaines L., Chen R.J., Wu F., </w:t>
      </w:r>
      <w:proofErr w:type="spellStart"/>
      <w:r w:rsidRPr="009D5FE7">
        <w:rPr>
          <w:rFonts w:cs="Arial"/>
          <w:color w:val="000000" w:themeColor="text1"/>
          <w:szCs w:val="18"/>
        </w:rPr>
        <w:t>Amile</w:t>
      </w:r>
      <w:proofErr w:type="spellEnd"/>
      <w:r w:rsidRPr="009D5FE7">
        <w:rPr>
          <w:rFonts w:cs="Arial"/>
          <w:color w:val="000000" w:themeColor="text1"/>
          <w:szCs w:val="18"/>
        </w:rPr>
        <w:t xml:space="preserve"> K., 2013, Recovery of metals from spent lithium-ion batteries</w:t>
      </w:r>
      <w:r w:rsidR="009D5FE7" w:rsidRPr="009D5FE7">
        <w:rPr>
          <w:rFonts w:cs="Arial"/>
          <w:color w:val="000000" w:themeColor="text1"/>
          <w:szCs w:val="18"/>
        </w:rPr>
        <w:t>,</w:t>
      </w:r>
      <w:r w:rsidRPr="009D5FE7">
        <w:rPr>
          <w:rFonts w:cs="Arial"/>
          <w:color w:val="000000" w:themeColor="text1"/>
          <w:szCs w:val="18"/>
        </w:rPr>
        <w:t xml:space="preserve"> Journal of Power Sources 233, 180</w:t>
      </w:r>
      <w:r w:rsidR="009D5FE7" w:rsidRPr="009D5FE7">
        <w:rPr>
          <w:rFonts w:cs="Arial"/>
          <w:color w:val="000000" w:themeColor="text1"/>
          <w:szCs w:val="18"/>
        </w:rPr>
        <w:t>-</w:t>
      </w:r>
      <w:r w:rsidRPr="009D5FE7">
        <w:rPr>
          <w:rFonts w:cs="Arial"/>
          <w:color w:val="000000" w:themeColor="text1"/>
          <w:szCs w:val="18"/>
        </w:rPr>
        <w:t>189.</w:t>
      </w:r>
    </w:p>
    <w:p w14:paraId="4877A988" w14:textId="771280FE" w:rsidR="00315AC0" w:rsidRPr="009D5FE7" w:rsidRDefault="00315AC0" w:rsidP="00315AC0">
      <w:pPr>
        <w:pStyle w:val="CETReferencetext"/>
        <w:rPr>
          <w:rFonts w:cs="Arial"/>
          <w:color w:val="000000" w:themeColor="text1"/>
          <w:szCs w:val="18"/>
        </w:rPr>
      </w:pPr>
      <w:r w:rsidRPr="009D5FE7">
        <w:rPr>
          <w:rFonts w:cs="Arial"/>
          <w:color w:val="000000" w:themeColor="text1"/>
          <w:szCs w:val="18"/>
        </w:rPr>
        <w:t>Liu Q., Dong X., Zhu J., 2022, Recent advances in water–gas shift reaction catalysts for hydrogen production. International Journal of Hydrogen Energy 47, 12345</w:t>
      </w:r>
      <w:r w:rsidR="009D5FE7" w:rsidRPr="009D5FE7">
        <w:rPr>
          <w:rFonts w:cs="Arial"/>
          <w:color w:val="000000" w:themeColor="text1"/>
          <w:szCs w:val="18"/>
        </w:rPr>
        <w:t>-</w:t>
      </w:r>
      <w:r w:rsidRPr="009D5FE7">
        <w:rPr>
          <w:rFonts w:cs="Arial"/>
          <w:color w:val="000000" w:themeColor="text1"/>
          <w:szCs w:val="18"/>
        </w:rPr>
        <w:t>12367.</w:t>
      </w:r>
    </w:p>
    <w:p w14:paraId="190DBB5C" w14:textId="568CB09A" w:rsidR="00315AC0" w:rsidRPr="009D5FE7" w:rsidRDefault="00315AC0" w:rsidP="00315AC0">
      <w:pPr>
        <w:pStyle w:val="CETReferencetext"/>
        <w:rPr>
          <w:rFonts w:cs="Arial"/>
          <w:color w:val="000000" w:themeColor="text1"/>
          <w:szCs w:val="18"/>
        </w:rPr>
      </w:pPr>
      <w:proofErr w:type="spellStart"/>
      <w:r w:rsidRPr="009D5FE7">
        <w:rPr>
          <w:rFonts w:cs="Arial"/>
          <w:color w:val="000000" w:themeColor="text1"/>
          <w:szCs w:val="18"/>
        </w:rPr>
        <w:t>Manthiram</w:t>
      </w:r>
      <w:proofErr w:type="spellEnd"/>
      <w:r w:rsidRPr="009D5FE7">
        <w:rPr>
          <w:rFonts w:cs="Arial"/>
          <w:color w:val="000000" w:themeColor="text1"/>
          <w:szCs w:val="18"/>
        </w:rPr>
        <w:t>, A., 2020, A reflection on lithium-ion battery cathode chemistry</w:t>
      </w:r>
      <w:r w:rsidR="009D5FE7" w:rsidRPr="009D5FE7">
        <w:rPr>
          <w:rFonts w:cs="Arial"/>
          <w:color w:val="000000" w:themeColor="text1"/>
          <w:szCs w:val="18"/>
        </w:rPr>
        <w:t>,</w:t>
      </w:r>
      <w:r w:rsidRPr="009D5FE7">
        <w:rPr>
          <w:rFonts w:cs="Arial"/>
          <w:color w:val="000000" w:themeColor="text1"/>
          <w:szCs w:val="18"/>
        </w:rPr>
        <w:t xml:space="preserve"> Nature Communications 11, 1550.</w:t>
      </w:r>
    </w:p>
    <w:p w14:paraId="0F27900E" w14:textId="72A62D54" w:rsidR="00315AC0" w:rsidRPr="009D5FE7" w:rsidRDefault="00315AC0" w:rsidP="00315AC0">
      <w:pPr>
        <w:pStyle w:val="CETReferencetext"/>
        <w:rPr>
          <w:rFonts w:cs="Arial"/>
          <w:color w:val="000000" w:themeColor="text1"/>
          <w:szCs w:val="18"/>
        </w:rPr>
      </w:pPr>
      <w:r w:rsidRPr="009D5FE7">
        <w:rPr>
          <w:rFonts w:cs="Arial"/>
          <w:color w:val="000000" w:themeColor="text1"/>
          <w:szCs w:val="18"/>
        </w:rPr>
        <w:t xml:space="preserve">Wilke C., Werner D.M., </w:t>
      </w:r>
      <w:proofErr w:type="spellStart"/>
      <w:r w:rsidRPr="009D5FE7">
        <w:rPr>
          <w:rFonts w:cs="Arial"/>
          <w:color w:val="000000" w:themeColor="text1"/>
          <w:szCs w:val="18"/>
        </w:rPr>
        <w:t>Kaas</w:t>
      </w:r>
      <w:proofErr w:type="spellEnd"/>
      <w:r w:rsidRPr="009D5FE7">
        <w:rPr>
          <w:rFonts w:cs="Arial"/>
          <w:color w:val="000000" w:themeColor="text1"/>
          <w:szCs w:val="18"/>
        </w:rPr>
        <w:t xml:space="preserve"> A., </w:t>
      </w:r>
      <w:proofErr w:type="spellStart"/>
      <w:r w:rsidRPr="009D5FE7">
        <w:rPr>
          <w:rFonts w:cs="Arial"/>
          <w:color w:val="000000" w:themeColor="text1"/>
          <w:szCs w:val="18"/>
        </w:rPr>
        <w:t>Peuker</w:t>
      </w:r>
      <w:proofErr w:type="spellEnd"/>
      <w:r w:rsidRPr="009D5FE7">
        <w:rPr>
          <w:rFonts w:cs="Arial"/>
          <w:color w:val="000000" w:themeColor="text1"/>
          <w:szCs w:val="18"/>
        </w:rPr>
        <w:t xml:space="preserve"> U.A., 2023, Influence of the Crusher Settings and a Thermal Pre-Treatment on the Properties of the Fine Fraction (Black Mass) from Mechanical Lithium-Ion Battery Recycling</w:t>
      </w:r>
      <w:r w:rsidR="009D5FE7" w:rsidRPr="009D5FE7">
        <w:rPr>
          <w:rFonts w:cs="Arial"/>
          <w:color w:val="000000" w:themeColor="text1"/>
          <w:szCs w:val="18"/>
        </w:rPr>
        <w:t>,</w:t>
      </w:r>
      <w:r w:rsidRPr="009D5FE7">
        <w:rPr>
          <w:rFonts w:cs="Arial"/>
          <w:color w:val="000000" w:themeColor="text1"/>
          <w:szCs w:val="18"/>
        </w:rPr>
        <w:t xml:space="preserve"> Batteries 9, 514.</w:t>
      </w:r>
    </w:p>
    <w:p w14:paraId="367049CD" w14:textId="77777777" w:rsidR="00315AC0" w:rsidRPr="009D5FE7" w:rsidRDefault="00315AC0" w:rsidP="00315AC0">
      <w:pPr>
        <w:pStyle w:val="CETReferencetext"/>
        <w:rPr>
          <w:rFonts w:cs="Arial"/>
          <w:color w:val="000000" w:themeColor="text1"/>
          <w:szCs w:val="18"/>
          <w:lang w:eastAsia="hu-HU"/>
        </w:rPr>
      </w:pPr>
      <w:r w:rsidRPr="009D5FE7">
        <w:rPr>
          <w:rFonts w:cs="Arial"/>
          <w:color w:val="000000" w:themeColor="text1"/>
          <w:szCs w:val="18"/>
          <w:lang w:eastAsia="hu-HU"/>
        </w:rPr>
        <w:t>Zhan C., Wu T., Lu J., Amine K., 2018, Dissolution, migration, and deposition of transition metal ions in Li-ion batteries exemplified by Mn-based cathodes - A critical review. Energy Environmental Science 11, 243–257.</w:t>
      </w:r>
    </w:p>
    <w:p w14:paraId="0EE243D8" w14:textId="38099EF2" w:rsidR="008F68A2" w:rsidRPr="009D5FE7" w:rsidRDefault="00315AC0" w:rsidP="008F68A2">
      <w:pPr>
        <w:pStyle w:val="CETReferencetext"/>
        <w:rPr>
          <w:rFonts w:cs="Arial"/>
          <w:color w:val="000000" w:themeColor="text1"/>
          <w:szCs w:val="18"/>
          <w:lang w:eastAsia="hu-HU"/>
        </w:rPr>
      </w:pPr>
      <w:r w:rsidRPr="009D5FE7">
        <w:rPr>
          <w:rFonts w:cs="Arial"/>
          <w:color w:val="000000" w:themeColor="text1"/>
          <w:szCs w:val="18"/>
          <w:lang w:eastAsia="hu-HU"/>
        </w:rPr>
        <w:t>Zhang S, 2007, A review on the separators of liquid electrolyte Li-ion batteries</w:t>
      </w:r>
      <w:r w:rsidR="009D5FE7" w:rsidRPr="009D5FE7">
        <w:rPr>
          <w:rFonts w:cs="Arial"/>
          <w:color w:val="000000" w:themeColor="text1"/>
          <w:szCs w:val="18"/>
          <w:lang w:eastAsia="hu-HU"/>
        </w:rPr>
        <w:t>,</w:t>
      </w:r>
      <w:r w:rsidRPr="009D5FE7">
        <w:rPr>
          <w:rFonts w:cs="Arial"/>
          <w:color w:val="000000" w:themeColor="text1"/>
          <w:szCs w:val="18"/>
          <w:lang w:eastAsia="hu-HU"/>
        </w:rPr>
        <w:t xml:space="preserve"> </w:t>
      </w:r>
      <w:r w:rsidRPr="009D5FE7">
        <w:rPr>
          <w:rFonts w:cs="Arial"/>
          <w:iCs/>
          <w:color w:val="000000" w:themeColor="text1"/>
          <w:szCs w:val="18"/>
          <w:lang w:eastAsia="hu-HU"/>
        </w:rPr>
        <w:t>Journal of Power Sources</w:t>
      </w:r>
      <w:r w:rsidRPr="009D5FE7">
        <w:rPr>
          <w:rFonts w:cs="Arial"/>
          <w:color w:val="000000" w:themeColor="text1"/>
          <w:szCs w:val="18"/>
          <w:lang w:eastAsia="hu-HU"/>
        </w:rPr>
        <w:t xml:space="preserve"> 164, 351</w:t>
      </w:r>
      <w:r w:rsidR="009D5FE7" w:rsidRPr="009D5FE7">
        <w:rPr>
          <w:rFonts w:cs="Arial"/>
          <w:color w:val="000000" w:themeColor="text1"/>
          <w:szCs w:val="18"/>
          <w:lang w:eastAsia="hu-HU"/>
        </w:rPr>
        <w:t>-</w:t>
      </w:r>
      <w:r w:rsidRPr="009D5FE7">
        <w:rPr>
          <w:rFonts w:cs="Arial"/>
          <w:color w:val="000000" w:themeColor="text1"/>
          <w:szCs w:val="18"/>
          <w:lang w:eastAsia="hu-HU"/>
        </w:rPr>
        <w:t>364.</w:t>
      </w:r>
    </w:p>
    <w:sectPr w:rsidR="008F68A2" w:rsidRPr="009D5FE7" w:rsidSect="009B1490">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B7593" w14:textId="77777777" w:rsidR="00723DC5" w:rsidRDefault="00723DC5" w:rsidP="004F5E36">
      <w:r>
        <w:separator/>
      </w:r>
    </w:p>
  </w:endnote>
  <w:endnote w:type="continuationSeparator" w:id="0">
    <w:p w14:paraId="5E360F79" w14:textId="77777777" w:rsidR="00723DC5" w:rsidRDefault="00723DC5"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8D70B" w14:textId="77777777" w:rsidR="00723DC5" w:rsidRDefault="00723DC5" w:rsidP="004F5E36">
      <w:r>
        <w:separator/>
      </w:r>
    </w:p>
  </w:footnote>
  <w:footnote w:type="continuationSeparator" w:id="0">
    <w:p w14:paraId="3E2052D4" w14:textId="77777777" w:rsidR="00723DC5" w:rsidRDefault="00723DC5"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Szmozottlista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Szmozottlista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Szmozottlista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Szmozottlista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Felsorol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Felsorol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Felsorol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Felsorol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Szmozottlista"/>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Felsorols"/>
      <w:lvlText w:val=""/>
      <w:lvlJc w:val="left"/>
      <w:pPr>
        <w:tabs>
          <w:tab w:val="num" w:pos="360"/>
        </w:tabs>
        <w:ind w:left="360" w:hanging="360"/>
      </w:pPr>
      <w:rPr>
        <w:rFonts w:ascii="Symbol" w:hAnsi="Symbol" w:hint="default"/>
      </w:rPr>
    </w:lvl>
  </w:abstractNum>
  <w:abstractNum w:abstractNumId="10" w15:restartNumberingAfterBreak="0">
    <w:nsid w:val="07F86A24"/>
    <w:multiLevelType w:val="hybridMultilevel"/>
    <w:tmpl w:val="748C787A"/>
    <w:lvl w:ilvl="0" w:tplc="A552E83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438217E"/>
    <w:multiLevelType w:val="multilevel"/>
    <w:tmpl w:val="291C816A"/>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Egyszertblzat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8"/>
  </w:num>
  <w:num w:numId="13">
    <w:abstractNumId w:val="13"/>
  </w:num>
  <w:num w:numId="14">
    <w:abstractNumId w:val="19"/>
  </w:num>
  <w:num w:numId="15">
    <w:abstractNumId w:val="21"/>
  </w:num>
  <w:num w:numId="16">
    <w:abstractNumId w:val="20"/>
  </w:num>
  <w:num w:numId="17">
    <w:abstractNumId w:val="12"/>
  </w:num>
  <w:num w:numId="18">
    <w:abstractNumId w:val="13"/>
    <w:lvlOverride w:ilvl="0">
      <w:startOverride w:val="1"/>
    </w:lvlOverride>
  </w:num>
  <w:num w:numId="19">
    <w:abstractNumId w:val="17"/>
  </w:num>
  <w:num w:numId="20">
    <w:abstractNumId w:val="16"/>
  </w:num>
  <w:num w:numId="21">
    <w:abstractNumId w:val="15"/>
  </w:num>
  <w:num w:numId="22">
    <w:abstractNumId w:val="14"/>
  </w:num>
  <w:num w:numId="23">
    <w:abstractNumId w:val="11"/>
    <w:lvlOverride w:ilvl="0">
      <w:startOverride w:val="1"/>
    </w:lvlOverride>
    <w:lvlOverride w:ilvl="1">
      <w:startOverride w:val="2"/>
    </w:lvlOverride>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1306B"/>
    <w:rsid w:val="000145F5"/>
    <w:rsid w:val="00027CC9"/>
    <w:rsid w:val="0003148D"/>
    <w:rsid w:val="00031EEC"/>
    <w:rsid w:val="0003396D"/>
    <w:rsid w:val="00047B6D"/>
    <w:rsid w:val="00051566"/>
    <w:rsid w:val="00051BB1"/>
    <w:rsid w:val="000562A9"/>
    <w:rsid w:val="0005644A"/>
    <w:rsid w:val="00062A9A"/>
    <w:rsid w:val="00065058"/>
    <w:rsid w:val="00082E54"/>
    <w:rsid w:val="000847AA"/>
    <w:rsid w:val="00086C39"/>
    <w:rsid w:val="0009333F"/>
    <w:rsid w:val="000A03B2"/>
    <w:rsid w:val="000C5A88"/>
    <w:rsid w:val="000D0268"/>
    <w:rsid w:val="000D34BE"/>
    <w:rsid w:val="000E102F"/>
    <w:rsid w:val="000E36F1"/>
    <w:rsid w:val="000E3A73"/>
    <w:rsid w:val="000E414A"/>
    <w:rsid w:val="000E75FD"/>
    <w:rsid w:val="000F093C"/>
    <w:rsid w:val="000F5FE6"/>
    <w:rsid w:val="000F6F27"/>
    <w:rsid w:val="000F787B"/>
    <w:rsid w:val="00101F02"/>
    <w:rsid w:val="00103896"/>
    <w:rsid w:val="00112E5F"/>
    <w:rsid w:val="0012091F"/>
    <w:rsid w:val="00124AAD"/>
    <w:rsid w:val="00126BC2"/>
    <w:rsid w:val="001308B6"/>
    <w:rsid w:val="0013121F"/>
    <w:rsid w:val="00131FE6"/>
    <w:rsid w:val="0013263F"/>
    <w:rsid w:val="001331DF"/>
    <w:rsid w:val="00134DE4"/>
    <w:rsid w:val="0014034D"/>
    <w:rsid w:val="00140FE3"/>
    <w:rsid w:val="00144D16"/>
    <w:rsid w:val="00150E59"/>
    <w:rsid w:val="00152DE3"/>
    <w:rsid w:val="00153C89"/>
    <w:rsid w:val="00164CF9"/>
    <w:rsid w:val="001667A6"/>
    <w:rsid w:val="00184AD6"/>
    <w:rsid w:val="00192A75"/>
    <w:rsid w:val="00196F05"/>
    <w:rsid w:val="001A4AF7"/>
    <w:rsid w:val="001A6F45"/>
    <w:rsid w:val="001B0349"/>
    <w:rsid w:val="001B1E93"/>
    <w:rsid w:val="001B65C1"/>
    <w:rsid w:val="001C260F"/>
    <w:rsid w:val="001C2F2C"/>
    <w:rsid w:val="001C33F1"/>
    <w:rsid w:val="001C48A8"/>
    <w:rsid w:val="001C684B"/>
    <w:rsid w:val="001D0CFB"/>
    <w:rsid w:val="001D21AF"/>
    <w:rsid w:val="001D53FC"/>
    <w:rsid w:val="001E2622"/>
    <w:rsid w:val="001F42A5"/>
    <w:rsid w:val="001F7B9D"/>
    <w:rsid w:val="0020069C"/>
    <w:rsid w:val="00201C93"/>
    <w:rsid w:val="00211EB4"/>
    <w:rsid w:val="002224B4"/>
    <w:rsid w:val="00240B19"/>
    <w:rsid w:val="002447EF"/>
    <w:rsid w:val="00251550"/>
    <w:rsid w:val="00263B05"/>
    <w:rsid w:val="0027221A"/>
    <w:rsid w:val="00272E17"/>
    <w:rsid w:val="00275B61"/>
    <w:rsid w:val="00280FAF"/>
    <w:rsid w:val="00281C51"/>
    <w:rsid w:val="00282656"/>
    <w:rsid w:val="00284EEF"/>
    <w:rsid w:val="0028785F"/>
    <w:rsid w:val="00296B83"/>
    <w:rsid w:val="002B4015"/>
    <w:rsid w:val="002B5C01"/>
    <w:rsid w:val="002B78CE"/>
    <w:rsid w:val="002C27C2"/>
    <w:rsid w:val="002C2FB6"/>
    <w:rsid w:val="002D6624"/>
    <w:rsid w:val="002E5FA7"/>
    <w:rsid w:val="002F3309"/>
    <w:rsid w:val="002F3CD2"/>
    <w:rsid w:val="003008CE"/>
    <w:rsid w:val="003009B7"/>
    <w:rsid w:val="00300E56"/>
    <w:rsid w:val="0030152C"/>
    <w:rsid w:val="0030469C"/>
    <w:rsid w:val="00314E4F"/>
    <w:rsid w:val="00315AC0"/>
    <w:rsid w:val="00321CA6"/>
    <w:rsid w:val="00323763"/>
    <w:rsid w:val="00323C5F"/>
    <w:rsid w:val="00334C09"/>
    <w:rsid w:val="00351B09"/>
    <w:rsid w:val="003527E9"/>
    <w:rsid w:val="00353B4C"/>
    <w:rsid w:val="003544C0"/>
    <w:rsid w:val="003723D4"/>
    <w:rsid w:val="00381905"/>
    <w:rsid w:val="00384CC8"/>
    <w:rsid w:val="003871FD"/>
    <w:rsid w:val="00391293"/>
    <w:rsid w:val="003A1E30"/>
    <w:rsid w:val="003A2829"/>
    <w:rsid w:val="003A7D1C"/>
    <w:rsid w:val="003B304B"/>
    <w:rsid w:val="003B3146"/>
    <w:rsid w:val="003B4EA5"/>
    <w:rsid w:val="003B545E"/>
    <w:rsid w:val="003D1E02"/>
    <w:rsid w:val="003F015E"/>
    <w:rsid w:val="003F2F61"/>
    <w:rsid w:val="003F4226"/>
    <w:rsid w:val="00400414"/>
    <w:rsid w:val="0041446B"/>
    <w:rsid w:val="00430AC2"/>
    <w:rsid w:val="00430B63"/>
    <w:rsid w:val="0044071E"/>
    <w:rsid w:val="0044329C"/>
    <w:rsid w:val="00446C54"/>
    <w:rsid w:val="00453E24"/>
    <w:rsid w:val="00457456"/>
    <w:rsid w:val="004577FE"/>
    <w:rsid w:val="00457B9C"/>
    <w:rsid w:val="0046164A"/>
    <w:rsid w:val="004628D2"/>
    <w:rsid w:val="00462DCD"/>
    <w:rsid w:val="004648AD"/>
    <w:rsid w:val="00465A29"/>
    <w:rsid w:val="004703A9"/>
    <w:rsid w:val="004760DE"/>
    <w:rsid w:val="004763D7"/>
    <w:rsid w:val="00491B85"/>
    <w:rsid w:val="00493EF4"/>
    <w:rsid w:val="004A004E"/>
    <w:rsid w:val="004A24CF"/>
    <w:rsid w:val="004A5E57"/>
    <w:rsid w:val="004B7288"/>
    <w:rsid w:val="004C194F"/>
    <w:rsid w:val="004C2B8A"/>
    <w:rsid w:val="004C3D1D"/>
    <w:rsid w:val="004C3D84"/>
    <w:rsid w:val="004C7913"/>
    <w:rsid w:val="004D16B5"/>
    <w:rsid w:val="004E4DD6"/>
    <w:rsid w:val="004F5E36"/>
    <w:rsid w:val="00507B47"/>
    <w:rsid w:val="00507BEF"/>
    <w:rsid w:val="00507CC9"/>
    <w:rsid w:val="005109D6"/>
    <w:rsid w:val="005119A5"/>
    <w:rsid w:val="00520CC7"/>
    <w:rsid w:val="00526DFB"/>
    <w:rsid w:val="005278B7"/>
    <w:rsid w:val="00532016"/>
    <w:rsid w:val="005346C8"/>
    <w:rsid w:val="00543E7D"/>
    <w:rsid w:val="00545A89"/>
    <w:rsid w:val="00547A68"/>
    <w:rsid w:val="00552E0E"/>
    <w:rsid w:val="005531C9"/>
    <w:rsid w:val="00570C43"/>
    <w:rsid w:val="0058010D"/>
    <w:rsid w:val="00584367"/>
    <w:rsid w:val="00592274"/>
    <w:rsid w:val="005A2CAE"/>
    <w:rsid w:val="005B2110"/>
    <w:rsid w:val="005B61E6"/>
    <w:rsid w:val="005B7933"/>
    <w:rsid w:val="005C41A8"/>
    <w:rsid w:val="005C443C"/>
    <w:rsid w:val="005C77E1"/>
    <w:rsid w:val="005D56FA"/>
    <w:rsid w:val="005D668A"/>
    <w:rsid w:val="005D6A2F"/>
    <w:rsid w:val="005E0592"/>
    <w:rsid w:val="005E1A82"/>
    <w:rsid w:val="005E4912"/>
    <w:rsid w:val="005E794C"/>
    <w:rsid w:val="005F0A28"/>
    <w:rsid w:val="005F0E5E"/>
    <w:rsid w:val="00600535"/>
    <w:rsid w:val="006019D4"/>
    <w:rsid w:val="00610CD6"/>
    <w:rsid w:val="00612545"/>
    <w:rsid w:val="00620DEE"/>
    <w:rsid w:val="00621F92"/>
    <w:rsid w:val="0062280A"/>
    <w:rsid w:val="006231E1"/>
    <w:rsid w:val="00624B35"/>
    <w:rsid w:val="00625639"/>
    <w:rsid w:val="00630E47"/>
    <w:rsid w:val="00631B33"/>
    <w:rsid w:val="0064184D"/>
    <w:rsid w:val="006422CC"/>
    <w:rsid w:val="0064672F"/>
    <w:rsid w:val="0065169C"/>
    <w:rsid w:val="00651D18"/>
    <w:rsid w:val="00660E3E"/>
    <w:rsid w:val="00662E74"/>
    <w:rsid w:val="00664F9F"/>
    <w:rsid w:val="00673C9F"/>
    <w:rsid w:val="00680C23"/>
    <w:rsid w:val="00683E23"/>
    <w:rsid w:val="00685CBD"/>
    <w:rsid w:val="00693766"/>
    <w:rsid w:val="0069636F"/>
    <w:rsid w:val="006A3281"/>
    <w:rsid w:val="006B4888"/>
    <w:rsid w:val="006C2E45"/>
    <w:rsid w:val="006C359C"/>
    <w:rsid w:val="006C5579"/>
    <w:rsid w:val="006D6E8B"/>
    <w:rsid w:val="006D7209"/>
    <w:rsid w:val="006E737D"/>
    <w:rsid w:val="006F2A6E"/>
    <w:rsid w:val="00700C5D"/>
    <w:rsid w:val="00707DD1"/>
    <w:rsid w:val="00713973"/>
    <w:rsid w:val="00720A24"/>
    <w:rsid w:val="00723DC5"/>
    <w:rsid w:val="00730A8E"/>
    <w:rsid w:val="00732386"/>
    <w:rsid w:val="0073514D"/>
    <w:rsid w:val="007442C8"/>
    <w:rsid w:val="007447F3"/>
    <w:rsid w:val="0075499F"/>
    <w:rsid w:val="007617CC"/>
    <w:rsid w:val="00765246"/>
    <w:rsid w:val="007661C8"/>
    <w:rsid w:val="0077098D"/>
    <w:rsid w:val="007735FF"/>
    <w:rsid w:val="00785BF9"/>
    <w:rsid w:val="007931FA"/>
    <w:rsid w:val="007A4861"/>
    <w:rsid w:val="007A7BBA"/>
    <w:rsid w:val="007B0C50"/>
    <w:rsid w:val="007B48F9"/>
    <w:rsid w:val="007C1A43"/>
    <w:rsid w:val="007C655D"/>
    <w:rsid w:val="007C6A82"/>
    <w:rsid w:val="007D0951"/>
    <w:rsid w:val="007F27C8"/>
    <w:rsid w:val="007F66E2"/>
    <w:rsid w:val="0080013E"/>
    <w:rsid w:val="008054D6"/>
    <w:rsid w:val="00813288"/>
    <w:rsid w:val="008168FC"/>
    <w:rsid w:val="00830996"/>
    <w:rsid w:val="008314D7"/>
    <w:rsid w:val="008345F1"/>
    <w:rsid w:val="0086354F"/>
    <w:rsid w:val="00865B07"/>
    <w:rsid w:val="008667EA"/>
    <w:rsid w:val="0087637F"/>
    <w:rsid w:val="008833E7"/>
    <w:rsid w:val="00886FC8"/>
    <w:rsid w:val="00892AD5"/>
    <w:rsid w:val="008A1512"/>
    <w:rsid w:val="008D32B9"/>
    <w:rsid w:val="008D433B"/>
    <w:rsid w:val="008D4A16"/>
    <w:rsid w:val="008E209A"/>
    <w:rsid w:val="008E45BC"/>
    <w:rsid w:val="008E566E"/>
    <w:rsid w:val="008F20CC"/>
    <w:rsid w:val="008F3255"/>
    <w:rsid w:val="008F5123"/>
    <w:rsid w:val="008F68A2"/>
    <w:rsid w:val="0090161A"/>
    <w:rsid w:val="00901EB6"/>
    <w:rsid w:val="009041F8"/>
    <w:rsid w:val="00904C62"/>
    <w:rsid w:val="009058E4"/>
    <w:rsid w:val="00922BA8"/>
    <w:rsid w:val="00924DAC"/>
    <w:rsid w:val="00927058"/>
    <w:rsid w:val="00942750"/>
    <w:rsid w:val="009450CE"/>
    <w:rsid w:val="009459BB"/>
    <w:rsid w:val="00947179"/>
    <w:rsid w:val="0095164B"/>
    <w:rsid w:val="00954090"/>
    <w:rsid w:val="00956431"/>
    <w:rsid w:val="009573E7"/>
    <w:rsid w:val="00963E05"/>
    <w:rsid w:val="00964A45"/>
    <w:rsid w:val="00967843"/>
    <w:rsid w:val="00967D54"/>
    <w:rsid w:val="00971028"/>
    <w:rsid w:val="00993B84"/>
    <w:rsid w:val="00996483"/>
    <w:rsid w:val="00996F5A"/>
    <w:rsid w:val="009B041A"/>
    <w:rsid w:val="009B1490"/>
    <w:rsid w:val="009C37C3"/>
    <w:rsid w:val="009C7C86"/>
    <w:rsid w:val="009D2FF7"/>
    <w:rsid w:val="009D5FE7"/>
    <w:rsid w:val="009E6B36"/>
    <w:rsid w:val="009E7884"/>
    <w:rsid w:val="009E788A"/>
    <w:rsid w:val="009F0E08"/>
    <w:rsid w:val="009F109F"/>
    <w:rsid w:val="009F4F02"/>
    <w:rsid w:val="009F741B"/>
    <w:rsid w:val="009F7BA7"/>
    <w:rsid w:val="00A079AE"/>
    <w:rsid w:val="00A11BCE"/>
    <w:rsid w:val="00A15B67"/>
    <w:rsid w:val="00A1763D"/>
    <w:rsid w:val="00A17CEC"/>
    <w:rsid w:val="00A204EF"/>
    <w:rsid w:val="00A2135A"/>
    <w:rsid w:val="00A26CBB"/>
    <w:rsid w:val="00A27EF0"/>
    <w:rsid w:val="00A42361"/>
    <w:rsid w:val="00A42A19"/>
    <w:rsid w:val="00A44A6B"/>
    <w:rsid w:val="00A50B20"/>
    <w:rsid w:val="00A51390"/>
    <w:rsid w:val="00A51B09"/>
    <w:rsid w:val="00A60D13"/>
    <w:rsid w:val="00A66DD7"/>
    <w:rsid w:val="00A7223D"/>
    <w:rsid w:val="00A72745"/>
    <w:rsid w:val="00A746FC"/>
    <w:rsid w:val="00A76EFC"/>
    <w:rsid w:val="00A85F4B"/>
    <w:rsid w:val="00A87D50"/>
    <w:rsid w:val="00A91010"/>
    <w:rsid w:val="00A95F88"/>
    <w:rsid w:val="00A97F29"/>
    <w:rsid w:val="00AA702E"/>
    <w:rsid w:val="00AA7D26"/>
    <w:rsid w:val="00AB0964"/>
    <w:rsid w:val="00AB5011"/>
    <w:rsid w:val="00AC7368"/>
    <w:rsid w:val="00AD0278"/>
    <w:rsid w:val="00AD16B9"/>
    <w:rsid w:val="00AE377D"/>
    <w:rsid w:val="00AF0EBA"/>
    <w:rsid w:val="00B02C8A"/>
    <w:rsid w:val="00B04627"/>
    <w:rsid w:val="00B053D9"/>
    <w:rsid w:val="00B16856"/>
    <w:rsid w:val="00B17FBD"/>
    <w:rsid w:val="00B30083"/>
    <w:rsid w:val="00B315A6"/>
    <w:rsid w:val="00B31813"/>
    <w:rsid w:val="00B33365"/>
    <w:rsid w:val="00B35F6E"/>
    <w:rsid w:val="00B36718"/>
    <w:rsid w:val="00B455D9"/>
    <w:rsid w:val="00B57B36"/>
    <w:rsid w:val="00B57E6F"/>
    <w:rsid w:val="00B7619C"/>
    <w:rsid w:val="00B854B8"/>
    <w:rsid w:val="00B8686D"/>
    <w:rsid w:val="00B93F69"/>
    <w:rsid w:val="00BB1DDC"/>
    <w:rsid w:val="00BC30C9"/>
    <w:rsid w:val="00BC39F4"/>
    <w:rsid w:val="00BD077D"/>
    <w:rsid w:val="00BE3E58"/>
    <w:rsid w:val="00C01616"/>
    <w:rsid w:val="00C0162B"/>
    <w:rsid w:val="00C068ED"/>
    <w:rsid w:val="00C1632E"/>
    <w:rsid w:val="00C208E9"/>
    <w:rsid w:val="00C22E0C"/>
    <w:rsid w:val="00C304E5"/>
    <w:rsid w:val="00C345B1"/>
    <w:rsid w:val="00C378F4"/>
    <w:rsid w:val="00C40142"/>
    <w:rsid w:val="00C46B9C"/>
    <w:rsid w:val="00C52C3C"/>
    <w:rsid w:val="00C57182"/>
    <w:rsid w:val="00C57863"/>
    <w:rsid w:val="00C640AF"/>
    <w:rsid w:val="00C64DD3"/>
    <w:rsid w:val="00C655FD"/>
    <w:rsid w:val="00C75407"/>
    <w:rsid w:val="00C841C6"/>
    <w:rsid w:val="00C84B68"/>
    <w:rsid w:val="00C870A8"/>
    <w:rsid w:val="00C94434"/>
    <w:rsid w:val="00CA0D75"/>
    <w:rsid w:val="00CA1C95"/>
    <w:rsid w:val="00CA5A9C"/>
    <w:rsid w:val="00CC4C20"/>
    <w:rsid w:val="00CC7021"/>
    <w:rsid w:val="00CD3517"/>
    <w:rsid w:val="00CD36CA"/>
    <w:rsid w:val="00CD5FE2"/>
    <w:rsid w:val="00CE7C68"/>
    <w:rsid w:val="00D02B4C"/>
    <w:rsid w:val="00D040C4"/>
    <w:rsid w:val="00D20AD1"/>
    <w:rsid w:val="00D20AED"/>
    <w:rsid w:val="00D2582C"/>
    <w:rsid w:val="00D45120"/>
    <w:rsid w:val="00D46B7E"/>
    <w:rsid w:val="00D56A4C"/>
    <w:rsid w:val="00D57C84"/>
    <w:rsid w:val="00D6057D"/>
    <w:rsid w:val="00D6330E"/>
    <w:rsid w:val="00D71640"/>
    <w:rsid w:val="00D836C5"/>
    <w:rsid w:val="00D84576"/>
    <w:rsid w:val="00DA1399"/>
    <w:rsid w:val="00DA24C6"/>
    <w:rsid w:val="00DA4D7B"/>
    <w:rsid w:val="00DB064F"/>
    <w:rsid w:val="00DD271C"/>
    <w:rsid w:val="00DE264A"/>
    <w:rsid w:val="00DE2698"/>
    <w:rsid w:val="00DE686F"/>
    <w:rsid w:val="00DF5072"/>
    <w:rsid w:val="00E02D18"/>
    <w:rsid w:val="00E041E7"/>
    <w:rsid w:val="00E139EF"/>
    <w:rsid w:val="00E23CA1"/>
    <w:rsid w:val="00E32C4F"/>
    <w:rsid w:val="00E409A8"/>
    <w:rsid w:val="00E47D61"/>
    <w:rsid w:val="00E50C12"/>
    <w:rsid w:val="00E65B91"/>
    <w:rsid w:val="00E7209D"/>
    <w:rsid w:val="00E72EAD"/>
    <w:rsid w:val="00E73994"/>
    <w:rsid w:val="00E77223"/>
    <w:rsid w:val="00E8528B"/>
    <w:rsid w:val="00E85B94"/>
    <w:rsid w:val="00E919D6"/>
    <w:rsid w:val="00E978D0"/>
    <w:rsid w:val="00EA0E93"/>
    <w:rsid w:val="00EA3EF9"/>
    <w:rsid w:val="00EA4613"/>
    <w:rsid w:val="00EA7F91"/>
    <w:rsid w:val="00EB1523"/>
    <w:rsid w:val="00EB20C4"/>
    <w:rsid w:val="00EB3F80"/>
    <w:rsid w:val="00EC0E49"/>
    <w:rsid w:val="00EC101F"/>
    <w:rsid w:val="00EC1D9F"/>
    <w:rsid w:val="00EC7463"/>
    <w:rsid w:val="00ED6E7E"/>
    <w:rsid w:val="00EE0131"/>
    <w:rsid w:val="00EE165C"/>
    <w:rsid w:val="00EE17B0"/>
    <w:rsid w:val="00EE4115"/>
    <w:rsid w:val="00EF06D9"/>
    <w:rsid w:val="00EF0982"/>
    <w:rsid w:val="00F0038A"/>
    <w:rsid w:val="00F126A5"/>
    <w:rsid w:val="00F259D0"/>
    <w:rsid w:val="00F3049E"/>
    <w:rsid w:val="00F30C64"/>
    <w:rsid w:val="00F32BA2"/>
    <w:rsid w:val="00F32CDB"/>
    <w:rsid w:val="00F3348F"/>
    <w:rsid w:val="00F34507"/>
    <w:rsid w:val="00F36C9D"/>
    <w:rsid w:val="00F37280"/>
    <w:rsid w:val="00F41EE4"/>
    <w:rsid w:val="00F42156"/>
    <w:rsid w:val="00F50009"/>
    <w:rsid w:val="00F565FE"/>
    <w:rsid w:val="00F56C87"/>
    <w:rsid w:val="00F63A70"/>
    <w:rsid w:val="00F63D8C"/>
    <w:rsid w:val="00F64B47"/>
    <w:rsid w:val="00F66195"/>
    <w:rsid w:val="00F73A42"/>
    <w:rsid w:val="00F7534E"/>
    <w:rsid w:val="00F93EDF"/>
    <w:rsid w:val="00F96771"/>
    <w:rsid w:val="00FA1643"/>
    <w:rsid w:val="00FA1802"/>
    <w:rsid w:val="00FA21D0"/>
    <w:rsid w:val="00FA268A"/>
    <w:rsid w:val="00FA5F5F"/>
    <w:rsid w:val="00FB02D7"/>
    <w:rsid w:val="00FB730C"/>
    <w:rsid w:val="00FB7C1A"/>
    <w:rsid w:val="00FC2695"/>
    <w:rsid w:val="00FC3E03"/>
    <w:rsid w:val="00FC3FC1"/>
    <w:rsid w:val="00FD7592"/>
    <w:rsid w:val="00FE7459"/>
    <w:rsid w:val="00FE7BD6"/>
    <w:rsid w:val="00FF6F3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Cmsor1">
    <w:name w:val="heading 1"/>
    <w:basedOn w:val="CETHeading1"/>
    <w:next w:val="Norml"/>
    <w:link w:val="Cmsor1Char"/>
    <w:uiPriority w:val="9"/>
    <w:rsid w:val="004F5E36"/>
    <w:pPr>
      <w:tabs>
        <w:tab w:val="clear" w:pos="360"/>
        <w:tab w:val="right" w:pos="7100"/>
      </w:tabs>
      <w:jc w:val="both"/>
      <w:outlineLvl w:val="0"/>
    </w:pPr>
    <w:rPr>
      <w:lang w:val="en-GB"/>
    </w:rPr>
  </w:style>
  <w:style w:type="paragraph" w:styleId="Cmsor2">
    <w:name w:val="heading 2"/>
    <w:basedOn w:val="Norml"/>
    <w:next w:val="Norml"/>
    <w:link w:val="Cmsor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Cmsor9">
    <w:name w:val="heading 9"/>
    <w:basedOn w:val="Norml"/>
    <w:next w:val="Norml"/>
    <w:link w:val="Cmsor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314E4F"/>
    <w:pPr>
      <w:keepNext/>
      <w:numPr>
        <w:ilvl w:val="2"/>
        <w:numId w:val="1"/>
      </w:numPr>
      <w:suppressAutoHyphens/>
      <w:spacing w:before="24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Egyszertblzat1">
    <w:name w:val="Table Simple 1"/>
    <w:basedOn w:val="Normltblzat"/>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314E4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Jegyzethivatkozs">
    <w:name w:val="annotation reference"/>
    <w:basedOn w:val="Bekezdsalapbettpusa"/>
    <w:uiPriority w:val="99"/>
    <w:semiHidden/>
    <w:unhideWhenUsed/>
    <w:rsid w:val="004577FE"/>
    <w:rPr>
      <w:sz w:val="16"/>
      <w:szCs w:val="16"/>
    </w:rPr>
  </w:style>
  <w:style w:type="paragraph" w:styleId="Buborkszveg">
    <w:name w:val="Balloon Text"/>
    <w:basedOn w:val="Norml"/>
    <w:link w:val="BuborkszvegChar"/>
    <w:uiPriority w:val="99"/>
    <w:semiHidden/>
    <w:unhideWhenUsed/>
    <w:rsid w:val="000D34BE"/>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D34BE"/>
    <w:rPr>
      <w:rFonts w:ascii="Tahoma" w:hAnsi="Tahoma" w:cs="Tahoma"/>
      <w:sz w:val="16"/>
      <w:szCs w:val="16"/>
    </w:rPr>
  </w:style>
  <w:style w:type="paragraph" w:styleId="Irodalomjegyzk">
    <w:name w:val="Bibliography"/>
    <w:basedOn w:val="CETReferencetext"/>
    <w:uiPriority w:val="37"/>
    <w:unhideWhenUsed/>
    <w:rsid w:val="00631B33"/>
    <w:pPr>
      <w:spacing w:line="240" w:lineRule="auto"/>
      <w:ind w:left="720" w:hanging="720"/>
    </w:pPr>
  </w:style>
  <w:style w:type="paragraph" w:styleId="Szvegtrzs2">
    <w:name w:val="Body Text 2"/>
    <w:basedOn w:val="Norml"/>
    <w:link w:val="Szvegtrzs2Char"/>
    <w:uiPriority w:val="99"/>
    <w:semiHidden/>
    <w:unhideWhenUsed/>
    <w:rsid w:val="0003148D"/>
    <w:pPr>
      <w:spacing w:after="120" w:line="480" w:lineRule="auto"/>
    </w:pPr>
  </w:style>
  <w:style w:type="character" w:customStyle="1" w:styleId="Szvegtrzs2Char">
    <w:name w:val="Szövegtörzs 2 Char"/>
    <w:basedOn w:val="Bekezdsalapbettpusa"/>
    <w:link w:val="Szvegtrzs2"/>
    <w:uiPriority w:val="99"/>
    <w:semiHidden/>
    <w:rsid w:val="0003148D"/>
  </w:style>
  <w:style w:type="paragraph" w:styleId="Szvegtrzs3">
    <w:name w:val="Body Text 3"/>
    <w:basedOn w:val="Norml"/>
    <w:link w:val="Szvegtrzs3Char"/>
    <w:uiPriority w:val="99"/>
    <w:semiHidden/>
    <w:unhideWhenUsed/>
    <w:rsid w:val="0003148D"/>
    <w:pPr>
      <w:spacing w:after="120"/>
    </w:pPr>
    <w:rPr>
      <w:sz w:val="16"/>
      <w:szCs w:val="16"/>
    </w:rPr>
  </w:style>
  <w:style w:type="character" w:customStyle="1" w:styleId="Szvegtrzs3Char">
    <w:name w:val="Szövegtörzs 3 Char"/>
    <w:basedOn w:val="Bekezdsalapbettpusa"/>
    <w:link w:val="Szvegtrzs3"/>
    <w:uiPriority w:val="99"/>
    <w:semiHidden/>
    <w:rsid w:val="0003148D"/>
    <w:rPr>
      <w:sz w:val="16"/>
      <w:szCs w:val="16"/>
    </w:rPr>
  </w:style>
  <w:style w:type="paragraph" w:styleId="Szvegtrzs">
    <w:name w:val="Body Text"/>
    <w:basedOn w:val="Norml"/>
    <w:link w:val="SzvegtrzsChar"/>
    <w:uiPriority w:val="99"/>
    <w:semiHidden/>
    <w:unhideWhenUsed/>
    <w:rsid w:val="0003148D"/>
    <w:pPr>
      <w:spacing w:after="120"/>
    </w:pPr>
  </w:style>
  <w:style w:type="character" w:customStyle="1" w:styleId="SzvegtrzsChar">
    <w:name w:val="Szövegtörzs Char"/>
    <w:basedOn w:val="Bekezdsalapbettpusa"/>
    <w:link w:val="Szvegtrzs"/>
    <w:uiPriority w:val="99"/>
    <w:semiHidden/>
    <w:rsid w:val="0003148D"/>
  </w:style>
  <w:style w:type="paragraph" w:styleId="Dtum">
    <w:name w:val="Date"/>
    <w:basedOn w:val="Norml"/>
    <w:next w:val="Norml"/>
    <w:link w:val="DtumChar"/>
    <w:uiPriority w:val="99"/>
    <w:semiHidden/>
    <w:unhideWhenUsed/>
    <w:rsid w:val="0003148D"/>
  </w:style>
  <w:style w:type="character" w:customStyle="1" w:styleId="DtumChar">
    <w:name w:val="Dátum Char"/>
    <w:basedOn w:val="Bekezdsalapbettpusa"/>
    <w:link w:val="Dtum"/>
    <w:uiPriority w:val="99"/>
    <w:semiHidden/>
    <w:rsid w:val="0003148D"/>
  </w:style>
  <w:style w:type="paragraph" w:styleId="Kpalrs">
    <w:name w:val="caption"/>
    <w:basedOn w:val="Norml"/>
    <w:next w:val="Norml"/>
    <w:uiPriority w:val="35"/>
    <w:semiHidden/>
    <w:unhideWhenUsed/>
    <w:qFormat/>
    <w:rsid w:val="0003148D"/>
    <w:pPr>
      <w:spacing w:line="240" w:lineRule="auto"/>
    </w:pPr>
    <w:rPr>
      <w:b/>
      <w:bCs/>
      <w:color w:val="4F81BD" w:themeColor="accent1"/>
      <w:szCs w:val="18"/>
    </w:rPr>
  </w:style>
  <w:style w:type="paragraph" w:styleId="Lista">
    <w:name w:val="List"/>
    <w:basedOn w:val="Norml"/>
    <w:uiPriority w:val="99"/>
    <w:semiHidden/>
    <w:unhideWhenUsed/>
    <w:rsid w:val="0003148D"/>
    <w:pPr>
      <w:ind w:left="283" w:hanging="283"/>
      <w:contextualSpacing/>
    </w:pPr>
  </w:style>
  <w:style w:type="paragraph" w:styleId="Lista2">
    <w:name w:val="List 2"/>
    <w:basedOn w:val="Norml"/>
    <w:uiPriority w:val="99"/>
    <w:semiHidden/>
    <w:unhideWhenUsed/>
    <w:rsid w:val="0003148D"/>
    <w:pPr>
      <w:ind w:left="566" w:hanging="283"/>
      <w:contextualSpacing/>
    </w:pPr>
  </w:style>
  <w:style w:type="paragraph" w:styleId="Lista3">
    <w:name w:val="List 3"/>
    <w:basedOn w:val="Norml"/>
    <w:uiPriority w:val="99"/>
    <w:semiHidden/>
    <w:unhideWhenUsed/>
    <w:rsid w:val="0003148D"/>
    <w:pPr>
      <w:ind w:left="849" w:hanging="283"/>
      <w:contextualSpacing/>
    </w:pPr>
  </w:style>
  <w:style w:type="paragraph" w:styleId="Lista4">
    <w:name w:val="List 4"/>
    <w:basedOn w:val="Norml"/>
    <w:uiPriority w:val="99"/>
    <w:semiHidden/>
    <w:unhideWhenUsed/>
    <w:rsid w:val="0003148D"/>
    <w:pPr>
      <w:ind w:left="1132" w:hanging="283"/>
      <w:contextualSpacing/>
    </w:pPr>
  </w:style>
  <w:style w:type="paragraph" w:styleId="Lista5">
    <w:name w:val="List 5"/>
    <w:basedOn w:val="Norml"/>
    <w:uiPriority w:val="99"/>
    <w:semiHidden/>
    <w:unhideWhenUsed/>
    <w:rsid w:val="0003148D"/>
    <w:pPr>
      <w:ind w:left="1415" w:hanging="283"/>
      <w:contextualSpacing/>
    </w:pPr>
  </w:style>
  <w:style w:type="paragraph" w:styleId="Listafolytatsa">
    <w:name w:val="List Continue"/>
    <w:basedOn w:val="Norml"/>
    <w:uiPriority w:val="99"/>
    <w:semiHidden/>
    <w:unhideWhenUsed/>
    <w:rsid w:val="0003148D"/>
    <w:pPr>
      <w:spacing w:after="120"/>
      <w:ind w:left="283"/>
      <w:contextualSpacing/>
    </w:pPr>
  </w:style>
  <w:style w:type="paragraph" w:styleId="Listafolytatsa2">
    <w:name w:val="List Continue 2"/>
    <w:basedOn w:val="Norml"/>
    <w:uiPriority w:val="99"/>
    <w:semiHidden/>
    <w:unhideWhenUsed/>
    <w:rsid w:val="0003148D"/>
    <w:pPr>
      <w:spacing w:after="120"/>
      <w:ind w:left="566"/>
      <w:contextualSpacing/>
    </w:pPr>
  </w:style>
  <w:style w:type="paragraph" w:styleId="Listafolytatsa3">
    <w:name w:val="List Continue 3"/>
    <w:basedOn w:val="Norml"/>
    <w:uiPriority w:val="99"/>
    <w:semiHidden/>
    <w:unhideWhenUsed/>
    <w:rsid w:val="0003148D"/>
    <w:pPr>
      <w:spacing w:after="120"/>
      <w:ind w:left="849"/>
      <w:contextualSpacing/>
    </w:pPr>
  </w:style>
  <w:style w:type="paragraph" w:styleId="Listafolytatsa4">
    <w:name w:val="List Continue 4"/>
    <w:basedOn w:val="Norml"/>
    <w:uiPriority w:val="99"/>
    <w:semiHidden/>
    <w:unhideWhenUsed/>
    <w:rsid w:val="0003148D"/>
    <w:pPr>
      <w:spacing w:after="120"/>
      <w:ind w:left="1132"/>
      <w:contextualSpacing/>
    </w:pPr>
  </w:style>
  <w:style w:type="paragraph" w:styleId="Listafolytatsa5">
    <w:name w:val="List Continue 5"/>
    <w:basedOn w:val="Norml"/>
    <w:uiPriority w:val="99"/>
    <w:semiHidden/>
    <w:unhideWhenUsed/>
    <w:rsid w:val="0003148D"/>
    <w:pPr>
      <w:spacing w:after="120"/>
      <w:ind w:left="1415"/>
      <w:contextualSpacing/>
    </w:pPr>
  </w:style>
  <w:style w:type="paragraph" w:styleId="Alrs">
    <w:name w:val="Signature"/>
    <w:basedOn w:val="Norml"/>
    <w:link w:val="AlrsChar"/>
    <w:uiPriority w:val="99"/>
    <w:semiHidden/>
    <w:unhideWhenUsed/>
    <w:rsid w:val="0003148D"/>
    <w:pPr>
      <w:spacing w:line="240" w:lineRule="auto"/>
      <w:ind w:left="4252"/>
    </w:pPr>
  </w:style>
  <w:style w:type="character" w:customStyle="1" w:styleId="AlrsChar">
    <w:name w:val="Aláírás Char"/>
    <w:basedOn w:val="Bekezdsalapbettpusa"/>
    <w:link w:val="Alrs"/>
    <w:uiPriority w:val="99"/>
    <w:semiHidden/>
    <w:rsid w:val="0003148D"/>
  </w:style>
  <w:style w:type="paragraph" w:styleId="E-mail-alrs">
    <w:name w:val="E-mail Signature"/>
    <w:basedOn w:val="Norml"/>
    <w:link w:val="E-mail-alrsChar"/>
    <w:uiPriority w:val="99"/>
    <w:semiHidden/>
    <w:unhideWhenUsed/>
    <w:rsid w:val="0003148D"/>
    <w:pPr>
      <w:spacing w:line="240" w:lineRule="auto"/>
    </w:pPr>
  </w:style>
  <w:style w:type="character" w:customStyle="1" w:styleId="E-mail-alrsChar">
    <w:name w:val="E-mail-aláírás Char"/>
    <w:basedOn w:val="Bekezdsalapbettpusa"/>
    <w:link w:val="E-mail-alrs"/>
    <w:uiPriority w:val="99"/>
    <w:semiHidden/>
    <w:rsid w:val="0003148D"/>
  </w:style>
  <w:style w:type="paragraph" w:styleId="Megszlts">
    <w:name w:val="Salutation"/>
    <w:basedOn w:val="Norml"/>
    <w:next w:val="Norml"/>
    <w:link w:val="MegszltsChar"/>
    <w:uiPriority w:val="99"/>
    <w:semiHidden/>
    <w:unhideWhenUsed/>
    <w:rsid w:val="0003148D"/>
  </w:style>
  <w:style w:type="character" w:customStyle="1" w:styleId="MegszltsChar">
    <w:name w:val="Megszólítás Char"/>
    <w:basedOn w:val="Bekezdsalapbettpusa"/>
    <w:link w:val="Megszlts"/>
    <w:uiPriority w:val="99"/>
    <w:semiHidden/>
    <w:rsid w:val="0003148D"/>
  </w:style>
  <w:style w:type="paragraph" w:styleId="Befejezs">
    <w:name w:val="Closing"/>
    <w:basedOn w:val="Norml"/>
    <w:link w:val="BefejezsChar"/>
    <w:uiPriority w:val="99"/>
    <w:semiHidden/>
    <w:unhideWhenUsed/>
    <w:rsid w:val="0003148D"/>
    <w:pPr>
      <w:spacing w:line="240" w:lineRule="auto"/>
      <w:ind w:left="4252"/>
    </w:pPr>
  </w:style>
  <w:style w:type="character" w:customStyle="1" w:styleId="BefejezsChar">
    <w:name w:val="Befejezés Char"/>
    <w:basedOn w:val="Bekezdsalapbettpusa"/>
    <w:link w:val="Befejezs"/>
    <w:uiPriority w:val="99"/>
    <w:semiHidden/>
    <w:rsid w:val="0003148D"/>
  </w:style>
  <w:style w:type="paragraph" w:styleId="Trgymutat1">
    <w:name w:val="index 1"/>
    <w:basedOn w:val="Norml"/>
    <w:next w:val="Norml"/>
    <w:autoRedefine/>
    <w:uiPriority w:val="99"/>
    <w:semiHidden/>
    <w:unhideWhenUsed/>
    <w:rsid w:val="0003148D"/>
    <w:pPr>
      <w:spacing w:line="240" w:lineRule="auto"/>
      <w:ind w:left="220" w:hanging="220"/>
    </w:pPr>
  </w:style>
  <w:style w:type="paragraph" w:styleId="Trgymutat2">
    <w:name w:val="index 2"/>
    <w:basedOn w:val="Norml"/>
    <w:next w:val="Norml"/>
    <w:autoRedefine/>
    <w:uiPriority w:val="99"/>
    <w:semiHidden/>
    <w:unhideWhenUsed/>
    <w:rsid w:val="0003148D"/>
    <w:pPr>
      <w:spacing w:line="240" w:lineRule="auto"/>
      <w:ind w:left="440" w:hanging="220"/>
    </w:pPr>
  </w:style>
  <w:style w:type="paragraph" w:styleId="Trgymutat3">
    <w:name w:val="index 3"/>
    <w:basedOn w:val="Norml"/>
    <w:next w:val="Norml"/>
    <w:autoRedefine/>
    <w:uiPriority w:val="99"/>
    <w:semiHidden/>
    <w:unhideWhenUsed/>
    <w:rsid w:val="0003148D"/>
    <w:pPr>
      <w:spacing w:line="240" w:lineRule="auto"/>
      <w:ind w:left="660" w:hanging="220"/>
    </w:pPr>
  </w:style>
  <w:style w:type="paragraph" w:styleId="Trgymutat4">
    <w:name w:val="index 4"/>
    <w:basedOn w:val="Norml"/>
    <w:next w:val="Norml"/>
    <w:autoRedefine/>
    <w:uiPriority w:val="99"/>
    <w:semiHidden/>
    <w:unhideWhenUsed/>
    <w:rsid w:val="0003148D"/>
    <w:pPr>
      <w:spacing w:line="240" w:lineRule="auto"/>
      <w:ind w:left="880" w:hanging="220"/>
    </w:pPr>
  </w:style>
  <w:style w:type="paragraph" w:styleId="Trgymutat5">
    <w:name w:val="index 5"/>
    <w:basedOn w:val="Norml"/>
    <w:next w:val="Norml"/>
    <w:autoRedefine/>
    <w:uiPriority w:val="99"/>
    <w:semiHidden/>
    <w:unhideWhenUsed/>
    <w:rsid w:val="0003148D"/>
    <w:pPr>
      <w:spacing w:line="240" w:lineRule="auto"/>
      <w:ind w:left="1100" w:hanging="220"/>
    </w:pPr>
  </w:style>
  <w:style w:type="paragraph" w:styleId="Trgymutat6">
    <w:name w:val="index 6"/>
    <w:basedOn w:val="Norml"/>
    <w:next w:val="Norml"/>
    <w:autoRedefine/>
    <w:uiPriority w:val="99"/>
    <w:semiHidden/>
    <w:unhideWhenUsed/>
    <w:rsid w:val="0003148D"/>
    <w:pPr>
      <w:spacing w:line="240" w:lineRule="auto"/>
      <w:ind w:left="1320" w:hanging="220"/>
    </w:pPr>
  </w:style>
  <w:style w:type="paragraph" w:styleId="Trgymutat7">
    <w:name w:val="index 7"/>
    <w:basedOn w:val="Norml"/>
    <w:next w:val="Norml"/>
    <w:autoRedefine/>
    <w:uiPriority w:val="99"/>
    <w:semiHidden/>
    <w:unhideWhenUsed/>
    <w:rsid w:val="0003148D"/>
    <w:pPr>
      <w:spacing w:line="240" w:lineRule="auto"/>
      <w:ind w:left="1540" w:hanging="220"/>
    </w:pPr>
  </w:style>
  <w:style w:type="paragraph" w:styleId="Trgymutat8">
    <w:name w:val="index 8"/>
    <w:basedOn w:val="Norml"/>
    <w:next w:val="Norml"/>
    <w:autoRedefine/>
    <w:uiPriority w:val="99"/>
    <w:semiHidden/>
    <w:unhideWhenUsed/>
    <w:rsid w:val="0003148D"/>
    <w:pPr>
      <w:spacing w:line="240" w:lineRule="auto"/>
      <w:ind w:left="1760" w:hanging="220"/>
    </w:pPr>
  </w:style>
  <w:style w:type="paragraph" w:styleId="Trgymutat9">
    <w:name w:val="index 9"/>
    <w:basedOn w:val="Norml"/>
    <w:next w:val="Norml"/>
    <w:autoRedefine/>
    <w:uiPriority w:val="99"/>
    <w:semiHidden/>
    <w:unhideWhenUsed/>
    <w:rsid w:val="0003148D"/>
    <w:pPr>
      <w:spacing w:line="240" w:lineRule="auto"/>
      <w:ind w:left="1980" w:hanging="220"/>
    </w:pPr>
  </w:style>
  <w:style w:type="paragraph" w:styleId="brajegyzk">
    <w:name w:val="table of figures"/>
    <w:basedOn w:val="Norml"/>
    <w:next w:val="Norml"/>
    <w:uiPriority w:val="99"/>
    <w:semiHidden/>
    <w:unhideWhenUsed/>
    <w:rsid w:val="0003148D"/>
  </w:style>
  <w:style w:type="paragraph" w:styleId="Hivatkozsjegyzk">
    <w:name w:val="table of authorities"/>
    <w:basedOn w:val="Norml"/>
    <w:next w:val="Norml"/>
    <w:uiPriority w:val="99"/>
    <w:semiHidden/>
    <w:unhideWhenUsed/>
    <w:rsid w:val="0003148D"/>
    <w:pPr>
      <w:ind w:left="220" w:hanging="220"/>
    </w:pPr>
  </w:style>
  <w:style w:type="paragraph" w:styleId="Bortkcm">
    <w:name w:val="envelope address"/>
    <w:basedOn w:val="Norm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cm">
    <w:name w:val="HTML Address"/>
    <w:basedOn w:val="Norml"/>
    <w:link w:val="HTML-cmChar"/>
    <w:uiPriority w:val="99"/>
    <w:semiHidden/>
    <w:unhideWhenUsed/>
    <w:rsid w:val="0003148D"/>
    <w:pPr>
      <w:spacing w:line="240" w:lineRule="auto"/>
    </w:pPr>
    <w:rPr>
      <w:i/>
      <w:iCs/>
    </w:rPr>
  </w:style>
  <w:style w:type="character" w:customStyle="1" w:styleId="HTML-cmChar">
    <w:name w:val="HTML-cím Char"/>
    <w:basedOn w:val="Bekezdsalapbettpusa"/>
    <w:link w:val="HTML-cm"/>
    <w:uiPriority w:val="99"/>
    <w:semiHidden/>
    <w:rsid w:val="0003148D"/>
    <w:rPr>
      <w:i/>
      <w:iCs/>
    </w:rPr>
  </w:style>
  <w:style w:type="paragraph" w:styleId="Feladcmebortkon">
    <w:name w:val="envelope return"/>
    <w:basedOn w:val="Norml"/>
    <w:uiPriority w:val="99"/>
    <w:semiHidden/>
    <w:unhideWhenUsed/>
    <w:rsid w:val="0003148D"/>
    <w:pPr>
      <w:spacing w:line="240" w:lineRule="auto"/>
    </w:pPr>
    <w:rPr>
      <w:rFonts w:asciiTheme="majorHAnsi" w:eastAsiaTheme="majorEastAsia" w:hAnsiTheme="majorHAnsi" w:cstheme="majorBidi"/>
    </w:rPr>
  </w:style>
  <w:style w:type="paragraph" w:styleId="zenetfej">
    <w:name w:val="Message Header"/>
    <w:basedOn w:val="Norml"/>
    <w:link w:val="zenetfej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zenetfejChar">
    <w:name w:val="Üzenetfej Char"/>
    <w:basedOn w:val="Bekezdsalapbettpusa"/>
    <w:link w:val="zenetfej"/>
    <w:uiPriority w:val="99"/>
    <w:semiHidden/>
    <w:rsid w:val="0003148D"/>
    <w:rPr>
      <w:rFonts w:asciiTheme="majorHAnsi" w:eastAsiaTheme="majorEastAsia" w:hAnsiTheme="majorHAnsi" w:cstheme="majorBidi"/>
      <w:sz w:val="24"/>
      <w:szCs w:val="24"/>
      <w:shd w:val="pct20" w:color="auto" w:fill="auto"/>
    </w:rPr>
  </w:style>
  <w:style w:type="paragraph" w:styleId="Megjegyzsfej">
    <w:name w:val="Note Heading"/>
    <w:basedOn w:val="Norml"/>
    <w:next w:val="Norml"/>
    <w:link w:val="MegjegyzsfejChar"/>
    <w:uiPriority w:val="99"/>
    <w:semiHidden/>
    <w:unhideWhenUsed/>
    <w:rsid w:val="0003148D"/>
    <w:pPr>
      <w:spacing w:line="240" w:lineRule="auto"/>
    </w:pPr>
  </w:style>
  <w:style w:type="character" w:customStyle="1" w:styleId="MegjegyzsfejChar">
    <w:name w:val="Megjegyzésfej Char"/>
    <w:basedOn w:val="Bekezdsalapbettpusa"/>
    <w:link w:val="Megjegyzsfej"/>
    <w:uiPriority w:val="99"/>
    <w:semiHidden/>
    <w:rsid w:val="0003148D"/>
  </w:style>
  <w:style w:type="paragraph" w:styleId="Dokumentumtrkp">
    <w:name w:val="Document Map"/>
    <w:basedOn w:val="Norml"/>
    <w:link w:val="DokumentumtrkpChar"/>
    <w:uiPriority w:val="99"/>
    <w:semiHidden/>
    <w:unhideWhenUsed/>
    <w:rsid w:val="0003148D"/>
    <w:pPr>
      <w:spacing w:line="240" w:lineRule="auto"/>
    </w:pPr>
    <w:rPr>
      <w:rFonts w:ascii="Tahoma" w:hAnsi="Tahoma" w:cs="Tahoma"/>
      <w:sz w:val="16"/>
      <w:szCs w:val="16"/>
    </w:rPr>
  </w:style>
  <w:style w:type="character" w:customStyle="1" w:styleId="DokumentumtrkpChar">
    <w:name w:val="Dokumentumtérkép Char"/>
    <w:basedOn w:val="Bekezdsalapbettpusa"/>
    <w:link w:val="Dokumentumtrkp"/>
    <w:uiPriority w:val="99"/>
    <w:semiHidden/>
    <w:rsid w:val="0003148D"/>
    <w:rPr>
      <w:rFonts w:ascii="Tahoma" w:hAnsi="Tahoma" w:cs="Tahoma"/>
      <w:sz w:val="16"/>
      <w:szCs w:val="16"/>
    </w:rPr>
  </w:style>
  <w:style w:type="paragraph" w:styleId="NormlWeb">
    <w:name w:val="Normal (Web)"/>
    <w:basedOn w:val="Norml"/>
    <w:uiPriority w:val="99"/>
    <w:unhideWhenUsed/>
    <w:rsid w:val="0003148D"/>
    <w:rPr>
      <w:sz w:val="24"/>
      <w:szCs w:val="24"/>
    </w:rPr>
  </w:style>
  <w:style w:type="paragraph" w:styleId="Szmozottlista">
    <w:name w:val="List Number"/>
    <w:basedOn w:val="Norml"/>
    <w:uiPriority w:val="99"/>
    <w:semiHidden/>
    <w:unhideWhenUsed/>
    <w:rsid w:val="0003148D"/>
    <w:pPr>
      <w:numPr>
        <w:numId w:val="2"/>
      </w:numPr>
      <w:contextualSpacing/>
    </w:pPr>
  </w:style>
  <w:style w:type="paragraph" w:styleId="Szmozottlista2">
    <w:name w:val="List Number 2"/>
    <w:basedOn w:val="Norml"/>
    <w:uiPriority w:val="99"/>
    <w:semiHidden/>
    <w:unhideWhenUsed/>
    <w:rsid w:val="0003148D"/>
    <w:pPr>
      <w:numPr>
        <w:numId w:val="3"/>
      </w:numPr>
      <w:contextualSpacing/>
    </w:pPr>
  </w:style>
  <w:style w:type="paragraph" w:styleId="Szmozottlista3">
    <w:name w:val="List Number 3"/>
    <w:basedOn w:val="Norml"/>
    <w:uiPriority w:val="99"/>
    <w:semiHidden/>
    <w:unhideWhenUsed/>
    <w:rsid w:val="0003148D"/>
    <w:pPr>
      <w:numPr>
        <w:numId w:val="4"/>
      </w:numPr>
      <w:contextualSpacing/>
    </w:pPr>
  </w:style>
  <w:style w:type="paragraph" w:styleId="Szmozottlista4">
    <w:name w:val="List Number 4"/>
    <w:basedOn w:val="Norml"/>
    <w:uiPriority w:val="99"/>
    <w:semiHidden/>
    <w:unhideWhenUsed/>
    <w:rsid w:val="0003148D"/>
    <w:pPr>
      <w:numPr>
        <w:numId w:val="5"/>
      </w:numPr>
      <w:contextualSpacing/>
    </w:pPr>
  </w:style>
  <w:style w:type="paragraph" w:styleId="Szmozottlista5">
    <w:name w:val="List Number 5"/>
    <w:basedOn w:val="Norml"/>
    <w:uiPriority w:val="99"/>
    <w:semiHidden/>
    <w:unhideWhenUsed/>
    <w:rsid w:val="0003148D"/>
    <w:pPr>
      <w:numPr>
        <w:numId w:val="6"/>
      </w:numPr>
      <w:contextualSpacing/>
    </w:pPr>
  </w:style>
  <w:style w:type="paragraph" w:styleId="HTML-kntformzott">
    <w:name w:val="HTML Preformatted"/>
    <w:basedOn w:val="Norml"/>
    <w:link w:val="HTML-kntformzottChar"/>
    <w:uiPriority w:val="99"/>
    <w:semiHidden/>
    <w:unhideWhenUsed/>
    <w:rsid w:val="0003148D"/>
    <w:pPr>
      <w:spacing w:line="240" w:lineRule="auto"/>
    </w:pPr>
    <w:rPr>
      <w:rFonts w:ascii="Consolas" w:hAnsi="Consolas" w:cs="Consolas"/>
    </w:rPr>
  </w:style>
  <w:style w:type="character" w:customStyle="1" w:styleId="HTML-kntformzottChar">
    <w:name w:val="HTML-ként formázott Char"/>
    <w:basedOn w:val="Bekezdsalapbettpusa"/>
    <w:link w:val="HTML-kntformzott"/>
    <w:uiPriority w:val="99"/>
    <w:semiHidden/>
    <w:rsid w:val="0003148D"/>
    <w:rPr>
      <w:rFonts w:ascii="Consolas" w:hAnsi="Consolas" w:cs="Consolas"/>
      <w:sz w:val="20"/>
      <w:szCs w:val="20"/>
    </w:rPr>
  </w:style>
  <w:style w:type="paragraph" w:styleId="Szvegtrzselssora">
    <w:name w:val="Body Text First Indent"/>
    <w:basedOn w:val="Szvegtrzs"/>
    <w:link w:val="SzvegtrzselssoraChar"/>
    <w:uiPriority w:val="99"/>
    <w:semiHidden/>
    <w:unhideWhenUsed/>
    <w:rsid w:val="0003148D"/>
    <w:pPr>
      <w:spacing w:after="200"/>
      <w:ind w:firstLine="360"/>
    </w:pPr>
  </w:style>
  <w:style w:type="character" w:customStyle="1" w:styleId="SzvegtrzselssoraChar">
    <w:name w:val="Szövegtörzs első sora Char"/>
    <w:basedOn w:val="SzvegtrzsChar"/>
    <w:link w:val="Szvegtrzselssora"/>
    <w:uiPriority w:val="99"/>
    <w:semiHidden/>
    <w:rsid w:val="0003148D"/>
  </w:style>
  <w:style w:type="paragraph" w:styleId="Szvegtrzsbehzssal">
    <w:name w:val="Body Text Indent"/>
    <w:basedOn w:val="Norml"/>
    <w:link w:val="SzvegtrzsbehzssalChar"/>
    <w:uiPriority w:val="99"/>
    <w:semiHidden/>
    <w:unhideWhenUsed/>
    <w:rsid w:val="0003148D"/>
    <w:pPr>
      <w:spacing w:after="120"/>
      <w:ind w:left="283"/>
    </w:pPr>
  </w:style>
  <w:style w:type="character" w:customStyle="1" w:styleId="SzvegtrzsbehzssalChar">
    <w:name w:val="Szövegtörzs behúzással Char"/>
    <w:basedOn w:val="Bekezdsalapbettpusa"/>
    <w:link w:val="Szvegtrzsbehzssal"/>
    <w:uiPriority w:val="99"/>
    <w:semiHidden/>
    <w:rsid w:val="0003148D"/>
  </w:style>
  <w:style w:type="paragraph" w:styleId="Szvegtrzselssora2">
    <w:name w:val="Body Text First Indent 2"/>
    <w:basedOn w:val="Szvegtrzsbehzssal"/>
    <w:link w:val="Szvegtrzselssora2Char"/>
    <w:uiPriority w:val="99"/>
    <w:semiHidden/>
    <w:unhideWhenUsed/>
    <w:rsid w:val="0003148D"/>
    <w:pPr>
      <w:spacing w:after="200"/>
      <w:ind w:left="360" w:firstLine="360"/>
    </w:pPr>
  </w:style>
  <w:style w:type="character" w:customStyle="1" w:styleId="Szvegtrzselssora2Char">
    <w:name w:val="Szövegtörzs első sora 2 Char"/>
    <w:basedOn w:val="SzvegtrzsbehzssalChar"/>
    <w:link w:val="Szvegtrzselssora2"/>
    <w:uiPriority w:val="99"/>
    <w:semiHidden/>
    <w:rsid w:val="0003148D"/>
  </w:style>
  <w:style w:type="paragraph" w:styleId="Felsorols">
    <w:name w:val="List Bullet"/>
    <w:basedOn w:val="Norml"/>
    <w:uiPriority w:val="99"/>
    <w:semiHidden/>
    <w:unhideWhenUsed/>
    <w:rsid w:val="0003148D"/>
    <w:pPr>
      <w:numPr>
        <w:numId w:val="7"/>
      </w:numPr>
      <w:contextualSpacing/>
    </w:pPr>
  </w:style>
  <w:style w:type="paragraph" w:styleId="Felsorols2">
    <w:name w:val="List Bullet 2"/>
    <w:basedOn w:val="Norml"/>
    <w:uiPriority w:val="99"/>
    <w:semiHidden/>
    <w:unhideWhenUsed/>
    <w:rsid w:val="0003148D"/>
    <w:pPr>
      <w:numPr>
        <w:numId w:val="8"/>
      </w:numPr>
      <w:contextualSpacing/>
    </w:pPr>
  </w:style>
  <w:style w:type="paragraph" w:styleId="Felsorols3">
    <w:name w:val="List Bullet 3"/>
    <w:basedOn w:val="Norml"/>
    <w:uiPriority w:val="99"/>
    <w:semiHidden/>
    <w:unhideWhenUsed/>
    <w:rsid w:val="0003148D"/>
    <w:pPr>
      <w:numPr>
        <w:numId w:val="9"/>
      </w:numPr>
      <w:contextualSpacing/>
    </w:pPr>
  </w:style>
  <w:style w:type="paragraph" w:styleId="Felsorols4">
    <w:name w:val="List Bullet 4"/>
    <w:basedOn w:val="Norml"/>
    <w:uiPriority w:val="99"/>
    <w:semiHidden/>
    <w:unhideWhenUsed/>
    <w:rsid w:val="0003148D"/>
    <w:pPr>
      <w:numPr>
        <w:numId w:val="10"/>
      </w:numPr>
      <w:contextualSpacing/>
    </w:pPr>
  </w:style>
  <w:style w:type="paragraph" w:styleId="Felsorols5">
    <w:name w:val="List Bullet 5"/>
    <w:basedOn w:val="Norml"/>
    <w:uiPriority w:val="99"/>
    <w:semiHidden/>
    <w:unhideWhenUsed/>
    <w:rsid w:val="0003148D"/>
    <w:pPr>
      <w:numPr>
        <w:numId w:val="11"/>
      </w:numPr>
      <w:contextualSpacing/>
    </w:pPr>
  </w:style>
  <w:style w:type="paragraph" w:styleId="Szvegtrzsbehzssal2">
    <w:name w:val="Body Text Indent 2"/>
    <w:basedOn w:val="Norml"/>
    <w:link w:val="Szvegtrzsbehzssal2Char"/>
    <w:uiPriority w:val="99"/>
    <w:semiHidden/>
    <w:unhideWhenUsed/>
    <w:rsid w:val="0003148D"/>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03148D"/>
  </w:style>
  <w:style w:type="paragraph" w:styleId="Szvegtrzsbehzssal3">
    <w:name w:val="Body Text Indent 3"/>
    <w:basedOn w:val="Norml"/>
    <w:link w:val="Szvegtrzsbehzssal3Char"/>
    <w:uiPriority w:val="99"/>
    <w:semiHidden/>
    <w:unhideWhenUsed/>
    <w:rsid w:val="0003148D"/>
    <w:pPr>
      <w:spacing w:after="120"/>
      <w:ind w:left="283"/>
    </w:pPr>
    <w:rPr>
      <w:sz w:val="16"/>
      <w:szCs w:val="16"/>
    </w:rPr>
  </w:style>
  <w:style w:type="character" w:customStyle="1" w:styleId="Szvegtrzsbehzssal3Char">
    <w:name w:val="Szövegtörzs behúzással 3 Char"/>
    <w:basedOn w:val="Bekezdsalapbettpusa"/>
    <w:link w:val="Szvegtrzsbehzssal3"/>
    <w:uiPriority w:val="99"/>
    <w:semiHidden/>
    <w:rsid w:val="0003148D"/>
    <w:rPr>
      <w:sz w:val="16"/>
      <w:szCs w:val="16"/>
    </w:rPr>
  </w:style>
  <w:style w:type="paragraph" w:styleId="Normlbehzs">
    <w:name w:val="Normal Indent"/>
    <w:basedOn w:val="Norml"/>
    <w:uiPriority w:val="99"/>
    <w:semiHidden/>
    <w:unhideWhenUsed/>
    <w:rsid w:val="0003148D"/>
    <w:pPr>
      <w:ind w:left="720"/>
    </w:pPr>
  </w:style>
  <w:style w:type="paragraph" w:styleId="Jegyzetszveg">
    <w:name w:val="annotation text"/>
    <w:basedOn w:val="Norml"/>
    <w:link w:val="JegyzetszvegChar"/>
    <w:uiPriority w:val="99"/>
    <w:unhideWhenUsed/>
    <w:rsid w:val="0003148D"/>
    <w:pPr>
      <w:spacing w:line="240" w:lineRule="auto"/>
    </w:pPr>
  </w:style>
  <w:style w:type="character" w:customStyle="1" w:styleId="JegyzetszvegChar">
    <w:name w:val="Jegyzetszöveg Char"/>
    <w:basedOn w:val="Bekezdsalapbettpusa"/>
    <w:link w:val="Jegyzetszveg"/>
    <w:uiPriority w:val="99"/>
    <w:rsid w:val="0003148D"/>
    <w:rPr>
      <w:sz w:val="20"/>
      <w:szCs w:val="20"/>
    </w:rPr>
  </w:style>
  <w:style w:type="paragraph" w:styleId="Megjegyzstrgya">
    <w:name w:val="annotation subject"/>
    <w:basedOn w:val="Jegyzetszveg"/>
    <w:next w:val="Jegyzetszveg"/>
    <w:link w:val="MegjegyzstrgyaChar"/>
    <w:uiPriority w:val="99"/>
    <w:semiHidden/>
    <w:unhideWhenUsed/>
    <w:rsid w:val="0003148D"/>
    <w:rPr>
      <w:b/>
      <w:bCs/>
    </w:rPr>
  </w:style>
  <w:style w:type="character" w:customStyle="1" w:styleId="MegjegyzstrgyaChar">
    <w:name w:val="Megjegyzés tárgya Char"/>
    <w:basedOn w:val="JegyzetszvegChar"/>
    <w:link w:val="Megjegyzstrgya"/>
    <w:uiPriority w:val="99"/>
    <w:semiHidden/>
    <w:rsid w:val="0003148D"/>
    <w:rPr>
      <w:b/>
      <w:bCs/>
      <w:sz w:val="20"/>
      <w:szCs w:val="20"/>
    </w:rPr>
  </w:style>
  <w:style w:type="paragraph" w:styleId="TJ1">
    <w:name w:val="toc 1"/>
    <w:basedOn w:val="Norml"/>
    <w:next w:val="Norml"/>
    <w:autoRedefine/>
    <w:uiPriority w:val="39"/>
    <w:semiHidden/>
    <w:unhideWhenUsed/>
    <w:rsid w:val="0003148D"/>
    <w:pPr>
      <w:spacing w:after="100"/>
    </w:pPr>
  </w:style>
  <w:style w:type="paragraph" w:styleId="TJ2">
    <w:name w:val="toc 2"/>
    <w:basedOn w:val="Norml"/>
    <w:next w:val="Norml"/>
    <w:autoRedefine/>
    <w:uiPriority w:val="39"/>
    <w:semiHidden/>
    <w:unhideWhenUsed/>
    <w:rsid w:val="0003148D"/>
    <w:pPr>
      <w:spacing w:after="100"/>
      <w:ind w:left="220"/>
    </w:pPr>
  </w:style>
  <w:style w:type="paragraph" w:styleId="TJ3">
    <w:name w:val="toc 3"/>
    <w:basedOn w:val="Norml"/>
    <w:next w:val="Norml"/>
    <w:autoRedefine/>
    <w:uiPriority w:val="39"/>
    <w:semiHidden/>
    <w:unhideWhenUsed/>
    <w:rsid w:val="0003148D"/>
    <w:pPr>
      <w:spacing w:after="100"/>
      <w:ind w:left="440"/>
    </w:pPr>
  </w:style>
  <w:style w:type="paragraph" w:styleId="TJ4">
    <w:name w:val="toc 4"/>
    <w:basedOn w:val="Norml"/>
    <w:next w:val="Norml"/>
    <w:autoRedefine/>
    <w:uiPriority w:val="39"/>
    <w:semiHidden/>
    <w:unhideWhenUsed/>
    <w:rsid w:val="0003148D"/>
    <w:pPr>
      <w:spacing w:after="100"/>
      <w:ind w:left="660"/>
    </w:pPr>
  </w:style>
  <w:style w:type="paragraph" w:styleId="TJ5">
    <w:name w:val="toc 5"/>
    <w:basedOn w:val="Norml"/>
    <w:next w:val="Norml"/>
    <w:autoRedefine/>
    <w:uiPriority w:val="39"/>
    <w:semiHidden/>
    <w:unhideWhenUsed/>
    <w:rsid w:val="0003148D"/>
    <w:pPr>
      <w:spacing w:after="100"/>
      <w:ind w:left="880"/>
    </w:pPr>
  </w:style>
  <w:style w:type="paragraph" w:styleId="TJ6">
    <w:name w:val="toc 6"/>
    <w:basedOn w:val="Norml"/>
    <w:next w:val="Norml"/>
    <w:autoRedefine/>
    <w:uiPriority w:val="39"/>
    <w:semiHidden/>
    <w:unhideWhenUsed/>
    <w:rsid w:val="0003148D"/>
    <w:pPr>
      <w:spacing w:after="100"/>
      <w:ind w:left="1100"/>
    </w:pPr>
  </w:style>
  <w:style w:type="paragraph" w:styleId="TJ7">
    <w:name w:val="toc 7"/>
    <w:basedOn w:val="Norml"/>
    <w:next w:val="Norml"/>
    <w:autoRedefine/>
    <w:uiPriority w:val="39"/>
    <w:semiHidden/>
    <w:unhideWhenUsed/>
    <w:rsid w:val="0003148D"/>
    <w:pPr>
      <w:spacing w:after="100"/>
      <w:ind w:left="1320"/>
    </w:pPr>
  </w:style>
  <w:style w:type="paragraph" w:styleId="TJ8">
    <w:name w:val="toc 8"/>
    <w:basedOn w:val="Norml"/>
    <w:next w:val="Norml"/>
    <w:autoRedefine/>
    <w:uiPriority w:val="39"/>
    <w:semiHidden/>
    <w:unhideWhenUsed/>
    <w:rsid w:val="0003148D"/>
    <w:pPr>
      <w:spacing w:after="100"/>
      <w:ind w:left="1540"/>
    </w:pPr>
  </w:style>
  <w:style w:type="paragraph" w:styleId="TJ9">
    <w:name w:val="toc 9"/>
    <w:basedOn w:val="Norml"/>
    <w:next w:val="Norml"/>
    <w:autoRedefine/>
    <w:uiPriority w:val="39"/>
    <w:semiHidden/>
    <w:unhideWhenUsed/>
    <w:rsid w:val="0003148D"/>
    <w:pPr>
      <w:spacing w:after="100"/>
      <w:ind w:left="1760"/>
    </w:pPr>
  </w:style>
  <w:style w:type="paragraph" w:styleId="Szvegblokk">
    <w:name w:val="Block Text"/>
    <w:basedOn w:val="Norm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krszvege">
    <w:name w:val="macro"/>
    <w:link w:val="Makrszvege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szvegeChar">
    <w:name w:val="Makró szövege Char"/>
    <w:basedOn w:val="Bekezdsalapbettpusa"/>
    <w:link w:val="Makrszvege"/>
    <w:uiPriority w:val="99"/>
    <w:semiHidden/>
    <w:rsid w:val="0003148D"/>
    <w:rPr>
      <w:rFonts w:ascii="Consolas" w:hAnsi="Consolas" w:cs="Consolas"/>
      <w:sz w:val="20"/>
      <w:szCs w:val="20"/>
    </w:rPr>
  </w:style>
  <w:style w:type="paragraph" w:styleId="Csakszveg">
    <w:name w:val="Plain Text"/>
    <w:basedOn w:val="Norml"/>
    <w:link w:val="CsakszvegChar"/>
    <w:uiPriority w:val="99"/>
    <w:semiHidden/>
    <w:unhideWhenUsed/>
    <w:rsid w:val="0003148D"/>
    <w:pPr>
      <w:spacing w:line="240" w:lineRule="auto"/>
    </w:pPr>
    <w:rPr>
      <w:rFonts w:ascii="Consolas" w:hAnsi="Consolas" w:cs="Consolas"/>
      <w:sz w:val="21"/>
      <w:szCs w:val="21"/>
    </w:rPr>
  </w:style>
  <w:style w:type="character" w:customStyle="1" w:styleId="CsakszvegChar">
    <w:name w:val="Csak szöveg Char"/>
    <w:basedOn w:val="Bekezdsalapbettpusa"/>
    <w:link w:val="Csakszveg"/>
    <w:uiPriority w:val="99"/>
    <w:semiHidden/>
    <w:rsid w:val="0003148D"/>
    <w:rPr>
      <w:rFonts w:ascii="Consolas" w:hAnsi="Consolas" w:cs="Consolas"/>
      <w:sz w:val="21"/>
      <w:szCs w:val="21"/>
    </w:rPr>
  </w:style>
  <w:style w:type="paragraph" w:styleId="Lbjegyzetszveg">
    <w:name w:val="footnote text"/>
    <w:basedOn w:val="Norml"/>
    <w:link w:val="LbjegyzetszvegChar"/>
    <w:uiPriority w:val="99"/>
    <w:semiHidden/>
    <w:unhideWhenUsed/>
    <w:rsid w:val="0003148D"/>
    <w:pPr>
      <w:spacing w:line="240" w:lineRule="auto"/>
    </w:pPr>
  </w:style>
  <w:style w:type="character" w:customStyle="1" w:styleId="LbjegyzetszvegChar">
    <w:name w:val="Lábjegyzetszöveg Char"/>
    <w:basedOn w:val="Bekezdsalapbettpusa"/>
    <w:link w:val="Lbjegyzetszveg"/>
    <w:uiPriority w:val="99"/>
    <w:semiHidden/>
    <w:rsid w:val="0003148D"/>
    <w:rPr>
      <w:sz w:val="20"/>
      <w:szCs w:val="20"/>
    </w:rPr>
  </w:style>
  <w:style w:type="paragraph" w:styleId="Vgjegyzetszvege">
    <w:name w:val="endnote text"/>
    <w:basedOn w:val="Norml"/>
    <w:link w:val="VgjegyzetszvegeChar"/>
    <w:uiPriority w:val="99"/>
    <w:semiHidden/>
    <w:unhideWhenUsed/>
    <w:rsid w:val="0003148D"/>
    <w:pPr>
      <w:spacing w:line="240" w:lineRule="auto"/>
    </w:pPr>
  </w:style>
  <w:style w:type="character" w:customStyle="1" w:styleId="VgjegyzetszvegeChar">
    <w:name w:val="Végjegyzet szövege Char"/>
    <w:basedOn w:val="Bekezdsalapbettpusa"/>
    <w:link w:val="Vgjegyzetszvege"/>
    <w:uiPriority w:val="99"/>
    <w:semiHidden/>
    <w:rsid w:val="0003148D"/>
    <w:rPr>
      <w:sz w:val="20"/>
      <w:szCs w:val="20"/>
    </w:rPr>
  </w:style>
  <w:style w:type="character" w:customStyle="1" w:styleId="Cmsor1Char">
    <w:name w:val="Címsor 1 Char"/>
    <w:basedOn w:val="Bekezdsalapbettpusa"/>
    <w:link w:val="Cmsor1"/>
    <w:uiPriority w:val="9"/>
    <w:rsid w:val="004F5E36"/>
    <w:rPr>
      <w:rFonts w:ascii="Arial" w:eastAsia="Times New Roman" w:hAnsi="Arial" w:cs="Times New Roman"/>
      <w:b/>
      <w:sz w:val="20"/>
      <w:szCs w:val="20"/>
      <w:lang w:val="en-GB"/>
    </w:rPr>
  </w:style>
  <w:style w:type="character" w:customStyle="1" w:styleId="Cmsor2Char">
    <w:name w:val="Címsor 2 Char"/>
    <w:basedOn w:val="Bekezdsalapbettpusa"/>
    <w:link w:val="Cmsor2"/>
    <w:uiPriority w:val="9"/>
    <w:semiHidden/>
    <w:rsid w:val="0003148D"/>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semiHidden/>
    <w:rsid w:val="0003148D"/>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semiHidden/>
    <w:rsid w:val="0003148D"/>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03148D"/>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03148D"/>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03148D"/>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Cmsor9Char">
    <w:name w:val="Címsor 9 Char"/>
    <w:basedOn w:val="Bekezdsalapbettpusa"/>
    <w:link w:val="Cmsor9"/>
    <w:uiPriority w:val="9"/>
    <w:semiHidden/>
    <w:rsid w:val="0003148D"/>
    <w:rPr>
      <w:rFonts w:asciiTheme="majorHAnsi" w:eastAsiaTheme="majorEastAsia" w:hAnsiTheme="majorHAnsi" w:cstheme="majorBidi"/>
      <w:i/>
      <w:iCs/>
      <w:color w:val="404040" w:themeColor="text1" w:themeTint="BF"/>
      <w:sz w:val="20"/>
      <w:szCs w:val="20"/>
    </w:rPr>
  </w:style>
  <w:style w:type="paragraph" w:styleId="Trgymutatcm">
    <w:name w:val="index heading"/>
    <w:basedOn w:val="Norml"/>
    <w:next w:val="Trgymutat1"/>
    <w:uiPriority w:val="99"/>
    <w:semiHidden/>
    <w:unhideWhenUsed/>
    <w:rsid w:val="0003148D"/>
    <w:rPr>
      <w:rFonts w:asciiTheme="majorHAnsi" w:eastAsiaTheme="majorEastAsia" w:hAnsiTheme="majorHAnsi" w:cstheme="majorBidi"/>
      <w:b/>
      <w:bCs/>
    </w:rPr>
  </w:style>
  <w:style w:type="paragraph" w:styleId="Hivatkozsjegyzk-fej">
    <w:name w:val="toa heading"/>
    <w:basedOn w:val="Norml"/>
    <w:next w:val="Norml"/>
    <w:uiPriority w:val="99"/>
    <w:semiHidden/>
    <w:unhideWhenUsed/>
    <w:rsid w:val="0003148D"/>
    <w:pPr>
      <w:spacing w:before="120"/>
    </w:pPr>
    <w:rPr>
      <w:rFonts w:asciiTheme="majorHAnsi" w:eastAsiaTheme="majorEastAsia" w:hAnsiTheme="majorHAnsi" w:cstheme="majorBidi"/>
      <w:b/>
      <w:bCs/>
      <w:sz w:val="24"/>
      <w:szCs w:val="24"/>
    </w:rPr>
  </w:style>
  <w:style w:type="paragraph" w:styleId="Tartalomjegyzkcmsora">
    <w:name w:val="TOC Heading"/>
    <w:basedOn w:val="Cmsor1"/>
    <w:next w:val="Norm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Bekezdsalapbettpusa"/>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lfej">
    <w:name w:val="header"/>
    <w:basedOn w:val="Norml"/>
    <w:link w:val="lfejChar"/>
    <w:uiPriority w:val="99"/>
    <w:unhideWhenUsed/>
    <w:rsid w:val="005278B7"/>
    <w:pPr>
      <w:tabs>
        <w:tab w:val="clear" w:pos="7100"/>
        <w:tab w:val="center" w:pos="4819"/>
        <w:tab w:val="right" w:pos="9638"/>
      </w:tabs>
      <w:spacing w:line="240" w:lineRule="auto"/>
    </w:pPr>
  </w:style>
  <w:style w:type="character" w:customStyle="1" w:styleId="lfejChar">
    <w:name w:val="Élőfej Char"/>
    <w:basedOn w:val="Bekezdsalapbettpusa"/>
    <w:link w:val="lfej"/>
    <w:uiPriority w:val="99"/>
    <w:rsid w:val="005278B7"/>
    <w:rPr>
      <w:rFonts w:ascii="Arial" w:eastAsia="Times New Roman" w:hAnsi="Arial" w:cs="Times New Roman"/>
      <w:sz w:val="18"/>
      <w:szCs w:val="20"/>
      <w:lang w:val="en-GB"/>
    </w:rPr>
  </w:style>
  <w:style w:type="paragraph" w:styleId="llb">
    <w:name w:val="footer"/>
    <w:basedOn w:val="Norml"/>
    <w:link w:val="llbChar"/>
    <w:uiPriority w:val="99"/>
    <w:unhideWhenUsed/>
    <w:rsid w:val="005278B7"/>
    <w:pPr>
      <w:tabs>
        <w:tab w:val="clear" w:pos="7100"/>
        <w:tab w:val="center" w:pos="4819"/>
        <w:tab w:val="right" w:pos="9638"/>
      </w:tabs>
      <w:spacing w:line="240" w:lineRule="auto"/>
    </w:pPr>
  </w:style>
  <w:style w:type="character" w:customStyle="1" w:styleId="llbChar">
    <w:name w:val="Élőláb Char"/>
    <w:basedOn w:val="Bekezdsalapbettpusa"/>
    <w:link w:val="llb"/>
    <w:uiPriority w:val="99"/>
    <w:rsid w:val="005278B7"/>
    <w:rPr>
      <w:rFonts w:ascii="Arial" w:eastAsia="Times New Roman" w:hAnsi="Arial" w:cs="Times New Roman"/>
      <w:sz w:val="18"/>
      <w:szCs w:val="20"/>
      <w:lang w:val="en-GB"/>
    </w:rPr>
  </w:style>
  <w:style w:type="table" w:styleId="Rcsostblzat">
    <w:name w:val="Table Grid"/>
    <w:basedOn w:val="Normltblzat"/>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904C62"/>
    <w:rPr>
      <w:color w:val="0000FF" w:themeColor="hyperlink"/>
      <w:u w:val="single"/>
    </w:rPr>
  </w:style>
  <w:style w:type="character" w:customStyle="1" w:styleId="eudoraheader">
    <w:name w:val="eudoraheader"/>
    <w:basedOn w:val="Bekezdsalapbettpusa"/>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aszerbekezds">
    <w:name w:val="List Paragraph"/>
    <w:basedOn w:val="Norml"/>
    <w:uiPriority w:val="34"/>
    <w:qFormat/>
    <w:rsid w:val="00280FAF"/>
    <w:pPr>
      <w:ind w:left="720"/>
      <w:contextualSpacing/>
    </w:pPr>
  </w:style>
  <w:style w:type="character" w:customStyle="1" w:styleId="gmail-apple-converted-space">
    <w:name w:val="gmail-apple-converted-space"/>
    <w:basedOn w:val="Bekezdsalapbettpusa"/>
    <w:rsid w:val="00005A19"/>
  </w:style>
  <w:style w:type="character" w:customStyle="1" w:styleId="title-text">
    <w:name w:val="title-text"/>
    <w:basedOn w:val="Bekezdsalapbettpusa"/>
    <w:rsid w:val="00391293"/>
  </w:style>
  <w:style w:type="character" w:customStyle="1" w:styleId="html-italic">
    <w:name w:val="html-italic"/>
    <w:basedOn w:val="Bekezdsalapbettpusa"/>
    <w:rsid w:val="00315AC0"/>
  </w:style>
  <w:style w:type="character" w:styleId="Kiemels">
    <w:name w:val="Emphasis"/>
    <w:basedOn w:val="Bekezdsalapbettpusa"/>
    <w:uiPriority w:val="20"/>
    <w:qFormat/>
    <w:rsid w:val="00315A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773686">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914AC-7CD1-435A-A2DC-E8B4594B5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6</Pages>
  <Words>2871</Words>
  <Characters>19810</Characters>
  <Application>Microsoft Office Word</Application>
  <DocSecurity>0</DocSecurity>
  <Lines>165</Lines>
  <Paragraphs>45</Paragraphs>
  <ScaleCrop>false</ScaleCrop>
  <HeadingPairs>
    <vt:vector size="6" baseType="variant">
      <vt:variant>
        <vt:lpstr>Cím</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Dr. Miskolczi Norbert</cp:lastModifiedBy>
  <cp:revision>22</cp:revision>
  <cp:lastPrinted>2015-05-12T18:31:00Z</cp:lastPrinted>
  <dcterms:created xsi:type="dcterms:W3CDTF">2026-04-02T08:20:00Z</dcterms:created>
  <dcterms:modified xsi:type="dcterms:W3CDTF">2026-04-15T09:06:00Z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