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61229B97" w:rsidR="00AA7D26" w:rsidRPr="00EA3EF9" w:rsidRDefault="004A5E57" w:rsidP="004A5E57">
            <w:pPr>
              <w:ind w:left="-107"/>
              <w:outlineLvl w:val="2"/>
              <w:rPr>
                <w:rFonts w:ascii="Tahoma" w:hAnsi="Tahoma" w:cs="Tahoma"/>
                <w:bCs/>
                <w:color w:val="000000"/>
                <w:sz w:val="14"/>
                <w:szCs w:val="14"/>
                <w:lang w:val="it-IT" w:eastAsia="it-IT"/>
              </w:rPr>
            </w:pPr>
            <w:r w:rsidRPr="00EA3EF9">
              <w:rPr>
                <w:rFonts w:ascii="Tahoma" w:hAnsi="Tahoma" w:cs="Tahoma"/>
                <w:iCs/>
                <w:color w:val="333333"/>
                <w:sz w:val="14"/>
                <w:szCs w:val="14"/>
                <w:lang w:val="it-IT" w:eastAsia="it-IT"/>
              </w:rPr>
              <w:t>Guest Editors:</w:t>
            </w:r>
            <w:r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shd w:val="clear" w:color="auto" w:fill="FFFFFF"/>
                <w:lang w:val="it-IT"/>
              </w:rPr>
              <w:t xml:space="preserve">Leonardo Tognotti, </w:t>
            </w:r>
            <w:r w:rsidR="00EA3EF9" w:rsidRPr="00EA3EF9">
              <w:rPr>
                <w:rFonts w:ascii="Tahoma" w:hAnsi="Tahoma" w:cs="Tahoma"/>
                <w:color w:val="000000"/>
                <w:sz w:val="14"/>
                <w:szCs w:val="14"/>
                <w:lang w:val="it-IT"/>
              </w:rPr>
              <w:t>Rubens Maciel Filho</w:t>
            </w:r>
            <w:r w:rsidR="00EA3EF9" w:rsidRPr="00EA3EF9">
              <w:rPr>
                <w:rFonts w:ascii="Tahoma" w:hAnsi="Tahoma" w:cs="Tahoma"/>
                <w:color w:val="000000"/>
                <w:sz w:val="14"/>
                <w:szCs w:val="14"/>
                <w:shd w:val="clear" w:color="auto" w:fill="FFFFFF"/>
                <w:lang w:val="it-IT"/>
              </w:rPr>
              <w:t xml:space="preserve">, </w:t>
            </w:r>
            <w:r w:rsidR="00EA3EF9" w:rsidRPr="00EA3EF9">
              <w:rPr>
                <w:rFonts w:ascii="Tahoma" w:hAnsi="Tahoma" w:cs="Tahoma"/>
                <w:color w:val="000000"/>
                <w:sz w:val="14"/>
                <w:szCs w:val="14"/>
                <w:lang w:val="it-IT"/>
              </w:rPr>
              <w:t>Viatcheslav Kafarov</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7CD38E91" w:rsidR="00E978D0" w:rsidRPr="00B57B36" w:rsidRDefault="00774BA2" w:rsidP="00E978D0">
      <w:pPr>
        <w:pStyle w:val="CETTitle"/>
      </w:pPr>
      <w:r>
        <w:t>Bioprocess Development for High-Purity Succinic Acid Production from Oil Palm Empty Fruit Bunch</w:t>
      </w:r>
    </w:p>
    <w:p w14:paraId="0488FED2" w14:textId="0D461156" w:rsidR="00B57E6F" w:rsidRPr="00B57B36" w:rsidRDefault="00774BA2" w:rsidP="00B57E6F">
      <w:pPr>
        <w:pStyle w:val="CETAuthors"/>
      </w:pPr>
      <w:r>
        <w:t>Bukhari N. Adela</w:t>
      </w:r>
      <w:r w:rsidRPr="00774BA2">
        <w:t>*</w:t>
      </w:r>
      <w:r w:rsidR="00B57E6F" w:rsidRPr="00B57B36">
        <w:t xml:space="preserve">, </w:t>
      </w:r>
      <w:r>
        <w:t>Loh S. Kheang</w:t>
      </w:r>
      <w:r w:rsidR="00B57E6F" w:rsidRPr="00B57B36">
        <w:t xml:space="preserve">, </w:t>
      </w:r>
      <w:r>
        <w:t>Sukiran M. Azri, Nasrin A. Bakar</w:t>
      </w:r>
    </w:p>
    <w:p w14:paraId="1DCDFA95" w14:textId="5413D972" w:rsidR="00774BA2" w:rsidRDefault="00774BA2" w:rsidP="00B57E6F">
      <w:pPr>
        <w:pStyle w:val="CETAddress"/>
      </w:pPr>
      <w:r w:rsidRPr="00774BA2">
        <w:t>Malaysian Palm Oil Board (MPOB), 6, Persiaran Institusi, Bandar Baru Bangi, 43000 Kajang, Selangor, Malaysia.</w:t>
      </w:r>
    </w:p>
    <w:p w14:paraId="73F1267A" w14:textId="011AC4E8" w:rsidR="00B57E6F" w:rsidRPr="003B4EA5" w:rsidRDefault="00774BA2" w:rsidP="00B57E6F">
      <w:pPr>
        <w:pStyle w:val="CETemail"/>
        <w:rPr>
          <w:lang w:val="fr-FR"/>
        </w:rPr>
      </w:pPr>
      <w:r>
        <w:rPr>
          <w:lang w:val="fr-FR"/>
        </w:rPr>
        <w:t>adela</w:t>
      </w:r>
      <w:r w:rsidR="00B57E6F" w:rsidRPr="003B4EA5">
        <w:rPr>
          <w:lang w:val="fr-FR"/>
        </w:rPr>
        <w:t>@</w:t>
      </w:r>
      <w:r>
        <w:rPr>
          <w:lang w:val="fr-FR"/>
        </w:rPr>
        <w:t>mpob.gov.my</w:t>
      </w:r>
    </w:p>
    <w:p w14:paraId="37A61FCE" w14:textId="132599DA" w:rsidR="00DA24C6" w:rsidRDefault="00774BA2" w:rsidP="00774BA2">
      <w:pPr>
        <w:pStyle w:val="CETListbullets"/>
        <w:ind w:left="113" w:firstLine="0"/>
      </w:pPr>
      <w:r w:rsidRPr="00774BA2">
        <w:t xml:space="preserve">Succinic acid, a dicarboxylic platform chemical, serves as a highly versatile building block in the production of biodegradable plastics, pharmaceuticals, skincare products, cosmeceuticals, and food additives. Increasing global emphasis on sustainability has driven the growth of bio-based succinic acid from renewable resources as an alternative to conventional petrochemical routes. In this study, sugar polymers derived from oil palm lignocellulosic biomass particularly empty fruit bunches (EFB) was explored as sustainable feedstocks for succinic acid </w:t>
      </w:r>
      <w:r w:rsidR="00653B7D">
        <w:t>production</w:t>
      </w:r>
      <w:r w:rsidRPr="00774BA2">
        <w:t xml:space="preserve">. EFB are abundantly generated by the palm oil industry, are rich in polysaccharides yet remain underutilised, presenting significant potential for conversion into fermentable sugars and subsequently succinic acid. An efficient bioconversion process was developed, involving a pretreatment step utilising dilute </w:t>
      </w:r>
      <w:r w:rsidR="00640CC6" w:rsidRPr="00640CC6">
        <w:t xml:space="preserve">ferric chloride </w:t>
      </w:r>
      <w:r w:rsidRPr="00774BA2">
        <w:t xml:space="preserve">to catalytically break down the complex lignocellulosic matrix, thereby enhancing the accessibility of their fermentable sugars. Optimisation of the pretreatment process was performed by varying reaction temperatures, </w:t>
      </w:r>
      <w:r w:rsidR="001E4728">
        <w:t>metal chloride</w:t>
      </w:r>
      <w:r w:rsidRPr="00774BA2">
        <w:t xml:space="preserve"> concentrations and reaction time to fractionate hemicellulose from the biomass and improve efficiency of enzymatic hydrolysis of the retained cellulose in the pretreated solids. Effective hemicellulose removal through dilute iron salt pretreatment significantly improved the enzymatic hydrolysis of EFB relative to untreated biomass. Bio</w:t>
      </w:r>
      <w:r w:rsidR="00640CC6">
        <w:t xml:space="preserve">production </w:t>
      </w:r>
      <w:r w:rsidRPr="00774BA2">
        <w:t xml:space="preserve">of succinic acid via fermentation of EFB hydrolysate using </w:t>
      </w:r>
      <w:r w:rsidRPr="00640CC6">
        <w:rPr>
          <w:i/>
          <w:iCs/>
        </w:rPr>
        <w:t>Actinobacillus succinogenes</w:t>
      </w:r>
      <w:r w:rsidRPr="00774BA2">
        <w:t xml:space="preserve"> achieved a yield of 0.53 g/g and a productivity of 1.01 g/L·h. Among the downstream processing steps, the selection of an appropriate activated carbon was pivotal in achieving maximum decolourisation efficiency and enhancing the physical appearance of the purified product. This bioprocess is well suited for integration into a biorefinery approach for the cost-effective production of high-grade succinic acid and other bioproducts from oil palm biomass, contributing to Malaysia’s circular bioeconomy and sustainable development goals.</w:t>
      </w:r>
    </w:p>
    <w:p w14:paraId="3E601C10" w14:textId="77777777" w:rsidR="0064724E" w:rsidRDefault="0064724E" w:rsidP="00774BA2">
      <w:pPr>
        <w:pStyle w:val="CETListbullets"/>
        <w:ind w:left="113" w:firstLine="0"/>
      </w:pPr>
    </w:p>
    <w:p w14:paraId="69338ED7" w14:textId="77777777" w:rsidR="0064724E" w:rsidRPr="0064724E" w:rsidRDefault="0064724E" w:rsidP="0064724E">
      <w:pPr>
        <w:tabs>
          <w:tab w:val="left" w:pos="2835"/>
        </w:tabs>
        <w:rPr>
          <w:rFonts w:eastAsia="Aptos" w:cs="Arial"/>
          <w:color w:val="000000"/>
          <w:szCs w:val="18"/>
        </w:rPr>
      </w:pPr>
      <w:r w:rsidRPr="0064724E">
        <w:rPr>
          <w:rFonts w:cs="Arial"/>
          <w:b/>
          <w:bCs/>
          <w:color w:val="000000"/>
          <w:szCs w:val="18"/>
        </w:rPr>
        <w:t xml:space="preserve">Keywords: </w:t>
      </w:r>
      <w:r w:rsidRPr="0064724E">
        <w:rPr>
          <w:rFonts w:cs="Arial"/>
          <w:szCs w:val="18"/>
        </w:rPr>
        <w:t>Empty fruit bunches, Ferric chloride pretreatment, Fermentation, Downstream process</w:t>
      </w:r>
    </w:p>
    <w:p w14:paraId="0650EA27" w14:textId="77777777" w:rsidR="0064724E" w:rsidRDefault="0064724E" w:rsidP="00774BA2">
      <w:pPr>
        <w:pStyle w:val="CETListbullets"/>
        <w:ind w:left="113" w:firstLine="0"/>
      </w:pPr>
    </w:p>
    <w:p w14:paraId="476B2F2E" w14:textId="77777777" w:rsidR="00600535" w:rsidRPr="00B57B36" w:rsidRDefault="00600535" w:rsidP="00600535">
      <w:pPr>
        <w:pStyle w:val="CETHeading1"/>
        <w:rPr>
          <w:lang w:val="en-GB"/>
        </w:rPr>
      </w:pPr>
      <w:r w:rsidRPr="00B57B36">
        <w:rPr>
          <w:lang w:val="en-GB"/>
        </w:rPr>
        <w:t>Introduction</w:t>
      </w:r>
    </w:p>
    <w:p w14:paraId="19DAE8F5" w14:textId="77777777" w:rsidR="008A14B3" w:rsidRDefault="008A14B3" w:rsidP="00600535">
      <w:pPr>
        <w:pStyle w:val="CETBodytext"/>
        <w:rPr>
          <w:lang w:val="en-GB"/>
        </w:rPr>
      </w:pPr>
      <w:r w:rsidRPr="008A14B3">
        <w:rPr>
          <w:lang w:val="en-GB"/>
        </w:rPr>
        <w:t>With the depletion of petroleum-based resources and the growing demand for environmentally friendly material resources, the biosynthesis of succinic acid from renewable resources is drawing increasing attention. As a C4 dicarboxylic acid, succinic acid serves as a key starting material for the production of a wide range of fine chemicals, food additives, biodegradable plastics, surfactants, and other chemical products. Its broad applicability positions it as a highly promising fundamental chemical compound (Zhou et al., 2023).</w:t>
      </w:r>
    </w:p>
    <w:p w14:paraId="19435A98" w14:textId="77777777" w:rsidR="008A14B3" w:rsidRDefault="008A14B3" w:rsidP="00600535">
      <w:pPr>
        <w:pStyle w:val="CETBodytext"/>
        <w:rPr>
          <w:lang w:val="en-GB"/>
        </w:rPr>
      </w:pPr>
    </w:p>
    <w:p w14:paraId="6FDC7661" w14:textId="61E3C831" w:rsidR="008A14B3" w:rsidRDefault="008A14B3" w:rsidP="00600535">
      <w:pPr>
        <w:pStyle w:val="CETBodytext"/>
        <w:rPr>
          <w:lang w:val="en-GB"/>
        </w:rPr>
      </w:pPr>
      <w:r w:rsidRPr="008A14B3">
        <w:rPr>
          <w:lang w:val="en-GB"/>
        </w:rPr>
        <w:t xml:space="preserve">Oil palm biomass is a promising source of lignocellulosic materials for bioconversion. The transformation of renewable oil palm biomass such as empty fruit bunch (EFB) into value-added products may propel the bio-based industry with economic and sustainability potential to substitute petroleum-based resources. As per other lignocellulosic biomass, EFB is a polysaccharide-based biomaterial containing cellulose (mainly C6 sugar polymers), hemicellulose (mainly C5 sugar polymers) and lignin (aromatic polymers). EFB contains about 70-80% holocellulose (Loh, 2017), which can be subjected to succinic acid bioconversion. Given its lignocellulosic nature, the biomass is highly recalcitrant to enzymatic degradation for saccharification and fermentation. Hence, </w:t>
      </w:r>
      <w:r w:rsidRPr="008A14B3">
        <w:rPr>
          <w:lang w:val="en-GB"/>
        </w:rPr>
        <w:lastRenderedPageBreak/>
        <w:t xml:space="preserve">an appropriate pretreatment method is necessary to effectively deconstruct the lignocellulosic components of the biomass.  </w:t>
      </w:r>
    </w:p>
    <w:p w14:paraId="22E8B08B" w14:textId="77777777" w:rsidR="001E4728" w:rsidRDefault="001E4728" w:rsidP="00600535">
      <w:pPr>
        <w:pStyle w:val="CETBodytext"/>
        <w:rPr>
          <w:lang w:val="en-GB"/>
        </w:rPr>
      </w:pPr>
    </w:p>
    <w:p w14:paraId="2F724DCF" w14:textId="7D222B6B" w:rsidR="008A14B3" w:rsidRDefault="008A14B3" w:rsidP="00600535">
      <w:pPr>
        <w:pStyle w:val="CETBodytext"/>
        <w:rPr>
          <w:lang w:val="en-GB"/>
        </w:rPr>
      </w:pPr>
      <w:r w:rsidRPr="008A14B3">
        <w:rPr>
          <w:lang w:val="en-GB"/>
        </w:rPr>
        <w:t>The conversion of EFB into value-added product such as succinic acid will have significant role in the economic viability of lignocellulose bioconversion process. Much effort has been made to produce succinic acid from inexpensive and renewable feedstocks, which is intended to provide a competitive edge over petroleum-derived chemicals (Dessie et al., 2018). All the major steps in a typical bioconversion process such as pretreatment, enzymatic hydrolysis and fermentation are important to be screened before selection is made. In this case, pretreatment step with minimum inhibitors is desired to ensure smooth operation of enzymatic and fermentation steps. Nevertheless, there are still some challenges to be properly addressed before an efficient succinic acid production process can be realised. As the most promising succinic acid-producing catalyst, Actinobacillus succinogenes has been investigated extensively by employing several fermentation strategies to improve product yield (Yang et al., 2020).</w:t>
      </w:r>
    </w:p>
    <w:p w14:paraId="07C8A725" w14:textId="77777777" w:rsidR="008A14B3" w:rsidRDefault="008A14B3" w:rsidP="00600535">
      <w:pPr>
        <w:pStyle w:val="CETBodytext"/>
        <w:rPr>
          <w:lang w:val="en-GB"/>
        </w:rPr>
      </w:pPr>
    </w:p>
    <w:p w14:paraId="21B9A280" w14:textId="47C1BB3F" w:rsidR="007D0951" w:rsidRPr="00640CC6" w:rsidRDefault="008A14B3" w:rsidP="00640CC6">
      <w:pPr>
        <w:pStyle w:val="CETBodytext"/>
        <w:rPr>
          <w:lang w:val="en-GB"/>
        </w:rPr>
      </w:pPr>
      <w:r w:rsidRPr="008A14B3">
        <w:rPr>
          <w:lang w:val="en-GB"/>
        </w:rPr>
        <w:t>In term</w:t>
      </w:r>
      <w:r w:rsidR="005B0AAE">
        <w:rPr>
          <w:lang w:val="en-GB"/>
        </w:rPr>
        <w:t>s</w:t>
      </w:r>
      <w:r w:rsidRPr="008A14B3">
        <w:rPr>
          <w:lang w:val="en-GB"/>
        </w:rPr>
        <w:t xml:space="preserve"> of succinic acid recovery, various separation and purification methods have been developed. </w:t>
      </w:r>
      <w:r w:rsidR="005B0AAE">
        <w:rPr>
          <w:lang w:val="en-GB"/>
        </w:rPr>
        <w:t>These</w:t>
      </w:r>
      <w:r w:rsidRPr="008A14B3">
        <w:rPr>
          <w:lang w:val="en-GB"/>
        </w:rPr>
        <w:t xml:space="preserve"> </w:t>
      </w:r>
      <w:r w:rsidR="005B0AAE">
        <w:rPr>
          <w:lang w:val="en-GB"/>
        </w:rPr>
        <w:t xml:space="preserve">include </w:t>
      </w:r>
      <w:r w:rsidRPr="008A14B3">
        <w:rPr>
          <w:lang w:val="en-GB"/>
        </w:rPr>
        <w:t>precipitation, crystallization, reactive extraction, adsorption, electrodialysis, distillation, membrane-based separation, and chromatography (</w:t>
      </w:r>
      <w:r w:rsidR="00653B7D">
        <w:rPr>
          <w:lang w:val="en-GB"/>
        </w:rPr>
        <w:t xml:space="preserve">Luthfi </w:t>
      </w:r>
      <w:r>
        <w:rPr>
          <w:lang w:val="en-GB"/>
        </w:rPr>
        <w:t xml:space="preserve">et al., </w:t>
      </w:r>
      <w:r w:rsidRPr="008A14B3">
        <w:rPr>
          <w:lang w:val="en-GB"/>
        </w:rPr>
        <w:t>20</w:t>
      </w:r>
      <w:r w:rsidR="00653B7D">
        <w:rPr>
          <w:lang w:val="en-GB"/>
        </w:rPr>
        <w:t>20</w:t>
      </w:r>
      <w:r w:rsidRPr="008A14B3">
        <w:rPr>
          <w:lang w:val="en-GB"/>
        </w:rPr>
        <w:t>). All of these recovery methods can be applied to purify crude succinic acid, with differences in efficacy of purification and quality of the resultant product. The lack of downstream process optimisation can be a bottleneck for efficient recovery of succinic acid due to the associated matrix complexity in the presence of carboxylic acids. This study investigated the effectiveness of various adsorbents in decolorising the succinic acid fermentation broth, with the aim of identifying materials that offer high selectivity for removing color impurities while preserving succinic acid content.</w:t>
      </w:r>
    </w:p>
    <w:p w14:paraId="5741900F" w14:textId="31AE101C" w:rsidR="00453E24" w:rsidRDefault="00653B7D" w:rsidP="00453E24">
      <w:pPr>
        <w:pStyle w:val="CETHeading1"/>
      </w:pPr>
      <w:r>
        <w:t>Methodology</w:t>
      </w:r>
    </w:p>
    <w:p w14:paraId="6BE526A2" w14:textId="70FEF085" w:rsidR="00DF4E9A" w:rsidRDefault="00DF4E9A" w:rsidP="00EC7D93">
      <w:pPr>
        <w:pStyle w:val="CETheadingx"/>
        <w:numPr>
          <w:ilvl w:val="2"/>
          <w:numId w:val="1"/>
        </w:numPr>
      </w:pPr>
      <w:r w:rsidRPr="00DF4E9A">
        <w:t>Materials</w:t>
      </w:r>
    </w:p>
    <w:p w14:paraId="4CF445DF" w14:textId="45FE9DD1" w:rsidR="00DF4E9A" w:rsidRPr="00DF4E9A" w:rsidRDefault="00DF4E9A" w:rsidP="00DF4E9A">
      <w:pPr>
        <w:pStyle w:val="CETBodytext"/>
      </w:pPr>
      <w:r>
        <w:rPr>
          <w:lang w:val="en-GB"/>
        </w:rPr>
        <w:t>EFB</w:t>
      </w:r>
      <w:r w:rsidRPr="00DF4E9A">
        <w:t xml:space="preserve"> samples were ground into smaller pieces (&lt;10 mm) using a laboratory stainless steel grinder prior to storage. </w:t>
      </w:r>
      <w:r w:rsidR="005B0AAE">
        <w:t>Co</w:t>
      </w:r>
      <w:r w:rsidRPr="00DF4E9A">
        <w:t xml:space="preserve">mmercial cellulase was used for enzymatic saccharification. </w:t>
      </w:r>
      <w:r w:rsidRPr="005B0AAE">
        <w:rPr>
          <w:i/>
          <w:iCs/>
        </w:rPr>
        <w:t>A. succinogenes</w:t>
      </w:r>
      <w:r w:rsidRPr="00DF4E9A">
        <w:t xml:space="preserve"> DSM 22257 was purchased from</w:t>
      </w:r>
      <w:r w:rsidR="005B0AAE">
        <w:t xml:space="preserve"> the</w:t>
      </w:r>
      <w:r w:rsidRPr="00DF4E9A">
        <w:t xml:space="preserve"> German Collection of Microorganisms and Cell Cultures (DSMZ, Brunswick, Germany) and used for succinic acid production. </w:t>
      </w:r>
    </w:p>
    <w:p w14:paraId="35B4E330" w14:textId="77777777" w:rsidR="00DF4E9A" w:rsidRPr="00DF4E9A" w:rsidRDefault="00DF4E9A" w:rsidP="00DF4E9A">
      <w:pPr>
        <w:pStyle w:val="CETBodytext"/>
        <w:rPr>
          <w:b/>
          <w:bCs/>
        </w:rPr>
      </w:pPr>
    </w:p>
    <w:p w14:paraId="0E668EAD" w14:textId="7B8798FD" w:rsidR="00DF4E9A" w:rsidRDefault="00DF4E9A" w:rsidP="00DF4E9A">
      <w:pPr>
        <w:pStyle w:val="CETBodytext"/>
        <w:spacing w:line="240" w:lineRule="auto"/>
        <w:rPr>
          <w:b/>
          <w:bCs/>
          <w:lang w:val="en-GB"/>
        </w:rPr>
      </w:pPr>
      <w:r w:rsidRPr="00DF4E9A">
        <w:rPr>
          <w:b/>
          <w:bCs/>
          <w:lang w:val="en-GB"/>
        </w:rPr>
        <w:t>2.2 Methods</w:t>
      </w:r>
    </w:p>
    <w:p w14:paraId="47D0CDF8" w14:textId="77777777" w:rsidR="00DF4E9A" w:rsidRPr="00DF4E9A" w:rsidRDefault="00DF4E9A" w:rsidP="00DF4E9A">
      <w:pPr>
        <w:pStyle w:val="CETBodytext"/>
        <w:spacing w:line="240" w:lineRule="auto"/>
        <w:rPr>
          <w:b/>
          <w:bCs/>
          <w:lang w:val="en-GB"/>
        </w:rPr>
      </w:pPr>
    </w:p>
    <w:p w14:paraId="582642C6" w14:textId="0BB2749C" w:rsidR="00453E24" w:rsidRPr="00640CC6" w:rsidRDefault="00640CC6" w:rsidP="00CD513B">
      <w:pPr>
        <w:pStyle w:val="CETBodytext"/>
        <w:spacing w:line="240" w:lineRule="auto"/>
        <w:rPr>
          <w:b/>
          <w:bCs/>
          <w:lang w:val="en-GB"/>
        </w:rPr>
      </w:pPr>
      <w:r w:rsidRPr="00640CC6">
        <w:rPr>
          <w:b/>
          <w:bCs/>
          <w:lang w:val="en-GB"/>
        </w:rPr>
        <w:t xml:space="preserve">2.2.1 </w:t>
      </w:r>
      <w:r w:rsidR="00653B7D" w:rsidRPr="00640CC6">
        <w:rPr>
          <w:b/>
          <w:bCs/>
          <w:lang w:val="en-GB"/>
        </w:rPr>
        <w:t>Metal chlorides pretreatment</w:t>
      </w:r>
    </w:p>
    <w:p w14:paraId="0BA6BF67" w14:textId="7FAAC302" w:rsidR="0071031D" w:rsidRDefault="00653B7D" w:rsidP="00CD513B">
      <w:pPr>
        <w:tabs>
          <w:tab w:val="clear" w:pos="7100"/>
        </w:tabs>
        <w:spacing w:before="240" w:after="120" w:line="240" w:lineRule="auto"/>
      </w:pPr>
      <w:r w:rsidRPr="00653B7D">
        <w:t>The pulverised EFB samples at 10% (w/v) solid loading were immersed in a solution containing various types of metal chlorides (1-5%, w/v of KCl, NaCl, BaCl</w:t>
      </w:r>
      <w:r w:rsidRPr="001E4728">
        <w:rPr>
          <w:vertAlign w:val="subscript"/>
        </w:rPr>
        <w:t>2</w:t>
      </w:r>
      <w:r w:rsidRPr="00653B7D">
        <w:t>, CaCl</w:t>
      </w:r>
      <w:r w:rsidRPr="001E4728">
        <w:rPr>
          <w:vertAlign w:val="subscript"/>
        </w:rPr>
        <w:t>2</w:t>
      </w:r>
      <w:r w:rsidRPr="00653B7D">
        <w:t>, CuCl</w:t>
      </w:r>
      <w:r w:rsidRPr="001E4728">
        <w:rPr>
          <w:vertAlign w:val="subscript"/>
        </w:rPr>
        <w:t>2</w:t>
      </w:r>
      <w:r w:rsidRPr="00653B7D">
        <w:t>, CoCl</w:t>
      </w:r>
      <w:r w:rsidRPr="001E4728">
        <w:rPr>
          <w:vertAlign w:val="subscript"/>
        </w:rPr>
        <w:t>2</w:t>
      </w:r>
      <w:r w:rsidRPr="00653B7D">
        <w:t>, NiCl</w:t>
      </w:r>
      <w:r w:rsidRPr="001E4728">
        <w:rPr>
          <w:vertAlign w:val="subscript"/>
        </w:rPr>
        <w:t>2</w:t>
      </w:r>
      <w:r w:rsidRPr="00653B7D">
        <w:t>, MgCl</w:t>
      </w:r>
      <w:r w:rsidRPr="001E4728">
        <w:rPr>
          <w:vertAlign w:val="subscript"/>
        </w:rPr>
        <w:t>2</w:t>
      </w:r>
      <w:r w:rsidRPr="00653B7D">
        <w:t>, MnCl</w:t>
      </w:r>
      <w:r w:rsidRPr="001E4728">
        <w:rPr>
          <w:vertAlign w:val="subscript"/>
        </w:rPr>
        <w:t>2</w:t>
      </w:r>
      <w:r w:rsidRPr="00653B7D">
        <w:t>, ZnCl</w:t>
      </w:r>
      <w:r w:rsidRPr="001E4728">
        <w:rPr>
          <w:vertAlign w:val="subscript"/>
        </w:rPr>
        <w:t>2</w:t>
      </w:r>
      <w:r w:rsidRPr="00653B7D">
        <w:t>, FeCl</w:t>
      </w:r>
      <w:r w:rsidRPr="001E4728">
        <w:rPr>
          <w:vertAlign w:val="subscript"/>
        </w:rPr>
        <w:t>2</w:t>
      </w:r>
      <w:r w:rsidRPr="00653B7D">
        <w:t>, FeCl</w:t>
      </w:r>
      <w:r w:rsidRPr="001E4728">
        <w:rPr>
          <w:vertAlign w:val="subscript"/>
        </w:rPr>
        <w:t>3</w:t>
      </w:r>
      <w:r w:rsidRPr="00653B7D">
        <w:t>, AlCl</w:t>
      </w:r>
      <w:r w:rsidRPr="001E4728">
        <w:rPr>
          <w:vertAlign w:val="subscript"/>
        </w:rPr>
        <w:t>3</w:t>
      </w:r>
      <w:r w:rsidRPr="00653B7D">
        <w:t xml:space="preserve">) for screening. </w:t>
      </w:r>
      <w:r w:rsidR="001E4728" w:rsidRPr="00653B7D">
        <w:t>The samples were autoclaved at 1</w:t>
      </w:r>
      <w:r w:rsidR="001E4728">
        <w:t>20</w:t>
      </w:r>
      <w:r w:rsidR="001E4728" w:rsidRPr="00653B7D">
        <w:t>°C</w:t>
      </w:r>
      <w:r w:rsidR="001E4728">
        <w:t xml:space="preserve"> </w:t>
      </w:r>
      <w:r w:rsidR="005B0AAE">
        <w:t>for</w:t>
      </w:r>
      <w:r w:rsidR="001E4728">
        <w:t xml:space="preserve"> 60 min</w:t>
      </w:r>
      <w:r w:rsidR="001E4728" w:rsidRPr="00653B7D">
        <w:t>.</w:t>
      </w:r>
      <w:r w:rsidR="001E4728">
        <w:t xml:space="preserve"> </w:t>
      </w:r>
      <w:r w:rsidR="001E4728" w:rsidRPr="00653B7D">
        <w:t xml:space="preserve">After screening, the best metal chloride was selected for further optimisation. The </w:t>
      </w:r>
      <w:r w:rsidR="005B0AAE">
        <w:t xml:space="preserve">treatment </w:t>
      </w:r>
      <w:r w:rsidR="001E4728" w:rsidRPr="00653B7D">
        <w:t xml:space="preserve">parameters (i.e. </w:t>
      </w:r>
      <w:r w:rsidR="001E4728">
        <w:t xml:space="preserve">temperature, </w:t>
      </w:r>
      <w:r w:rsidR="001E4728" w:rsidRPr="00653B7D">
        <w:t xml:space="preserve">concentration, and reaction time) were </w:t>
      </w:r>
      <w:r w:rsidR="005B0AAE">
        <w:t xml:space="preserve">varied </w:t>
      </w:r>
      <w:r w:rsidR="001E4728" w:rsidRPr="00653B7D">
        <w:t xml:space="preserve">to </w:t>
      </w:r>
      <w:r w:rsidR="005B0AAE">
        <w:t>determine</w:t>
      </w:r>
      <w:r w:rsidR="001E4728" w:rsidRPr="00653B7D">
        <w:t xml:space="preserve"> the best conditions for high xylose recovery.</w:t>
      </w:r>
      <w:r w:rsidR="001E4728">
        <w:t xml:space="preserve"> </w:t>
      </w:r>
      <w:r w:rsidRPr="00653B7D">
        <w:t xml:space="preserve">The samples were autoclaved </w:t>
      </w:r>
      <w:r w:rsidR="0071031D" w:rsidRPr="0071031D">
        <w:t>using ferric chloride</w:t>
      </w:r>
      <w:r w:rsidR="0071031D">
        <w:t xml:space="preserve"> (</w:t>
      </w:r>
      <w:r w:rsidR="0071031D" w:rsidRPr="0071031D">
        <w:t>FeCl</w:t>
      </w:r>
      <w:r w:rsidR="0071031D" w:rsidRPr="0071031D">
        <w:rPr>
          <w:vertAlign w:val="subscript"/>
        </w:rPr>
        <w:t>3</w:t>
      </w:r>
      <w:r w:rsidR="0071031D">
        <w:t xml:space="preserve">) </w:t>
      </w:r>
      <w:r w:rsidR="0071031D" w:rsidRPr="0071031D">
        <w:t>at</w:t>
      </w:r>
      <w:r w:rsidR="0071031D">
        <w:t xml:space="preserve"> different </w:t>
      </w:r>
      <w:r w:rsidR="0071031D" w:rsidRPr="00602ABE">
        <w:t>concentration (1</w:t>
      </w:r>
      <w:r w:rsidR="0071031D">
        <w:t>-</w:t>
      </w:r>
      <w:r w:rsidR="0071031D" w:rsidRPr="00602ABE">
        <w:t>5% w/v), temperature (105</w:t>
      </w:r>
      <w:r w:rsidR="0071031D">
        <w:t>-</w:t>
      </w:r>
      <w:r w:rsidR="0071031D" w:rsidRPr="00602ABE">
        <w:t>130°C), and reaction time (15</w:t>
      </w:r>
      <w:r w:rsidR="0071031D">
        <w:t>-</w:t>
      </w:r>
      <w:r w:rsidR="0071031D" w:rsidRPr="00602ABE">
        <w:t>60 min).</w:t>
      </w:r>
      <w:r w:rsidR="0071031D">
        <w:t xml:space="preserve"> </w:t>
      </w:r>
      <w:r w:rsidRPr="00653B7D">
        <w:t xml:space="preserve">The prehydrolysates were collected for </w:t>
      </w:r>
      <w:r w:rsidR="005B0AAE">
        <w:t xml:space="preserve">sugar </w:t>
      </w:r>
      <w:r w:rsidRPr="00653B7D">
        <w:t>analys</w:t>
      </w:r>
      <w:r w:rsidR="005B0AAE">
        <w:t>i</w:t>
      </w:r>
      <w:r w:rsidRPr="00653B7D">
        <w:t xml:space="preserve">s using high performance liquid chromatography (HPLC). </w:t>
      </w:r>
    </w:p>
    <w:p w14:paraId="2FC8175E" w14:textId="0C9A0461" w:rsidR="00653B7D" w:rsidRPr="00640CC6" w:rsidRDefault="00640CC6" w:rsidP="00CD513B">
      <w:pPr>
        <w:tabs>
          <w:tab w:val="clear" w:pos="7100"/>
        </w:tabs>
        <w:spacing w:before="240" w:after="120" w:line="240" w:lineRule="auto"/>
        <w:jc w:val="left"/>
        <w:rPr>
          <w:b/>
          <w:bCs/>
        </w:rPr>
      </w:pPr>
      <w:r w:rsidRPr="00640CC6">
        <w:rPr>
          <w:b/>
          <w:bCs/>
        </w:rPr>
        <w:t xml:space="preserve">2.2.2 </w:t>
      </w:r>
      <w:r w:rsidR="00653B7D" w:rsidRPr="00640CC6">
        <w:rPr>
          <w:b/>
          <w:bCs/>
        </w:rPr>
        <w:t>Enzymatic hydrolysis</w:t>
      </w:r>
    </w:p>
    <w:p w14:paraId="4B1A32EC" w14:textId="5227D888" w:rsidR="00653B7D" w:rsidRDefault="003C62E8" w:rsidP="00CD513B">
      <w:pPr>
        <w:pStyle w:val="CETBodytext"/>
        <w:rPr>
          <w:lang w:val="en-GB"/>
        </w:rPr>
      </w:pPr>
      <w:r w:rsidRPr="00F63031">
        <w:rPr>
          <w:rFonts w:cs="Arial"/>
          <w:lang w:eastAsia="en-MY"/>
        </w:rPr>
        <w:t>Enzymatic hydrolysis of the FeCl</w:t>
      </w:r>
      <w:r w:rsidRPr="00F63031">
        <w:rPr>
          <w:rFonts w:ascii="Cambria Math" w:hAnsi="Cambria Math" w:cs="Cambria Math"/>
          <w:lang w:eastAsia="en-MY"/>
        </w:rPr>
        <w:t>₃</w:t>
      </w:r>
      <w:r w:rsidRPr="00F63031">
        <w:rPr>
          <w:rFonts w:cs="Arial"/>
          <w:lang w:eastAsia="en-MY"/>
        </w:rPr>
        <w:t xml:space="preserve">-pretreated EFB was performed using commercial cellulase at 15 FPU per gram of substrate (FPU/g). </w:t>
      </w:r>
      <w:r w:rsidRPr="00653B7D">
        <w:rPr>
          <w:lang w:val="en-GB"/>
        </w:rPr>
        <w:t>The samples were incubated at 50ºC</w:t>
      </w:r>
      <w:r w:rsidR="005B0AAE">
        <w:rPr>
          <w:lang w:val="en-GB"/>
        </w:rPr>
        <w:t xml:space="preserve"> and 150 rpm</w:t>
      </w:r>
      <w:r w:rsidRPr="00653B7D">
        <w:rPr>
          <w:lang w:val="en-GB"/>
        </w:rPr>
        <w:t xml:space="preserve"> for 72 h (Bukhari et al., 2021).  At the end of </w:t>
      </w:r>
      <w:r w:rsidR="005B0AAE">
        <w:rPr>
          <w:lang w:val="en-GB"/>
        </w:rPr>
        <w:t xml:space="preserve">the </w:t>
      </w:r>
      <w:r w:rsidRPr="00653B7D">
        <w:rPr>
          <w:lang w:val="en-GB"/>
        </w:rPr>
        <w:t>hydrolysis, the samples were collected for sugar and organic acid analyses.</w:t>
      </w:r>
    </w:p>
    <w:p w14:paraId="551305E1" w14:textId="77777777" w:rsidR="00CD513B" w:rsidRDefault="00CD513B" w:rsidP="00CD513B">
      <w:pPr>
        <w:pStyle w:val="CETBodytext"/>
        <w:rPr>
          <w:lang w:val="en-GB"/>
        </w:rPr>
      </w:pPr>
    </w:p>
    <w:p w14:paraId="3805C458" w14:textId="3BBBAB8C" w:rsidR="00653B7D" w:rsidRPr="00640CC6" w:rsidRDefault="00640CC6" w:rsidP="00CD513B">
      <w:pPr>
        <w:pStyle w:val="CETBodytext"/>
        <w:spacing w:after="120"/>
        <w:rPr>
          <w:b/>
          <w:bCs/>
          <w:lang w:val="en-GB"/>
        </w:rPr>
      </w:pPr>
      <w:r w:rsidRPr="00640CC6">
        <w:rPr>
          <w:b/>
          <w:bCs/>
          <w:lang w:val="en-GB"/>
        </w:rPr>
        <w:t xml:space="preserve">2.2.3 </w:t>
      </w:r>
      <w:r w:rsidR="00653B7D" w:rsidRPr="00640CC6">
        <w:rPr>
          <w:b/>
          <w:bCs/>
          <w:lang w:val="en-GB"/>
        </w:rPr>
        <w:t>Succinic acid production</w:t>
      </w:r>
    </w:p>
    <w:p w14:paraId="5C6EA975" w14:textId="254BB2CE" w:rsidR="00CD513B" w:rsidRDefault="00653B7D" w:rsidP="00CD513B">
      <w:pPr>
        <w:pStyle w:val="CETBodytext"/>
        <w:rPr>
          <w:lang w:val="en-GB"/>
        </w:rPr>
      </w:pPr>
      <w:r w:rsidRPr="00653B7D">
        <w:rPr>
          <w:lang w:val="en-GB"/>
        </w:rPr>
        <w:t xml:space="preserve">The fermentation process of EFB hydrolysates as carbon source was carried out using </w:t>
      </w:r>
      <w:r w:rsidRPr="005B0AAE">
        <w:rPr>
          <w:i/>
          <w:iCs/>
          <w:lang w:val="en-GB"/>
        </w:rPr>
        <w:t>A. succinogenes</w:t>
      </w:r>
      <w:r w:rsidRPr="00653B7D">
        <w:rPr>
          <w:lang w:val="en-GB"/>
        </w:rPr>
        <w:t>. The bacteria w</w:t>
      </w:r>
      <w:r w:rsidR="005B0AAE">
        <w:rPr>
          <w:lang w:val="en-GB"/>
        </w:rPr>
        <w:t>ere</w:t>
      </w:r>
      <w:r w:rsidRPr="00653B7D">
        <w:rPr>
          <w:lang w:val="en-GB"/>
        </w:rPr>
        <w:t xml:space="preserve"> cultivated in vials through an inoculum expansion process using Brain Heart Infusion (BHI) medium. The hydrolysates were dispensed into serum bottles, capped with butyl rubber stopper and clamped with aluminium seal</w:t>
      </w:r>
      <w:r w:rsidR="005B0AAE">
        <w:rPr>
          <w:lang w:val="en-GB"/>
        </w:rPr>
        <w:t>s</w:t>
      </w:r>
      <w:r w:rsidRPr="00653B7D">
        <w:rPr>
          <w:lang w:val="en-GB"/>
        </w:rPr>
        <w:t xml:space="preserve">. A 10% (v/v) inoculum of </w:t>
      </w:r>
      <w:r w:rsidR="005B0AAE">
        <w:rPr>
          <w:lang w:val="en-GB"/>
        </w:rPr>
        <w:t xml:space="preserve">the </w:t>
      </w:r>
      <w:r w:rsidRPr="00653B7D">
        <w:rPr>
          <w:lang w:val="en-GB"/>
        </w:rPr>
        <w:t>total working volume was added under sterile condition</w:t>
      </w:r>
      <w:r w:rsidR="005B0AAE">
        <w:rPr>
          <w:lang w:val="en-GB"/>
        </w:rPr>
        <w:t>s</w:t>
      </w:r>
      <w:r w:rsidRPr="00653B7D">
        <w:rPr>
          <w:lang w:val="en-GB"/>
        </w:rPr>
        <w:t>. Small-scale fermentations were carried out in 100-mL serum bottles with a working volume of 50 mL.</w:t>
      </w:r>
      <w:r w:rsidR="005B0AAE">
        <w:rPr>
          <w:lang w:val="en-GB"/>
        </w:rPr>
        <w:t xml:space="preserve"> </w:t>
      </w:r>
      <w:r w:rsidRPr="00653B7D">
        <w:rPr>
          <w:lang w:val="en-GB"/>
        </w:rPr>
        <w:t>The medium was supplemented (per litre)</w:t>
      </w:r>
      <w:r w:rsidR="005B0AAE">
        <w:rPr>
          <w:lang w:val="en-GB"/>
        </w:rPr>
        <w:t xml:space="preserve"> with</w:t>
      </w:r>
      <w:r w:rsidRPr="00653B7D">
        <w:rPr>
          <w:lang w:val="en-GB"/>
        </w:rPr>
        <w:t xml:space="preserve"> 15.0 g of yeast extract (YE) and 30.0 g of magnesium carbonate (MgCO</w:t>
      </w:r>
      <w:r w:rsidRPr="00CD513B">
        <w:rPr>
          <w:vertAlign w:val="subscript"/>
          <w:lang w:val="en-GB"/>
        </w:rPr>
        <w:t>3</w:t>
      </w:r>
      <w:r w:rsidRPr="00653B7D">
        <w:rPr>
          <w:lang w:val="en-GB"/>
        </w:rPr>
        <w:t xml:space="preserve">). Additionally, fermentation was </w:t>
      </w:r>
      <w:r w:rsidR="005B0AAE">
        <w:rPr>
          <w:lang w:val="en-GB"/>
        </w:rPr>
        <w:t>conducted</w:t>
      </w:r>
      <w:r w:rsidRPr="00653B7D">
        <w:rPr>
          <w:lang w:val="en-GB"/>
        </w:rPr>
        <w:t xml:space="preserve"> using a defined medium as a reference for comparison. The defined medium, similar to that of EFB hydrolysate, was supplemented with (per litre): 0.2 g magnesium chloride </w:t>
      </w:r>
      <w:r w:rsidRPr="00653B7D">
        <w:rPr>
          <w:lang w:val="en-GB"/>
        </w:rPr>
        <w:lastRenderedPageBreak/>
        <w:t>hexahydrate (MgCl</w:t>
      </w:r>
      <w:r w:rsidRPr="00CD513B">
        <w:rPr>
          <w:vertAlign w:val="subscript"/>
          <w:lang w:val="en-GB"/>
        </w:rPr>
        <w:t>2</w:t>
      </w:r>
      <w:r w:rsidRPr="00653B7D">
        <w:rPr>
          <w:lang w:val="en-GB"/>
        </w:rPr>
        <w:t>.6H</w:t>
      </w:r>
      <w:r w:rsidRPr="00CD513B">
        <w:rPr>
          <w:vertAlign w:val="subscript"/>
          <w:lang w:val="en-GB"/>
        </w:rPr>
        <w:t>2</w:t>
      </w:r>
      <w:r w:rsidRPr="00653B7D">
        <w:rPr>
          <w:lang w:val="en-GB"/>
        </w:rPr>
        <w:t>O), 0.2 g calcium chloride dihydrate (CaCl</w:t>
      </w:r>
      <w:r w:rsidRPr="00CD513B">
        <w:rPr>
          <w:vertAlign w:val="subscript"/>
          <w:lang w:val="en-GB"/>
        </w:rPr>
        <w:t>2</w:t>
      </w:r>
      <w:r w:rsidRPr="00653B7D">
        <w:rPr>
          <w:lang w:val="en-GB"/>
        </w:rPr>
        <w:t>.2H</w:t>
      </w:r>
      <w:r w:rsidRPr="00CD513B">
        <w:rPr>
          <w:vertAlign w:val="subscript"/>
          <w:lang w:val="en-GB"/>
        </w:rPr>
        <w:t>2</w:t>
      </w:r>
      <w:r w:rsidRPr="00653B7D">
        <w:rPr>
          <w:lang w:val="en-GB"/>
        </w:rPr>
        <w:t>O), 3.0 g potassium dihydrogen phosphate (KH</w:t>
      </w:r>
      <w:r w:rsidRPr="00CD513B">
        <w:rPr>
          <w:vertAlign w:val="subscript"/>
          <w:lang w:val="en-GB"/>
        </w:rPr>
        <w:t>2</w:t>
      </w:r>
      <w:r w:rsidRPr="00653B7D">
        <w:rPr>
          <w:lang w:val="en-GB"/>
        </w:rPr>
        <w:t>PO</w:t>
      </w:r>
      <w:r w:rsidRPr="00CD513B">
        <w:rPr>
          <w:vertAlign w:val="subscript"/>
          <w:lang w:val="en-GB"/>
        </w:rPr>
        <w:t>4</w:t>
      </w:r>
      <w:r w:rsidRPr="00653B7D">
        <w:rPr>
          <w:lang w:val="en-GB"/>
        </w:rPr>
        <w:t>), 1.0 g sodium chloride (NaCl), 15.0 g YE and 30.0 g MgCO</w:t>
      </w:r>
      <w:r w:rsidRPr="00552373">
        <w:rPr>
          <w:vertAlign w:val="subscript"/>
          <w:lang w:val="en-GB"/>
        </w:rPr>
        <w:t>3</w:t>
      </w:r>
      <w:r w:rsidRPr="00653B7D">
        <w:rPr>
          <w:lang w:val="en-GB"/>
        </w:rPr>
        <w:t>. The cultures were incubated at 37°C</w:t>
      </w:r>
      <w:r w:rsidR="005B0AAE">
        <w:rPr>
          <w:lang w:val="en-GB"/>
        </w:rPr>
        <w:t xml:space="preserve"> and</w:t>
      </w:r>
      <w:r w:rsidRPr="00653B7D">
        <w:rPr>
          <w:lang w:val="en-GB"/>
        </w:rPr>
        <w:t xml:space="preserve"> 200 rpm for 72 h (Bukhari et al., 2021).</w:t>
      </w:r>
    </w:p>
    <w:p w14:paraId="055E6088" w14:textId="77777777" w:rsidR="00CD513B" w:rsidRDefault="00CD513B" w:rsidP="00CD513B">
      <w:pPr>
        <w:pStyle w:val="CETBodytext"/>
        <w:rPr>
          <w:lang w:val="en-GB"/>
        </w:rPr>
      </w:pPr>
    </w:p>
    <w:p w14:paraId="407BD8FF" w14:textId="57C8441B" w:rsidR="00653B7D" w:rsidRPr="00640CC6" w:rsidRDefault="00640CC6" w:rsidP="00CD513B">
      <w:pPr>
        <w:pStyle w:val="CETBodytext"/>
        <w:spacing w:after="120"/>
        <w:rPr>
          <w:b/>
          <w:bCs/>
          <w:lang w:val="en-GB"/>
        </w:rPr>
      </w:pPr>
      <w:r w:rsidRPr="00640CC6">
        <w:rPr>
          <w:b/>
          <w:bCs/>
          <w:lang w:val="en-GB"/>
        </w:rPr>
        <w:t xml:space="preserve">2.2.4 </w:t>
      </w:r>
      <w:r w:rsidR="00653B7D" w:rsidRPr="00640CC6">
        <w:rPr>
          <w:b/>
          <w:bCs/>
          <w:lang w:val="en-GB"/>
        </w:rPr>
        <w:t>Succinic acid purification</w:t>
      </w:r>
    </w:p>
    <w:p w14:paraId="1E547DBB" w14:textId="60B19CFC" w:rsidR="00CD513B" w:rsidRDefault="00653B7D" w:rsidP="00CD513B">
      <w:pPr>
        <w:pStyle w:val="CETBodytext"/>
        <w:rPr>
          <w:lang w:val="en-GB"/>
        </w:rPr>
      </w:pPr>
      <w:r w:rsidRPr="00653B7D">
        <w:rPr>
          <w:lang w:val="en-GB"/>
        </w:rPr>
        <w:t xml:space="preserve">For the recovery of succinic acid from the fermentation broths, centrifugation was first used to remove bacterial cells. The resultant products were subjected to decolorisation through treatment with various absorbents i.e. clay pebbles, vermiculite, cellulose, hydrogen peroxide, and activated carbon (AC). </w:t>
      </w:r>
      <w:r w:rsidR="005B0AAE" w:rsidRPr="00653B7D">
        <w:rPr>
          <w:lang w:val="en-GB"/>
        </w:rPr>
        <w:t>Subsequently</w:t>
      </w:r>
      <w:r w:rsidRPr="00653B7D">
        <w:rPr>
          <w:lang w:val="en-GB"/>
        </w:rPr>
        <w:t>, the decolo</w:t>
      </w:r>
      <w:r w:rsidR="005B0AAE">
        <w:rPr>
          <w:lang w:val="en-GB"/>
        </w:rPr>
        <w:t>u</w:t>
      </w:r>
      <w:r w:rsidRPr="00653B7D">
        <w:rPr>
          <w:lang w:val="en-GB"/>
        </w:rPr>
        <w:t>ri</w:t>
      </w:r>
      <w:r w:rsidR="005B0AAE">
        <w:rPr>
          <w:lang w:val="en-GB"/>
        </w:rPr>
        <w:t>s</w:t>
      </w:r>
      <w:r w:rsidRPr="00653B7D">
        <w:rPr>
          <w:lang w:val="en-GB"/>
        </w:rPr>
        <w:t xml:space="preserve">ed broth was acidified at pH 2.0 with hydrochloric acid (HCl) followed by vacuum distillation and precipitation to yield purified succinic acid. The solution was cooled to 4ºC to produce succinic acid crystals, which was then dissolved in distilled water to check its purity. The purity of succinic acid was determined by quantifying the mass of succinic acid in the purified product (dried crystals) </w:t>
      </w:r>
      <w:r w:rsidR="005B0AAE">
        <w:rPr>
          <w:lang w:val="en-GB"/>
        </w:rPr>
        <w:t>using</w:t>
      </w:r>
      <w:r w:rsidRPr="00653B7D">
        <w:rPr>
          <w:lang w:val="en-GB"/>
        </w:rPr>
        <w:t xml:space="preserve"> HPLC.  </w:t>
      </w:r>
    </w:p>
    <w:p w14:paraId="13624143" w14:textId="77777777" w:rsidR="00CD513B" w:rsidRDefault="00CD513B" w:rsidP="00CD513B">
      <w:pPr>
        <w:pStyle w:val="CETBodytext"/>
        <w:rPr>
          <w:lang w:val="en-GB"/>
        </w:rPr>
      </w:pPr>
    </w:p>
    <w:p w14:paraId="10C12E0C" w14:textId="49418E58" w:rsidR="00653B7D" w:rsidRPr="00640CC6" w:rsidRDefault="00640CC6" w:rsidP="00CD513B">
      <w:pPr>
        <w:pStyle w:val="CETBodytext"/>
        <w:spacing w:after="120"/>
        <w:rPr>
          <w:b/>
          <w:bCs/>
          <w:lang w:val="en-GB"/>
        </w:rPr>
      </w:pPr>
      <w:r w:rsidRPr="00640CC6">
        <w:rPr>
          <w:b/>
          <w:bCs/>
          <w:lang w:val="en-GB"/>
        </w:rPr>
        <w:t xml:space="preserve">2.2.5 </w:t>
      </w:r>
      <w:r w:rsidR="00653B7D" w:rsidRPr="00640CC6">
        <w:rPr>
          <w:b/>
          <w:bCs/>
          <w:lang w:val="en-GB"/>
        </w:rPr>
        <w:t>Analytical methods</w:t>
      </w:r>
    </w:p>
    <w:p w14:paraId="41D13978" w14:textId="25119115" w:rsidR="00640CC6" w:rsidRDefault="00653B7D" w:rsidP="00CD513B">
      <w:pPr>
        <w:pStyle w:val="CETBodytext"/>
        <w:spacing w:after="120"/>
        <w:rPr>
          <w:lang w:val="en-GB"/>
        </w:rPr>
      </w:pPr>
      <w:r w:rsidRPr="00653B7D">
        <w:rPr>
          <w:lang w:val="en-GB"/>
        </w:rPr>
        <w:t>Sugars and acetic acid contents of EFB hydrolysates were quantified using HPLC (Waters 2707, MA, USA) equipped with a Phenomenex Rezex™ ROA column (300 × 7.8 mm) (Sunnyvale, CA, USA) at 60°C. Sulphuric acid (H</w:t>
      </w:r>
      <w:r w:rsidRPr="00004D7A">
        <w:rPr>
          <w:vertAlign w:val="subscript"/>
          <w:lang w:val="en-GB"/>
        </w:rPr>
        <w:t>2</w:t>
      </w:r>
      <w:r w:rsidRPr="00653B7D">
        <w:rPr>
          <w:lang w:val="en-GB"/>
        </w:rPr>
        <w:t>SO</w:t>
      </w:r>
      <w:r w:rsidRPr="00004D7A">
        <w:rPr>
          <w:vertAlign w:val="subscript"/>
          <w:lang w:val="en-GB"/>
        </w:rPr>
        <w:t>4</w:t>
      </w:r>
      <w:r w:rsidRPr="00653B7D">
        <w:rPr>
          <w:lang w:val="en-GB"/>
        </w:rPr>
        <w:t xml:space="preserve">) at 2.5 mM was used as the eluent at a flow rate of 0.6 mL/min. The </w:t>
      </w:r>
      <w:r w:rsidR="005B0AAE">
        <w:rPr>
          <w:lang w:val="en-GB"/>
        </w:rPr>
        <w:t>system</w:t>
      </w:r>
      <w:r w:rsidRPr="00653B7D">
        <w:rPr>
          <w:lang w:val="en-GB"/>
        </w:rPr>
        <w:t xml:space="preserve"> was integrated with an auto sampler (Waters 2707, MA, USA),</w:t>
      </w:r>
      <w:r w:rsidR="005B0AAE">
        <w:rPr>
          <w:lang w:val="en-GB"/>
        </w:rPr>
        <w:t xml:space="preserve"> a</w:t>
      </w:r>
      <w:r w:rsidRPr="00653B7D">
        <w:rPr>
          <w:lang w:val="en-GB"/>
        </w:rPr>
        <w:t xml:space="preserve"> refractive index detector (Waters 2414, MA, USA) set at 40°C, and an isocratic HPLC pump (Waters 1515, MA, USA).</w:t>
      </w:r>
    </w:p>
    <w:p w14:paraId="61BE022C" w14:textId="09FBCE21" w:rsidR="00653B7D" w:rsidRPr="00004D7A" w:rsidRDefault="00653B7D" w:rsidP="00CD513B">
      <w:pPr>
        <w:pStyle w:val="CETBodytext"/>
        <w:spacing w:after="120"/>
        <w:rPr>
          <w:rFonts w:cs="Arial"/>
          <w:lang w:val="en-GB"/>
        </w:rPr>
      </w:pPr>
      <w:r w:rsidRPr="00653B7D">
        <w:rPr>
          <w:lang w:val="en-GB"/>
        </w:rPr>
        <w:t>The succinic acid (product) yield from EFB was calculated as gram of product per gram of sugar consumed</w:t>
      </w:r>
      <w:r w:rsidR="00DF4E9A">
        <w:rPr>
          <w:lang w:val="en-GB"/>
        </w:rPr>
        <w:t xml:space="preserve"> (</w:t>
      </w:r>
      <w:r w:rsidRPr="00653B7D">
        <w:rPr>
          <w:lang w:val="en-GB"/>
        </w:rPr>
        <w:t xml:space="preserve">g/g). The productivity (g/L·h) was calculated based on the tangent to the slope of the product formation curve. </w:t>
      </w:r>
      <w:r w:rsidRPr="00004D7A">
        <w:rPr>
          <w:rFonts w:cs="Arial"/>
          <w:lang w:val="en-GB"/>
        </w:rPr>
        <w:t>All experiments were performed in triplicates.</w:t>
      </w:r>
    </w:p>
    <w:p w14:paraId="677EBFF0" w14:textId="596EF1AB" w:rsidR="00600535" w:rsidRPr="00B57B36" w:rsidRDefault="00653B7D" w:rsidP="00CD513B">
      <w:pPr>
        <w:pStyle w:val="CETHeading1"/>
        <w:tabs>
          <w:tab w:val="clear" w:pos="360"/>
          <w:tab w:val="right" w:pos="7100"/>
        </w:tabs>
        <w:jc w:val="both"/>
        <w:rPr>
          <w:lang w:val="en-GB"/>
        </w:rPr>
      </w:pPr>
      <w:r>
        <w:rPr>
          <w:lang w:val="en-GB"/>
        </w:rPr>
        <w:t>Results and Discussion</w:t>
      </w:r>
    </w:p>
    <w:p w14:paraId="74D38A7C" w14:textId="29FDC5F7" w:rsidR="00DF4E9A" w:rsidRPr="00EC7D93" w:rsidRDefault="008704DA" w:rsidP="00EC7D93">
      <w:pPr>
        <w:pStyle w:val="CETheadingx"/>
      </w:pPr>
      <w:r w:rsidRPr="00EC7D93">
        <w:t xml:space="preserve">3.1 </w:t>
      </w:r>
      <w:r w:rsidR="00653B7D" w:rsidRPr="00EC7D93">
        <w:t xml:space="preserve">Metal chlorides </w:t>
      </w:r>
      <w:r w:rsidR="00DF4E9A" w:rsidRPr="00EC7D93">
        <w:t>pretreatment</w:t>
      </w:r>
    </w:p>
    <w:p w14:paraId="2B4896F0" w14:textId="3715FBF3" w:rsidR="00004D7A" w:rsidRDefault="00DF4E9A" w:rsidP="00F21F04">
      <w:pPr>
        <w:pStyle w:val="CETBodytext"/>
        <w:spacing w:after="120" w:line="276" w:lineRule="auto"/>
      </w:pPr>
      <w:r w:rsidRPr="00DF4E9A">
        <w:t xml:space="preserve">The pretreatment of EFB </w:t>
      </w:r>
      <w:r w:rsidR="005B0AAE">
        <w:t xml:space="preserve">aimed to identify </w:t>
      </w:r>
      <w:r w:rsidRPr="00DF4E9A">
        <w:t xml:space="preserve">the best catalyst in hydrolysing hemicellulose out using 11 types of metal chlorides. This screening showed that xylose was the main product being released, suggesting that hemicellulose </w:t>
      </w:r>
      <w:r w:rsidR="005B0AAE">
        <w:t xml:space="preserve">is more easily </w:t>
      </w:r>
      <w:r w:rsidRPr="00DF4E9A">
        <w:t>degrade</w:t>
      </w:r>
      <w:r w:rsidR="005B0AAE">
        <w:t>d</w:t>
      </w:r>
      <w:r w:rsidRPr="00DF4E9A">
        <w:t xml:space="preserve"> than cellulose during the pretreatment. Among the metal chlorides used, FeCl</w:t>
      </w:r>
      <w:r w:rsidRPr="00004D7A">
        <w:rPr>
          <w:vertAlign w:val="subscript"/>
        </w:rPr>
        <w:t>3</w:t>
      </w:r>
      <w:r w:rsidRPr="00DF4E9A">
        <w:t xml:space="preserve"> was the most efficient in hydrolysing </w:t>
      </w:r>
      <w:r w:rsidR="005B0AAE">
        <w:t xml:space="preserve">the </w:t>
      </w:r>
      <w:r w:rsidRPr="00DF4E9A">
        <w:t>hemicellulose fraction of EFB, producing a maximum xylose concentration of ~20 g/L (data not shown). FeCl</w:t>
      </w:r>
      <w:r w:rsidRPr="003A32DE">
        <w:rPr>
          <w:vertAlign w:val="subscript"/>
        </w:rPr>
        <w:t>3</w:t>
      </w:r>
      <w:r w:rsidRPr="00DF4E9A">
        <w:t xml:space="preserve"> can undergo hydrolysis and generate hydronium ions, leading to depolymerisation of hemicellulose via selective hydrolysis of glycosidic linkages to form acetic acid, which further catalyses hemicellulose hydrolysis (Huo et al. 2018; Zhang et al., 2018).</w:t>
      </w:r>
      <w:r>
        <w:t xml:space="preserve"> </w:t>
      </w:r>
    </w:p>
    <w:p w14:paraId="5BE88BC7" w14:textId="5F2E1445" w:rsidR="008704DA" w:rsidRPr="00CB3617" w:rsidRDefault="00DF4E9A" w:rsidP="00F21F04">
      <w:pPr>
        <w:pStyle w:val="CETBodytext"/>
        <w:spacing w:after="120" w:line="276" w:lineRule="auto"/>
      </w:pPr>
      <w:r>
        <w:t>FeCl</w:t>
      </w:r>
      <w:r w:rsidRPr="00004D7A">
        <w:rPr>
          <w:vertAlign w:val="subscript"/>
        </w:rPr>
        <w:t xml:space="preserve">3 </w:t>
      </w:r>
      <w:r>
        <w:t xml:space="preserve">pretreatment </w:t>
      </w:r>
      <w:r w:rsidR="005B0AAE">
        <w:t>was carried out under</w:t>
      </w:r>
      <w:r>
        <w:t xml:space="preserve"> different reaction temperatures (105-130°C)</w:t>
      </w:r>
      <w:r w:rsidR="00CB3617">
        <w:t>, concentrations (1-5%, w/v), and reaction time (15-60 min)</w:t>
      </w:r>
      <w:r>
        <w:t xml:space="preserve"> to fractionate hemicellulose from </w:t>
      </w:r>
      <w:r w:rsidR="005B0AAE">
        <w:t xml:space="preserve">the </w:t>
      </w:r>
      <w:r>
        <w:t>biomass and enhance the enzymatic hydrolysis of the retained cellulose in the pretreated solids.</w:t>
      </w:r>
      <w:r w:rsidR="00CB3617">
        <w:t xml:space="preserve"> </w:t>
      </w:r>
      <w:r w:rsidR="00CB3617" w:rsidRPr="003432F1">
        <w:t xml:space="preserve">Hemicellulose </w:t>
      </w:r>
      <w:r w:rsidR="00CB3617" w:rsidRPr="00CB3617">
        <w:t>removal increase</w:t>
      </w:r>
      <w:r w:rsidR="00CF477B">
        <w:t>d</w:t>
      </w:r>
      <w:r w:rsidR="00CB3617" w:rsidRPr="00CB3617">
        <w:t xml:space="preserve"> steadily as </w:t>
      </w:r>
      <w:r w:rsidR="00CF477B">
        <w:t xml:space="preserve">the </w:t>
      </w:r>
      <w:r w:rsidR="00CB3617" w:rsidRPr="00CB3617">
        <w:t>temperature increase</w:t>
      </w:r>
      <w:r w:rsidR="00CF477B">
        <w:t>d</w:t>
      </w:r>
      <w:r w:rsidR="00CB3617" w:rsidRPr="00CB3617">
        <w:t xml:space="preserve"> </w:t>
      </w:r>
      <w:r w:rsidR="00CB3617" w:rsidRPr="00CB3617">
        <w:rPr>
          <w:i/>
          <w:iCs/>
        </w:rPr>
        <w:t xml:space="preserve">(Figure 1a). </w:t>
      </w:r>
      <w:r w:rsidR="00CB3617" w:rsidRPr="00CB3617">
        <w:t>Reaction at 130°C show</w:t>
      </w:r>
      <w:r w:rsidR="005B0AAE">
        <w:t>ed</w:t>
      </w:r>
      <w:r w:rsidR="00CB3617" w:rsidRPr="00CB3617">
        <w:t xml:space="preserve"> the highest hemicellulose removal (over 90%)</w:t>
      </w:r>
      <w:r w:rsidR="005B0AAE">
        <w:t>, indicating t</w:t>
      </w:r>
      <w:r w:rsidR="00CB3617" w:rsidRPr="00CB3617">
        <w:t xml:space="preserve">hat higher temperatures significantly enhance pretreatment effectiveness. </w:t>
      </w:r>
      <w:r w:rsidR="00CB3617" w:rsidRPr="00004D7A">
        <w:rPr>
          <w:i/>
          <w:iCs/>
        </w:rPr>
        <w:t>Figure 1b</w:t>
      </w:r>
      <w:r w:rsidR="00CB3617" w:rsidRPr="00CB3617">
        <w:t xml:space="preserve"> shows </w:t>
      </w:r>
      <w:r w:rsidR="00CF477B">
        <w:t xml:space="preserve">that </w:t>
      </w:r>
      <w:r w:rsidR="00CB3617" w:rsidRPr="00CB3617">
        <w:t>increasing</w:t>
      </w:r>
      <w:r w:rsidR="00CF477B">
        <w:t xml:space="preserve"> the</w:t>
      </w:r>
      <w:r w:rsidR="00CB3617" w:rsidRPr="00CB3617">
        <w:t xml:space="preserve"> FeC</w:t>
      </w:r>
      <w:r w:rsidR="00004D7A">
        <w:t>l</w:t>
      </w:r>
      <w:r w:rsidR="00004D7A" w:rsidRPr="00004D7A">
        <w:rPr>
          <w:vertAlign w:val="subscript"/>
        </w:rPr>
        <w:t>3</w:t>
      </w:r>
      <w:r w:rsidR="00004D7A">
        <w:rPr>
          <w:rFonts w:ascii="Cambria Math" w:hAnsi="Cambria Math" w:cs="Cambria Math"/>
        </w:rPr>
        <w:t xml:space="preserve"> </w:t>
      </w:r>
      <w:r w:rsidR="00CB3617" w:rsidRPr="00CB3617">
        <w:t xml:space="preserve">concentration from 1% to 2% </w:t>
      </w:r>
      <w:r w:rsidR="00CF477B">
        <w:t xml:space="preserve">results in a significant increase </w:t>
      </w:r>
      <w:r w:rsidR="00CB3617" w:rsidRPr="00CB3617">
        <w:t xml:space="preserve">in hemicellulose removal, while at concentrations </w:t>
      </w:r>
      <w:r w:rsidR="00CF477B">
        <w:t xml:space="preserve">from </w:t>
      </w:r>
      <w:r w:rsidR="00CB3617" w:rsidRPr="00CB3617">
        <w:t>2% to 5% show similar values. A 2% FeCl</w:t>
      </w:r>
      <w:r w:rsidR="00CB3617" w:rsidRPr="00CB3617">
        <w:rPr>
          <w:vertAlign w:val="subscript"/>
        </w:rPr>
        <w:t>3</w:t>
      </w:r>
      <w:r w:rsidR="00CB3617" w:rsidRPr="00CB3617">
        <w:t xml:space="preserve"> concentration is </w:t>
      </w:r>
      <w:r w:rsidR="00CF477B">
        <w:t xml:space="preserve">therefore </w:t>
      </w:r>
      <w:r w:rsidR="00CB3617" w:rsidRPr="00CB3617">
        <w:t xml:space="preserve">efficient and sufficient </w:t>
      </w:r>
      <w:r w:rsidR="00CF477B">
        <w:t>to</w:t>
      </w:r>
      <w:r w:rsidR="00CB3617" w:rsidRPr="00CB3617">
        <w:t xml:space="preserve"> achiev</w:t>
      </w:r>
      <w:r w:rsidR="00CF477B">
        <w:t>e</w:t>
      </w:r>
      <w:r w:rsidR="00CB3617" w:rsidRPr="00CB3617">
        <w:t xml:space="preserve"> high hemicellulose removal with less chemical usage. In term</w:t>
      </w:r>
      <w:r w:rsidR="00CF477B">
        <w:t>s</w:t>
      </w:r>
      <w:r w:rsidR="00CB3617" w:rsidRPr="00CB3617">
        <w:t xml:space="preserve"> of reaction time, 30 min </w:t>
      </w:r>
      <w:r w:rsidR="00CF477B">
        <w:t>w</w:t>
      </w:r>
      <w:r w:rsidR="00CB3617" w:rsidRPr="00CB3617">
        <w:t xml:space="preserve">as </w:t>
      </w:r>
      <w:r w:rsidR="00CF477B">
        <w:t xml:space="preserve">identified as </w:t>
      </w:r>
      <w:r w:rsidR="00CB3617" w:rsidRPr="00CB3617">
        <w:t xml:space="preserve">the optimal reaction time </w:t>
      </w:r>
      <w:r w:rsidR="00CB3617" w:rsidRPr="00CB3617">
        <w:rPr>
          <w:i/>
          <w:iCs/>
        </w:rPr>
        <w:t>(Figure 1c).</w:t>
      </w:r>
      <w:r w:rsidR="00CB3617" w:rsidRPr="00CB3617">
        <w:t xml:space="preserve"> Extending the reaction beyond 30 min gives minimal additional benefit. Overall, the best conditions for </w:t>
      </w:r>
      <w:r w:rsidR="004B4804" w:rsidRPr="00CB3617">
        <w:t>FeCl</w:t>
      </w:r>
      <w:r w:rsidR="004B4804" w:rsidRPr="00CB3617">
        <w:rPr>
          <w:vertAlign w:val="subscript"/>
        </w:rPr>
        <w:t>3</w:t>
      </w:r>
      <w:r w:rsidR="00CB3617" w:rsidRPr="00CB3617">
        <w:t xml:space="preserve"> pretreatment of EFB </w:t>
      </w:r>
      <w:r w:rsidR="00CF477B">
        <w:t>were</w:t>
      </w:r>
      <w:r w:rsidR="00CB3617" w:rsidRPr="00CB3617">
        <w:t xml:space="preserve"> achieved at 130°C using 2% </w:t>
      </w:r>
      <w:bookmarkStart w:id="1" w:name="_Hlk222472614"/>
      <w:r w:rsidR="00CB3617" w:rsidRPr="00CB3617">
        <w:t>FeCl</w:t>
      </w:r>
      <w:r w:rsidR="00CB3617" w:rsidRPr="00CB3617">
        <w:rPr>
          <w:vertAlign w:val="subscript"/>
        </w:rPr>
        <w:t>3</w:t>
      </w:r>
      <w:bookmarkEnd w:id="1"/>
      <w:r w:rsidR="00CB3617" w:rsidRPr="00CB3617">
        <w:rPr>
          <w:vertAlign w:val="subscript"/>
        </w:rPr>
        <w:t xml:space="preserve"> </w:t>
      </w:r>
      <w:r w:rsidR="00CB3617" w:rsidRPr="00CB3617">
        <w:t>for 30 min.</w:t>
      </w:r>
    </w:p>
    <w:p w14:paraId="57B51E64" w14:textId="1B80E879" w:rsidR="00921A06" w:rsidRDefault="00921A06" w:rsidP="00CB3617">
      <w:pPr>
        <w:pStyle w:val="CETBodytext"/>
        <w:rPr>
          <w:color w:val="FF0000"/>
        </w:rPr>
      </w:pPr>
      <w:r w:rsidRPr="00921A06">
        <w:rPr>
          <w:noProof/>
          <w:color w:val="FF0000"/>
          <w:lang w:val="en-GB"/>
        </w:rPr>
        <w:lastRenderedPageBreak/>
        <w:drawing>
          <wp:inline distT="0" distB="0" distL="0" distR="0" wp14:anchorId="4C2AAA98" wp14:editId="062980EC">
            <wp:extent cx="1666875" cy="2264410"/>
            <wp:effectExtent l="0" t="0" r="0" b="2540"/>
            <wp:docPr id="1413754009" name="Chart 1">
              <a:extLst xmlns:a="http://schemas.openxmlformats.org/drawingml/2006/main">
                <a:ext uri="{FF2B5EF4-FFF2-40B4-BE49-F238E27FC236}">
                  <a16:creationId xmlns:a16="http://schemas.microsoft.com/office/drawing/2014/main" id="{D8E5EFDA-D915-452E-A0D3-64FBE6402D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color w:val="FF0000"/>
        </w:rPr>
        <w:t xml:space="preserve"> </w:t>
      </w:r>
      <w:r w:rsidRPr="00921A06">
        <w:rPr>
          <w:noProof/>
          <w:color w:val="FF0000"/>
          <w:lang w:val="en-GB"/>
        </w:rPr>
        <w:drawing>
          <wp:inline distT="0" distB="0" distL="0" distR="0" wp14:anchorId="6B5A4499" wp14:editId="7ECDD611">
            <wp:extent cx="1990579" cy="2264410"/>
            <wp:effectExtent l="0" t="0" r="0" b="2540"/>
            <wp:docPr id="813959343" name="Chart 1">
              <a:extLst xmlns:a="http://schemas.openxmlformats.org/drawingml/2006/main">
                <a:ext uri="{FF2B5EF4-FFF2-40B4-BE49-F238E27FC236}">
                  <a16:creationId xmlns:a16="http://schemas.microsoft.com/office/drawing/2014/main" id="{F87EB320-3B06-7F5D-9DB3-E45E0E9378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color w:val="FF0000"/>
        </w:rPr>
        <w:t xml:space="preserve"> </w:t>
      </w:r>
      <w:r w:rsidRPr="00921A06">
        <w:rPr>
          <w:noProof/>
          <w:color w:val="FF0000"/>
          <w:lang w:val="en-GB"/>
        </w:rPr>
        <w:drawing>
          <wp:inline distT="0" distB="0" distL="0" distR="0" wp14:anchorId="3B633017" wp14:editId="7A3E34CB">
            <wp:extent cx="1828360" cy="2257425"/>
            <wp:effectExtent l="0" t="0" r="635" b="0"/>
            <wp:docPr id="1889663966" name="Chart 1">
              <a:extLst xmlns:a="http://schemas.openxmlformats.org/drawingml/2006/main">
                <a:ext uri="{FF2B5EF4-FFF2-40B4-BE49-F238E27FC236}">
                  <a16:creationId xmlns:a16="http://schemas.microsoft.com/office/drawing/2014/main" id="{61153E0C-F57A-4BA4-9772-A08061FC3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B0901E" w14:textId="485923C9" w:rsidR="008704DA" w:rsidRPr="003D5B3C" w:rsidRDefault="008704DA" w:rsidP="00CB3617">
      <w:pPr>
        <w:pStyle w:val="CETCaption"/>
        <w:spacing w:before="0"/>
      </w:pPr>
      <w:r w:rsidRPr="003D5B3C">
        <w:rPr>
          <w:rStyle w:val="CETCaptionCarattere"/>
          <w:i/>
        </w:rPr>
        <w:t xml:space="preserve">Figure 1: </w:t>
      </w:r>
      <w:r w:rsidR="003D5B3C" w:rsidRPr="003D5B3C">
        <w:rPr>
          <w:rStyle w:val="CETCaptionCarattere"/>
          <w:i/>
        </w:rPr>
        <w:t>Key factor affecting FeCl</w:t>
      </w:r>
      <w:r w:rsidR="003D5B3C" w:rsidRPr="003D5B3C">
        <w:rPr>
          <w:rStyle w:val="CETCaptionCarattere"/>
          <w:i/>
          <w:vertAlign w:val="subscript"/>
        </w:rPr>
        <w:t>3</w:t>
      </w:r>
      <w:r w:rsidR="003D5B3C" w:rsidRPr="003D5B3C">
        <w:rPr>
          <w:rStyle w:val="CETCaptionCarattere"/>
          <w:i/>
        </w:rPr>
        <w:t xml:space="preserve"> pretreatment</w:t>
      </w:r>
      <w:r w:rsidR="00AA441C">
        <w:rPr>
          <w:rStyle w:val="CETCaptionCarattere"/>
          <w:i/>
        </w:rPr>
        <w:t xml:space="preserve"> (</w:t>
      </w:r>
      <w:r w:rsidR="003D5B3C" w:rsidRPr="003D5B3C">
        <w:rPr>
          <w:rStyle w:val="CETCaptionCarattere"/>
          <w:i/>
        </w:rPr>
        <w:t>a) Temperature</w:t>
      </w:r>
      <w:r w:rsidR="00AA441C">
        <w:rPr>
          <w:rStyle w:val="CETCaptionCarattere"/>
          <w:i/>
        </w:rPr>
        <w:t>,</w:t>
      </w:r>
      <w:r w:rsidR="003D5B3C" w:rsidRPr="003D5B3C">
        <w:rPr>
          <w:rStyle w:val="CETCaptionCarattere"/>
          <w:i/>
        </w:rPr>
        <w:t xml:space="preserve"> </w:t>
      </w:r>
      <w:r w:rsidR="00AA441C">
        <w:rPr>
          <w:rStyle w:val="CETCaptionCarattere"/>
          <w:i/>
        </w:rPr>
        <w:t>(</w:t>
      </w:r>
      <w:r w:rsidR="003D5B3C" w:rsidRPr="003D5B3C">
        <w:rPr>
          <w:rStyle w:val="CETCaptionCarattere"/>
          <w:i/>
        </w:rPr>
        <w:t xml:space="preserve">b) Concentration and </w:t>
      </w:r>
      <w:r w:rsidR="00AA441C">
        <w:rPr>
          <w:rStyle w:val="CETCaptionCarattere"/>
          <w:i/>
        </w:rPr>
        <w:t>(</w:t>
      </w:r>
      <w:r w:rsidR="003D5B3C" w:rsidRPr="003D5B3C">
        <w:rPr>
          <w:rStyle w:val="CETCaptionCarattere"/>
          <w:i/>
        </w:rPr>
        <w:t>c) Reaction time.</w:t>
      </w:r>
    </w:p>
    <w:p w14:paraId="1F96CA21" w14:textId="31F2640B" w:rsidR="00600535" w:rsidRDefault="00DF4E9A" w:rsidP="00EC7D93">
      <w:pPr>
        <w:pStyle w:val="CETheadingx"/>
      </w:pPr>
      <w:r>
        <w:t xml:space="preserve">3.2 </w:t>
      </w:r>
      <w:r w:rsidR="00640CC6">
        <w:t>Enzymatic hy</w:t>
      </w:r>
      <w:r w:rsidR="00A5793A">
        <w:t>drolysis</w:t>
      </w:r>
    </w:p>
    <w:p w14:paraId="772D13C4" w14:textId="5E9281BF" w:rsidR="00A5793A" w:rsidRPr="00CB7E55" w:rsidRDefault="00A16F80" w:rsidP="00A16F80">
      <w:pPr>
        <w:pStyle w:val="CETBodytext"/>
        <w:rPr>
          <w:i/>
          <w:iCs/>
        </w:rPr>
      </w:pPr>
      <w:r>
        <w:rPr>
          <w:lang w:val="en-GB"/>
        </w:rPr>
        <w:t>En</w:t>
      </w:r>
      <w:r w:rsidR="00A5793A">
        <w:t xml:space="preserve">zymatic </w:t>
      </w:r>
      <w:r w:rsidR="00A5793A" w:rsidRPr="00CB7E55">
        <w:t>hydrolysis o</w:t>
      </w:r>
      <w:r w:rsidR="00A5793A">
        <w:t>f the FeCl</w:t>
      </w:r>
      <w:r w:rsidR="00A5793A" w:rsidRPr="00CB7E55">
        <w:rPr>
          <w:vertAlign w:val="subscript"/>
        </w:rPr>
        <w:t>3</w:t>
      </w:r>
      <w:r w:rsidR="00A5793A">
        <w:t>-pretreated EFB was carried out using cellulase for 72 h. A total of 37.9 g/L of glucose was produced compared to only ~5.8 g/L from unpretreated EFB. The high removal of hemicellulose during FeCl</w:t>
      </w:r>
      <w:r w:rsidR="00A5793A" w:rsidRPr="00CB7E55">
        <w:rPr>
          <w:vertAlign w:val="subscript"/>
        </w:rPr>
        <w:t>3</w:t>
      </w:r>
      <w:r w:rsidR="00A5793A">
        <w:t xml:space="preserve"> pretreatment significantly enhanced the enzymatic hydrolysis of EFB, </w:t>
      </w:r>
      <w:r w:rsidR="009729EF">
        <w:t>resulting in approximately</w:t>
      </w:r>
      <w:r w:rsidR="00A5793A">
        <w:t xml:space="preserve"> 6.5-fold higher </w:t>
      </w:r>
      <w:r w:rsidR="009729EF">
        <w:t xml:space="preserve">glucose yield </w:t>
      </w:r>
      <w:r w:rsidR="00A5793A">
        <w:t>than that of untreated EFB. Subsequently, batch fermentation was performed using the FeCl</w:t>
      </w:r>
      <w:r w:rsidR="00A5793A" w:rsidRPr="00CB7E55">
        <w:rPr>
          <w:vertAlign w:val="subscript"/>
        </w:rPr>
        <w:t>3</w:t>
      </w:r>
      <w:r w:rsidR="00A5793A">
        <w:t>-pretreated EFB hydrolysate as</w:t>
      </w:r>
      <w:r w:rsidR="009729EF">
        <w:t xml:space="preserve"> </w:t>
      </w:r>
      <w:r w:rsidR="00A5793A">
        <w:t xml:space="preserve">medium using </w:t>
      </w:r>
      <w:r w:rsidR="00A5793A" w:rsidRPr="00CB7E55">
        <w:rPr>
          <w:i/>
          <w:iCs/>
        </w:rPr>
        <w:t xml:space="preserve">A. succinogenes.  </w:t>
      </w:r>
    </w:p>
    <w:p w14:paraId="472036E5" w14:textId="77777777" w:rsidR="00A5793A" w:rsidRDefault="00A5793A" w:rsidP="00A5793A">
      <w:pPr>
        <w:pStyle w:val="CETnumberingbullets"/>
        <w:numPr>
          <w:ilvl w:val="0"/>
          <w:numId w:val="0"/>
        </w:numPr>
        <w:ind w:left="113"/>
      </w:pPr>
    </w:p>
    <w:p w14:paraId="7382C781" w14:textId="16934A36" w:rsidR="00600535" w:rsidRPr="00461008" w:rsidRDefault="00DF4E9A" w:rsidP="00EC7D93">
      <w:pPr>
        <w:pStyle w:val="CETheadingx"/>
      </w:pPr>
      <w:r>
        <w:t xml:space="preserve">3.3 </w:t>
      </w:r>
      <w:r w:rsidR="00A5793A" w:rsidRPr="00461008">
        <w:t>Succinic acid production</w:t>
      </w:r>
    </w:p>
    <w:p w14:paraId="30FBAFD2" w14:textId="2592495F" w:rsidR="00A5793A" w:rsidRPr="00CB7E55" w:rsidRDefault="00A5793A" w:rsidP="00F21F04">
      <w:pPr>
        <w:pStyle w:val="CETnumberingbullets"/>
        <w:numPr>
          <w:ilvl w:val="0"/>
          <w:numId w:val="0"/>
        </w:numPr>
        <w:spacing w:line="276" w:lineRule="auto"/>
        <w:jc w:val="both"/>
        <w:rPr>
          <w:i/>
          <w:iCs/>
        </w:rPr>
      </w:pPr>
      <w:r>
        <w:t xml:space="preserve">Fermentation of EFB hydrolysates and was compared with that in a defined medium to evaluate </w:t>
      </w:r>
      <w:r w:rsidR="009729EF">
        <w:t xml:space="preserve">the </w:t>
      </w:r>
      <w:r>
        <w:t xml:space="preserve">succinic acid production profile of </w:t>
      </w:r>
      <w:r w:rsidRPr="00CB7E55">
        <w:rPr>
          <w:i/>
          <w:iCs/>
        </w:rPr>
        <w:t>A. succinogenes</w:t>
      </w:r>
      <w:r>
        <w:t xml:space="preserve">. The defined medium was formulated to mimic the sugar composition of the EFB hydrolysate, serving as a reference for comparison. The fermentation performance of both substrates was assessed in terms of succinic acid concentration, yield, productivity, and byproduct formation </w:t>
      </w:r>
      <w:r w:rsidRPr="00CB7E55">
        <w:rPr>
          <w:i/>
          <w:iCs/>
        </w:rPr>
        <w:t>(Table 1).</w:t>
      </w:r>
    </w:p>
    <w:p w14:paraId="4FE52CC5" w14:textId="77777777" w:rsidR="00A5793A" w:rsidRDefault="00A5793A" w:rsidP="00A5793A">
      <w:pPr>
        <w:pStyle w:val="CETBodytext"/>
      </w:pPr>
    </w:p>
    <w:p w14:paraId="31D5A756" w14:textId="07D98C29" w:rsidR="00A5793A" w:rsidRPr="00A5793A" w:rsidRDefault="00AB1263" w:rsidP="00AB1263">
      <w:pPr>
        <w:pStyle w:val="BodyText"/>
        <w:spacing w:after="60"/>
        <w:jc w:val="left"/>
        <w:rPr>
          <w:rFonts w:cs="Arial"/>
          <w:i/>
          <w:iCs/>
          <w:szCs w:val="18"/>
        </w:rPr>
      </w:pPr>
      <w:r>
        <w:rPr>
          <w:rFonts w:cs="Arial"/>
          <w:i/>
          <w:iCs/>
          <w:szCs w:val="18"/>
        </w:rPr>
        <w:t xml:space="preserve"> </w:t>
      </w:r>
      <w:r w:rsidR="00A5793A" w:rsidRPr="00A5793A">
        <w:rPr>
          <w:rFonts w:cs="Arial"/>
          <w:i/>
          <w:iCs/>
          <w:szCs w:val="18"/>
        </w:rPr>
        <w:t>Table 1: Comparison of succinic acid production utilising EFB hydrolsate and defined medium</w:t>
      </w:r>
    </w:p>
    <w:tbl>
      <w:tblPr>
        <w:tblW w:w="0" w:type="auto"/>
        <w:tblLook w:val="04A0" w:firstRow="1" w:lastRow="0" w:firstColumn="1" w:lastColumn="0" w:noHBand="0" w:noVBand="1"/>
      </w:tblPr>
      <w:tblGrid>
        <w:gridCol w:w="3544"/>
        <w:gridCol w:w="2552"/>
        <w:gridCol w:w="2551"/>
      </w:tblGrid>
      <w:tr w:rsidR="00A5793A" w:rsidRPr="00A5793A" w14:paraId="4F6CE3A4" w14:textId="77777777" w:rsidTr="00364223">
        <w:tc>
          <w:tcPr>
            <w:tcW w:w="3544" w:type="dxa"/>
            <w:tcBorders>
              <w:top w:val="single" w:sz="12" w:space="0" w:color="008000"/>
              <w:bottom w:val="single" w:sz="8" w:space="0" w:color="008000"/>
            </w:tcBorders>
            <w:shd w:val="clear" w:color="auto" w:fill="auto"/>
          </w:tcPr>
          <w:p w14:paraId="6C816515" w14:textId="77777777" w:rsidR="00A5793A" w:rsidRPr="00A5793A" w:rsidRDefault="00A5793A" w:rsidP="009D7A42">
            <w:pPr>
              <w:pStyle w:val="BodyText"/>
              <w:spacing w:after="0"/>
              <w:rPr>
                <w:rFonts w:cs="Arial"/>
                <w:szCs w:val="18"/>
              </w:rPr>
            </w:pPr>
            <w:r w:rsidRPr="00A5793A">
              <w:rPr>
                <w:rFonts w:cs="Arial"/>
                <w:szCs w:val="18"/>
              </w:rPr>
              <w:t>Parameters</w:t>
            </w:r>
          </w:p>
        </w:tc>
        <w:tc>
          <w:tcPr>
            <w:tcW w:w="2552" w:type="dxa"/>
            <w:tcBorders>
              <w:top w:val="single" w:sz="12" w:space="0" w:color="008000"/>
              <w:bottom w:val="single" w:sz="8" w:space="0" w:color="008000"/>
            </w:tcBorders>
            <w:shd w:val="clear" w:color="auto" w:fill="auto"/>
          </w:tcPr>
          <w:p w14:paraId="3B0FC479" w14:textId="77777777" w:rsidR="00A5793A" w:rsidRPr="00A5793A" w:rsidRDefault="00A5793A" w:rsidP="00A5793A">
            <w:pPr>
              <w:pStyle w:val="BodyText"/>
              <w:spacing w:after="0"/>
              <w:jc w:val="left"/>
              <w:rPr>
                <w:rFonts w:cs="Arial"/>
                <w:szCs w:val="18"/>
              </w:rPr>
            </w:pPr>
            <w:r w:rsidRPr="00A5793A">
              <w:rPr>
                <w:rFonts w:cs="Arial"/>
                <w:szCs w:val="18"/>
              </w:rPr>
              <w:t>Defined medium</w:t>
            </w:r>
          </w:p>
        </w:tc>
        <w:tc>
          <w:tcPr>
            <w:tcW w:w="2551" w:type="dxa"/>
            <w:tcBorders>
              <w:top w:val="single" w:sz="12" w:space="0" w:color="008000"/>
              <w:bottom w:val="single" w:sz="8" w:space="0" w:color="008000"/>
            </w:tcBorders>
            <w:shd w:val="clear" w:color="auto" w:fill="auto"/>
          </w:tcPr>
          <w:p w14:paraId="66F13AE2" w14:textId="77777777" w:rsidR="00A5793A" w:rsidRPr="00A5793A" w:rsidRDefault="00A5793A" w:rsidP="00A5793A">
            <w:pPr>
              <w:pStyle w:val="BodyText"/>
              <w:spacing w:after="0"/>
              <w:jc w:val="left"/>
              <w:rPr>
                <w:rFonts w:cs="Arial"/>
                <w:szCs w:val="18"/>
              </w:rPr>
            </w:pPr>
            <w:r w:rsidRPr="00A5793A">
              <w:rPr>
                <w:rFonts w:cs="Arial"/>
                <w:szCs w:val="18"/>
              </w:rPr>
              <w:t>EFB hydrolysate</w:t>
            </w:r>
          </w:p>
        </w:tc>
      </w:tr>
      <w:tr w:rsidR="00A5793A" w:rsidRPr="00A5793A" w14:paraId="6D85B304" w14:textId="77777777" w:rsidTr="00364223">
        <w:tc>
          <w:tcPr>
            <w:tcW w:w="3544" w:type="dxa"/>
            <w:tcBorders>
              <w:top w:val="single" w:sz="8" w:space="0" w:color="008000"/>
            </w:tcBorders>
            <w:shd w:val="clear" w:color="auto" w:fill="auto"/>
          </w:tcPr>
          <w:p w14:paraId="1F65E7DE" w14:textId="77777777" w:rsidR="00A5793A" w:rsidRPr="00A5793A" w:rsidRDefault="00A5793A" w:rsidP="009D7A42">
            <w:pPr>
              <w:pStyle w:val="BodyText"/>
              <w:spacing w:after="0"/>
              <w:rPr>
                <w:rFonts w:cs="Arial"/>
                <w:szCs w:val="18"/>
              </w:rPr>
            </w:pPr>
            <w:r w:rsidRPr="00A5793A">
              <w:rPr>
                <w:rFonts w:cs="Arial"/>
                <w:szCs w:val="18"/>
              </w:rPr>
              <w:t>Succinic acid titer (g/L)</w:t>
            </w:r>
          </w:p>
        </w:tc>
        <w:tc>
          <w:tcPr>
            <w:tcW w:w="2552" w:type="dxa"/>
            <w:tcBorders>
              <w:top w:val="single" w:sz="8" w:space="0" w:color="008000"/>
            </w:tcBorders>
            <w:shd w:val="clear" w:color="auto" w:fill="auto"/>
          </w:tcPr>
          <w:p w14:paraId="237CE899" w14:textId="77777777" w:rsidR="00A5793A" w:rsidRPr="00A5793A" w:rsidRDefault="00A5793A" w:rsidP="00A5793A">
            <w:pPr>
              <w:pStyle w:val="BodyText"/>
              <w:spacing w:after="0"/>
              <w:jc w:val="left"/>
              <w:rPr>
                <w:rFonts w:cs="Arial"/>
                <w:szCs w:val="18"/>
              </w:rPr>
            </w:pPr>
            <w:r w:rsidRPr="00A5793A">
              <w:rPr>
                <w:rFonts w:cs="Arial"/>
                <w:szCs w:val="18"/>
              </w:rPr>
              <w:t>21.51 ± 0.26</w:t>
            </w:r>
          </w:p>
        </w:tc>
        <w:tc>
          <w:tcPr>
            <w:tcW w:w="2551" w:type="dxa"/>
            <w:tcBorders>
              <w:top w:val="single" w:sz="8" w:space="0" w:color="008000"/>
            </w:tcBorders>
            <w:shd w:val="clear" w:color="auto" w:fill="auto"/>
          </w:tcPr>
          <w:p w14:paraId="09F3EADC" w14:textId="77777777" w:rsidR="00A5793A" w:rsidRPr="00A5793A" w:rsidRDefault="00A5793A" w:rsidP="00A5793A">
            <w:pPr>
              <w:pStyle w:val="BodyText"/>
              <w:spacing w:after="0"/>
              <w:jc w:val="left"/>
              <w:rPr>
                <w:rFonts w:cs="Arial"/>
                <w:szCs w:val="18"/>
              </w:rPr>
            </w:pPr>
            <w:r w:rsidRPr="00A5793A">
              <w:rPr>
                <w:rFonts w:cs="Arial"/>
                <w:szCs w:val="18"/>
              </w:rPr>
              <w:t>24.21 ± 0.13</w:t>
            </w:r>
          </w:p>
        </w:tc>
      </w:tr>
      <w:tr w:rsidR="00A5793A" w:rsidRPr="00A5793A" w14:paraId="22606B8A" w14:textId="77777777" w:rsidTr="00364223">
        <w:tc>
          <w:tcPr>
            <w:tcW w:w="3544" w:type="dxa"/>
            <w:shd w:val="clear" w:color="auto" w:fill="auto"/>
          </w:tcPr>
          <w:p w14:paraId="3D318A07" w14:textId="77777777" w:rsidR="00A5793A" w:rsidRPr="00A5793A" w:rsidRDefault="00A5793A" w:rsidP="009D7A42">
            <w:pPr>
              <w:pStyle w:val="BodyText"/>
              <w:spacing w:after="0"/>
              <w:rPr>
                <w:rFonts w:cs="Arial"/>
                <w:szCs w:val="18"/>
              </w:rPr>
            </w:pPr>
            <w:r w:rsidRPr="00A5793A">
              <w:rPr>
                <w:rFonts w:cs="Arial"/>
                <w:szCs w:val="18"/>
              </w:rPr>
              <w:t>Yield (g/g)</w:t>
            </w:r>
          </w:p>
        </w:tc>
        <w:tc>
          <w:tcPr>
            <w:tcW w:w="2552" w:type="dxa"/>
            <w:shd w:val="clear" w:color="auto" w:fill="auto"/>
          </w:tcPr>
          <w:p w14:paraId="308905D6" w14:textId="77777777" w:rsidR="00A5793A" w:rsidRPr="00A5793A" w:rsidRDefault="00A5793A" w:rsidP="00A5793A">
            <w:pPr>
              <w:pStyle w:val="BodyText"/>
              <w:spacing w:after="0"/>
              <w:jc w:val="left"/>
              <w:rPr>
                <w:rFonts w:cs="Arial"/>
                <w:szCs w:val="18"/>
              </w:rPr>
            </w:pPr>
            <w:r w:rsidRPr="00A5793A">
              <w:rPr>
                <w:rFonts w:cs="Arial"/>
                <w:szCs w:val="18"/>
              </w:rPr>
              <w:t>0.44</w:t>
            </w:r>
          </w:p>
        </w:tc>
        <w:tc>
          <w:tcPr>
            <w:tcW w:w="2551" w:type="dxa"/>
            <w:shd w:val="clear" w:color="auto" w:fill="auto"/>
          </w:tcPr>
          <w:p w14:paraId="13B1ADAC" w14:textId="77777777" w:rsidR="00A5793A" w:rsidRPr="00A5793A" w:rsidRDefault="00A5793A" w:rsidP="00A5793A">
            <w:pPr>
              <w:pStyle w:val="BodyText"/>
              <w:spacing w:after="0"/>
              <w:jc w:val="left"/>
              <w:rPr>
                <w:rFonts w:cs="Arial"/>
                <w:szCs w:val="18"/>
              </w:rPr>
            </w:pPr>
            <w:r w:rsidRPr="00A5793A">
              <w:rPr>
                <w:rFonts w:cs="Arial"/>
                <w:szCs w:val="18"/>
              </w:rPr>
              <w:t>0.53</w:t>
            </w:r>
          </w:p>
        </w:tc>
      </w:tr>
      <w:tr w:rsidR="00A5793A" w:rsidRPr="00A5793A" w14:paraId="5A2CF490" w14:textId="77777777" w:rsidTr="00364223">
        <w:tc>
          <w:tcPr>
            <w:tcW w:w="3544" w:type="dxa"/>
            <w:shd w:val="clear" w:color="auto" w:fill="auto"/>
          </w:tcPr>
          <w:p w14:paraId="680A4E9E" w14:textId="77777777" w:rsidR="00A5793A" w:rsidRPr="00A5793A" w:rsidRDefault="00A5793A" w:rsidP="009D7A42">
            <w:pPr>
              <w:pStyle w:val="BodyText"/>
              <w:spacing w:after="0"/>
              <w:rPr>
                <w:rFonts w:cs="Arial"/>
                <w:szCs w:val="18"/>
              </w:rPr>
            </w:pPr>
            <w:r w:rsidRPr="00A5793A">
              <w:rPr>
                <w:rFonts w:cs="Arial"/>
                <w:szCs w:val="18"/>
              </w:rPr>
              <w:t>Productivity (g/L·h)</w:t>
            </w:r>
          </w:p>
        </w:tc>
        <w:tc>
          <w:tcPr>
            <w:tcW w:w="2552" w:type="dxa"/>
            <w:shd w:val="clear" w:color="auto" w:fill="auto"/>
          </w:tcPr>
          <w:p w14:paraId="6E76FA28" w14:textId="77777777" w:rsidR="00A5793A" w:rsidRPr="00A5793A" w:rsidRDefault="00A5793A" w:rsidP="00A5793A">
            <w:pPr>
              <w:pStyle w:val="BodyText"/>
              <w:spacing w:after="0"/>
              <w:jc w:val="left"/>
              <w:rPr>
                <w:rFonts w:cs="Arial"/>
                <w:szCs w:val="18"/>
              </w:rPr>
            </w:pPr>
            <w:r w:rsidRPr="00A5793A">
              <w:rPr>
                <w:rFonts w:cs="Arial"/>
                <w:szCs w:val="18"/>
              </w:rPr>
              <w:t>0.90</w:t>
            </w:r>
          </w:p>
        </w:tc>
        <w:tc>
          <w:tcPr>
            <w:tcW w:w="2551" w:type="dxa"/>
            <w:shd w:val="clear" w:color="auto" w:fill="auto"/>
          </w:tcPr>
          <w:p w14:paraId="6567CCE9" w14:textId="77777777" w:rsidR="00A5793A" w:rsidRPr="00A5793A" w:rsidRDefault="00A5793A" w:rsidP="00A5793A">
            <w:pPr>
              <w:pStyle w:val="BodyText"/>
              <w:spacing w:after="0"/>
              <w:jc w:val="left"/>
              <w:rPr>
                <w:rFonts w:cs="Arial"/>
                <w:szCs w:val="18"/>
              </w:rPr>
            </w:pPr>
            <w:r w:rsidRPr="00A5793A">
              <w:rPr>
                <w:rFonts w:cs="Arial"/>
                <w:szCs w:val="18"/>
              </w:rPr>
              <w:t>1.01</w:t>
            </w:r>
          </w:p>
        </w:tc>
      </w:tr>
      <w:tr w:rsidR="00A5793A" w:rsidRPr="00A5793A" w14:paraId="2B2AEED3" w14:textId="77777777" w:rsidTr="00364223">
        <w:tc>
          <w:tcPr>
            <w:tcW w:w="3544" w:type="dxa"/>
            <w:shd w:val="clear" w:color="auto" w:fill="auto"/>
          </w:tcPr>
          <w:p w14:paraId="09AF2410" w14:textId="77777777" w:rsidR="00A5793A" w:rsidRPr="00A5793A" w:rsidRDefault="00A5793A" w:rsidP="009D7A42">
            <w:pPr>
              <w:pStyle w:val="BodyText"/>
              <w:spacing w:after="0"/>
              <w:rPr>
                <w:rFonts w:cs="Arial"/>
                <w:szCs w:val="18"/>
              </w:rPr>
            </w:pPr>
            <w:r w:rsidRPr="00A5793A">
              <w:rPr>
                <w:rFonts w:cs="Arial"/>
                <w:szCs w:val="18"/>
              </w:rPr>
              <w:t>Formic acid (g/L) (by-product)</w:t>
            </w:r>
          </w:p>
        </w:tc>
        <w:tc>
          <w:tcPr>
            <w:tcW w:w="2552" w:type="dxa"/>
            <w:shd w:val="clear" w:color="auto" w:fill="auto"/>
          </w:tcPr>
          <w:p w14:paraId="1F0734EF" w14:textId="77777777" w:rsidR="00A5793A" w:rsidRPr="00A5793A" w:rsidRDefault="00A5793A" w:rsidP="00A5793A">
            <w:pPr>
              <w:pStyle w:val="BodyText"/>
              <w:spacing w:after="0"/>
              <w:jc w:val="left"/>
              <w:rPr>
                <w:rFonts w:cs="Arial"/>
                <w:szCs w:val="18"/>
              </w:rPr>
            </w:pPr>
            <w:r w:rsidRPr="00A5793A">
              <w:rPr>
                <w:rFonts w:cs="Arial"/>
                <w:szCs w:val="18"/>
              </w:rPr>
              <w:t>7.57 ± 0.28</w:t>
            </w:r>
          </w:p>
        </w:tc>
        <w:tc>
          <w:tcPr>
            <w:tcW w:w="2551" w:type="dxa"/>
            <w:shd w:val="clear" w:color="auto" w:fill="auto"/>
          </w:tcPr>
          <w:p w14:paraId="7286745C" w14:textId="77777777" w:rsidR="00A5793A" w:rsidRPr="00A5793A" w:rsidRDefault="00A5793A" w:rsidP="00A5793A">
            <w:pPr>
              <w:pStyle w:val="BodyText"/>
              <w:spacing w:after="0"/>
              <w:jc w:val="left"/>
              <w:rPr>
                <w:rFonts w:cs="Arial"/>
                <w:szCs w:val="18"/>
              </w:rPr>
            </w:pPr>
            <w:r w:rsidRPr="00A5793A">
              <w:rPr>
                <w:rFonts w:cs="Arial"/>
                <w:szCs w:val="18"/>
              </w:rPr>
              <w:t>6.90 ± 0.12</w:t>
            </w:r>
          </w:p>
        </w:tc>
      </w:tr>
      <w:tr w:rsidR="00364223" w:rsidRPr="00A5793A" w14:paraId="1555746F" w14:textId="77777777" w:rsidTr="00A51D6E">
        <w:trPr>
          <w:trHeight w:val="342"/>
        </w:trPr>
        <w:tc>
          <w:tcPr>
            <w:tcW w:w="3544" w:type="dxa"/>
            <w:tcBorders>
              <w:bottom w:val="single" w:sz="12" w:space="0" w:color="008000"/>
            </w:tcBorders>
            <w:shd w:val="clear" w:color="auto" w:fill="auto"/>
          </w:tcPr>
          <w:p w14:paraId="2918E2CE" w14:textId="77777777" w:rsidR="00A5793A" w:rsidRPr="00A5793A" w:rsidRDefault="00A5793A" w:rsidP="00364223">
            <w:pPr>
              <w:pStyle w:val="BodyText"/>
              <w:spacing w:after="0"/>
              <w:rPr>
                <w:rFonts w:cs="Arial"/>
                <w:szCs w:val="18"/>
              </w:rPr>
            </w:pPr>
            <w:r w:rsidRPr="00A5793A">
              <w:rPr>
                <w:rFonts w:cs="Arial"/>
                <w:szCs w:val="18"/>
              </w:rPr>
              <w:t>Acetic acid (g/L) (by-product)</w:t>
            </w:r>
          </w:p>
        </w:tc>
        <w:tc>
          <w:tcPr>
            <w:tcW w:w="2552" w:type="dxa"/>
            <w:tcBorders>
              <w:bottom w:val="single" w:sz="12" w:space="0" w:color="008000"/>
            </w:tcBorders>
            <w:shd w:val="clear" w:color="auto" w:fill="auto"/>
          </w:tcPr>
          <w:p w14:paraId="3AC1BD9F" w14:textId="77777777" w:rsidR="00A5793A" w:rsidRPr="00A5793A" w:rsidRDefault="00A5793A" w:rsidP="00364223">
            <w:pPr>
              <w:pStyle w:val="BodyText"/>
              <w:spacing w:after="0"/>
              <w:jc w:val="left"/>
              <w:rPr>
                <w:rFonts w:cs="Arial"/>
                <w:szCs w:val="18"/>
              </w:rPr>
            </w:pPr>
            <w:r w:rsidRPr="00A5793A">
              <w:rPr>
                <w:rFonts w:cs="Arial"/>
                <w:szCs w:val="18"/>
              </w:rPr>
              <w:t>8.72 ± 0.15</w:t>
            </w:r>
          </w:p>
        </w:tc>
        <w:tc>
          <w:tcPr>
            <w:tcW w:w="2551" w:type="dxa"/>
            <w:tcBorders>
              <w:bottom w:val="single" w:sz="12" w:space="0" w:color="008000"/>
            </w:tcBorders>
            <w:shd w:val="clear" w:color="auto" w:fill="auto"/>
          </w:tcPr>
          <w:p w14:paraId="35944CDC" w14:textId="061C1581" w:rsidR="00A5793A" w:rsidRPr="00EC7D93" w:rsidRDefault="00EC7D93" w:rsidP="00364223">
            <w:pPr>
              <w:pStyle w:val="CETheadingx"/>
              <w:spacing w:after="0"/>
              <w:rPr>
                <w:b w:val="0"/>
                <w:bCs/>
              </w:rPr>
            </w:pPr>
            <w:r w:rsidRPr="00EC7D93">
              <w:rPr>
                <w:b w:val="0"/>
                <w:bCs/>
              </w:rPr>
              <w:t>13.95 ± 0.11</w:t>
            </w:r>
          </w:p>
        </w:tc>
      </w:tr>
    </w:tbl>
    <w:p w14:paraId="0711D616" w14:textId="77777777" w:rsidR="00364223" w:rsidRPr="00EC7D93" w:rsidRDefault="00364223" w:rsidP="00EC7D93">
      <w:pPr>
        <w:pStyle w:val="CETHeadingxx"/>
        <w:rPr>
          <w:b w:val="0"/>
          <w:bCs/>
        </w:rPr>
      </w:pPr>
    </w:p>
    <w:p w14:paraId="615D4CB0" w14:textId="1F45FE3E" w:rsidR="00EC7D93" w:rsidRPr="00EC7D93" w:rsidRDefault="00EC7D93" w:rsidP="00552373">
      <w:pPr>
        <w:pStyle w:val="CETHeadingxx"/>
        <w:spacing w:line="276" w:lineRule="auto"/>
        <w:rPr>
          <w:b w:val="0"/>
          <w:bCs/>
        </w:rPr>
      </w:pPr>
      <w:r w:rsidRPr="00EC7D93">
        <w:rPr>
          <w:b w:val="0"/>
          <w:bCs/>
        </w:rPr>
        <w:t>The fermentation of EFB hydrolysate resulted in a higher succinic acid concentration (24.21 g/L) compared to the reference medium (21.51 g/L). This indicates that the EFB hydrolysate, having been pretreated with FeCl</w:t>
      </w:r>
      <w:r w:rsidRPr="004B4804">
        <w:rPr>
          <w:b w:val="0"/>
          <w:bCs/>
          <w:vertAlign w:val="subscript"/>
        </w:rPr>
        <w:t>3</w:t>
      </w:r>
      <w:r w:rsidRPr="00EC7D93">
        <w:rPr>
          <w:b w:val="0"/>
          <w:bCs/>
        </w:rPr>
        <w:t>, provided sufficient fermentable sugars and nutrients to support effective microbial growth and acid production. In term</w:t>
      </w:r>
      <w:r w:rsidR="009729EF">
        <w:rPr>
          <w:b w:val="0"/>
          <w:bCs/>
        </w:rPr>
        <w:t>s</w:t>
      </w:r>
      <w:r w:rsidRPr="00EC7D93">
        <w:rPr>
          <w:b w:val="0"/>
          <w:bCs/>
        </w:rPr>
        <w:t xml:space="preserve"> of yield, it was also higher for the EFB hydrolysate (0.53 g/g) than for the reference medium (0.44 g/g). This suggests more efficient substrate utilisation when biomass-derived feedstock was used, potentially due to the presence of additional micronutrients or </w:t>
      </w:r>
      <w:r w:rsidR="009729EF">
        <w:rPr>
          <w:b w:val="0"/>
          <w:bCs/>
        </w:rPr>
        <w:t xml:space="preserve">a </w:t>
      </w:r>
      <w:r w:rsidRPr="00EC7D93">
        <w:rPr>
          <w:b w:val="0"/>
          <w:bCs/>
        </w:rPr>
        <w:t xml:space="preserve">favourable sugar composition in the hydrolysate. Productivity was also superior for the EFB hydrolysate (1.01 g/L·h) compared to the reference medium (0.90 g/L·h). This reflects a faster conversion rate, making the bioprocess more time-efficient when biomass feedstock was used. </w:t>
      </w:r>
    </w:p>
    <w:p w14:paraId="632F0E73" w14:textId="54126945" w:rsidR="00A5793A" w:rsidRDefault="00A5793A" w:rsidP="00552373">
      <w:pPr>
        <w:pStyle w:val="CETHeadingxx"/>
        <w:spacing w:line="276" w:lineRule="auto"/>
        <w:rPr>
          <w:b w:val="0"/>
          <w:bCs/>
        </w:rPr>
      </w:pPr>
      <w:r w:rsidRPr="00EC7D93">
        <w:rPr>
          <w:b w:val="0"/>
          <w:bCs/>
        </w:rPr>
        <w:t xml:space="preserve">In addition, there were differences in by-product formation observed with the EFB hydrolysate. Formic acid production was slightly lower in the EFB hydrolysate (6.90 g/L) compared to the reference medium (7.57 g/L), suggesting a marginal shift in metabolic flux away from this side product. However, acetic acid concentration was significantly higher in the EFB hydrolysate fermentation (13.95 g/L) compared to the reference (8.72 g/L), </w:t>
      </w:r>
      <w:r w:rsidRPr="00EC7D93">
        <w:rPr>
          <w:b w:val="0"/>
          <w:bCs/>
        </w:rPr>
        <w:lastRenderedPageBreak/>
        <w:t>which may be attributed to the presence of native acetylated compounds in the lignocellulosic feedstock, or variations in microbial metabolism in response to the more complex substrate matrix.</w:t>
      </w:r>
    </w:p>
    <w:p w14:paraId="4F5D6FCA" w14:textId="77777777" w:rsidR="00FD3ADA" w:rsidRPr="00FD3ADA" w:rsidRDefault="00FD3ADA" w:rsidP="00FD3ADA">
      <w:pPr>
        <w:pStyle w:val="CETHeadingxx"/>
        <w:spacing w:line="276" w:lineRule="auto"/>
        <w:rPr>
          <w:b w:val="0"/>
          <w:bCs/>
        </w:rPr>
      </w:pPr>
      <w:r w:rsidRPr="00FD3ADA">
        <w:rPr>
          <w:b w:val="0"/>
          <w:bCs/>
        </w:rPr>
        <w:t>In this study, although FeCl</w:t>
      </w:r>
      <w:r w:rsidRPr="00FD3ADA">
        <w:rPr>
          <w:b w:val="0"/>
          <w:bCs/>
          <w:vertAlign w:val="subscript"/>
        </w:rPr>
        <w:t>3</w:t>
      </w:r>
      <w:r w:rsidRPr="00FD3ADA">
        <w:rPr>
          <w:b w:val="0"/>
          <w:bCs/>
        </w:rPr>
        <w:t xml:space="preserve"> pretreatment effectively enhanced sugar release, it may also contribute to the formation of inhibitory by-products, particularly organic acids and soluble phenolics. The relatively high acetic acid concentration observed during fermentation of EFB hydrolysate could be partially attributed to the release of acetyl groups from hemicellulose during pretreatment. While </w:t>
      </w:r>
      <w:r w:rsidRPr="00FD3ADA">
        <w:rPr>
          <w:b w:val="0"/>
          <w:bCs/>
          <w:i/>
          <w:iCs/>
        </w:rPr>
        <w:t>A. succinogenes</w:t>
      </w:r>
      <w:r w:rsidRPr="00FD3ADA">
        <w:rPr>
          <w:b w:val="0"/>
          <w:bCs/>
        </w:rPr>
        <w:t xml:space="preserve"> is known to tolerate certain levels of inhibitors, excessive accumulation may shift metabolic flux towards by-product formation rather than succinic acid synthesis.</w:t>
      </w:r>
    </w:p>
    <w:p w14:paraId="0D06BAD9" w14:textId="4E968661" w:rsidR="00FD3ADA" w:rsidRPr="00EC7D93" w:rsidRDefault="00FD3ADA" w:rsidP="00FD3ADA">
      <w:pPr>
        <w:pStyle w:val="CETHeadingxx"/>
        <w:spacing w:line="276" w:lineRule="auto"/>
        <w:rPr>
          <w:b w:val="0"/>
          <w:bCs/>
        </w:rPr>
      </w:pPr>
      <w:r w:rsidRPr="00FD3ADA">
        <w:rPr>
          <w:b w:val="0"/>
          <w:bCs/>
        </w:rPr>
        <w:t>Nevertheless, the comparable or improved fermentation performance observed in this study suggests that the inhibitor levels in the EFB hydrolysate were within a tolerable range. This could be due to the optimisation of pretreatment conditions (moderate FeCl</w:t>
      </w:r>
      <w:r w:rsidRPr="00FD3ADA">
        <w:rPr>
          <w:b w:val="0"/>
          <w:bCs/>
          <w:vertAlign w:val="subscript"/>
        </w:rPr>
        <w:t>3</w:t>
      </w:r>
      <w:r w:rsidRPr="00FD3ADA">
        <w:rPr>
          <w:b w:val="0"/>
          <w:bCs/>
        </w:rPr>
        <w:t xml:space="preserve"> concentration and reaction time), which helped minimise excessive degradation of sugars into toxic compounds. Additionally, the presence of nutrients in the hydrolysate may have supported microbial robustness and partially mitigated inhibitory effects.</w:t>
      </w:r>
    </w:p>
    <w:p w14:paraId="2CC60A0A" w14:textId="133BAB9D" w:rsidR="00A233BB" w:rsidRPr="00EC7D93" w:rsidRDefault="00A5793A" w:rsidP="00552373">
      <w:pPr>
        <w:pStyle w:val="CETHeadingxx"/>
        <w:spacing w:line="276" w:lineRule="auto"/>
        <w:rPr>
          <w:b w:val="0"/>
          <w:bCs/>
        </w:rPr>
      </w:pPr>
      <w:r w:rsidRPr="00EC7D93">
        <w:rPr>
          <w:b w:val="0"/>
          <w:bCs/>
        </w:rPr>
        <w:t>The results demonstrate that the EFB hydrolysate outperforms the defined reference medium in succinic acid production. This highlights the potential of using oil palm biomass as a low-cost, sustainable feedstock for succinic acid production. Its superior yield and productivity make it an attractive alternative for industrial-scale bioprocesses, aligning with the goals of green chemistry and circular bioeconomy.</w:t>
      </w:r>
    </w:p>
    <w:p w14:paraId="182C1042" w14:textId="4E4A4543" w:rsidR="00461008" w:rsidRPr="00461008" w:rsidRDefault="00552373" w:rsidP="00461008">
      <w:pPr>
        <w:pStyle w:val="BodyText"/>
        <w:rPr>
          <w:rFonts w:cs="Arial"/>
          <w:szCs w:val="18"/>
        </w:rPr>
      </w:pPr>
      <w:r>
        <w:rPr>
          <w:rFonts w:cs="Arial"/>
          <w:b/>
          <w:bCs/>
          <w:iCs/>
          <w:szCs w:val="18"/>
          <w:lang w:eastAsia="en-MY"/>
        </w:rPr>
        <w:t xml:space="preserve">3.4 </w:t>
      </w:r>
      <w:r w:rsidR="00461008" w:rsidRPr="00461008">
        <w:rPr>
          <w:rFonts w:cs="Arial"/>
          <w:b/>
          <w:bCs/>
          <w:iCs/>
          <w:szCs w:val="18"/>
          <w:lang w:eastAsia="en-MY"/>
        </w:rPr>
        <w:t xml:space="preserve">Succinic acid purification </w:t>
      </w:r>
    </w:p>
    <w:p w14:paraId="6D787CE1" w14:textId="7FC95774" w:rsidR="00461008" w:rsidRDefault="00461008" w:rsidP="00461008">
      <w:pPr>
        <w:rPr>
          <w:rFonts w:cs="Arial"/>
          <w:szCs w:val="18"/>
        </w:rPr>
      </w:pPr>
      <w:r w:rsidRPr="00461008">
        <w:rPr>
          <w:rFonts w:cs="Arial"/>
          <w:szCs w:val="18"/>
        </w:rPr>
        <w:t>A downstream process for the separation and purification of succinic acid was developed, beginning with the decolo</w:t>
      </w:r>
      <w:r w:rsidR="009729EF">
        <w:rPr>
          <w:rFonts w:cs="Arial"/>
          <w:szCs w:val="18"/>
        </w:rPr>
        <w:t>u</w:t>
      </w:r>
      <w:r w:rsidRPr="00461008">
        <w:rPr>
          <w:rFonts w:cs="Arial"/>
          <w:szCs w:val="18"/>
        </w:rPr>
        <w:t xml:space="preserve">risation of the fermentation broth. Various adsorbents were screened to assess their effectiveness in removing </w:t>
      </w:r>
      <w:r w:rsidR="00552373" w:rsidRPr="00461008">
        <w:rPr>
          <w:rFonts w:cs="Arial"/>
          <w:szCs w:val="18"/>
        </w:rPr>
        <w:t>colour</w:t>
      </w:r>
      <w:r w:rsidRPr="00461008">
        <w:rPr>
          <w:rFonts w:cs="Arial"/>
          <w:szCs w:val="18"/>
        </w:rPr>
        <w:t xml:space="preserve"> impurities and improving broth clarity. </w:t>
      </w:r>
      <w:r w:rsidRPr="00552373">
        <w:rPr>
          <w:rFonts w:cs="Arial"/>
          <w:i/>
          <w:iCs/>
          <w:szCs w:val="18"/>
        </w:rPr>
        <w:t>Table 2</w:t>
      </w:r>
      <w:r w:rsidRPr="00552373">
        <w:rPr>
          <w:rFonts w:cs="Arial"/>
          <w:szCs w:val="18"/>
        </w:rPr>
        <w:t xml:space="preserve"> </w:t>
      </w:r>
      <w:r w:rsidRPr="00461008">
        <w:rPr>
          <w:rFonts w:cs="Arial"/>
          <w:szCs w:val="18"/>
        </w:rPr>
        <w:t xml:space="preserve">presents the efficiency of various absorbent or decolorising agents in removing colour from the EFB fermentation broth, a crucial step in downstream processing for products </w:t>
      </w:r>
      <w:r w:rsidR="009729EF">
        <w:rPr>
          <w:rFonts w:cs="Arial"/>
          <w:szCs w:val="18"/>
        </w:rPr>
        <w:t>such as</w:t>
      </w:r>
      <w:r w:rsidRPr="00461008">
        <w:rPr>
          <w:rFonts w:cs="Arial"/>
          <w:szCs w:val="18"/>
        </w:rPr>
        <w:t xml:space="preserve"> succinic acid. The results showed that the </w:t>
      </w:r>
      <w:r w:rsidR="009729EF">
        <w:rPr>
          <w:rFonts w:cs="Arial"/>
          <w:szCs w:val="18"/>
        </w:rPr>
        <w:t xml:space="preserve">powdered </w:t>
      </w:r>
      <w:r w:rsidRPr="00461008">
        <w:rPr>
          <w:rFonts w:cs="Arial"/>
          <w:szCs w:val="18"/>
        </w:rPr>
        <w:t>AC demonstrated the highest decolo</w:t>
      </w:r>
      <w:r w:rsidR="009729EF">
        <w:rPr>
          <w:rFonts w:cs="Arial"/>
          <w:szCs w:val="18"/>
        </w:rPr>
        <w:t>u</w:t>
      </w:r>
      <w:r w:rsidRPr="00461008">
        <w:rPr>
          <w:rFonts w:cs="Arial"/>
          <w:szCs w:val="18"/>
        </w:rPr>
        <w:t>risation efficiency at 95.26%. Its high surface area and fine particle size likely contribute</w:t>
      </w:r>
      <w:r w:rsidR="009729EF">
        <w:rPr>
          <w:rFonts w:cs="Arial"/>
          <w:szCs w:val="18"/>
        </w:rPr>
        <w:t>d</w:t>
      </w:r>
      <w:r w:rsidRPr="00461008">
        <w:rPr>
          <w:rFonts w:cs="Arial"/>
          <w:szCs w:val="18"/>
        </w:rPr>
        <w:t xml:space="preserve"> to </w:t>
      </w:r>
      <w:r w:rsidR="009729EF">
        <w:rPr>
          <w:rFonts w:cs="Arial"/>
          <w:szCs w:val="18"/>
        </w:rPr>
        <w:t xml:space="preserve">the </w:t>
      </w:r>
      <w:r w:rsidRPr="00461008">
        <w:rPr>
          <w:rFonts w:cs="Arial"/>
          <w:szCs w:val="18"/>
        </w:rPr>
        <w:t xml:space="preserve">superior adsorption of coloured compounds. In contrast, </w:t>
      </w:r>
      <w:r w:rsidR="009729EF">
        <w:rPr>
          <w:rFonts w:cs="Arial"/>
          <w:szCs w:val="18"/>
        </w:rPr>
        <w:t xml:space="preserve">coarse </w:t>
      </w:r>
      <w:r w:rsidRPr="00461008">
        <w:rPr>
          <w:rFonts w:cs="Arial"/>
          <w:szCs w:val="18"/>
        </w:rPr>
        <w:t xml:space="preserve">AC </w:t>
      </w:r>
      <w:r w:rsidR="009729EF">
        <w:rPr>
          <w:rFonts w:cs="Arial"/>
          <w:szCs w:val="18"/>
        </w:rPr>
        <w:t xml:space="preserve">achieved only </w:t>
      </w:r>
      <w:r w:rsidRPr="00461008">
        <w:rPr>
          <w:rFonts w:cs="Arial"/>
          <w:szCs w:val="18"/>
        </w:rPr>
        <w:t xml:space="preserve">49.91% efficiency, which was significantly lower than </w:t>
      </w:r>
      <w:r w:rsidR="009729EF">
        <w:rPr>
          <w:rFonts w:cs="Arial"/>
          <w:szCs w:val="18"/>
        </w:rPr>
        <w:t xml:space="preserve">that of </w:t>
      </w:r>
      <w:r w:rsidRPr="00461008">
        <w:rPr>
          <w:rFonts w:cs="Arial"/>
          <w:szCs w:val="18"/>
        </w:rPr>
        <w:t xml:space="preserve">the powdered AC, indicating that particle size </w:t>
      </w:r>
      <w:r w:rsidR="009729EF">
        <w:rPr>
          <w:rFonts w:cs="Arial"/>
          <w:szCs w:val="18"/>
        </w:rPr>
        <w:t>can</w:t>
      </w:r>
      <w:r w:rsidRPr="00461008">
        <w:rPr>
          <w:rFonts w:cs="Arial"/>
          <w:szCs w:val="18"/>
        </w:rPr>
        <w:t xml:space="preserve"> impact adsorption capacity. </w:t>
      </w:r>
    </w:p>
    <w:p w14:paraId="4A572C33" w14:textId="77777777" w:rsidR="00461008" w:rsidRPr="00461008" w:rsidRDefault="00461008" w:rsidP="00461008">
      <w:pPr>
        <w:rPr>
          <w:rFonts w:cs="Arial"/>
          <w:szCs w:val="18"/>
        </w:rPr>
      </w:pPr>
    </w:p>
    <w:p w14:paraId="187D5792" w14:textId="77B51977" w:rsidR="00461008" w:rsidRPr="00DD7936" w:rsidRDefault="00DD7936" w:rsidP="00DD7936">
      <w:pPr>
        <w:spacing w:after="60"/>
        <w:jc w:val="left"/>
        <w:rPr>
          <w:rFonts w:cs="Arial"/>
          <w:i/>
          <w:iCs/>
          <w:szCs w:val="18"/>
        </w:rPr>
      </w:pPr>
      <w:r>
        <w:rPr>
          <w:rFonts w:cs="Arial"/>
          <w:i/>
          <w:iCs/>
          <w:szCs w:val="18"/>
        </w:rPr>
        <w:t xml:space="preserve">   </w:t>
      </w:r>
      <w:r w:rsidR="00461008" w:rsidRPr="00DD7936">
        <w:rPr>
          <w:rFonts w:cs="Arial"/>
          <w:i/>
          <w:iCs/>
          <w:szCs w:val="18"/>
        </w:rPr>
        <w:t>Table 2</w:t>
      </w:r>
      <w:r w:rsidRPr="00DD7936">
        <w:rPr>
          <w:rFonts w:cs="Arial"/>
          <w:i/>
          <w:iCs/>
          <w:szCs w:val="18"/>
        </w:rPr>
        <w:t>:</w:t>
      </w:r>
      <w:r w:rsidR="00461008" w:rsidRPr="00DD7936">
        <w:rPr>
          <w:rFonts w:cs="Arial"/>
          <w:i/>
          <w:iCs/>
          <w:szCs w:val="18"/>
        </w:rPr>
        <w:t xml:space="preserve"> Screening of absorbent/decolorising agent for colour removal of EFB fermentation broth</w:t>
      </w:r>
    </w:p>
    <w:tbl>
      <w:tblPr>
        <w:tblW w:w="0" w:type="auto"/>
        <w:jc w:val="center"/>
        <w:tblBorders>
          <w:top w:val="single" w:sz="4" w:space="0" w:color="auto"/>
          <w:bottom w:val="single" w:sz="4" w:space="0" w:color="auto"/>
        </w:tblBorders>
        <w:tblLook w:val="04A0" w:firstRow="1" w:lastRow="0" w:firstColumn="1" w:lastColumn="0" w:noHBand="0" w:noVBand="1"/>
      </w:tblPr>
      <w:tblGrid>
        <w:gridCol w:w="4962"/>
        <w:gridCol w:w="3537"/>
      </w:tblGrid>
      <w:tr w:rsidR="00461008" w:rsidRPr="00461008" w14:paraId="27BF888F" w14:textId="77777777" w:rsidTr="003954E0">
        <w:trPr>
          <w:jc w:val="center"/>
        </w:trPr>
        <w:tc>
          <w:tcPr>
            <w:tcW w:w="4962" w:type="dxa"/>
            <w:tcBorders>
              <w:top w:val="single" w:sz="12" w:space="0" w:color="008000"/>
              <w:bottom w:val="single" w:sz="4" w:space="0" w:color="auto"/>
            </w:tcBorders>
            <w:shd w:val="clear" w:color="auto" w:fill="auto"/>
            <w:vAlign w:val="center"/>
          </w:tcPr>
          <w:p w14:paraId="1B9527F3" w14:textId="77777777" w:rsidR="00461008" w:rsidRPr="00461008" w:rsidRDefault="00461008" w:rsidP="009D7A42">
            <w:pPr>
              <w:rPr>
                <w:rFonts w:cs="Arial"/>
                <w:color w:val="000000"/>
                <w:szCs w:val="18"/>
              </w:rPr>
            </w:pPr>
            <w:r w:rsidRPr="00461008">
              <w:rPr>
                <w:rFonts w:cs="Arial"/>
                <w:szCs w:val="18"/>
              </w:rPr>
              <w:t>Type of absorbent/ decolorising agent</w:t>
            </w:r>
          </w:p>
        </w:tc>
        <w:tc>
          <w:tcPr>
            <w:tcW w:w="3537" w:type="dxa"/>
            <w:tcBorders>
              <w:top w:val="single" w:sz="12" w:space="0" w:color="008000"/>
              <w:bottom w:val="single" w:sz="4" w:space="0" w:color="auto"/>
            </w:tcBorders>
            <w:shd w:val="clear" w:color="auto" w:fill="auto"/>
            <w:vAlign w:val="center"/>
          </w:tcPr>
          <w:p w14:paraId="442A59B0" w14:textId="77777777" w:rsidR="00461008" w:rsidRPr="00461008" w:rsidRDefault="00461008" w:rsidP="003954E0">
            <w:pPr>
              <w:jc w:val="left"/>
              <w:rPr>
                <w:rFonts w:cs="Arial"/>
                <w:color w:val="000000"/>
                <w:szCs w:val="18"/>
              </w:rPr>
            </w:pPr>
            <w:r w:rsidRPr="00461008">
              <w:rPr>
                <w:rFonts w:cs="Arial"/>
                <w:szCs w:val="18"/>
              </w:rPr>
              <w:t>Colour removal efficiency (%)</w:t>
            </w:r>
          </w:p>
        </w:tc>
      </w:tr>
      <w:tr w:rsidR="00461008" w:rsidRPr="00461008" w14:paraId="34BD7CCF" w14:textId="77777777" w:rsidTr="009D7A42">
        <w:trPr>
          <w:jc w:val="center"/>
        </w:trPr>
        <w:tc>
          <w:tcPr>
            <w:tcW w:w="4962" w:type="dxa"/>
            <w:tcBorders>
              <w:top w:val="single" w:sz="4" w:space="0" w:color="auto"/>
            </w:tcBorders>
            <w:shd w:val="clear" w:color="auto" w:fill="auto"/>
            <w:vAlign w:val="center"/>
          </w:tcPr>
          <w:p w14:paraId="79E6A4B2" w14:textId="77777777" w:rsidR="00461008" w:rsidRPr="00461008" w:rsidRDefault="00461008" w:rsidP="009D7A42">
            <w:pPr>
              <w:rPr>
                <w:rFonts w:cs="Arial"/>
                <w:color w:val="000000"/>
                <w:szCs w:val="18"/>
              </w:rPr>
            </w:pPr>
            <w:r w:rsidRPr="00461008">
              <w:rPr>
                <w:rFonts w:cs="Arial"/>
                <w:szCs w:val="18"/>
              </w:rPr>
              <w:t xml:space="preserve">Clay pebbles </w:t>
            </w:r>
          </w:p>
        </w:tc>
        <w:tc>
          <w:tcPr>
            <w:tcW w:w="3537" w:type="dxa"/>
            <w:tcBorders>
              <w:top w:val="single" w:sz="4" w:space="0" w:color="auto"/>
            </w:tcBorders>
            <w:shd w:val="clear" w:color="auto" w:fill="auto"/>
            <w:vAlign w:val="center"/>
          </w:tcPr>
          <w:p w14:paraId="20493D32" w14:textId="77777777" w:rsidR="00461008" w:rsidRPr="00461008" w:rsidRDefault="00461008" w:rsidP="003954E0">
            <w:pPr>
              <w:jc w:val="left"/>
              <w:rPr>
                <w:rFonts w:cs="Arial"/>
                <w:color w:val="000000"/>
                <w:szCs w:val="18"/>
              </w:rPr>
            </w:pPr>
            <w:r w:rsidRPr="00461008">
              <w:rPr>
                <w:rFonts w:cs="Arial"/>
                <w:szCs w:val="18"/>
              </w:rPr>
              <w:t>25.53 ± 0.37</w:t>
            </w:r>
          </w:p>
        </w:tc>
      </w:tr>
      <w:tr w:rsidR="00461008" w:rsidRPr="00461008" w14:paraId="11CAFD45" w14:textId="77777777" w:rsidTr="009D7A42">
        <w:trPr>
          <w:jc w:val="center"/>
        </w:trPr>
        <w:tc>
          <w:tcPr>
            <w:tcW w:w="4962" w:type="dxa"/>
            <w:shd w:val="clear" w:color="auto" w:fill="auto"/>
            <w:vAlign w:val="center"/>
          </w:tcPr>
          <w:p w14:paraId="6469DC47" w14:textId="77777777" w:rsidR="00461008" w:rsidRPr="00461008" w:rsidRDefault="00461008" w:rsidP="009D7A42">
            <w:pPr>
              <w:rPr>
                <w:rFonts w:cs="Arial"/>
                <w:color w:val="000000"/>
                <w:szCs w:val="18"/>
              </w:rPr>
            </w:pPr>
            <w:r w:rsidRPr="00461008">
              <w:rPr>
                <w:rFonts w:cs="Arial"/>
                <w:szCs w:val="18"/>
              </w:rPr>
              <w:t>Vermiculite</w:t>
            </w:r>
          </w:p>
        </w:tc>
        <w:tc>
          <w:tcPr>
            <w:tcW w:w="3537" w:type="dxa"/>
            <w:shd w:val="clear" w:color="auto" w:fill="auto"/>
            <w:vAlign w:val="center"/>
          </w:tcPr>
          <w:p w14:paraId="4C3469C8" w14:textId="77777777" w:rsidR="00461008" w:rsidRPr="00461008" w:rsidRDefault="00461008" w:rsidP="003954E0">
            <w:pPr>
              <w:jc w:val="left"/>
              <w:rPr>
                <w:rFonts w:cs="Arial"/>
                <w:color w:val="000000"/>
                <w:szCs w:val="18"/>
              </w:rPr>
            </w:pPr>
            <w:r w:rsidRPr="00461008">
              <w:rPr>
                <w:rFonts w:cs="Arial"/>
                <w:szCs w:val="18"/>
                <w:lang w:val="en-US"/>
              </w:rPr>
              <w:t xml:space="preserve">-43.59 </w:t>
            </w:r>
            <w:r w:rsidRPr="00461008">
              <w:rPr>
                <w:rFonts w:cs="Arial"/>
                <w:szCs w:val="18"/>
              </w:rPr>
              <w:t>± 4.93</w:t>
            </w:r>
          </w:p>
        </w:tc>
      </w:tr>
      <w:tr w:rsidR="00461008" w:rsidRPr="00461008" w14:paraId="302068B2" w14:textId="77777777" w:rsidTr="009D7A42">
        <w:trPr>
          <w:jc w:val="center"/>
        </w:trPr>
        <w:tc>
          <w:tcPr>
            <w:tcW w:w="4962" w:type="dxa"/>
            <w:shd w:val="clear" w:color="auto" w:fill="auto"/>
            <w:vAlign w:val="center"/>
          </w:tcPr>
          <w:p w14:paraId="3362EADA" w14:textId="77777777" w:rsidR="00461008" w:rsidRPr="00461008" w:rsidRDefault="00461008" w:rsidP="009D7A42">
            <w:pPr>
              <w:rPr>
                <w:rFonts w:cs="Arial"/>
                <w:color w:val="000000"/>
                <w:szCs w:val="18"/>
              </w:rPr>
            </w:pPr>
            <w:r w:rsidRPr="00461008">
              <w:rPr>
                <w:rFonts w:cs="Arial"/>
                <w:szCs w:val="18"/>
                <w:lang w:val="en-US"/>
              </w:rPr>
              <w:t>Cellulose</w:t>
            </w:r>
          </w:p>
        </w:tc>
        <w:tc>
          <w:tcPr>
            <w:tcW w:w="3537" w:type="dxa"/>
            <w:shd w:val="clear" w:color="auto" w:fill="auto"/>
            <w:vAlign w:val="center"/>
          </w:tcPr>
          <w:p w14:paraId="74D87C2B" w14:textId="77777777" w:rsidR="00461008" w:rsidRPr="00461008" w:rsidRDefault="00461008" w:rsidP="003954E0">
            <w:pPr>
              <w:jc w:val="left"/>
              <w:rPr>
                <w:rFonts w:cs="Arial"/>
                <w:color w:val="000000"/>
                <w:szCs w:val="18"/>
              </w:rPr>
            </w:pPr>
            <w:r w:rsidRPr="00461008">
              <w:rPr>
                <w:rFonts w:cs="Arial"/>
                <w:szCs w:val="18"/>
                <w:lang w:val="en-US"/>
              </w:rPr>
              <w:t xml:space="preserve">-24.27 </w:t>
            </w:r>
            <w:r w:rsidRPr="00461008">
              <w:rPr>
                <w:rFonts w:cs="Arial"/>
                <w:szCs w:val="18"/>
              </w:rPr>
              <w:t>± 1.16</w:t>
            </w:r>
          </w:p>
        </w:tc>
      </w:tr>
      <w:tr w:rsidR="00461008" w:rsidRPr="00461008" w14:paraId="0E3B996F" w14:textId="77777777" w:rsidTr="009D7A42">
        <w:trPr>
          <w:jc w:val="center"/>
        </w:trPr>
        <w:tc>
          <w:tcPr>
            <w:tcW w:w="4962" w:type="dxa"/>
            <w:shd w:val="clear" w:color="auto" w:fill="auto"/>
            <w:vAlign w:val="center"/>
          </w:tcPr>
          <w:p w14:paraId="665D3DDE" w14:textId="77777777" w:rsidR="00461008" w:rsidRPr="00461008" w:rsidRDefault="00461008" w:rsidP="009D7A42">
            <w:pPr>
              <w:rPr>
                <w:rFonts w:cs="Arial"/>
                <w:color w:val="000000"/>
                <w:szCs w:val="18"/>
              </w:rPr>
            </w:pPr>
            <w:r w:rsidRPr="00461008">
              <w:rPr>
                <w:rFonts w:cs="Arial"/>
                <w:szCs w:val="18"/>
                <w:lang w:val="en-US"/>
              </w:rPr>
              <w:t>Hydrogen peroxide</w:t>
            </w:r>
          </w:p>
        </w:tc>
        <w:tc>
          <w:tcPr>
            <w:tcW w:w="3537" w:type="dxa"/>
            <w:shd w:val="clear" w:color="auto" w:fill="auto"/>
            <w:vAlign w:val="center"/>
          </w:tcPr>
          <w:p w14:paraId="221B593F" w14:textId="77777777" w:rsidR="00461008" w:rsidRPr="00461008" w:rsidRDefault="00461008" w:rsidP="003954E0">
            <w:pPr>
              <w:jc w:val="left"/>
              <w:rPr>
                <w:rFonts w:cs="Arial"/>
                <w:color w:val="000000"/>
                <w:szCs w:val="18"/>
              </w:rPr>
            </w:pPr>
            <w:r w:rsidRPr="00461008">
              <w:rPr>
                <w:rFonts w:cs="Arial"/>
                <w:szCs w:val="18"/>
                <w:lang w:val="en-US"/>
              </w:rPr>
              <w:t xml:space="preserve">72.64 </w:t>
            </w:r>
            <w:r w:rsidRPr="00461008">
              <w:rPr>
                <w:rFonts w:cs="Arial"/>
                <w:szCs w:val="18"/>
              </w:rPr>
              <w:t xml:space="preserve">± 0.44 </w:t>
            </w:r>
          </w:p>
        </w:tc>
      </w:tr>
      <w:tr w:rsidR="00461008" w:rsidRPr="00461008" w14:paraId="7B645933" w14:textId="77777777" w:rsidTr="009D7A42">
        <w:trPr>
          <w:jc w:val="center"/>
        </w:trPr>
        <w:tc>
          <w:tcPr>
            <w:tcW w:w="4962" w:type="dxa"/>
            <w:shd w:val="clear" w:color="auto" w:fill="auto"/>
            <w:vAlign w:val="center"/>
          </w:tcPr>
          <w:p w14:paraId="1F79FF1C" w14:textId="77777777" w:rsidR="00461008" w:rsidRPr="00461008" w:rsidRDefault="00461008" w:rsidP="009D7A42">
            <w:pPr>
              <w:rPr>
                <w:rFonts w:cs="Arial"/>
                <w:color w:val="000000"/>
                <w:szCs w:val="18"/>
              </w:rPr>
            </w:pPr>
            <w:r w:rsidRPr="00461008">
              <w:rPr>
                <w:rFonts w:cs="Arial"/>
                <w:szCs w:val="18"/>
                <w:lang w:val="en-US"/>
              </w:rPr>
              <w:t>Activated carbon (coarse)</w:t>
            </w:r>
          </w:p>
        </w:tc>
        <w:tc>
          <w:tcPr>
            <w:tcW w:w="3537" w:type="dxa"/>
            <w:shd w:val="clear" w:color="auto" w:fill="auto"/>
            <w:vAlign w:val="center"/>
          </w:tcPr>
          <w:p w14:paraId="263C8919" w14:textId="77777777" w:rsidR="00461008" w:rsidRPr="00461008" w:rsidRDefault="00461008" w:rsidP="003954E0">
            <w:pPr>
              <w:jc w:val="left"/>
              <w:rPr>
                <w:rFonts w:cs="Arial"/>
                <w:color w:val="000000"/>
                <w:szCs w:val="18"/>
              </w:rPr>
            </w:pPr>
            <w:r w:rsidRPr="00461008">
              <w:rPr>
                <w:rFonts w:cs="Arial"/>
                <w:szCs w:val="18"/>
                <w:lang w:val="en-US"/>
              </w:rPr>
              <w:t xml:space="preserve">49.91 </w:t>
            </w:r>
            <w:r w:rsidRPr="00461008">
              <w:rPr>
                <w:rFonts w:cs="Arial"/>
                <w:szCs w:val="18"/>
              </w:rPr>
              <w:t>± 0.13</w:t>
            </w:r>
          </w:p>
        </w:tc>
      </w:tr>
      <w:tr w:rsidR="00461008" w:rsidRPr="00461008" w14:paraId="5242944E" w14:textId="77777777" w:rsidTr="003954E0">
        <w:trPr>
          <w:jc w:val="center"/>
        </w:trPr>
        <w:tc>
          <w:tcPr>
            <w:tcW w:w="4962" w:type="dxa"/>
            <w:tcBorders>
              <w:bottom w:val="single" w:sz="12" w:space="0" w:color="008000"/>
            </w:tcBorders>
            <w:shd w:val="clear" w:color="auto" w:fill="auto"/>
            <w:vAlign w:val="center"/>
          </w:tcPr>
          <w:p w14:paraId="53BEE08E" w14:textId="77777777" w:rsidR="00461008" w:rsidRPr="00461008" w:rsidRDefault="00461008" w:rsidP="009D7A42">
            <w:pPr>
              <w:rPr>
                <w:rFonts w:cs="Arial"/>
                <w:szCs w:val="18"/>
                <w:lang w:val="en-US"/>
              </w:rPr>
            </w:pPr>
            <w:r w:rsidRPr="00461008">
              <w:rPr>
                <w:rFonts w:cs="Arial"/>
                <w:szCs w:val="18"/>
                <w:lang w:val="en-US"/>
              </w:rPr>
              <w:t>Activated carbon (powdered)</w:t>
            </w:r>
          </w:p>
        </w:tc>
        <w:tc>
          <w:tcPr>
            <w:tcW w:w="3537" w:type="dxa"/>
            <w:tcBorders>
              <w:bottom w:val="single" w:sz="12" w:space="0" w:color="008000"/>
            </w:tcBorders>
            <w:shd w:val="clear" w:color="auto" w:fill="auto"/>
            <w:vAlign w:val="center"/>
          </w:tcPr>
          <w:p w14:paraId="5CB97822" w14:textId="77777777" w:rsidR="00461008" w:rsidRPr="00461008" w:rsidRDefault="00461008" w:rsidP="003954E0">
            <w:pPr>
              <w:jc w:val="left"/>
              <w:rPr>
                <w:rFonts w:cs="Arial"/>
                <w:szCs w:val="18"/>
                <w:lang w:val="en-US"/>
              </w:rPr>
            </w:pPr>
            <w:r w:rsidRPr="00461008">
              <w:rPr>
                <w:rFonts w:cs="Arial"/>
                <w:szCs w:val="18"/>
                <w:lang w:val="en-US"/>
              </w:rPr>
              <w:t xml:space="preserve">95.26 </w:t>
            </w:r>
            <w:r w:rsidRPr="00461008">
              <w:rPr>
                <w:rFonts w:cs="Arial"/>
                <w:szCs w:val="18"/>
              </w:rPr>
              <w:t>± 3.88</w:t>
            </w:r>
          </w:p>
        </w:tc>
      </w:tr>
    </w:tbl>
    <w:p w14:paraId="5F405A03" w14:textId="77777777" w:rsidR="00461008" w:rsidRPr="00461008" w:rsidRDefault="00461008" w:rsidP="00552373">
      <w:pPr>
        <w:rPr>
          <w:rFonts w:cs="Arial"/>
          <w:color w:val="000000"/>
          <w:szCs w:val="18"/>
        </w:rPr>
      </w:pPr>
    </w:p>
    <w:p w14:paraId="33742458" w14:textId="3513A440" w:rsidR="00F9395D" w:rsidRPr="00F9395D" w:rsidRDefault="00461008" w:rsidP="00FD3ADA">
      <w:pPr>
        <w:tabs>
          <w:tab w:val="num" w:pos="720"/>
          <w:tab w:val="num" w:pos="1440"/>
        </w:tabs>
        <w:spacing w:after="120" w:line="276" w:lineRule="auto"/>
        <w:rPr>
          <w:szCs w:val="18"/>
        </w:rPr>
      </w:pPr>
      <w:r w:rsidRPr="00461008">
        <w:rPr>
          <w:rFonts w:cs="Arial"/>
          <w:szCs w:val="18"/>
        </w:rPr>
        <w:t xml:space="preserve">Hydrogen peroxide achieved 72.64% efficiency, likely due to its oxidative action in breaking down </w:t>
      </w:r>
      <w:r w:rsidR="00666FFC" w:rsidRPr="00461008">
        <w:rPr>
          <w:rFonts w:cs="Arial"/>
          <w:szCs w:val="18"/>
        </w:rPr>
        <w:t>colour</w:t>
      </w:r>
      <w:r w:rsidRPr="00461008">
        <w:rPr>
          <w:rFonts w:cs="Arial"/>
          <w:szCs w:val="18"/>
        </w:rPr>
        <w:t xml:space="preserve">-causing compounds. Clay pebbles demonstrated a modest efficiency at 25.27%, </w:t>
      </w:r>
      <w:r w:rsidR="00666FFC">
        <w:rPr>
          <w:rFonts w:cs="Arial"/>
          <w:szCs w:val="18"/>
        </w:rPr>
        <w:t>providing</w:t>
      </w:r>
      <w:r w:rsidRPr="00461008">
        <w:rPr>
          <w:rFonts w:cs="Arial"/>
          <w:szCs w:val="18"/>
        </w:rPr>
        <w:t xml:space="preserve"> some physical adsorption but lack</w:t>
      </w:r>
      <w:r w:rsidR="00666FFC">
        <w:rPr>
          <w:rFonts w:cs="Arial"/>
          <w:szCs w:val="18"/>
        </w:rPr>
        <w:t>ing</w:t>
      </w:r>
      <w:r w:rsidRPr="00461008">
        <w:rPr>
          <w:rFonts w:cs="Arial"/>
          <w:szCs w:val="18"/>
        </w:rPr>
        <w:t xml:space="preserve"> chemical interaction with colo</w:t>
      </w:r>
      <w:r w:rsidR="00666FFC">
        <w:rPr>
          <w:rFonts w:cs="Arial"/>
          <w:szCs w:val="18"/>
        </w:rPr>
        <w:t>u</w:t>
      </w:r>
      <w:r w:rsidRPr="00461008">
        <w:rPr>
          <w:rFonts w:cs="Arial"/>
          <w:szCs w:val="18"/>
        </w:rPr>
        <w:t xml:space="preserve">rants. On the other hand, vermiculite (-43.59%) and cellulose (-24.27%) </w:t>
      </w:r>
      <w:r w:rsidR="00666FFC">
        <w:rPr>
          <w:rFonts w:cs="Arial"/>
          <w:szCs w:val="18"/>
        </w:rPr>
        <w:t>were</w:t>
      </w:r>
      <w:r w:rsidRPr="00461008">
        <w:rPr>
          <w:rFonts w:cs="Arial"/>
          <w:szCs w:val="18"/>
        </w:rPr>
        <w:t xml:space="preserve"> ineffective</w:t>
      </w:r>
      <w:r w:rsidR="00666FFC">
        <w:rPr>
          <w:rFonts w:cs="Arial"/>
          <w:szCs w:val="18"/>
        </w:rPr>
        <w:t xml:space="preserve">, showing </w:t>
      </w:r>
      <w:r w:rsidRPr="00461008">
        <w:rPr>
          <w:rFonts w:cs="Arial"/>
          <w:szCs w:val="18"/>
        </w:rPr>
        <w:t xml:space="preserve">negative efficiencies. The negative values suggest that leached pigments or impurities returned to the broth, worsening the </w:t>
      </w:r>
      <w:r w:rsidR="00552373" w:rsidRPr="00461008">
        <w:rPr>
          <w:rFonts w:cs="Arial"/>
          <w:szCs w:val="18"/>
        </w:rPr>
        <w:t>colour</w:t>
      </w:r>
      <w:r w:rsidRPr="00461008">
        <w:rPr>
          <w:rFonts w:cs="Arial"/>
          <w:szCs w:val="18"/>
        </w:rPr>
        <w:t>. These materials m</w:t>
      </w:r>
      <w:r w:rsidR="00666FFC">
        <w:rPr>
          <w:rFonts w:cs="Arial"/>
          <w:szCs w:val="18"/>
        </w:rPr>
        <w:t>ay</w:t>
      </w:r>
      <w:r w:rsidRPr="00461008">
        <w:rPr>
          <w:rFonts w:cs="Arial"/>
          <w:szCs w:val="18"/>
        </w:rPr>
        <w:t xml:space="preserve"> be chemically incompatible with the broth or poorly processed. </w:t>
      </w:r>
      <w:r w:rsidR="002878CD" w:rsidRPr="002878CD">
        <w:rPr>
          <w:rFonts w:cs="Arial"/>
          <w:szCs w:val="18"/>
        </w:rPr>
        <w:t xml:space="preserve">Similarly, powdered AC prepared via </w:t>
      </w:r>
      <w:r w:rsidR="002878CD">
        <w:rPr>
          <w:rFonts w:cs="Arial"/>
          <w:szCs w:val="18"/>
        </w:rPr>
        <w:t>H</w:t>
      </w:r>
      <w:r w:rsidR="002878CD" w:rsidRPr="002878CD">
        <w:rPr>
          <w:rFonts w:cs="Arial"/>
          <w:szCs w:val="18"/>
          <w:vertAlign w:val="subscript"/>
        </w:rPr>
        <w:t>3</w:t>
      </w:r>
      <w:r w:rsidR="002878CD">
        <w:rPr>
          <w:rFonts w:cs="Arial"/>
          <w:szCs w:val="18"/>
        </w:rPr>
        <w:t>PO</w:t>
      </w:r>
      <w:r w:rsidR="002878CD" w:rsidRPr="002878CD">
        <w:rPr>
          <w:rFonts w:cs="Arial"/>
          <w:szCs w:val="18"/>
          <w:vertAlign w:val="subscript"/>
        </w:rPr>
        <w:t>4</w:t>
      </w:r>
      <w:r w:rsidR="002878CD" w:rsidRPr="002878CD">
        <w:rPr>
          <w:rFonts w:cs="Arial"/>
          <w:szCs w:val="18"/>
        </w:rPr>
        <w:t xml:space="preserve"> activation of hydrothermally treated corncob exhibited excellent performance, achieving 99% decolourisation in removing pigments from citric acid fermentation broth</w:t>
      </w:r>
      <w:r w:rsidR="002878CD">
        <w:rPr>
          <w:rFonts w:cs="Arial"/>
          <w:szCs w:val="18"/>
        </w:rPr>
        <w:t xml:space="preserve"> (Qin et al. 2017)</w:t>
      </w:r>
      <w:r w:rsidR="002878CD" w:rsidRPr="002878CD">
        <w:rPr>
          <w:rFonts w:cs="Arial"/>
          <w:szCs w:val="18"/>
        </w:rPr>
        <w:t>.</w:t>
      </w:r>
      <w:r w:rsidR="002878CD">
        <w:rPr>
          <w:rFonts w:cs="Arial"/>
          <w:szCs w:val="18"/>
        </w:rPr>
        <w:t xml:space="preserve"> </w:t>
      </w:r>
      <w:r w:rsidR="00F9395D" w:rsidRPr="00790287">
        <w:rPr>
          <w:szCs w:val="18"/>
        </w:rPr>
        <w:t>In another study, powdered AC also outperformed granular AC in the removal of metaldehyde from water, which was attributed to its higher surface area and broader pore size distribution</w:t>
      </w:r>
      <w:r w:rsidR="00F9395D">
        <w:rPr>
          <w:szCs w:val="18"/>
        </w:rPr>
        <w:t xml:space="preserve"> (</w:t>
      </w:r>
      <w:r w:rsidR="00F9395D" w:rsidRPr="00F9395D">
        <w:rPr>
          <w:szCs w:val="18"/>
        </w:rPr>
        <w:t>Kamarudin</w:t>
      </w:r>
      <w:r w:rsidR="00F9395D">
        <w:rPr>
          <w:szCs w:val="18"/>
        </w:rPr>
        <w:t xml:space="preserve"> et al. 2024)</w:t>
      </w:r>
      <w:r w:rsidR="00F9395D" w:rsidRPr="00790287">
        <w:rPr>
          <w:szCs w:val="18"/>
        </w:rPr>
        <w:t xml:space="preserve">. </w:t>
      </w:r>
      <w:r w:rsidR="00F9395D" w:rsidRPr="00F9395D">
        <w:rPr>
          <w:szCs w:val="18"/>
        </w:rPr>
        <w:t>Therefore, powdered AC was identified as the most suitable decolourising agent in this study, likely due to its high porosity and surface area, and was selected for the subsequent purification step.</w:t>
      </w:r>
    </w:p>
    <w:p w14:paraId="5D1181EE" w14:textId="6E314F89" w:rsidR="00461008" w:rsidRDefault="00461008" w:rsidP="00BC6CF4">
      <w:pPr>
        <w:tabs>
          <w:tab w:val="num" w:pos="720"/>
          <w:tab w:val="num" w:pos="1440"/>
        </w:tabs>
        <w:rPr>
          <w:rFonts w:cs="Arial"/>
          <w:szCs w:val="18"/>
        </w:rPr>
      </w:pPr>
      <w:r w:rsidRPr="00461008">
        <w:rPr>
          <w:rFonts w:cs="Arial"/>
          <w:color w:val="000000"/>
          <w:szCs w:val="18"/>
        </w:rPr>
        <w:t>The decolo</w:t>
      </w:r>
      <w:r w:rsidR="00666FFC">
        <w:rPr>
          <w:rFonts w:cs="Arial"/>
          <w:color w:val="000000"/>
          <w:szCs w:val="18"/>
        </w:rPr>
        <w:t>u</w:t>
      </w:r>
      <w:r w:rsidRPr="00461008">
        <w:rPr>
          <w:rFonts w:cs="Arial"/>
          <w:color w:val="000000"/>
          <w:szCs w:val="18"/>
        </w:rPr>
        <w:t>rised broth was then treated with HCl to lower the pH to 2.0 ± 0.1. This acidification</w:t>
      </w:r>
      <w:r w:rsidR="00666FFC">
        <w:rPr>
          <w:rFonts w:cs="Arial"/>
          <w:color w:val="000000"/>
          <w:szCs w:val="18"/>
        </w:rPr>
        <w:t xml:space="preserve"> step</w:t>
      </w:r>
      <w:r w:rsidRPr="00461008">
        <w:rPr>
          <w:rFonts w:cs="Arial"/>
          <w:color w:val="000000"/>
          <w:szCs w:val="18"/>
        </w:rPr>
        <w:t xml:space="preserve"> converts succinate salts to succinic acid and precipitates impurities as insoluble chlorides </w:t>
      </w:r>
      <w:r w:rsidRPr="00461008">
        <w:rPr>
          <w:rFonts w:cs="Arial"/>
          <w:szCs w:val="18"/>
        </w:rPr>
        <w:t>(Thuy and Boontawan, 2017).</w:t>
      </w:r>
      <w:r w:rsidRPr="00461008">
        <w:rPr>
          <w:rFonts w:cs="Arial"/>
          <w:color w:val="0070C0"/>
          <w:szCs w:val="18"/>
        </w:rPr>
        <w:t xml:space="preserve"> </w:t>
      </w:r>
      <w:r w:rsidRPr="00461008">
        <w:rPr>
          <w:rFonts w:cs="Arial"/>
          <w:szCs w:val="18"/>
        </w:rPr>
        <w:t xml:space="preserve">Prior to succinic acid crystallisation, volatile carboxylic acids (i.e. formic acid and acetic acid) were removed from the broth via vacuum distillation at 90°C. These compounds </w:t>
      </w:r>
      <w:r w:rsidR="00666FFC">
        <w:rPr>
          <w:rFonts w:cs="Arial"/>
          <w:szCs w:val="18"/>
        </w:rPr>
        <w:t>have</w:t>
      </w:r>
      <w:r w:rsidRPr="00461008">
        <w:rPr>
          <w:rFonts w:cs="Arial"/>
          <w:szCs w:val="18"/>
        </w:rPr>
        <w:t xml:space="preserve"> significantly lower boiling points than succinic acid and </w:t>
      </w:r>
      <w:r w:rsidR="00666FFC">
        <w:rPr>
          <w:rFonts w:cs="Arial"/>
          <w:szCs w:val="18"/>
        </w:rPr>
        <w:t>therefore</w:t>
      </w:r>
      <w:r w:rsidRPr="00461008">
        <w:rPr>
          <w:rFonts w:cs="Arial"/>
          <w:szCs w:val="18"/>
        </w:rPr>
        <w:t xml:space="preserve"> vaporised along with the majority of water. </w:t>
      </w:r>
    </w:p>
    <w:p w14:paraId="22BCC556" w14:textId="77777777" w:rsidR="00BC6CF4" w:rsidRPr="00461008" w:rsidRDefault="00BC6CF4" w:rsidP="00BC6CF4">
      <w:pPr>
        <w:tabs>
          <w:tab w:val="num" w:pos="720"/>
          <w:tab w:val="num" w:pos="1440"/>
        </w:tabs>
        <w:rPr>
          <w:rFonts w:cs="Arial"/>
          <w:szCs w:val="18"/>
        </w:rPr>
      </w:pPr>
    </w:p>
    <w:p w14:paraId="03B26A85" w14:textId="650AAB94" w:rsidR="00461008" w:rsidRPr="00461008" w:rsidRDefault="00461008" w:rsidP="00BC6CF4">
      <w:pPr>
        <w:rPr>
          <w:rFonts w:cs="Arial"/>
          <w:szCs w:val="18"/>
        </w:rPr>
      </w:pPr>
      <w:r w:rsidRPr="00461008">
        <w:rPr>
          <w:rFonts w:cs="Arial"/>
          <w:szCs w:val="18"/>
        </w:rPr>
        <w:lastRenderedPageBreak/>
        <w:t xml:space="preserve">A higher concentration of succinic acid led to a higher recovery of its crystals, given the limited solubility of succinic acid. </w:t>
      </w:r>
      <w:r w:rsidR="00666FFC">
        <w:rPr>
          <w:rFonts w:cs="Arial"/>
          <w:szCs w:val="18"/>
        </w:rPr>
        <w:t xml:space="preserve">Once the </w:t>
      </w:r>
      <w:r w:rsidRPr="00461008">
        <w:rPr>
          <w:rFonts w:cs="Arial"/>
          <w:szCs w:val="18"/>
        </w:rPr>
        <w:t xml:space="preserve">concentration </w:t>
      </w:r>
      <w:r w:rsidR="00666FFC">
        <w:rPr>
          <w:rFonts w:cs="Arial"/>
          <w:szCs w:val="18"/>
        </w:rPr>
        <w:t xml:space="preserve">exceeds </w:t>
      </w:r>
      <w:r w:rsidRPr="00461008">
        <w:rPr>
          <w:rFonts w:cs="Arial"/>
          <w:szCs w:val="18"/>
        </w:rPr>
        <w:t>its crystallisation point</w:t>
      </w:r>
      <w:r w:rsidR="00666FFC">
        <w:rPr>
          <w:rFonts w:cs="Arial"/>
          <w:szCs w:val="18"/>
        </w:rPr>
        <w:t xml:space="preserve">, succinic acid could </w:t>
      </w:r>
      <w:r w:rsidRPr="00461008">
        <w:rPr>
          <w:rFonts w:cs="Arial"/>
          <w:szCs w:val="18"/>
        </w:rPr>
        <w:t>no longer</w:t>
      </w:r>
      <w:r w:rsidR="00666FFC">
        <w:rPr>
          <w:rFonts w:cs="Arial"/>
          <w:szCs w:val="18"/>
        </w:rPr>
        <w:t xml:space="preserve"> remain dissolved </w:t>
      </w:r>
      <w:r w:rsidRPr="00461008">
        <w:rPr>
          <w:rFonts w:cs="Arial"/>
          <w:szCs w:val="18"/>
        </w:rPr>
        <w:t>in the solution, prompting crystallisation (Li et al., 2010; Luthfi et al., 2020). The concentrated solution was cooled to 4ºC to produce precipitated succinic acid crystals, which w</w:t>
      </w:r>
      <w:r w:rsidR="00666FFC">
        <w:rPr>
          <w:rFonts w:cs="Arial"/>
          <w:szCs w:val="18"/>
        </w:rPr>
        <w:t xml:space="preserve">ere </w:t>
      </w:r>
      <w:r w:rsidRPr="00461008">
        <w:rPr>
          <w:rFonts w:cs="Arial"/>
          <w:szCs w:val="18"/>
        </w:rPr>
        <w:t xml:space="preserve">then dissolved in distilled water for </w:t>
      </w:r>
      <w:r w:rsidR="00666FFC">
        <w:rPr>
          <w:rFonts w:cs="Arial"/>
          <w:szCs w:val="18"/>
        </w:rPr>
        <w:t xml:space="preserve">a </w:t>
      </w:r>
      <w:r w:rsidRPr="00461008">
        <w:rPr>
          <w:rFonts w:cs="Arial"/>
          <w:szCs w:val="18"/>
        </w:rPr>
        <w:t xml:space="preserve">purity check. </w:t>
      </w:r>
      <w:r w:rsidR="00666FFC">
        <w:rPr>
          <w:rFonts w:cs="Arial"/>
          <w:szCs w:val="18"/>
        </w:rPr>
        <w:t>The e</w:t>
      </w:r>
      <w:r w:rsidRPr="00461008">
        <w:rPr>
          <w:rFonts w:cs="Arial"/>
          <w:szCs w:val="18"/>
        </w:rPr>
        <w:t xml:space="preserve">vaporative crystallisation process developed in this study enabled </w:t>
      </w:r>
      <w:r w:rsidR="00666FFC">
        <w:rPr>
          <w:rFonts w:cs="Arial"/>
          <w:szCs w:val="18"/>
        </w:rPr>
        <w:t xml:space="preserve">the production of </w:t>
      </w:r>
      <w:r w:rsidRPr="00461008">
        <w:rPr>
          <w:rFonts w:cs="Arial"/>
          <w:szCs w:val="18"/>
        </w:rPr>
        <w:t>pure succinic acid (100% purity) with</w:t>
      </w:r>
      <w:r w:rsidR="00666FFC">
        <w:rPr>
          <w:rFonts w:cs="Arial"/>
          <w:szCs w:val="18"/>
        </w:rPr>
        <w:t xml:space="preserve"> a</w:t>
      </w:r>
      <w:r w:rsidRPr="00461008">
        <w:rPr>
          <w:rFonts w:cs="Arial"/>
          <w:szCs w:val="18"/>
        </w:rPr>
        <w:t xml:space="preserve"> satisfactory recovery rate of 90.6% from </w:t>
      </w:r>
      <w:r w:rsidR="00666FFC">
        <w:rPr>
          <w:rFonts w:cs="Arial"/>
          <w:szCs w:val="18"/>
        </w:rPr>
        <w:t xml:space="preserve">the </w:t>
      </w:r>
      <w:r w:rsidRPr="00461008">
        <w:rPr>
          <w:rFonts w:cs="Arial"/>
          <w:szCs w:val="18"/>
        </w:rPr>
        <w:t>EFB fermentation broth.</w:t>
      </w:r>
    </w:p>
    <w:p w14:paraId="23B9562F" w14:textId="70B321D4" w:rsidR="00461008" w:rsidRDefault="00F05836" w:rsidP="00FD3ADA">
      <w:pPr>
        <w:pStyle w:val="CETHeading1"/>
      </w:pPr>
      <w:r>
        <w:t>Conclusion</w:t>
      </w:r>
    </w:p>
    <w:p w14:paraId="07B8CCF8" w14:textId="771BD7DD" w:rsidR="008577CC" w:rsidRPr="008577CC" w:rsidRDefault="00F05836" w:rsidP="008577CC">
      <w:pPr>
        <w:rPr>
          <w:rFonts w:cs="Arial"/>
          <w:bCs/>
          <w:szCs w:val="18"/>
          <w:lang w:val="en-US"/>
        </w:rPr>
      </w:pPr>
      <w:r w:rsidRPr="008577CC">
        <w:rPr>
          <w:rFonts w:cs="Arial"/>
          <w:bCs/>
          <w:szCs w:val="18"/>
          <w:lang w:val="en-US"/>
        </w:rPr>
        <w:t xml:space="preserve">The </w:t>
      </w:r>
      <w:r w:rsidR="008577CC" w:rsidRPr="008577CC">
        <w:rPr>
          <w:rFonts w:cs="Arial"/>
          <w:bCs/>
          <w:szCs w:val="18"/>
          <w:lang w:val="en-US"/>
        </w:rPr>
        <w:t>study successfully demonstrated the feasibility of producing bio-based succinic acid from EFB through an integrated bioconversion process. The use of FeCl</w:t>
      </w:r>
      <w:r w:rsidR="008577CC" w:rsidRPr="008577CC">
        <w:rPr>
          <w:rFonts w:cs="Arial"/>
          <w:bCs/>
          <w:szCs w:val="18"/>
          <w:vertAlign w:val="subscript"/>
          <w:lang w:val="en-US"/>
        </w:rPr>
        <w:t>3</w:t>
      </w:r>
      <w:r w:rsidR="008577CC" w:rsidRPr="008577CC">
        <w:rPr>
          <w:rFonts w:cs="Arial"/>
          <w:bCs/>
          <w:szCs w:val="18"/>
          <w:lang w:val="en-US"/>
        </w:rPr>
        <w:t xml:space="preserve"> pretreatment effectively enhanced hemicellulose removal and significantly improved enzymatic hydrolysis efficiency, resulting in a substantial increase in glucose yield compared to untreated biomass. Subsequent fermentation using </w:t>
      </w:r>
      <w:r w:rsidR="008577CC" w:rsidRPr="008577CC">
        <w:rPr>
          <w:rFonts w:cs="Arial"/>
          <w:bCs/>
          <w:i/>
          <w:iCs/>
          <w:szCs w:val="18"/>
          <w:lang w:val="en-US"/>
        </w:rPr>
        <w:t>Actinobacillus succinogenes</w:t>
      </w:r>
      <w:r w:rsidR="008577CC" w:rsidRPr="008577CC">
        <w:rPr>
          <w:rFonts w:cs="Arial"/>
          <w:bCs/>
          <w:szCs w:val="18"/>
          <w:lang w:val="en-US"/>
        </w:rPr>
        <w:t xml:space="preserve"> showed that EFB hydrolysate is a highly effective substrate, achieving superior succinic acid yield, concentration and productivity compared to a defined medium. These findings highlight the potential of lignocellulosic biomass not only as a sustainable feedstock but also as a performance-enhancing medium for microbial fermentation.</w:t>
      </w:r>
    </w:p>
    <w:p w14:paraId="579BFB11" w14:textId="77777777" w:rsidR="008577CC" w:rsidRPr="008577CC" w:rsidRDefault="008577CC" w:rsidP="008577CC">
      <w:pPr>
        <w:pStyle w:val="ListParagraph"/>
        <w:rPr>
          <w:rFonts w:cs="Arial"/>
          <w:bCs/>
          <w:szCs w:val="18"/>
          <w:lang w:val="en-US"/>
        </w:rPr>
      </w:pPr>
    </w:p>
    <w:p w14:paraId="4B7E2D77" w14:textId="5876D9C3" w:rsidR="008577CC" w:rsidRDefault="008577CC" w:rsidP="008577CC">
      <w:pPr>
        <w:pStyle w:val="ListParagraph"/>
        <w:ind w:left="0"/>
        <w:rPr>
          <w:rFonts w:cs="Arial"/>
          <w:bCs/>
          <w:szCs w:val="18"/>
          <w:lang w:val="en-US"/>
        </w:rPr>
      </w:pPr>
      <w:r w:rsidRPr="008577CC">
        <w:rPr>
          <w:rFonts w:cs="Arial"/>
          <w:bCs/>
          <w:szCs w:val="18"/>
          <w:lang w:val="en-US"/>
        </w:rPr>
        <w:t>In addition, the downstream processing strategy, particularly the use of powdered activated carbon for decolourisation, proved to be highly effective in improving product quality. The developed purification process enabled high-purity succinic acid recovery with an excellent recovery rate, demonstrating the practicality of the overall process.</w:t>
      </w:r>
      <w:r w:rsidR="00406132">
        <w:rPr>
          <w:rFonts w:cs="Arial"/>
          <w:bCs/>
          <w:szCs w:val="18"/>
          <w:lang w:val="en-US"/>
        </w:rPr>
        <w:t xml:space="preserve"> </w:t>
      </w:r>
      <w:r w:rsidRPr="008577CC">
        <w:rPr>
          <w:rFonts w:cs="Arial"/>
          <w:bCs/>
          <w:szCs w:val="18"/>
        </w:rPr>
        <w:t>Overall, this work supports the integration of EFB valorisation into a biorefinery framework, contributing to waste minimisation, value-added product generation, and the advancement of Malaysia’s circular bioeconomy. Future studies should focus on process scale-up, cost optimisation, and minimisation of by-product formation to further enhance industrial applicability.</w:t>
      </w:r>
    </w:p>
    <w:p w14:paraId="2DE933C2" w14:textId="77777777" w:rsidR="008577CC" w:rsidRDefault="008577CC" w:rsidP="008577CC">
      <w:pPr>
        <w:pStyle w:val="ListParagraph"/>
        <w:ind w:left="0"/>
        <w:rPr>
          <w:rFonts w:cs="Arial"/>
          <w:bCs/>
          <w:szCs w:val="18"/>
          <w:lang w:val="en-US"/>
        </w:rPr>
      </w:pPr>
    </w:p>
    <w:p w14:paraId="4F1327F8" w14:textId="13368717" w:rsidR="00600535" w:rsidRPr="008577CC" w:rsidRDefault="00600535" w:rsidP="008577CC">
      <w:pPr>
        <w:pStyle w:val="ListParagraph"/>
        <w:spacing w:after="120"/>
        <w:ind w:left="0"/>
        <w:contextualSpacing w:val="0"/>
        <w:rPr>
          <w:b/>
          <w:bCs/>
        </w:rPr>
      </w:pPr>
      <w:r w:rsidRPr="008577CC">
        <w:rPr>
          <w:b/>
          <w:bCs/>
        </w:rPr>
        <w:t>References</w:t>
      </w:r>
    </w:p>
    <w:p w14:paraId="2BCE0C56" w14:textId="05FDFA1A" w:rsidR="00DD0A1B" w:rsidRDefault="00F05836" w:rsidP="00DD0A1B">
      <w:pPr>
        <w:pStyle w:val="CETReferencetext"/>
      </w:pPr>
      <w:r w:rsidRPr="00F05836">
        <w:t>Bukhari N.A., Loh S.K., Luthfi A.A.I., Abdul P.M., Nasrin A</w:t>
      </w:r>
      <w:r w:rsidR="00DD0A1B">
        <w:t>.</w:t>
      </w:r>
      <w:r w:rsidRPr="00F05836">
        <w:t>B., Harun S.</w:t>
      </w:r>
      <w:r w:rsidR="00DD0A1B">
        <w:t xml:space="preserve"> </w:t>
      </w:r>
      <w:r w:rsidRPr="00F05836">
        <w:t>Jahim J.M.</w:t>
      </w:r>
      <w:r w:rsidR="00A96F53">
        <w:t xml:space="preserve">, </w:t>
      </w:r>
      <w:r w:rsidRPr="00F05836">
        <w:t>2021</w:t>
      </w:r>
      <w:r w:rsidR="00A96F53">
        <w:t>,</w:t>
      </w:r>
      <w:r w:rsidRPr="00F05836">
        <w:t xml:space="preserve"> Whole   slurry saccharification of mild oxalic acid-pretreated oil palm trunk biomass improves succinic acid production. </w:t>
      </w:r>
      <w:r w:rsidRPr="00A96F53">
        <w:t>Industrial Crops and Products,</w:t>
      </w:r>
      <w:r w:rsidRPr="00F05836">
        <w:t xml:space="preserve"> 171, 113854. </w:t>
      </w:r>
    </w:p>
    <w:p w14:paraId="284DACBD" w14:textId="71EFAF18" w:rsidR="00DD0A1B" w:rsidRDefault="00DD0A1B" w:rsidP="00DD0A1B">
      <w:pPr>
        <w:pStyle w:val="CETReferencetext"/>
        <w:rPr>
          <w:rFonts w:cs="Arial"/>
          <w:bCs/>
          <w:szCs w:val="18"/>
          <w:lang w:eastAsia="en-MY"/>
        </w:rPr>
      </w:pPr>
      <w:r w:rsidRPr="00F05836">
        <w:rPr>
          <w:rFonts w:cs="Arial"/>
          <w:bCs/>
          <w:szCs w:val="18"/>
          <w:lang w:eastAsia="en-MY"/>
        </w:rPr>
        <w:t>Dessie W., Xin F., Zhang W., Jiang Y., Wu H., Ma J., Jiang M.</w:t>
      </w:r>
      <w:r w:rsidR="00A96F53">
        <w:rPr>
          <w:rFonts w:cs="Arial"/>
          <w:bCs/>
          <w:szCs w:val="18"/>
          <w:lang w:eastAsia="en-MY"/>
        </w:rPr>
        <w:t xml:space="preserve">, </w:t>
      </w:r>
      <w:r w:rsidRPr="00F05836">
        <w:rPr>
          <w:rFonts w:cs="Arial"/>
          <w:bCs/>
          <w:szCs w:val="18"/>
          <w:lang w:eastAsia="en-MY"/>
        </w:rPr>
        <w:t>2018</w:t>
      </w:r>
      <w:r w:rsidR="00A96F53">
        <w:rPr>
          <w:rFonts w:cs="Arial"/>
          <w:bCs/>
          <w:szCs w:val="18"/>
          <w:lang w:eastAsia="en-MY"/>
        </w:rPr>
        <w:t>,</w:t>
      </w:r>
      <w:r w:rsidRPr="00F05836">
        <w:rPr>
          <w:rFonts w:cs="Arial"/>
          <w:bCs/>
          <w:szCs w:val="18"/>
          <w:lang w:eastAsia="en-MY"/>
        </w:rPr>
        <w:t xml:space="preserve"> Opportunities, challenges, and future perspectives of succinic acid production by </w:t>
      </w:r>
      <w:r w:rsidRPr="00A96F53">
        <w:rPr>
          <w:rFonts w:cs="Arial"/>
          <w:bCs/>
          <w:i/>
          <w:iCs/>
          <w:szCs w:val="18"/>
          <w:lang w:eastAsia="en-MY"/>
        </w:rPr>
        <w:t>Actinobacillus succinogenes.</w:t>
      </w:r>
      <w:r w:rsidRPr="00F05836">
        <w:rPr>
          <w:rFonts w:cs="Arial"/>
          <w:bCs/>
          <w:szCs w:val="18"/>
          <w:lang w:eastAsia="en-MY"/>
        </w:rPr>
        <w:t xml:space="preserve"> </w:t>
      </w:r>
      <w:r w:rsidRPr="00A96F53">
        <w:rPr>
          <w:rFonts w:cs="Arial"/>
          <w:bCs/>
          <w:szCs w:val="18"/>
          <w:lang w:eastAsia="en-MY"/>
        </w:rPr>
        <w:t xml:space="preserve">Applied Microbiology and Biotechnology, </w:t>
      </w:r>
      <w:r w:rsidRPr="00F05836">
        <w:rPr>
          <w:rFonts w:cs="Arial"/>
          <w:bCs/>
          <w:szCs w:val="18"/>
          <w:lang w:eastAsia="en-MY"/>
        </w:rPr>
        <w:t xml:space="preserve">102(23), 9893-9910. </w:t>
      </w:r>
    </w:p>
    <w:p w14:paraId="74563EEF" w14:textId="2B2BE44F" w:rsidR="004F75F8" w:rsidRDefault="00DD0A1B" w:rsidP="004F75F8">
      <w:pPr>
        <w:pStyle w:val="CETReferencetext"/>
        <w:rPr>
          <w:rFonts w:cs="Arial"/>
          <w:bCs/>
          <w:szCs w:val="18"/>
          <w:lang w:eastAsia="en-MY"/>
        </w:rPr>
      </w:pPr>
      <w:r w:rsidRPr="00F05836">
        <w:rPr>
          <w:rFonts w:cs="Arial"/>
          <w:bCs/>
          <w:szCs w:val="18"/>
          <w:lang w:eastAsia="en-MY"/>
        </w:rPr>
        <w:t>Huo D., Xie D., Yang Q., Liu Q., Hou Q., Tao Z.</w:t>
      </w:r>
      <w:r w:rsidR="00A96F53">
        <w:rPr>
          <w:rFonts w:cs="Arial"/>
          <w:bCs/>
          <w:szCs w:val="18"/>
          <w:lang w:eastAsia="en-MY"/>
        </w:rPr>
        <w:t xml:space="preserve">, </w:t>
      </w:r>
      <w:r w:rsidRPr="00F05836">
        <w:rPr>
          <w:rFonts w:cs="Arial"/>
          <w:bCs/>
          <w:szCs w:val="18"/>
          <w:lang w:eastAsia="en-MY"/>
        </w:rPr>
        <w:t>2018</w:t>
      </w:r>
      <w:r w:rsidR="00A96F53">
        <w:rPr>
          <w:rFonts w:cs="Arial"/>
          <w:bCs/>
          <w:szCs w:val="18"/>
          <w:lang w:eastAsia="en-MY"/>
        </w:rPr>
        <w:t>,</w:t>
      </w:r>
      <w:r w:rsidRPr="00F05836">
        <w:rPr>
          <w:rFonts w:cs="Arial"/>
          <w:bCs/>
          <w:szCs w:val="18"/>
          <w:lang w:eastAsia="en-MY"/>
        </w:rPr>
        <w:t xml:space="preserve"> Improving the efficiency of biomass pretreatment and enzymatic saccharification process by metal chlorides. </w:t>
      </w:r>
      <w:r w:rsidRPr="00A96F53">
        <w:rPr>
          <w:rFonts w:cs="Arial"/>
          <w:bCs/>
          <w:szCs w:val="18"/>
          <w:lang w:eastAsia="en-MY"/>
        </w:rPr>
        <w:t xml:space="preserve">BioResources, </w:t>
      </w:r>
      <w:r w:rsidRPr="00F05836">
        <w:rPr>
          <w:rFonts w:cs="Arial"/>
          <w:bCs/>
          <w:szCs w:val="18"/>
          <w:lang w:eastAsia="en-MY"/>
        </w:rPr>
        <w:t xml:space="preserve">13(1), 1909-1916. </w:t>
      </w:r>
    </w:p>
    <w:p w14:paraId="58309366" w14:textId="2A9F56A5" w:rsidR="004F75F8" w:rsidRPr="004F75F8" w:rsidRDefault="004F75F8" w:rsidP="004F75F8">
      <w:pPr>
        <w:pStyle w:val="CETReferencetext"/>
        <w:rPr>
          <w:rFonts w:cs="Arial"/>
          <w:bCs/>
          <w:szCs w:val="18"/>
          <w:lang w:eastAsia="en-MY"/>
        </w:rPr>
      </w:pPr>
      <w:r w:rsidRPr="00790287">
        <w:rPr>
          <w:szCs w:val="18"/>
        </w:rPr>
        <w:t>Kamarudin N.S., Dahalan F.A., Zubir A.A.A., Hasan M., Ibrahim N., Lutpi N.A., Nazri R.N.H.R., Parmin N.A.</w:t>
      </w:r>
      <w:r w:rsidR="00A96F53">
        <w:rPr>
          <w:szCs w:val="18"/>
        </w:rPr>
        <w:t xml:space="preserve">, </w:t>
      </w:r>
      <w:r w:rsidRPr="00790287">
        <w:rPr>
          <w:szCs w:val="18"/>
        </w:rPr>
        <w:t>2024</w:t>
      </w:r>
      <w:r w:rsidR="00A96F53">
        <w:rPr>
          <w:szCs w:val="18"/>
        </w:rPr>
        <w:t>,</w:t>
      </w:r>
      <w:r w:rsidRPr="00790287">
        <w:rPr>
          <w:szCs w:val="18"/>
        </w:rPr>
        <w:t xml:space="preserve"> Comparative study of powdered activated carbon and granular activated carbon in metaldehyde adsorption: unraveling isotherm and kinetic insights. </w:t>
      </w:r>
      <w:r w:rsidRPr="00A96F53">
        <w:rPr>
          <w:szCs w:val="18"/>
        </w:rPr>
        <w:t>Environmental Quality Management</w:t>
      </w:r>
      <w:r w:rsidRPr="00790287">
        <w:rPr>
          <w:szCs w:val="18"/>
        </w:rPr>
        <w:t xml:space="preserve"> 34</w:t>
      </w:r>
      <w:r>
        <w:rPr>
          <w:szCs w:val="18"/>
        </w:rPr>
        <w:t xml:space="preserve"> (1), </w:t>
      </w:r>
      <w:r w:rsidRPr="00790287">
        <w:rPr>
          <w:szCs w:val="18"/>
        </w:rPr>
        <w:t>22288.</w:t>
      </w:r>
    </w:p>
    <w:p w14:paraId="7F85ADA5" w14:textId="4E15EBE9" w:rsidR="00DD0A1B" w:rsidRDefault="00DD0A1B" w:rsidP="00DD0A1B">
      <w:pPr>
        <w:pStyle w:val="CETReferencetext"/>
        <w:rPr>
          <w:rFonts w:cs="Arial"/>
          <w:bCs/>
          <w:szCs w:val="18"/>
          <w:lang w:eastAsia="en-MY"/>
        </w:rPr>
      </w:pPr>
      <w:r w:rsidRPr="00F05836">
        <w:rPr>
          <w:rFonts w:cs="Arial"/>
          <w:bCs/>
          <w:szCs w:val="18"/>
          <w:lang w:eastAsia="en-MY"/>
        </w:rPr>
        <w:t>Li Q., Wang D., Wu Y., Li W., Zhang Y., Xing J.,</w:t>
      </w:r>
      <w:r w:rsidR="00297653">
        <w:rPr>
          <w:rFonts w:cs="Arial"/>
          <w:bCs/>
          <w:szCs w:val="18"/>
          <w:lang w:eastAsia="en-MY"/>
        </w:rPr>
        <w:t xml:space="preserve"> </w:t>
      </w:r>
      <w:r w:rsidRPr="00F05836">
        <w:rPr>
          <w:rFonts w:cs="Arial"/>
          <w:bCs/>
          <w:szCs w:val="18"/>
          <w:lang w:eastAsia="en-MY"/>
        </w:rPr>
        <w:t>Su Z.</w:t>
      </w:r>
      <w:r w:rsidR="00A96F53">
        <w:rPr>
          <w:rFonts w:cs="Arial"/>
          <w:bCs/>
          <w:szCs w:val="18"/>
          <w:lang w:eastAsia="en-MY"/>
        </w:rPr>
        <w:t xml:space="preserve">, </w:t>
      </w:r>
      <w:r w:rsidRPr="00F05836">
        <w:rPr>
          <w:rFonts w:cs="Arial"/>
          <w:bCs/>
          <w:szCs w:val="18"/>
          <w:lang w:eastAsia="en-MY"/>
        </w:rPr>
        <w:t>2010</w:t>
      </w:r>
      <w:r w:rsidR="00A96F53">
        <w:rPr>
          <w:rFonts w:cs="Arial"/>
          <w:bCs/>
          <w:szCs w:val="18"/>
          <w:lang w:eastAsia="en-MY"/>
        </w:rPr>
        <w:t>,</w:t>
      </w:r>
      <w:r w:rsidRPr="00F05836">
        <w:rPr>
          <w:rFonts w:cs="Arial"/>
          <w:bCs/>
          <w:szCs w:val="18"/>
          <w:lang w:eastAsia="en-MY"/>
        </w:rPr>
        <w:t xml:space="preserve"> One step recovery of succinic acid from fermentation broths by crystallization. </w:t>
      </w:r>
      <w:r w:rsidRPr="00A96F53">
        <w:rPr>
          <w:rFonts w:cs="Arial"/>
          <w:bCs/>
          <w:szCs w:val="18"/>
          <w:lang w:eastAsia="en-MY"/>
        </w:rPr>
        <w:t>Separation and Purification Technology,</w:t>
      </w:r>
      <w:r w:rsidRPr="00F05836">
        <w:rPr>
          <w:rFonts w:cs="Arial"/>
          <w:bCs/>
          <w:szCs w:val="18"/>
          <w:lang w:eastAsia="en-MY"/>
        </w:rPr>
        <w:t xml:space="preserve"> 72(3), 294-300. </w:t>
      </w:r>
    </w:p>
    <w:p w14:paraId="1AF9093E" w14:textId="7C39ED0C" w:rsidR="00DD0A1B" w:rsidRDefault="00DD0A1B" w:rsidP="00DD0A1B">
      <w:pPr>
        <w:pStyle w:val="CETReferencetext"/>
        <w:rPr>
          <w:rFonts w:cs="Arial"/>
          <w:bCs/>
          <w:szCs w:val="18"/>
          <w:lang w:eastAsia="en-MY"/>
        </w:rPr>
      </w:pPr>
      <w:r w:rsidRPr="00F05836">
        <w:rPr>
          <w:rFonts w:cs="Arial"/>
          <w:bCs/>
          <w:szCs w:val="18"/>
          <w:lang w:eastAsia="en-MY"/>
        </w:rPr>
        <w:t>Loh S.K.</w:t>
      </w:r>
      <w:r w:rsidR="00A96F53">
        <w:rPr>
          <w:rFonts w:cs="Arial"/>
          <w:bCs/>
          <w:szCs w:val="18"/>
          <w:lang w:eastAsia="en-MY"/>
        </w:rPr>
        <w:t xml:space="preserve">, </w:t>
      </w:r>
      <w:r w:rsidRPr="00F05836">
        <w:rPr>
          <w:rFonts w:cs="Arial"/>
          <w:bCs/>
          <w:szCs w:val="18"/>
          <w:lang w:eastAsia="en-MY"/>
        </w:rPr>
        <w:t>2017</w:t>
      </w:r>
      <w:r w:rsidR="00A96F53">
        <w:rPr>
          <w:rFonts w:cs="Arial"/>
          <w:bCs/>
          <w:szCs w:val="18"/>
          <w:lang w:eastAsia="en-MY"/>
        </w:rPr>
        <w:t>,</w:t>
      </w:r>
      <w:r w:rsidRPr="00F05836">
        <w:rPr>
          <w:rFonts w:cs="Arial"/>
          <w:bCs/>
          <w:szCs w:val="18"/>
          <w:lang w:eastAsia="en-MY"/>
        </w:rPr>
        <w:t xml:space="preserve"> The potential of the Malaysian oil palm biomass as a renewable energy source. </w:t>
      </w:r>
      <w:r w:rsidRPr="00A96F53">
        <w:rPr>
          <w:rFonts w:cs="Arial"/>
          <w:bCs/>
          <w:szCs w:val="18"/>
          <w:lang w:eastAsia="en-MY"/>
        </w:rPr>
        <w:t xml:space="preserve">Energy Conversion and Management, </w:t>
      </w:r>
      <w:r w:rsidRPr="00F05836">
        <w:rPr>
          <w:rFonts w:cs="Arial"/>
          <w:bCs/>
          <w:szCs w:val="18"/>
          <w:lang w:eastAsia="en-MY"/>
        </w:rPr>
        <w:t xml:space="preserve">141, 285-298. </w:t>
      </w:r>
    </w:p>
    <w:p w14:paraId="6346E9F8" w14:textId="403A884A" w:rsidR="002878CD" w:rsidRDefault="00DD0A1B" w:rsidP="002878CD">
      <w:pPr>
        <w:pStyle w:val="CETReferencetext"/>
        <w:rPr>
          <w:rFonts w:cs="Arial"/>
          <w:bCs/>
          <w:szCs w:val="18"/>
          <w:lang w:eastAsia="en-MY"/>
        </w:rPr>
      </w:pPr>
      <w:r w:rsidRPr="00F05836">
        <w:rPr>
          <w:rFonts w:cs="Arial"/>
          <w:bCs/>
          <w:szCs w:val="18"/>
          <w:lang w:eastAsia="en-MY"/>
        </w:rPr>
        <w:t>Luthfi</w:t>
      </w:r>
      <w:r w:rsidR="00297653">
        <w:rPr>
          <w:rFonts w:cs="Arial"/>
          <w:bCs/>
          <w:szCs w:val="18"/>
          <w:lang w:eastAsia="en-MY"/>
        </w:rPr>
        <w:t xml:space="preserve"> </w:t>
      </w:r>
      <w:r w:rsidRPr="00F05836">
        <w:rPr>
          <w:rFonts w:cs="Arial"/>
          <w:bCs/>
          <w:szCs w:val="18"/>
          <w:lang w:eastAsia="en-MY"/>
        </w:rPr>
        <w:t>A.A.I., Tan J.P., Isa N.F</w:t>
      </w:r>
      <w:r w:rsidR="00297653">
        <w:rPr>
          <w:rFonts w:cs="Arial"/>
          <w:bCs/>
          <w:szCs w:val="18"/>
          <w:lang w:eastAsia="en-MY"/>
        </w:rPr>
        <w:t>.</w:t>
      </w:r>
      <w:r w:rsidRPr="00F05836">
        <w:rPr>
          <w:rFonts w:cs="Arial"/>
          <w:bCs/>
          <w:szCs w:val="18"/>
          <w:lang w:eastAsia="en-MY"/>
        </w:rPr>
        <w:t>A.M., Bukhari N.A., Shah S.S.M., Mahmod S.S., Jahim J.M.</w:t>
      </w:r>
      <w:r w:rsidR="00A96F53">
        <w:rPr>
          <w:rFonts w:cs="Arial"/>
          <w:bCs/>
          <w:szCs w:val="18"/>
          <w:lang w:eastAsia="en-MY"/>
        </w:rPr>
        <w:t xml:space="preserve">, </w:t>
      </w:r>
      <w:r w:rsidRPr="00F05836">
        <w:rPr>
          <w:rFonts w:cs="Arial"/>
          <w:bCs/>
          <w:szCs w:val="18"/>
          <w:lang w:eastAsia="en-MY"/>
        </w:rPr>
        <w:t>2020</w:t>
      </w:r>
      <w:r w:rsidR="00A96F53">
        <w:rPr>
          <w:rFonts w:cs="Arial"/>
          <w:bCs/>
          <w:szCs w:val="18"/>
          <w:lang w:eastAsia="en-MY"/>
        </w:rPr>
        <w:t>,</w:t>
      </w:r>
      <w:r w:rsidRPr="00F05836">
        <w:rPr>
          <w:rFonts w:cs="Arial"/>
          <w:bCs/>
          <w:szCs w:val="18"/>
          <w:lang w:eastAsia="en-MY"/>
        </w:rPr>
        <w:t xml:space="preserve"> Multiple crystallization as a potential strategy for efficient recovery of succinic acid following fermentation with immobilized cells. </w:t>
      </w:r>
      <w:r w:rsidRPr="00A96F53">
        <w:rPr>
          <w:rFonts w:cs="Arial"/>
          <w:bCs/>
          <w:szCs w:val="18"/>
          <w:lang w:eastAsia="en-MY"/>
        </w:rPr>
        <w:t>Bioprocess and Biosystems Engineering, 43</w:t>
      </w:r>
      <w:r w:rsidRPr="00F05836">
        <w:rPr>
          <w:rFonts w:cs="Arial"/>
          <w:bCs/>
          <w:szCs w:val="18"/>
          <w:lang w:eastAsia="en-MY"/>
        </w:rPr>
        <w:t xml:space="preserve">(7), 1153-1169. </w:t>
      </w:r>
    </w:p>
    <w:p w14:paraId="3FEDEC84" w14:textId="6A1D5FD0" w:rsidR="002878CD" w:rsidRPr="002878CD" w:rsidRDefault="002878CD" w:rsidP="002878CD">
      <w:pPr>
        <w:pStyle w:val="CETReferencetext"/>
        <w:rPr>
          <w:rFonts w:cs="Arial"/>
          <w:bCs/>
          <w:szCs w:val="18"/>
          <w:lang w:eastAsia="en-MY"/>
        </w:rPr>
      </w:pPr>
      <w:r w:rsidRPr="001B6F79">
        <w:rPr>
          <w:szCs w:val="18"/>
        </w:rPr>
        <w:t>Qin T., Song M., Jiang K., Zhou J., Zhuang</w:t>
      </w:r>
      <w:r>
        <w:rPr>
          <w:szCs w:val="18"/>
        </w:rPr>
        <w:t xml:space="preserve"> </w:t>
      </w:r>
      <w:r w:rsidRPr="001B6F79">
        <w:rPr>
          <w:szCs w:val="18"/>
        </w:rPr>
        <w:t>W.</w:t>
      </w:r>
      <w:r w:rsidR="00A96F53">
        <w:rPr>
          <w:szCs w:val="18"/>
        </w:rPr>
        <w:t xml:space="preserve">, </w:t>
      </w:r>
      <w:r w:rsidRPr="001B6F79">
        <w:rPr>
          <w:szCs w:val="18"/>
        </w:rPr>
        <w:t>2017</w:t>
      </w:r>
      <w:r w:rsidR="00A96F53">
        <w:rPr>
          <w:szCs w:val="18"/>
        </w:rPr>
        <w:t>,</w:t>
      </w:r>
      <w:r w:rsidRPr="001B6F79">
        <w:rPr>
          <w:szCs w:val="18"/>
        </w:rPr>
        <w:t xml:space="preserve"> Efficient decolorization of citric acid fermentation broth using carbon materials prepared from phosphoric acid activation of hydrothermally</w:t>
      </w:r>
      <w:r>
        <w:rPr>
          <w:szCs w:val="18"/>
        </w:rPr>
        <w:t xml:space="preserve"> </w:t>
      </w:r>
      <w:r w:rsidRPr="001B6F79">
        <w:rPr>
          <w:szCs w:val="18"/>
        </w:rPr>
        <w:t>treated corncob</w:t>
      </w:r>
      <w:r>
        <w:rPr>
          <w:szCs w:val="18"/>
        </w:rPr>
        <w:t>.</w:t>
      </w:r>
      <w:r w:rsidRPr="001B6F79">
        <w:rPr>
          <w:szCs w:val="18"/>
        </w:rPr>
        <w:t xml:space="preserve"> </w:t>
      </w:r>
      <w:r w:rsidRPr="00A96F53">
        <w:rPr>
          <w:szCs w:val="18"/>
        </w:rPr>
        <w:t>RSC Advances, 7,</w:t>
      </w:r>
      <w:r w:rsidRPr="002878CD">
        <w:rPr>
          <w:i/>
          <w:iCs/>
          <w:szCs w:val="18"/>
        </w:rPr>
        <w:t xml:space="preserve"> </w:t>
      </w:r>
      <w:r w:rsidRPr="001B6F79">
        <w:rPr>
          <w:szCs w:val="18"/>
        </w:rPr>
        <w:t>37112</w:t>
      </w:r>
      <w:r>
        <w:rPr>
          <w:szCs w:val="18"/>
        </w:rPr>
        <w:t>-</w:t>
      </w:r>
      <w:r w:rsidRPr="001B6F79">
        <w:rPr>
          <w:szCs w:val="18"/>
        </w:rPr>
        <w:t>37121.</w:t>
      </w:r>
    </w:p>
    <w:p w14:paraId="6F8B2766" w14:textId="75B88CD3" w:rsidR="00DD0A1B" w:rsidRDefault="00DD0A1B" w:rsidP="00DD0A1B">
      <w:pPr>
        <w:pStyle w:val="CETReferencetext"/>
        <w:rPr>
          <w:rFonts w:cs="Arial"/>
          <w:szCs w:val="18"/>
        </w:rPr>
      </w:pPr>
      <w:r w:rsidRPr="00F05836">
        <w:rPr>
          <w:rFonts w:cs="Arial"/>
          <w:szCs w:val="18"/>
        </w:rPr>
        <w:t>Thuy N.T.H.</w:t>
      </w:r>
      <w:r w:rsidR="00A34A63">
        <w:rPr>
          <w:rFonts w:cs="Arial"/>
          <w:szCs w:val="18"/>
        </w:rPr>
        <w:t>,</w:t>
      </w:r>
      <w:r w:rsidRPr="00F05836">
        <w:rPr>
          <w:rFonts w:cs="Arial"/>
          <w:szCs w:val="18"/>
        </w:rPr>
        <w:t xml:space="preserve"> Boontawan A.</w:t>
      </w:r>
      <w:r w:rsidR="00A96F53">
        <w:rPr>
          <w:rFonts w:cs="Arial"/>
          <w:szCs w:val="18"/>
        </w:rPr>
        <w:t xml:space="preserve">, </w:t>
      </w:r>
      <w:r w:rsidRPr="00F05836">
        <w:rPr>
          <w:rFonts w:cs="Arial"/>
          <w:szCs w:val="18"/>
        </w:rPr>
        <w:t>2017</w:t>
      </w:r>
      <w:r w:rsidR="00A96F53">
        <w:rPr>
          <w:rFonts w:cs="Arial"/>
          <w:szCs w:val="18"/>
        </w:rPr>
        <w:t>,</w:t>
      </w:r>
      <w:r w:rsidRPr="00F05836">
        <w:rPr>
          <w:rFonts w:cs="Arial"/>
          <w:szCs w:val="18"/>
        </w:rPr>
        <w:t xml:space="preserve"> Production of very-high purity succinic acid from fermentation broth using microfiltration and nanofiltration-assisted crystallization. </w:t>
      </w:r>
      <w:r w:rsidRPr="00A96F53">
        <w:rPr>
          <w:rFonts w:cs="Arial"/>
          <w:szCs w:val="18"/>
        </w:rPr>
        <w:t xml:space="preserve">Journal </w:t>
      </w:r>
      <w:r w:rsidR="00A34A63" w:rsidRPr="00A96F53">
        <w:rPr>
          <w:rFonts w:cs="Arial"/>
          <w:szCs w:val="18"/>
        </w:rPr>
        <w:t>of Membrane</w:t>
      </w:r>
      <w:r w:rsidRPr="00A96F53">
        <w:rPr>
          <w:rFonts w:cs="Arial"/>
          <w:szCs w:val="18"/>
        </w:rPr>
        <w:t xml:space="preserve"> Science,</w:t>
      </w:r>
      <w:r w:rsidRPr="00F05836">
        <w:rPr>
          <w:rFonts w:cs="Arial"/>
          <w:szCs w:val="18"/>
        </w:rPr>
        <w:t xml:space="preserve"> 524, 470-481.</w:t>
      </w:r>
    </w:p>
    <w:p w14:paraId="33E52F0B" w14:textId="0D2DAA2B" w:rsidR="00DD0A1B" w:rsidRDefault="00DD0A1B" w:rsidP="00DD0A1B">
      <w:pPr>
        <w:pStyle w:val="CETReferencetext"/>
        <w:rPr>
          <w:rFonts w:cs="Arial"/>
          <w:bCs/>
          <w:szCs w:val="18"/>
          <w:lang w:eastAsia="en-MY"/>
        </w:rPr>
      </w:pPr>
      <w:r w:rsidRPr="00F05836">
        <w:rPr>
          <w:rFonts w:cs="Arial"/>
          <w:bCs/>
          <w:szCs w:val="18"/>
          <w:lang w:eastAsia="en-MY"/>
        </w:rPr>
        <w:t xml:space="preserve">Yang Q., Wu M., Dai Z., Xin F., Zhou J., Dong, W., </w:t>
      </w:r>
      <w:r w:rsidR="00A34A63">
        <w:rPr>
          <w:rFonts w:cs="Arial"/>
          <w:bCs/>
          <w:szCs w:val="18"/>
          <w:lang w:eastAsia="en-MY"/>
        </w:rPr>
        <w:t>Ma J., Jiang M.</w:t>
      </w:r>
      <w:r w:rsidR="00A96F53">
        <w:rPr>
          <w:rFonts w:cs="Arial"/>
          <w:bCs/>
          <w:szCs w:val="18"/>
          <w:lang w:eastAsia="en-MY"/>
        </w:rPr>
        <w:t xml:space="preserve">, </w:t>
      </w:r>
      <w:r w:rsidRPr="00F05836">
        <w:rPr>
          <w:rFonts w:cs="Arial"/>
          <w:bCs/>
          <w:szCs w:val="18"/>
          <w:lang w:eastAsia="en-MY"/>
        </w:rPr>
        <w:t>2020</w:t>
      </w:r>
      <w:r w:rsidR="00A96F53">
        <w:rPr>
          <w:rFonts w:cs="Arial"/>
          <w:bCs/>
          <w:szCs w:val="18"/>
          <w:lang w:eastAsia="en-MY"/>
        </w:rPr>
        <w:t>,</w:t>
      </w:r>
      <w:r w:rsidRPr="00F05836">
        <w:rPr>
          <w:rFonts w:cs="Arial"/>
          <w:bCs/>
          <w:szCs w:val="18"/>
          <w:lang w:eastAsia="en-MY"/>
        </w:rPr>
        <w:t xml:space="preserve"> Comprehensive investigation of succinic acid production by </w:t>
      </w:r>
      <w:r w:rsidRPr="00F05836">
        <w:rPr>
          <w:rFonts w:cs="Arial"/>
          <w:bCs/>
          <w:i/>
          <w:iCs/>
          <w:szCs w:val="18"/>
          <w:lang w:eastAsia="en-MY"/>
        </w:rPr>
        <w:t>Actinobacillus succinogenes</w:t>
      </w:r>
      <w:r w:rsidRPr="00F05836">
        <w:rPr>
          <w:rFonts w:cs="Arial"/>
          <w:bCs/>
          <w:szCs w:val="18"/>
          <w:lang w:eastAsia="en-MY"/>
        </w:rPr>
        <w:t xml:space="preserve">: a promising native succinic acid producer. </w:t>
      </w:r>
      <w:r w:rsidRPr="00A96F53">
        <w:rPr>
          <w:rFonts w:cs="Arial"/>
          <w:bCs/>
          <w:szCs w:val="18"/>
          <w:lang w:eastAsia="en-MY"/>
        </w:rPr>
        <w:t>Biofuels, Bioproducts and Biorefining,</w:t>
      </w:r>
      <w:r w:rsidRPr="00F05836">
        <w:rPr>
          <w:rFonts w:cs="Arial"/>
          <w:bCs/>
          <w:szCs w:val="18"/>
          <w:lang w:eastAsia="en-MY"/>
        </w:rPr>
        <w:t xml:space="preserve"> 14(5), 950-964. </w:t>
      </w:r>
    </w:p>
    <w:p w14:paraId="1EFD62EC" w14:textId="36195252" w:rsidR="00DD0A1B" w:rsidRDefault="00DD0A1B" w:rsidP="00DD0A1B">
      <w:pPr>
        <w:pStyle w:val="CETReferencetext"/>
        <w:rPr>
          <w:rFonts w:cs="Arial"/>
          <w:bCs/>
          <w:szCs w:val="18"/>
          <w:lang w:eastAsia="en-MY"/>
        </w:rPr>
      </w:pPr>
      <w:r w:rsidRPr="00F05836">
        <w:rPr>
          <w:rFonts w:cs="Arial"/>
          <w:bCs/>
          <w:szCs w:val="18"/>
          <w:lang w:eastAsia="en-MY"/>
        </w:rPr>
        <w:t>Zhang H., Lyu G., Zhang A., Li X., Xie J.</w:t>
      </w:r>
      <w:r w:rsidR="00A96F53">
        <w:rPr>
          <w:rFonts w:cs="Arial"/>
          <w:bCs/>
          <w:szCs w:val="18"/>
          <w:lang w:eastAsia="en-MY"/>
        </w:rPr>
        <w:t xml:space="preserve">, </w:t>
      </w:r>
      <w:r w:rsidRPr="00F05836">
        <w:rPr>
          <w:rFonts w:cs="Arial"/>
          <w:bCs/>
          <w:szCs w:val="18"/>
          <w:lang w:eastAsia="en-MY"/>
        </w:rPr>
        <w:t>2018</w:t>
      </w:r>
      <w:r w:rsidR="00A96F53">
        <w:rPr>
          <w:rFonts w:cs="Arial"/>
          <w:bCs/>
          <w:szCs w:val="18"/>
          <w:lang w:eastAsia="en-MY"/>
        </w:rPr>
        <w:t>,</w:t>
      </w:r>
      <w:r w:rsidRPr="00F05836">
        <w:rPr>
          <w:rFonts w:cs="Arial"/>
          <w:bCs/>
          <w:szCs w:val="18"/>
          <w:lang w:eastAsia="en-MY"/>
        </w:rPr>
        <w:t xml:space="preserve"> Effects of ferric chloride pretreatment and surfactants on the sugar production from sugarcane bagasse. </w:t>
      </w:r>
      <w:r w:rsidRPr="00A96F53">
        <w:rPr>
          <w:rFonts w:cs="Arial"/>
          <w:bCs/>
          <w:szCs w:val="18"/>
          <w:lang w:eastAsia="en-MY"/>
        </w:rPr>
        <w:t>Bioresource Technology,</w:t>
      </w:r>
      <w:r w:rsidRPr="00F05836">
        <w:rPr>
          <w:rFonts w:cs="Arial"/>
          <w:bCs/>
          <w:szCs w:val="18"/>
          <w:lang w:eastAsia="en-MY"/>
        </w:rPr>
        <w:t xml:space="preserve"> 265: 93-101. </w:t>
      </w:r>
    </w:p>
    <w:p w14:paraId="19C4FC68" w14:textId="537D7DF0" w:rsidR="004628D2" w:rsidRDefault="00DD0A1B" w:rsidP="00FD3ADA">
      <w:pPr>
        <w:pStyle w:val="CETReferencetext"/>
      </w:pPr>
      <w:r w:rsidRPr="00F05836">
        <w:rPr>
          <w:rFonts w:cs="Arial"/>
          <w:bCs/>
          <w:szCs w:val="18"/>
          <w:lang w:eastAsia="en-MY"/>
        </w:rPr>
        <w:t>Zhou S., Zhang M., Zhu L., Zhao X., Chen J., Chen W.</w:t>
      </w:r>
      <w:r w:rsidR="0001561F">
        <w:rPr>
          <w:rFonts w:cs="Arial"/>
          <w:bCs/>
          <w:szCs w:val="18"/>
          <w:lang w:eastAsia="en-MY"/>
        </w:rPr>
        <w:t>,</w:t>
      </w:r>
      <w:r w:rsidRPr="00F05836">
        <w:rPr>
          <w:rFonts w:cs="Arial"/>
          <w:bCs/>
          <w:szCs w:val="18"/>
          <w:lang w:eastAsia="en-MY"/>
        </w:rPr>
        <w:t xml:space="preserve"> Chang C</w:t>
      </w:r>
      <w:r w:rsidR="0001561F">
        <w:rPr>
          <w:rFonts w:cs="Arial"/>
          <w:bCs/>
          <w:szCs w:val="18"/>
          <w:lang w:eastAsia="en-MY"/>
        </w:rPr>
        <w:t>.</w:t>
      </w:r>
      <w:r w:rsidR="00A96F53">
        <w:rPr>
          <w:rFonts w:cs="Arial"/>
          <w:bCs/>
          <w:szCs w:val="18"/>
          <w:lang w:eastAsia="en-MY"/>
        </w:rPr>
        <w:t xml:space="preserve">, </w:t>
      </w:r>
      <w:r w:rsidRPr="00F05836">
        <w:rPr>
          <w:rFonts w:cs="Arial"/>
          <w:bCs/>
          <w:szCs w:val="18"/>
          <w:lang w:eastAsia="en-MY"/>
        </w:rPr>
        <w:t>2023</w:t>
      </w:r>
      <w:r w:rsidR="00A96F53">
        <w:rPr>
          <w:rFonts w:cs="Arial"/>
          <w:bCs/>
          <w:szCs w:val="18"/>
          <w:lang w:eastAsia="en-MY"/>
        </w:rPr>
        <w:t>,</w:t>
      </w:r>
      <w:r w:rsidRPr="00F05836">
        <w:rPr>
          <w:rFonts w:cs="Arial"/>
          <w:bCs/>
          <w:szCs w:val="18"/>
          <w:lang w:eastAsia="en-MY"/>
        </w:rPr>
        <w:t xml:space="preserve"> Hydrolysis of lignocellulose to succinic acid: a review of treatment methods and succinic acid applications. </w:t>
      </w:r>
      <w:r w:rsidRPr="00A96F53">
        <w:rPr>
          <w:rFonts w:cs="Arial"/>
          <w:bCs/>
          <w:szCs w:val="18"/>
          <w:lang w:eastAsia="en-MY"/>
        </w:rPr>
        <w:t>Biotechnology for Biofuels and Bioproducts,</w:t>
      </w:r>
      <w:r w:rsidRPr="00F05836">
        <w:rPr>
          <w:rFonts w:cs="Arial"/>
          <w:bCs/>
          <w:szCs w:val="18"/>
          <w:lang w:eastAsia="en-MY"/>
        </w:rPr>
        <w:t xml:space="preserve"> 16, 1.</w:t>
      </w:r>
    </w:p>
    <w:sectPr w:rsidR="004628D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1B524" w14:textId="77777777" w:rsidR="00DD21F9" w:rsidRDefault="00DD21F9" w:rsidP="004F5E36">
      <w:r>
        <w:separator/>
      </w:r>
    </w:p>
  </w:endnote>
  <w:endnote w:type="continuationSeparator" w:id="0">
    <w:p w14:paraId="631B118C" w14:textId="77777777" w:rsidR="00DD21F9" w:rsidRDefault="00DD21F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OT46dcae81">
    <w:altName w:val="Times New Roman"/>
    <w:panose1 w:val="00000000000000000000"/>
    <w:charset w:val="00"/>
    <w:family w:val="roman"/>
    <w:notTrueType/>
    <w:pitch w:val="default"/>
  </w:font>
  <w:font w:name="AdvP6960">
    <w:altName w:val="Times New Roman"/>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7ACD3" w14:textId="77777777" w:rsidR="00DD21F9" w:rsidRDefault="00DD21F9" w:rsidP="004F5E36">
      <w:r>
        <w:separator/>
      </w:r>
    </w:p>
  </w:footnote>
  <w:footnote w:type="continuationSeparator" w:id="0">
    <w:p w14:paraId="21DB9154" w14:textId="77777777" w:rsidR="00DD21F9" w:rsidRDefault="00DD21F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724E2"/>
    <w:multiLevelType w:val="multilevel"/>
    <w:tmpl w:val="6862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8217E"/>
    <w:multiLevelType w:val="multilevel"/>
    <w:tmpl w:val="225A3D6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3E77115"/>
    <w:multiLevelType w:val="multilevel"/>
    <w:tmpl w:val="1F9E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5C503AD"/>
    <w:multiLevelType w:val="multilevel"/>
    <w:tmpl w:val="8410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4D113B"/>
    <w:multiLevelType w:val="multilevel"/>
    <w:tmpl w:val="075CD6CE"/>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4"/>
  </w:num>
  <w:num w:numId="14" w16cid:durableId="145903400">
    <w:abstractNumId w:val="20"/>
  </w:num>
  <w:num w:numId="15" w16cid:durableId="19162326">
    <w:abstractNumId w:val="23"/>
  </w:num>
  <w:num w:numId="16" w16cid:durableId="1977102699">
    <w:abstractNumId w:val="22"/>
  </w:num>
  <w:num w:numId="17" w16cid:durableId="860774865">
    <w:abstractNumId w:val="12"/>
  </w:num>
  <w:num w:numId="18" w16cid:durableId="313221457">
    <w:abstractNumId w:val="14"/>
    <w:lvlOverride w:ilvl="0">
      <w:startOverride w:val="1"/>
    </w:lvlOverride>
  </w:num>
  <w:num w:numId="19" w16cid:durableId="534971577">
    <w:abstractNumId w:val="18"/>
  </w:num>
  <w:num w:numId="20" w16cid:durableId="1150947773">
    <w:abstractNumId w:val="17"/>
  </w:num>
  <w:num w:numId="21" w16cid:durableId="124660497">
    <w:abstractNumId w:val="16"/>
  </w:num>
  <w:num w:numId="22" w16cid:durableId="2099861471">
    <w:abstractNumId w:val="15"/>
  </w:num>
  <w:num w:numId="23" w16cid:durableId="1791393239">
    <w:abstractNumId w:val="11"/>
    <w:lvlOverride w:ilvl="0">
      <w:startOverride w:val="1"/>
    </w:lvlOverride>
    <w:lvlOverride w:ilvl="1">
      <w:startOverride w:val="13"/>
    </w:lvlOverride>
    <w:lvlOverride w:ilvl="2">
      <w:startOverride w:val="95"/>
    </w:lvlOverride>
  </w:num>
  <w:num w:numId="24" w16cid:durableId="1106341350">
    <w:abstractNumId w:val="13"/>
  </w:num>
  <w:num w:numId="25" w16cid:durableId="1200781273">
    <w:abstractNumId w:val="21"/>
  </w:num>
  <w:num w:numId="26" w16cid:durableId="2103796626">
    <w:abstractNumId w:val="10"/>
  </w:num>
  <w:num w:numId="27" w16cid:durableId="6357207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D7A"/>
    <w:rsid w:val="000052FB"/>
    <w:rsid w:val="00005884"/>
    <w:rsid w:val="00005A19"/>
    <w:rsid w:val="000117CB"/>
    <w:rsid w:val="0001561F"/>
    <w:rsid w:val="0003148D"/>
    <w:rsid w:val="00031EEC"/>
    <w:rsid w:val="00051566"/>
    <w:rsid w:val="000562A9"/>
    <w:rsid w:val="00062A9A"/>
    <w:rsid w:val="00065058"/>
    <w:rsid w:val="00086C39"/>
    <w:rsid w:val="000A03B2"/>
    <w:rsid w:val="000D0268"/>
    <w:rsid w:val="000D34BE"/>
    <w:rsid w:val="000E102F"/>
    <w:rsid w:val="000E36F1"/>
    <w:rsid w:val="000E3A73"/>
    <w:rsid w:val="000E414A"/>
    <w:rsid w:val="000E75FD"/>
    <w:rsid w:val="000F093C"/>
    <w:rsid w:val="000F787B"/>
    <w:rsid w:val="00101F02"/>
    <w:rsid w:val="0012091F"/>
    <w:rsid w:val="00124AAD"/>
    <w:rsid w:val="00126BC2"/>
    <w:rsid w:val="001308B6"/>
    <w:rsid w:val="0013121F"/>
    <w:rsid w:val="00131FE6"/>
    <w:rsid w:val="0013263F"/>
    <w:rsid w:val="001331DF"/>
    <w:rsid w:val="00134DE4"/>
    <w:rsid w:val="0014034D"/>
    <w:rsid w:val="00140FE3"/>
    <w:rsid w:val="00144D16"/>
    <w:rsid w:val="001458F3"/>
    <w:rsid w:val="00150E59"/>
    <w:rsid w:val="00151CDE"/>
    <w:rsid w:val="00152DE3"/>
    <w:rsid w:val="00164CF9"/>
    <w:rsid w:val="001667A6"/>
    <w:rsid w:val="00184AD6"/>
    <w:rsid w:val="001A4AF7"/>
    <w:rsid w:val="001B0349"/>
    <w:rsid w:val="001B1E93"/>
    <w:rsid w:val="001B219D"/>
    <w:rsid w:val="001B45A3"/>
    <w:rsid w:val="001B65C1"/>
    <w:rsid w:val="001C260F"/>
    <w:rsid w:val="001C33F1"/>
    <w:rsid w:val="001C684B"/>
    <w:rsid w:val="001D0CFB"/>
    <w:rsid w:val="001D21AF"/>
    <w:rsid w:val="001D53FC"/>
    <w:rsid w:val="001E4728"/>
    <w:rsid w:val="001F42A5"/>
    <w:rsid w:val="001F7B9D"/>
    <w:rsid w:val="00201C93"/>
    <w:rsid w:val="002224B4"/>
    <w:rsid w:val="00240B19"/>
    <w:rsid w:val="002447EF"/>
    <w:rsid w:val="00251550"/>
    <w:rsid w:val="00263B05"/>
    <w:rsid w:val="0027221A"/>
    <w:rsid w:val="00275B61"/>
    <w:rsid w:val="00280FAF"/>
    <w:rsid w:val="00282656"/>
    <w:rsid w:val="00283371"/>
    <w:rsid w:val="002878CD"/>
    <w:rsid w:val="00296B83"/>
    <w:rsid w:val="00297653"/>
    <w:rsid w:val="002B4015"/>
    <w:rsid w:val="002B5C01"/>
    <w:rsid w:val="002B78CE"/>
    <w:rsid w:val="002C2FB6"/>
    <w:rsid w:val="002E5FA7"/>
    <w:rsid w:val="002F3309"/>
    <w:rsid w:val="003008CE"/>
    <w:rsid w:val="003009B7"/>
    <w:rsid w:val="00300E56"/>
    <w:rsid w:val="0030152C"/>
    <w:rsid w:val="0030469C"/>
    <w:rsid w:val="00321CA6"/>
    <w:rsid w:val="00323763"/>
    <w:rsid w:val="00323C5F"/>
    <w:rsid w:val="00334C09"/>
    <w:rsid w:val="00356659"/>
    <w:rsid w:val="00364223"/>
    <w:rsid w:val="003723D4"/>
    <w:rsid w:val="003779F9"/>
    <w:rsid w:val="00381905"/>
    <w:rsid w:val="00384CC8"/>
    <w:rsid w:val="003871FD"/>
    <w:rsid w:val="003954E0"/>
    <w:rsid w:val="003A1E30"/>
    <w:rsid w:val="003A2829"/>
    <w:rsid w:val="003A32DE"/>
    <w:rsid w:val="003A7D1C"/>
    <w:rsid w:val="003B304B"/>
    <w:rsid w:val="003B3146"/>
    <w:rsid w:val="003B409A"/>
    <w:rsid w:val="003B4EA5"/>
    <w:rsid w:val="003C62E8"/>
    <w:rsid w:val="003D1E02"/>
    <w:rsid w:val="003D5B3C"/>
    <w:rsid w:val="003F015E"/>
    <w:rsid w:val="00400414"/>
    <w:rsid w:val="00406132"/>
    <w:rsid w:val="0041446B"/>
    <w:rsid w:val="0044071E"/>
    <w:rsid w:val="0044329C"/>
    <w:rsid w:val="00450268"/>
    <w:rsid w:val="00453E24"/>
    <w:rsid w:val="00457456"/>
    <w:rsid w:val="004577FE"/>
    <w:rsid w:val="00457B9C"/>
    <w:rsid w:val="00461008"/>
    <w:rsid w:val="0046164A"/>
    <w:rsid w:val="004628D2"/>
    <w:rsid w:val="00462DCD"/>
    <w:rsid w:val="004648AD"/>
    <w:rsid w:val="004703A9"/>
    <w:rsid w:val="004760DE"/>
    <w:rsid w:val="004763D7"/>
    <w:rsid w:val="00493EF4"/>
    <w:rsid w:val="004A004E"/>
    <w:rsid w:val="004A24CF"/>
    <w:rsid w:val="004A5E57"/>
    <w:rsid w:val="004B4804"/>
    <w:rsid w:val="004C1020"/>
    <w:rsid w:val="004C194F"/>
    <w:rsid w:val="004C3D1D"/>
    <w:rsid w:val="004C3D84"/>
    <w:rsid w:val="004C7913"/>
    <w:rsid w:val="004E4DD6"/>
    <w:rsid w:val="004F5E36"/>
    <w:rsid w:val="004F75F8"/>
    <w:rsid w:val="00507B47"/>
    <w:rsid w:val="00507BEF"/>
    <w:rsid w:val="00507CC9"/>
    <w:rsid w:val="005119A5"/>
    <w:rsid w:val="005278B7"/>
    <w:rsid w:val="00532016"/>
    <w:rsid w:val="005346C8"/>
    <w:rsid w:val="00543E7D"/>
    <w:rsid w:val="00547A68"/>
    <w:rsid w:val="00552373"/>
    <w:rsid w:val="005531C9"/>
    <w:rsid w:val="00570C43"/>
    <w:rsid w:val="00592274"/>
    <w:rsid w:val="005B0AAE"/>
    <w:rsid w:val="005B2110"/>
    <w:rsid w:val="005B61E6"/>
    <w:rsid w:val="005B687C"/>
    <w:rsid w:val="005C77E1"/>
    <w:rsid w:val="005D668A"/>
    <w:rsid w:val="005D6A2F"/>
    <w:rsid w:val="005E0592"/>
    <w:rsid w:val="005E1A82"/>
    <w:rsid w:val="005E794C"/>
    <w:rsid w:val="005F0A28"/>
    <w:rsid w:val="005F0E5E"/>
    <w:rsid w:val="00600535"/>
    <w:rsid w:val="00610CD6"/>
    <w:rsid w:val="00620DEE"/>
    <w:rsid w:val="00621F92"/>
    <w:rsid w:val="0062280A"/>
    <w:rsid w:val="006231E1"/>
    <w:rsid w:val="00625639"/>
    <w:rsid w:val="00631B33"/>
    <w:rsid w:val="00640CC6"/>
    <w:rsid w:val="0064184D"/>
    <w:rsid w:val="006422CC"/>
    <w:rsid w:val="0064724E"/>
    <w:rsid w:val="00651D18"/>
    <w:rsid w:val="00653B7D"/>
    <w:rsid w:val="00660E3E"/>
    <w:rsid w:val="00662E74"/>
    <w:rsid w:val="00664F9F"/>
    <w:rsid w:val="00666FFC"/>
    <w:rsid w:val="00680C23"/>
    <w:rsid w:val="00683E23"/>
    <w:rsid w:val="00693766"/>
    <w:rsid w:val="006A3281"/>
    <w:rsid w:val="006B4888"/>
    <w:rsid w:val="006C2E45"/>
    <w:rsid w:val="006C359C"/>
    <w:rsid w:val="006C5579"/>
    <w:rsid w:val="006D6E8B"/>
    <w:rsid w:val="006D7209"/>
    <w:rsid w:val="006E737D"/>
    <w:rsid w:val="00707DD1"/>
    <w:rsid w:val="0071031D"/>
    <w:rsid w:val="00713973"/>
    <w:rsid w:val="00720A24"/>
    <w:rsid w:val="00732386"/>
    <w:rsid w:val="00732568"/>
    <w:rsid w:val="0073514D"/>
    <w:rsid w:val="007447F3"/>
    <w:rsid w:val="0075499F"/>
    <w:rsid w:val="007617CC"/>
    <w:rsid w:val="007661C8"/>
    <w:rsid w:val="0077098D"/>
    <w:rsid w:val="00774BA2"/>
    <w:rsid w:val="00785BF9"/>
    <w:rsid w:val="007931FA"/>
    <w:rsid w:val="007A4861"/>
    <w:rsid w:val="007A7BBA"/>
    <w:rsid w:val="007B0C50"/>
    <w:rsid w:val="007B48F9"/>
    <w:rsid w:val="007C1A43"/>
    <w:rsid w:val="007D0951"/>
    <w:rsid w:val="007D3107"/>
    <w:rsid w:val="007F27C8"/>
    <w:rsid w:val="0080013E"/>
    <w:rsid w:val="00813288"/>
    <w:rsid w:val="008168FC"/>
    <w:rsid w:val="00830996"/>
    <w:rsid w:val="008314D7"/>
    <w:rsid w:val="008345F1"/>
    <w:rsid w:val="008577CC"/>
    <w:rsid w:val="00865B07"/>
    <w:rsid w:val="008667EA"/>
    <w:rsid w:val="008704DA"/>
    <w:rsid w:val="0087637F"/>
    <w:rsid w:val="00892AD5"/>
    <w:rsid w:val="008A14B3"/>
    <w:rsid w:val="008A1512"/>
    <w:rsid w:val="008D32B9"/>
    <w:rsid w:val="008D433B"/>
    <w:rsid w:val="008D4A16"/>
    <w:rsid w:val="008E209A"/>
    <w:rsid w:val="008E45BC"/>
    <w:rsid w:val="008E566E"/>
    <w:rsid w:val="0090161A"/>
    <w:rsid w:val="00901EB6"/>
    <w:rsid w:val="009041F8"/>
    <w:rsid w:val="00904C62"/>
    <w:rsid w:val="00921A06"/>
    <w:rsid w:val="00922BA8"/>
    <w:rsid w:val="00924DAC"/>
    <w:rsid w:val="00927058"/>
    <w:rsid w:val="00942750"/>
    <w:rsid w:val="009450CE"/>
    <w:rsid w:val="009459BB"/>
    <w:rsid w:val="00947179"/>
    <w:rsid w:val="0095164B"/>
    <w:rsid w:val="00952F27"/>
    <w:rsid w:val="00954090"/>
    <w:rsid w:val="009573E7"/>
    <w:rsid w:val="00963E05"/>
    <w:rsid w:val="00964A45"/>
    <w:rsid w:val="00967843"/>
    <w:rsid w:val="00967D54"/>
    <w:rsid w:val="00971028"/>
    <w:rsid w:val="009729EF"/>
    <w:rsid w:val="00993B84"/>
    <w:rsid w:val="00995B4B"/>
    <w:rsid w:val="00996483"/>
    <w:rsid w:val="00996F5A"/>
    <w:rsid w:val="009B041A"/>
    <w:rsid w:val="009C37C3"/>
    <w:rsid w:val="009C7C86"/>
    <w:rsid w:val="009D2FF7"/>
    <w:rsid w:val="009E7884"/>
    <w:rsid w:val="009E788A"/>
    <w:rsid w:val="009F0E08"/>
    <w:rsid w:val="00A079AE"/>
    <w:rsid w:val="00A16F80"/>
    <w:rsid w:val="00A1763D"/>
    <w:rsid w:val="00A17CEC"/>
    <w:rsid w:val="00A233BB"/>
    <w:rsid w:val="00A26CBB"/>
    <w:rsid w:val="00A27EF0"/>
    <w:rsid w:val="00A34A63"/>
    <w:rsid w:val="00A42361"/>
    <w:rsid w:val="00A50B20"/>
    <w:rsid w:val="00A51390"/>
    <w:rsid w:val="00A51D6E"/>
    <w:rsid w:val="00A5793A"/>
    <w:rsid w:val="00A60D13"/>
    <w:rsid w:val="00A7223D"/>
    <w:rsid w:val="00A72745"/>
    <w:rsid w:val="00A744AC"/>
    <w:rsid w:val="00A76EFC"/>
    <w:rsid w:val="00A87D50"/>
    <w:rsid w:val="00A91010"/>
    <w:rsid w:val="00A96F53"/>
    <w:rsid w:val="00A97F29"/>
    <w:rsid w:val="00AA441C"/>
    <w:rsid w:val="00AA702E"/>
    <w:rsid w:val="00AA7D26"/>
    <w:rsid w:val="00AB0964"/>
    <w:rsid w:val="00AB1263"/>
    <w:rsid w:val="00AB5011"/>
    <w:rsid w:val="00AC7368"/>
    <w:rsid w:val="00AD0278"/>
    <w:rsid w:val="00AD16B9"/>
    <w:rsid w:val="00AE377D"/>
    <w:rsid w:val="00AF0EBA"/>
    <w:rsid w:val="00B02C8A"/>
    <w:rsid w:val="00B04627"/>
    <w:rsid w:val="00B17FBD"/>
    <w:rsid w:val="00B315A6"/>
    <w:rsid w:val="00B31813"/>
    <w:rsid w:val="00B33365"/>
    <w:rsid w:val="00B57B36"/>
    <w:rsid w:val="00B57E6F"/>
    <w:rsid w:val="00B8686D"/>
    <w:rsid w:val="00B93F69"/>
    <w:rsid w:val="00BB1DDC"/>
    <w:rsid w:val="00BC30C9"/>
    <w:rsid w:val="00BC4767"/>
    <w:rsid w:val="00BC6CF4"/>
    <w:rsid w:val="00BD077D"/>
    <w:rsid w:val="00BE3E58"/>
    <w:rsid w:val="00BF4B53"/>
    <w:rsid w:val="00C01616"/>
    <w:rsid w:val="00C0162B"/>
    <w:rsid w:val="00C068ED"/>
    <w:rsid w:val="00C208E9"/>
    <w:rsid w:val="00C22E0C"/>
    <w:rsid w:val="00C345B1"/>
    <w:rsid w:val="00C40142"/>
    <w:rsid w:val="00C52C3C"/>
    <w:rsid w:val="00C57182"/>
    <w:rsid w:val="00C57863"/>
    <w:rsid w:val="00C640AF"/>
    <w:rsid w:val="00C655FD"/>
    <w:rsid w:val="00C75407"/>
    <w:rsid w:val="00C841C6"/>
    <w:rsid w:val="00C870A8"/>
    <w:rsid w:val="00C94434"/>
    <w:rsid w:val="00CA0D75"/>
    <w:rsid w:val="00CA1C95"/>
    <w:rsid w:val="00CA5A9C"/>
    <w:rsid w:val="00CB3617"/>
    <w:rsid w:val="00CB7E55"/>
    <w:rsid w:val="00CC4C20"/>
    <w:rsid w:val="00CD3517"/>
    <w:rsid w:val="00CD513B"/>
    <w:rsid w:val="00CD5FE2"/>
    <w:rsid w:val="00CE7C68"/>
    <w:rsid w:val="00CF477B"/>
    <w:rsid w:val="00D02B4C"/>
    <w:rsid w:val="00D040C4"/>
    <w:rsid w:val="00D20AD1"/>
    <w:rsid w:val="00D2582C"/>
    <w:rsid w:val="00D46B7E"/>
    <w:rsid w:val="00D537EF"/>
    <w:rsid w:val="00D57C84"/>
    <w:rsid w:val="00D6057D"/>
    <w:rsid w:val="00D71640"/>
    <w:rsid w:val="00D77F89"/>
    <w:rsid w:val="00D83592"/>
    <w:rsid w:val="00D836C5"/>
    <w:rsid w:val="00D84576"/>
    <w:rsid w:val="00DA1399"/>
    <w:rsid w:val="00DA24C6"/>
    <w:rsid w:val="00DA4D7B"/>
    <w:rsid w:val="00DB35C2"/>
    <w:rsid w:val="00DD0A1B"/>
    <w:rsid w:val="00DD21F9"/>
    <w:rsid w:val="00DD271C"/>
    <w:rsid w:val="00DD7936"/>
    <w:rsid w:val="00DE264A"/>
    <w:rsid w:val="00DF4E9A"/>
    <w:rsid w:val="00DF5072"/>
    <w:rsid w:val="00E02D18"/>
    <w:rsid w:val="00E041E7"/>
    <w:rsid w:val="00E23CA1"/>
    <w:rsid w:val="00E409A8"/>
    <w:rsid w:val="00E47D61"/>
    <w:rsid w:val="00E50C12"/>
    <w:rsid w:val="00E65B91"/>
    <w:rsid w:val="00E7209D"/>
    <w:rsid w:val="00E72EAD"/>
    <w:rsid w:val="00E75C1C"/>
    <w:rsid w:val="00E77223"/>
    <w:rsid w:val="00E8528B"/>
    <w:rsid w:val="00E85B94"/>
    <w:rsid w:val="00E978D0"/>
    <w:rsid w:val="00EA3EF9"/>
    <w:rsid w:val="00EA4613"/>
    <w:rsid w:val="00EA7F91"/>
    <w:rsid w:val="00EB1523"/>
    <w:rsid w:val="00EC0E49"/>
    <w:rsid w:val="00EC101F"/>
    <w:rsid w:val="00EC1D9F"/>
    <w:rsid w:val="00EC7D93"/>
    <w:rsid w:val="00EE0131"/>
    <w:rsid w:val="00EE17B0"/>
    <w:rsid w:val="00EF06D9"/>
    <w:rsid w:val="00EF0982"/>
    <w:rsid w:val="00F05836"/>
    <w:rsid w:val="00F126A5"/>
    <w:rsid w:val="00F21F04"/>
    <w:rsid w:val="00F3049E"/>
    <w:rsid w:val="00F30C64"/>
    <w:rsid w:val="00F32BA2"/>
    <w:rsid w:val="00F32CDB"/>
    <w:rsid w:val="00F3348F"/>
    <w:rsid w:val="00F37280"/>
    <w:rsid w:val="00F41EE4"/>
    <w:rsid w:val="00F565FE"/>
    <w:rsid w:val="00F63A70"/>
    <w:rsid w:val="00F63D8C"/>
    <w:rsid w:val="00F7534E"/>
    <w:rsid w:val="00F9395D"/>
    <w:rsid w:val="00F93EDF"/>
    <w:rsid w:val="00FA0A48"/>
    <w:rsid w:val="00FA1802"/>
    <w:rsid w:val="00FA21D0"/>
    <w:rsid w:val="00FA5F5F"/>
    <w:rsid w:val="00FB730C"/>
    <w:rsid w:val="00FC2695"/>
    <w:rsid w:val="00FC3E03"/>
    <w:rsid w:val="00FC3FC1"/>
    <w:rsid w:val="00FD3ADA"/>
    <w:rsid w:val="00FF7E5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EC7D93"/>
    <w:pPr>
      <w:keepNext/>
      <w:suppressAutoHyphens/>
      <w:spacing w:after="120" w:line="240" w:lineRule="auto"/>
      <w:jc w:val="both"/>
    </w:pPr>
    <w:rPr>
      <w:rFonts w:ascii="Arial" w:eastAsia="Times New Roman" w:hAnsi="Arial" w:cs="Times New Roman"/>
      <w:b/>
      <w:sz w:val="18"/>
      <w:szCs w:val="20"/>
      <w:lang w:val="en-GB"/>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EC7D93"/>
    <w:rPr>
      <w:rFonts w:ascii="Arial" w:eastAsia="Times New Roman" w:hAnsi="Arial" w:cs="Times New Roman"/>
      <w:b/>
      <w:sz w:val="18"/>
      <w:szCs w:val="20"/>
      <w:lang w:val="en-GB"/>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link w:val="ListParagraphChar"/>
    <w:uiPriority w:val="34"/>
    <w:qFormat/>
    <w:rsid w:val="00280FAF"/>
    <w:pPr>
      <w:ind w:left="720"/>
      <w:contextualSpacing/>
    </w:pPr>
  </w:style>
  <w:style w:type="character" w:customStyle="1" w:styleId="gmail-apple-converted-space">
    <w:name w:val="gmail-apple-converted-space"/>
    <w:basedOn w:val="DefaultParagraphFont"/>
    <w:rsid w:val="00005A19"/>
  </w:style>
  <w:style w:type="character" w:customStyle="1" w:styleId="fontstyle01">
    <w:name w:val="fontstyle01"/>
    <w:rsid w:val="00F05836"/>
    <w:rPr>
      <w:rFonts w:ascii="AdvOT46dcae81" w:hAnsi="AdvOT46dcae81" w:hint="default"/>
      <w:b w:val="0"/>
      <w:bCs w:val="0"/>
      <w:i w:val="0"/>
      <w:iCs w:val="0"/>
      <w:color w:val="000000"/>
      <w:sz w:val="18"/>
      <w:szCs w:val="18"/>
    </w:rPr>
  </w:style>
  <w:style w:type="character" w:customStyle="1" w:styleId="ListParagraphChar">
    <w:name w:val="List Paragraph Char"/>
    <w:link w:val="ListParagraph"/>
    <w:uiPriority w:val="34"/>
    <w:rsid w:val="00F05836"/>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ela\Desktop\VA1-5%202022\EXPERIMENT%20DATA\ALL%20DATA%20VA1-5%20-%20PRETREATMENT%20-%20IPC%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ela\Desktop\VA1-5%202022\EXPERIMENT%20DATA\ALL%20DATA%20VA1-5%20-%20PRETREATMENT%20-%20IPC%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ela\Desktop\VA1-5%202022\EXPERIMENT%20DATA\ALL%20DATA%20VA1-5%20-%20PRETREATMENT%20-%20IPC%2020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Conc!$H$41</c:f>
              <c:strCache>
                <c:ptCount val="1"/>
                <c:pt idx="0">
                  <c:v>Xylose loss</c:v>
                </c:pt>
              </c:strCache>
            </c:strRef>
          </c:tx>
          <c:spPr>
            <a:solidFill>
              <a:srgbClr val="87E392"/>
            </a:solidFill>
            <a:ln>
              <a:noFill/>
            </a:ln>
            <a:effectLst/>
          </c:spPr>
          <c:invertIfNegative val="0"/>
          <c:dLbls>
            <c:delete val="1"/>
          </c:dLbls>
          <c:errBars>
            <c:errBarType val="both"/>
            <c:errValType val="cust"/>
            <c:noEndCap val="0"/>
            <c:plus>
              <c:numRef>
                <c:f>Conc!$I$43:$L$43</c:f>
                <c:numCache>
                  <c:formatCode>General</c:formatCode>
                  <c:ptCount val="4"/>
                  <c:pt idx="0">
                    <c:v>2.784247354911793</c:v>
                  </c:pt>
                  <c:pt idx="1">
                    <c:v>3.4821257875039482</c:v>
                  </c:pt>
                  <c:pt idx="2">
                    <c:v>6.3671683920981188</c:v>
                  </c:pt>
                  <c:pt idx="3">
                    <c:v>6.0895566341072946</c:v>
                  </c:pt>
                </c:numCache>
              </c:numRef>
            </c:plus>
            <c:minus>
              <c:numRef>
                <c:f>Conc!$I$43:$L$43</c:f>
                <c:numCache>
                  <c:formatCode>General</c:formatCode>
                  <c:ptCount val="4"/>
                  <c:pt idx="0">
                    <c:v>2.784247354911793</c:v>
                  </c:pt>
                  <c:pt idx="1">
                    <c:v>3.4821257875039482</c:v>
                  </c:pt>
                  <c:pt idx="2">
                    <c:v>6.3671683920981188</c:v>
                  </c:pt>
                  <c:pt idx="3">
                    <c:v>6.0895566341072946</c:v>
                  </c:pt>
                </c:numCache>
              </c:numRef>
            </c:minus>
            <c:spPr>
              <a:noFill/>
              <a:ln w="9525" cap="flat" cmpd="sng" algn="ctr">
                <a:solidFill>
                  <a:schemeClr val="tx1">
                    <a:lumMod val="65000"/>
                    <a:lumOff val="35000"/>
                  </a:schemeClr>
                </a:solidFill>
                <a:round/>
              </a:ln>
              <a:effectLst/>
            </c:spPr>
          </c:errBars>
          <c:cat>
            <c:strRef>
              <c:f>Conc!$I$39:$L$39</c:f>
              <c:strCache>
                <c:ptCount val="4"/>
                <c:pt idx="0">
                  <c:v>105°C</c:v>
                </c:pt>
                <c:pt idx="1">
                  <c:v>110°C</c:v>
                </c:pt>
                <c:pt idx="2">
                  <c:v>120°C</c:v>
                </c:pt>
                <c:pt idx="3">
                  <c:v>130°C</c:v>
                </c:pt>
              </c:strCache>
            </c:strRef>
          </c:cat>
          <c:val>
            <c:numRef>
              <c:f>Conc!$I$41:$L$41</c:f>
              <c:numCache>
                <c:formatCode>General</c:formatCode>
                <c:ptCount val="4"/>
                <c:pt idx="0">
                  <c:v>16.253869969040249</c:v>
                </c:pt>
                <c:pt idx="1">
                  <c:v>35.835913312693499</c:v>
                </c:pt>
                <c:pt idx="2">
                  <c:v>68.962848297213625</c:v>
                </c:pt>
                <c:pt idx="3">
                  <c:v>94.311145510835914</c:v>
                </c:pt>
              </c:numCache>
            </c:numRef>
          </c:val>
          <c:extLst>
            <c:ext xmlns:c16="http://schemas.microsoft.com/office/drawing/2014/chart" uri="{C3380CC4-5D6E-409C-BE32-E72D297353CC}">
              <c16:uniqueId val="{00000000-5CEE-4C17-9085-401853F0D9E1}"/>
            </c:ext>
          </c:extLst>
        </c:ser>
        <c:dLbls>
          <c:dLblPos val="outEnd"/>
          <c:showLegendKey val="0"/>
          <c:showVal val="1"/>
          <c:showCatName val="0"/>
          <c:showSerName val="0"/>
          <c:showPercent val="0"/>
          <c:showBubbleSize val="0"/>
        </c:dLbls>
        <c:gapWidth val="107"/>
        <c:overlap val="-27"/>
        <c:axId val="345678792"/>
        <c:axId val="345677712"/>
      </c:barChart>
      <c:catAx>
        <c:axId val="34567879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t>a) Temperature </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5677712"/>
        <c:crosses val="autoZero"/>
        <c:auto val="1"/>
        <c:lblAlgn val="ctr"/>
        <c:lblOffset val="100"/>
        <c:noMultiLvlLbl val="0"/>
      </c:catAx>
      <c:valAx>
        <c:axId val="345677712"/>
        <c:scaling>
          <c:orientation val="minMax"/>
          <c:max val="100"/>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t>Hemicellulose removal (%)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4567879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Conc!$H$47</c:f>
              <c:strCache>
                <c:ptCount val="1"/>
                <c:pt idx="0">
                  <c:v>Loss</c:v>
                </c:pt>
              </c:strCache>
            </c:strRef>
          </c:tx>
          <c:spPr>
            <a:solidFill>
              <a:schemeClr val="tx2">
                <a:lumMod val="40000"/>
                <a:lumOff val="60000"/>
              </a:schemeClr>
            </a:solidFill>
            <a:ln>
              <a:noFill/>
            </a:ln>
            <a:effectLst/>
          </c:spPr>
          <c:invertIfNegative val="0"/>
          <c:errBars>
            <c:errBarType val="both"/>
            <c:errValType val="cust"/>
            <c:noEndCap val="0"/>
            <c:plus>
              <c:numRef>
                <c:f>Conc!$I$48:$M$48</c:f>
                <c:numCache>
                  <c:formatCode>General</c:formatCode>
                  <c:ptCount val="5"/>
                  <c:pt idx="0">
                    <c:v>0.6</c:v>
                  </c:pt>
                  <c:pt idx="1">
                    <c:v>1.75</c:v>
                  </c:pt>
                  <c:pt idx="2">
                    <c:v>0.55000000000000004</c:v>
                  </c:pt>
                  <c:pt idx="3">
                    <c:v>1.19</c:v>
                  </c:pt>
                  <c:pt idx="4">
                    <c:v>0.61</c:v>
                  </c:pt>
                </c:numCache>
              </c:numRef>
            </c:plus>
            <c:minus>
              <c:numRef>
                <c:f>Conc!$I$48:$M$48</c:f>
                <c:numCache>
                  <c:formatCode>General</c:formatCode>
                  <c:ptCount val="5"/>
                  <c:pt idx="0">
                    <c:v>0.6</c:v>
                  </c:pt>
                  <c:pt idx="1">
                    <c:v>1.75</c:v>
                  </c:pt>
                  <c:pt idx="2">
                    <c:v>0.55000000000000004</c:v>
                  </c:pt>
                  <c:pt idx="3">
                    <c:v>1.19</c:v>
                  </c:pt>
                  <c:pt idx="4">
                    <c:v>0.61</c:v>
                  </c:pt>
                </c:numCache>
              </c:numRef>
            </c:minus>
            <c:spPr>
              <a:noFill/>
              <a:ln w="9525" cap="flat" cmpd="sng" algn="ctr">
                <a:solidFill>
                  <a:schemeClr val="tx1">
                    <a:lumMod val="65000"/>
                    <a:lumOff val="35000"/>
                  </a:schemeClr>
                </a:solidFill>
                <a:round/>
              </a:ln>
              <a:effectLst/>
            </c:spPr>
          </c:errBars>
          <c:val>
            <c:numRef>
              <c:f>Conc!$I$47:$M$47</c:f>
              <c:numCache>
                <c:formatCode>General</c:formatCode>
                <c:ptCount val="5"/>
                <c:pt idx="0">
                  <c:v>27.747678018575851</c:v>
                </c:pt>
                <c:pt idx="1">
                  <c:v>85.255417956656359</c:v>
                </c:pt>
                <c:pt idx="2">
                  <c:v>83.900928792569658</c:v>
                </c:pt>
                <c:pt idx="3">
                  <c:v>83.475232198142407</c:v>
                </c:pt>
                <c:pt idx="4">
                  <c:v>94.311145510835914</c:v>
                </c:pt>
              </c:numCache>
            </c:numRef>
          </c:val>
          <c:extLst>
            <c:ext xmlns:c16="http://schemas.microsoft.com/office/drawing/2014/chart" uri="{C3380CC4-5D6E-409C-BE32-E72D297353CC}">
              <c16:uniqueId val="{00000000-7145-4C6C-926C-E887ED0AEEAD}"/>
            </c:ext>
          </c:extLst>
        </c:ser>
        <c:dLbls>
          <c:showLegendKey val="0"/>
          <c:showVal val="0"/>
          <c:showCatName val="0"/>
          <c:showSerName val="0"/>
          <c:showPercent val="0"/>
          <c:showBubbleSize val="0"/>
        </c:dLbls>
        <c:gapWidth val="83"/>
        <c:overlap val="-27"/>
        <c:axId val="381942104"/>
        <c:axId val="381946784"/>
        <c:extLst>
          <c:ext xmlns:c15="http://schemas.microsoft.com/office/drawing/2012/chart" uri="{02D57815-91ED-43cb-92C2-25804820EDAC}">
            <c15:filteredBarSeries>
              <c15:ser>
                <c:idx val="0"/>
                <c:order val="0"/>
                <c:tx>
                  <c:strRef>
                    <c:extLst>
                      <c:ext uri="{02D57815-91ED-43cb-92C2-25804820EDAC}">
                        <c15:formulaRef>
                          <c15:sqref>Conc!$H$45</c15:sqref>
                        </c15:formulaRef>
                      </c:ext>
                    </c:extLst>
                    <c:strCache>
                      <c:ptCount val="1"/>
                      <c:pt idx="0">
                        <c:v>Concentration</c:v>
                      </c:pt>
                    </c:strCache>
                  </c:strRef>
                </c:tx>
                <c:spPr>
                  <a:solidFill>
                    <a:schemeClr val="accent1"/>
                  </a:solidFill>
                  <a:ln>
                    <a:noFill/>
                  </a:ln>
                  <a:effectLst/>
                </c:spPr>
                <c:invertIfNegative val="0"/>
                <c:val>
                  <c:numRef>
                    <c:extLst>
                      <c:ext uri="{02D57815-91ED-43cb-92C2-25804820EDAC}">
                        <c15:formulaRef>
                          <c15:sqref>Conc!$I$45:$M$45</c15:sqref>
                        </c15:formulaRef>
                      </c:ext>
                    </c:extLst>
                    <c:numCache>
                      <c:formatCode>0%</c:formatCode>
                      <c:ptCount val="5"/>
                      <c:pt idx="0">
                        <c:v>0.01</c:v>
                      </c:pt>
                      <c:pt idx="1">
                        <c:v>0.02</c:v>
                      </c:pt>
                      <c:pt idx="2">
                        <c:v>0.03</c:v>
                      </c:pt>
                      <c:pt idx="3">
                        <c:v>0.04</c:v>
                      </c:pt>
                      <c:pt idx="4">
                        <c:v>0.05</c:v>
                      </c:pt>
                    </c:numCache>
                  </c:numRef>
                </c:val>
                <c:extLst>
                  <c:ext xmlns:c16="http://schemas.microsoft.com/office/drawing/2014/chart" uri="{C3380CC4-5D6E-409C-BE32-E72D297353CC}">
                    <c16:uniqueId val="{00000001-7145-4C6C-926C-E887ED0AEEAD}"/>
                  </c:ext>
                </c:extLst>
              </c15:ser>
            </c15:filteredBarSeries>
          </c:ext>
        </c:extLst>
      </c:barChart>
      <c:catAx>
        <c:axId val="38194210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t>b) Concentration (%, w/v)</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1946784"/>
        <c:crosses val="autoZero"/>
        <c:auto val="1"/>
        <c:lblAlgn val="ctr"/>
        <c:lblOffset val="100"/>
        <c:noMultiLvlLbl val="0"/>
      </c:catAx>
      <c:valAx>
        <c:axId val="38194678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t>Hemicellulose removal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1942104"/>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Conc!$H$65</c:f>
              <c:strCache>
                <c:ptCount val="1"/>
                <c:pt idx="0">
                  <c:v>Removal</c:v>
                </c:pt>
              </c:strCache>
            </c:strRef>
          </c:tx>
          <c:spPr>
            <a:solidFill>
              <a:schemeClr val="accent5">
                <a:lumMod val="40000"/>
                <a:lumOff val="60000"/>
              </a:schemeClr>
            </a:solidFill>
            <a:ln>
              <a:noFill/>
            </a:ln>
            <a:effectLst/>
          </c:spPr>
          <c:invertIfNegative val="0"/>
          <c:errBars>
            <c:errBarType val="both"/>
            <c:errValType val="cust"/>
            <c:noEndCap val="0"/>
            <c:plus>
              <c:numRef>
                <c:f>Conc!$I$66:$L$66</c:f>
                <c:numCache>
                  <c:formatCode>General</c:formatCode>
                  <c:ptCount val="4"/>
                  <c:pt idx="0">
                    <c:v>1.1100000000000001</c:v>
                  </c:pt>
                  <c:pt idx="1">
                    <c:v>1.3</c:v>
                  </c:pt>
                  <c:pt idx="2">
                    <c:v>1.22</c:v>
                  </c:pt>
                  <c:pt idx="3">
                    <c:v>1.75</c:v>
                  </c:pt>
                </c:numCache>
              </c:numRef>
            </c:plus>
            <c:minus>
              <c:numRef>
                <c:f>Conc!$I$66:$L$66</c:f>
                <c:numCache>
                  <c:formatCode>General</c:formatCode>
                  <c:ptCount val="4"/>
                  <c:pt idx="0">
                    <c:v>1.1100000000000001</c:v>
                  </c:pt>
                  <c:pt idx="1">
                    <c:v>1.3</c:v>
                  </c:pt>
                  <c:pt idx="2">
                    <c:v>1.22</c:v>
                  </c:pt>
                  <c:pt idx="3">
                    <c:v>1.75</c:v>
                  </c:pt>
                </c:numCache>
              </c:numRef>
            </c:minus>
            <c:spPr>
              <a:noFill/>
              <a:ln w="9525" cap="flat" cmpd="sng" algn="ctr">
                <a:solidFill>
                  <a:schemeClr val="tx1">
                    <a:lumMod val="65000"/>
                    <a:lumOff val="35000"/>
                  </a:schemeClr>
                </a:solidFill>
                <a:round/>
              </a:ln>
              <a:effectLst/>
            </c:spPr>
          </c:errBars>
          <c:cat>
            <c:numRef>
              <c:f>Conc!$I$63:$L$63</c:f>
              <c:numCache>
                <c:formatCode>General</c:formatCode>
                <c:ptCount val="4"/>
                <c:pt idx="0">
                  <c:v>15</c:v>
                </c:pt>
                <c:pt idx="1">
                  <c:v>30</c:v>
                </c:pt>
                <c:pt idx="2">
                  <c:v>45</c:v>
                </c:pt>
                <c:pt idx="3">
                  <c:v>60</c:v>
                </c:pt>
              </c:numCache>
            </c:numRef>
          </c:cat>
          <c:val>
            <c:numRef>
              <c:f>Conc!$I$65:$L$65</c:f>
              <c:numCache>
                <c:formatCode>General</c:formatCode>
                <c:ptCount val="4"/>
                <c:pt idx="0">
                  <c:v>62.113003095975237</c:v>
                </c:pt>
                <c:pt idx="1">
                  <c:v>77.438080495356047</c:v>
                </c:pt>
                <c:pt idx="2">
                  <c:v>83.28173374613003</c:v>
                </c:pt>
                <c:pt idx="3">
                  <c:v>85.255417956656359</c:v>
                </c:pt>
              </c:numCache>
            </c:numRef>
          </c:val>
          <c:extLst>
            <c:ext xmlns:c16="http://schemas.microsoft.com/office/drawing/2014/chart" uri="{C3380CC4-5D6E-409C-BE32-E72D297353CC}">
              <c16:uniqueId val="{00000000-6346-47C7-944F-6F6B582830AA}"/>
            </c:ext>
          </c:extLst>
        </c:ser>
        <c:dLbls>
          <c:showLegendKey val="0"/>
          <c:showVal val="0"/>
          <c:showCatName val="0"/>
          <c:showSerName val="0"/>
          <c:showPercent val="0"/>
          <c:showBubbleSize val="0"/>
        </c:dLbls>
        <c:gapWidth val="99"/>
        <c:overlap val="-27"/>
        <c:axId val="663226888"/>
        <c:axId val="510953264"/>
      </c:barChart>
      <c:catAx>
        <c:axId val="66322688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t>c) Reaction time (min)</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0953264"/>
        <c:crosses val="autoZero"/>
        <c:auto val="1"/>
        <c:lblAlgn val="ctr"/>
        <c:lblOffset val="100"/>
        <c:noMultiLvlLbl val="0"/>
      </c:catAx>
      <c:valAx>
        <c:axId val="51095326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t>Hemicellulose removal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63226888"/>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3678</Words>
  <Characters>20971</Characters>
  <Application>Microsoft Office Word</Application>
  <DocSecurity>0</DocSecurity>
  <Lines>174</Lines>
  <Paragraphs>49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MpobHQ ENP12</cp:lastModifiedBy>
  <cp:revision>52</cp:revision>
  <cp:lastPrinted>2015-05-12T18:31:00Z</cp:lastPrinted>
  <dcterms:created xsi:type="dcterms:W3CDTF">2025-12-15T13:40:00Z</dcterms:created>
  <dcterms:modified xsi:type="dcterms:W3CDTF">2026-04-03T08:02:00Z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