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61229B97" w:rsidR="00AA7D26" w:rsidRPr="009A2DD0" w:rsidRDefault="004A5E57" w:rsidP="004A5E57">
            <w:pPr>
              <w:ind w:left="-107"/>
              <w:outlineLvl w:val="2"/>
              <w:rPr>
                <w:rFonts w:ascii="Tahoma" w:hAnsi="Tahoma" w:cs="Tahoma"/>
                <w:bCs/>
                <w:color w:val="000000"/>
                <w:sz w:val="14"/>
                <w:szCs w:val="14"/>
                <w:lang w:eastAsia="it-IT"/>
              </w:rPr>
            </w:pPr>
            <w:r w:rsidRPr="009A2DD0">
              <w:rPr>
                <w:rFonts w:ascii="Tahoma" w:hAnsi="Tahoma" w:cs="Tahoma"/>
                <w:iCs/>
                <w:color w:val="333333"/>
                <w:sz w:val="14"/>
                <w:szCs w:val="14"/>
                <w:lang w:eastAsia="it-IT"/>
              </w:rPr>
              <w:t>Guest Editors:</w:t>
            </w:r>
            <w:r w:rsidRPr="009A2DD0">
              <w:rPr>
                <w:rFonts w:ascii="Tahoma" w:hAnsi="Tahoma" w:cs="Tahoma"/>
                <w:color w:val="000000"/>
                <w:sz w:val="14"/>
                <w:szCs w:val="14"/>
                <w:shd w:val="clear" w:color="auto" w:fill="FFFFFF"/>
              </w:rPr>
              <w:t xml:space="preserve"> </w:t>
            </w:r>
            <w:r w:rsidR="00EA3EF9" w:rsidRPr="009A2DD0">
              <w:rPr>
                <w:rFonts w:ascii="Tahoma" w:hAnsi="Tahoma" w:cs="Tahoma"/>
                <w:color w:val="000000"/>
                <w:sz w:val="14"/>
                <w:szCs w:val="14"/>
                <w:shd w:val="clear" w:color="auto" w:fill="FFFFFF"/>
              </w:rPr>
              <w:t xml:space="preserve">Leonardo Tognotti, </w:t>
            </w:r>
            <w:r w:rsidR="00EA3EF9" w:rsidRPr="009A2DD0">
              <w:rPr>
                <w:rFonts w:ascii="Tahoma" w:hAnsi="Tahoma" w:cs="Tahoma"/>
                <w:color w:val="000000"/>
                <w:sz w:val="14"/>
                <w:szCs w:val="14"/>
              </w:rPr>
              <w:t>Rubens Maciel Filho</w:t>
            </w:r>
            <w:r w:rsidR="00EA3EF9" w:rsidRPr="009A2DD0">
              <w:rPr>
                <w:rFonts w:ascii="Tahoma" w:hAnsi="Tahoma" w:cs="Tahoma"/>
                <w:color w:val="000000"/>
                <w:sz w:val="14"/>
                <w:szCs w:val="14"/>
                <w:shd w:val="clear" w:color="auto" w:fill="FFFFFF"/>
              </w:rPr>
              <w:t xml:space="preserve">, </w:t>
            </w:r>
            <w:r w:rsidR="00EA3EF9" w:rsidRPr="009A2DD0">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60B76149" w:rsidR="00E978D0" w:rsidRPr="00B57B36" w:rsidRDefault="00350220" w:rsidP="00E978D0">
      <w:pPr>
        <w:pStyle w:val="CETTitle"/>
      </w:pPr>
      <w:r w:rsidRPr="00350220">
        <w:t xml:space="preserve">Green Synthesis </w:t>
      </w:r>
      <w:r>
        <w:t>o</w:t>
      </w:r>
      <w:r w:rsidRPr="00350220">
        <w:t xml:space="preserve">f Ag Nanomaterials Using Microalgal Extracts </w:t>
      </w:r>
      <w:r>
        <w:t>f</w:t>
      </w:r>
      <w:r w:rsidRPr="00350220">
        <w:t xml:space="preserve">or Photocatalytic Degradation </w:t>
      </w:r>
      <w:r>
        <w:t>o</w:t>
      </w:r>
      <w:r w:rsidRPr="00350220">
        <w:t xml:space="preserve">f Contaminants: Experiments </w:t>
      </w:r>
      <w:r>
        <w:t>a</w:t>
      </w:r>
      <w:r w:rsidRPr="00350220">
        <w:t>nd Modeling</w:t>
      </w:r>
    </w:p>
    <w:p w14:paraId="0BFA9295" w14:textId="736DF1EF" w:rsidR="007E7F21" w:rsidRPr="007E7F21" w:rsidRDefault="007E7F21" w:rsidP="007E7F21">
      <w:pPr>
        <w:pStyle w:val="CETAddress"/>
        <w:jc w:val="center"/>
        <w:rPr>
          <w:sz w:val="24"/>
          <w:lang w:val="it-IT"/>
        </w:rPr>
      </w:pPr>
      <w:r w:rsidRPr="007E7F21">
        <w:rPr>
          <w:sz w:val="24"/>
          <w:lang w:val="it-IT"/>
        </w:rPr>
        <w:t>Fe</w:t>
      </w:r>
      <w:r>
        <w:rPr>
          <w:sz w:val="24"/>
          <w:lang w:val="it-IT"/>
        </w:rPr>
        <w:t xml:space="preserve">derico </w:t>
      </w:r>
      <w:r w:rsidRPr="007E7F21">
        <w:rPr>
          <w:sz w:val="24"/>
          <w:lang w:val="it-IT"/>
        </w:rPr>
        <w:t>Zedda</w:t>
      </w:r>
      <w:r w:rsidR="00FA4655" w:rsidRPr="00FA4655">
        <w:rPr>
          <w:sz w:val="24"/>
          <w:vertAlign w:val="superscript"/>
          <w:lang w:val="it-IT"/>
        </w:rPr>
        <w:t xml:space="preserve"> a</w:t>
      </w:r>
      <w:r w:rsidRPr="007E7F21">
        <w:rPr>
          <w:sz w:val="24"/>
          <w:lang w:val="it-IT"/>
        </w:rPr>
        <w:t>,</w:t>
      </w:r>
      <w:r>
        <w:rPr>
          <w:sz w:val="24"/>
          <w:lang w:val="it-IT"/>
        </w:rPr>
        <w:t xml:space="preserve"> Federico</w:t>
      </w:r>
      <w:r w:rsidRPr="007E7F21">
        <w:rPr>
          <w:sz w:val="24"/>
          <w:lang w:val="it-IT"/>
        </w:rPr>
        <w:t xml:space="preserve"> Atzori</w:t>
      </w:r>
      <w:r w:rsidR="00FA4655" w:rsidRPr="00FA4655">
        <w:rPr>
          <w:sz w:val="24"/>
          <w:vertAlign w:val="superscript"/>
          <w:lang w:val="it-IT"/>
        </w:rPr>
        <w:t xml:space="preserve"> a</w:t>
      </w:r>
      <w:r w:rsidRPr="007E7F21">
        <w:rPr>
          <w:sz w:val="24"/>
          <w:lang w:val="it-IT"/>
        </w:rPr>
        <w:t xml:space="preserve">, </w:t>
      </w:r>
      <w:r>
        <w:rPr>
          <w:sz w:val="24"/>
          <w:lang w:val="it-IT"/>
        </w:rPr>
        <w:t xml:space="preserve">Silvia </w:t>
      </w:r>
      <w:r w:rsidRPr="007E7F21">
        <w:rPr>
          <w:sz w:val="24"/>
          <w:lang w:val="it-IT"/>
        </w:rPr>
        <w:t>Casu</w:t>
      </w:r>
      <w:r w:rsidR="00FA4655" w:rsidRPr="00FA4655">
        <w:rPr>
          <w:sz w:val="24"/>
          <w:vertAlign w:val="superscript"/>
          <w:lang w:val="it-IT"/>
        </w:rPr>
        <w:t xml:space="preserve"> a</w:t>
      </w:r>
      <w:r w:rsidRPr="007E7F21">
        <w:rPr>
          <w:sz w:val="24"/>
          <w:lang w:val="it-IT"/>
        </w:rPr>
        <w:t xml:space="preserve">, </w:t>
      </w:r>
      <w:r>
        <w:rPr>
          <w:sz w:val="24"/>
          <w:lang w:val="it-IT"/>
        </w:rPr>
        <w:t>Bartolomeo Cosenza</w:t>
      </w:r>
      <w:r w:rsidR="00FA4655" w:rsidRPr="00FA4655">
        <w:rPr>
          <w:sz w:val="24"/>
          <w:vertAlign w:val="superscript"/>
          <w:lang w:val="it-IT"/>
        </w:rPr>
        <w:t xml:space="preserve"> b</w:t>
      </w:r>
      <w:r>
        <w:rPr>
          <w:sz w:val="24"/>
          <w:lang w:val="it-IT"/>
        </w:rPr>
        <w:t xml:space="preserve">, Giacomo </w:t>
      </w:r>
      <w:r w:rsidRPr="007E7F21">
        <w:rPr>
          <w:sz w:val="24"/>
          <w:lang w:val="it-IT"/>
        </w:rPr>
        <w:t>Fais</w:t>
      </w:r>
      <w:r w:rsidR="00FA4655" w:rsidRPr="00FA4655">
        <w:rPr>
          <w:sz w:val="24"/>
          <w:vertAlign w:val="superscript"/>
          <w:lang w:val="it-IT"/>
        </w:rPr>
        <w:t xml:space="preserve"> a,</w:t>
      </w:r>
      <w:r w:rsidR="00FA4655">
        <w:rPr>
          <w:sz w:val="24"/>
          <w:vertAlign w:val="superscript"/>
          <w:lang w:val="it-IT"/>
        </w:rPr>
        <w:t>c</w:t>
      </w:r>
      <w:r w:rsidRPr="007E7F21">
        <w:rPr>
          <w:sz w:val="24"/>
          <w:lang w:val="it-IT"/>
        </w:rPr>
        <w:t xml:space="preserve">, </w:t>
      </w:r>
      <w:r>
        <w:rPr>
          <w:sz w:val="24"/>
          <w:lang w:val="it-IT"/>
        </w:rPr>
        <w:t xml:space="preserve">Roberta </w:t>
      </w:r>
      <w:r w:rsidRPr="007E7F21">
        <w:rPr>
          <w:sz w:val="24"/>
          <w:lang w:val="it-IT"/>
        </w:rPr>
        <w:t>Licheri</w:t>
      </w:r>
      <w:r w:rsidR="00FA4655" w:rsidRPr="00FA4655">
        <w:rPr>
          <w:sz w:val="24"/>
          <w:vertAlign w:val="superscript"/>
          <w:lang w:val="it-IT"/>
        </w:rPr>
        <w:t xml:space="preserve"> a,</w:t>
      </w:r>
      <w:r w:rsidR="00FA4655">
        <w:rPr>
          <w:sz w:val="24"/>
          <w:vertAlign w:val="superscript"/>
          <w:lang w:val="it-IT"/>
        </w:rPr>
        <w:t>c</w:t>
      </w:r>
      <w:r w:rsidRPr="007E7F21">
        <w:rPr>
          <w:sz w:val="24"/>
          <w:lang w:val="it-IT"/>
        </w:rPr>
        <w:t xml:space="preserve">, </w:t>
      </w:r>
      <w:r>
        <w:rPr>
          <w:sz w:val="24"/>
          <w:lang w:val="it-IT"/>
        </w:rPr>
        <w:t xml:space="preserve">Nicola </w:t>
      </w:r>
      <w:r w:rsidRPr="007E7F21">
        <w:rPr>
          <w:sz w:val="24"/>
          <w:lang w:val="it-IT"/>
        </w:rPr>
        <w:t>Lai</w:t>
      </w:r>
      <w:r w:rsidR="00FA4655" w:rsidRPr="00FA4655">
        <w:rPr>
          <w:sz w:val="24"/>
          <w:vertAlign w:val="superscript"/>
          <w:lang w:val="it-IT"/>
        </w:rPr>
        <w:t xml:space="preserve"> a,</w:t>
      </w:r>
      <w:r w:rsidR="00FA4655">
        <w:rPr>
          <w:sz w:val="24"/>
          <w:vertAlign w:val="superscript"/>
          <w:lang w:val="it-IT"/>
        </w:rPr>
        <w:t>c</w:t>
      </w:r>
      <w:r w:rsidRPr="007E7F21">
        <w:rPr>
          <w:sz w:val="24"/>
          <w:lang w:val="it-IT"/>
        </w:rPr>
        <w:t xml:space="preserve">, </w:t>
      </w:r>
      <w:r>
        <w:rPr>
          <w:sz w:val="24"/>
          <w:lang w:val="it-IT"/>
        </w:rPr>
        <w:t xml:space="preserve">Francesco </w:t>
      </w:r>
      <w:r w:rsidRPr="007E7F21">
        <w:rPr>
          <w:sz w:val="24"/>
          <w:lang w:val="it-IT"/>
        </w:rPr>
        <w:t>Desogus</w:t>
      </w:r>
      <w:r w:rsidR="00FA4655" w:rsidRPr="00FA4655">
        <w:rPr>
          <w:sz w:val="24"/>
          <w:vertAlign w:val="superscript"/>
          <w:lang w:val="it-IT"/>
        </w:rPr>
        <w:t xml:space="preserve"> a,</w:t>
      </w:r>
      <w:r w:rsidR="00FA4655">
        <w:rPr>
          <w:sz w:val="24"/>
          <w:vertAlign w:val="superscript"/>
          <w:lang w:val="it-IT"/>
        </w:rPr>
        <w:t>c</w:t>
      </w:r>
      <w:r w:rsidRPr="007E7F21">
        <w:rPr>
          <w:sz w:val="24"/>
          <w:lang w:val="it-IT"/>
        </w:rPr>
        <w:t xml:space="preserve">, </w:t>
      </w:r>
      <w:r>
        <w:rPr>
          <w:sz w:val="24"/>
          <w:lang w:val="it-IT"/>
        </w:rPr>
        <w:t>Rosangela Mastrangelo</w:t>
      </w:r>
      <w:r w:rsidR="00FA4655" w:rsidRPr="00FA4655">
        <w:rPr>
          <w:sz w:val="24"/>
          <w:vertAlign w:val="superscript"/>
          <w:lang w:val="it-IT"/>
        </w:rPr>
        <w:t xml:space="preserve"> a</w:t>
      </w:r>
      <w:r>
        <w:rPr>
          <w:sz w:val="24"/>
          <w:lang w:val="it-IT"/>
        </w:rPr>
        <w:t xml:space="preserve">, </w:t>
      </w:r>
      <w:r w:rsidRPr="007E7F21">
        <w:rPr>
          <w:sz w:val="24"/>
          <w:lang w:val="it-IT"/>
        </w:rPr>
        <w:t>Giacomo C</w:t>
      </w:r>
      <w:r>
        <w:rPr>
          <w:sz w:val="24"/>
          <w:lang w:val="it-IT"/>
        </w:rPr>
        <w:t>ao</w:t>
      </w:r>
      <w:r w:rsidR="00FA4655" w:rsidRPr="00FA4655">
        <w:rPr>
          <w:sz w:val="24"/>
          <w:vertAlign w:val="superscript"/>
          <w:lang w:val="it-IT"/>
        </w:rPr>
        <w:t xml:space="preserve"> a,</w:t>
      </w:r>
      <w:r w:rsidR="00FA4655">
        <w:rPr>
          <w:sz w:val="24"/>
          <w:vertAlign w:val="superscript"/>
          <w:lang w:val="it-IT"/>
        </w:rPr>
        <w:t>c</w:t>
      </w:r>
      <w:r>
        <w:rPr>
          <w:sz w:val="24"/>
          <w:lang w:val="it-IT"/>
        </w:rPr>
        <w:t xml:space="preserve">, Alessandro </w:t>
      </w:r>
      <w:r w:rsidRPr="007E7F21">
        <w:rPr>
          <w:sz w:val="24"/>
          <w:lang w:val="it-IT"/>
        </w:rPr>
        <w:t>Concas</w:t>
      </w:r>
      <w:r w:rsidR="00FA4655" w:rsidRPr="00FA4655">
        <w:rPr>
          <w:sz w:val="24"/>
          <w:vertAlign w:val="superscript"/>
          <w:lang w:val="it-IT"/>
        </w:rPr>
        <w:t xml:space="preserve"> a,</w:t>
      </w:r>
      <w:r w:rsidR="00FA4655">
        <w:rPr>
          <w:sz w:val="24"/>
          <w:vertAlign w:val="superscript"/>
          <w:lang w:val="it-IT"/>
        </w:rPr>
        <w:t>c,*</w:t>
      </w:r>
    </w:p>
    <w:p w14:paraId="7F934047" w14:textId="77777777" w:rsidR="007E7F21" w:rsidRPr="007E7F21" w:rsidRDefault="007E7F21" w:rsidP="00B57E6F">
      <w:pPr>
        <w:pStyle w:val="CETAddress"/>
        <w:rPr>
          <w:sz w:val="24"/>
          <w:lang w:val="it-IT"/>
        </w:rPr>
      </w:pPr>
    </w:p>
    <w:p w14:paraId="04E31C5E" w14:textId="544DDFEF" w:rsidR="00A50995" w:rsidRDefault="00A50995" w:rsidP="00A50995">
      <w:pPr>
        <w:pStyle w:val="CETAddress"/>
      </w:pPr>
      <w:r w:rsidRPr="00A50995">
        <w:rPr>
          <w:vertAlign w:val="superscript"/>
        </w:rPr>
        <w:t>a</w:t>
      </w:r>
      <w:r>
        <w:t xml:space="preserve"> Department of Mechanical, Chemical and Materials Engineering, University of Cagliari, Piazza d’Armi, 09123 Cagliari (CA), Italy</w:t>
      </w:r>
    </w:p>
    <w:p w14:paraId="791511E5" w14:textId="03527CD0" w:rsidR="00A50995" w:rsidRDefault="00A50995" w:rsidP="00A50995">
      <w:pPr>
        <w:pStyle w:val="CETAddress"/>
      </w:pPr>
      <w:r w:rsidRPr="00A50995">
        <w:rPr>
          <w:vertAlign w:val="superscript"/>
        </w:rPr>
        <w:t xml:space="preserve">b </w:t>
      </w:r>
      <w:r w:rsidRPr="00A50995">
        <w:t>Department of Civil and Industrial Engineering, University of Pisa, Largo Lucio Lazzarino, 56122, Pisa, PI, Italy</w:t>
      </w:r>
    </w:p>
    <w:p w14:paraId="4B560C84" w14:textId="0990FFD8" w:rsidR="00A50995" w:rsidRPr="00B57B36" w:rsidRDefault="00A50995" w:rsidP="00A50995">
      <w:pPr>
        <w:pStyle w:val="CETAddress"/>
      </w:pPr>
      <w:r w:rsidRPr="00A50995">
        <w:rPr>
          <w:vertAlign w:val="superscript"/>
        </w:rPr>
        <w:t>c</w:t>
      </w:r>
      <w:r>
        <w:t xml:space="preserve"> Interdepartmental Centre of Environmental Science and Engineering (CINSA), University of Cagliari, Via San Giorgio 12, 09124 Cagliari, Italy</w:t>
      </w:r>
    </w:p>
    <w:p w14:paraId="4D981B63" w14:textId="374ECE81" w:rsidR="00FA4655" w:rsidRDefault="00FA4655" w:rsidP="00B57E6F">
      <w:pPr>
        <w:pStyle w:val="CETemail"/>
        <w:rPr>
          <w:lang w:val="fr-FR"/>
        </w:rPr>
      </w:pPr>
      <w:hyperlink r:id="rId10" w:history="1">
        <w:r w:rsidRPr="00E43CEA">
          <w:rPr>
            <w:rStyle w:val="Collegamentoipertestuale"/>
            <w:lang w:val="fr-FR"/>
          </w:rPr>
          <w:t>corresponding.alessandro.concas@unica.it</w:t>
        </w:r>
      </w:hyperlink>
    </w:p>
    <w:p w14:paraId="6893AF25" w14:textId="26D69643" w:rsidR="00600535" w:rsidRDefault="00FE3C8A" w:rsidP="00FE3C8A">
      <w:pPr>
        <w:pStyle w:val="CETBodytext"/>
        <w:rPr>
          <w:lang w:val="en-GB"/>
        </w:rPr>
      </w:pPr>
      <w:r w:rsidRPr="00FE3C8A">
        <w:rPr>
          <w:lang w:val="en-GB"/>
        </w:rPr>
        <w:t>Synthetic dyes from industrial effluents are persistent pollutants requiring sustainable removal strategies. This study investigates the visible-light photocatalytic degradation of Brilliant Blue R using biogenic silver nanoparticles synthesized from microalgal extracts (</w:t>
      </w:r>
      <w:r w:rsidRPr="00FE3C8A">
        <w:rPr>
          <w:i/>
          <w:iCs/>
          <w:lang w:val="en-GB"/>
        </w:rPr>
        <w:t>Spirulina platensis</w:t>
      </w:r>
      <w:r w:rsidRPr="00FE3C8A">
        <w:rPr>
          <w:lang w:val="en-GB"/>
        </w:rPr>
        <w:t xml:space="preserve"> and </w:t>
      </w:r>
      <w:r w:rsidRPr="00FE3C8A">
        <w:rPr>
          <w:i/>
          <w:iCs/>
          <w:lang w:val="en-GB"/>
        </w:rPr>
        <w:t>Chlorella vulgaris</w:t>
      </w:r>
      <w:r w:rsidRPr="00FE3C8A">
        <w:rPr>
          <w:lang w:val="en-GB"/>
        </w:rPr>
        <w:t>), reporting both experimental results and a hybrid modeling approach.</w:t>
      </w:r>
      <w:r>
        <w:rPr>
          <w:lang w:val="en-GB"/>
        </w:rPr>
        <w:t xml:space="preserve"> </w:t>
      </w:r>
      <w:r w:rsidRPr="00FE3C8A">
        <w:rPr>
          <w:lang w:val="en-GB"/>
        </w:rPr>
        <w:t>Experimental analyses confirmed the effectiveness of the synthesized nanoparticles and their favorable physicochemical properties for photocatalytic applications. A simplified mechanistic model describing adsorption–desorption and degradation kinetics was developed to estimate key parameters, which were subsequently used to train artificial neural networks linking operating conditions to degradation performance.</w:t>
      </w:r>
      <w:r>
        <w:rPr>
          <w:lang w:val="en-GB"/>
        </w:rPr>
        <w:t xml:space="preserve"> </w:t>
      </w:r>
      <w:r w:rsidRPr="00FE3C8A">
        <w:rPr>
          <w:lang w:val="en-GB"/>
        </w:rPr>
        <w:t>To address limited datasets, a Gaussian-noise-based augmentation strategy was introduced, significantly improving predictive accuracy.</w:t>
      </w:r>
      <w:r w:rsidR="0023088E">
        <w:rPr>
          <w:lang w:val="en-GB"/>
        </w:rPr>
        <w:t xml:space="preserve"> </w:t>
      </w:r>
      <w:r w:rsidRPr="00FE3C8A">
        <w:rPr>
          <w:lang w:val="en-GB"/>
        </w:rPr>
        <w:t>The proposed framework integrates experimental evidence with mechanistic and data-driven modeling, providing a reliable tool for optimizing sustainable photocatalytic processes based on microalgae-derived nanomaterials.</w:t>
      </w:r>
    </w:p>
    <w:p w14:paraId="476B2F2E" w14:textId="77777777" w:rsidR="00600535" w:rsidRPr="00B57B36" w:rsidRDefault="00600535" w:rsidP="00600535">
      <w:pPr>
        <w:pStyle w:val="CETHeading1"/>
        <w:rPr>
          <w:lang w:val="en-GB"/>
        </w:rPr>
      </w:pPr>
      <w:r w:rsidRPr="00B57B36">
        <w:rPr>
          <w:lang w:val="en-GB"/>
        </w:rPr>
        <w:t>Introduction</w:t>
      </w:r>
    </w:p>
    <w:p w14:paraId="58EBBE64" w14:textId="5F205E2C" w:rsidR="00B026AE" w:rsidRPr="00B026AE" w:rsidRDefault="00B026AE" w:rsidP="00B026AE">
      <w:pPr>
        <w:pStyle w:val="CETBodytext"/>
        <w:rPr>
          <w:lang w:val="en-GB"/>
        </w:rPr>
      </w:pPr>
      <w:r w:rsidRPr="00B026AE">
        <w:rPr>
          <w:lang w:val="en-GB"/>
        </w:rPr>
        <w:t>Synthetic dyes widely used in textile, paper, and pharmaceutical industries are frequently discharged into wastewater, where their persistence and toxicity pose significant environmental and health risks</w:t>
      </w:r>
      <w:r w:rsidR="00A70DAA">
        <w:rPr>
          <w:lang w:val="en-GB"/>
        </w:rPr>
        <w:t xml:space="preserve"> (Zedda et al., 2026)</w:t>
      </w:r>
      <w:r w:rsidRPr="00B026AE">
        <w:rPr>
          <w:lang w:val="en-GB"/>
        </w:rPr>
        <w:t>. These concerns highlight the need for sustainable and efficient treatment technologies</w:t>
      </w:r>
      <w:r w:rsidR="00B509CD">
        <w:rPr>
          <w:lang w:val="en-GB"/>
        </w:rPr>
        <w:t xml:space="preserve"> </w:t>
      </w:r>
      <w:r w:rsidR="00B509CD" w:rsidRPr="00B509CD">
        <w:rPr>
          <w:lang w:val="en-GB"/>
        </w:rPr>
        <w:fldChar w:fldCharType="begin" w:fldLock="1"/>
      </w:r>
      <w:r w:rsidR="00EE6DE8">
        <w:rPr>
          <w:lang w:val="en-GB"/>
        </w:rPr>
        <w:instrText>ADDIN CSL_CITATION {"citationItems":[{"id":"ITEM-1","itemData":{"DOI":"10.1080/01932691.2021.1947847","ISSN":"15322351","abstract":"Treatment of colored wastewater is one of the important challenges of environmental engineers. Adsorption is one of the most efficient methods in dye removal. The aim of this study was to prepare a magnetic adsorbent with Fe3O4 nanoparticles as an inexpensive adsorbent to remove basic violet 16 (BV16) dye from aqueous media. In this experimental study, the effect of parameters such as initial solution pH, adsorbent dose, initial dye concentration, and contact time on the adsorption rate was investigated. The residual dye concentration was read at 545 nm by using a spectrophotometer. Physical, surface, and magnetic properties of the adsorbent were analyzed using Brunauer–Emmett–Teller (BET), Vibrating-Sample Magnetometer (VSM), X-ray Powder Diffraction (XRD), Fourier Transform Infrared Spectroscopy (FTIR), and Scanning electron microscope (SEM) techniques. Adsorption data were described by Langmuir and Freundlich isotherms and reaction kinetics. The results showed that with increasing the contact time and increasing the adsorbent dose, the amount of dye removal by the adsorbent increased and with decreasing the initial concentration of dye, the amount of removal increased. The results also showed that with increasing pH, the removal efficiency of the process increased linearly. According to resuls, the highest BV16 dye adsorption efficiency was 99%, which was obtained at determined values of studied parameters including pH of 7, adsorbent dose: of 0.5 g/L, initial BV16 dye concentration of 25 mg/l, mixing speed of 250 rpm, and contact time of 45 min. Moreover, according to results, removal of BV16 dye using adsorption onto clinoptilolite zeolite magnetized with Fe3O4 nanoparticles obey a second-order kinetic model and Freundlich model (R2&gt;0.99). According to SEM images, the adsorbent surface used is non-uniform and has many pores and also the morphology of the adsorbent surface is preserved after loading of Fe3O4 nanoparticles. According to VSM images, the magnetic saturation in composite is 18.11 emu/g. Results hihlighted the adsorption of BV16 dye onto clinoptilolite zeolite magnetized with Fe3O4 nanoparticles was a useful technique and could provide high efficiency in removal of studied dye from aqueous solutionsl; thus, it mabe be effective and useful in removal other similar pollutants.","author":[{"dropping-particle":"","family":"Peyghami","given":"Afsaneh","non-dropping-particle":"","parse-names":false,"suffix":""},{"dropping-particle":"","family":"Moharrami","given":"Amir","non-dropping-particle":"","parse-names":false,"suffix":""},{"dropping-particle":"","family":"Rashtbari","given":"Yousef","non-dropping-particle":"","parse-names":false,"suffix":""},{"dropping-particle":"","family":"Afshin","given":"Shirin","non-dropping-particle":"","parse-names":false,"suffix":""},{"dropping-particle":"","family":"Vosuoghi","given":"Mehdi","non-dropping-particle":"","parse-names":false,"suffix":""},{"dropping-particle":"","family":"Dargahi","given":"Abdollah","non-dropping-particle":"","parse-names":false,"suffix":""}],"container-title":"Journal of Dispersion Science and Technology","id":"ITEM-1","issued":{"date-parts":[["2023"]]},"title":"Evaluation of the efficiency of magnetized clinoptilolite zeolite with Fe3O4 nanoparticles on the removal of basic violet 16 (BV16) dye from aqueous solutions","type":"article-journal"},"uris":["http://www.mendeley.com/documents/?uuid=19ffaa14-0657-47a0-9fc4-b96731b48446"]}],"mendeley":{"formattedCitation":"(Peyghami et al., 2023)","plainTextFormattedCitation":"(Peyghami et al., 2023)","previouslyFormattedCitation":"(Peyghami et al., 2023)"},"properties":{"noteIndex":0},"schema":"https://github.com/citation-style-language/schema/raw/master/csl-citation.json"}</w:instrText>
      </w:r>
      <w:r w:rsidR="00B509CD" w:rsidRPr="00B509CD">
        <w:rPr>
          <w:lang w:val="en-GB"/>
        </w:rPr>
        <w:fldChar w:fldCharType="separate"/>
      </w:r>
      <w:r w:rsidR="000965F3" w:rsidRPr="000965F3">
        <w:rPr>
          <w:noProof/>
          <w:lang w:val="en-GB"/>
        </w:rPr>
        <w:t>(Peyghami et al., 2023)</w:t>
      </w:r>
      <w:r w:rsidR="00B509CD" w:rsidRPr="00B509CD">
        <w:rPr>
          <w:lang w:val="en-GB"/>
        </w:rPr>
        <w:fldChar w:fldCharType="end"/>
      </w:r>
      <w:r w:rsidRPr="00B026AE">
        <w:rPr>
          <w:lang w:val="en-GB"/>
        </w:rPr>
        <w:t>.</w:t>
      </w:r>
      <w:r w:rsidR="00B509CD">
        <w:rPr>
          <w:lang w:val="en-GB"/>
        </w:rPr>
        <w:t xml:space="preserve"> </w:t>
      </w:r>
      <w:r w:rsidRPr="00B026AE">
        <w:rPr>
          <w:lang w:val="en-GB"/>
        </w:rPr>
        <w:t xml:space="preserve">Photocatalytic degradation </w:t>
      </w:r>
      <w:r w:rsidR="00F70264">
        <w:rPr>
          <w:lang w:val="en-GB"/>
        </w:rPr>
        <w:t xml:space="preserve">is </w:t>
      </w:r>
      <w:r w:rsidRPr="00B026AE">
        <w:rPr>
          <w:lang w:val="en-GB"/>
        </w:rPr>
        <w:t>a promising advanced oxidation process, exploiting semiconductor materials to generate reactive species capable of mineralizing organic pollutants. Metallic nanoparticles</w:t>
      </w:r>
      <w:r>
        <w:rPr>
          <w:lang w:val="en-GB"/>
        </w:rPr>
        <w:t xml:space="preserve"> (NPs)</w:t>
      </w:r>
      <w:r w:rsidRPr="00B026AE">
        <w:rPr>
          <w:lang w:val="en-GB"/>
        </w:rPr>
        <w:t xml:space="preserve">, due to their high surface area and </w:t>
      </w:r>
      <w:r w:rsidR="00B509CD">
        <w:rPr>
          <w:lang w:val="en-GB"/>
        </w:rPr>
        <w:t>distinctive</w:t>
      </w:r>
      <w:r w:rsidRPr="00B026AE">
        <w:rPr>
          <w:lang w:val="en-GB"/>
        </w:rPr>
        <w:t xml:space="preserve"> physicochemical properties, enhance adsorption and catalytic performance. While metal oxides such as TiO</w:t>
      </w:r>
      <w:r w:rsidRPr="00B026AE">
        <w:rPr>
          <w:rFonts w:ascii="Cambria Math" w:hAnsi="Cambria Math" w:cs="Cambria Math"/>
          <w:lang w:val="en-GB"/>
        </w:rPr>
        <w:t>₂</w:t>
      </w:r>
      <w:r w:rsidRPr="00B026AE">
        <w:rPr>
          <w:lang w:val="en-GB"/>
        </w:rPr>
        <w:t xml:space="preserve"> and ZnO are widely used, their activation is mainly limited to UV light</w:t>
      </w:r>
      <w:r w:rsidR="00BA0C67">
        <w:rPr>
          <w:lang w:val="en-GB"/>
        </w:rPr>
        <w:t xml:space="preserve"> </w:t>
      </w:r>
      <w:r w:rsidR="00BA0C67" w:rsidRPr="008365C5">
        <w:rPr>
          <w:lang w:val="en-GB"/>
        </w:rPr>
        <w:fldChar w:fldCharType="begin" w:fldLock="1"/>
      </w:r>
      <w:r w:rsidR="00EE6DE8">
        <w:rPr>
          <w:lang w:val="en-GB"/>
        </w:rPr>
        <w:instrText>ADDIN CSL_CITATION {"citationItems":[{"id":"ITEM-1","itemData":{"DOI":"10.1016/j.chemosphere.2015.10.060","ISSN":"18791298","PMID":"26519796","abstract":"In this paper, undoped and several differently doped (with Fe3+, N-, and γ-Al2O3) TiO2-nanoparticle-based photocatalysts and those covered with ultrasmall gold nanoparticles (AuNPs) were engineered. Their photocatalytic performance was studied by utilizing them for the liquid-phase decomposition of the model dye methylene blue (MB) under visible-light irradiation. The structural, morphological, physico-chemical, and optical properties of the photocatalysts were investigated using X-ray diffraction, X-ray photoelectron spectroscopy, diffuse-reflectance UV-Vis absorption spectroscopy, Raman spectroscopy and transmission electron microscopy. Photodegradation kinetics of MB was followed by measuring the absorbance of MB at 664 nm at different irradiation times, whereas the mineralization of MB was examined by determining the total organic carbon (TOC) content. The photocatalytic activity of TiO2 nanoparticles was shown to be significantly increased by introducing dopants into the crystal lattice and depositing AuNPs on the surface. Among those, γ-Al2O3 doped TiO2 nanoparticles covered with deposited AuNPs show the best photocatalytic performance. Altogether, the here engineered photocatalysts as consisting of doped TiO2 nanoparticles decorated with AuNPs establish novel three-component nanocomposite systems, where synergetic interactions between surface AuNPs, dopants and TiO2 were shown to significantly enhance the photocatalytic activity.","author":[{"dropping-particle":"","family":"Pal","given":"Nabin Kumar","non-dropping-particle":"","parse-names":false,"suffix":""},{"dropping-particle":"","family":"Kryschi","given":"Carola","non-dropping-particle":"","parse-names":false,"suffix":""}],"container-title":"Chemosphere","id":"ITEM-1","issued":{"date-parts":[["2016"]]},"title":"Improved photocatalytic activity of gold decorated differently doped TiO2 nanoparticles: A comparative study","type":"article-journal"},"uris":["http://www.mendeley.com/documents/?uuid=84261058-6318-4c86-b584-c4780726f94c","http://www.mendeley.com/documents/?uuid=f3cdbae1-4eb2-4424-ada6-f3d622537f74"]}],"mendeley":{"formattedCitation":"(Pal and Kryschi, 2016)","plainTextFormattedCitation":"(Pal and Kryschi, 2016)","previouslyFormattedCitation":"(Pal and Kryschi, 2016)"},"properties":{"noteIndex":0},"schema":"https://github.com/citation-style-language/schema/raw/master/csl-citation.json"}</w:instrText>
      </w:r>
      <w:r w:rsidR="00BA0C67" w:rsidRPr="008365C5">
        <w:rPr>
          <w:lang w:val="en-GB"/>
        </w:rPr>
        <w:fldChar w:fldCharType="separate"/>
      </w:r>
      <w:r w:rsidR="000965F3" w:rsidRPr="000965F3">
        <w:rPr>
          <w:noProof/>
          <w:lang w:val="en-GB"/>
        </w:rPr>
        <w:t>(Pal and Kryschi, 2016)</w:t>
      </w:r>
      <w:r w:rsidR="00BA0C67" w:rsidRPr="008365C5">
        <w:rPr>
          <w:lang w:val="en-GB"/>
        </w:rPr>
        <w:fldChar w:fldCharType="end"/>
      </w:r>
      <w:r w:rsidRPr="00B026AE">
        <w:rPr>
          <w:lang w:val="en-GB"/>
        </w:rPr>
        <w:t>. In contrast, silver nanoparticles (AgNPs) offer improved activity under visible light, making them more suitable for solar-driven applications</w:t>
      </w:r>
      <w:r w:rsidR="00BA0C67">
        <w:rPr>
          <w:lang w:val="en-GB"/>
        </w:rPr>
        <w:t xml:space="preserve"> </w:t>
      </w:r>
      <w:r w:rsidR="00BA0C67" w:rsidRPr="00BA0C67">
        <w:rPr>
          <w:lang w:val="en-GB"/>
        </w:rPr>
        <w:fldChar w:fldCharType="begin" w:fldLock="1"/>
      </w:r>
      <w:r w:rsidR="00EE6DE8">
        <w:rPr>
          <w:lang w:val="en-GB"/>
        </w:rPr>
        <w:instrText>ADDIN CSL_CITATION {"citationItems":[{"id":"ITEM-1","itemData":{"DOI":"10.1016/j.matpr.2018.07.059","ISSN":"22147853","abstract":"In this study, discrete Ag0 nanoparticles (10-40 nm) were synthesized by a simple electrochemical method in Cymbopogon nardus leaves extract as a medium. The leaves extract remarkably reduce the Ag ion to produce Ag0 nanoparticles without any agglomeration. Its crystallinity, morphology, and functional characteristics were analyzed by using X-ray diffractometer, transmission electron microscope, and Fourier-transform infrared spectrometer, respectively. The characterization results verified that Cymbopogon nardus leaves extract containing flavonoids plays an important role in reducing the Ag0 nanoparticles in the electrochemical cell. The activity of the synthesized Ag0 nanoparticles was tested on a photodegradation of methylene blue (MB). The calcined Ag0 nanoparticles give higher degradation percentage of MB (92%) as compared to the uncalcined Ag0, operating in pH 5, with a reaction time of 180 min, at 30°C, using 0.02 g L-1 of catalyst dosage and 10 mg L-1 of MB initial concentration. A reusability study showed that the catalyst was still stable after five subsequent reactions. The results provide strong evidence to support the potential use plant-based extracts to synthesize nano-sized photocatalyst that can be used to treat organic pollutants such as MB.","author":[{"dropping-particle":"","family":"Syahirah Kamarudin","given":"Nur","non-dropping-particle":"","parse-names":false,"suffix":""},{"dropping-particle":"","family":"Jusoh","given":"Rohayu","non-dropping-particle":"","parse-names":false,"suffix":""},{"dropping-particle":"","family":"Dina Setiabudi","given":"Herma","non-dropping-particle":"","parse-names":false,"suffix":""},{"dropping-particle":"","family":"Fateha Sukor","given":"Nuramira","non-dropping-particle":"","parse-names":false,"suffix":""}],"container-title":"Materials Today: Proceedings","id":"ITEM-1","issued":{"date-parts":[["2018"]]},"title":"Photodegradation of methylene blue using phyto-mediated synthesis of silver nanoparticles: Effect of calcination treatment","type":"paper-conference"},"uris":["http://www.mendeley.com/documents/?uuid=f52302db-3c85-4b24-91b5-dea3c179cacb","http://www.mendeley.com/documents/?uuid=26237145-5d6c-4fa7-8135-f0596a461dd5"]}],"mendeley":{"formattedCitation":"(Syahirah Kamarudin et al., 2018)","plainTextFormattedCitation":"(Syahirah Kamarudin et al., 2018)","previouslyFormattedCitation":"(Syahirah Kamarudin et al., 2018)"},"properties":{"noteIndex":0},"schema":"https://github.com/citation-style-language/schema/raw/master/csl-citation.json"}</w:instrText>
      </w:r>
      <w:r w:rsidR="00BA0C67" w:rsidRPr="00BA0C67">
        <w:rPr>
          <w:lang w:val="en-GB"/>
        </w:rPr>
        <w:fldChar w:fldCharType="separate"/>
      </w:r>
      <w:r w:rsidR="000965F3" w:rsidRPr="000965F3">
        <w:rPr>
          <w:noProof/>
          <w:lang w:val="en-GB"/>
        </w:rPr>
        <w:t>(Syahirah Kamarudin et al., 2018)</w:t>
      </w:r>
      <w:r w:rsidR="00BA0C67" w:rsidRPr="00BA0C67">
        <w:rPr>
          <w:lang w:val="en-GB"/>
        </w:rPr>
        <w:fldChar w:fldCharType="end"/>
      </w:r>
      <w:r w:rsidRPr="00B026AE">
        <w:rPr>
          <w:lang w:val="en-GB"/>
        </w:rPr>
        <w:t>.</w:t>
      </w:r>
    </w:p>
    <w:p w14:paraId="51B4F097" w14:textId="5862F7B7" w:rsidR="00B026AE" w:rsidRPr="00B026AE" w:rsidRDefault="00B026AE" w:rsidP="00B026AE">
      <w:pPr>
        <w:pStyle w:val="CETBodytext"/>
        <w:rPr>
          <w:lang w:val="en-GB"/>
        </w:rPr>
      </w:pPr>
      <w:r w:rsidRPr="00B026AE">
        <w:rPr>
          <w:lang w:val="en-GB"/>
        </w:rPr>
        <w:t xml:space="preserve">Conventional chemical synthesis of AgNPs, </w:t>
      </w:r>
      <w:r w:rsidR="00B509CD">
        <w:rPr>
          <w:lang w:val="en-GB"/>
        </w:rPr>
        <w:t>albeit</w:t>
      </w:r>
      <w:r w:rsidRPr="00B026AE">
        <w:rPr>
          <w:lang w:val="en-GB"/>
        </w:rPr>
        <w:t xml:space="preserve"> effective, often involves toxic reagents, prompting increasing interest in greener alternatives</w:t>
      </w:r>
      <w:r w:rsidR="00351B74">
        <w:rPr>
          <w:lang w:val="en-GB"/>
        </w:rPr>
        <w:t xml:space="preserve"> </w:t>
      </w:r>
      <w:r w:rsidR="00351B74" w:rsidRPr="00351B74">
        <w:rPr>
          <w:lang w:val="en-GB"/>
        </w:rPr>
        <w:fldChar w:fldCharType="begin" w:fldLock="1"/>
      </w:r>
      <w:r w:rsidR="00351B74" w:rsidRPr="00351B74">
        <w:rPr>
          <w:lang w:val="en-GB"/>
        </w:rPr>
        <w:instrText>ADDIN CSL_CITATION {"citationItems":[{"id":"ITEM-1","itemData":{"DOI":"10.1039/D2MA01105K","ISSN":"26335409","abstract":"The advent of nanotechnology profoundly transformed the pharmaceutical sciences and greatly enhanced the diagnostics and treatment of various diseases that threaten human life. Several metallic nanoparticles are extensively used as nanomedicines due to their potential therapeutic applications. Among them, silver nanoparticles are remarkable due to their unique chemical and physical properties. This review discusses types of nanoparticles, and green synthesis methods along with their reduction mechanisms, involving economically viable reducing materials like algae, seaweeds and flowers. Apart from environment-friendly methods, several biological activities such as wound healing, antibacterial, antifungal, anti-tumour, anti-viral, etc., are described in detail. Consequently, we have focused on how silver nanoparticles enhance targeted drug delivery and the mechanism of drug release along with their toxic effects.","author":[{"dropping-particle":"","family":"Vidyasagar","given":"None","non-dropping-particle":"","parse-names":false,"suffix":""},{"dropping-particle":"","family":"Patel","given":"Ritu Raj","non-dropping-particle":"","parse-names":false,"suffix":""},{"dropping-particle":"","family":"Singh","given":"Sudhir Kumar","non-dropping-particle":"","parse-names":false,"suffix":""},{"dropping-particle":"","family":"Singh","given":"Meenakshi","non-dropping-particle":"","parse-names":false,"suffix":""}],"container-title":"Materials Advances","id":"ITEM-1","issue":"8","issued":{"date-parts":[["2023","4"]]},"page":"1831-1849","publisher":"Royal Society of Chemistry","title":"Green synthesis of silver nanoparticles: methods, biological applications, delivery and toxicity","type":"article-journal","volume":"4"},"uris":["http://www.mendeley.com/documents/?uuid=1ae2bd9d-3960-428d-af55-282504484283"]}],"mendeley":{"formattedCitation":"(Vidyasagar et al., 2023)","plainTextFormattedCitation":"(Vidyasagar et al., 2023)","previouslyFormattedCitation":"(Vidyasagar et al., 2023)"},"properties":{"noteIndex":0},"schema":"https://github.com/citation-style-language/schema/raw/master/csl-citation.json"}</w:instrText>
      </w:r>
      <w:r w:rsidR="00351B74" w:rsidRPr="00351B74">
        <w:rPr>
          <w:lang w:val="en-GB"/>
        </w:rPr>
        <w:fldChar w:fldCharType="separate"/>
      </w:r>
      <w:r w:rsidR="00351B74" w:rsidRPr="00351B74">
        <w:rPr>
          <w:noProof/>
          <w:lang w:val="en-GB"/>
        </w:rPr>
        <w:t>(Vidyasagar et al., 2023)</w:t>
      </w:r>
      <w:r w:rsidR="00351B74" w:rsidRPr="00351B74">
        <w:rPr>
          <w:lang w:val="en-GB"/>
        </w:rPr>
        <w:fldChar w:fldCharType="end"/>
      </w:r>
      <w:r w:rsidR="00351B74" w:rsidRPr="00351B74">
        <w:rPr>
          <w:lang w:val="en-GB"/>
        </w:rPr>
        <w:t>.</w:t>
      </w:r>
      <w:r w:rsidRPr="00B026AE">
        <w:rPr>
          <w:lang w:val="en-GB"/>
        </w:rPr>
        <w:t xml:space="preserve"> In this context, microalgae-based synthesis represents a sustainable approach, as algal metabolites can act as both reducing and stabilizing agents</w:t>
      </w:r>
      <w:r w:rsidR="00315BC6">
        <w:rPr>
          <w:lang w:val="en-GB"/>
        </w:rPr>
        <w:t xml:space="preserve"> </w:t>
      </w:r>
      <w:r w:rsidR="000965F3" w:rsidRPr="000965F3">
        <w:rPr>
          <w:lang w:val="en-GB"/>
        </w:rPr>
        <w:t>(Sidorowicz et al., 2024</w:t>
      </w:r>
      <w:r w:rsidR="003A2687">
        <w:rPr>
          <w:lang w:val="en-GB"/>
        </w:rPr>
        <w:t>a</w:t>
      </w:r>
      <w:r w:rsidR="000965F3" w:rsidRPr="000965F3">
        <w:rPr>
          <w:lang w:val="en-GB"/>
        </w:rPr>
        <w:t>)</w:t>
      </w:r>
      <w:r w:rsidRPr="00B026AE">
        <w:rPr>
          <w:lang w:val="en-GB"/>
        </w:rPr>
        <w:t>. Previous studies have demonstrated the effectiveness of AgNPs synthesized from microalgal extracts in degrading dyes such as Brilliant Blue R (BBR), although identifying optimal operating conditions remains challenging due to experimental limitations</w:t>
      </w:r>
      <w:r w:rsidR="00315BC6">
        <w:rPr>
          <w:lang w:val="en-GB"/>
        </w:rPr>
        <w:t xml:space="preserve"> </w:t>
      </w:r>
      <w:r w:rsidR="00315BC6">
        <w:rPr>
          <w:lang w:val="en-GB"/>
        </w:rPr>
        <w:fldChar w:fldCharType="begin" w:fldLock="1"/>
      </w:r>
      <w:r w:rsidR="00EE6DE8">
        <w:rPr>
          <w:lang w:val="en-GB"/>
        </w:rPr>
        <w:instrText>ADDIN CSL_CITATION {"citationItems":[{"id":"ITEM-1","itemData":{"DOI":"10.3390/su16208758","author":[{"dropping-particle":"","family":"Sidorowicz","given":"A","non-dropping-particle":"","parse-names":false,"suffix":""},{"dropping-particle":"","family":"Fais","given":"G","non-dropping-particle":"","parse-names":false,"suffix":""},{"dropping-particle":"","family":"Desogus","given":"F","non-dropping-particle":"","parse-names":false,"suffix":""},{"dropping-particle":"","family":"Loy","given":"F","non-dropping-particle":"","parse-names":false,"suffix":""},{"dropping-particle":"","family":"Licheri","given":"R","non-dropping-particle":"","parse-names":false,"suffix":""},{"dropping-particle":"","family":"Lai","given":"N","non-dropping-particle":"","parse-names":false,"suffix":""},{"dropping-particle":"","family":"Cao","given":"G","non-dropping-particle":"","parse-names":false,"suffix":""},{"dropping-particle":"","family":"Concas","given":"A","non-dropping-particle":"","parse-names":false,"suffix":""}],"container-title":"Sustainability (Switzerland)","id":"ITEM-1","issue":"20","issued":{"date-parts":[["2024"]]},"title":"Eco-Friendly Photocatalytic Treatment of Dyes with Ag Nanoparticles Obtained through Sustainable Process Involving Spirulina platensis","type":"article-journal","volume":"16"},"uris":["http://www.mendeley.com/documents/?uuid=f1c67da8-1b30-4ca1-9614-f5658843e714"]},{"id":"ITEM-2","itemData":{"DOI":"10.1007/s11356-024-34967-3","ISSN":"16147499","abstract":"Synthesis of silver nanoparticles (Ag NPs) using microalgae is gaining recognition for its environmentally friendly and cost-effective nature while maintaining high activity of NPs. In the present study, Ag NPs were synthesized using a methanolic extract of Chlorella vulgaris and subjected to calcination. The X-ray diffraction (XRD) analysis showed a crystalline nature of the products with Ag2O and Ag phases with an average crystalline size of 16.07 nm before calcination and an Ag phase with 24.61 nm crystalline size after calcination. Fourier transform infrared spectroscopy (FTIR) revealed the capping functional groups on Ag NPs, while scanning electron microscopy (SEM) displayed their irregular morphology and agglomeration after calcination. The organic coating was examined by energy-dispersive X-ray spectroscopy (EDX) and thermogravimetric (TGA) analyses, confirming the involvement of the metabolites. The UV–Vis analysis showed a difference in optical properties due to calcination. Synthesized Ag NPs were applied for the photodegradation of hazardous dye Brilliant Blue R in visible light. Different values of light intensity, catalyst dose, initial dye concentration, and pH were tested to identify the optimal set of operating conditions. The highest degradation efficiency of 90.6% with an apparent rate constant of 0.04402 min−1 was achieved after 90 min of irradiation in the highest tested catalyst dosage.","author":[{"dropping-particle":"","family":"Sidorowicz","given":"Agnieszka","non-dropping-particle":"","parse-names":false,"suffix":""},{"dropping-particle":"","family":"Fais","given":"Giacomo","non-dropping-particle":"","parse-names":false,"suffix":""},{"dropping-particle":"","family":"Desogus","given":"Francesco","non-dropping-particle":"","parse-names":false,"suffix":""},{"dropping-particle":"","family":"Loy","given":"Francesco","non-dropping-particle":"","parse-names":false,"suffix":""},{"dropping-particle":"","family":"Licheri","given":"Roberta","non-dropping-particle":"","parse-names":false,"suffix":""},{"dropping-particle":"","family":"Lai","given":"Nicola","non-dropping-particle":"","parse-names":false,"suffix":""},{"dropping-particle":"","family":"Locci","given":"Antonio Mario","non-dropping-particle":"","parse-names":false,"suffix":""},{"dropping-particle":"","family":"Cincotti","given":"Alberto","non-dropping-particle":"","parse-names":false,"suffix":""},{"dropping-particle":"","family":"Orrù","given":"Roberto","non-dropping-particle":"","parse-names":false,"suffix":""},{"dropping-particle":"","family":"Cao","given":"Giacomo","non-dropping-particle":"","parse-names":false,"suffix":""},{"dropping-particle":"","family":"Concas","given":"Alessandro","non-dropping-particle":"","parse-names":false,"suffix":""}],"container-title":"Environmental Science and Pollution Research","id":"ITEM-2","issued":{"date-parts":[["2024"]]},"title":"Optimization of Brilliant Blue R photocatalytic degradation by silver nanoparticles synthesized using Chlorella vulgaris","type":"article-journal"},"suppress-author":1,"uris":["http://www.mendeley.com/documents/?uuid=c64c4cd9-daad-4c1c-b7ef-d12e7e01abe9"]},{"id":"ITEM-3","itemData":{"DOI":"10.1016/j.jwpe.2024.106831","author":[{"dropping-particle":"","family":"Sidorowicz","given":"A","non-dropping-particle":"","parse-names":false,"suffix":""},{"dropping-particle":"","family":"Atzori","given":"F","non-dropping-particle":"","parse-names":false,"suffix":""},{"dropping-particle":"","family":"Zedda","given":"F","non-dropping-particle":"","parse-names":false,"suffix":""},{"dropping-particle":"","family":"Fais","given":"G","non-dropping-particle":"","parse-names":false,"suffix":""},{"dropping-particle":"","family":"Loy","given":"F","non-dropping-particle":"","parse-names":false,"suffix":""},{"dropping-particle":"","family":"Licheri","given":"R","non-dropping-particle":"","parse-names":false,"suffix":""},{"dropping-particle":"","family":"Lai","given":"N","non-dropping-particle":"","parse-names":false,"suffix":""},{"dropping-particle":"","family":"Desogus","given":"F","non-dropping-particle":"","parse-names":false,"suffix":""},{"dropping-particle":"","family":"Cao","given":"G","non-dropping-particle":"","parse-names":false,"suffix":""},{"dropping-particle":"","family":"Concas","given":"A","non-dropping-particle":"","parse-names":false,"suffix":""}],"container-title":"Journal of Water Process Engineering","id":"ITEM-3","issued":{"date-parts":[["2025"]]},"note":"Export Date: 05 February 2025","title":"Novel experimental and theoretical study on the synthesis and use of microalgae-derived silver nanomaterials for water purification","type":"article-journal","volume":"69"},"suppress-author":1,"uris":["http://www.mendeley.com/documents/?uuid=2cfbfe93-2e60-4df8-b38e-433511f794ae"]}],"mendeley":{"formattedCitation":"(A Sidorowicz et al., 2024; 2024b; 2025)","manualFormatting":"(Sidorowicz et al., 2024a; 2024b; 2025)","plainTextFormattedCitation":"(A Sidorowicz et al., 2024; 2024b; 2025)","previouslyFormattedCitation":"(A Sidorowicz et al., 2024; 2024b; 2025)"},"properties":{"noteIndex":0},"schema":"https://github.com/citation-style-language/schema/raw/master/csl-citation.json"}</w:instrText>
      </w:r>
      <w:r w:rsidR="00315BC6">
        <w:rPr>
          <w:lang w:val="en-GB"/>
        </w:rPr>
        <w:fldChar w:fldCharType="separate"/>
      </w:r>
      <w:r w:rsidR="00315BC6" w:rsidRPr="00315BC6">
        <w:rPr>
          <w:noProof/>
        </w:rPr>
        <w:t xml:space="preserve">(Sidorowicz </w:t>
      </w:r>
      <w:r w:rsidR="00315BC6" w:rsidRPr="000965F3">
        <w:rPr>
          <w:iCs/>
          <w:noProof/>
        </w:rPr>
        <w:t>et al.</w:t>
      </w:r>
      <w:r w:rsidR="00315BC6" w:rsidRPr="00315BC6">
        <w:rPr>
          <w:noProof/>
        </w:rPr>
        <w:t>, 2024a; 2024b; 2025)</w:t>
      </w:r>
      <w:r w:rsidR="00315BC6">
        <w:rPr>
          <w:lang w:val="en-GB"/>
        </w:rPr>
        <w:fldChar w:fldCharType="end"/>
      </w:r>
      <w:r w:rsidRPr="00315BC6">
        <w:t>.</w:t>
      </w:r>
      <w:r w:rsidR="00315BC6" w:rsidRPr="00315BC6">
        <w:t xml:space="preserve"> </w:t>
      </w:r>
      <w:r w:rsidRPr="00B026AE">
        <w:rPr>
          <w:lang w:val="en-GB"/>
        </w:rPr>
        <w:t xml:space="preserve">To address this issue, this work combines experimental investigation with advanced modeling. A simplified deterministic model is </w:t>
      </w:r>
      <w:r w:rsidRPr="00B026AE">
        <w:rPr>
          <w:lang w:val="en-GB"/>
        </w:rPr>
        <w:lastRenderedPageBreak/>
        <w:t xml:space="preserve">developed to describe photocatalytic degradation by accounting for adsorption–desorption equilibrium and reaction kinetics, while retaining analytical tractability. </w:t>
      </w:r>
      <w:r w:rsidR="00315BC6" w:rsidRPr="00315BC6">
        <w:rPr>
          <w:lang w:val="en-GB"/>
        </w:rPr>
        <w:t>Building on this, a machine learning model based on gradient boosting is developed to relate key operating variables</w:t>
      </w:r>
      <w:r w:rsidR="00315BC6">
        <w:rPr>
          <w:lang w:val="en-GB"/>
        </w:rPr>
        <w:t xml:space="preserve">, </w:t>
      </w:r>
      <w:r w:rsidR="00315BC6" w:rsidRPr="00315BC6">
        <w:rPr>
          <w:lang w:val="en-GB"/>
        </w:rPr>
        <w:t>such as light intensity, dye concentration, nanoparticle dosage, and pH</w:t>
      </w:r>
      <w:r w:rsidR="00315BC6">
        <w:rPr>
          <w:lang w:val="en-GB"/>
        </w:rPr>
        <w:t xml:space="preserve">, </w:t>
      </w:r>
      <w:r w:rsidR="00315BC6" w:rsidRPr="00315BC6">
        <w:rPr>
          <w:lang w:val="en-GB"/>
        </w:rPr>
        <w:t>to kinetic parameters, ensuring accurate and physically consistent predictions.</w:t>
      </w:r>
    </w:p>
    <w:p w14:paraId="23F86FEF" w14:textId="38DF0C44" w:rsidR="00600535" w:rsidRDefault="00B026AE" w:rsidP="00B026AE">
      <w:pPr>
        <w:pStyle w:val="CETBodytext"/>
        <w:rPr>
          <w:lang w:val="en-GB"/>
        </w:rPr>
      </w:pPr>
      <w:r w:rsidRPr="00B026AE">
        <w:rPr>
          <w:lang w:val="en-GB"/>
        </w:rPr>
        <w:t>To overcome the scarcity of experimental data, a physics-consistent data augmentation strategy is introduced, incorporating uncertainty in both inputs and model-derived parameters</w:t>
      </w:r>
      <w:r w:rsidR="00315BC6">
        <w:rPr>
          <w:lang w:val="en-GB"/>
        </w:rPr>
        <w:t xml:space="preserve"> </w:t>
      </w:r>
      <w:r w:rsidR="00315BC6" w:rsidRPr="00315BC6">
        <w:rPr>
          <w:lang w:val="en-GB"/>
        </w:rPr>
        <w:fldChar w:fldCharType="begin" w:fldLock="1"/>
      </w:r>
      <w:r w:rsidR="00EE6DE8">
        <w:rPr>
          <w:lang w:val="en-GB"/>
        </w:rPr>
        <w:instrText>ADDIN CSL_CITATION {"citationItems":[{"id":"ITEM-1","itemData":{"DOI":"10.3303/CET24109094","ISBN":"9791281206090","ISSN":"22839216","abstract":"Microalgae play a crucial role in various sectors, such as biofuel production or environmental monitoring. The ability to accurately classify and analyze microalgae species from optical images is vital for advancing research and applications. Generally, the data regarding the population of microalgae constitute a valuable input for machine-learning algorithms whose aim is to classify real data derived from optical images of microalgae cells. However, obtaining a diverse dataset of microalgae populations to train machine-learning models can be challenging and resource-intensive. This paper presents a machine-learning algorithm based on a dataset of algal records generated by a simulation model. The simulation model uses a combination of mathematical models, probabilistic distributions, and biological knowledge to create realistic data on microalgae populations. The dataset generated from the developed model serves as a resource for training and validation of the subsequent machine-learning model proposed for the microalgae classification task. The machine learning model, trained on this synthetic data, can subsequently be applied to efficiently classify and analyze optical images of real microalgae populations, leading to improved precision and reliability in the identification of species useful to produce biofuels.","author":[{"dropping-particle":"","family":"Cosenza","given":"Bartolomeo","non-dropping-particle":"","parse-names":false,"suffix":""},{"dropping-particle":"","family":"Miccio","given":"Michele","non-dropping-particle":"","parse-names":false,"suffix":""},{"dropping-particle":"","family":"Pannocchia","given":"Gabriele","non-dropping-particle":"","parse-names":false,"suffix":""},{"dropping-particle":"","family":"Sammarco","given":"Ignazio","non-dropping-particle":"","parse-names":false,"suffix":""}],"container-title":"Chemical Engineering Transactions","id":"ITEM-1","issue":"January","issued":{"date-parts":[["2024"]]},"page":"559-564","title":"Advanced Simulation Model for Studying Biofuel-Producing Microalgae Populations","type":"article-journal","volume":"109"},"uris":["http://www.mendeley.com/documents/?uuid=59d4cd20-b017-4c99-aebe-97d7cdd31b03","http://www.mendeley.com/documents/?uuid=cc98228f-cc5f-4c73-8457-9e4a090254b6"]}],"mendeley":{"formattedCitation":"(Cosenza et al., 2024)","plainTextFormattedCitation":"(Cosenza et al., 2024)","previouslyFormattedCitation":"(Cosenza et al., 2024)"},"properties":{"noteIndex":0},"schema":"https://github.com/citation-style-language/schema/raw/master/csl-citation.json"}</w:instrText>
      </w:r>
      <w:r w:rsidR="00315BC6" w:rsidRPr="00315BC6">
        <w:rPr>
          <w:lang w:val="en-GB"/>
        </w:rPr>
        <w:fldChar w:fldCharType="separate"/>
      </w:r>
      <w:r w:rsidR="000965F3" w:rsidRPr="000965F3">
        <w:rPr>
          <w:noProof/>
          <w:lang w:val="en-GB"/>
        </w:rPr>
        <w:t>(Cosenza et al., 2024)</w:t>
      </w:r>
      <w:r w:rsidR="00315BC6" w:rsidRPr="00315BC6">
        <w:rPr>
          <w:lang w:val="en-GB"/>
        </w:rPr>
        <w:fldChar w:fldCharType="end"/>
      </w:r>
      <w:r w:rsidRPr="00B026AE">
        <w:rPr>
          <w:lang w:val="en-GB"/>
        </w:rPr>
        <w:t>. This hybrid framework enhances predictive capability while preserving mechanistic interpretability, providing a robust tool for optimizing photocatalytic processes based on sustainable, microalgae-derived nanomaterials.</w:t>
      </w:r>
      <w:r w:rsidR="00600535" w:rsidRPr="00FA5F5F">
        <w:rPr>
          <w:lang w:val="en-GB"/>
        </w:rPr>
        <w:t xml:space="preserve"> </w:t>
      </w:r>
    </w:p>
    <w:p w14:paraId="5741900F" w14:textId="793337DC" w:rsidR="00453E24" w:rsidRDefault="00E97F9E" w:rsidP="00453E24">
      <w:pPr>
        <w:pStyle w:val="CETHeading1"/>
      </w:pPr>
      <w:r>
        <w:t>Materials and methods</w:t>
      </w:r>
    </w:p>
    <w:p w14:paraId="09406386" w14:textId="6EC2FFA0" w:rsidR="00453E24" w:rsidRDefault="005D16C8" w:rsidP="00453E24">
      <w:pPr>
        <w:pStyle w:val="CETBodytext"/>
      </w:pPr>
      <w:r>
        <w:t>AgNPs</w:t>
      </w:r>
      <w:r w:rsidRPr="005D16C8">
        <w:t xml:space="preserve"> were produced via a green synthesis route using microalgal extracts as natural reducing and stabilizing agents, following a previously reported procedure</w:t>
      </w:r>
      <w:r>
        <w:t xml:space="preserve"> </w:t>
      </w:r>
      <w:r>
        <w:fldChar w:fldCharType="begin" w:fldLock="1"/>
      </w:r>
      <w:r w:rsidR="00D52A5D">
        <w:instrText>ADDIN CSL_CITATION {"citationItems":[{"id":"ITEM-1","itemData":{"DOI":"10.1007/s11356-024-34967-3","ISSN":"16147499","abstract":"Synthesis of silver nanoparticles (Ag NPs) using microalgae is gaining recognition for its environmentally friendly and cost-effective nature while maintaining high activity of NPs. In the present study, Ag NPs were synthesized using a methanolic extract of Chlorella vulgaris and subjected to calcination. The X-ray diffraction (XRD) analysis showed a crystalline nature of the products with Ag2O and Ag phases with an average crystalline size of 16.07 nm before calcination and an Ag phase with 24.61 nm crystalline size after calcination. Fourier transform infrared spectroscopy (FTIR) revealed the capping functional groups on Ag NPs, while scanning electron microscopy (SEM) displayed their irregular morphology and agglomeration after calcination. The organic coating was examined by energy-dispersive X-ray spectroscopy (EDX) and thermogravimetric (TGA) analyses, confirming the involvement of the metabolites. The UV–Vis analysis showed a difference in optical properties due to calcination. Synthesized Ag NPs were applied for the photodegradation of hazardous dye Brilliant Blue R in visible light. Different values of light intensity, catalyst dose, initial dye concentration, and pH were tested to identify the optimal set of operating conditions. The highest degradation efficiency of 90.6% with an apparent rate constant of 0.04402 min−1 was achieved after 90 min of irradiation in the highest tested catalyst dosage.","author":[{"dropping-particle":"","family":"Sidorowicz","given":"Agnieszka","non-dropping-particle":"","parse-names":false,"suffix":""},{"dropping-particle":"","family":"Fais","given":"Giacomo","non-dropping-particle":"","parse-names":false,"suffix":""},{"dropping-particle":"","family":"Desogus","given":"Francesco","non-dropping-particle":"","parse-names":false,"suffix":""},{"dropping-particle":"","family":"Loy","given":"Francesco","non-dropping-particle":"","parse-names":false,"suffix":""},{"dropping-particle":"","family":"Licheri","given":"Roberta","non-dropping-particle":"","parse-names":false,"suffix":""},{"dropping-particle":"","family":"Lai","given":"Nicola","non-dropping-particle":"","parse-names":false,"suffix":""},{"dropping-particle":"","family":"Locci","given":"Antonio Mario","non-dropping-particle":"","parse-names":false,"suffix":""},{"dropping-particle":"","family":"Cincotti","given":"Alberto","non-dropping-particle":"","parse-names":false,"suffix":""},{"dropping-particle":"","family":"Orrù","given":"Roberto","non-dropping-particle":"","parse-names":false,"suffix":""},{"dropping-particle":"","family":"Cao","given":"Giacomo","non-dropping-particle":"","parse-names":false,"suffix":""},{"dropping-particle":"","family":"Concas","given":"Alessandro","non-dropping-particle":"","parse-names":false,"suffix":""}],"container-title":"Environmental Science and Pollution Research","id":"ITEM-1","issued":{"date-parts":[["2024"]]},"title":"Optimization of Brilliant Blue R photocatalytic degradation by silver nanoparticles synthesized using Chlorella vulgaris","type":"article-journal"},"uris":["http://www.mendeley.com/documents/?uuid=c64c4cd9-daad-4c1c-b7ef-d12e7e01abe9"]}],"mendeley":{"formattedCitation":"(Agnieszka Sidorowicz et al., 2024b)","manualFormatting":"(Sidorowicz et al., 2024a; 2024b)","plainTextFormattedCitation":"(Agnieszka Sidorowicz et al., 2024b)","previouslyFormattedCitation":"(Agnieszka Sidorowicz et al., 2024b)"},"properties":{"noteIndex":0},"schema":"https://github.com/citation-style-language/schema/raw/master/csl-citation.json"}</w:instrText>
      </w:r>
      <w:r>
        <w:fldChar w:fldCharType="separate"/>
      </w:r>
      <w:r w:rsidRPr="005D16C8">
        <w:rPr>
          <w:noProof/>
        </w:rPr>
        <w:t xml:space="preserve">(Sidorowicz </w:t>
      </w:r>
      <w:r w:rsidRPr="005D16C8">
        <w:rPr>
          <w:i/>
          <w:noProof/>
        </w:rPr>
        <w:t>et al.</w:t>
      </w:r>
      <w:r w:rsidRPr="005D16C8">
        <w:rPr>
          <w:noProof/>
        </w:rPr>
        <w:t>, 2024</w:t>
      </w:r>
      <w:r w:rsidR="00D52A5D">
        <w:rPr>
          <w:noProof/>
        </w:rPr>
        <w:t>a; 2024b</w:t>
      </w:r>
      <w:r w:rsidRPr="005D16C8">
        <w:rPr>
          <w:noProof/>
        </w:rPr>
        <w:t>)</w:t>
      </w:r>
      <w:r>
        <w:fldChar w:fldCharType="end"/>
      </w:r>
      <w:r w:rsidRPr="005D16C8">
        <w:t xml:space="preserve">. In brief, the extracts </w:t>
      </w:r>
      <w:r>
        <w:t xml:space="preserve">of </w:t>
      </w:r>
      <w:r w:rsidRPr="005D16C8">
        <w:rPr>
          <w:i/>
          <w:iCs/>
        </w:rPr>
        <w:t>S. Platensis</w:t>
      </w:r>
      <w:r>
        <w:t xml:space="preserve"> and </w:t>
      </w:r>
      <w:r w:rsidRPr="005D16C8">
        <w:rPr>
          <w:i/>
          <w:iCs/>
        </w:rPr>
        <w:t>C. vulgaris</w:t>
      </w:r>
      <w:r>
        <w:t xml:space="preserve"> </w:t>
      </w:r>
      <w:r w:rsidRPr="005D16C8">
        <w:t>were reacted with an AgNO</w:t>
      </w:r>
      <w:r w:rsidRPr="005D16C8">
        <w:rPr>
          <w:rFonts w:ascii="Cambria Math" w:hAnsi="Cambria Math" w:cs="Cambria Math"/>
        </w:rPr>
        <w:t>₃</w:t>
      </w:r>
      <w:r w:rsidRPr="005D16C8">
        <w:t xml:space="preserve"> solution under continuous stirring at elevated temperature, after which the nanoparticles were recovered, purified, and dried</w:t>
      </w:r>
      <w:r>
        <w:t xml:space="preserve"> </w:t>
      </w:r>
      <w:r>
        <w:fldChar w:fldCharType="begin" w:fldLock="1"/>
      </w:r>
      <w:r w:rsidR="00EE6DE8">
        <w:instrText>ADDIN CSL_CITATION {"citationItems":[{"id":"ITEM-1","itemData":{"DOI":"10.1016/j.jwpe.2024.106831","author":[{"dropping-particle":"","family":"Sidorowicz","given":"A","non-dropping-particle":"","parse-names":false,"suffix":""},{"dropping-particle":"","family":"Atzori","given":"F","non-dropping-particle":"","parse-names":false,"suffix":""},{"dropping-particle":"","family":"Zedda","given":"F","non-dropping-particle":"","parse-names":false,"suffix":""},{"dropping-particle":"","family":"Fais","given":"G","non-dropping-particle":"","parse-names":false,"suffix":""},{"dropping-particle":"","family":"Loy","given":"F","non-dropping-particle":"","parse-names":false,"suffix":""},{"dropping-particle":"","family":"Licheri","given":"R","non-dropping-particle":"","parse-names":false,"suffix":""},{"dropping-particle":"","family":"Lai","given":"N","non-dropping-particle":"","parse-names":false,"suffix":""},{"dropping-particle":"","family":"Desogus","given":"F","non-dropping-particle":"","parse-names":false,"suffix":""},{"dropping-particle":"","family":"Cao","given":"G","non-dropping-particle":"","parse-names":false,"suffix":""},{"dropping-particle":"","family":"Concas","given":"A","non-dropping-particle":"","parse-names":false,"suffix":""}],"container-title":"Journal of Water Process Engineering","id":"ITEM-1","issued":{"date-parts":[["2025"]]},"note":"Export Date: 05 February 2025","title":"Novel experimental and theoretical study on the synthesis and use of microalgae-derived silver nanomaterials for water purification","type":"article-journal","volume":"69"},"uris":["http://www.mendeley.com/documents/?uuid=2cfbfe93-2e60-4df8-b38e-433511f794ae"]}],"mendeley":{"formattedCitation":"(Sidorowicz et al., 2025)","plainTextFormattedCitation":"(Sidorowicz et al., 2025)","previouslyFormattedCitation":"(Sidorowicz et al., 2025)"},"properties":{"noteIndex":0},"schema":"https://github.com/citation-style-language/schema/raw/master/csl-citation.json"}</w:instrText>
      </w:r>
      <w:r>
        <w:fldChar w:fldCharType="separate"/>
      </w:r>
      <w:r w:rsidR="000965F3" w:rsidRPr="000965F3">
        <w:rPr>
          <w:noProof/>
        </w:rPr>
        <w:t>(Sidorowicz et al., 2025)</w:t>
      </w:r>
      <w:r>
        <w:fldChar w:fldCharType="end"/>
      </w:r>
      <w:r w:rsidRPr="005D16C8">
        <w:t xml:space="preserve">. </w:t>
      </w:r>
    </w:p>
    <w:p w14:paraId="011FC196" w14:textId="3B442C01" w:rsidR="005D16C8" w:rsidRDefault="005D16C8" w:rsidP="005D16C8">
      <w:pPr>
        <w:pStyle w:val="CETBodytext"/>
      </w:pPr>
      <w:r>
        <w:t xml:space="preserve">The photocatalytic degradation of BBR was investigated by varying key operating conditions, namely light intensity, catalyst loading, initial dye concentration, and pH. The catalyst was dispersed in a fixed liquid volume, sonicated, and mixed with BBR solutions, followed by a dark equilibration step prior to visible-light irradiation </w:t>
      </w:r>
      <w:r>
        <w:fldChar w:fldCharType="begin" w:fldLock="1"/>
      </w:r>
      <w:r w:rsidR="00EE6DE8">
        <w:instrText>ADDIN CSL_CITATION {"citationItems":[{"id":"ITEM-1","itemData":{"DOI":"10.3390/su16208758","ISSN":"2071-1050","abstract":"The development of efficient photocatalysts is crucial in addressing water pollution concerns, specifically in the removal of organic dyes from wastewater. In this context, the use of silver nanoparticles (Ag NPs) might represent a method to achieve high dye degradation efficiencies. On the other hand, the classical Ag NP production process involves several reactants and operating conditions, which make it poorly sustainable. In the present work, Ag NPs were synthesized according to a new sustainable process involving the use of natural extracts of Spirulina platensis and milder operating conditions. The material was also calcined to determine the influence of organic content on the properties of Ag NPs. The X-ray diffraction (XRD) analysis displayed the AgCl and Ag phases with a crystalline size of 11.79 nm before calcination. After calcination, only the Ag phase was present with an increased crystalline size of 24.60 nm. Fourier Transform Infrared Spectroscopy (FTIR) confirmed the capping role of the metabolites from the extract. Scanning Electron Microscopy (SEM) and Transmission Electron Microscopy (TEM) revealed the spherical or quasi-spherical morphologies with agglomeration due to the calcination. Energy-dispersive X-ray spectroscopy (EDX) and Thermogravimetric (TGA) analyses further confirmed the involvement of metabolites in the synthesis of Ag NPs. The optical changes in the products were observed in a UV-Vis analysis. The Ag NPs were tested for their photocatalytic activity against the laboratory dye brilliant blue r in visible light in various conditions. The highest degradation efficiency of 81.9%, with a kapp value of 0.00595 min−1, was observed in alkaline medium after 90 min of light irradiation.","author":[{"dropping-particle":"","family":"Sidorowicz","given":"Agnieszka","non-dropping-particle":"","parse-names":false,"suffix":""},{"dropping-particle":"","family":"Fais","given":"Giacomo","non-dropping-particle":"","parse-names":false,"suffix":""},{"dropping-particle":"","family":"Desogus","given":"Francesco","non-dropping-particle":"","parse-names":false,"suffix":""},{"dropping-particle":"","family":"Loy","given":"Francesco","non-dropping-particle":"","parse-names":false,"suffix":""},{"dropping-particle":"","family":"Licheri","given":"Roberta","non-dropping-particle":"","parse-names":false,"suffix":""},{"dropping-particle":"","family":"Lai","given":"Nicola","non-dropping-particle":"","parse-names":false,"suffix":""},{"dropping-particle":"","family":"Cao","given":"Giacomo","non-dropping-particle":"","parse-names":false,"suffix":""},{"dropping-particle":"","family":"Concas","given":"Alessandro","non-dropping-particle":"","parse-names":false,"suffix":""}],"container-title":"Sustainability","id":"ITEM-1","issue":"20","issued":{"date-parts":[["2024","10"]]},"page":"8758","title":"Eco-Friendly Photocatalytic Treatment of Dyes with Ag Nanoparticles Obtained through Sustainable Process Involving Spirulina platensis","type":"article-journal","volume":"16"},"uris":["http://www.mendeley.com/documents/?uuid=e85dcc76-2494-4c17-a060-4f20d71462c1"]}],"mendeley":{"formattedCitation":"(Agnieszka Sidorowicz et al., 2024a)","manualFormatting":"(Sidorowicz et al., 2024)","plainTextFormattedCitation":"(Agnieszka Sidorowicz et al., 2024a)","previouslyFormattedCitation":"(Agnieszka Sidorowicz et al., 2024a)"},"properties":{"noteIndex":0},"schema":"https://github.com/citation-style-language/schema/raw/master/csl-citation.json"}</w:instrText>
      </w:r>
      <w:r>
        <w:fldChar w:fldCharType="separate"/>
      </w:r>
      <w:r w:rsidRPr="005D16C8">
        <w:rPr>
          <w:noProof/>
        </w:rPr>
        <w:t xml:space="preserve">(Sidorowicz </w:t>
      </w:r>
      <w:r w:rsidRPr="005D16C8">
        <w:rPr>
          <w:i/>
          <w:noProof/>
        </w:rPr>
        <w:t>et al.</w:t>
      </w:r>
      <w:r w:rsidRPr="005D16C8">
        <w:rPr>
          <w:noProof/>
        </w:rPr>
        <w:t>, 2024)</w:t>
      </w:r>
      <w:r>
        <w:fldChar w:fldCharType="end"/>
      </w:r>
      <w:r>
        <w:t>.</w:t>
      </w:r>
      <w:r w:rsidR="0090446E">
        <w:t xml:space="preserve"> </w:t>
      </w:r>
      <w:r>
        <w:t>During the experiments, the solution was continuously circulated through a flow-through cuvette connected to a UV</w:t>
      </w:r>
      <w:r w:rsidR="0090446E">
        <w:t>-</w:t>
      </w:r>
      <w:r>
        <w:t>Vis spectrophotometer, enabling real-time monitoring of dye concentration over time. Spectral measurements were collected at regular intervals within the visible range.</w:t>
      </w:r>
      <w:r w:rsidR="0090446E">
        <w:t xml:space="preserve"> </w:t>
      </w:r>
    </w:p>
    <w:p w14:paraId="5E57D327" w14:textId="5B43CA99" w:rsidR="005D16C8" w:rsidRDefault="005D16C8" w:rsidP="005D16C8">
      <w:pPr>
        <w:pStyle w:val="CETBodytext"/>
      </w:pPr>
      <w:r>
        <w:t xml:space="preserve">A set of about </w:t>
      </w:r>
      <w:r w:rsidR="000709DB">
        <w:t>2</w:t>
      </w:r>
      <w:r>
        <w:t>0 distinct experimental conditions</w:t>
      </w:r>
      <w:r w:rsidR="000709DB">
        <w:t xml:space="preserve"> (i.e. 10 for each strain)</w:t>
      </w:r>
      <w:r>
        <w:t xml:space="preserve"> was explored by combining the selected operating variables, providing the dataset used for subsequent modeling</w:t>
      </w:r>
      <w:r w:rsidR="0090446E">
        <w:t xml:space="preserve"> summarized in </w:t>
      </w:r>
      <w:r w:rsidR="0090446E" w:rsidRPr="00AB4874">
        <w:t>Table 1</w:t>
      </w:r>
      <w:r w:rsidRPr="00AB4874">
        <w:t>.</w:t>
      </w:r>
      <w:r>
        <w:t xml:space="preserve"> </w:t>
      </w:r>
    </w:p>
    <w:p w14:paraId="677EBFF0" w14:textId="1BEF6E7F" w:rsidR="00600535" w:rsidRDefault="00613CEE" w:rsidP="00600535">
      <w:pPr>
        <w:pStyle w:val="CETHeading1"/>
        <w:tabs>
          <w:tab w:val="clear" w:pos="360"/>
          <w:tab w:val="right" w:pos="7100"/>
        </w:tabs>
        <w:jc w:val="both"/>
        <w:rPr>
          <w:lang w:val="en-GB"/>
        </w:rPr>
      </w:pPr>
      <w:r>
        <w:rPr>
          <w:lang w:val="en-GB"/>
        </w:rPr>
        <w:t>Mathematical model</w:t>
      </w:r>
    </w:p>
    <w:p w14:paraId="4A2DA6E1" w14:textId="59A99E75" w:rsidR="009F1DB0" w:rsidRDefault="009F1DB0" w:rsidP="00613CEE">
      <w:pPr>
        <w:pStyle w:val="CETBodytext"/>
        <w:spacing w:after="120"/>
        <w:rPr>
          <w:lang w:val="en-GB"/>
        </w:rPr>
      </w:pPr>
      <w:r w:rsidRPr="009F1DB0">
        <w:rPr>
          <w:lang w:val="en-GB"/>
        </w:rPr>
        <w:t>A mechanistically grounded model of moderate complexity is proposed</w:t>
      </w:r>
      <w:r>
        <w:rPr>
          <w:lang w:val="en-GB"/>
        </w:rPr>
        <w:t xml:space="preserve"> to simulate experimental data</w:t>
      </w:r>
      <w:r w:rsidRPr="009F1DB0">
        <w:rPr>
          <w:lang w:val="en-GB"/>
        </w:rPr>
        <w:t xml:space="preserve">, aiming to balance simplicity with physical realism. Following the approach of </w:t>
      </w:r>
      <w:r w:rsidRPr="009F1DB0">
        <w:rPr>
          <w:lang w:val="en-GB"/>
        </w:rPr>
        <w:fldChar w:fldCharType="begin" w:fldLock="1"/>
      </w:r>
      <w:r w:rsidR="00EE6DE8">
        <w:rPr>
          <w:lang w:val="en-GB"/>
        </w:rPr>
        <w:instrText>ADDIN CSL_CITATION {"citationItems":[{"id":"ITEM-1","itemData":{"DOI":"10.1016/j.apcata.2016.01.002","ISSN":"0926860X","abstract":"Chitosan/polyaniline (CS/PAni), chitosan/CdS (CS/CdS) and chitosan/polyaniline/CdS nanocomposite were synthesized and characterized using X-ray diffraction pattern analysis, FT-IR spectroscopy and scanning electronic microscopy. The adsorption performance and photocatalytic activity of CS/PAni/CdS was compared with CS/PAni and CS/CdS in the removal of Reactive Blue 19 (RB19) dye. After five cycles of experiments under visible light irradiation, CS/PAni/CdS retained high photocatalytic activity which confirmed good stability of nanocomposite. Moreover, the kinetics of decolorization was investigated and novel equation rate for dye removal was established by considering two parallel mechanisms including adsorption and surface photocatalytic degradation of dye by CS/PAni/CdS. Artificial neural network was employed to develop a model for predicting the decolorization efficiency and determining the relative importance of operational parameters. A 3-layer perceptron network with optimized 5:10:1 topology could provide adequate predictive performance (R2 = 0.983). Moreover, the photocatalytic degradation of RB19 was monitored by measuring the total organic carbon (TOC) and GC-MS analysis, enabling the evaluating the mineralization and identifying the intermediates. During 120 min of experiment, more than 80% of TOC was removed.","author":[{"dropping-particle":"","family":"Rasoulifard","given":"M. H.","non-dropping-particle":"","parse-names":false,"suffix":""},{"dropping-particle":"","family":"Seyed Dorraji","given":"M. S.","non-dropping-particle":"","parse-names":false,"suffix":""},{"dropping-particle":"","family":"Amani-Ghadim","given":"A. R.","non-dropping-particle":"","parse-names":false,"suffix":""},{"dropping-particle":"","family":"Keshavarz-Babaeinezhad","given":"N.","non-dropping-particle":"","parse-names":false,"suffix":""}],"container-title":"Applied Catalysis A: General","id":"ITEM-1","issued":{"date-parts":[["2016"]]},"title":"Visible-light photocatalytic activity of chitosan/polyaniline/CdS nanocomposite: Kinetic studies and artificial neural network modeling","type":"article-journal"},"uris":["http://www.mendeley.com/documents/?uuid=fed9d6f2-4aca-4bd9-8bac-37bbb65ac94c","http://www.mendeley.com/documents/?uuid=a2931e8c-3e0c-4e22-b156-9d5f7eea0177"]}],"mendeley":{"formattedCitation":"(Rasoulifard et al., 2016)","plainTextFormattedCitation":"(Rasoulifard et al., 2016)","previouslyFormattedCitation":"(Rasoulifard et al., 2016)"},"properties":{"noteIndex":0},"schema":"https://github.com/citation-style-language/schema/raw/master/csl-citation.json"}</w:instrText>
      </w:r>
      <w:r w:rsidRPr="009F1DB0">
        <w:rPr>
          <w:lang w:val="en-GB"/>
        </w:rPr>
        <w:fldChar w:fldCharType="separate"/>
      </w:r>
      <w:r w:rsidR="000965F3" w:rsidRPr="000965F3">
        <w:rPr>
          <w:noProof/>
          <w:lang w:val="en-GB"/>
        </w:rPr>
        <w:t>(Rasoulifard et al., 2016)</w:t>
      </w:r>
      <w:r w:rsidRPr="009F1DB0">
        <w:rPr>
          <w:lang w:val="en-GB"/>
        </w:rPr>
        <w:fldChar w:fldCharType="end"/>
      </w:r>
      <w:r w:rsidRPr="009F1DB0">
        <w:rPr>
          <w:lang w:val="en-GB"/>
        </w:rPr>
        <w:t xml:space="preserve">, the </w:t>
      </w:r>
      <w:r>
        <w:rPr>
          <w:lang w:val="en-GB"/>
        </w:rPr>
        <w:t xml:space="preserve">photodegradation </w:t>
      </w:r>
      <w:r w:rsidRPr="009F1DB0">
        <w:rPr>
          <w:lang w:val="en-GB"/>
        </w:rPr>
        <w:t>process is described as a two-step mechanism: an initial adsorption of the pollutant onto the catalyst surface, followed by photocatalytic degradation of the adsorbed species once surface sites approach saturation. These steps can be schematically represented as follows:</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6"/>
        <w:gridCol w:w="561"/>
      </w:tblGrid>
      <w:tr w:rsidR="00E76A3A" w14:paraId="565C3599" w14:textId="77777777" w:rsidTr="008B1215">
        <w:trPr>
          <w:trHeight w:val="393"/>
        </w:trPr>
        <w:tc>
          <w:tcPr>
            <w:tcW w:w="4681" w:type="pct"/>
          </w:tcPr>
          <w:p w14:paraId="1F1D1FB0" w14:textId="2AD65278" w:rsidR="00E76A3A" w:rsidRPr="008B1215" w:rsidRDefault="008B1215" w:rsidP="009F1DB0">
            <w:pPr>
              <w:pStyle w:val="CETBodytext"/>
              <w:rPr>
                <w:lang w:val="en-GB"/>
              </w:rPr>
            </w:pPr>
            <m:oMathPara>
              <m:oMathParaPr>
                <m:jc m:val="left"/>
              </m:oMathParaPr>
              <m:oMath>
                <m:r>
                  <w:rPr>
                    <w:rFonts w:ascii="Cambria Math" w:hAnsi="Cambria Math"/>
                    <w:lang w:val="en-GB"/>
                  </w:rPr>
                  <m:t>Dye</m:t>
                </m:r>
                <m:limUpp>
                  <m:limUppPr>
                    <m:ctrlPr>
                      <w:rPr>
                        <w:rFonts w:ascii="Cambria Math" w:hAnsi="Cambria Math"/>
                        <w:lang w:val="en-GB"/>
                      </w:rPr>
                    </m:ctrlPr>
                  </m:limUppPr>
                  <m:e>
                    <m:r>
                      <w:rPr>
                        <w:rFonts w:ascii="Cambria Math" w:hAnsi="Cambria Math"/>
                        <w:lang w:val="en-GB"/>
                      </w:rPr>
                      <m:t>⇌</m:t>
                    </m:r>
                  </m:e>
                  <m:lim>
                    <m:sSub>
                      <m:sSubPr>
                        <m:ctrlPr>
                          <w:rPr>
                            <w:rFonts w:ascii="Cambria Math" w:hAnsi="Cambria Math"/>
                            <w:lang w:val="en-GB"/>
                          </w:rPr>
                        </m:ctrlPr>
                      </m:sSubPr>
                      <m:e>
                        <m:r>
                          <w:rPr>
                            <w:rFonts w:ascii="Cambria Math" w:hAnsi="Cambria Math"/>
                            <w:lang w:val="en-GB"/>
                          </w:rPr>
                          <m:t>K</m:t>
                        </m:r>
                      </m:e>
                      <m:sub>
                        <m:r>
                          <w:rPr>
                            <w:rFonts w:ascii="Cambria Math" w:hAnsi="Cambria Math"/>
                            <w:lang w:val="en-GB"/>
                          </w:rPr>
                          <m:t>1</m:t>
                        </m:r>
                      </m:sub>
                    </m:sSub>
                  </m:lim>
                </m:limUpp>
                <m:r>
                  <w:rPr>
                    <w:rFonts w:ascii="Cambria Math" w:hAnsi="Cambria Math"/>
                    <w:lang w:val="en-GB"/>
                  </w:rPr>
                  <m:t>Dy</m:t>
                </m:r>
                <m:sSub>
                  <m:sSubPr>
                    <m:ctrlPr>
                      <w:rPr>
                        <w:rFonts w:ascii="Cambria Math" w:hAnsi="Cambria Math"/>
                        <w:lang w:val="en-GB"/>
                      </w:rPr>
                    </m:ctrlPr>
                  </m:sSubPr>
                  <m:e>
                    <m:r>
                      <w:rPr>
                        <w:rFonts w:ascii="Cambria Math" w:hAnsi="Cambria Math"/>
                        <w:lang w:val="en-GB"/>
                      </w:rPr>
                      <m:t>e</m:t>
                    </m:r>
                  </m:e>
                  <m:sub>
                    <m:r>
                      <w:rPr>
                        <w:rFonts w:ascii="Cambria Math" w:hAnsi="Cambria Math"/>
                        <w:lang w:val="en-GB"/>
                      </w:rPr>
                      <m:t>ads</m:t>
                    </m:r>
                  </m:sub>
                </m:sSub>
              </m:oMath>
            </m:oMathPara>
          </w:p>
        </w:tc>
        <w:tc>
          <w:tcPr>
            <w:tcW w:w="319" w:type="pct"/>
          </w:tcPr>
          <w:p w14:paraId="3B5566F9" w14:textId="0E97AF33" w:rsidR="00E76A3A" w:rsidRDefault="00E76A3A" w:rsidP="009F1DB0">
            <w:pPr>
              <w:pStyle w:val="CETBodytext"/>
              <w:rPr>
                <w:lang w:val="en-GB"/>
              </w:rPr>
            </w:pPr>
            <w:r>
              <w:rPr>
                <w:lang w:val="en-GB"/>
              </w:rPr>
              <w:t>R1</w:t>
            </w:r>
          </w:p>
        </w:tc>
      </w:tr>
      <w:tr w:rsidR="00E76A3A" w14:paraId="11DE6DCA" w14:textId="77777777" w:rsidTr="008B1215">
        <w:tc>
          <w:tcPr>
            <w:tcW w:w="4681" w:type="pct"/>
          </w:tcPr>
          <w:p w14:paraId="2A8111F0" w14:textId="65FC1EF1" w:rsidR="00E76A3A" w:rsidRPr="008B1215" w:rsidRDefault="008B1215" w:rsidP="009F1DB0">
            <w:pPr>
              <w:pStyle w:val="CETBodytext"/>
              <w:rPr>
                <w:lang w:val="en-GB"/>
              </w:rPr>
            </w:pPr>
            <m:oMathPara>
              <m:oMathParaPr>
                <m:jc m:val="left"/>
              </m:oMathParaPr>
              <m:oMath>
                <m:r>
                  <w:rPr>
                    <w:rFonts w:ascii="Cambria Math" w:hAnsi="Cambria Math"/>
                    <w:lang w:val="en-GB"/>
                  </w:rPr>
                  <m:t>Dy</m:t>
                </m:r>
                <m:sSub>
                  <m:sSubPr>
                    <m:ctrlPr>
                      <w:rPr>
                        <w:rFonts w:ascii="Cambria Math" w:hAnsi="Cambria Math"/>
                        <w:lang w:val="en-GB"/>
                      </w:rPr>
                    </m:ctrlPr>
                  </m:sSubPr>
                  <m:e>
                    <m:r>
                      <w:rPr>
                        <w:rFonts w:ascii="Cambria Math" w:hAnsi="Cambria Math"/>
                        <w:lang w:val="en-GB"/>
                      </w:rPr>
                      <m:t>e</m:t>
                    </m:r>
                  </m:e>
                  <m:sub>
                    <m:r>
                      <w:rPr>
                        <w:rFonts w:ascii="Cambria Math" w:hAnsi="Cambria Math"/>
                        <w:lang w:val="en-GB"/>
                      </w:rPr>
                      <m:t>ads</m:t>
                    </m:r>
                  </m:sub>
                </m:sSub>
                <m:limUpp>
                  <m:limUppPr>
                    <m:ctrlPr>
                      <w:rPr>
                        <w:rFonts w:ascii="Cambria Math" w:hAnsi="Cambria Math"/>
                        <w:lang w:val="en-GB"/>
                      </w:rPr>
                    </m:ctrlPr>
                  </m:limUppPr>
                  <m:e>
                    <m:r>
                      <w:rPr>
                        <w:rFonts w:ascii="Cambria Math" w:hAnsi="Cambria Math"/>
                        <w:lang w:val="en-GB"/>
                      </w:rPr>
                      <m:t>→</m:t>
                    </m:r>
                  </m:e>
                  <m:lim>
                    <m:sSub>
                      <m:sSubPr>
                        <m:ctrlPr>
                          <w:rPr>
                            <w:rFonts w:ascii="Cambria Math" w:hAnsi="Cambria Math"/>
                            <w:lang w:val="en-GB"/>
                          </w:rPr>
                        </m:ctrlPr>
                      </m:sSubPr>
                      <m:e>
                        <m:r>
                          <w:rPr>
                            <w:rFonts w:ascii="Cambria Math" w:hAnsi="Cambria Math"/>
                            <w:lang w:val="en-GB"/>
                          </w:rPr>
                          <m:t>k</m:t>
                        </m:r>
                      </m:e>
                      <m:sub>
                        <m:r>
                          <w:rPr>
                            <w:rFonts w:ascii="Cambria Math" w:hAnsi="Cambria Math"/>
                            <w:lang w:val="en-GB"/>
                          </w:rPr>
                          <m:t>3</m:t>
                        </m:r>
                      </m:sub>
                    </m:sSub>
                  </m:lim>
                </m:limUpp>
                <m:sSub>
                  <m:sSubPr>
                    <m:ctrlPr>
                      <w:rPr>
                        <w:rFonts w:ascii="Cambria Math" w:hAnsi="Cambria Math"/>
                        <w:lang w:val="en-GB"/>
                      </w:rPr>
                    </m:ctrlPr>
                  </m:sSubPr>
                  <m:e>
                    <m:r>
                      <w:rPr>
                        <w:rFonts w:ascii="Cambria Math" w:hAnsi="Cambria Math"/>
                        <w:lang w:val="en-GB"/>
                      </w:rPr>
                      <m:t>I</m:t>
                    </m:r>
                  </m:e>
                  <m:sub>
                    <m:r>
                      <w:rPr>
                        <w:rFonts w:ascii="Cambria Math" w:hAnsi="Cambria Math"/>
                        <w:lang w:val="en-GB"/>
                      </w:rPr>
                      <m:t>S</m:t>
                    </m:r>
                  </m:sub>
                </m:sSub>
              </m:oMath>
            </m:oMathPara>
          </w:p>
        </w:tc>
        <w:tc>
          <w:tcPr>
            <w:tcW w:w="319" w:type="pct"/>
          </w:tcPr>
          <w:p w14:paraId="3499F87C" w14:textId="3CA47966" w:rsidR="00E76A3A" w:rsidRDefault="008B1215" w:rsidP="009F1DB0">
            <w:pPr>
              <w:pStyle w:val="CETBodytext"/>
              <w:rPr>
                <w:lang w:val="en-GB"/>
              </w:rPr>
            </w:pPr>
            <w:r>
              <w:rPr>
                <w:lang w:val="en-GB"/>
              </w:rPr>
              <w:t>R2</w:t>
            </w:r>
          </w:p>
        </w:tc>
      </w:tr>
    </w:tbl>
    <w:p w14:paraId="6E4D16D8" w14:textId="4B6EC9F7" w:rsidR="009F1DB0" w:rsidRDefault="008B1215" w:rsidP="00613CEE">
      <w:pPr>
        <w:spacing w:before="240" w:after="120" w:line="276" w:lineRule="auto"/>
      </w:pPr>
      <w:r w:rsidRPr="008B1215">
        <w:t>where Dye</w:t>
      </w:r>
      <w:r w:rsidRPr="008B1215">
        <w:rPr>
          <w:vertAlign w:val="subscript"/>
        </w:rPr>
        <w:t>ads</w:t>
      </w:r>
      <w:r w:rsidRPr="008B1215">
        <w:t xml:space="preserve"> </w:t>
      </w:r>
      <w:r>
        <w:t>is</w:t>
      </w:r>
      <w:r w:rsidRPr="008B1215">
        <w:t xml:space="preserve"> the </w:t>
      </w:r>
      <w:r>
        <w:t xml:space="preserve">contaminant </w:t>
      </w:r>
      <w:r w:rsidRPr="008B1215">
        <w:t>adsorbed on catalyst and I</w:t>
      </w:r>
      <w:r w:rsidRPr="008B1215">
        <w:rPr>
          <w:vertAlign w:val="subscript"/>
        </w:rPr>
        <w:t>s</w:t>
      </w:r>
      <w:r w:rsidRPr="008B1215">
        <w:t xml:space="preserve"> the </w:t>
      </w:r>
      <w:r>
        <w:t>degradation products</w:t>
      </w:r>
      <w:r w:rsidRPr="008B1215">
        <w:t xml:space="preserve">. </w:t>
      </w:r>
      <w:r>
        <w:t>A</w:t>
      </w:r>
      <w:r w:rsidRPr="008B1215">
        <w:t>dsorption is modelled as a reversible reaction (R1)</w:t>
      </w:r>
      <w:r>
        <w:t xml:space="preserve"> while t</w:t>
      </w:r>
      <w:r w:rsidRPr="008B1215">
        <w:t>he degradation reaction</w:t>
      </w:r>
      <w:r>
        <w:t xml:space="preserve"> (</w:t>
      </w:r>
      <w:r w:rsidRPr="008B1215">
        <w:t>R2</w:t>
      </w:r>
      <w:r>
        <w:t>)</w:t>
      </w:r>
      <w:r w:rsidRPr="008B1215">
        <w:t xml:space="preserve"> is </w:t>
      </w:r>
      <w:r>
        <w:t xml:space="preserve">considered </w:t>
      </w:r>
      <w:r w:rsidRPr="008B1215">
        <w:t>irreversible. </w:t>
      </w:r>
      <w:r w:rsidR="00637820">
        <w:t xml:space="preserve">Accordingly in batch operated photocatalytic reactor, the relevant mass balances describing Dye degradation are: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0"/>
      </w:tblGrid>
      <w:tr w:rsidR="00613CEE" w14:paraId="0EA8207B" w14:textId="77777777" w:rsidTr="00613CEE">
        <w:tc>
          <w:tcPr>
            <w:tcW w:w="8217" w:type="dxa"/>
          </w:tcPr>
          <w:p w14:paraId="2A7CE05B" w14:textId="0E85F9AA" w:rsidR="00613CEE" w:rsidRPr="00613CEE" w:rsidRDefault="00000000" w:rsidP="009F1DB0">
            <w:pPr>
              <w:pStyle w:val="CETBodytext"/>
              <w:rPr>
                <w:lang w:val="en-GB"/>
              </w:rPr>
            </w:pPr>
            <m:oMathPara>
              <m:oMathParaPr>
                <m:jc m:val="left"/>
              </m:oMathParaPr>
              <m:oMath>
                <m:f>
                  <m:fPr>
                    <m:ctrlPr>
                      <w:rPr>
                        <w:rFonts w:ascii="Cambria Math" w:hAnsi="Cambria Math"/>
                        <w:lang w:val="en-GB"/>
                      </w:rPr>
                    </m:ctrlPr>
                  </m:fPr>
                  <m:num>
                    <m:r>
                      <w:rPr>
                        <w:rFonts w:ascii="Cambria Math" w:hAnsi="Cambria Math"/>
                        <w:lang w:val="en-GB"/>
                      </w:rPr>
                      <m:t>d</m:t>
                    </m:r>
                    <m:d>
                      <m:dPr>
                        <m:begChr m:val="["/>
                        <m:endChr m:val="]"/>
                        <m:ctrlPr>
                          <w:rPr>
                            <w:rFonts w:ascii="Cambria Math" w:hAnsi="Cambria Math"/>
                            <w:lang w:val="en-GB"/>
                          </w:rPr>
                        </m:ctrlPr>
                      </m:dPr>
                      <m:e>
                        <m:r>
                          <w:rPr>
                            <w:rFonts w:ascii="Cambria Math" w:hAnsi="Cambria Math"/>
                            <w:lang w:val="en-GB"/>
                          </w:rPr>
                          <m:t>Dye</m:t>
                        </m:r>
                      </m:e>
                    </m:d>
                  </m:num>
                  <m:den>
                    <m:r>
                      <w:rPr>
                        <w:rFonts w:ascii="Cambria Math" w:hAnsi="Cambria Math"/>
                        <w:lang w:val="en-GB"/>
                      </w:rPr>
                      <m:t>dt</m:t>
                    </m:r>
                  </m:den>
                </m:f>
                <m:r>
                  <w:rPr>
                    <w:rFonts w:ascii="Cambria Math" w:hAnsi="Cambria Math"/>
                  </w:rPr>
                  <m:t>=-</m:t>
                </m:r>
                <m:sSub>
                  <m:sSubPr>
                    <m:ctrlPr>
                      <w:rPr>
                        <w:rFonts w:ascii="Cambria Math" w:hAnsi="Cambria Math"/>
                        <w:lang w:val="en-GB"/>
                      </w:rPr>
                    </m:ctrlPr>
                  </m:sSubPr>
                  <m:e>
                    <m:r>
                      <w:rPr>
                        <w:rFonts w:ascii="Cambria Math" w:hAnsi="Cambria Math"/>
                        <w:lang w:val="en-GB"/>
                      </w:rPr>
                      <m:t>k</m:t>
                    </m:r>
                  </m:e>
                  <m:sub>
                    <m:r>
                      <w:rPr>
                        <w:rFonts w:ascii="Cambria Math" w:hAnsi="Cambria Math"/>
                      </w:rPr>
                      <m:t>1</m:t>
                    </m:r>
                  </m:sub>
                </m:sSub>
                <m:d>
                  <m:dPr>
                    <m:begChr m:val="["/>
                    <m:endChr m:val="]"/>
                    <m:ctrlPr>
                      <w:rPr>
                        <w:rFonts w:ascii="Cambria Math" w:hAnsi="Cambria Math"/>
                        <w:lang w:val="en-GB"/>
                      </w:rPr>
                    </m:ctrlPr>
                  </m:dPr>
                  <m:e>
                    <m:r>
                      <w:rPr>
                        <w:rFonts w:ascii="Cambria Math" w:hAnsi="Cambria Math"/>
                        <w:lang w:val="en-GB"/>
                      </w:rPr>
                      <m:t>Dye</m:t>
                    </m:r>
                  </m:e>
                </m:d>
                <m:r>
                  <w:rPr>
                    <w:rFonts w:ascii="Cambria Math" w:hAnsi="Cambria Math"/>
                  </w:rPr>
                  <m:t>+</m:t>
                </m:r>
                <m:sSub>
                  <m:sSubPr>
                    <m:ctrlPr>
                      <w:rPr>
                        <w:rFonts w:ascii="Cambria Math" w:hAnsi="Cambria Math"/>
                        <w:lang w:val="en-GB"/>
                      </w:rPr>
                    </m:ctrlPr>
                  </m:sSubPr>
                  <m:e>
                    <m:r>
                      <w:rPr>
                        <w:rFonts w:ascii="Cambria Math" w:hAnsi="Cambria Math"/>
                        <w:lang w:val="en-GB"/>
                      </w:rPr>
                      <m:t>k</m:t>
                    </m:r>
                  </m:e>
                  <m:sub>
                    <m:r>
                      <w:rPr>
                        <w:rFonts w:ascii="Cambria Math" w:hAnsi="Cambria Math"/>
                      </w:rPr>
                      <m:t>2</m:t>
                    </m:r>
                  </m:sub>
                </m:sSub>
                <m:sSub>
                  <m:sSubPr>
                    <m:ctrlPr>
                      <w:rPr>
                        <w:rFonts w:ascii="Cambria Math" w:hAnsi="Cambria Math"/>
                        <w:lang w:val="en-GB"/>
                      </w:rPr>
                    </m:ctrlPr>
                  </m:sSubPr>
                  <m:e>
                    <m:d>
                      <m:dPr>
                        <m:begChr m:val="["/>
                        <m:endChr m:val="]"/>
                        <m:ctrlPr>
                          <w:rPr>
                            <w:rFonts w:ascii="Cambria Math" w:hAnsi="Cambria Math"/>
                            <w:lang w:val="en-GB"/>
                          </w:rPr>
                        </m:ctrlPr>
                      </m:dPr>
                      <m:e>
                        <m:r>
                          <w:rPr>
                            <w:rFonts w:ascii="Cambria Math" w:hAnsi="Cambria Math"/>
                            <w:lang w:val="en-GB"/>
                          </w:rPr>
                          <m:t>Dye</m:t>
                        </m:r>
                      </m:e>
                    </m:d>
                  </m:e>
                  <m:sub>
                    <m:r>
                      <w:rPr>
                        <w:rFonts w:ascii="Cambria Math" w:hAnsi="Cambria Math"/>
                        <w:lang w:val="en-GB"/>
                      </w:rPr>
                      <m:t>ads</m:t>
                    </m:r>
                  </m:sub>
                </m:sSub>
              </m:oMath>
            </m:oMathPara>
          </w:p>
        </w:tc>
        <w:tc>
          <w:tcPr>
            <w:tcW w:w="560" w:type="dxa"/>
          </w:tcPr>
          <w:p w14:paraId="13B7D662" w14:textId="72CD7645" w:rsidR="00613CEE" w:rsidRDefault="00613CEE" w:rsidP="009F1DB0">
            <w:pPr>
              <w:pStyle w:val="CETBodytext"/>
              <w:rPr>
                <w:lang w:val="en-GB"/>
              </w:rPr>
            </w:pPr>
            <w:r>
              <w:rPr>
                <w:lang w:val="en-GB"/>
              </w:rPr>
              <w:t>(1)</w:t>
            </w:r>
          </w:p>
        </w:tc>
      </w:tr>
      <w:tr w:rsidR="00613CEE" w14:paraId="1266FF5F" w14:textId="77777777" w:rsidTr="00613CEE">
        <w:tc>
          <w:tcPr>
            <w:tcW w:w="8217" w:type="dxa"/>
          </w:tcPr>
          <w:p w14:paraId="62F2CEF8" w14:textId="482260E6" w:rsidR="00613CEE" w:rsidRPr="00613CEE" w:rsidRDefault="00000000" w:rsidP="009F1DB0">
            <w:pPr>
              <w:pStyle w:val="CETBodytext"/>
              <w:rPr>
                <w:lang w:val="en-GB"/>
              </w:rPr>
            </w:pPr>
            <m:oMathPara>
              <m:oMathParaPr>
                <m:jc m:val="left"/>
              </m:oMathParaPr>
              <m:oMath>
                <m:f>
                  <m:fPr>
                    <m:ctrlPr>
                      <w:rPr>
                        <w:rFonts w:ascii="Cambria Math" w:hAnsi="Cambria Math"/>
                      </w:rPr>
                    </m:ctrlPr>
                  </m:fPr>
                  <m:num>
                    <m:r>
                      <w:rPr>
                        <w:rFonts w:ascii="Cambria Math" w:hAnsi="Cambria Math"/>
                      </w:rPr>
                      <m:t>d</m:t>
                    </m:r>
                    <m:sSub>
                      <m:sSubPr>
                        <m:ctrlPr>
                          <w:rPr>
                            <w:rFonts w:ascii="Cambria Math" w:hAnsi="Cambria Math"/>
                          </w:rPr>
                        </m:ctrlPr>
                      </m:sSubPr>
                      <m:e>
                        <m:d>
                          <m:dPr>
                            <m:begChr m:val="["/>
                            <m:endChr m:val="]"/>
                            <m:ctrlPr>
                              <w:rPr>
                                <w:rFonts w:ascii="Cambria Math" w:hAnsi="Cambria Math"/>
                              </w:rPr>
                            </m:ctrlPr>
                          </m:dPr>
                          <m:e>
                            <m:r>
                              <w:rPr>
                                <w:rFonts w:ascii="Cambria Math" w:hAnsi="Cambria Math"/>
                              </w:rPr>
                              <m:t>Dye</m:t>
                            </m:r>
                          </m:e>
                        </m:d>
                      </m:e>
                      <m:sub>
                        <m:r>
                          <w:rPr>
                            <w:rFonts w:ascii="Cambria Math" w:hAnsi="Cambria Math"/>
                          </w:rPr>
                          <m:t>ads</m:t>
                        </m:r>
                      </m:sub>
                    </m:sSub>
                  </m:num>
                  <m:den>
                    <m:r>
                      <w:rPr>
                        <w:rFonts w:ascii="Cambria Math" w:hAnsi="Cambria Math"/>
                      </w:rPr>
                      <m:t>dt</m:t>
                    </m:r>
                  </m:den>
                </m:f>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d>
                  <m:dPr>
                    <m:begChr m:val="["/>
                    <m:endChr m:val="]"/>
                    <m:ctrlPr>
                      <w:rPr>
                        <w:rFonts w:ascii="Cambria Math" w:hAnsi="Cambria Math"/>
                      </w:rPr>
                    </m:ctrlPr>
                  </m:dPr>
                  <m:e>
                    <m:r>
                      <w:rPr>
                        <w:rFonts w:ascii="Cambria Math" w:hAnsi="Cambria Math"/>
                      </w:rPr>
                      <m:t>Dye</m:t>
                    </m:r>
                  </m:e>
                </m:d>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2</m:t>
                    </m:r>
                  </m:sub>
                </m:sSub>
                <m:sSub>
                  <m:sSubPr>
                    <m:ctrlPr>
                      <w:rPr>
                        <w:rFonts w:ascii="Cambria Math" w:hAnsi="Cambria Math"/>
                      </w:rPr>
                    </m:ctrlPr>
                  </m:sSubPr>
                  <m:e>
                    <m:d>
                      <m:dPr>
                        <m:begChr m:val="["/>
                        <m:endChr m:val="]"/>
                        <m:ctrlPr>
                          <w:rPr>
                            <w:rFonts w:ascii="Cambria Math" w:hAnsi="Cambria Math"/>
                          </w:rPr>
                        </m:ctrlPr>
                      </m:dPr>
                      <m:e>
                        <m:r>
                          <w:rPr>
                            <w:rFonts w:ascii="Cambria Math" w:hAnsi="Cambria Math"/>
                          </w:rPr>
                          <m:t>Dye</m:t>
                        </m:r>
                      </m:e>
                    </m:d>
                  </m:e>
                  <m:sub>
                    <m:r>
                      <w:rPr>
                        <w:rFonts w:ascii="Cambria Math" w:hAnsi="Cambria Math"/>
                      </w:rPr>
                      <m:t>ads</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3</m:t>
                    </m:r>
                  </m:sub>
                </m:sSub>
                <m:sSub>
                  <m:sSubPr>
                    <m:ctrlPr>
                      <w:rPr>
                        <w:rFonts w:ascii="Cambria Math" w:hAnsi="Cambria Math"/>
                      </w:rPr>
                    </m:ctrlPr>
                  </m:sSubPr>
                  <m:e>
                    <m:d>
                      <m:dPr>
                        <m:begChr m:val="["/>
                        <m:endChr m:val="]"/>
                        <m:ctrlPr>
                          <w:rPr>
                            <w:rFonts w:ascii="Cambria Math" w:hAnsi="Cambria Math"/>
                          </w:rPr>
                        </m:ctrlPr>
                      </m:dPr>
                      <m:e>
                        <m:r>
                          <w:rPr>
                            <w:rFonts w:ascii="Cambria Math" w:hAnsi="Cambria Math"/>
                          </w:rPr>
                          <m:t>Dye</m:t>
                        </m:r>
                      </m:e>
                    </m:d>
                  </m:e>
                  <m:sub>
                    <m:r>
                      <w:rPr>
                        <w:rFonts w:ascii="Cambria Math" w:hAnsi="Cambria Math"/>
                      </w:rPr>
                      <m:t>ads</m:t>
                    </m:r>
                  </m:sub>
                </m:sSub>
              </m:oMath>
            </m:oMathPara>
          </w:p>
        </w:tc>
        <w:tc>
          <w:tcPr>
            <w:tcW w:w="560" w:type="dxa"/>
          </w:tcPr>
          <w:p w14:paraId="17FAFA74" w14:textId="09C2F7FE" w:rsidR="00613CEE" w:rsidRDefault="00613CEE" w:rsidP="009F1DB0">
            <w:pPr>
              <w:pStyle w:val="CETBodytext"/>
              <w:rPr>
                <w:lang w:val="en-GB"/>
              </w:rPr>
            </w:pPr>
            <w:r>
              <w:rPr>
                <w:lang w:val="en-GB"/>
              </w:rPr>
              <w:t>(2)</w:t>
            </w:r>
          </w:p>
        </w:tc>
      </w:tr>
    </w:tbl>
    <w:p w14:paraId="02FB6BC7" w14:textId="5244B1C1" w:rsidR="00613CEE" w:rsidRDefault="00613CEE" w:rsidP="00C333FE">
      <w:pPr>
        <w:pStyle w:val="CETBodytext"/>
        <w:spacing w:before="120" w:after="120"/>
      </w:pPr>
      <w:r>
        <w:rPr>
          <w:lang w:val="en-GB"/>
        </w:rPr>
        <w:t xml:space="preserve">along with the corresponding initial conditions </w:t>
      </w:r>
      <m:oMath>
        <m:d>
          <m:dPr>
            <m:begChr m:val="["/>
            <m:endChr m:val="]"/>
            <m:ctrlPr>
              <w:rPr>
                <w:rFonts w:ascii="Cambria Math" w:hAnsi="Cambria Math"/>
                <w:lang w:val="en-GB"/>
              </w:rPr>
            </m:ctrlPr>
          </m:dPr>
          <m:e>
            <m:r>
              <w:rPr>
                <w:rFonts w:ascii="Cambria Math" w:hAnsi="Cambria Math"/>
                <w:lang w:val="en-GB"/>
              </w:rPr>
              <m:t>Dye</m:t>
            </m:r>
          </m:e>
        </m:d>
        <m:sSub>
          <m:sSubPr>
            <m:ctrlPr>
              <w:rPr>
                <w:rFonts w:ascii="Cambria Math" w:hAnsi="Cambria Math"/>
                <w:lang w:val="en-GB"/>
              </w:rPr>
            </m:ctrlPr>
          </m:sSubPr>
          <m:e>
            <m:r>
              <w:rPr>
                <w:rFonts w:ascii="Cambria Math" w:hAnsi="Cambria Math"/>
                <w:lang w:val="en-GB"/>
              </w:rPr>
              <m:t>|</m:t>
            </m:r>
          </m:e>
          <m:sub>
            <m:r>
              <w:rPr>
                <w:rFonts w:ascii="Cambria Math" w:hAnsi="Cambria Math"/>
                <w:lang w:val="en-GB"/>
              </w:rPr>
              <m:t>t=0</m:t>
            </m:r>
          </m:sub>
        </m:sSub>
        <m:r>
          <w:rPr>
            <w:rFonts w:ascii="Cambria Math" w:hAnsi="Cambria Math"/>
            <w:lang w:val="en-GB"/>
          </w:rPr>
          <m:t>=</m:t>
        </m:r>
        <m:sSup>
          <m:sSupPr>
            <m:ctrlPr>
              <w:rPr>
                <w:rFonts w:ascii="Cambria Math" w:hAnsi="Cambria Math"/>
                <w:lang w:val="en-GB"/>
              </w:rPr>
            </m:ctrlPr>
          </m:sSupPr>
          <m:e>
            <m:d>
              <m:dPr>
                <m:begChr m:val="["/>
                <m:endChr m:val="]"/>
                <m:ctrlPr>
                  <w:rPr>
                    <w:rFonts w:ascii="Cambria Math" w:hAnsi="Cambria Math"/>
                    <w:lang w:val="en-GB"/>
                  </w:rPr>
                </m:ctrlPr>
              </m:dPr>
              <m:e>
                <m:r>
                  <w:rPr>
                    <w:rFonts w:ascii="Cambria Math" w:hAnsi="Cambria Math"/>
                    <w:lang w:val="en-GB"/>
                  </w:rPr>
                  <m:t>Dye</m:t>
                </m:r>
              </m:e>
            </m:d>
          </m:e>
          <m:sup>
            <m:r>
              <w:rPr>
                <w:rFonts w:ascii="Cambria Math" w:hAnsi="Cambria Math"/>
                <w:lang w:val="en-GB"/>
              </w:rPr>
              <m:t>0</m:t>
            </m:r>
          </m:sup>
        </m:sSup>
      </m:oMath>
      <w:r>
        <w:rPr>
          <w:lang w:val="en-GB"/>
        </w:rPr>
        <w:t xml:space="preserve"> and </w:t>
      </w:r>
      <m:oMath>
        <m:sSub>
          <m:sSubPr>
            <m:ctrlPr>
              <w:rPr>
                <w:rFonts w:ascii="Cambria Math" w:hAnsi="Cambria Math"/>
                <w:lang w:val="en-GB"/>
              </w:rPr>
            </m:ctrlPr>
          </m:sSubPr>
          <m:e>
            <m:d>
              <m:dPr>
                <m:begChr m:val="["/>
                <m:endChr m:val="]"/>
                <m:ctrlPr>
                  <w:rPr>
                    <w:rFonts w:ascii="Cambria Math" w:hAnsi="Cambria Math"/>
                    <w:lang w:val="en-GB"/>
                  </w:rPr>
                </m:ctrlPr>
              </m:dPr>
              <m:e>
                <m:r>
                  <w:rPr>
                    <w:rFonts w:ascii="Cambria Math" w:hAnsi="Cambria Math"/>
                    <w:lang w:val="en-GB"/>
                  </w:rPr>
                  <m:t>Dye</m:t>
                </m:r>
              </m:e>
            </m:d>
          </m:e>
          <m:sub>
            <m:r>
              <w:rPr>
                <w:rFonts w:ascii="Cambria Math" w:hAnsi="Cambria Math"/>
                <w:lang w:val="en-GB"/>
              </w:rPr>
              <m:t>ads</m:t>
            </m:r>
          </m:sub>
        </m:sSub>
        <m:sSub>
          <m:sSubPr>
            <m:ctrlPr>
              <w:rPr>
                <w:rFonts w:ascii="Cambria Math" w:hAnsi="Cambria Math"/>
                <w:lang w:val="en-GB"/>
              </w:rPr>
            </m:ctrlPr>
          </m:sSubPr>
          <m:e>
            <m:r>
              <w:rPr>
                <w:rFonts w:ascii="Cambria Math" w:hAnsi="Cambria Math"/>
                <w:lang w:val="en-GB"/>
              </w:rPr>
              <m:t>|</m:t>
            </m:r>
          </m:e>
          <m:sub>
            <m:r>
              <w:rPr>
                <w:rFonts w:ascii="Cambria Math" w:hAnsi="Cambria Math"/>
                <w:lang w:val="en-GB"/>
              </w:rPr>
              <m:t>t=0</m:t>
            </m:r>
          </m:sub>
        </m:sSub>
        <m:r>
          <w:rPr>
            <w:rFonts w:ascii="Cambria Math" w:hAnsi="Cambria Math"/>
            <w:lang w:val="en-GB"/>
          </w:rPr>
          <m:t>=0</m:t>
        </m:r>
      </m:oMath>
      <w:r>
        <w:rPr>
          <w:lang w:val="en-GB"/>
        </w:rPr>
        <w:t xml:space="preserve">. </w:t>
      </w:r>
      <w:r w:rsidR="00A747BF">
        <w:rPr>
          <w:lang w:val="en-GB"/>
        </w:rPr>
        <w:t xml:space="preserve"> </w:t>
      </w:r>
      <w:r w:rsidR="00A747BF" w:rsidRPr="00A747BF">
        <w:rPr>
          <w:lang w:val="en-GB"/>
        </w:rPr>
        <w:t xml:space="preserve">The closed-form solution of Eqs. (1–2), obtained as </w:t>
      </w:r>
      <w:r w:rsidR="00A747BF">
        <w:rPr>
          <w:lang w:val="en-GB"/>
        </w:rPr>
        <w:t>reported elsewhere</w:t>
      </w:r>
      <w:r w:rsidR="00247D6F">
        <w:rPr>
          <w:lang w:val="en-GB"/>
        </w:rPr>
        <w:t xml:space="preserve"> </w:t>
      </w:r>
      <w:r w:rsidR="00247D6F">
        <w:rPr>
          <w:lang w:val="en-GB"/>
        </w:rPr>
        <w:fldChar w:fldCharType="begin" w:fldLock="1"/>
      </w:r>
      <w:r w:rsidR="00EE6DE8">
        <w:rPr>
          <w:lang w:val="en-GB"/>
        </w:rPr>
        <w:instrText>ADDIN CSL_CITATION {"citationItems":[{"id":"ITEM-1","itemData":{"DOI":"10.1016/j.ces.2025.121945","author":[{"dropping-particle":"","family":"Atzori","given":"Federico","non-dropping-particle":"","parse-names":false,"suffix":""},{"dropping-particle":"","family":"Cosenza","given":"Bartolomeo","non-dropping-particle":"","parse-names":false,"suffix":""},{"dropping-particle":"","family":"Zedda","given":"Federico","non-dropping-particle":"","parse-names":false,"suffix":""},{"dropping-particle":"","family":"Sidorowicz","given":"Agnieszka","non-dropping-particle":"","parse-names":false,"suffix":""},{"dropping-particle":"","family":"Fais","given":"Giacomo","non-dropping-particle":"","parse-names":false,"suffix":""},{"dropping-particle":"","family":"Cao","given":"Giacomo","non-dropping-particle":"","parse-names":false,"suffix":""},{"dropping-particle":"","family":"Concas","given":"Alessandro","non-dropping-particle":"","parse-names":false,"suffix":""}],"container-title":"Chemical Engineering Science","id":"ITEM-1","issued":{"date-parts":[["2025"]]},"note":"Cited by: 0","title":"Hybrid modeling of photocatalytic contaminant degradation using nanomaterials synthesized with microalgal extracts","type":"article-journal","volume":"316"},"uris":["http://www.mendeley.com/documents/?uuid=d652f209-fbf7-4330-a2a0-57a5cd601a58"]}],"mendeley":{"formattedCitation":"(Atzori et al., 2025)","plainTextFormattedCitation":"(Atzori et al., 2025)","previouslyFormattedCitation":"(Atzori et al., 2025)"},"properties":{"noteIndex":0},"schema":"https://github.com/citation-style-language/schema/raw/master/csl-citation.json"}</w:instrText>
      </w:r>
      <w:r w:rsidR="00247D6F">
        <w:rPr>
          <w:lang w:val="en-GB"/>
        </w:rPr>
        <w:fldChar w:fldCharType="separate"/>
      </w:r>
      <w:r w:rsidR="000965F3" w:rsidRPr="000965F3">
        <w:rPr>
          <w:noProof/>
          <w:lang w:val="en-GB"/>
        </w:rPr>
        <w:t>(Atzori et al., 2025)</w:t>
      </w:r>
      <w:r w:rsidR="00247D6F">
        <w:rPr>
          <w:lang w:val="en-GB"/>
        </w:rPr>
        <w:fldChar w:fldCharType="end"/>
      </w:r>
      <w:r w:rsidR="00A747BF" w:rsidRPr="00A747BF">
        <w:rPr>
          <w:lang w:val="en-GB"/>
        </w:rPr>
        <w:t xml:space="preserve">, is reported in Eq. (3) in terms of </w:t>
      </w:r>
      <w:r w:rsidR="00A747BF">
        <w:rPr>
          <w:lang w:val="en-GB"/>
        </w:rPr>
        <w:t>removal efficiency of the pollutant</w:t>
      </w:r>
      <w:r w:rsidR="00170EEE">
        <w:rPr>
          <w:lang w:val="en-GB"/>
        </w:rPr>
        <w:t xml:space="preserve">, i.e. </w:t>
      </w:r>
      <m:oMath>
        <m:r>
          <w:rPr>
            <w:rFonts w:ascii="Cambria Math" w:hAnsi="Cambria Math"/>
          </w:rPr>
          <m:t>η=</m:t>
        </m:r>
        <m:d>
          <m:dPr>
            <m:ctrlPr>
              <w:rPr>
                <w:rFonts w:ascii="Cambria Math" w:hAnsi="Cambria Math"/>
              </w:rPr>
            </m:ctrlPr>
          </m:dPr>
          <m:e>
            <m:r>
              <w:rPr>
                <w:rFonts w:ascii="Cambria Math" w:hAnsi="Cambria Math"/>
              </w:rPr>
              <m:t>1-</m:t>
            </m:r>
            <m:f>
              <m:fPr>
                <m:type m:val="lin"/>
                <m:ctrlPr>
                  <w:rPr>
                    <w:rFonts w:ascii="Cambria Math" w:hAnsi="Cambria Math"/>
                    <w:i/>
                  </w:rPr>
                </m:ctrlPr>
              </m:fPr>
              <m:num>
                <m:d>
                  <m:dPr>
                    <m:begChr m:val="["/>
                    <m:endChr m:val="]"/>
                    <m:ctrlPr>
                      <w:rPr>
                        <w:rFonts w:ascii="Cambria Math" w:hAnsi="Cambria Math"/>
                      </w:rPr>
                    </m:ctrlPr>
                  </m:dPr>
                  <m:e>
                    <m:r>
                      <w:rPr>
                        <w:rFonts w:ascii="Cambria Math" w:hAnsi="Cambria Math"/>
                      </w:rPr>
                      <m:t>Dye</m:t>
                    </m:r>
                  </m:e>
                </m:d>
              </m:num>
              <m:den>
                <m:sSup>
                  <m:sSupPr>
                    <m:ctrlPr>
                      <w:rPr>
                        <w:rFonts w:ascii="Cambria Math" w:hAnsi="Cambria Math"/>
                      </w:rPr>
                    </m:ctrlPr>
                  </m:sSupPr>
                  <m:e>
                    <m:d>
                      <m:dPr>
                        <m:begChr m:val="["/>
                        <m:endChr m:val="]"/>
                        <m:ctrlPr>
                          <w:rPr>
                            <w:rFonts w:ascii="Cambria Math" w:hAnsi="Cambria Math"/>
                          </w:rPr>
                        </m:ctrlPr>
                      </m:dPr>
                      <m:e>
                        <m:r>
                          <w:rPr>
                            <w:rFonts w:ascii="Cambria Math" w:hAnsi="Cambria Math"/>
                          </w:rPr>
                          <m:t>Dye</m:t>
                        </m:r>
                      </m:e>
                    </m:d>
                  </m:e>
                  <m:sup>
                    <m:r>
                      <w:rPr>
                        <w:rFonts w:ascii="Cambria Math" w:hAnsi="Cambria Math"/>
                      </w:rPr>
                      <m:t>0</m:t>
                    </m:r>
                  </m:sup>
                </m:sSup>
              </m:den>
            </m:f>
          </m:e>
        </m:d>
        <m:r>
          <w:rPr>
            <w:rFonts w:ascii="Cambria Math" w:hAnsi="Cambria Math"/>
          </w:rPr>
          <m:t>.</m:t>
        </m:r>
      </m:oMath>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0"/>
      </w:tblGrid>
      <w:tr w:rsidR="00C333FE" w14:paraId="3F1B994B" w14:textId="77777777" w:rsidTr="0052569F">
        <w:tc>
          <w:tcPr>
            <w:tcW w:w="8217" w:type="dxa"/>
            <w:vAlign w:val="center"/>
          </w:tcPr>
          <w:p w14:paraId="2CD6E614" w14:textId="2E4EA052" w:rsidR="00C333FE" w:rsidRPr="00C333FE" w:rsidRDefault="00C333FE" w:rsidP="0052569F">
            <w:pPr>
              <w:pStyle w:val="CETBodytext"/>
              <w:jc w:val="left"/>
            </w:pPr>
            <m:oMathPara>
              <m:oMathParaPr>
                <m:jc m:val="left"/>
              </m:oMathParaPr>
              <m:oMath>
                <m:r>
                  <w:rPr>
                    <w:rFonts w:ascii="Cambria Math" w:hAnsi="Cambria Math"/>
                  </w:rPr>
                  <m:t>η</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d>
                          <m:dPr>
                            <m:begChr m:val="["/>
                            <m:endChr m:val="]"/>
                            <m:ctrlPr>
                              <w:rPr>
                                <w:rFonts w:ascii="Cambria Math" w:hAnsi="Cambria Math"/>
                              </w:rPr>
                            </m:ctrlPr>
                          </m:dPr>
                          <m:e>
                            <m:r>
                              <w:rPr>
                                <w:rFonts w:ascii="Cambria Math" w:hAnsi="Cambria Math"/>
                              </w:rPr>
                              <m:t>Dye</m:t>
                            </m:r>
                          </m:e>
                        </m:d>
                      </m:num>
                      <m:den>
                        <m:sSup>
                          <m:sSupPr>
                            <m:ctrlPr>
                              <w:rPr>
                                <w:rFonts w:ascii="Cambria Math" w:hAnsi="Cambria Math"/>
                              </w:rPr>
                            </m:ctrlPr>
                          </m:sSupPr>
                          <m:e>
                            <m:d>
                              <m:dPr>
                                <m:begChr m:val="["/>
                                <m:endChr m:val="]"/>
                                <m:ctrlPr>
                                  <w:rPr>
                                    <w:rFonts w:ascii="Cambria Math" w:hAnsi="Cambria Math"/>
                                  </w:rPr>
                                </m:ctrlPr>
                              </m:dPr>
                              <m:e>
                                <m:r>
                                  <w:rPr>
                                    <w:rFonts w:ascii="Cambria Math" w:hAnsi="Cambria Math"/>
                                  </w:rPr>
                                  <m:t>Dye</m:t>
                                </m:r>
                              </m:e>
                            </m:d>
                          </m:e>
                          <m:sup>
                            <m:r>
                              <w:rPr>
                                <w:rFonts w:ascii="Cambria Math" w:hAnsi="Cambria Math"/>
                              </w:rPr>
                              <m:t>0</m:t>
                            </m:r>
                          </m:sup>
                        </m:sSup>
                      </m:den>
                    </m:f>
                  </m:e>
                </m:d>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rad>
                      <m:radPr>
                        <m:degHide m:val="1"/>
                        <m:ctrlPr>
                          <w:rPr>
                            <w:rFonts w:ascii="Cambria Math" w:hAnsi="Cambria Math"/>
                          </w:rPr>
                        </m:ctrlPr>
                      </m:radPr>
                      <m:deg/>
                      <m:e>
                        <m:r>
                          <w:rPr>
                            <w:rFonts w:ascii="Cambria Math" w:hAnsi="Cambria Math"/>
                          </w:rPr>
                          <m:t>Δ</m:t>
                        </m:r>
                      </m:e>
                    </m:rad>
                  </m:den>
                </m:f>
                <m:d>
                  <m:dPr>
                    <m:begChr m:val="["/>
                    <m:endChr m:val="]"/>
                    <m:ctrlPr>
                      <w:rPr>
                        <w:rFonts w:ascii="Cambria Math" w:hAnsi="Cambria Math"/>
                      </w:rPr>
                    </m:ctrlPr>
                  </m:dPr>
                  <m:e>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3</m:t>
                            </m:r>
                          </m:sub>
                        </m:sSub>
                        <m:r>
                          <w:rPr>
                            <w:rFonts w:ascii="Cambria Math" w:hAnsi="Cambria Math"/>
                          </w:rPr>
                          <m:t>+</m:t>
                        </m:r>
                        <m:rad>
                          <m:radPr>
                            <m:degHide m:val="1"/>
                            <m:ctrlPr>
                              <w:rPr>
                                <w:rFonts w:ascii="Cambria Math" w:hAnsi="Cambria Math"/>
                              </w:rPr>
                            </m:ctrlPr>
                          </m:radPr>
                          <m:deg/>
                          <m:e>
                            <m:r>
                              <w:rPr>
                                <w:rFonts w:ascii="Cambria Math" w:hAnsi="Cambria Math"/>
                              </w:rPr>
                              <m:t>Δ</m:t>
                            </m:r>
                          </m:e>
                        </m:rad>
                      </m:e>
                    </m:d>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-Σ+</m:t>
                            </m:r>
                            <m:rad>
                              <m:radPr>
                                <m:degHide m:val="1"/>
                                <m:ctrlPr>
                                  <w:rPr>
                                    <w:rFonts w:ascii="Cambria Math" w:hAnsi="Cambria Math"/>
                                  </w:rPr>
                                </m:ctrlPr>
                              </m:radPr>
                              <m:deg/>
                              <m:e>
                                <m:r>
                                  <w:rPr>
                                    <w:rFonts w:ascii="Cambria Math" w:hAnsi="Cambria Math"/>
                                  </w:rPr>
                                  <m:t>Δ</m:t>
                                </m:r>
                              </m:e>
                            </m:rad>
                          </m:num>
                          <m:den>
                            <m:r>
                              <w:rPr>
                                <w:rFonts w:ascii="Cambria Math" w:hAnsi="Cambria Math"/>
                              </w:rPr>
                              <m:t>2</m:t>
                            </m:r>
                          </m:den>
                        </m:f>
                        <m:r>
                          <w:rPr>
                            <w:rFonts w:ascii="Cambria Math" w:hAnsi="Cambria Math"/>
                          </w:rPr>
                          <m:t>t</m:t>
                        </m:r>
                      </m:sup>
                    </m:sSup>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3</m:t>
                            </m:r>
                          </m:sub>
                        </m:sSub>
                        <m:r>
                          <w:rPr>
                            <w:rFonts w:ascii="Cambria Math" w:hAnsi="Cambria Math"/>
                          </w:rPr>
                          <m:t>+</m:t>
                        </m:r>
                        <m:rad>
                          <m:radPr>
                            <m:degHide m:val="1"/>
                            <m:ctrlPr>
                              <w:rPr>
                                <w:rFonts w:ascii="Cambria Math" w:hAnsi="Cambria Math"/>
                              </w:rPr>
                            </m:ctrlPr>
                          </m:radPr>
                          <m:deg/>
                          <m:e>
                            <m:r>
                              <w:rPr>
                                <w:rFonts w:ascii="Cambria Math" w:hAnsi="Cambria Math"/>
                              </w:rPr>
                              <m:t>Δ</m:t>
                            </m:r>
                          </m:e>
                        </m:rad>
                      </m:e>
                    </m:d>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-Σ-</m:t>
                            </m:r>
                            <m:rad>
                              <m:radPr>
                                <m:degHide m:val="1"/>
                                <m:ctrlPr>
                                  <w:rPr>
                                    <w:rFonts w:ascii="Cambria Math" w:hAnsi="Cambria Math"/>
                                  </w:rPr>
                                </m:ctrlPr>
                              </m:radPr>
                              <m:deg/>
                              <m:e>
                                <m:r>
                                  <w:rPr>
                                    <w:rFonts w:ascii="Cambria Math" w:hAnsi="Cambria Math"/>
                                  </w:rPr>
                                  <m:t>Δ</m:t>
                                </m:r>
                              </m:e>
                            </m:rad>
                          </m:num>
                          <m:den>
                            <m:r>
                              <w:rPr>
                                <w:rFonts w:ascii="Cambria Math" w:hAnsi="Cambria Math"/>
                              </w:rPr>
                              <m:t>2</m:t>
                            </m:r>
                          </m:den>
                        </m:f>
                        <m:r>
                          <w:rPr>
                            <w:rFonts w:ascii="Cambria Math" w:hAnsi="Cambria Math"/>
                          </w:rPr>
                          <m:t>t</m:t>
                        </m:r>
                      </m:sup>
                    </m:sSup>
                  </m:e>
                </m:d>
              </m:oMath>
            </m:oMathPara>
          </w:p>
        </w:tc>
        <w:tc>
          <w:tcPr>
            <w:tcW w:w="560" w:type="dxa"/>
            <w:vAlign w:val="center"/>
          </w:tcPr>
          <w:p w14:paraId="4B455D5D" w14:textId="70DD8502" w:rsidR="00C333FE" w:rsidRDefault="00C333FE" w:rsidP="0052569F">
            <w:pPr>
              <w:pStyle w:val="CETBodytext"/>
              <w:jc w:val="left"/>
            </w:pPr>
            <w:r>
              <w:t>(3)</w:t>
            </w:r>
          </w:p>
        </w:tc>
      </w:tr>
    </w:tbl>
    <w:p w14:paraId="78A30C43" w14:textId="2EBA3C91" w:rsidR="00C333FE" w:rsidRDefault="00C333FE" w:rsidP="00170EEE">
      <w:pPr>
        <w:pStyle w:val="CETBodytext"/>
        <w:spacing w:before="120"/>
        <w:rPr>
          <w:lang w:val="en-GB"/>
        </w:rPr>
      </w:pPr>
      <w:r>
        <w:rPr>
          <w:lang w:val="en-GB"/>
        </w:rPr>
        <w:t xml:space="preserve">where: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0"/>
      </w:tblGrid>
      <w:tr w:rsidR="00EC5146" w14:paraId="2AA9F2F5" w14:textId="77777777" w:rsidTr="00EC5146">
        <w:tc>
          <w:tcPr>
            <w:tcW w:w="8217" w:type="dxa"/>
          </w:tcPr>
          <w:p w14:paraId="5F9A9515" w14:textId="33967277" w:rsidR="00EC5146" w:rsidRPr="00EC5146" w:rsidRDefault="00EC5146" w:rsidP="00170EEE">
            <w:pPr>
              <w:pStyle w:val="CETBodytext"/>
              <w:spacing w:before="120"/>
              <w:rPr>
                <w:lang w:val="en-GB"/>
              </w:rPr>
            </w:pPr>
            <m:oMathPara>
              <m:oMathParaPr>
                <m:jc m:val="left"/>
              </m:oMathParaPr>
              <m:oMath>
                <m:r>
                  <w:rPr>
                    <w:rFonts w:ascii="Cambria Math" w:hAnsi="Cambria Math"/>
                    <w:lang w:val="en-GB"/>
                  </w:rPr>
                  <m:t>Σ=</m:t>
                </m:r>
                <m:sSub>
                  <m:sSubPr>
                    <m:ctrlPr>
                      <w:rPr>
                        <w:rFonts w:ascii="Cambria Math" w:hAnsi="Cambria Math"/>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k</m:t>
                    </m:r>
                  </m:e>
                  <m:sub>
                    <m:r>
                      <w:rPr>
                        <w:rFonts w:ascii="Cambria Math" w:hAnsi="Cambria Math"/>
                        <w:lang w:val="en-GB"/>
                      </w:rPr>
                      <m:t>2</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k</m:t>
                    </m:r>
                  </m:e>
                  <m:sub>
                    <m:r>
                      <w:rPr>
                        <w:rFonts w:ascii="Cambria Math" w:hAnsi="Cambria Math"/>
                        <w:lang w:val="en-GB"/>
                      </w:rPr>
                      <m:t>3</m:t>
                    </m:r>
                  </m:sub>
                </m:sSub>
              </m:oMath>
            </m:oMathPara>
          </w:p>
        </w:tc>
        <w:tc>
          <w:tcPr>
            <w:tcW w:w="560" w:type="dxa"/>
          </w:tcPr>
          <w:p w14:paraId="48561D2C" w14:textId="30138F09" w:rsidR="00EC5146" w:rsidRDefault="00EC5146" w:rsidP="00170EEE">
            <w:pPr>
              <w:pStyle w:val="CETBodytext"/>
              <w:spacing w:before="120"/>
              <w:rPr>
                <w:lang w:val="en-GB"/>
              </w:rPr>
            </w:pPr>
            <w:r>
              <w:rPr>
                <w:lang w:val="en-GB"/>
              </w:rPr>
              <w:t>(4)</w:t>
            </w:r>
          </w:p>
        </w:tc>
      </w:tr>
      <w:tr w:rsidR="00EC5146" w14:paraId="3D10146E" w14:textId="77777777" w:rsidTr="00EC5146">
        <w:tc>
          <w:tcPr>
            <w:tcW w:w="8217" w:type="dxa"/>
          </w:tcPr>
          <w:p w14:paraId="54DA6FE7" w14:textId="20CADEFD" w:rsidR="00EC5146" w:rsidRPr="00EC5146" w:rsidRDefault="00EC5146" w:rsidP="00170EEE">
            <w:pPr>
              <w:pStyle w:val="CETBodytext"/>
              <w:spacing w:before="120"/>
              <w:rPr>
                <w:lang w:val="en-GB"/>
              </w:rPr>
            </w:pPr>
            <m:oMathPara>
              <m:oMathParaPr>
                <m:jc m:val="left"/>
              </m:oMathParaPr>
              <m:oMath>
                <m:r>
                  <w:rPr>
                    <w:rFonts w:ascii="Cambria Math" w:hAnsi="Cambria Math"/>
                  </w:rPr>
                  <m:t>Δ=</m:t>
                </m:r>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-4</m:t>
                </m:r>
                <m:sSub>
                  <m:sSubPr>
                    <m:ctrlPr>
                      <w:rPr>
                        <w:rFonts w:ascii="Cambria Math" w:hAnsi="Cambria Math"/>
                      </w:rPr>
                    </m:ctrlPr>
                  </m:sSubPr>
                  <m:e>
                    <m:r>
                      <w:rPr>
                        <w:rFonts w:ascii="Cambria Math" w:hAnsi="Cambria Math"/>
                      </w:rPr>
                      <m:t>k</m:t>
                    </m:r>
                  </m:e>
                  <m:sub>
                    <m:r>
                      <w:rPr>
                        <w:rFonts w:ascii="Cambria Math" w:hAnsi="Cambria Math"/>
                      </w:rPr>
                      <m:t>1</m:t>
                    </m:r>
                  </m:sub>
                </m:sSub>
                <m:sSub>
                  <m:sSubPr>
                    <m:ctrlPr>
                      <w:rPr>
                        <w:rFonts w:ascii="Cambria Math" w:hAnsi="Cambria Math"/>
                      </w:rPr>
                    </m:ctrlPr>
                  </m:sSubPr>
                  <m:e>
                    <m:r>
                      <w:rPr>
                        <w:rFonts w:ascii="Cambria Math" w:hAnsi="Cambria Math"/>
                      </w:rPr>
                      <m:t>k</m:t>
                    </m:r>
                  </m:e>
                  <m:sub>
                    <m:r>
                      <w:rPr>
                        <w:rFonts w:ascii="Cambria Math" w:hAnsi="Cambria Math"/>
                      </w:rPr>
                      <m:t>3</m:t>
                    </m:r>
                  </m:sub>
                </m:sSub>
              </m:oMath>
            </m:oMathPara>
          </w:p>
        </w:tc>
        <w:tc>
          <w:tcPr>
            <w:tcW w:w="560" w:type="dxa"/>
          </w:tcPr>
          <w:p w14:paraId="5B03D505" w14:textId="6ABDF8B1" w:rsidR="00EC5146" w:rsidRDefault="00EC5146" w:rsidP="00170EEE">
            <w:pPr>
              <w:pStyle w:val="CETBodytext"/>
              <w:spacing w:before="120"/>
              <w:rPr>
                <w:lang w:val="en-GB"/>
              </w:rPr>
            </w:pPr>
            <w:r>
              <w:rPr>
                <w:lang w:val="en-GB"/>
              </w:rPr>
              <w:t>(5)</w:t>
            </w:r>
          </w:p>
        </w:tc>
      </w:tr>
    </w:tbl>
    <w:p w14:paraId="20970F7C" w14:textId="2B9AF74B" w:rsidR="009F1DB0" w:rsidRDefault="004F24F8" w:rsidP="008C4D6D">
      <w:pPr>
        <w:pStyle w:val="CETBodytext"/>
        <w:spacing w:before="120"/>
        <w:rPr>
          <w:lang w:val="en-GB"/>
        </w:rPr>
      </w:pPr>
      <w:r w:rsidRPr="004F24F8">
        <w:rPr>
          <w:lang w:val="en-GB"/>
        </w:rPr>
        <w:t>The parameters (k</w:t>
      </w:r>
      <w:r w:rsidRPr="004F24F8">
        <w:rPr>
          <w:vertAlign w:val="subscript"/>
          <w:lang w:val="en-GB"/>
        </w:rPr>
        <w:t>1</w:t>
      </w:r>
      <w:r w:rsidRPr="004F24F8">
        <w:rPr>
          <w:lang w:val="en-GB"/>
        </w:rPr>
        <w:t>), (k</w:t>
      </w:r>
      <w:r w:rsidRPr="004F24F8">
        <w:rPr>
          <w:vertAlign w:val="subscript"/>
          <w:lang w:val="en-GB"/>
        </w:rPr>
        <w:t>2</w:t>
      </w:r>
      <w:r w:rsidRPr="004F24F8">
        <w:rPr>
          <w:lang w:val="en-GB"/>
        </w:rPr>
        <w:t>), and (k</w:t>
      </w:r>
      <w:r w:rsidRPr="004F24F8">
        <w:rPr>
          <w:vertAlign w:val="subscript"/>
          <w:lang w:val="en-GB"/>
        </w:rPr>
        <w:t>3</w:t>
      </w:r>
      <w:r w:rsidRPr="004F24F8">
        <w:rPr>
          <w:lang w:val="en-GB"/>
        </w:rPr>
        <w:t>) were estimated by fitting the model to experimental data collected under 10 distinct operating conditions, each defined by specific combinations of light intensity, AgNP concentration, initial dye concentration, and pH. This resulted in a dataset of 10 parameter triplets per microalgal strain, yielding a total of 20 (k</w:t>
      </w:r>
      <w:r w:rsidRPr="004F24F8">
        <w:rPr>
          <w:vertAlign w:val="subscript"/>
          <w:lang w:val="en-GB"/>
        </w:rPr>
        <w:t>1</w:t>
      </w:r>
      <w:r w:rsidRPr="004F24F8">
        <w:rPr>
          <w:lang w:val="en-GB"/>
        </w:rPr>
        <w:t>, k</w:t>
      </w:r>
      <w:r w:rsidRPr="004F24F8">
        <w:rPr>
          <w:vertAlign w:val="subscript"/>
          <w:lang w:val="en-GB"/>
        </w:rPr>
        <w:t>2</w:t>
      </w:r>
      <w:r w:rsidRPr="004F24F8">
        <w:rPr>
          <w:lang w:val="en-GB"/>
        </w:rPr>
        <w:t>, k</w:t>
      </w:r>
      <w:r w:rsidRPr="004F24F8">
        <w:rPr>
          <w:vertAlign w:val="subscript"/>
          <w:lang w:val="en-GB"/>
        </w:rPr>
        <w:t>3</w:t>
      </w:r>
      <w:r w:rsidRPr="004F24F8">
        <w:rPr>
          <w:lang w:val="en-GB"/>
        </w:rPr>
        <w:t>) sets across the two strains investigated.</w:t>
      </w:r>
      <w:r>
        <w:rPr>
          <w:lang w:val="en-GB"/>
        </w:rPr>
        <w:t xml:space="preserve"> </w:t>
      </w:r>
    </w:p>
    <w:p w14:paraId="6F8A1DFA" w14:textId="39C683BB" w:rsidR="004F24F8" w:rsidRDefault="004F24F8" w:rsidP="004C4808">
      <w:pPr>
        <w:pStyle w:val="CETBodytext"/>
        <w:rPr>
          <w:lang w:val="en-GB"/>
        </w:rPr>
      </w:pPr>
      <w:r>
        <w:rPr>
          <w:lang w:val="en-GB"/>
        </w:rPr>
        <w:lastRenderedPageBreak/>
        <w:t xml:space="preserve">To search for a relation between the parameter values and the operating conditions values a machine learning approach is adopted by relying on the gradient boosting method. </w:t>
      </w:r>
      <w:r w:rsidR="004C4808">
        <w:rPr>
          <w:lang w:val="en-GB"/>
        </w:rPr>
        <w:t>In particular, t</w:t>
      </w:r>
      <w:r w:rsidR="004C4808" w:rsidRPr="004C4808">
        <w:rPr>
          <w:lang w:val="en-GB"/>
        </w:rPr>
        <w:t xml:space="preserve">he predictive modeling workflow </w:t>
      </w:r>
      <w:r w:rsidR="004C4808">
        <w:rPr>
          <w:lang w:val="en-GB"/>
        </w:rPr>
        <w:t>is</w:t>
      </w:r>
      <w:r w:rsidR="004C4808" w:rsidRPr="004C4808">
        <w:rPr>
          <w:lang w:val="en-GB"/>
        </w:rPr>
        <w:t xml:space="preserve"> developed to overcome the limited size of the experimental dataset by combining data augmentation with machine learning regression. Starting from the original measurements, an expanded dataset (≥400 samples) </w:t>
      </w:r>
      <w:r w:rsidR="004C4808">
        <w:rPr>
          <w:lang w:val="en-GB"/>
        </w:rPr>
        <w:t>is</w:t>
      </w:r>
      <w:r w:rsidR="004C4808" w:rsidRPr="004C4808">
        <w:rPr>
          <w:lang w:val="en-GB"/>
        </w:rPr>
        <w:t xml:space="preserve"> generated through stochastic perturbation of both input and output variables. Specifically, input features ([NP], light intensity, pH, and initial dye concentration) </w:t>
      </w:r>
      <w:r w:rsidR="004C4808">
        <w:rPr>
          <w:lang w:val="en-GB"/>
        </w:rPr>
        <w:t>are</w:t>
      </w:r>
      <w:r w:rsidR="004C4808" w:rsidRPr="004C4808">
        <w:rPr>
          <w:lang w:val="en-GB"/>
        </w:rPr>
        <w:t xml:space="preserve"> perturbed using a truncated Gaussian distribution bounded within ±5% of their nominal values, ensuring physically consistent variability. Output variables (k</w:t>
      </w:r>
      <w:r w:rsidR="004C4808" w:rsidRPr="004C4808">
        <w:rPr>
          <w:rFonts w:ascii="Cambria Math" w:hAnsi="Cambria Math" w:cs="Cambria Math"/>
          <w:lang w:val="en-GB"/>
        </w:rPr>
        <w:t>₁</w:t>
      </w:r>
      <w:r w:rsidR="004C4808" w:rsidRPr="004C4808">
        <w:rPr>
          <w:lang w:val="en-GB"/>
        </w:rPr>
        <w:t>, k</w:t>
      </w:r>
      <w:r w:rsidR="004C4808" w:rsidRPr="004C4808">
        <w:rPr>
          <w:rFonts w:ascii="Cambria Math" w:hAnsi="Cambria Math" w:cs="Cambria Math"/>
          <w:lang w:val="en-GB"/>
        </w:rPr>
        <w:t>₂</w:t>
      </w:r>
      <w:r w:rsidR="004C4808" w:rsidRPr="004C4808">
        <w:rPr>
          <w:lang w:val="en-GB"/>
        </w:rPr>
        <w:t>, k</w:t>
      </w:r>
      <w:r w:rsidR="004C4808" w:rsidRPr="004C4808">
        <w:rPr>
          <w:rFonts w:ascii="Cambria Math" w:hAnsi="Cambria Math" w:cs="Cambria Math"/>
          <w:lang w:val="en-GB"/>
        </w:rPr>
        <w:t>₃</w:t>
      </w:r>
      <w:r w:rsidR="004C4808" w:rsidRPr="004C4808">
        <w:rPr>
          <w:lang w:val="en-GB"/>
        </w:rPr>
        <w:t xml:space="preserve">) </w:t>
      </w:r>
      <w:r w:rsidR="004C4808">
        <w:rPr>
          <w:lang w:val="en-GB"/>
        </w:rPr>
        <w:t>are</w:t>
      </w:r>
      <w:r w:rsidR="004C4808" w:rsidRPr="004C4808">
        <w:rPr>
          <w:lang w:val="en-GB"/>
        </w:rPr>
        <w:t xml:space="preserve"> instead sampled from Gaussian distributions centered on the experimental means, with standard deviations equal to the reported measurement uncertainties, thus preserving the statistical structure of the experimental error.</w:t>
      </w:r>
      <w:r w:rsidR="004C4808">
        <w:rPr>
          <w:lang w:val="en-GB"/>
        </w:rPr>
        <w:t xml:space="preserve"> </w:t>
      </w:r>
      <w:r w:rsidR="004C4808" w:rsidRPr="004C4808">
        <w:rPr>
          <w:lang w:val="en-GB"/>
        </w:rPr>
        <w:t xml:space="preserve">The augmented dataset </w:t>
      </w:r>
      <w:r w:rsidR="004C4808">
        <w:rPr>
          <w:lang w:val="en-GB"/>
        </w:rPr>
        <w:t>is</w:t>
      </w:r>
      <w:r w:rsidR="004C4808" w:rsidRPr="004C4808">
        <w:rPr>
          <w:lang w:val="en-GB"/>
        </w:rPr>
        <w:t xml:space="preserve"> then split into training (80%) and validation (20%) subsets. A multi-output regression model </w:t>
      </w:r>
      <w:r w:rsidR="004C4808">
        <w:rPr>
          <w:lang w:val="en-GB"/>
        </w:rPr>
        <w:t>is</w:t>
      </w:r>
      <w:r w:rsidR="004C4808" w:rsidRPr="004C4808">
        <w:rPr>
          <w:lang w:val="en-GB"/>
        </w:rPr>
        <w:t xml:space="preserve"> implemented by coupling </w:t>
      </w:r>
      <w:r w:rsidR="004C4808" w:rsidRPr="004C4808">
        <w:rPr>
          <w:i/>
          <w:iCs/>
          <w:lang w:val="en-GB"/>
        </w:rPr>
        <w:t>GradientBoostingRegressor</w:t>
      </w:r>
      <w:r w:rsidR="004C4808" w:rsidRPr="004C4808">
        <w:rPr>
          <w:lang w:val="en-GB"/>
        </w:rPr>
        <w:t xml:space="preserve"> with </w:t>
      </w:r>
      <w:r w:rsidR="004C4808" w:rsidRPr="004C4808">
        <w:rPr>
          <w:i/>
          <w:iCs/>
          <w:lang w:val="en-GB"/>
        </w:rPr>
        <w:t>MultiOutputRegressor</w:t>
      </w:r>
      <w:r w:rsidR="004C4808" w:rsidRPr="004C4808">
        <w:rPr>
          <w:lang w:val="en-GB"/>
        </w:rPr>
        <w:t xml:space="preserve">, enabling simultaneous prediction of the </w:t>
      </w:r>
      <w:r w:rsidR="004C4808">
        <w:rPr>
          <w:lang w:val="en-GB"/>
        </w:rPr>
        <w:t>3</w:t>
      </w:r>
      <w:r w:rsidR="004C4808" w:rsidRPr="004C4808">
        <w:rPr>
          <w:lang w:val="en-GB"/>
        </w:rPr>
        <w:t xml:space="preserve"> kinetic constants. Model training was performed using ensemble boosting of regression trees, with hyperparameters set to ensure a balance between bias and variance (e.g., number of estimators and learning rate).</w:t>
      </w:r>
      <w:r w:rsidR="008A740B">
        <w:rPr>
          <w:lang w:val="en-GB"/>
        </w:rPr>
        <w:t xml:space="preserve"> </w:t>
      </w:r>
      <w:r w:rsidR="004C4808" w:rsidRPr="004C4808">
        <w:rPr>
          <w:lang w:val="en-GB"/>
        </w:rPr>
        <w:t xml:space="preserve">Model performance </w:t>
      </w:r>
      <w:r w:rsidR="004C4808">
        <w:rPr>
          <w:lang w:val="en-GB"/>
        </w:rPr>
        <w:t>is</w:t>
      </w:r>
      <w:r w:rsidR="004C4808" w:rsidRPr="004C4808">
        <w:rPr>
          <w:lang w:val="en-GB"/>
        </w:rPr>
        <w:t xml:space="preserve"> evaluated on the validation set using standard metrics, including the coefficient of determination (R²), root mean squared error (RMSE), and mean absolute error (MAE).</w:t>
      </w:r>
    </w:p>
    <w:p w14:paraId="24B34456" w14:textId="18E62A42" w:rsidR="004C4808" w:rsidRDefault="004C4808" w:rsidP="004C4808">
      <w:pPr>
        <w:pStyle w:val="CETHeading1"/>
        <w:tabs>
          <w:tab w:val="clear" w:pos="360"/>
          <w:tab w:val="right" w:pos="7100"/>
        </w:tabs>
        <w:jc w:val="both"/>
        <w:rPr>
          <w:lang w:val="en-GB"/>
        </w:rPr>
      </w:pPr>
      <w:r>
        <w:rPr>
          <w:lang w:val="en-GB"/>
        </w:rPr>
        <w:t>Results and discussion</w:t>
      </w:r>
    </w:p>
    <w:p w14:paraId="0354C2BA" w14:textId="444587B3" w:rsidR="009858A0" w:rsidRDefault="00406197" w:rsidP="00FB1F09">
      <w:pPr>
        <w:pStyle w:val="CETBodytext"/>
        <w:spacing w:after="120"/>
        <w:rPr>
          <w:lang w:val="en-GB"/>
        </w:rPr>
      </w:pPr>
      <w:r w:rsidRPr="00406197">
        <w:rPr>
          <w:lang w:val="en-GB"/>
        </w:rPr>
        <w:t xml:space="preserve">AgNPs </w:t>
      </w:r>
      <w:r w:rsidR="00D571CD">
        <w:rPr>
          <w:lang w:val="en-GB"/>
        </w:rPr>
        <w:t>are</w:t>
      </w:r>
      <w:r w:rsidRPr="00406197">
        <w:rPr>
          <w:lang w:val="en-GB"/>
        </w:rPr>
        <w:t xml:space="preserve"> synthesized using microalgal extracts (e.g., </w:t>
      </w:r>
      <w:r w:rsidRPr="00406197">
        <w:rPr>
          <w:i/>
          <w:iCs/>
          <w:lang w:val="en-GB"/>
        </w:rPr>
        <w:t>S. platensis</w:t>
      </w:r>
      <w:r w:rsidRPr="00406197">
        <w:rPr>
          <w:lang w:val="en-GB"/>
        </w:rPr>
        <w:t xml:space="preserve">, </w:t>
      </w:r>
      <w:r w:rsidRPr="00406197">
        <w:rPr>
          <w:i/>
          <w:iCs/>
          <w:lang w:val="en-GB"/>
        </w:rPr>
        <w:t>C. vulgaris</w:t>
      </w:r>
      <w:r w:rsidRPr="00406197">
        <w:rPr>
          <w:lang w:val="en-GB"/>
        </w:rPr>
        <w:t xml:space="preserve">), where biomolecules act as reducing and stabilizing agents. The process involves nucleation, growth, and stabilization: metal ions are reduced to atoms, forming crystalline </w:t>
      </w:r>
      <w:r w:rsidR="006F027F">
        <w:rPr>
          <w:lang w:val="en-GB"/>
        </w:rPr>
        <w:t>NPs</w:t>
      </w:r>
      <w:r w:rsidRPr="00406197">
        <w:rPr>
          <w:lang w:val="en-GB"/>
        </w:rPr>
        <w:t>. Biomolecules bind to crystal surfaces, guiding growth, and create a capping layer that prevents aggregation through steric and electrostatic effects, ensuring stable dispersion in solution</w:t>
      </w:r>
      <w:r>
        <w:rPr>
          <w:lang w:val="en-GB"/>
        </w:rPr>
        <w:t xml:space="preserve"> </w:t>
      </w:r>
      <w:r>
        <w:rPr>
          <w:lang w:val="en-GB"/>
        </w:rPr>
        <w:fldChar w:fldCharType="begin" w:fldLock="1"/>
      </w:r>
      <w:r w:rsidR="0030349B">
        <w:rPr>
          <w:lang w:val="en-GB"/>
        </w:rPr>
        <w:instrText>ADDIN CSL_CITATION {"citationItems":[{"id":"ITEM-1","itemData":{"DOI":"10.1039/D4RA00343H","ISSN":"2046-2069","abstract":"Efficient carbon monoxide oxidation is important to reduce its impacts on both human health and the environment. Following a sustainable synthesis route toward new catalysts, nanosized Co3O4 was synthesized based on extracts of microalgae: Spirulina platensis, Chlorella vulgaris, and Haematococcus pluvialis. Using the metabolites in the extract and applying different calcination temperatures (450, 650, 800 °C) led to Co3O4 catalysts with distinctly different properties. The obtained Co3O4 nanomaterials exhibited octahedral, nanosheet, and spherical morphologies with structural defects and surface segregation of phosphorous and potassium, originating from the extracts. The presence of P and K in the oxide nanostructures significantly improved their catalytic CO oxidation activity. When normalized by the specific surface area, the microalgae-derived catalysts exceeded a commercial benchmark catalyst. In situ studies revealed differences in oxygen mobility and carbonate formation during the reaction. The obtained insights may facilitate the development of new synthesis strategies for manufacturing highly active Co3O4 nanocatalysts.","author":[{"dropping-particle":"","family":"Sidorowicz","given":"Agnieszka","non-dropping-particle":"","parse-names":false,"suffix":""},{"dropping-particle":"","family":"Yigit","given":"Nevzat","non-dropping-particle":"","parse-names":false,"suffix":""},{"dropping-particle":"","family":"Wicht","given":"Thomas","non-dropping-particle":"","parse-names":false,"suffix":""},{"dropping-particle":"","family":"Stöger-Pollach","given":"Michael","non-dropping-particle":"","parse-names":false,"suffix":""},{"dropping-particle":"","family":"Concas","given":"Alessandro","non-dropping-particle":"","parse-names":false,"suffix":""},{"dropping-particle":"","family":"Orrù","given":"Roberto","non-dropping-particle":"","parse-names":false,"suffix":""},{"dropping-particle":"","family":"Cao","given":"Giacomo","non-dropping-particle":"","parse-names":false,"suffix":""},{"dropping-particle":"","family":"Rupprechter","given":"Günther","non-dropping-particle":"","parse-names":false,"suffix":""}],"container-title":"RSC Advances","id":"ITEM-1","issue":"7","issued":{"date-parts":[["2024","1"]]},"page":"4575-4586","publisher":"The Royal Society of Chemistry","title":"Microalgae-derived Co3O4 nanomaterials for catalytic CO oxidation","type":"article-journal","volume":"14"},"uris":["http://www.mendeley.com/documents/?uuid=79c3bece-9f5a-4f92-a6f8-a63481ab6ecc"]}],"mendeley":{"formattedCitation":"(Agnieszka Sidorowicz et al., 2024c)","manualFormatting":"(Sidorowicz et al., 2024c)","plainTextFormattedCitation":"(Agnieszka Sidorowicz et al., 2024c)","previouslyFormattedCitation":"(Agnieszka Sidorowicz et al., 2024c)"},"properties":{"noteIndex":0},"schema":"https://github.com/citation-style-language/schema/raw/master/csl-citation.json"}</w:instrText>
      </w:r>
      <w:r>
        <w:rPr>
          <w:lang w:val="en-GB"/>
        </w:rPr>
        <w:fldChar w:fldCharType="separate"/>
      </w:r>
      <w:r w:rsidRPr="00406197">
        <w:rPr>
          <w:noProof/>
          <w:lang w:val="en-GB"/>
        </w:rPr>
        <w:t xml:space="preserve">(Sidorowicz </w:t>
      </w:r>
      <w:r w:rsidRPr="00406197">
        <w:rPr>
          <w:i/>
          <w:noProof/>
          <w:lang w:val="en-GB"/>
        </w:rPr>
        <w:t>et al.</w:t>
      </w:r>
      <w:r w:rsidRPr="00406197">
        <w:rPr>
          <w:noProof/>
          <w:lang w:val="en-GB"/>
        </w:rPr>
        <w:t>, 2024</w:t>
      </w:r>
      <w:r w:rsidR="00EE6DE8">
        <w:rPr>
          <w:noProof/>
          <w:lang w:val="en-GB"/>
        </w:rPr>
        <w:t>c</w:t>
      </w:r>
      <w:r w:rsidRPr="00406197">
        <w:rPr>
          <w:noProof/>
          <w:lang w:val="en-GB"/>
        </w:rPr>
        <w:t>)</w:t>
      </w:r>
      <w:r>
        <w:rPr>
          <w:lang w:val="en-GB"/>
        </w:rPr>
        <w:fldChar w:fldCharType="end"/>
      </w:r>
      <w:r w:rsidRPr="00406197">
        <w:rPr>
          <w:lang w:val="en-GB"/>
        </w:rPr>
        <w:t>.</w:t>
      </w:r>
      <w:r w:rsidR="009858A0">
        <w:rPr>
          <w:lang w:val="en-GB"/>
        </w:rPr>
        <w:t xml:space="preserve"> </w:t>
      </w:r>
      <w:r w:rsidR="009858A0" w:rsidRPr="009858A0">
        <w:rPr>
          <w:lang w:val="en-GB"/>
        </w:rPr>
        <w:t>A concise summary</w:t>
      </w:r>
      <w:r w:rsidR="009858A0">
        <w:rPr>
          <w:lang w:val="en-GB"/>
        </w:rPr>
        <w:t xml:space="preserve"> </w:t>
      </w:r>
      <w:r w:rsidR="009858A0" w:rsidRPr="009858A0">
        <w:rPr>
          <w:lang w:val="en-GB"/>
        </w:rPr>
        <w:t>of the AgNPs characterization is provided</w:t>
      </w:r>
      <w:r w:rsidR="006F027F">
        <w:rPr>
          <w:lang w:val="en-GB"/>
        </w:rPr>
        <w:t xml:space="preserve"> by Atzori et al., (2025)</w:t>
      </w:r>
      <w:r w:rsidR="009858A0" w:rsidRPr="009858A0">
        <w:rPr>
          <w:lang w:val="en-GB"/>
        </w:rPr>
        <w:t>.</w:t>
      </w:r>
      <w:r w:rsidR="009858A0">
        <w:rPr>
          <w:lang w:val="en-GB"/>
        </w:rPr>
        <w:t xml:space="preserve"> </w:t>
      </w:r>
      <w:r w:rsidR="009858A0" w:rsidRPr="009858A0">
        <w:rPr>
          <w:lang w:val="en-GB"/>
        </w:rPr>
        <w:t>XRD analysis confirm the formation of crystalline nanoparticles, with diffraction peaks corresponding to Ag, Ag</w:t>
      </w:r>
      <w:r w:rsidR="009858A0" w:rsidRPr="009858A0">
        <w:rPr>
          <w:rFonts w:ascii="Cambria Math" w:hAnsi="Cambria Math" w:cs="Cambria Math"/>
          <w:lang w:val="en-GB"/>
        </w:rPr>
        <w:t>₂</w:t>
      </w:r>
      <w:r w:rsidR="009858A0" w:rsidRPr="009858A0">
        <w:rPr>
          <w:lang w:val="en-GB"/>
        </w:rPr>
        <w:t>O, Ag</w:t>
      </w:r>
      <w:r w:rsidR="009858A0" w:rsidRPr="009858A0">
        <w:rPr>
          <w:rFonts w:ascii="Cambria Math" w:hAnsi="Cambria Math" w:cs="Cambria Math"/>
          <w:lang w:val="en-GB"/>
        </w:rPr>
        <w:t>₂</w:t>
      </w:r>
      <w:r w:rsidR="009858A0" w:rsidRPr="009858A0">
        <w:rPr>
          <w:lang w:val="en-GB"/>
        </w:rPr>
        <w:t>CO</w:t>
      </w:r>
      <w:r w:rsidR="009858A0" w:rsidRPr="009858A0">
        <w:rPr>
          <w:rFonts w:ascii="Cambria Math" w:hAnsi="Cambria Math" w:cs="Cambria Math"/>
          <w:lang w:val="en-GB"/>
        </w:rPr>
        <w:t>₃</w:t>
      </w:r>
      <w:r w:rsidR="009858A0" w:rsidRPr="009858A0">
        <w:rPr>
          <w:lang w:val="en-GB"/>
        </w:rPr>
        <w:t>, and AgCl phases. Peak sharpness indicate</w:t>
      </w:r>
      <w:r w:rsidR="00D571CD">
        <w:rPr>
          <w:lang w:val="en-GB"/>
        </w:rPr>
        <w:t>s</w:t>
      </w:r>
      <w:r w:rsidR="009858A0" w:rsidRPr="009858A0">
        <w:rPr>
          <w:lang w:val="en-GB"/>
        </w:rPr>
        <w:t xml:space="preserve"> good crystallinity, while broadening suggest</w:t>
      </w:r>
      <w:r w:rsidR="00D571CD">
        <w:rPr>
          <w:lang w:val="en-GB"/>
        </w:rPr>
        <w:t>s</w:t>
      </w:r>
      <w:r w:rsidR="009858A0" w:rsidRPr="009858A0">
        <w:rPr>
          <w:lang w:val="en-GB"/>
        </w:rPr>
        <w:t xml:space="preserve"> nanoscale size (</w:t>
      </w:r>
      <w:r w:rsidR="009858A0" w:rsidRPr="009858A0">
        <w:rPr>
          <w:rFonts w:cs="Arial"/>
          <w:lang w:val="en-GB"/>
        </w:rPr>
        <w:t>≈</w:t>
      </w:r>
      <w:r w:rsidR="009858A0" w:rsidRPr="009858A0">
        <w:rPr>
          <w:lang w:val="en-GB"/>
        </w:rPr>
        <w:t xml:space="preserve">16.1 nm for </w:t>
      </w:r>
      <w:r w:rsidR="009858A0" w:rsidRPr="009858A0">
        <w:rPr>
          <w:i/>
          <w:iCs/>
          <w:lang w:val="en-GB"/>
        </w:rPr>
        <w:t>C. vulgaris</w:t>
      </w:r>
      <w:r w:rsidR="009858A0" w:rsidRPr="009858A0">
        <w:rPr>
          <w:lang w:val="en-GB"/>
        </w:rPr>
        <w:t xml:space="preserve">, </w:t>
      </w:r>
      <w:r w:rsidR="009858A0" w:rsidRPr="009858A0">
        <w:rPr>
          <w:rFonts w:cs="Arial"/>
          <w:lang w:val="en-GB"/>
        </w:rPr>
        <w:t>≈</w:t>
      </w:r>
      <w:r w:rsidR="009858A0" w:rsidRPr="009858A0">
        <w:rPr>
          <w:lang w:val="en-GB"/>
        </w:rPr>
        <w:t xml:space="preserve">13.0 nm for </w:t>
      </w:r>
      <w:r w:rsidR="009858A0" w:rsidRPr="009858A0">
        <w:rPr>
          <w:i/>
          <w:iCs/>
          <w:lang w:val="en-GB"/>
        </w:rPr>
        <w:t>S. platensis</w:t>
      </w:r>
      <w:r w:rsidR="009858A0" w:rsidRPr="009858A0">
        <w:rPr>
          <w:lang w:val="en-GB"/>
        </w:rPr>
        <w:t>), with no impurities</w:t>
      </w:r>
      <w:r w:rsidR="009858A0">
        <w:rPr>
          <w:lang w:val="en-GB"/>
        </w:rPr>
        <w:t xml:space="preserve"> (Figure 1A)</w:t>
      </w:r>
      <w:r w:rsidR="009858A0" w:rsidRPr="009858A0">
        <w:rPr>
          <w:lang w:val="en-GB"/>
        </w:rPr>
        <w:t>.</w:t>
      </w:r>
      <w:r w:rsidR="009858A0">
        <w:rPr>
          <w:lang w:val="en-GB"/>
        </w:rPr>
        <w:t xml:space="preserve"> </w:t>
      </w:r>
    </w:p>
    <w:p w14:paraId="01489B12" w14:textId="77777777" w:rsidR="009858A0" w:rsidRDefault="009858A0" w:rsidP="009858A0">
      <w:pPr>
        <w:jc w:val="center"/>
        <w:rPr>
          <w:b/>
          <w:bCs/>
          <w:lang w:val="en-US"/>
        </w:rPr>
      </w:pPr>
      <w:r>
        <w:rPr>
          <w:noProof/>
        </w:rPr>
        <w:drawing>
          <wp:inline distT="0" distB="0" distL="0" distR="0" wp14:anchorId="7CDBD2F2" wp14:editId="260E8465">
            <wp:extent cx="5358905" cy="3431986"/>
            <wp:effectExtent l="0" t="0" r="0" b="0"/>
            <wp:docPr id="6597736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42" r="1370"/>
                    <a:stretch>
                      <a:fillRect/>
                    </a:stretch>
                  </pic:blipFill>
                  <pic:spPr bwMode="auto">
                    <a:xfrm>
                      <a:off x="0" y="0"/>
                      <a:ext cx="5358905" cy="3431986"/>
                    </a:xfrm>
                    <a:prstGeom prst="rect">
                      <a:avLst/>
                    </a:prstGeom>
                    <a:noFill/>
                    <a:ln>
                      <a:noFill/>
                    </a:ln>
                    <a:extLst>
                      <a:ext uri="{53640926-AAD7-44D8-BBD7-CCE9431645EC}">
                        <a14:shadowObscured xmlns:a14="http://schemas.microsoft.com/office/drawing/2010/main"/>
                      </a:ext>
                    </a:extLst>
                  </pic:spPr>
                </pic:pic>
              </a:graphicData>
            </a:graphic>
          </wp:inline>
        </w:drawing>
      </w:r>
    </w:p>
    <w:p w14:paraId="186885A5" w14:textId="61C21CB8" w:rsidR="009858A0" w:rsidRPr="00FD351A" w:rsidRDefault="009858A0" w:rsidP="00652AE7">
      <w:pPr>
        <w:spacing w:after="120"/>
        <w:jc w:val="center"/>
        <w:rPr>
          <w:lang w:val="en-US"/>
        </w:rPr>
      </w:pPr>
      <w:r w:rsidRPr="00FD351A">
        <w:rPr>
          <w:b/>
          <w:bCs/>
          <w:lang w:val="en-US"/>
        </w:rPr>
        <w:t>Figure 1.</w:t>
      </w:r>
      <w:r w:rsidRPr="00FD351A">
        <w:rPr>
          <w:lang w:val="en-US"/>
        </w:rPr>
        <w:t xml:space="preserve"> </w:t>
      </w:r>
      <w:r>
        <w:rPr>
          <w:lang w:val="en-US"/>
        </w:rPr>
        <w:t>Characterization of</w:t>
      </w:r>
      <w:r w:rsidRPr="00FD351A">
        <w:rPr>
          <w:lang w:val="en-US"/>
        </w:rPr>
        <w:t xml:space="preserve"> Ag NPs</w:t>
      </w:r>
      <w:r>
        <w:rPr>
          <w:lang w:val="en-US"/>
        </w:rPr>
        <w:t xml:space="preserve">: </w:t>
      </w:r>
      <w:r w:rsidRPr="00FD351A">
        <w:rPr>
          <w:lang w:val="en-US"/>
        </w:rPr>
        <w:t>XRD analys</w:t>
      </w:r>
      <w:r>
        <w:rPr>
          <w:lang w:val="en-US"/>
        </w:rPr>
        <w:t>e</w:t>
      </w:r>
      <w:r w:rsidRPr="00FD351A">
        <w:rPr>
          <w:lang w:val="en-US"/>
        </w:rPr>
        <w:t>s</w:t>
      </w:r>
      <w:r>
        <w:rPr>
          <w:lang w:val="en-US"/>
        </w:rPr>
        <w:t xml:space="preserve"> </w:t>
      </w:r>
      <w:r w:rsidRPr="00FD351A">
        <w:rPr>
          <w:lang w:val="en-US"/>
        </w:rPr>
        <w:t>(</w:t>
      </w:r>
      <w:r>
        <w:rPr>
          <w:lang w:val="en-US"/>
        </w:rPr>
        <w:t>A</w:t>
      </w:r>
      <w:r w:rsidRPr="00FD351A">
        <w:rPr>
          <w:lang w:val="en-US"/>
        </w:rPr>
        <w:t>)</w:t>
      </w:r>
      <w:r>
        <w:rPr>
          <w:lang w:val="en-US"/>
        </w:rPr>
        <w:t>.</w:t>
      </w:r>
      <w:r w:rsidRPr="00FD351A">
        <w:rPr>
          <w:lang w:val="en-US"/>
        </w:rPr>
        <w:t xml:space="preserve"> </w:t>
      </w:r>
      <w:r>
        <w:rPr>
          <w:lang w:val="en-US"/>
        </w:rPr>
        <w:t xml:space="preserve">FTIR </w:t>
      </w:r>
      <w:r w:rsidRPr="00FD351A">
        <w:rPr>
          <w:lang w:val="en-US"/>
        </w:rPr>
        <w:t>analysis</w:t>
      </w:r>
      <w:r>
        <w:rPr>
          <w:lang w:val="en-US"/>
        </w:rPr>
        <w:t xml:space="preserve"> </w:t>
      </w:r>
      <w:r w:rsidRPr="00FD351A">
        <w:rPr>
          <w:lang w:val="en-US"/>
        </w:rPr>
        <w:t>(</w:t>
      </w:r>
      <w:r>
        <w:rPr>
          <w:lang w:val="en-US"/>
        </w:rPr>
        <w:t>B).</w:t>
      </w:r>
      <w:r w:rsidRPr="00FD351A">
        <w:rPr>
          <w:lang w:val="en-US"/>
        </w:rPr>
        <w:t xml:space="preserve"> </w:t>
      </w:r>
      <w:r>
        <w:rPr>
          <w:lang w:val="en-US"/>
        </w:rPr>
        <w:t xml:space="preserve"> TGA of </w:t>
      </w:r>
      <w:r w:rsidRPr="00FD351A">
        <w:rPr>
          <w:lang w:val="en-US"/>
        </w:rPr>
        <w:t xml:space="preserve">Ag NPs </w:t>
      </w:r>
      <w:r>
        <w:rPr>
          <w:lang w:val="en-US"/>
        </w:rPr>
        <w:t xml:space="preserve">from </w:t>
      </w:r>
      <w:r w:rsidRPr="00FB1F09">
        <w:rPr>
          <w:i/>
          <w:iCs/>
          <w:lang w:val="en-US"/>
        </w:rPr>
        <w:t>S. platensis</w:t>
      </w:r>
      <w:r w:rsidRPr="00FD351A">
        <w:rPr>
          <w:lang w:val="en-US"/>
        </w:rPr>
        <w:t xml:space="preserve"> </w:t>
      </w:r>
      <w:r>
        <w:rPr>
          <w:lang w:val="en-US"/>
        </w:rPr>
        <w:t xml:space="preserve">(C) and </w:t>
      </w:r>
      <w:r w:rsidRPr="00FB1F09">
        <w:rPr>
          <w:i/>
          <w:iCs/>
          <w:lang w:val="en-US"/>
        </w:rPr>
        <w:t>C. vulgaris</w:t>
      </w:r>
      <w:r w:rsidRPr="00FD351A">
        <w:rPr>
          <w:lang w:val="en-US"/>
        </w:rPr>
        <w:t xml:space="preserve"> </w:t>
      </w:r>
      <w:r>
        <w:rPr>
          <w:lang w:val="en-US"/>
        </w:rPr>
        <w:t xml:space="preserve">(D) </w:t>
      </w:r>
      <w:r w:rsidRPr="00FD351A">
        <w:rPr>
          <w:lang w:val="en-US"/>
        </w:rPr>
        <w:t>extract</w:t>
      </w:r>
      <w:r>
        <w:rPr>
          <w:lang w:val="en-US"/>
        </w:rPr>
        <w:t xml:space="preserve">s. </w:t>
      </w:r>
      <w:r w:rsidRPr="00FD351A">
        <w:rPr>
          <w:lang w:val="en-US"/>
        </w:rPr>
        <w:t>Tauc plots</w:t>
      </w:r>
      <w:r>
        <w:rPr>
          <w:lang w:val="en-US"/>
        </w:rPr>
        <w:t xml:space="preserve"> of </w:t>
      </w:r>
      <w:r w:rsidRPr="00FD351A">
        <w:rPr>
          <w:lang w:val="en-US"/>
        </w:rPr>
        <w:t xml:space="preserve">Ag NPs </w:t>
      </w:r>
      <w:r>
        <w:rPr>
          <w:lang w:val="en-US"/>
        </w:rPr>
        <w:t xml:space="preserve">from </w:t>
      </w:r>
      <w:r w:rsidRPr="00FB1F09">
        <w:rPr>
          <w:i/>
          <w:iCs/>
          <w:lang w:val="en-US"/>
        </w:rPr>
        <w:t>S. platensis</w:t>
      </w:r>
      <w:r w:rsidRPr="00FD351A">
        <w:rPr>
          <w:lang w:val="en-US"/>
        </w:rPr>
        <w:t xml:space="preserve"> </w:t>
      </w:r>
      <w:r>
        <w:rPr>
          <w:lang w:val="en-US"/>
        </w:rPr>
        <w:t xml:space="preserve">(E) and </w:t>
      </w:r>
      <w:r w:rsidRPr="00FB1F09">
        <w:rPr>
          <w:i/>
          <w:iCs/>
          <w:lang w:val="en-US"/>
        </w:rPr>
        <w:t>C. vulgaris</w:t>
      </w:r>
      <w:r w:rsidRPr="00FD351A">
        <w:rPr>
          <w:lang w:val="en-US"/>
        </w:rPr>
        <w:t xml:space="preserve"> </w:t>
      </w:r>
      <w:r>
        <w:rPr>
          <w:lang w:val="en-US"/>
        </w:rPr>
        <w:t>(F)</w:t>
      </w:r>
      <w:r w:rsidR="00A70DAA">
        <w:rPr>
          <w:lang w:val="en-US"/>
        </w:rPr>
        <w:t xml:space="preserve">. </w:t>
      </w:r>
    </w:p>
    <w:p w14:paraId="5C354032" w14:textId="425DF2DC" w:rsidR="00D571CD" w:rsidRDefault="009858A0" w:rsidP="009858A0">
      <w:pPr>
        <w:pStyle w:val="CETBodytext"/>
        <w:rPr>
          <w:lang w:val="en-GB"/>
        </w:rPr>
      </w:pPr>
      <w:r w:rsidRPr="009858A0">
        <w:rPr>
          <w:lang w:val="en-GB"/>
        </w:rPr>
        <w:t>TGA and FTIR analyses highlight the presence and role of organic biomolecules</w:t>
      </w:r>
      <w:r>
        <w:rPr>
          <w:lang w:val="en-GB"/>
        </w:rPr>
        <w:t xml:space="preserve"> (Figure 1B)</w:t>
      </w:r>
      <w:r w:rsidRPr="009858A0">
        <w:rPr>
          <w:lang w:val="en-GB"/>
        </w:rPr>
        <w:t>. TGA reveale</w:t>
      </w:r>
      <w:r w:rsidR="00D571CD">
        <w:rPr>
          <w:lang w:val="en-GB"/>
        </w:rPr>
        <w:t>s</w:t>
      </w:r>
      <w:r w:rsidRPr="009858A0">
        <w:rPr>
          <w:lang w:val="en-GB"/>
        </w:rPr>
        <w:t xml:space="preserve"> initial weight loss due to moisture removal, followed by decomposition of organic stabilizers, confirming their involvement in nanoparticle capping. Final residues (</w:t>
      </w:r>
      <w:r w:rsidR="00937CFA" w:rsidRPr="009858A0">
        <w:rPr>
          <w:lang w:val="en-GB"/>
        </w:rPr>
        <w:t xml:space="preserve">≈80% for </w:t>
      </w:r>
      <w:r w:rsidR="00937CFA" w:rsidRPr="00937CFA">
        <w:rPr>
          <w:i/>
          <w:iCs/>
          <w:lang w:val="en-GB"/>
        </w:rPr>
        <w:t>S. platensis</w:t>
      </w:r>
      <w:r w:rsidR="00937CFA" w:rsidRPr="009858A0">
        <w:rPr>
          <w:lang w:val="en-GB"/>
        </w:rPr>
        <w:t xml:space="preserve"> </w:t>
      </w:r>
      <w:r w:rsidR="00937CFA">
        <w:rPr>
          <w:lang w:val="en-GB"/>
        </w:rPr>
        <w:t xml:space="preserve">and </w:t>
      </w:r>
      <w:r w:rsidRPr="009858A0">
        <w:rPr>
          <w:lang w:val="en-GB"/>
        </w:rPr>
        <w:t xml:space="preserve">≈65% </w:t>
      </w:r>
      <w:r w:rsidRPr="00937CFA">
        <w:rPr>
          <w:i/>
          <w:iCs/>
          <w:lang w:val="en-GB"/>
        </w:rPr>
        <w:t>for C. vulgaris</w:t>
      </w:r>
      <w:r w:rsidRPr="009858A0">
        <w:rPr>
          <w:lang w:val="en-GB"/>
        </w:rPr>
        <w:t>) correspond to the inorganic fraction</w:t>
      </w:r>
      <w:r w:rsidR="00937CFA">
        <w:rPr>
          <w:lang w:val="en-GB"/>
        </w:rPr>
        <w:t xml:space="preserve"> (Figures 1C and 1D)</w:t>
      </w:r>
      <w:r w:rsidRPr="009858A0">
        <w:rPr>
          <w:lang w:val="en-GB"/>
        </w:rPr>
        <w:t>. FTIR spectra identif</w:t>
      </w:r>
      <w:r w:rsidR="00D571CD">
        <w:rPr>
          <w:lang w:val="en-GB"/>
        </w:rPr>
        <w:t>y</w:t>
      </w:r>
      <w:r w:rsidRPr="009858A0">
        <w:rPr>
          <w:lang w:val="en-GB"/>
        </w:rPr>
        <w:t xml:space="preserve"> </w:t>
      </w:r>
      <w:r w:rsidR="00CC6297" w:rsidRPr="00CC6297">
        <w:rPr>
          <w:lang w:val="en-GB"/>
        </w:rPr>
        <w:t>–OH</w:t>
      </w:r>
      <w:r w:rsidRPr="009858A0">
        <w:rPr>
          <w:lang w:val="en-GB"/>
        </w:rPr>
        <w:t xml:space="preserve"> and </w:t>
      </w:r>
      <w:r w:rsidR="00CC6297" w:rsidRPr="00CC6297">
        <w:rPr>
          <w:lang w:val="en-GB"/>
        </w:rPr>
        <w:t>–C=O</w:t>
      </w:r>
      <w:r w:rsidRPr="009858A0">
        <w:rPr>
          <w:lang w:val="en-GB"/>
        </w:rPr>
        <w:t>, which contribute to metal ion reduction and nanoparticle stabilization, with variations reflecting differences in extract composition</w:t>
      </w:r>
      <w:r w:rsidR="0030349B">
        <w:rPr>
          <w:lang w:val="en-GB"/>
        </w:rPr>
        <w:t xml:space="preserve"> </w:t>
      </w:r>
      <w:r w:rsidR="0030349B" w:rsidRPr="0030349B">
        <w:rPr>
          <w:lang w:val="en-GB"/>
        </w:rPr>
        <w:fldChar w:fldCharType="begin" w:fldLock="1"/>
      </w:r>
      <w:r w:rsidR="0030349B" w:rsidRPr="0030349B">
        <w:rPr>
          <w:lang w:val="en-GB"/>
        </w:rPr>
        <w:instrText>ADDIN CSL_CITATION {"citationItems":[{"id":"ITEM-1","itemData":{"DOI":"10.1007/s10876-022-02276-9","ISSN":"1040-7278","abstract":"Transition metal and metal oxide nanoparticles have received considerable attention due to their fascinating and promising biological, energy, environmental, and catalytic applications. Different strategies such as physical, chemical, and biological approaches are used to synthesize the nanoparticles into the desired shape, size, and high surface area. However, the physical and chemical approaches have doubts in terms of energy, cost, safety, and environmental concerns. The use of the green approach is now considered simple, cost-effective, environmentally friendly, and renewable using plant and microbe extracts as reducing and stabilizing agents. Phytochemicals in plant extracts and enzymes, coenzymes, proteins, etc. of microorganisms are responsible for the transformation of metal ions into nanoparticles. Therefore, the present review highlights the green synthesis of metal and metal oxide nanoparticles, plausible reaction mechanisms, and the role of the biomolecules in the synthesis. Challenges associated with green synthesis methods are discussed.","author":[{"dropping-particle":"","family":"Gebre","given":"Shushay Hagos","non-dropping-particle":"","parse-names":false,"suffix":""}],"container-title":"Journal of Cluster Science","id":"ITEM-1","issue":"2","issued":{"date-parts":[["2023","3"]]},"page":"665-704","publisher":"Springer","title":"Bio-inspired Synthesis of Metal and Metal Oxide Nanoparticles: The Key Role of Phytochemicals","type":"article-journal","volume":"34"},"uris":["http://www.mendeley.com/documents/?uuid=06caa5f3-9de6-4241-ae9d-616abe7e43e3"]}],"mendeley":{"formattedCitation":"(Gebre, 2023)","plainTextFormattedCitation":"(Gebre, 2023)","previouslyFormattedCitation":"(Gebre, 2023)"},"properties":{"noteIndex":0},"schema":"https://github.com/citation-style-language/schema/raw/master/csl-citation.json"}</w:instrText>
      </w:r>
      <w:r w:rsidR="0030349B" w:rsidRPr="0030349B">
        <w:rPr>
          <w:lang w:val="en-GB"/>
        </w:rPr>
        <w:fldChar w:fldCharType="separate"/>
      </w:r>
      <w:r w:rsidR="0030349B" w:rsidRPr="0030349B">
        <w:rPr>
          <w:noProof/>
          <w:lang w:val="en-GB"/>
        </w:rPr>
        <w:t>(Gebre, 2023)</w:t>
      </w:r>
      <w:r w:rsidR="0030349B" w:rsidRPr="0030349B">
        <w:rPr>
          <w:lang w:val="en-GB"/>
        </w:rPr>
        <w:fldChar w:fldCharType="end"/>
      </w:r>
      <w:r w:rsidRPr="009858A0">
        <w:rPr>
          <w:lang w:val="en-GB"/>
        </w:rPr>
        <w:t>.</w:t>
      </w:r>
      <w:r w:rsidR="00D571CD">
        <w:rPr>
          <w:lang w:val="en-GB"/>
        </w:rPr>
        <w:t xml:space="preserve"> </w:t>
      </w:r>
      <w:r w:rsidRPr="009858A0">
        <w:rPr>
          <w:lang w:val="en-GB"/>
        </w:rPr>
        <w:t>UV–Vis analysis show</w:t>
      </w:r>
      <w:r w:rsidR="00D571CD">
        <w:rPr>
          <w:lang w:val="en-GB"/>
        </w:rPr>
        <w:t>s</w:t>
      </w:r>
      <w:r w:rsidRPr="009858A0">
        <w:rPr>
          <w:lang w:val="en-GB"/>
        </w:rPr>
        <w:t xml:space="preserve"> characteristic surface plasmon resonance peaks, confirming nanoparticle </w:t>
      </w:r>
      <w:r w:rsidRPr="009858A0">
        <w:rPr>
          <w:lang w:val="en-GB"/>
        </w:rPr>
        <w:lastRenderedPageBreak/>
        <w:t>formation. Bandgap values (</w:t>
      </w:r>
      <w:r w:rsidR="00937CFA" w:rsidRPr="009858A0">
        <w:rPr>
          <w:lang w:val="en-GB"/>
        </w:rPr>
        <w:t xml:space="preserve">2.33 eV for </w:t>
      </w:r>
      <w:r w:rsidR="00937CFA" w:rsidRPr="009858A0">
        <w:rPr>
          <w:i/>
          <w:iCs/>
          <w:lang w:val="en-GB"/>
        </w:rPr>
        <w:t>S. platensis</w:t>
      </w:r>
      <w:r w:rsidR="00937CFA">
        <w:rPr>
          <w:lang w:val="en-GB"/>
        </w:rPr>
        <w:t xml:space="preserve"> and </w:t>
      </w:r>
      <w:r w:rsidRPr="009858A0">
        <w:rPr>
          <w:lang w:val="en-GB"/>
        </w:rPr>
        <w:t xml:space="preserve">2.17 eV for </w:t>
      </w:r>
      <w:r w:rsidRPr="009858A0">
        <w:rPr>
          <w:i/>
          <w:iCs/>
          <w:lang w:val="en-GB"/>
        </w:rPr>
        <w:t>C. vulgaris</w:t>
      </w:r>
      <w:r w:rsidR="00937CFA" w:rsidRPr="00937CFA">
        <w:rPr>
          <w:lang w:val="en-GB"/>
        </w:rPr>
        <w:t>)</w:t>
      </w:r>
      <w:r w:rsidRPr="009858A0">
        <w:rPr>
          <w:lang w:val="en-GB"/>
        </w:rPr>
        <w:t>, indicate good visible-light absorption, with slight differences attributed to size, defects, and biomolecular interactions</w:t>
      </w:r>
      <w:r w:rsidR="00937CFA">
        <w:rPr>
          <w:lang w:val="en-GB"/>
        </w:rPr>
        <w:t xml:space="preserve"> (Figures 1E and 1F)</w:t>
      </w:r>
      <w:r w:rsidRPr="009858A0">
        <w:rPr>
          <w:lang w:val="en-GB"/>
        </w:rPr>
        <w:t>.</w:t>
      </w:r>
      <w:r w:rsidR="004D4DD2">
        <w:rPr>
          <w:lang w:val="en-GB"/>
        </w:rPr>
        <w:t xml:space="preserve"> </w:t>
      </w:r>
    </w:p>
    <w:p w14:paraId="426D4B49" w14:textId="7374A044" w:rsidR="00FB1F09" w:rsidRDefault="00FB1F09" w:rsidP="009858A0">
      <w:pPr>
        <w:pStyle w:val="CETBodytext"/>
        <w:rPr>
          <w:lang w:val="en-GB"/>
        </w:rPr>
      </w:pPr>
      <w:r w:rsidRPr="00FB1F09">
        <w:rPr>
          <w:lang w:val="en-GB"/>
        </w:rPr>
        <w:t xml:space="preserve">Figure </w:t>
      </w:r>
      <w:r>
        <w:rPr>
          <w:lang w:val="en-GB"/>
        </w:rPr>
        <w:t>2</w:t>
      </w:r>
      <w:r w:rsidRPr="00FB1F09">
        <w:rPr>
          <w:lang w:val="en-GB"/>
        </w:rPr>
        <w:t xml:space="preserve"> </w:t>
      </w:r>
      <w:r w:rsidR="00D571CD">
        <w:rPr>
          <w:lang w:val="en-GB"/>
        </w:rPr>
        <w:t>shows</w:t>
      </w:r>
      <w:r w:rsidRPr="00FB1F09">
        <w:rPr>
          <w:lang w:val="en-GB"/>
        </w:rPr>
        <w:t xml:space="preserve"> the time evolution of dye removal during photocatalytic degradation using AgNPs from different microalgal strains under varying conditions (light intensity, initial concentration, catalyst loading, and pH).</w:t>
      </w:r>
    </w:p>
    <w:p w14:paraId="2856BDA0" w14:textId="0EF8108C" w:rsidR="00D829EF" w:rsidRDefault="00D571CD" w:rsidP="00D829EF">
      <w:pPr>
        <w:jc w:val="center"/>
      </w:pPr>
      <w:r>
        <w:object w:dxaOrig="22678" w:dyaOrig="13606" w14:anchorId="31EB3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5pt;height:266.55pt;mso-position-horizontal:absolute;mso-position-horizontal-relative:text;mso-position-vertical:absolute;mso-position-vertical-relative:text" o:ole="">
            <v:imagedata r:id="rId12" o:title="" croptop="2731f" cropbottom="15020f" cropleft="5571f" cropright="15565f"/>
          </v:shape>
          <o:OLEObject Type="Embed" ProgID="Origin95.Graph" ShapeID="_x0000_i1025" DrawAspect="Content" ObjectID="_1840028006" r:id="rId13"/>
        </w:object>
      </w:r>
    </w:p>
    <w:p w14:paraId="22B55CF9" w14:textId="77777777" w:rsidR="00D829EF" w:rsidRPr="000145FE" w:rsidRDefault="00D829EF" w:rsidP="00D829EF">
      <w:pPr>
        <w:jc w:val="center"/>
        <w:rPr>
          <w:lang w:val="en-US"/>
        </w:rPr>
      </w:pPr>
      <w:r w:rsidRPr="00B76960">
        <w:rPr>
          <w:b/>
          <w:bCs/>
          <w:lang w:val="en-US"/>
        </w:rPr>
        <w:t>Figure 2.</w:t>
      </w:r>
      <w:r w:rsidRPr="000145FE">
        <w:rPr>
          <w:lang w:val="en-US"/>
        </w:rPr>
        <w:t xml:space="preserve"> </w:t>
      </w:r>
      <w:r>
        <w:rPr>
          <w:lang w:val="en-US"/>
        </w:rPr>
        <w:t>E</w:t>
      </w:r>
      <w:r w:rsidRPr="000145FE">
        <w:rPr>
          <w:lang w:val="en-US"/>
        </w:rPr>
        <w:t>xperimental</w:t>
      </w:r>
      <w:r>
        <w:rPr>
          <w:lang w:val="en-US"/>
        </w:rPr>
        <w:t xml:space="preserve"> </w:t>
      </w:r>
      <w:r w:rsidRPr="000145FE">
        <w:rPr>
          <w:lang w:val="en-US"/>
        </w:rPr>
        <w:t xml:space="preserve">and </w:t>
      </w:r>
      <w:r>
        <w:rPr>
          <w:lang w:val="en-US"/>
        </w:rPr>
        <w:t xml:space="preserve">simulated (fitted) removal efficiencies under the investigated </w:t>
      </w:r>
      <w:r w:rsidRPr="000145FE">
        <w:rPr>
          <w:lang w:val="en-US"/>
        </w:rPr>
        <w:t>operating conditions using Ag NPs from S. platensis</w:t>
      </w:r>
      <w:r>
        <w:rPr>
          <w:lang w:val="en-US"/>
        </w:rPr>
        <w:t xml:space="preserve"> (SP)</w:t>
      </w:r>
      <w:r w:rsidRPr="000145FE">
        <w:rPr>
          <w:lang w:val="en-US"/>
        </w:rPr>
        <w:t>, and C. vulgaris</w:t>
      </w:r>
      <w:r>
        <w:rPr>
          <w:lang w:val="en-US"/>
        </w:rPr>
        <w:t xml:space="preserve"> (CV)</w:t>
      </w:r>
      <w:r w:rsidRPr="000145FE">
        <w:rPr>
          <w:lang w:val="en-US"/>
        </w:rPr>
        <w:t xml:space="preserve"> extracts.</w:t>
      </w:r>
    </w:p>
    <w:p w14:paraId="6DC7199A" w14:textId="22BC78A0" w:rsidR="00937CFA" w:rsidRDefault="00937CFA" w:rsidP="009858A0">
      <w:pPr>
        <w:pStyle w:val="CETBodytext"/>
      </w:pPr>
    </w:p>
    <w:p w14:paraId="62710FCB" w14:textId="6A6BADF4" w:rsidR="00D829EF" w:rsidRDefault="00D571CD" w:rsidP="00652AE7">
      <w:pPr>
        <w:pStyle w:val="CETBodytext"/>
        <w:spacing w:after="120"/>
        <w:rPr>
          <w:lang w:val="en-GB"/>
        </w:rPr>
      </w:pPr>
      <w:r w:rsidRPr="00FB1F09">
        <w:rPr>
          <w:lang w:val="en-GB"/>
        </w:rPr>
        <w:t xml:space="preserve">High removal efficiencies </w:t>
      </w:r>
      <w:r w:rsidR="00652AE7">
        <w:rPr>
          <w:lang w:val="en-GB"/>
        </w:rPr>
        <w:t>are</w:t>
      </w:r>
      <w:r w:rsidRPr="00FB1F09">
        <w:rPr>
          <w:lang w:val="en-GB"/>
        </w:rPr>
        <w:t xml:space="preserve"> achieved under visible light, highlighting an advantage over UV-based systems. Experimental data and the analytical model (Eq. 3) </w:t>
      </w:r>
      <w:r w:rsidR="00652AE7">
        <w:rPr>
          <w:lang w:val="en-GB"/>
        </w:rPr>
        <w:t>are</w:t>
      </w:r>
      <w:r w:rsidRPr="00FB1F09">
        <w:rPr>
          <w:lang w:val="en-GB"/>
        </w:rPr>
        <w:t xml:space="preserve"> used to build the dataset for </w:t>
      </w:r>
      <w:r>
        <w:rPr>
          <w:lang w:val="en-GB"/>
        </w:rPr>
        <w:t>machine learning regression</w:t>
      </w:r>
      <w:r w:rsidRPr="00FB1F09">
        <w:rPr>
          <w:lang w:val="en-GB"/>
        </w:rPr>
        <w:t>. Kinetic parameters (k</w:t>
      </w:r>
      <w:r w:rsidRPr="00FB1F09">
        <w:rPr>
          <w:rFonts w:ascii="Cambria Math" w:hAnsi="Cambria Math" w:cs="Cambria Math"/>
          <w:lang w:val="en-GB"/>
        </w:rPr>
        <w:t>₁</w:t>
      </w:r>
      <w:r w:rsidRPr="00FB1F09">
        <w:rPr>
          <w:lang w:val="en-GB"/>
        </w:rPr>
        <w:t>, k</w:t>
      </w:r>
      <w:r w:rsidRPr="00FB1F09">
        <w:rPr>
          <w:rFonts w:ascii="Cambria Math" w:hAnsi="Cambria Math" w:cs="Cambria Math"/>
          <w:lang w:val="en-GB"/>
        </w:rPr>
        <w:t>₂</w:t>
      </w:r>
      <w:r w:rsidRPr="00FB1F09">
        <w:rPr>
          <w:lang w:val="en-GB"/>
        </w:rPr>
        <w:t>, k</w:t>
      </w:r>
      <w:r w:rsidRPr="00FB1F09">
        <w:rPr>
          <w:rFonts w:ascii="Cambria Math" w:hAnsi="Cambria Math" w:cs="Cambria Math"/>
          <w:lang w:val="en-GB"/>
        </w:rPr>
        <w:t>₃</w:t>
      </w:r>
      <w:r w:rsidRPr="00FB1F09">
        <w:rPr>
          <w:lang w:val="en-GB"/>
        </w:rPr>
        <w:t xml:space="preserve">) </w:t>
      </w:r>
      <w:r w:rsidR="00652AE7">
        <w:rPr>
          <w:lang w:val="en-GB"/>
        </w:rPr>
        <w:t>are</w:t>
      </w:r>
      <w:r w:rsidRPr="00FB1F09">
        <w:rPr>
          <w:lang w:val="en-GB"/>
        </w:rPr>
        <w:t xml:space="preserve"> estimated via Matlab (fminsearchbnd), with model fits closely matching experimental profiles</w:t>
      </w:r>
      <w:r w:rsidR="00652AE7">
        <w:rPr>
          <w:lang w:val="en-GB"/>
        </w:rPr>
        <w:t>.</w:t>
      </w:r>
      <w:r w:rsidRPr="00FB1F09">
        <w:rPr>
          <w:lang w:val="en-GB"/>
        </w:rPr>
        <w:t xml:space="preserve"> </w:t>
      </w:r>
      <w:r w:rsidR="00652AE7">
        <w:rPr>
          <w:lang w:val="en-GB"/>
        </w:rPr>
        <w:t>O</w:t>
      </w:r>
      <w:r w:rsidRPr="00FB1F09">
        <w:rPr>
          <w:lang w:val="en-GB"/>
        </w:rPr>
        <w:t xml:space="preserve">ptimized </w:t>
      </w:r>
      <w:r w:rsidR="00652AE7">
        <w:rPr>
          <w:lang w:val="en-GB"/>
        </w:rPr>
        <w:t xml:space="preserve">parameters’ </w:t>
      </w:r>
      <w:r w:rsidRPr="00FB1F09">
        <w:rPr>
          <w:lang w:val="en-GB"/>
        </w:rPr>
        <w:t xml:space="preserve">values are reported in Table </w:t>
      </w:r>
      <w:r>
        <w:rPr>
          <w:lang w:val="en-GB"/>
        </w:rPr>
        <w:t>1.</w:t>
      </w:r>
    </w:p>
    <w:p w14:paraId="41A8A828" w14:textId="77777777" w:rsidR="00455BE6" w:rsidRPr="000145FE" w:rsidRDefault="00455BE6" w:rsidP="00652AE7">
      <w:pPr>
        <w:spacing w:after="60"/>
        <w:jc w:val="center"/>
        <w:rPr>
          <w:lang w:val="en-US"/>
        </w:rPr>
      </w:pPr>
      <w:r w:rsidRPr="00575452">
        <w:rPr>
          <w:b/>
          <w:bCs/>
          <w:lang w:val="en-US"/>
        </w:rPr>
        <w:t>Table 1.</w:t>
      </w:r>
      <w:r>
        <w:rPr>
          <w:lang w:val="en-US"/>
        </w:rPr>
        <w:t xml:space="preserve"> Tuned values of deterministic model parameters obtained by </w:t>
      </w:r>
      <w:r w:rsidRPr="00575452">
        <w:rPr>
          <w:lang w:val="en-US"/>
        </w:rPr>
        <w:t>fitting the experimental results</w:t>
      </w:r>
      <w:r>
        <w:rPr>
          <w:lang w:val="en-US"/>
        </w:rPr>
        <w:t>.</w:t>
      </w:r>
    </w:p>
    <w:tbl>
      <w:tblPr>
        <w:tblW w:w="5000" w:type="pct"/>
        <w:jc w:val="center"/>
        <w:tblCellMar>
          <w:left w:w="70" w:type="dxa"/>
          <w:right w:w="70" w:type="dxa"/>
        </w:tblCellMar>
        <w:tblLook w:val="04A0" w:firstRow="1" w:lastRow="0" w:firstColumn="1" w:lastColumn="0" w:noHBand="0" w:noVBand="1"/>
      </w:tblPr>
      <w:tblGrid>
        <w:gridCol w:w="701"/>
        <w:gridCol w:w="805"/>
        <w:gridCol w:w="1019"/>
        <w:gridCol w:w="390"/>
        <w:gridCol w:w="805"/>
        <w:gridCol w:w="1754"/>
        <w:gridCol w:w="1652"/>
        <w:gridCol w:w="1661"/>
      </w:tblGrid>
      <w:tr w:rsidR="00455BE6" w:rsidRPr="00652AE7" w14:paraId="22D186CB" w14:textId="77777777" w:rsidTr="00811ABD">
        <w:trPr>
          <w:trHeight w:hRule="exact" w:val="589"/>
          <w:jc w:val="center"/>
        </w:trPr>
        <w:tc>
          <w:tcPr>
            <w:tcW w:w="399" w:type="pct"/>
            <w:tcBorders>
              <w:top w:val="single" w:sz="12" w:space="0" w:color="00B050"/>
              <w:left w:val="nil"/>
              <w:bottom w:val="single" w:sz="12" w:space="0" w:color="00B050"/>
              <w:right w:val="nil"/>
            </w:tcBorders>
            <w:shd w:val="clear" w:color="000000" w:fill="FFFFFF"/>
            <w:noWrap/>
            <w:vAlign w:val="center"/>
            <w:hideMark/>
          </w:tcPr>
          <w:p w14:paraId="7E47EEAE" w14:textId="77777777" w:rsidR="00455BE6" w:rsidRPr="00D37C63" w:rsidRDefault="00455BE6" w:rsidP="0084591A">
            <w:pPr>
              <w:spacing w:line="240" w:lineRule="auto"/>
              <w:jc w:val="center"/>
              <w:rPr>
                <w:rFonts w:cs="Arial"/>
                <w:b/>
                <w:bCs/>
                <w:color w:val="000000"/>
                <w:sz w:val="17"/>
                <w:szCs w:val="17"/>
                <w:lang w:eastAsia="it-IT"/>
              </w:rPr>
            </w:pPr>
            <w:r w:rsidRPr="00D37C63">
              <w:rPr>
                <w:rFonts w:cs="Arial"/>
                <w:b/>
                <w:bCs/>
                <w:color w:val="000000"/>
                <w:sz w:val="17"/>
                <w:szCs w:val="17"/>
                <w:lang w:eastAsia="it-IT"/>
              </w:rPr>
              <w:t>ID*</w:t>
            </w:r>
          </w:p>
        </w:tc>
        <w:tc>
          <w:tcPr>
            <w:tcW w:w="458" w:type="pct"/>
            <w:tcBorders>
              <w:top w:val="single" w:sz="12" w:space="0" w:color="00B050"/>
              <w:left w:val="nil"/>
              <w:bottom w:val="single" w:sz="12" w:space="0" w:color="00B050"/>
              <w:right w:val="nil"/>
            </w:tcBorders>
            <w:shd w:val="clear" w:color="000000" w:fill="FFFFFF"/>
            <w:vAlign w:val="center"/>
            <w:hideMark/>
          </w:tcPr>
          <w:p w14:paraId="289C757C" w14:textId="77777777" w:rsidR="00455BE6" w:rsidRPr="00D37C63" w:rsidRDefault="00455BE6" w:rsidP="0084591A">
            <w:pPr>
              <w:spacing w:line="240" w:lineRule="auto"/>
              <w:jc w:val="center"/>
              <w:rPr>
                <w:rFonts w:cs="Arial"/>
                <w:b/>
                <w:bCs/>
                <w:color w:val="000000"/>
                <w:sz w:val="17"/>
                <w:szCs w:val="17"/>
                <w:lang w:eastAsia="it-IT"/>
              </w:rPr>
            </w:pPr>
            <w:r w:rsidRPr="00D37C63">
              <w:rPr>
                <w:rFonts w:cs="Arial"/>
                <w:b/>
                <w:bCs/>
                <w:color w:val="000000"/>
                <w:sz w:val="17"/>
                <w:szCs w:val="17"/>
                <w:lang w:eastAsia="it-IT"/>
              </w:rPr>
              <w:t>[NP]</w:t>
            </w:r>
            <w:r w:rsidRPr="00D37C63">
              <w:rPr>
                <w:rFonts w:cs="Arial"/>
                <w:b/>
                <w:bCs/>
                <w:color w:val="000000"/>
                <w:sz w:val="17"/>
                <w:szCs w:val="17"/>
                <w:lang w:eastAsia="it-IT"/>
              </w:rPr>
              <w:br/>
              <w:t>[mg L</w:t>
            </w:r>
            <w:r w:rsidRPr="00D37C63">
              <w:rPr>
                <w:rFonts w:cs="Arial"/>
                <w:b/>
                <w:bCs/>
                <w:color w:val="000000"/>
                <w:sz w:val="17"/>
                <w:szCs w:val="17"/>
                <w:vertAlign w:val="superscript"/>
                <w:lang w:eastAsia="it-IT"/>
              </w:rPr>
              <w:t>-1</w:t>
            </w:r>
            <w:r w:rsidRPr="00D37C63">
              <w:rPr>
                <w:rFonts w:cs="Arial"/>
                <w:b/>
                <w:bCs/>
                <w:color w:val="000000"/>
                <w:sz w:val="17"/>
                <w:szCs w:val="17"/>
                <w:lang w:eastAsia="it-IT"/>
              </w:rPr>
              <w:t>]</w:t>
            </w:r>
          </w:p>
        </w:tc>
        <w:tc>
          <w:tcPr>
            <w:tcW w:w="580" w:type="pct"/>
            <w:tcBorders>
              <w:top w:val="single" w:sz="12" w:space="0" w:color="00B050"/>
              <w:left w:val="nil"/>
              <w:bottom w:val="single" w:sz="12" w:space="0" w:color="00B050"/>
              <w:right w:val="nil"/>
            </w:tcBorders>
            <w:shd w:val="clear" w:color="000000" w:fill="FFFFFF"/>
            <w:vAlign w:val="center"/>
            <w:hideMark/>
          </w:tcPr>
          <w:p w14:paraId="1553DBA8" w14:textId="77777777" w:rsidR="00455BE6" w:rsidRPr="00D37C63" w:rsidRDefault="00455BE6" w:rsidP="0084591A">
            <w:pPr>
              <w:spacing w:line="240" w:lineRule="auto"/>
              <w:jc w:val="center"/>
              <w:rPr>
                <w:rFonts w:cs="Arial"/>
                <w:b/>
                <w:bCs/>
                <w:color w:val="000000"/>
                <w:sz w:val="17"/>
                <w:szCs w:val="17"/>
                <w:lang w:eastAsia="it-IT"/>
              </w:rPr>
            </w:pPr>
            <w:r w:rsidRPr="00D37C63">
              <w:rPr>
                <w:rFonts w:cs="Arial"/>
                <w:b/>
                <w:bCs/>
                <w:color w:val="000000"/>
                <w:sz w:val="17"/>
                <w:szCs w:val="17"/>
                <w:lang w:eastAsia="it-IT"/>
              </w:rPr>
              <w:t>I</w:t>
            </w:r>
            <w:r w:rsidRPr="00D37C63">
              <w:rPr>
                <w:rFonts w:cs="Arial"/>
                <w:b/>
                <w:bCs/>
                <w:color w:val="000000"/>
                <w:sz w:val="17"/>
                <w:szCs w:val="17"/>
                <w:lang w:eastAsia="it-IT"/>
              </w:rPr>
              <w:br/>
              <w:t xml:space="preserve"> [μEs</w:t>
            </w:r>
            <w:r w:rsidRPr="00D37C63">
              <w:rPr>
                <w:rFonts w:cs="Arial"/>
                <w:b/>
                <w:bCs/>
                <w:color w:val="000000"/>
                <w:sz w:val="17"/>
                <w:szCs w:val="17"/>
                <w:vertAlign w:val="superscript"/>
                <w:lang w:eastAsia="it-IT"/>
              </w:rPr>
              <w:t>-1</w:t>
            </w:r>
            <w:r w:rsidRPr="00D37C63">
              <w:rPr>
                <w:rFonts w:cs="Arial"/>
                <w:b/>
                <w:bCs/>
                <w:color w:val="000000"/>
                <w:sz w:val="17"/>
                <w:szCs w:val="17"/>
                <w:lang w:eastAsia="it-IT"/>
              </w:rPr>
              <w:t>m</w:t>
            </w:r>
            <w:r w:rsidRPr="00D37C63">
              <w:rPr>
                <w:rFonts w:cs="Arial"/>
                <w:b/>
                <w:bCs/>
                <w:color w:val="000000"/>
                <w:sz w:val="17"/>
                <w:szCs w:val="17"/>
                <w:vertAlign w:val="superscript"/>
                <w:lang w:eastAsia="it-IT"/>
              </w:rPr>
              <w:t>-2</w:t>
            </w:r>
            <w:r w:rsidRPr="00D37C63">
              <w:rPr>
                <w:rFonts w:cs="Arial"/>
                <w:b/>
                <w:bCs/>
                <w:color w:val="000000"/>
                <w:sz w:val="17"/>
                <w:szCs w:val="17"/>
                <w:lang w:eastAsia="it-IT"/>
              </w:rPr>
              <w:t>]</w:t>
            </w:r>
          </w:p>
        </w:tc>
        <w:tc>
          <w:tcPr>
            <w:tcW w:w="222" w:type="pct"/>
            <w:tcBorders>
              <w:top w:val="single" w:sz="12" w:space="0" w:color="00B050"/>
              <w:left w:val="nil"/>
              <w:bottom w:val="single" w:sz="12" w:space="0" w:color="00B050"/>
              <w:right w:val="nil"/>
            </w:tcBorders>
            <w:shd w:val="clear" w:color="000000" w:fill="FFFFFF"/>
            <w:vAlign w:val="center"/>
            <w:hideMark/>
          </w:tcPr>
          <w:p w14:paraId="4D1E8C0E" w14:textId="77777777" w:rsidR="00455BE6" w:rsidRPr="00D37C63" w:rsidRDefault="00455BE6" w:rsidP="0084591A">
            <w:pPr>
              <w:spacing w:line="240" w:lineRule="auto"/>
              <w:jc w:val="center"/>
              <w:rPr>
                <w:rFonts w:cs="Arial"/>
                <w:b/>
                <w:bCs/>
                <w:color w:val="000000"/>
                <w:sz w:val="17"/>
                <w:szCs w:val="17"/>
                <w:lang w:eastAsia="it-IT"/>
              </w:rPr>
            </w:pPr>
            <w:r w:rsidRPr="00D37C63">
              <w:rPr>
                <w:rFonts w:cs="Arial"/>
                <w:b/>
                <w:bCs/>
                <w:color w:val="000000"/>
                <w:sz w:val="17"/>
                <w:szCs w:val="17"/>
                <w:lang w:eastAsia="it-IT"/>
              </w:rPr>
              <w:t xml:space="preserve">pH  </w:t>
            </w:r>
            <w:r w:rsidRPr="00D37C63">
              <w:rPr>
                <w:rFonts w:cs="Arial"/>
                <w:b/>
                <w:bCs/>
                <w:color w:val="000000"/>
                <w:sz w:val="17"/>
                <w:szCs w:val="17"/>
                <w:lang w:eastAsia="it-IT"/>
              </w:rPr>
              <w:br/>
              <w:t>[/]</w:t>
            </w:r>
          </w:p>
        </w:tc>
        <w:tc>
          <w:tcPr>
            <w:tcW w:w="458" w:type="pct"/>
            <w:tcBorders>
              <w:top w:val="single" w:sz="12" w:space="0" w:color="00B050"/>
              <w:left w:val="nil"/>
              <w:bottom w:val="single" w:sz="12" w:space="0" w:color="00B050"/>
              <w:right w:val="nil"/>
            </w:tcBorders>
            <w:shd w:val="clear" w:color="000000" w:fill="FFFFFF"/>
            <w:vAlign w:val="center"/>
            <w:hideMark/>
          </w:tcPr>
          <w:p w14:paraId="27EFCEA1" w14:textId="7EBDD236" w:rsidR="00455BE6" w:rsidRPr="00652AE7" w:rsidRDefault="00455BE6" w:rsidP="0084591A">
            <w:pPr>
              <w:spacing w:line="240" w:lineRule="auto"/>
              <w:jc w:val="center"/>
              <w:rPr>
                <w:rFonts w:cs="Arial"/>
                <w:b/>
                <w:bCs/>
                <w:color w:val="000000"/>
                <w:sz w:val="17"/>
                <w:szCs w:val="17"/>
                <w:lang w:eastAsia="it-IT"/>
              </w:rPr>
            </w:pPr>
            <w:r w:rsidRPr="00D37C63">
              <w:rPr>
                <w:rFonts w:cs="Arial"/>
                <w:b/>
                <w:bCs/>
                <w:color w:val="000000"/>
                <w:sz w:val="17"/>
                <w:szCs w:val="17"/>
                <w:lang w:eastAsia="it-IT"/>
              </w:rPr>
              <w:t>[Dye]</w:t>
            </w:r>
            <w:r w:rsidRPr="00D37C63">
              <w:rPr>
                <w:rFonts w:cs="Arial"/>
                <w:b/>
                <w:bCs/>
                <w:color w:val="000000"/>
                <w:sz w:val="17"/>
                <w:szCs w:val="17"/>
                <w:vertAlign w:val="superscript"/>
                <w:lang w:eastAsia="it-IT"/>
              </w:rPr>
              <w:t>0</w:t>
            </w:r>
          </w:p>
          <w:p w14:paraId="35D6AC4A" w14:textId="5336627E" w:rsidR="00455BE6" w:rsidRPr="00D37C63" w:rsidRDefault="00455BE6" w:rsidP="0084591A">
            <w:pPr>
              <w:spacing w:line="240" w:lineRule="auto"/>
              <w:jc w:val="center"/>
              <w:rPr>
                <w:rFonts w:cs="Arial"/>
                <w:b/>
                <w:bCs/>
                <w:color w:val="000000"/>
                <w:sz w:val="17"/>
                <w:szCs w:val="17"/>
                <w:lang w:eastAsia="it-IT"/>
              </w:rPr>
            </w:pPr>
            <w:r w:rsidRPr="00D37C63">
              <w:rPr>
                <w:rFonts w:cs="Arial"/>
                <w:b/>
                <w:bCs/>
                <w:color w:val="000000"/>
                <w:sz w:val="17"/>
                <w:szCs w:val="17"/>
                <w:lang w:eastAsia="it-IT"/>
              </w:rPr>
              <w:t>[mg L</w:t>
            </w:r>
            <w:r w:rsidRPr="00D37C63">
              <w:rPr>
                <w:rFonts w:cs="Arial"/>
                <w:b/>
                <w:bCs/>
                <w:color w:val="000000"/>
                <w:sz w:val="17"/>
                <w:szCs w:val="17"/>
                <w:vertAlign w:val="superscript"/>
                <w:lang w:eastAsia="it-IT"/>
              </w:rPr>
              <w:t>-1</w:t>
            </w:r>
            <w:r w:rsidRPr="00D37C63">
              <w:rPr>
                <w:rFonts w:cs="Arial"/>
                <w:b/>
                <w:bCs/>
                <w:color w:val="000000"/>
                <w:sz w:val="17"/>
                <w:szCs w:val="17"/>
                <w:lang w:eastAsia="it-IT"/>
              </w:rPr>
              <w:t>]</w:t>
            </w:r>
          </w:p>
        </w:tc>
        <w:tc>
          <w:tcPr>
            <w:tcW w:w="998" w:type="pct"/>
            <w:tcBorders>
              <w:top w:val="single" w:sz="12" w:space="0" w:color="00B050"/>
              <w:left w:val="nil"/>
              <w:bottom w:val="single" w:sz="12" w:space="0" w:color="00B050"/>
              <w:right w:val="nil"/>
            </w:tcBorders>
            <w:shd w:val="clear" w:color="000000" w:fill="FFFFFF"/>
            <w:vAlign w:val="center"/>
            <w:hideMark/>
          </w:tcPr>
          <w:p w14:paraId="079C5666" w14:textId="77777777" w:rsidR="00455BE6" w:rsidRPr="00D37C63" w:rsidRDefault="00455BE6" w:rsidP="0084591A">
            <w:pPr>
              <w:spacing w:line="240" w:lineRule="auto"/>
              <w:jc w:val="center"/>
              <w:rPr>
                <w:rFonts w:cs="Arial"/>
                <w:b/>
                <w:bCs/>
                <w:color w:val="000000"/>
                <w:sz w:val="17"/>
                <w:szCs w:val="17"/>
                <w:lang w:eastAsia="it-IT"/>
              </w:rPr>
            </w:pPr>
            <w:r w:rsidRPr="00D37C63">
              <w:rPr>
                <w:rFonts w:cs="Arial"/>
                <w:b/>
                <w:bCs/>
                <w:color w:val="000000"/>
                <w:sz w:val="17"/>
                <w:szCs w:val="17"/>
                <w:lang w:eastAsia="it-IT"/>
              </w:rPr>
              <w:t>k</w:t>
            </w:r>
            <w:r w:rsidRPr="00D37C63">
              <w:rPr>
                <w:rFonts w:cs="Arial"/>
                <w:b/>
                <w:bCs/>
                <w:color w:val="000000"/>
                <w:sz w:val="17"/>
                <w:szCs w:val="17"/>
                <w:vertAlign w:val="subscript"/>
                <w:lang w:eastAsia="it-IT"/>
              </w:rPr>
              <w:t>1</w:t>
            </w:r>
            <w:r w:rsidRPr="00D37C63">
              <w:rPr>
                <w:rFonts w:cs="Arial"/>
                <w:b/>
                <w:bCs/>
                <w:color w:val="000000"/>
                <w:sz w:val="17"/>
                <w:szCs w:val="17"/>
                <w:lang w:eastAsia="it-IT"/>
              </w:rPr>
              <w:br/>
              <w:t>[min</w:t>
            </w:r>
            <w:r w:rsidRPr="00D37C63">
              <w:rPr>
                <w:rFonts w:cs="Arial"/>
                <w:b/>
                <w:bCs/>
                <w:color w:val="000000"/>
                <w:sz w:val="17"/>
                <w:szCs w:val="17"/>
                <w:vertAlign w:val="superscript"/>
                <w:lang w:eastAsia="it-IT"/>
              </w:rPr>
              <w:t>-1</w:t>
            </w:r>
            <w:r w:rsidRPr="00D37C63">
              <w:rPr>
                <w:rFonts w:cs="Arial"/>
                <w:b/>
                <w:bCs/>
                <w:color w:val="000000"/>
                <w:sz w:val="17"/>
                <w:szCs w:val="17"/>
                <w:lang w:eastAsia="it-IT"/>
              </w:rPr>
              <w:t>]</w:t>
            </w:r>
          </w:p>
        </w:tc>
        <w:tc>
          <w:tcPr>
            <w:tcW w:w="940" w:type="pct"/>
            <w:tcBorders>
              <w:top w:val="single" w:sz="12" w:space="0" w:color="00B050"/>
              <w:left w:val="nil"/>
              <w:bottom w:val="single" w:sz="12" w:space="0" w:color="00B050"/>
              <w:right w:val="nil"/>
            </w:tcBorders>
            <w:shd w:val="clear" w:color="000000" w:fill="FFFFFF"/>
            <w:vAlign w:val="center"/>
            <w:hideMark/>
          </w:tcPr>
          <w:p w14:paraId="13AB2D6C" w14:textId="77777777" w:rsidR="00455BE6" w:rsidRPr="00D37C63" w:rsidRDefault="00455BE6" w:rsidP="0084591A">
            <w:pPr>
              <w:spacing w:line="240" w:lineRule="auto"/>
              <w:jc w:val="center"/>
              <w:rPr>
                <w:rFonts w:cs="Arial"/>
                <w:b/>
                <w:bCs/>
                <w:color w:val="000000"/>
                <w:sz w:val="17"/>
                <w:szCs w:val="17"/>
                <w:lang w:eastAsia="it-IT"/>
              </w:rPr>
            </w:pPr>
            <w:r w:rsidRPr="00D37C63">
              <w:rPr>
                <w:rFonts w:cs="Arial"/>
                <w:b/>
                <w:bCs/>
                <w:color w:val="000000"/>
                <w:sz w:val="17"/>
                <w:szCs w:val="17"/>
                <w:lang w:eastAsia="it-IT"/>
              </w:rPr>
              <w:t>k</w:t>
            </w:r>
            <w:r w:rsidRPr="00D37C63">
              <w:rPr>
                <w:rFonts w:cs="Arial"/>
                <w:b/>
                <w:bCs/>
                <w:color w:val="000000"/>
                <w:sz w:val="17"/>
                <w:szCs w:val="17"/>
                <w:vertAlign w:val="subscript"/>
                <w:lang w:eastAsia="it-IT"/>
              </w:rPr>
              <w:t>2</w:t>
            </w:r>
            <w:r w:rsidRPr="00D37C63">
              <w:rPr>
                <w:rFonts w:cs="Arial"/>
                <w:b/>
                <w:bCs/>
                <w:color w:val="000000"/>
                <w:sz w:val="17"/>
                <w:szCs w:val="17"/>
                <w:lang w:eastAsia="it-IT"/>
              </w:rPr>
              <w:br/>
              <w:t>[min</w:t>
            </w:r>
            <w:r w:rsidRPr="00D37C63">
              <w:rPr>
                <w:rFonts w:cs="Arial"/>
                <w:b/>
                <w:bCs/>
                <w:color w:val="000000"/>
                <w:sz w:val="17"/>
                <w:szCs w:val="17"/>
                <w:vertAlign w:val="superscript"/>
                <w:lang w:eastAsia="it-IT"/>
              </w:rPr>
              <w:t>-1</w:t>
            </w:r>
            <w:r w:rsidRPr="00D37C63">
              <w:rPr>
                <w:rFonts w:cs="Arial"/>
                <w:b/>
                <w:bCs/>
                <w:color w:val="000000"/>
                <w:sz w:val="17"/>
                <w:szCs w:val="17"/>
                <w:lang w:eastAsia="it-IT"/>
              </w:rPr>
              <w:t>]</w:t>
            </w:r>
          </w:p>
        </w:tc>
        <w:tc>
          <w:tcPr>
            <w:tcW w:w="945" w:type="pct"/>
            <w:tcBorders>
              <w:top w:val="single" w:sz="12" w:space="0" w:color="00B050"/>
              <w:left w:val="nil"/>
              <w:bottom w:val="single" w:sz="12" w:space="0" w:color="00B050"/>
              <w:right w:val="nil"/>
            </w:tcBorders>
            <w:shd w:val="clear" w:color="000000" w:fill="FFFFFF"/>
            <w:vAlign w:val="center"/>
            <w:hideMark/>
          </w:tcPr>
          <w:p w14:paraId="28FA3BB6" w14:textId="77777777" w:rsidR="00455BE6" w:rsidRPr="00D37C63" w:rsidRDefault="00455BE6" w:rsidP="0084591A">
            <w:pPr>
              <w:spacing w:line="240" w:lineRule="auto"/>
              <w:jc w:val="center"/>
              <w:rPr>
                <w:rFonts w:cs="Arial"/>
                <w:b/>
                <w:bCs/>
                <w:color w:val="000000"/>
                <w:sz w:val="17"/>
                <w:szCs w:val="17"/>
                <w:lang w:eastAsia="it-IT"/>
              </w:rPr>
            </w:pPr>
            <w:r w:rsidRPr="00D37C63">
              <w:rPr>
                <w:rFonts w:cs="Arial"/>
                <w:b/>
                <w:bCs/>
                <w:color w:val="000000"/>
                <w:sz w:val="17"/>
                <w:szCs w:val="17"/>
                <w:lang w:eastAsia="it-IT"/>
              </w:rPr>
              <w:t>k</w:t>
            </w:r>
            <w:r w:rsidRPr="00D37C63">
              <w:rPr>
                <w:rFonts w:cs="Arial"/>
                <w:b/>
                <w:bCs/>
                <w:color w:val="000000"/>
                <w:sz w:val="17"/>
                <w:szCs w:val="17"/>
                <w:vertAlign w:val="subscript"/>
                <w:lang w:eastAsia="it-IT"/>
              </w:rPr>
              <w:t>3</w:t>
            </w:r>
            <w:r w:rsidRPr="00D37C63">
              <w:rPr>
                <w:rFonts w:cs="Arial"/>
                <w:b/>
                <w:bCs/>
                <w:color w:val="000000"/>
                <w:sz w:val="17"/>
                <w:szCs w:val="17"/>
                <w:lang w:eastAsia="it-IT"/>
              </w:rPr>
              <w:br/>
              <w:t>[min</w:t>
            </w:r>
            <w:r w:rsidRPr="00D37C63">
              <w:rPr>
                <w:rFonts w:cs="Arial"/>
                <w:b/>
                <w:bCs/>
                <w:color w:val="000000"/>
                <w:sz w:val="17"/>
                <w:szCs w:val="17"/>
                <w:vertAlign w:val="superscript"/>
                <w:lang w:eastAsia="it-IT"/>
              </w:rPr>
              <w:t>-1</w:t>
            </w:r>
            <w:r w:rsidRPr="00D37C63">
              <w:rPr>
                <w:rFonts w:cs="Arial"/>
                <w:b/>
                <w:bCs/>
                <w:color w:val="000000"/>
                <w:sz w:val="17"/>
                <w:szCs w:val="17"/>
                <w:lang w:eastAsia="it-IT"/>
              </w:rPr>
              <w:t>]</w:t>
            </w:r>
          </w:p>
        </w:tc>
      </w:tr>
      <w:tr w:rsidR="00652AE7" w:rsidRPr="00D37C63" w14:paraId="40066A5B" w14:textId="77777777" w:rsidTr="00811ABD">
        <w:trPr>
          <w:trHeight w:hRule="exact" w:val="227"/>
          <w:jc w:val="center"/>
        </w:trPr>
        <w:tc>
          <w:tcPr>
            <w:tcW w:w="399" w:type="pct"/>
            <w:tcBorders>
              <w:top w:val="single" w:sz="12" w:space="0" w:color="00B050"/>
              <w:left w:val="nil"/>
              <w:bottom w:val="nil"/>
              <w:right w:val="nil"/>
            </w:tcBorders>
            <w:shd w:val="clear" w:color="000000" w:fill="FFFFFF"/>
            <w:noWrap/>
            <w:vAlign w:val="center"/>
            <w:hideMark/>
          </w:tcPr>
          <w:p w14:paraId="5B2CCCC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SP_1</w:t>
            </w:r>
          </w:p>
        </w:tc>
        <w:tc>
          <w:tcPr>
            <w:tcW w:w="458" w:type="pct"/>
            <w:tcBorders>
              <w:top w:val="single" w:sz="12" w:space="0" w:color="00B050"/>
              <w:left w:val="nil"/>
              <w:bottom w:val="nil"/>
              <w:right w:val="nil"/>
            </w:tcBorders>
            <w:shd w:val="clear" w:color="000000" w:fill="FFFFFF"/>
            <w:noWrap/>
            <w:vAlign w:val="center"/>
            <w:hideMark/>
          </w:tcPr>
          <w:p w14:paraId="60B8962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single" w:sz="12" w:space="0" w:color="00B050"/>
              <w:left w:val="nil"/>
              <w:bottom w:val="nil"/>
              <w:right w:val="nil"/>
            </w:tcBorders>
            <w:shd w:val="clear" w:color="000000" w:fill="FFFFFF"/>
            <w:noWrap/>
            <w:vAlign w:val="center"/>
            <w:hideMark/>
          </w:tcPr>
          <w:p w14:paraId="24654849"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single" w:sz="12" w:space="0" w:color="00B050"/>
              <w:left w:val="nil"/>
              <w:bottom w:val="nil"/>
              <w:right w:val="nil"/>
            </w:tcBorders>
            <w:shd w:val="clear" w:color="000000" w:fill="FFFFFF"/>
            <w:noWrap/>
            <w:vAlign w:val="center"/>
            <w:hideMark/>
          </w:tcPr>
          <w:p w14:paraId="5C92E47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single" w:sz="12" w:space="0" w:color="00B050"/>
              <w:left w:val="nil"/>
              <w:bottom w:val="nil"/>
              <w:right w:val="nil"/>
            </w:tcBorders>
            <w:shd w:val="clear" w:color="000000" w:fill="FFFFFF"/>
            <w:noWrap/>
            <w:vAlign w:val="center"/>
            <w:hideMark/>
          </w:tcPr>
          <w:p w14:paraId="0A54BD06"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4</w:t>
            </w:r>
          </w:p>
        </w:tc>
        <w:tc>
          <w:tcPr>
            <w:tcW w:w="998" w:type="pct"/>
            <w:tcBorders>
              <w:top w:val="single" w:sz="12" w:space="0" w:color="00B050"/>
              <w:left w:val="nil"/>
              <w:bottom w:val="nil"/>
              <w:right w:val="nil"/>
            </w:tcBorders>
            <w:shd w:val="clear" w:color="000000" w:fill="FFFFFF"/>
            <w:noWrap/>
            <w:vAlign w:val="center"/>
            <w:hideMark/>
          </w:tcPr>
          <w:p w14:paraId="6FE43D5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0.03694 ± 0.00068</w:t>
            </w:r>
          </w:p>
        </w:tc>
        <w:tc>
          <w:tcPr>
            <w:tcW w:w="940" w:type="pct"/>
            <w:tcBorders>
              <w:top w:val="single" w:sz="12" w:space="0" w:color="00B050"/>
              <w:left w:val="nil"/>
              <w:bottom w:val="nil"/>
              <w:right w:val="nil"/>
            </w:tcBorders>
            <w:shd w:val="clear" w:color="000000" w:fill="FFFFFF"/>
            <w:noWrap/>
            <w:vAlign w:val="center"/>
            <w:hideMark/>
          </w:tcPr>
          <w:p w14:paraId="2211E1E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0.05928 ± 0.0023</w:t>
            </w:r>
          </w:p>
        </w:tc>
        <w:tc>
          <w:tcPr>
            <w:tcW w:w="945" w:type="pct"/>
            <w:tcBorders>
              <w:top w:val="single" w:sz="12" w:space="0" w:color="00B050"/>
              <w:left w:val="nil"/>
              <w:bottom w:val="nil"/>
              <w:right w:val="nil"/>
            </w:tcBorders>
            <w:shd w:val="clear" w:color="000000" w:fill="FFFFFF"/>
            <w:noWrap/>
            <w:vAlign w:val="center"/>
            <w:hideMark/>
          </w:tcPr>
          <w:p w14:paraId="23138C9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0.02974 ± 0.0017</w:t>
            </w:r>
          </w:p>
        </w:tc>
      </w:tr>
      <w:tr w:rsidR="00652AE7" w:rsidRPr="00D37C63" w14:paraId="201FFCE7"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512B008C"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SP_2</w:t>
            </w:r>
          </w:p>
        </w:tc>
        <w:tc>
          <w:tcPr>
            <w:tcW w:w="458" w:type="pct"/>
            <w:tcBorders>
              <w:top w:val="nil"/>
              <w:left w:val="nil"/>
              <w:bottom w:val="nil"/>
              <w:right w:val="nil"/>
            </w:tcBorders>
            <w:shd w:val="clear" w:color="000000" w:fill="FFFFFF"/>
            <w:noWrap/>
            <w:vAlign w:val="center"/>
            <w:hideMark/>
          </w:tcPr>
          <w:p w14:paraId="79C0CC6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746D970D"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bottom w:val="nil"/>
              <w:right w:val="nil"/>
            </w:tcBorders>
            <w:shd w:val="clear" w:color="000000" w:fill="FFFFFF"/>
            <w:noWrap/>
            <w:vAlign w:val="center"/>
            <w:hideMark/>
          </w:tcPr>
          <w:p w14:paraId="2B48CAA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22925489"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18</w:t>
            </w:r>
          </w:p>
        </w:tc>
        <w:tc>
          <w:tcPr>
            <w:tcW w:w="998" w:type="pct"/>
            <w:tcBorders>
              <w:top w:val="nil"/>
              <w:left w:val="nil"/>
              <w:bottom w:val="nil"/>
              <w:right w:val="nil"/>
            </w:tcBorders>
            <w:shd w:val="clear" w:color="000000" w:fill="FFFFFF"/>
            <w:noWrap/>
            <w:vAlign w:val="center"/>
            <w:hideMark/>
          </w:tcPr>
          <w:p w14:paraId="62C1E1A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0.005932 ± 0.00073</w:t>
            </w:r>
          </w:p>
        </w:tc>
        <w:tc>
          <w:tcPr>
            <w:tcW w:w="940" w:type="pct"/>
            <w:tcBorders>
              <w:top w:val="nil"/>
              <w:left w:val="nil"/>
              <w:bottom w:val="nil"/>
              <w:right w:val="nil"/>
            </w:tcBorders>
            <w:shd w:val="clear" w:color="000000" w:fill="FFFFFF"/>
            <w:noWrap/>
            <w:vAlign w:val="center"/>
            <w:hideMark/>
          </w:tcPr>
          <w:p w14:paraId="42FA0A3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0.00744 ± 0.0025</w:t>
            </w:r>
          </w:p>
        </w:tc>
        <w:tc>
          <w:tcPr>
            <w:tcW w:w="945" w:type="pct"/>
            <w:tcBorders>
              <w:top w:val="nil"/>
              <w:left w:val="nil"/>
              <w:bottom w:val="nil"/>
              <w:right w:val="nil"/>
            </w:tcBorders>
            <w:shd w:val="clear" w:color="000000" w:fill="FFFFFF"/>
            <w:noWrap/>
            <w:vAlign w:val="center"/>
            <w:hideMark/>
          </w:tcPr>
          <w:p w14:paraId="0D66142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0.2463 ± 0.0020</w:t>
            </w:r>
          </w:p>
        </w:tc>
      </w:tr>
      <w:tr w:rsidR="00652AE7" w:rsidRPr="00D37C63" w14:paraId="46FEF6C2"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0635F08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SP_3</w:t>
            </w:r>
          </w:p>
        </w:tc>
        <w:tc>
          <w:tcPr>
            <w:tcW w:w="458" w:type="pct"/>
            <w:tcBorders>
              <w:top w:val="nil"/>
              <w:left w:val="nil"/>
              <w:bottom w:val="nil"/>
              <w:right w:val="nil"/>
            </w:tcBorders>
            <w:shd w:val="clear" w:color="000000" w:fill="FFFFFF"/>
            <w:noWrap/>
            <w:vAlign w:val="center"/>
            <w:hideMark/>
          </w:tcPr>
          <w:p w14:paraId="5E583C62"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7A116C4A"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bottom w:val="nil"/>
              <w:right w:val="nil"/>
            </w:tcBorders>
            <w:shd w:val="clear" w:color="000000" w:fill="FFFFFF"/>
            <w:noWrap/>
            <w:vAlign w:val="center"/>
            <w:hideMark/>
          </w:tcPr>
          <w:p w14:paraId="09745A4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4FB8385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26.3</w:t>
            </w:r>
          </w:p>
        </w:tc>
        <w:tc>
          <w:tcPr>
            <w:tcW w:w="998" w:type="pct"/>
            <w:tcBorders>
              <w:top w:val="nil"/>
              <w:left w:val="nil"/>
              <w:bottom w:val="nil"/>
              <w:right w:val="nil"/>
            </w:tcBorders>
            <w:shd w:val="clear" w:color="000000" w:fill="FFFFFF"/>
            <w:noWrap/>
            <w:vAlign w:val="center"/>
            <w:hideMark/>
          </w:tcPr>
          <w:p w14:paraId="69559C8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0.007374 ± 0.00075</w:t>
            </w:r>
          </w:p>
        </w:tc>
        <w:tc>
          <w:tcPr>
            <w:tcW w:w="940" w:type="pct"/>
            <w:tcBorders>
              <w:top w:val="nil"/>
              <w:left w:val="nil"/>
              <w:bottom w:val="nil"/>
              <w:right w:val="nil"/>
            </w:tcBorders>
            <w:shd w:val="clear" w:color="000000" w:fill="FFFFFF"/>
            <w:noWrap/>
            <w:vAlign w:val="center"/>
            <w:hideMark/>
          </w:tcPr>
          <w:p w14:paraId="14628864"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0.059 ± 0.0025</w:t>
            </w:r>
          </w:p>
        </w:tc>
        <w:tc>
          <w:tcPr>
            <w:tcW w:w="945" w:type="pct"/>
            <w:tcBorders>
              <w:top w:val="nil"/>
              <w:left w:val="nil"/>
              <w:bottom w:val="nil"/>
              <w:right w:val="nil"/>
            </w:tcBorders>
            <w:shd w:val="clear" w:color="000000" w:fill="FFFFFF"/>
            <w:noWrap/>
            <w:vAlign w:val="center"/>
            <w:hideMark/>
          </w:tcPr>
          <w:p w14:paraId="2317114A"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0.03695 ± 0.0018</w:t>
            </w:r>
          </w:p>
        </w:tc>
      </w:tr>
      <w:tr w:rsidR="00652AE7" w:rsidRPr="00D37C63" w14:paraId="78D1FFFB"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3E4D572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SP_4</w:t>
            </w:r>
          </w:p>
        </w:tc>
        <w:tc>
          <w:tcPr>
            <w:tcW w:w="458" w:type="pct"/>
            <w:tcBorders>
              <w:top w:val="nil"/>
              <w:left w:val="nil"/>
              <w:bottom w:val="nil"/>
              <w:right w:val="nil"/>
            </w:tcBorders>
            <w:shd w:val="clear" w:color="000000" w:fill="FFFFFF"/>
            <w:noWrap/>
            <w:vAlign w:val="center"/>
            <w:hideMark/>
          </w:tcPr>
          <w:p w14:paraId="381460FC"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00D96EC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w:t>
            </w:r>
          </w:p>
        </w:tc>
        <w:tc>
          <w:tcPr>
            <w:tcW w:w="222" w:type="pct"/>
            <w:tcBorders>
              <w:top w:val="nil"/>
              <w:left w:val="nil"/>
              <w:bottom w:val="nil"/>
              <w:right w:val="nil"/>
            </w:tcBorders>
            <w:shd w:val="clear" w:color="000000" w:fill="FFFFFF"/>
            <w:noWrap/>
            <w:vAlign w:val="center"/>
            <w:hideMark/>
          </w:tcPr>
          <w:p w14:paraId="307B89DB"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0E646DEE"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20</w:t>
            </w:r>
          </w:p>
        </w:tc>
        <w:tc>
          <w:tcPr>
            <w:tcW w:w="998" w:type="pct"/>
            <w:tcBorders>
              <w:top w:val="nil"/>
              <w:left w:val="nil"/>
              <w:bottom w:val="nil"/>
              <w:right w:val="nil"/>
            </w:tcBorders>
            <w:shd w:val="clear" w:color="000000" w:fill="FFFFFF"/>
            <w:noWrap/>
            <w:vAlign w:val="center"/>
            <w:hideMark/>
          </w:tcPr>
          <w:p w14:paraId="3DD9FA7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0.01236 ± 0.00073</w:t>
            </w:r>
          </w:p>
        </w:tc>
        <w:tc>
          <w:tcPr>
            <w:tcW w:w="940" w:type="pct"/>
            <w:tcBorders>
              <w:top w:val="nil"/>
              <w:left w:val="nil"/>
              <w:bottom w:val="nil"/>
              <w:right w:val="nil"/>
            </w:tcBorders>
            <w:shd w:val="clear" w:color="000000" w:fill="FFFFFF"/>
            <w:noWrap/>
            <w:vAlign w:val="center"/>
            <w:hideMark/>
          </w:tcPr>
          <w:p w14:paraId="6E6BB0B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0.06  ±  0.000</w:t>
            </w:r>
          </w:p>
        </w:tc>
        <w:tc>
          <w:tcPr>
            <w:tcW w:w="945" w:type="pct"/>
            <w:tcBorders>
              <w:top w:val="nil"/>
              <w:left w:val="nil"/>
              <w:bottom w:val="nil"/>
              <w:right w:val="nil"/>
            </w:tcBorders>
            <w:shd w:val="clear" w:color="000000" w:fill="FFFFFF"/>
            <w:noWrap/>
            <w:vAlign w:val="center"/>
            <w:hideMark/>
          </w:tcPr>
          <w:p w14:paraId="3467451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0.01472 ±  0.000</w:t>
            </w:r>
          </w:p>
        </w:tc>
      </w:tr>
      <w:tr w:rsidR="00652AE7" w:rsidRPr="00D37C63" w14:paraId="6121AA6A"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2B5639B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SP_5</w:t>
            </w:r>
          </w:p>
        </w:tc>
        <w:tc>
          <w:tcPr>
            <w:tcW w:w="458" w:type="pct"/>
            <w:tcBorders>
              <w:top w:val="nil"/>
              <w:left w:val="nil"/>
              <w:bottom w:val="nil"/>
              <w:right w:val="nil"/>
            </w:tcBorders>
            <w:shd w:val="clear" w:color="000000" w:fill="FFFFFF"/>
            <w:noWrap/>
            <w:vAlign w:val="center"/>
            <w:hideMark/>
          </w:tcPr>
          <w:p w14:paraId="25F1134C"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2C7E2114"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75</w:t>
            </w:r>
          </w:p>
        </w:tc>
        <w:tc>
          <w:tcPr>
            <w:tcW w:w="222" w:type="pct"/>
            <w:tcBorders>
              <w:top w:val="nil"/>
              <w:left w:val="nil"/>
              <w:bottom w:val="nil"/>
              <w:right w:val="nil"/>
            </w:tcBorders>
            <w:shd w:val="clear" w:color="000000" w:fill="FFFFFF"/>
            <w:noWrap/>
            <w:vAlign w:val="center"/>
            <w:hideMark/>
          </w:tcPr>
          <w:p w14:paraId="7DC7C744"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74347516"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18.7</w:t>
            </w:r>
          </w:p>
        </w:tc>
        <w:tc>
          <w:tcPr>
            <w:tcW w:w="998" w:type="pct"/>
            <w:tcBorders>
              <w:top w:val="nil"/>
              <w:left w:val="nil"/>
              <w:bottom w:val="nil"/>
              <w:right w:val="nil"/>
            </w:tcBorders>
            <w:shd w:val="clear" w:color="000000" w:fill="FFFFFF"/>
            <w:noWrap/>
            <w:vAlign w:val="center"/>
            <w:hideMark/>
          </w:tcPr>
          <w:p w14:paraId="1B7CB0B9"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0.012 ± 0.00075</w:t>
            </w:r>
          </w:p>
        </w:tc>
        <w:tc>
          <w:tcPr>
            <w:tcW w:w="940" w:type="pct"/>
            <w:tcBorders>
              <w:top w:val="nil"/>
              <w:left w:val="nil"/>
              <w:bottom w:val="nil"/>
              <w:right w:val="nil"/>
            </w:tcBorders>
            <w:shd w:val="clear" w:color="000000" w:fill="FFFFFF"/>
            <w:noWrap/>
            <w:vAlign w:val="center"/>
            <w:hideMark/>
          </w:tcPr>
          <w:p w14:paraId="19947A0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0.0526 ±  0.000</w:t>
            </w:r>
          </w:p>
        </w:tc>
        <w:tc>
          <w:tcPr>
            <w:tcW w:w="945" w:type="pct"/>
            <w:tcBorders>
              <w:top w:val="nil"/>
              <w:left w:val="nil"/>
              <w:bottom w:val="nil"/>
              <w:right w:val="nil"/>
            </w:tcBorders>
            <w:shd w:val="clear" w:color="000000" w:fill="FFFFFF"/>
            <w:noWrap/>
            <w:vAlign w:val="center"/>
            <w:hideMark/>
          </w:tcPr>
          <w:p w14:paraId="701B448C"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0.02147 ±  0.000</w:t>
            </w:r>
          </w:p>
        </w:tc>
      </w:tr>
      <w:tr w:rsidR="00652AE7" w:rsidRPr="00D37C63" w14:paraId="6653AFCF"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6393929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SP_6</w:t>
            </w:r>
          </w:p>
        </w:tc>
        <w:tc>
          <w:tcPr>
            <w:tcW w:w="458" w:type="pct"/>
            <w:tcBorders>
              <w:top w:val="nil"/>
              <w:left w:val="nil"/>
              <w:bottom w:val="nil"/>
              <w:right w:val="nil"/>
            </w:tcBorders>
            <w:shd w:val="clear" w:color="000000" w:fill="FFFFFF"/>
            <w:noWrap/>
            <w:vAlign w:val="center"/>
            <w:hideMark/>
          </w:tcPr>
          <w:p w14:paraId="2F6B0B16"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3895243C"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300</w:t>
            </w:r>
          </w:p>
        </w:tc>
        <w:tc>
          <w:tcPr>
            <w:tcW w:w="222" w:type="pct"/>
            <w:tcBorders>
              <w:top w:val="nil"/>
              <w:left w:val="nil"/>
              <w:bottom w:val="nil"/>
              <w:right w:val="nil"/>
            </w:tcBorders>
            <w:shd w:val="clear" w:color="000000" w:fill="FFFFFF"/>
            <w:noWrap/>
            <w:vAlign w:val="center"/>
            <w:hideMark/>
          </w:tcPr>
          <w:p w14:paraId="4C9BD216"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10D769FD"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18.3</w:t>
            </w:r>
          </w:p>
        </w:tc>
        <w:tc>
          <w:tcPr>
            <w:tcW w:w="998" w:type="pct"/>
            <w:tcBorders>
              <w:top w:val="nil"/>
              <w:left w:val="nil"/>
              <w:bottom w:val="nil"/>
              <w:right w:val="nil"/>
            </w:tcBorders>
            <w:shd w:val="clear" w:color="000000" w:fill="FFFFFF"/>
            <w:noWrap/>
            <w:vAlign w:val="center"/>
            <w:hideMark/>
          </w:tcPr>
          <w:p w14:paraId="3309DA24"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0.0119 ± 0.00063</w:t>
            </w:r>
          </w:p>
        </w:tc>
        <w:tc>
          <w:tcPr>
            <w:tcW w:w="940" w:type="pct"/>
            <w:tcBorders>
              <w:top w:val="nil"/>
              <w:left w:val="nil"/>
              <w:bottom w:val="nil"/>
              <w:right w:val="nil"/>
            </w:tcBorders>
            <w:shd w:val="clear" w:color="000000" w:fill="FFFFFF"/>
            <w:noWrap/>
            <w:vAlign w:val="center"/>
            <w:hideMark/>
          </w:tcPr>
          <w:p w14:paraId="1C0258A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0.06 ± 0.0018</w:t>
            </w:r>
          </w:p>
        </w:tc>
        <w:tc>
          <w:tcPr>
            <w:tcW w:w="945" w:type="pct"/>
            <w:tcBorders>
              <w:top w:val="nil"/>
              <w:left w:val="nil"/>
              <w:bottom w:val="nil"/>
              <w:right w:val="nil"/>
            </w:tcBorders>
            <w:shd w:val="clear" w:color="000000" w:fill="FFFFFF"/>
            <w:noWrap/>
            <w:vAlign w:val="center"/>
            <w:hideMark/>
          </w:tcPr>
          <w:p w14:paraId="210F62F2"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0.0711 ± 0.0011</w:t>
            </w:r>
          </w:p>
        </w:tc>
      </w:tr>
      <w:tr w:rsidR="00652AE7" w:rsidRPr="00D37C63" w14:paraId="1E6B4549"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338C867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SP_7</w:t>
            </w:r>
          </w:p>
        </w:tc>
        <w:tc>
          <w:tcPr>
            <w:tcW w:w="458" w:type="pct"/>
            <w:tcBorders>
              <w:top w:val="nil"/>
              <w:left w:val="nil"/>
              <w:bottom w:val="nil"/>
              <w:right w:val="nil"/>
            </w:tcBorders>
            <w:shd w:val="clear" w:color="000000" w:fill="FFFFFF"/>
            <w:noWrap/>
            <w:vAlign w:val="center"/>
            <w:hideMark/>
          </w:tcPr>
          <w:p w14:paraId="31107800"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500</w:t>
            </w:r>
          </w:p>
        </w:tc>
        <w:tc>
          <w:tcPr>
            <w:tcW w:w="580" w:type="pct"/>
            <w:tcBorders>
              <w:top w:val="nil"/>
              <w:left w:val="nil"/>
              <w:bottom w:val="nil"/>
              <w:right w:val="nil"/>
            </w:tcBorders>
            <w:shd w:val="clear" w:color="000000" w:fill="FFFFFF"/>
            <w:noWrap/>
            <w:vAlign w:val="center"/>
            <w:hideMark/>
          </w:tcPr>
          <w:p w14:paraId="5FD864E0"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bottom w:val="nil"/>
              <w:right w:val="nil"/>
            </w:tcBorders>
            <w:shd w:val="clear" w:color="000000" w:fill="FFFFFF"/>
            <w:noWrap/>
            <w:vAlign w:val="center"/>
            <w:hideMark/>
          </w:tcPr>
          <w:p w14:paraId="0BA2CD2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7FA51A9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16</w:t>
            </w:r>
          </w:p>
        </w:tc>
        <w:tc>
          <w:tcPr>
            <w:tcW w:w="998" w:type="pct"/>
            <w:tcBorders>
              <w:top w:val="nil"/>
              <w:left w:val="nil"/>
              <w:bottom w:val="nil"/>
              <w:right w:val="nil"/>
            </w:tcBorders>
            <w:shd w:val="clear" w:color="000000" w:fill="FFFFFF"/>
            <w:noWrap/>
            <w:vAlign w:val="center"/>
            <w:hideMark/>
          </w:tcPr>
          <w:p w14:paraId="7BFA39B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0.01746 ± 0.00055</w:t>
            </w:r>
          </w:p>
        </w:tc>
        <w:tc>
          <w:tcPr>
            <w:tcW w:w="940" w:type="pct"/>
            <w:tcBorders>
              <w:top w:val="nil"/>
              <w:left w:val="nil"/>
              <w:bottom w:val="nil"/>
              <w:right w:val="nil"/>
            </w:tcBorders>
            <w:shd w:val="clear" w:color="000000" w:fill="FFFFFF"/>
            <w:noWrap/>
            <w:vAlign w:val="center"/>
            <w:hideMark/>
          </w:tcPr>
          <w:p w14:paraId="4985357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0.006012 ± 0.0023</w:t>
            </w:r>
          </w:p>
        </w:tc>
        <w:tc>
          <w:tcPr>
            <w:tcW w:w="945" w:type="pct"/>
            <w:tcBorders>
              <w:top w:val="nil"/>
              <w:left w:val="nil"/>
              <w:bottom w:val="nil"/>
              <w:right w:val="nil"/>
            </w:tcBorders>
            <w:shd w:val="clear" w:color="000000" w:fill="FFFFFF"/>
            <w:noWrap/>
            <w:vAlign w:val="center"/>
            <w:hideMark/>
          </w:tcPr>
          <w:p w14:paraId="1660E62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4.38∙10-5 ± 0.0015</w:t>
            </w:r>
          </w:p>
        </w:tc>
      </w:tr>
      <w:tr w:rsidR="00652AE7" w:rsidRPr="00D37C63" w14:paraId="407CF369"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144DBB7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SP_8</w:t>
            </w:r>
          </w:p>
        </w:tc>
        <w:tc>
          <w:tcPr>
            <w:tcW w:w="458" w:type="pct"/>
            <w:tcBorders>
              <w:top w:val="nil"/>
              <w:left w:val="nil"/>
              <w:bottom w:val="nil"/>
              <w:right w:val="nil"/>
            </w:tcBorders>
            <w:shd w:val="clear" w:color="000000" w:fill="FFFFFF"/>
            <w:noWrap/>
            <w:vAlign w:val="center"/>
            <w:hideMark/>
          </w:tcPr>
          <w:p w14:paraId="051CA13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125</w:t>
            </w:r>
          </w:p>
        </w:tc>
        <w:tc>
          <w:tcPr>
            <w:tcW w:w="580" w:type="pct"/>
            <w:tcBorders>
              <w:top w:val="nil"/>
              <w:left w:val="nil"/>
              <w:bottom w:val="nil"/>
              <w:right w:val="nil"/>
            </w:tcBorders>
            <w:shd w:val="clear" w:color="000000" w:fill="FFFFFF"/>
            <w:noWrap/>
            <w:vAlign w:val="center"/>
            <w:hideMark/>
          </w:tcPr>
          <w:p w14:paraId="36607EB0"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bottom w:val="nil"/>
              <w:right w:val="nil"/>
            </w:tcBorders>
            <w:shd w:val="clear" w:color="000000" w:fill="FFFFFF"/>
            <w:noWrap/>
            <w:vAlign w:val="center"/>
            <w:hideMark/>
          </w:tcPr>
          <w:p w14:paraId="2EE8EE0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3900059E"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18</w:t>
            </w:r>
          </w:p>
        </w:tc>
        <w:tc>
          <w:tcPr>
            <w:tcW w:w="998" w:type="pct"/>
            <w:tcBorders>
              <w:top w:val="nil"/>
              <w:left w:val="nil"/>
              <w:bottom w:val="nil"/>
              <w:right w:val="nil"/>
            </w:tcBorders>
            <w:shd w:val="clear" w:color="000000" w:fill="FFFFFF"/>
            <w:noWrap/>
            <w:vAlign w:val="center"/>
            <w:hideMark/>
          </w:tcPr>
          <w:p w14:paraId="50E4430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0.0094 ± 0.00052</w:t>
            </w:r>
          </w:p>
        </w:tc>
        <w:tc>
          <w:tcPr>
            <w:tcW w:w="940" w:type="pct"/>
            <w:tcBorders>
              <w:top w:val="nil"/>
              <w:left w:val="nil"/>
              <w:bottom w:val="nil"/>
              <w:right w:val="nil"/>
            </w:tcBorders>
            <w:shd w:val="clear" w:color="000000" w:fill="FFFFFF"/>
            <w:noWrap/>
            <w:vAlign w:val="center"/>
            <w:hideMark/>
          </w:tcPr>
          <w:p w14:paraId="5FEC726E"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0.0370 ± 0.0021</w:t>
            </w:r>
          </w:p>
        </w:tc>
        <w:tc>
          <w:tcPr>
            <w:tcW w:w="945" w:type="pct"/>
            <w:tcBorders>
              <w:top w:val="nil"/>
              <w:left w:val="nil"/>
              <w:bottom w:val="nil"/>
              <w:right w:val="nil"/>
            </w:tcBorders>
            <w:shd w:val="clear" w:color="000000" w:fill="FFFFFF"/>
            <w:noWrap/>
            <w:vAlign w:val="center"/>
            <w:hideMark/>
          </w:tcPr>
          <w:p w14:paraId="0CEECEB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0.01763 ± 0.0019</w:t>
            </w:r>
          </w:p>
        </w:tc>
      </w:tr>
      <w:tr w:rsidR="00652AE7" w:rsidRPr="00D37C63" w14:paraId="36E29483" w14:textId="77777777" w:rsidTr="00811ABD">
        <w:trPr>
          <w:trHeight w:hRule="exact" w:val="227"/>
          <w:jc w:val="center"/>
        </w:trPr>
        <w:tc>
          <w:tcPr>
            <w:tcW w:w="399" w:type="pct"/>
            <w:tcBorders>
              <w:top w:val="nil"/>
              <w:left w:val="nil"/>
              <w:right w:val="nil"/>
            </w:tcBorders>
            <w:shd w:val="clear" w:color="000000" w:fill="FFFFFF"/>
            <w:noWrap/>
            <w:vAlign w:val="center"/>
            <w:hideMark/>
          </w:tcPr>
          <w:p w14:paraId="1492CE1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SP_9</w:t>
            </w:r>
          </w:p>
        </w:tc>
        <w:tc>
          <w:tcPr>
            <w:tcW w:w="458" w:type="pct"/>
            <w:tcBorders>
              <w:top w:val="nil"/>
              <w:left w:val="nil"/>
              <w:right w:val="nil"/>
            </w:tcBorders>
            <w:shd w:val="clear" w:color="000000" w:fill="FFFFFF"/>
            <w:noWrap/>
            <w:vAlign w:val="center"/>
            <w:hideMark/>
          </w:tcPr>
          <w:p w14:paraId="5EF87AF4"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right w:val="nil"/>
            </w:tcBorders>
            <w:shd w:val="clear" w:color="000000" w:fill="FFFFFF"/>
            <w:noWrap/>
            <w:vAlign w:val="center"/>
            <w:hideMark/>
          </w:tcPr>
          <w:p w14:paraId="7D91CA7D"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right w:val="nil"/>
            </w:tcBorders>
            <w:shd w:val="clear" w:color="000000" w:fill="FFFFFF"/>
            <w:noWrap/>
            <w:vAlign w:val="center"/>
            <w:hideMark/>
          </w:tcPr>
          <w:p w14:paraId="5D12142C"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11</w:t>
            </w:r>
          </w:p>
        </w:tc>
        <w:tc>
          <w:tcPr>
            <w:tcW w:w="458" w:type="pct"/>
            <w:tcBorders>
              <w:top w:val="nil"/>
              <w:left w:val="nil"/>
              <w:right w:val="nil"/>
            </w:tcBorders>
            <w:shd w:val="clear" w:color="000000" w:fill="FFFFFF"/>
            <w:noWrap/>
            <w:vAlign w:val="center"/>
            <w:hideMark/>
          </w:tcPr>
          <w:p w14:paraId="199CB214"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17.3</w:t>
            </w:r>
          </w:p>
        </w:tc>
        <w:tc>
          <w:tcPr>
            <w:tcW w:w="998" w:type="pct"/>
            <w:tcBorders>
              <w:top w:val="nil"/>
              <w:left w:val="nil"/>
              <w:right w:val="nil"/>
            </w:tcBorders>
            <w:shd w:val="clear" w:color="000000" w:fill="FFFFFF"/>
            <w:noWrap/>
            <w:vAlign w:val="center"/>
            <w:hideMark/>
          </w:tcPr>
          <w:p w14:paraId="2B6877CB"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0.02433 ± 0.00069</w:t>
            </w:r>
          </w:p>
        </w:tc>
        <w:tc>
          <w:tcPr>
            <w:tcW w:w="940" w:type="pct"/>
            <w:tcBorders>
              <w:top w:val="nil"/>
              <w:left w:val="nil"/>
              <w:right w:val="nil"/>
            </w:tcBorders>
            <w:shd w:val="clear" w:color="000000" w:fill="FFFFFF"/>
            <w:noWrap/>
            <w:vAlign w:val="center"/>
            <w:hideMark/>
          </w:tcPr>
          <w:p w14:paraId="61C86802"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0.0112 ± 0.0025</w:t>
            </w:r>
          </w:p>
        </w:tc>
        <w:tc>
          <w:tcPr>
            <w:tcW w:w="945" w:type="pct"/>
            <w:tcBorders>
              <w:top w:val="nil"/>
              <w:left w:val="nil"/>
              <w:right w:val="nil"/>
            </w:tcBorders>
            <w:shd w:val="clear" w:color="000000" w:fill="FFFFFF"/>
            <w:noWrap/>
            <w:vAlign w:val="center"/>
            <w:hideMark/>
          </w:tcPr>
          <w:p w14:paraId="604AF69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0.01938 ± 0.0011</w:t>
            </w:r>
          </w:p>
        </w:tc>
      </w:tr>
      <w:tr w:rsidR="00652AE7" w:rsidRPr="00D37C63" w14:paraId="2B60FAF8" w14:textId="77777777" w:rsidTr="00811ABD">
        <w:trPr>
          <w:trHeight w:hRule="exact" w:val="227"/>
          <w:jc w:val="center"/>
        </w:trPr>
        <w:tc>
          <w:tcPr>
            <w:tcW w:w="399" w:type="pct"/>
            <w:tcBorders>
              <w:top w:val="nil"/>
              <w:left w:val="nil"/>
              <w:right w:val="nil"/>
            </w:tcBorders>
            <w:shd w:val="clear" w:color="000000" w:fill="FFFFFF"/>
            <w:noWrap/>
            <w:vAlign w:val="center"/>
            <w:hideMark/>
          </w:tcPr>
          <w:p w14:paraId="2D682C06"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SP_10</w:t>
            </w:r>
          </w:p>
        </w:tc>
        <w:tc>
          <w:tcPr>
            <w:tcW w:w="458" w:type="pct"/>
            <w:tcBorders>
              <w:top w:val="nil"/>
              <w:left w:val="nil"/>
              <w:right w:val="nil"/>
            </w:tcBorders>
            <w:shd w:val="clear" w:color="000000" w:fill="FFFFFF"/>
            <w:noWrap/>
            <w:vAlign w:val="center"/>
            <w:hideMark/>
          </w:tcPr>
          <w:p w14:paraId="106DB222"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right w:val="nil"/>
            </w:tcBorders>
            <w:shd w:val="clear" w:color="000000" w:fill="FFFFFF"/>
            <w:noWrap/>
            <w:vAlign w:val="center"/>
            <w:hideMark/>
          </w:tcPr>
          <w:p w14:paraId="5B576E8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right w:val="nil"/>
            </w:tcBorders>
            <w:shd w:val="clear" w:color="000000" w:fill="FFFFFF"/>
            <w:noWrap/>
            <w:vAlign w:val="center"/>
            <w:hideMark/>
          </w:tcPr>
          <w:p w14:paraId="4439443B"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3</w:t>
            </w:r>
          </w:p>
        </w:tc>
        <w:tc>
          <w:tcPr>
            <w:tcW w:w="458" w:type="pct"/>
            <w:tcBorders>
              <w:top w:val="nil"/>
              <w:left w:val="nil"/>
              <w:right w:val="nil"/>
            </w:tcBorders>
            <w:shd w:val="clear" w:color="000000" w:fill="FFFFFF"/>
            <w:noWrap/>
            <w:vAlign w:val="center"/>
            <w:hideMark/>
          </w:tcPr>
          <w:p w14:paraId="63FB74EE"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18.3</w:t>
            </w:r>
          </w:p>
        </w:tc>
        <w:tc>
          <w:tcPr>
            <w:tcW w:w="998" w:type="pct"/>
            <w:tcBorders>
              <w:top w:val="nil"/>
              <w:left w:val="nil"/>
              <w:right w:val="nil"/>
            </w:tcBorders>
            <w:shd w:val="clear" w:color="000000" w:fill="FFFFFF"/>
            <w:noWrap/>
            <w:vAlign w:val="center"/>
            <w:hideMark/>
          </w:tcPr>
          <w:p w14:paraId="40C1C51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0.009754 ± 0.0006</w:t>
            </w:r>
          </w:p>
        </w:tc>
        <w:tc>
          <w:tcPr>
            <w:tcW w:w="940" w:type="pct"/>
            <w:tcBorders>
              <w:top w:val="nil"/>
              <w:left w:val="nil"/>
              <w:right w:val="nil"/>
            </w:tcBorders>
            <w:shd w:val="clear" w:color="000000" w:fill="FFFFFF"/>
            <w:noWrap/>
            <w:vAlign w:val="center"/>
            <w:hideMark/>
          </w:tcPr>
          <w:p w14:paraId="64B231FB"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0.06 ± 0.002</w:t>
            </w:r>
          </w:p>
        </w:tc>
        <w:tc>
          <w:tcPr>
            <w:tcW w:w="945" w:type="pct"/>
            <w:tcBorders>
              <w:top w:val="nil"/>
              <w:left w:val="nil"/>
              <w:right w:val="nil"/>
            </w:tcBorders>
            <w:shd w:val="clear" w:color="000000" w:fill="FFFFFF"/>
            <w:noWrap/>
            <w:vAlign w:val="center"/>
            <w:hideMark/>
          </w:tcPr>
          <w:p w14:paraId="23346059"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0.05744 ± 0.0010</w:t>
            </w:r>
          </w:p>
        </w:tc>
      </w:tr>
      <w:tr w:rsidR="00652AE7" w:rsidRPr="00D37C63" w14:paraId="6A9909B6"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4288BE4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CV_1</w:t>
            </w:r>
          </w:p>
        </w:tc>
        <w:tc>
          <w:tcPr>
            <w:tcW w:w="458" w:type="pct"/>
            <w:tcBorders>
              <w:top w:val="nil"/>
              <w:left w:val="nil"/>
              <w:bottom w:val="nil"/>
              <w:right w:val="nil"/>
            </w:tcBorders>
            <w:shd w:val="clear" w:color="000000" w:fill="FFFFFF"/>
            <w:noWrap/>
            <w:vAlign w:val="center"/>
            <w:hideMark/>
          </w:tcPr>
          <w:p w14:paraId="12F7AC5E"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429C4314"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bottom w:val="nil"/>
              <w:right w:val="nil"/>
            </w:tcBorders>
            <w:shd w:val="clear" w:color="000000" w:fill="FFFFFF"/>
            <w:noWrap/>
            <w:vAlign w:val="center"/>
            <w:hideMark/>
          </w:tcPr>
          <w:p w14:paraId="7FC6213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6EF4473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4</w:t>
            </w:r>
          </w:p>
        </w:tc>
        <w:tc>
          <w:tcPr>
            <w:tcW w:w="998" w:type="pct"/>
            <w:tcBorders>
              <w:top w:val="nil"/>
              <w:left w:val="nil"/>
              <w:bottom w:val="nil"/>
              <w:right w:val="nil"/>
            </w:tcBorders>
            <w:shd w:val="clear" w:color="000000" w:fill="FFFFFF"/>
            <w:noWrap/>
            <w:vAlign w:val="center"/>
            <w:hideMark/>
          </w:tcPr>
          <w:p w14:paraId="2C5CF0E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0.0193 ± 0.0015</w:t>
            </w:r>
          </w:p>
        </w:tc>
        <w:tc>
          <w:tcPr>
            <w:tcW w:w="940" w:type="pct"/>
            <w:tcBorders>
              <w:top w:val="nil"/>
              <w:left w:val="nil"/>
              <w:bottom w:val="nil"/>
              <w:right w:val="nil"/>
            </w:tcBorders>
            <w:shd w:val="clear" w:color="000000" w:fill="FFFFFF"/>
            <w:noWrap/>
            <w:vAlign w:val="center"/>
            <w:hideMark/>
          </w:tcPr>
          <w:p w14:paraId="0492CBBA"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0.0022 ± 0.0015</w:t>
            </w:r>
          </w:p>
        </w:tc>
        <w:tc>
          <w:tcPr>
            <w:tcW w:w="945" w:type="pct"/>
            <w:tcBorders>
              <w:top w:val="nil"/>
              <w:left w:val="nil"/>
              <w:bottom w:val="nil"/>
              <w:right w:val="nil"/>
            </w:tcBorders>
            <w:shd w:val="clear" w:color="000000" w:fill="FFFFFF"/>
            <w:noWrap/>
            <w:vAlign w:val="center"/>
            <w:hideMark/>
          </w:tcPr>
          <w:p w14:paraId="0E9E5113" w14:textId="50866E38"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(2.30 ± 0.22) ∙10</w:t>
            </w:r>
            <w:r w:rsidRPr="00D37C63">
              <w:rPr>
                <w:rFonts w:cs="Arial"/>
                <w:color w:val="000000"/>
                <w:sz w:val="17"/>
                <w:szCs w:val="17"/>
                <w:vertAlign w:val="superscript"/>
                <w:lang w:eastAsia="it-IT"/>
              </w:rPr>
              <w:t>-5</w:t>
            </w:r>
          </w:p>
        </w:tc>
      </w:tr>
      <w:tr w:rsidR="00652AE7" w:rsidRPr="00D37C63" w14:paraId="70F8D0C0"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0C1673B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CV_2</w:t>
            </w:r>
          </w:p>
        </w:tc>
        <w:tc>
          <w:tcPr>
            <w:tcW w:w="458" w:type="pct"/>
            <w:tcBorders>
              <w:top w:val="nil"/>
              <w:left w:val="nil"/>
              <w:bottom w:val="nil"/>
              <w:right w:val="nil"/>
            </w:tcBorders>
            <w:shd w:val="clear" w:color="000000" w:fill="FFFFFF"/>
            <w:noWrap/>
            <w:vAlign w:val="center"/>
            <w:hideMark/>
          </w:tcPr>
          <w:p w14:paraId="5462233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53ED2EB2"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bottom w:val="nil"/>
              <w:right w:val="nil"/>
            </w:tcBorders>
            <w:shd w:val="clear" w:color="000000" w:fill="FFFFFF"/>
            <w:noWrap/>
            <w:vAlign w:val="center"/>
            <w:hideMark/>
          </w:tcPr>
          <w:p w14:paraId="4D255454"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2C210969"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19</w:t>
            </w:r>
          </w:p>
        </w:tc>
        <w:tc>
          <w:tcPr>
            <w:tcW w:w="998" w:type="pct"/>
            <w:tcBorders>
              <w:top w:val="nil"/>
              <w:left w:val="nil"/>
              <w:bottom w:val="nil"/>
              <w:right w:val="nil"/>
            </w:tcBorders>
            <w:shd w:val="clear" w:color="000000" w:fill="FFFFFF"/>
            <w:noWrap/>
            <w:vAlign w:val="center"/>
            <w:hideMark/>
          </w:tcPr>
          <w:p w14:paraId="0A72D46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0.0201 ± 0.0016</w:t>
            </w:r>
          </w:p>
        </w:tc>
        <w:tc>
          <w:tcPr>
            <w:tcW w:w="940" w:type="pct"/>
            <w:tcBorders>
              <w:top w:val="nil"/>
              <w:left w:val="nil"/>
              <w:bottom w:val="nil"/>
              <w:right w:val="nil"/>
            </w:tcBorders>
            <w:shd w:val="clear" w:color="000000" w:fill="FFFFFF"/>
            <w:noWrap/>
            <w:vAlign w:val="center"/>
            <w:hideMark/>
          </w:tcPr>
          <w:p w14:paraId="724AD299"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0.004123 ± 0.0015</w:t>
            </w:r>
          </w:p>
        </w:tc>
        <w:tc>
          <w:tcPr>
            <w:tcW w:w="945" w:type="pct"/>
            <w:tcBorders>
              <w:top w:val="nil"/>
              <w:left w:val="nil"/>
              <w:bottom w:val="nil"/>
              <w:right w:val="nil"/>
            </w:tcBorders>
            <w:shd w:val="clear" w:color="000000" w:fill="FFFFFF"/>
            <w:noWrap/>
            <w:vAlign w:val="center"/>
            <w:hideMark/>
          </w:tcPr>
          <w:p w14:paraId="3B7E225B" w14:textId="503F433E"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(3.47± 0.34)∙10-11</w:t>
            </w:r>
          </w:p>
        </w:tc>
      </w:tr>
      <w:tr w:rsidR="00652AE7" w:rsidRPr="00D37C63" w14:paraId="2778BDE4"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146D51D6"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CV_3</w:t>
            </w:r>
          </w:p>
        </w:tc>
        <w:tc>
          <w:tcPr>
            <w:tcW w:w="458" w:type="pct"/>
            <w:tcBorders>
              <w:top w:val="nil"/>
              <w:left w:val="nil"/>
              <w:bottom w:val="nil"/>
              <w:right w:val="nil"/>
            </w:tcBorders>
            <w:shd w:val="clear" w:color="000000" w:fill="FFFFFF"/>
            <w:noWrap/>
            <w:vAlign w:val="center"/>
            <w:hideMark/>
          </w:tcPr>
          <w:p w14:paraId="40E92A6D"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4C0D6D7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bottom w:val="nil"/>
              <w:right w:val="nil"/>
            </w:tcBorders>
            <w:shd w:val="clear" w:color="000000" w:fill="FFFFFF"/>
            <w:noWrap/>
            <w:vAlign w:val="center"/>
            <w:hideMark/>
          </w:tcPr>
          <w:p w14:paraId="3A2D4E3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771E619A"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33.3</w:t>
            </w:r>
          </w:p>
        </w:tc>
        <w:tc>
          <w:tcPr>
            <w:tcW w:w="998" w:type="pct"/>
            <w:tcBorders>
              <w:top w:val="nil"/>
              <w:left w:val="nil"/>
              <w:bottom w:val="nil"/>
              <w:right w:val="nil"/>
            </w:tcBorders>
            <w:shd w:val="clear" w:color="000000" w:fill="FFFFFF"/>
            <w:noWrap/>
            <w:vAlign w:val="center"/>
            <w:hideMark/>
          </w:tcPr>
          <w:p w14:paraId="6393580A"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0.0058 ± 0.0015</w:t>
            </w:r>
          </w:p>
        </w:tc>
        <w:tc>
          <w:tcPr>
            <w:tcW w:w="940" w:type="pct"/>
            <w:tcBorders>
              <w:top w:val="nil"/>
              <w:left w:val="nil"/>
              <w:bottom w:val="nil"/>
              <w:right w:val="nil"/>
            </w:tcBorders>
            <w:shd w:val="clear" w:color="000000" w:fill="FFFFFF"/>
            <w:noWrap/>
            <w:vAlign w:val="center"/>
            <w:hideMark/>
          </w:tcPr>
          <w:p w14:paraId="26A564A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0.0166 ± 0.0014</w:t>
            </w:r>
          </w:p>
        </w:tc>
        <w:tc>
          <w:tcPr>
            <w:tcW w:w="945" w:type="pct"/>
            <w:tcBorders>
              <w:top w:val="nil"/>
              <w:left w:val="nil"/>
              <w:bottom w:val="nil"/>
              <w:right w:val="nil"/>
            </w:tcBorders>
            <w:shd w:val="clear" w:color="000000" w:fill="FFFFFF"/>
            <w:noWrap/>
            <w:vAlign w:val="center"/>
            <w:hideMark/>
          </w:tcPr>
          <w:p w14:paraId="32133F86"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0.0097 ± 0.0012</w:t>
            </w:r>
          </w:p>
        </w:tc>
      </w:tr>
      <w:tr w:rsidR="00652AE7" w:rsidRPr="00D37C63" w14:paraId="3F07560F"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5E198ED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CV_4</w:t>
            </w:r>
          </w:p>
        </w:tc>
        <w:tc>
          <w:tcPr>
            <w:tcW w:w="458" w:type="pct"/>
            <w:tcBorders>
              <w:top w:val="nil"/>
              <w:left w:val="nil"/>
              <w:bottom w:val="nil"/>
              <w:right w:val="nil"/>
            </w:tcBorders>
            <w:shd w:val="clear" w:color="000000" w:fill="FFFFFF"/>
            <w:noWrap/>
            <w:vAlign w:val="center"/>
            <w:hideMark/>
          </w:tcPr>
          <w:p w14:paraId="158ADFF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0BBE2614"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w:t>
            </w:r>
          </w:p>
        </w:tc>
        <w:tc>
          <w:tcPr>
            <w:tcW w:w="222" w:type="pct"/>
            <w:tcBorders>
              <w:top w:val="nil"/>
              <w:left w:val="nil"/>
              <w:bottom w:val="nil"/>
              <w:right w:val="nil"/>
            </w:tcBorders>
            <w:shd w:val="clear" w:color="000000" w:fill="FFFFFF"/>
            <w:noWrap/>
            <w:vAlign w:val="center"/>
            <w:hideMark/>
          </w:tcPr>
          <w:p w14:paraId="18C7749B"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36D11FA6"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21</w:t>
            </w:r>
          </w:p>
        </w:tc>
        <w:tc>
          <w:tcPr>
            <w:tcW w:w="998" w:type="pct"/>
            <w:tcBorders>
              <w:top w:val="nil"/>
              <w:left w:val="nil"/>
              <w:bottom w:val="nil"/>
              <w:right w:val="nil"/>
            </w:tcBorders>
            <w:shd w:val="clear" w:color="000000" w:fill="FFFFFF"/>
            <w:noWrap/>
            <w:vAlign w:val="center"/>
            <w:hideMark/>
          </w:tcPr>
          <w:p w14:paraId="0FB7E5C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0.0023 ± 0.0011</w:t>
            </w:r>
          </w:p>
        </w:tc>
        <w:tc>
          <w:tcPr>
            <w:tcW w:w="940" w:type="pct"/>
            <w:tcBorders>
              <w:top w:val="nil"/>
              <w:left w:val="nil"/>
              <w:bottom w:val="nil"/>
              <w:right w:val="nil"/>
            </w:tcBorders>
            <w:shd w:val="clear" w:color="000000" w:fill="FFFFFF"/>
            <w:noWrap/>
            <w:vAlign w:val="center"/>
            <w:hideMark/>
          </w:tcPr>
          <w:p w14:paraId="1CF66E7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0.01752 ± 0.0013</w:t>
            </w:r>
          </w:p>
        </w:tc>
        <w:tc>
          <w:tcPr>
            <w:tcW w:w="945" w:type="pct"/>
            <w:tcBorders>
              <w:top w:val="nil"/>
              <w:left w:val="nil"/>
              <w:bottom w:val="nil"/>
              <w:right w:val="nil"/>
            </w:tcBorders>
            <w:shd w:val="clear" w:color="000000" w:fill="FFFFFF"/>
            <w:noWrap/>
            <w:vAlign w:val="center"/>
            <w:hideMark/>
          </w:tcPr>
          <w:p w14:paraId="34F8920A"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0.00167 ± 0.0009</w:t>
            </w:r>
          </w:p>
        </w:tc>
      </w:tr>
      <w:tr w:rsidR="00652AE7" w:rsidRPr="00D37C63" w14:paraId="1A5915F1"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177D61C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CV_5</w:t>
            </w:r>
          </w:p>
        </w:tc>
        <w:tc>
          <w:tcPr>
            <w:tcW w:w="458" w:type="pct"/>
            <w:tcBorders>
              <w:top w:val="nil"/>
              <w:left w:val="nil"/>
              <w:bottom w:val="nil"/>
              <w:right w:val="nil"/>
            </w:tcBorders>
            <w:shd w:val="clear" w:color="000000" w:fill="FFFFFF"/>
            <w:noWrap/>
            <w:vAlign w:val="center"/>
            <w:hideMark/>
          </w:tcPr>
          <w:p w14:paraId="401CF17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3167A0AB"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75</w:t>
            </w:r>
          </w:p>
        </w:tc>
        <w:tc>
          <w:tcPr>
            <w:tcW w:w="222" w:type="pct"/>
            <w:tcBorders>
              <w:top w:val="nil"/>
              <w:left w:val="nil"/>
              <w:bottom w:val="nil"/>
              <w:right w:val="nil"/>
            </w:tcBorders>
            <w:shd w:val="clear" w:color="000000" w:fill="FFFFFF"/>
            <w:noWrap/>
            <w:vAlign w:val="center"/>
            <w:hideMark/>
          </w:tcPr>
          <w:p w14:paraId="6F8B9C6E"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59FD1FC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20</w:t>
            </w:r>
          </w:p>
        </w:tc>
        <w:tc>
          <w:tcPr>
            <w:tcW w:w="998" w:type="pct"/>
            <w:tcBorders>
              <w:top w:val="nil"/>
              <w:left w:val="nil"/>
              <w:bottom w:val="nil"/>
              <w:right w:val="nil"/>
            </w:tcBorders>
            <w:shd w:val="clear" w:color="000000" w:fill="FFFFFF"/>
            <w:noWrap/>
            <w:vAlign w:val="center"/>
            <w:hideMark/>
          </w:tcPr>
          <w:p w14:paraId="5EB8B37D"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0.0047 ± 0.0009</w:t>
            </w:r>
          </w:p>
        </w:tc>
        <w:tc>
          <w:tcPr>
            <w:tcW w:w="940" w:type="pct"/>
            <w:tcBorders>
              <w:top w:val="nil"/>
              <w:left w:val="nil"/>
              <w:bottom w:val="nil"/>
              <w:right w:val="nil"/>
            </w:tcBorders>
            <w:shd w:val="clear" w:color="000000" w:fill="FFFFFF"/>
            <w:noWrap/>
            <w:vAlign w:val="center"/>
            <w:hideMark/>
          </w:tcPr>
          <w:p w14:paraId="6ECAA3F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0.05952 ± 0.002</w:t>
            </w:r>
          </w:p>
        </w:tc>
        <w:tc>
          <w:tcPr>
            <w:tcW w:w="945" w:type="pct"/>
            <w:tcBorders>
              <w:top w:val="nil"/>
              <w:left w:val="nil"/>
              <w:bottom w:val="nil"/>
              <w:right w:val="nil"/>
            </w:tcBorders>
            <w:shd w:val="clear" w:color="000000" w:fill="FFFFFF"/>
            <w:noWrap/>
            <w:vAlign w:val="center"/>
            <w:hideMark/>
          </w:tcPr>
          <w:p w14:paraId="6F012799"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0.06911 ± 0.0012</w:t>
            </w:r>
          </w:p>
        </w:tc>
      </w:tr>
      <w:tr w:rsidR="00652AE7" w:rsidRPr="00D37C63" w14:paraId="207652B4"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66AB6DAE"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CV_6</w:t>
            </w:r>
          </w:p>
        </w:tc>
        <w:tc>
          <w:tcPr>
            <w:tcW w:w="458" w:type="pct"/>
            <w:tcBorders>
              <w:top w:val="nil"/>
              <w:left w:val="nil"/>
              <w:bottom w:val="nil"/>
              <w:right w:val="nil"/>
            </w:tcBorders>
            <w:shd w:val="clear" w:color="000000" w:fill="FFFFFF"/>
            <w:noWrap/>
            <w:vAlign w:val="center"/>
            <w:hideMark/>
          </w:tcPr>
          <w:p w14:paraId="599B8FB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nil"/>
              <w:right w:val="nil"/>
            </w:tcBorders>
            <w:shd w:val="clear" w:color="000000" w:fill="FFFFFF"/>
            <w:noWrap/>
            <w:vAlign w:val="center"/>
            <w:hideMark/>
          </w:tcPr>
          <w:p w14:paraId="3FE541B6"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300</w:t>
            </w:r>
          </w:p>
        </w:tc>
        <w:tc>
          <w:tcPr>
            <w:tcW w:w="222" w:type="pct"/>
            <w:tcBorders>
              <w:top w:val="nil"/>
              <w:left w:val="nil"/>
              <w:bottom w:val="nil"/>
              <w:right w:val="nil"/>
            </w:tcBorders>
            <w:shd w:val="clear" w:color="000000" w:fill="FFFFFF"/>
            <w:noWrap/>
            <w:vAlign w:val="center"/>
            <w:hideMark/>
          </w:tcPr>
          <w:p w14:paraId="5916C1FA"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591C6C02"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17.3</w:t>
            </w:r>
          </w:p>
        </w:tc>
        <w:tc>
          <w:tcPr>
            <w:tcW w:w="998" w:type="pct"/>
            <w:tcBorders>
              <w:top w:val="nil"/>
              <w:left w:val="nil"/>
              <w:bottom w:val="nil"/>
              <w:right w:val="nil"/>
            </w:tcBorders>
            <w:shd w:val="clear" w:color="000000" w:fill="FFFFFF"/>
            <w:noWrap/>
            <w:vAlign w:val="center"/>
            <w:hideMark/>
          </w:tcPr>
          <w:p w14:paraId="326880EA"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0.0088 ± 0.0016</w:t>
            </w:r>
          </w:p>
        </w:tc>
        <w:tc>
          <w:tcPr>
            <w:tcW w:w="940" w:type="pct"/>
            <w:tcBorders>
              <w:top w:val="nil"/>
              <w:left w:val="nil"/>
              <w:bottom w:val="nil"/>
              <w:right w:val="nil"/>
            </w:tcBorders>
            <w:shd w:val="clear" w:color="000000" w:fill="FFFFFF"/>
            <w:noWrap/>
            <w:vAlign w:val="center"/>
            <w:hideMark/>
          </w:tcPr>
          <w:p w14:paraId="6E2651F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0.0034 ± 0.0009</w:t>
            </w:r>
          </w:p>
        </w:tc>
        <w:tc>
          <w:tcPr>
            <w:tcW w:w="945" w:type="pct"/>
            <w:tcBorders>
              <w:top w:val="nil"/>
              <w:left w:val="nil"/>
              <w:bottom w:val="nil"/>
              <w:right w:val="nil"/>
            </w:tcBorders>
            <w:shd w:val="clear" w:color="000000" w:fill="FFFFFF"/>
            <w:noWrap/>
            <w:vAlign w:val="center"/>
            <w:hideMark/>
          </w:tcPr>
          <w:p w14:paraId="4F23837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0.6893 ± 0.0012</w:t>
            </w:r>
          </w:p>
        </w:tc>
      </w:tr>
      <w:tr w:rsidR="00652AE7" w:rsidRPr="00D37C63" w14:paraId="11DB8196"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764F9642"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CV_7</w:t>
            </w:r>
          </w:p>
        </w:tc>
        <w:tc>
          <w:tcPr>
            <w:tcW w:w="458" w:type="pct"/>
            <w:tcBorders>
              <w:top w:val="nil"/>
              <w:left w:val="nil"/>
              <w:bottom w:val="nil"/>
              <w:right w:val="nil"/>
            </w:tcBorders>
            <w:shd w:val="clear" w:color="000000" w:fill="FFFFFF"/>
            <w:noWrap/>
            <w:vAlign w:val="center"/>
            <w:hideMark/>
          </w:tcPr>
          <w:p w14:paraId="66445E2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500</w:t>
            </w:r>
          </w:p>
        </w:tc>
        <w:tc>
          <w:tcPr>
            <w:tcW w:w="580" w:type="pct"/>
            <w:tcBorders>
              <w:top w:val="nil"/>
              <w:left w:val="nil"/>
              <w:bottom w:val="nil"/>
              <w:right w:val="nil"/>
            </w:tcBorders>
            <w:shd w:val="clear" w:color="000000" w:fill="FFFFFF"/>
            <w:noWrap/>
            <w:vAlign w:val="center"/>
            <w:hideMark/>
          </w:tcPr>
          <w:p w14:paraId="67DC1770"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bottom w:val="nil"/>
              <w:right w:val="nil"/>
            </w:tcBorders>
            <w:shd w:val="clear" w:color="000000" w:fill="FFFFFF"/>
            <w:noWrap/>
            <w:vAlign w:val="center"/>
            <w:hideMark/>
          </w:tcPr>
          <w:p w14:paraId="017C22C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124E957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16.7</w:t>
            </w:r>
          </w:p>
        </w:tc>
        <w:tc>
          <w:tcPr>
            <w:tcW w:w="998" w:type="pct"/>
            <w:tcBorders>
              <w:top w:val="nil"/>
              <w:left w:val="nil"/>
              <w:bottom w:val="nil"/>
              <w:right w:val="nil"/>
            </w:tcBorders>
            <w:shd w:val="clear" w:color="000000" w:fill="FFFFFF"/>
            <w:noWrap/>
            <w:vAlign w:val="center"/>
            <w:hideMark/>
          </w:tcPr>
          <w:p w14:paraId="6BC7DA8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0.0298 ± 0.002</w:t>
            </w:r>
          </w:p>
        </w:tc>
        <w:tc>
          <w:tcPr>
            <w:tcW w:w="940" w:type="pct"/>
            <w:tcBorders>
              <w:top w:val="nil"/>
              <w:left w:val="nil"/>
              <w:bottom w:val="nil"/>
              <w:right w:val="nil"/>
            </w:tcBorders>
            <w:shd w:val="clear" w:color="000000" w:fill="FFFFFF"/>
            <w:noWrap/>
            <w:vAlign w:val="center"/>
            <w:hideMark/>
          </w:tcPr>
          <w:p w14:paraId="6D17678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0.0015 ± 0.001</w:t>
            </w:r>
          </w:p>
        </w:tc>
        <w:tc>
          <w:tcPr>
            <w:tcW w:w="945" w:type="pct"/>
            <w:tcBorders>
              <w:top w:val="nil"/>
              <w:left w:val="nil"/>
              <w:bottom w:val="nil"/>
              <w:right w:val="nil"/>
            </w:tcBorders>
            <w:shd w:val="clear" w:color="000000" w:fill="FFFFFF"/>
            <w:noWrap/>
            <w:vAlign w:val="center"/>
            <w:hideMark/>
          </w:tcPr>
          <w:p w14:paraId="35EAF59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(1.34 ± 0.08)∙10-7</w:t>
            </w:r>
          </w:p>
        </w:tc>
      </w:tr>
      <w:tr w:rsidR="00652AE7" w:rsidRPr="00D37C63" w14:paraId="78663FBE" w14:textId="77777777" w:rsidTr="00811ABD">
        <w:trPr>
          <w:trHeight w:hRule="exact" w:val="227"/>
          <w:jc w:val="center"/>
        </w:trPr>
        <w:tc>
          <w:tcPr>
            <w:tcW w:w="399" w:type="pct"/>
            <w:tcBorders>
              <w:top w:val="nil"/>
              <w:left w:val="nil"/>
              <w:bottom w:val="nil"/>
              <w:right w:val="nil"/>
            </w:tcBorders>
            <w:shd w:val="clear" w:color="000000" w:fill="FFFFFF"/>
            <w:noWrap/>
            <w:vAlign w:val="center"/>
            <w:hideMark/>
          </w:tcPr>
          <w:p w14:paraId="2D071D0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CV_8</w:t>
            </w:r>
          </w:p>
        </w:tc>
        <w:tc>
          <w:tcPr>
            <w:tcW w:w="458" w:type="pct"/>
            <w:tcBorders>
              <w:top w:val="nil"/>
              <w:left w:val="nil"/>
              <w:bottom w:val="nil"/>
              <w:right w:val="nil"/>
            </w:tcBorders>
            <w:shd w:val="clear" w:color="000000" w:fill="FFFFFF"/>
            <w:noWrap/>
            <w:vAlign w:val="center"/>
            <w:hideMark/>
          </w:tcPr>
          <w:p w14:paraId="04F15E9A"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125</w:t>
            </w:r>
          </w:p>
        </w:tc>
        <w:tc>
          <w:tcPr>
            <w:tcW w:w="580" w:type="pct"/>
            <w:tcBorders>
              <w:top w:val="nil"/>
              <w:left w:val="nil"/>
              <w:bottom w:val="nil"/>
              <w:right w:val="nil"/>
            </w:tcBorders>
            <w:shd w:val="clear" w:color="000000" w:fill="FFFFFF"/>
            <w:noWrap/>
            <w:vAlign w:val="center"/>
            <w:hideMark/>
          </w:tcPr>
          <w:p w14:paraId="3AC6F13E"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bottom w:val="nil"/>
              <w:right w:val="nil"/>
            </w:tcBorders>
            <w:shd w:val="clear" w:color="000000" w:fill="FFFFFF"/>
            <w:noWrap/>
            <w:vAlign w:val="center"/>
            <w:hideMark/>
          </w:tcPr>
          <w:p w14:paraId="7D21B34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7</w:t>
            </w:r>
          </w:p>
        </w:tc>
        <w:tc>
          <w:tcPr>
            <w:tcW w:w="458" w:type="pct"/>
            <w:tcBorders>
              <w:top w:val="nil"/>
              <w:left w:val="nil"/>
              <w:bottom w:val="nil"/>
              <w:right w:val="nil"/>
            </w:tcBorders>
            <w:shd w:val="clear" w:color="000000" w:fill="FFFFFF"/>
            <w:noWrap/>
            <w:vAlign w:val="center"/>
            <w:hideMark/>
          </w:tcPr>
          <w:p w14:paraId="10E8CB19"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20</w:t>
            </w:r>
          </w:p>
        </w:tc>
        <w:tc>
          <w:tcPr>
            <w:tcW w:w="998" w:type="pct"/>
            <w:tcBorders>
              <w:top w:val="nil"/>
              <w:left w:val="nil"/>
              <w:bottom w:val="nil"/>
              <w:right w:val="nil"/>
            </w:tcBorders>
            <w:shd w:val="clear" w:color="000000" w:fill="FFFFFF"/>
            <w:noWrap/>
            <w:vAlign w:val="center"/>
            <w:hideMark/>
          </w:tcPr>
          <w:p w14:paraId="4DC4390D"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0.0057 ± 0.0012</w:t>
            </w:r>
          </w:p>
        </w:tc>
        <w:tc>
          <w:tcPr>
            <w:tcW w:w="940" w:type="pct"/>
            <w:tcBorders>
              <w:top w:val="nil"/>
              <w:left w:val="nil"/>
              <w:bottom w:val="nil"/>
              <w:right w:val="nil"/>
            </w:tcBorders>
            <w:shd w:val="clear" w:color="000000" w:fill="FFFFFF"/>
            <w:noWrap/>
            <w:vAlign w:val="center"/>
            <w:hideMark/>
          </w:tcPr>
          <w:p w14:paraId="7BCD7FA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0.06 ± 0.0009</w:t>
            </w:r>
          </w:p>
        </w:tc>
        <w:tc>
          <w:tcPr>
            <w:tcW w:w="945" w:type="pct"/>
            <w:tcBorders>
              <w:top w:val="nil"/>
              <w:left w:val="nil"/>
              <w:bottom w:val="nil"/>
              <w:right w:val="nil"/>
            </w:tcBorders>
            <w:shd w:val="clear" w:color="000000" w:fill="FFFFFF"/>
            <w:noWrap/>
            <w:vAlign w:val="center"/>
            <w:hideMark/>
          </w:tcPr>
          <w:p w14:paraId="15A8663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0.018 ± 0.0013</w:t>
            </w:r>
          </w:p>
        </w:tc>
      </w:tr>
      <w:tr w:rsidR="00652AE7" w:rsidRPr="00D37C63" w14:paraId="5BACB013" w14:textId="77777777" w:rsidTr="00811ABD">
        <w:trPr>
          <w:trHeight w:hRule="exact" w:val="227"/>
          <w:jc w:val="center"/>
        </w:trPr>
        <w:tc>
          <w:tcPr>
            <w:tcW w:w="399" w:type="pct"/>
            <w:tcBorders>
              <w:top w:val="nil"/>
              <w:left w:val="nil"/>
              <w:right w:val="nil"/>
            </w:tcBorders>
            <w:shd w:val="clear" w:color="000000" w:fill="FFFFFF"/>
            <w:noWrap/>
            <w:vAlign w:val="center"/>
            <w:hideMark/>
          </w:tcPr>
          <w:p w14:paraId="05A84E38"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CV_9</w:t>
            </w:r>
          </w:p>
        </w:tc>
        <w:tc>
          <w:tcPr>
            <w:tcW w:w="458" w:type="pct"/>
            <w:tcBorders>
              <w:top w:val="nil"/>
              <w:left w:val="nil"/>
              <w:right w:val="nil"/>
            </w:tcBorders>
            <w:shd w:val="clear" w:color="000000" w:fill="FFFFFF"/>
            <w:noWrap/>
            <w:vAlign w:val="center"/>
            <w:hideMark/>
          </w:tcPr>
          <w:p w14:paraId="24CD66EE"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right w:val="nil"/>
            </w:tcBorders>
            <w:shd w:val="clear" w:color="000000" w:fill="FFFFFF"/>
            <w:noWrap/>
            <w:vAlign w:val="center"/>
            <w:hideMark/>
          </w:tcPr>
          <w:p w14:paraId="76F26EDB"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right w:val="nil"/>
            </w:tcBorders>
            <w:shd w:val="clear" w:color="000000" w:fill="FFFFFF"/>
            <w:noWrap/>
            <w:vAlign w:val="center"/>
            <w:hideMark/>
          </w:tcPr>
          <w:p w14:paraId="4D93C2D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11</w:t>
            </w:r>
          </w:p>
        </w:tc>
        <w:tc>
          <w:tcPr>
            <w:tcW w:w="458" w:type="pct"/>
            <w:tcBorders>
              <w:top w:val="nil"/>
              <w:left w:val="nil"/>
              <w:right w:val="nil"/>
            </w:tcBorders>
            <w:shd w:val="clear" w:color="000000" w:fill="FFFFFF"/>
            <w:noWrap/>
            <w:vAlign w:val="center"/>
            <w:hideMark/>
          </w:tcPr>
          <w:p w14:paraId="38A59E1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18</w:t>
            </w:r>
          </w:p>
        </w:tc>
        <w:tc>
          <w:tcPr>
            <w:tcW w:w="998" w:type="pct"/>
            <w:tcBorders>
              <w:top w:val="nil"/>
              <w:left w:val="nil"/>
              <w:right w:val="nil"/>
            </w:tcBorders>
            <w:shd w:val="clear" w:color="000000" w:fill="FFFFFF"/>
            <w:noWrap/>
            <w:vAlign w:val="center"/>
            <w:hideMark/>
          </w:tcPr>
          <w:p w14:paraId="44AFEF1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0.01121 ± 0.0014</w:t>
            </w:r>
          </w:p>
        </w:tc>
        <w:tc>
          <w:tcPr>
            <w:tcW w:w="940" w:type="pct"/>
            <w:tcBorders>
              <w:top w:val="nil"/>
              <w:left w:val="nil"/>
              <w:right w:val="nil"/>
            </w:tcBorders>
            <w:shd w:val="clear" w:color="000000" w:fill="FFFFFF"/>
            <w:noWrap/>
            <w:vAlign w:val="center"/>
            <w:hideMark/>
          </w:tcPr>
          <w:p w14:paraId="2C7336EB"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0.0033 ± 0.0011</w:t>
            </w:r>
          </w:p>
        </w:tc>
        <w:tc>
          <w:tcPr>
            <w:tcW w:w="945" w:type="pct"/>
            <w:tcBorders>
              <w:top w:val="nil"/>
              <w:left w:val="nil"/>
              <w:right w:val="nil"/>
            </w:tcBorders>
            <w:shd w:val="clear" w:color="000000" w:fill="FFFFFF"/>
            <w:noWrap/>
            <w:vAlign w:val="center"/>
            <w:hideMark/>
          </w:tcPr>
          <w:p w14:paraId="5B0EA3B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0.6832 ± 0.0009</w:t>
            </w:r>
          </w:p>
        </w:tc>
      </w:tr>
      <w:tr w:rsidR="00652AE7" w:rsidRPr="00D37C63" w14:paraId="528CC982" w14:textId="77777777" w:rsidTr="00811ABD">
        <w:trPr>
          <w:trHeight w:hRule="exact" w:val="227"/>
          <w:jc w:val="center"/>
        </w:trPr>
        <w:tc>
          <w:tcPr>
            <w:tcW w:w="399" w:type="pct"/>
            <w:tcBorders>
              <w:top w:val="nil"/>
              <w:left w:val="nil"/>
              <w:bottom w:val="single" w:sz="12" w:space="0" w:color="00B050"/>
              <w:right w:val="nil"/>
            </w:tcBorders>
            <w:shd w:val="clear" w:color="000000" w:fill="FFFFFF"/>
            <w:noWrap/>
            <w:vAlign w:val="center"/>
            <w:hideMark/>
          </w:tcPr>
          <w:p w14:paraId="0AEBB301"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CV_10</w:t>
            </w:r>
          </w:p>
        </w:tc>
        <w:tc>
          <w:tcPr>
            <w:tcW w:w="458" w:type="pct"/>
            <w:tcBorders>
              <w:top w:val="nil"/>
              <w:left w:val="nil"/>
              <w:bottom w:val="single" w:sz="12" w:space="0" w:color="00B050"/>
              <w:right w:val="nil"/>
            </w:tcBorders>
            <w:shd w:val="clear" w:color="000000" w:fill="FFFFFF"/>
            <w:noWrap/>
            <w:vAlign w:val="center"/>
            <w:hideMark/>
          </w:tcPr>
          <w:p w14:paraId="0F3EE8A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250</w:t>
            </w:r>
          </w:p>
        </w:tc>
        <w:tc>
          <w:tcPr>
            <w:tcW w:w="580" w:type="pct"/>
            <w:tcBorders>
              <w:top w:val="nil"/>
              <w:left w:val="nil"/>
              <w:bottom w:val="single" w:sz="12" w:space="0" w:color="00B050"/>
              <w:right w:val="nil"/>
            </w:tcBorders>
            <w:shd w:val="clear" w:color="000000" w:fill="FFFFFF"/>
            <w:noWrap/>
            <w:vAlign w:val="center"/>
            <w:hideMark/>
          </w:tcPr>
          <w:p w14:paraId="7B6F5C53"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150</w:t>
            </w:r>
          </w:p>
        </w:tc>
        <w:tc>
          <w:tcPr>
            <w:tcW w:w="222" w:type="pct"/>
            <w:tcBorders>
              <w:top w:val="nil"/>
              <w:left w:val="nil"/>
              <w:bottom w:val="single" w:sz="12" w:space="0" w:color="00B050"/>
              <w:right w:val="nil"/>
            </w:tcBorders>
            <w:shd w:val="clear" w:color="000000" w:fill="FFFFFF"/>
            <w:noWrap/>
            <w:vAlign w:val="center"/>
            <w:hideMark/>
          </w:tcPr>
          <w:p w14:paraId="7A35D54F"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3</w:t>
            </w:r>
          </w:p>
        </w:tc>
        <w:tc>
          <w:tcPr>
            <w:tcW w:w="458" w:type="pct"/>
            <w:tcBorders>
              <w:top w:val="nil"/>
              <w:left w:val="nil"/>
              <w:bottom w:val="single" w:sz="12" w:space="0" w:color="00B050"/>
              <w:right w:val="nil"/>
            </w:tcBorders>
            <w:shd w:val="clear" w:color="000000" w:fill="FFFFFF"/>
            <w:noWrap/>
            <w:vAlign w:val="center"/>
            <w:hideMark/>
          </w:tcPr>
          <w:p w14:paraId="7E452CF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18.7</w:t>
            </w:r>
          </w:p>
        </w:tc>
        <w:tc>
          <w:tcPr>
            <w:tcW w:w="998" w:type="pct"/>
            <w:tcBorders>
              <w:top w:val="nil"/>
              <w:left w:val="nil"/>
              <w:bottom w:val="single" w:sz="12" w:space="0" w:color="00B050"/>
              <w:right w:val="nil"/>
            </w:tcBorders>
            <w:shd w:val="clear" w:color="000000" w:fill="FFFFFF"/>
            <w:noWrap/>
            <w:vAlign w:val="center"/>
            <w:hideMark/>
          </w:tcPr>
          <w:p w14:paraId="3EDABD8C"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0.00789 ± 0.0018</w:t>
            </w:r>
          </w:p>
        </w:tc>
        <w:tc>
          <w:tcPr>
            <w:tcW w:w="940" w:type="pct"/>
            <w:tcBorders>
              <w:top w:val="nil"/>
              <w:left w:val="nil"/>
              <w:bottom w:val="single" w:sz="12" w:space="0" w:color="00B050"/>
              <w:right w:val="nil"/>
            </w:tcBorders>
            <w:shd w:val="clear" w:color="000000" w:fill="FFFFFF"/>
            <w:noWrap/>
            <w:vAlign w:val="center"/>
            <w:hideMark/>
          </w:tcPr>
          <w:p w14:paraId="68A67827"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0.0588 ± 0.0015</w:t>
            </w:r>
          </w:p>
        </w:tc>
        <w:tc>
          <w:tcPr>
            <w:tcW w:w="945" w:type="pct"/>
            <w:tcBorders>
              <w:top w:val="nil"/>
              <w:left w:val="nil"/>
              <w:bottom w:val="single" w:sz="12" w:space="0" w:color="00B050"/>
              <w:right w:val="nil"/>
            </w:tcBorders>
            <w:shd w:val="clear" w:color="000000" w:fill="FFFFFF"/>
            <w:noWrap/>
            <w:vAlign w:val="center"/>
            <w:hideMark/>
          </w:tcPr>
          <w:p w14:paraId="555C5745" w14:textId="77777777" w:rsidR="00455BE6" w:rsidRPr="00D37C63" w:rsidRDefault="00455BE6" w:rsidP="0084591A">
            <w:pPr>
              <w:spacing w:line="240" w:lineRule="auto"/>
              <w:jc w:val="center"/>
              <w:rPr>
                <w:rFonts w:cs="Arial"/>
                <w:color w:val="000000"/>
                <w:sz w:val="17"/>
                <w:szCs w:val="17"/>
                <w:lang w:eastAsia="it-IT"/>
              </w:rPr>
            </w:pPr>
            <w:r w:rsidRPr="00D37C63">
              <w:rPr>
                <w:rFonts w:cs="Arial"/>
                <w:color w:val="000000"/>
                <w:sz w:val="17"/>
                <w:szCs w:val="17"/>
                <w:lang w:eastAsia="it-IT"/>
              </w:rPr>
              <w:t>0.01146 ± 0.0012</w:t>
            </w:r>
          </w:p>
        </w:tc>
      </w:tr>
    </w:tbl>
    <w:p w14:paraId="561DF59C" w14:textId="7A18B7E1" w:rsidR="00811ABD" w:rsidRPr="00811ABD" w:rsidRDefault="00811ABD" w:rsidP="00811ABD">
      <w:pPr>
        <w:pStyle w:val="CETBodytext"/>
      </w:pPr>
      <w:r w:rsidRPr="00811ABD">
        <w:lastRenderedPageBreak/>
        <w:t>As previously described,</w:t>
      </w:r>
      <w:r>
        <w:t xml:space="preserve"> starting f</w:t>
      </w:r>
      <w:r w:rsidR="00CC6297">
        <w:t>ro</w:t>
      </w:r>
      <w:r>
        <w:t>m Table 1,</w:t>
      </w:r>
      <w:r w:rsidRPr="00811ABD">
        <w:t xml:space="preserve"> an expanded dataset (≥400 samples) i</w:t>
      </w:r>
      <w:r>
        <w:t>s</w:t>
      </w:r>
      <w:r w:rsidRPr="00811ABD">
        <w:t xml:space="preserve"> generated</w:t>
      </w:r>
      <w:r>
        <w:t xml:space="preserve"> </w:t>
      </w:r>
      <w:r w:rsidRPr="00811ABD">
        <w:t xml:space="preserve">for each strain by applying truncated Gaussian noise (±5%) to the input variables and Gaussian noise, based on experimental uncertainties, to the outputs. The dataset </w:t>
      </w:r>
      <w:r>
        <w:t>is</w:t>
      </w:r>
      <w:r w:rsidRPr="00811ABD">
        <w:t xml:space="preserve"> then divided into training (80%) and validation (20%) subsets. A multi-output Gradient Boosting model </w:t>
      </w:r>
      <w:r>
        <w:t>is</w:t>
      </w:r>
      <w:r w:rsidRPr="00811ABD">
        <w:t xml:space="preserve"> subsequently trained to predict k</w:t>
      </w:r>
      <w:r w:rsidRPr="00811ABD">
        <w:rPr>
          <w:rFonts w:ascii="Cambria Math" w:hAnsi="Cambria Math" w:cs="Cambria Math"/>
        </w:rPr>
        <w:t>₁</w:t>
      </w:r>
      <w:r w:rsidRPr="00811ABD">
        <w:t>, k</w:t>
      </w:r>
      <w:r w:rsidRPr="00811ABD">
        <w:rPr>
          <w:rFonts w:ascii="Cambria Math" w:hAnsi="Cambria Math" w:cs="Cambria Math"/>
        </w:rPr>
        <w:t>₂</w:t>
      </w:r>
      <w:r w:rsidRPr="00811ABD">
        <w:t>, and k</w:t>
      </w:r>
      <w:r w:rsidRPr="00811ABD">
        <w:rPr>
          <w:rFonts w:ascii="Cambria Math" w:hAnsi="Cambria Math" w:cs="Cambria Math"/>
        </w:rPr>
        <w:t>₃</w:t>
      </w:r>
      <w:r w:rsidRPr="00811ABD">
        <w:t>. The resulting performance is reported in Figure 3 as parity plots and in Table 2 in terms of the main regression metrics.</w:t>
      </w:r>
    </w:p>
    <w:p w14:paraId="5FD73D23" w14:textId="6363F9F9" w:rsidR="002D4230" w:rsidRDefault="00E57AD3" w:rsidP="002D4230">
      <w:pPr>
        <w:jc w:val="center"/>
      </w:pPr>
      <w:r>
        <w:object w:dxaOrig="17009" w:dyaOrig="5668" w14:anchorId="331083F6">
          <v:shape id="_x0000_i1026" type="#_x0000_t75" style="width:410.55pt;height:113.55pt;mso-position-horizontal:absolute;mso-position-horizontal-relative:text;mso-position-vertical:absolute;mso-position-vertical-relative:text" o:ole="">
            <v:imagedata r:id="rId14" o:title="" cropbottom="13110f" cropright="2184f"/>
          </v:shape>
          <o:OLEObject Type="Embed" ProgID="Origin95.Graph" ShapeID="_x0000_i1026" DrawAspect="Content" ObjectID="_1840028007" r:id="rId15"/>
        </w:object>
      </w:r>
    </w:p>
    <w:p w14:paraId="5F51441A" w14:textId="3E34F5AB" w:rsidR="002D4230" w:rsidRDefault="00E57AD3" w:rsidP="002D4230">
      <w:pPr>
        <w:jc w:val="center"/>
      </w:pPr>
      <w:r>
        <w:object w:dxaOrig="17009" w:dyaOrig="5668" w14:anchorId="1BA3393B">
          <v:shape id="_x0000_i1027" type="#_x0000_t75" style="width:410.55pt;height:127.7pt;mso-position-horizontal:absolute;mso-position-horizontal-relative:text;mso-position-vertical:absolute;mso-position-vertical-relative:text" o:ole="">
            <v:imagedata r:id="rId16" o:title="" croptop="1966f" cropbottom="4588f" cropright="2184f"/>
          </v:shape>
          <o:OLEObject Type="Embed" ProgID="Origin95.Graph" ShapeID="_x0000_i1027" DrawAspect="Content" ObjectID="_1840028008" r:id="rId17"/>
        </w:object>
      </w:r>
    </w:p>
    <w:p w14:paraId="4BAE71DC" w14:textId="77777777" w:rsidR="002D4230" w:rsidRDefault="002D4230" w:rsidP="00AB4874">
      <w:pPr>
        <w:spacing w:after="240"/>
        <w:jc w:val="center"/>
        <w:rPr>
          <w:lang w:val="en-US"/>
        </w:rPr>
      </w:pPr>
      <w:r w:rsidRPr="004D7EAF">
        <w:rPr>
          <w:b/>
          <w:bCs/>
          <w:lang w:val="en-US"/>
        </w:rPr>
        <w:t>Figure 3.</w:t>
      </w:r>
      <w:r w:rsidRPr="004D7EAF">
        <w:rPr>
          <w:lang w:val="en-US"/>
        </w:rPr>
        <w:t xml:space="preserve"> </w:t>
      </w:r>
      <w:r>
        <w:rPr>
          <w:lang w:val="en-US"/>
        </w:rPr>
        <w:t xml:space="preserve">Gradient Boosting </w:t>
      </w:r>
      <w:r w:rsidRPr="004D7EAF">
        <w:rPr>
          <w:lang w:val="en-US"/>
        </w:rPr>
        <w:t>simulation results</w:t>
      </w:r>
      <w:r>
        <w:rPr>
          <w:lang w:val="en-US"/>
        </w:rPr>
        <w:t xml:space="preserve"> (validation)</w:t>
      </w:r>
      <w:r w:rsidRPr="004D7EAF">
        <w:rPr>
          <w:lang w:val="en-US"/>
        </w:rPr>
        <w:t xml:space="preserve"> in terms of parity plots of kinetic parameters k</w:t>
      </w:r>
      <w:r w:rsidRPr="00116B96">
        <w:rPr>
          <w:vertAlign w:val="subscript"/>
          <w:lang w:val="en-US"/>
        </w:rPr>
        <w:t>1</w:t>
      </w:r>
      <w:r w:rsidRPr="004D7EAF">
        <w:rPr>
          <w:lang w:val="en-US"/>
        </w:rPr>
        <w:t>, k</w:t>
      </w:r>
      <w:r w:rsidRPr="00116B96">
        <w:rPr>
          <w:vertAlign w:val="subscript"/>
          <w:lang w:val="en-US"/>
        </w:rPr>
        <w:t>2</w:t>
      </w:r>
      <w:r w:rsidRPr="004D7EAF">
        <w:rPr>
          <w:lang w:val="en-US"/>
        </w:rPr>
        <w:t xml:space="preserve"> and k</w:t>
      </w:r>
      <w:r w:rsidRPr="00116B96">
        <w:rPr>
          <w:vertAlign w:val="subscript"/>
          <w:lang w:val="en-US"/>
        </w:rPr>
        <w:t>3</w:t>
      </w:r>
      <w:r w:rsidRPr="004D7EAF">
        <w:rPr>
          <w:lang w:val="en-US"/>
        </w:rPr>
        <w:t xml:space="preserve"> for </w:t>
      </w:r>
      <w:r w:rsidRPr="000C1629">
        <w:rPr>
          <w:i/>
          <w:iCs/>
          <w:lang w:val="en-US"/>
        </w:rPr>
        <w:t>S. platensis</w:t>
      </w:r>
      <w:r w:rsidRPr="004D7EAF">
        <w:rPr>
          <w:lang w:val="en-US"/>
        </w:rPr>
        <w:t xml:space="preserve"> (</w:t>
      </w:r>
      <w:r>
        <w:rPr>
          <w:lang w:val="en-US"/>
        </w:rPr>
        <w:t>SP</w:t>
      </w:r>
      <w:r w:rsidRPr="004D7EAF">
        <w:rPr>
          <w:lang w:val="en-US"/>
        </w:rPr>
        <w:t xml:space="preserve">) </w:t>
      </w:r>
      <w:r>
        <w:rPr>
          <w:lang w:val="en-US"/>
        </w:rPr>
        <w:t xml:space="preserve">and </w:t>
      </w:r>
      <w:r w:rsidRPr="000C1629">
        <w:rPr>
          <w:i/>
          <w:iCs/>
          <w:lang w:val="en-US"/>
        </w:rPr>
        <w:t>C. vulgaris</w:t>
      </w:r>
      <w:r w:rsidRPr="004D7EAF">
        <w:rPr>
          <w:lang w:val="en-US"/>
        </w:rPr>
        <w:t xml:space="preserve"> (</w:t>
      </w:r>
      <w:r>
        <w:rPr>
          <w:lang w:val="en-US"/>
        </w:rPr>
        <w:t>CV</w:t>
      </w:r>
      <w:r w:rsidRPr="004D7EAF">
        <w:rPr>
          <w:lang w:val="en-US"/>
        </w:rPr>
        <w:t>) using augment</w:t>
      </w:r>
      <w:r>
        <w:rPr>
          <w:lang w:val="en-US"/>
        </w:rPr>
        <w:t>ed data.</w:t>
      </w:r>
    </w:p>
    <w:p w14:paraId="5ACD1489" w14:textId="3481D4B8" w:rsidR="00AB4874" w:rsidRDefault="00AB4874" w:rsidP="00AB4874">
      <w:pPr>
        <w:pStyle w:val="CETBodytext"/>
      </w:pPr>
      <w:r w:rsidRPr="00AB4874">
        <w:t>Overall, the model demonstrate</w:t>
      </w:r>
      <w:r>
        <w:t>s</w:t>
      </w:r>
      <w:r w:rsidRPr="00AB4874">
        <w:t xml:space="preserve"> high predictive capability for both systems, although with distinct trends depending on the target parameter and the microalgal strain.</w:t>
      </w:r>
    </w:p>
    <w:p w14:paraId="5B0E80F0" w14:textId="77777777" w:rsidR="00AB4874" w:rsidRDefault="00AB4874" w:rsidP="00AB4874">
      <w:pPr>
        <w:spacing w:before="240" w:after="120"/>
        <w:rPr>
          <w:lang w:val="en-US"/>
        </w:rPr>
      </w:pPr>
      <w:r w:rsidRPr="00D600C1">
        <w:rPr>
          <w:b/>
          <w:bCs/>
          <w:lang w:val="en-US"/>
        </w:rPr>
        <w:t>Table 2.</w:t>
      </w:r>
      <w:r>
        <w:rPr>
          <w:lang w:val="en-US"/>
        </w:rPr>
        <w:t xml:space="preserve"> </w:t>
      </w:r>
      <w:r w:rsidRPr="00D600C1">
        <w:rPr>
          <w:lang w:val="en-US"/>
        </w:rPr>
        <w:t>Performance metrics (R</w:t>
      </w:r>
      <w:r w:rsidRPr="00D600C1">
        <w:rPr>
          <w:vertAlign w:val="superscript"/>
          <w:lang w:val="en-US"/>
        </w:rPr>
        <w:t>2</w:t>
      </w:r>
      <w:r w:rsidRPr="00D600C1">
        <w:rPr>
          <w:lang w:val="en-US"/>
        </w:rPr>
        <w:t>, RMSE, and MAE) for Gradient Boosting regression applied to augmented data, categorized by strain (SP and CV) and parameters (k</w:t>
      </w:r>
      <w:r w:rsidRPr="00D600C1">
        <w:rPr>
          <w:vertAlign w:val="subscript"/>
          <w:lang w:val="en-US"/>
        </w:rPr>
        <w:t>1</w:t>
      </w:r>
      <w:r w:rsidRPr="00D600C1">
        <w:rPr>
          <w:lang w:val="en-US"/>
        </w:rPr>
        <w:t>, k</w:t>
      </w:r>
      <w:r w:rsidRPr="00D600C1">
        <w:rPr>
          <w:vertAlign w:val="subscript"/>
          <w:lang w:val="en-US"/>
        </w:rPr>
        <w:t>2</w:t>
      </w:r>
      <w:r w:rsidRPr="00D600C1">
        <w:rPr>
          <w:lang w:val="en-US"/>
        </w:rPr>
        <w:t>, k</w:t>
      </w:r>
      <w:r w:rsidRPr="00D600C1">
        <w:rPr>
          <w:vertAlign w:val="subscript"/>
          <w:lang w:val="en-US"/>
        </w:rPr>
        <w:t>3</w:t>
      </w:r>
      <w:r w:rsidRPr="00D600C1">
        <w:rPr>
          <w:lang w:val="en-US"/>
        </w:rPr>
        <w:t>).</w:t>
      </w:r>
    </w:p>
    <w:tbl>
      <w:tblPr>
        <w:tblW w:w="5000" w:type="pct"/>
        <w:tblCellMar>
          <w:left w:w="70" w:type="dxa"/>
          <w:right w:w="70" w:type="dxa"/>
        </w:tblCellMar>
        <w:tblLook w:val="04A0" w:firstRow="1" w:lastRow="0" w:firstColumn="1" w:lastColumn="0" w:noHBand="0" w:noVBand="1"/>
      </w:tblPr>
      <w:tblGrid>
        <w:gridCol w:w="878"/>
        <w:gridCol w:w="878"/>
        <w:gridCol w:w="878"/>
        <w:gridCol w:w="879"/>
        <w:gridCol w:w="879"/>
        <w:gridCol w:w="879"/>
        <w:gridCol w:w="879"/>
        <w:gridCol w:w="879"/>
        <w:gridCol w:w="879"/>
        <w:gridCol w:w="879"/>
      </w:tblGrid>
      <w:tr w:rsidR="00AB4874" w:rsidRPr="00D237A3" w14:paraId="775A81C1" w14:textId="77777777" w:rsidTr="009040D5">
        <w:trPr>
          <w:trHeight w:val="288"/>
        </w:trPr>
        <w:tc>
          <w:tcPr>
            <w:tcW w:w="500" w:type="pct"/>
            <w:tcBorders>
              <w:top w:val="single" w:sz="12" w:space="0" w:color="00B050"/>
              <w:left w:val="nil"/>
              <w:bottom w:val="single" w:sz="12" w:space="0" w:color="00B050"/>
              <w:right w:val="nil"/>
            </w:tcBorders>
            <w:noWrap/>
            <w:hideMark/>
          </w:tcPr>
          <w:p w14:paraId="5675694D" w14:textId="77777777" w:rsidR="00AB4874" w:rsidRPr="00D237A3" w:rsidRDefault="00AB4874" w:rsidP="009040D5">
            <w:pPr>
              <w:spacing w:line="240" w:lineRule="auto"/>
              <w:jc w:val="center"/>
              <w:rPr>
                <w:rFonts w:cs="Arial"/>
                <w:b/>
                <w:bCs/>
                <w:sz w:val="17"/>
                <w:szCs w:val="17"/>
                <w:lang w:eastAsia="it-IT"/>
              </w:rPr>
            </w:pPr>
            <w:r w:rsidRPr="00D237A3">
              <w:rPr>
                <w:rFonts w:cs="Arial"/>
                <w:b/>
                <w:bCs/>
                <w:sz w:val="17"/>
                <w:szCs w:val="17"/>
                <w:lang w:eastAsia="it-IT"/>
              </w:rPr>
              <w:t>Strain</w:t>
            </w:r>
          </w:p>
        </w:tc>
        <w:tc>
          <w:tcPr>
            <w:tcW w:w="500" w:type="pct"/>
            <w:tcBorders>
              <w:top w:val="single" w:sz="12" w:space="0" w:color="00B050"/>
              <w:left w:val="nil"/>
              <w:bottom w:val="single" w:sz="12" w:space="0" w:color="00B050"/>
              <w:right w:val="nil"/>
            </w:tcBorders>
            <w:noWrap/>
            <w:hideMark/>
          </w:tcPr>
          <w:p w14:paraId="7155A14F" w14:textId="77777777" w:rsidR="00AB4874" w:rsidRPr="00D237A3" w:rsidRDefault="00AB4874" w:rsidP="009040D5">
            <w:pPr>
              <w:spacing w:line="240" w:lineRule="auto"/>
              <w:jc w:val="center"/>
              <w:rPr>
                <w:rFonts w:cs="Arial"/>
                <w:b/>
                <w:bCs/>
                <w:sz w:val="17"/>
                <w:szCs w:val="17"/>
                <w:lang w:eastAsia="it-IT"/>
              </w:rPr>
            </w:pPr>
            <w:r w:rsidRPr="00D237A3">
              <w:rPr>
                <w:rFonts w:cs="Arial"/>
                <w:b/>
                <w:bCs/>
                <w:sz w:val="17"/>
                <w:szCs w:val="17"/>
                <w:lang w:eastAsia="it-IT"/>
              </w:rPr>
              <w:t xml:space="preserve">Param. </w:t>
            </w:r>
          </w:p>
        </w:tc>
        <w:tc>
          <w:tcPr>
            <w:tcW w:w="500" w:type="pct"/>
            <w:tcBorders>
              <w:top w:val="single" w:sz="12" w:space="0" w:color="00B050"/>
              <w:left w:val="nil"/>
              <w:bottom w:val="single" w:sz="12" w:space="0" w:color="00B050"/>
              <w:right w:val="nil"/>
            </w:tcBorders>
            <w:noWrap/>
            <w:hideMark/>
          </w:tcPr>
          <w:p w14:paraId="7D1A5AF1" w14:textId="77777777" w:rsidR="00AB4874" w:rsidRPr="00D237A3" w:rsidRDefault="00AB4874" w:rsidP="009040D5">
            <w:pPr>
              <w:spacing w:line="240" w:lineRule="auto"/>
              <w:jc w:val="center"/>
              <w:rPr>
                <w:rFonts w:cs="Arial"/>
                <w:b/>
                <w:bCs/>
                <w:sz w:val="17"/>
                <w:szCs w:val="17"/>
                <w:lang w:eastAsia="it-IT"/>
              </w:rPr>
            </w:pPr>
            <w:r w:rsidRPr="00D237A3">
              <w:rPr>
                <w:rFonts w:cs="Arial"/>
                <w:b/>
                <w:bCs/>
                <w:sz w:val="17"/>
                <w:szCs w:val="17"/>
                <w:lang w:eastAsia="it-IT"/>
              </w:rPr>
              <w:t>R</w:t>
            </w:r>
            <w:r w:rsidRPr="00D237A3">
              <w:rPr>
                <w:rFonts w:cs="Arial"/>
                <w:b/>
                <w:bCs/>
                <w:sz w:val="17"/>
                <w:szCs w:val="17"/>
                <w:vertAlign w:val="superscript"/>
                <w:lang w:eastAsia="it-IT"/>
              </w:rPr>
              <w:t>2</w:t>
            </w:r>
          </w:p>
        </w:tc>
        <w:tc>
          <w:tcPr>
            <w:tcW w:w="500" w:type="pct"/>
            <w:tcBorders>
              <w:top w:val="single" w:sz="12" w:space="0" w:color="00B050"/>
              <w:left w:val="nil"/>
              <w:bottom w:val="single" w:sz="12" w:space="0" w:color="00B050"/>
              <w:right w:val="nil"/>
            </w:tcBorders>
            <w:noWrap/>
            <w:hideMark/>
          </w:tcPr>
          <w:p w14:paraId="771FCA81" w14:textId="77777777" w:rsidR="00AB4874" w:rsidRPr="00D237A3" w:rsidRDefault="00AB4874" w:rsidP="009040D5">
            <w:pPr>
              <w:spacing w:line="240" w:lineRule="auto"/>
              <w:jc w:val="center"/>
              <w:rPr>
                <w:rFonts w:cs="Arial"/>
                <w:b/>
                <w:bCs/>
                <w:sz w:val="17"/>
                <w:szCs w:val="17"/>
                <w:lang w:eastAsia="it-IT"/>
              </w:rPr>
            </w:pPr>
            <w:r w:rsidRPr="00D237A3">
              <w:rPr>
                <w:rFonts w:cs="Arial"/>
                <w:b/>
                <w:bCs/>
                <w:sz w:val="17"/>
                <w:szCs w:val="17"/>
                <w:lang w:eastAsia="it-IT"/>
              </w:rPr>
              <w:t>RMSE</w:t>
            </w:r>
          </w:p>
        </w:tc>
        <w:tc>
          <w:tcPr>
            <w:tcW w:w="500" w:type="pct"/>
            <w:tcBorders>
              <w:top w:val="single" w:sz="12" w:space="0" w:color="00B050"/>
              <w:left w:val="nil"/>
              <w:bottom w:val="single" w:sz="12" w:space="0" w:color="00B050"/>
              <w:right w:val="nil"/>
            </w:tcBorders>
            <w:noWrap/>
            <w:hideMark/>
          </w:tcPr>
          <w:p w14:paraId="19A8B9EA" w14:textId="77777777" w:rsidR="00AB4874" w:rsidRPr="00D237A3" w:rsidRDefault="00AB4874" w:rsidP="009040D5">
            <w:pPr>
              <w:spacing w:line="240" w:lineRule="auto"/>
              <w:jc w:val="center"/>
              <w:rPr>
                <w:rFonts w:cs="Arial"/>
                <w:b/>
                <w:bCs/>
                <w:sz w:val="17"/>
                <w:szCs w:val="17"/>
                <w:lang w:eastAsia="it-IT"/>
              </w:rPr>
            </w:pPr>
            <w:r w:rsidRPr="00D237A3">
              <w:rPr>
                <w:rFonts w:cs="Arial"/>
                <w:b/>
                <w:bCs/>
                <w:sz w:val="17"/>
                <w:szCs w:val="17"/>
                <w:lang w:eastAsia="it-IT"/>
              </w:rPr>
              <w:t>MAE</w:t>
            </w:r>
          </w:p>
        </w:tc>
        <w:tc>
          <w:tcPr>
            <w:tcW w:w="500" w:type="pct"/>
            <w:tcBorders>
              <w:top w:val="single" w:sz="12" w:space="0" w:color="00B050"/>
              <w:left w:val="nil"/>
              <w:bottom w:val="single" w:sz="12" w:space="0" w:color="00B050"/>
              <w:right w:val="nil"/>
            </w:tcBorders>
            <w:noWrap/>
            <w:hideMark/>
          </w:tcPr>
          <w:p w14:paraId="78F11401" w14:textId="77777777" w:rsidR="00AB4874" w:rsidRPr="00D237A3" w:rsidRDefault="00AB4874" w:rsidP="009040D5">
            <w:pPr>
              <w:spacing w:line="240" w:lineRule="auto"/>
              <w:jc w:val="center"/>
              <w:rPr>
                <w:rFonts w:cs="Arial"/>
                <w:b/>
                <w:bCs/>
                <w:sz w:val="17"/>
                <w:szCs w:val="17"/>
                <w:lang w:eastAsia="it-IT"/>
              </w:rPr>
            </w:pPr>
            <w:r w:rsidRPr="00D237A3">
              <w:rPr>
                <w:rFonts w:cs="Arial"/>
                <w:b/>
                <w:bCs/>
                <w:sz w:val="17"/>
                <w:szCs w:val="17"/>
                <w:lang w:eastAsia="it-IT"/>
              </w:rPr>
              <w:t>Strain</w:t>
            </w:r>
          </w:p>
        </w:tc>
        <w:tc>
          <w:tcPr>
            <w:tcW w:w="500" w:type="pct"/>
            <w:tcBorders>
              <w:top w:val="single" w:sz="12" w:space="0" w:color="00B050"/>
              <w:left w:val="nil"/>
              <w:bottom w:val="single" w:sz="12" w:space="0" w:color="00B050"/>
              <w:right w:val="nil"/>
            </w:tcBorders>
            <w:noWrap/>
            <w:hideMark/>
          </w:tcPr>
          <w:p w14:paraId="53996DF0" w14:textId="77777777" w:rsidR="00AB4874" w:rsidRPr="00D237A3" w:rsidRDefault="00AB4874" w:rsidP="009040D5">
            <w:pPr>
              <w:spacing w:line="240" w:lineRule="auto"/>
              <w:jc w:val="center"/>
              <w:rPr>
                <w:rFonts w:cs="Arial"/>
                <w:b/>
                <w:bCs/>
                <w:sz w:val="17"/>
                <w:szCs w:val="17"/>
                <w:lang w:eastAsia="it-IT"/>
              </w:rPr>
            </w:pPr>
            <w:r w:rsidRPr="00D237A3">
              <w:rPr>
                <w:rFonts w:cs="Arial"/>
                <w:b/>
                <w:bCs/>
                <w:sz w:val="17"/>
                <w:szCs w:val="17"/>
                <w:lang w:eastAsia="it-IT"/>
              </w:rPr>
              <w:t>Param.</w:t>
            </w:r>
          </w:p>
        </w:tc>
        <w:tc>
          <w:tcPr>
            <w:tcW w:w="500" w:type="pct"/>
            <w:tcBorders>
              <w:top w:val="single" w:sz="12" w:space="0" w:color="00B050"/>
              <w:left w:val="nil"/>
              <w:bottom w:val="single" w:sz="12" w:space="0" w:color="00B050"/>
              <w:right w:val="nil"/>
            </w:tcBorders>
            <w:noWrap/>
            <w:hideMark/>
          </w:tcPr>
          <w:p w14:paraId="401B6887" w14:textId="77777777" w:rsidR="00AB4874" w:rsidRPr="00D237A3" w:rsidRDefault="00AB4874" w:rsidP="009040D5">
            <w:pPr>
              <w:spacing w:line="240" w:lineRule="auto"/>
              <w:jc w:val="center"/>
              <w:rPr>
                <w:rFonts w:cs="Arial"/>
                <w:b/>
                <w:bCs/>
                <w:sz w:val="17"/>
                <w:szCs w:val="17"/>
                <w:lang w:eastAsia="it-IT"/>
              </w:rPr>
            </w:pPr>
            <w:r w:rsidRPr="00D237A3">
              <w:rPr>
                <w:rFonts w:cs="Arial"/>
                <w:b/>
                <w:bCs/>
                <w:sz w:val="17"/>
                <w:szCs w:val="17"/>
                <w:lang w:eastAsia="it-IT"/>
              </w:rPr>
              <w:t>R</w:t>
            </w:r>
            <w:r w:rsidRPr="00D237A3">
              <w:rPr>
                <w:rFonts w:cs="Arial"/>
                <w:b/>
                <w:bCs/>
                <w:sz w:val="17"/>
                <w:szCs w:val="17"/>
                <w:vertAlign w:val="superscript"/>
                <w:lang w:eastAsia="it-IT"/>
              </w:rPr>
              <w:t>2</w:t>
            </w:r>
          </w:p>
        </w:tc>
        <w:tc>
          <w:tcPr>
            <w:tcW w:w="500" w:type="pct"/>
            <w:tcBorders>
              <w:top w:val="single" w:sz="12" w:space="0" w:color="00B050"/>
              <w:left w:val="nil"/>
              <w:bottom w:val="single" w:sz="12" w:space="0" w:color="00B050"/>
              <w:right w:val="nil"/>
            </w:tcBorders>
            <w:noWrap/>
            <w:hideMark/>
          </w:tcPr>
          <w:p w14:paraId="7685E2CC" w14:textId="77777777" w:rsidR="00AB4874" w:rsidRPr="00D237A3" w:rsidRDefault="00AB4874" w:rsidP="009040D5">
            <w:pPr>
              <w:spacing w:line="240" w:lineRule="auto"/>
              <w:jc w:val="center"/>
              <w:rPr>
                <w:rFonts w:cs="Arial"/>
                <w:b/>
                <w:bCs/>
                <w:sz w:val="17"/>
                <w:szCs w:val="17"/>
                <w:lang w:eastAsia="it-IT"/>
              </w:rPr>
            </w:pPr>
            <w:r w:rsidRPr="00D237A3">
              <w:rPr>
                <w:rFonts w:cs="Arial"/>
                <w:b/>
                <w:bCs/>
                <w:sz w:val="17"/>
                <w:szCs w:val="17"/>
                <w:lang w:eastAsia="it-IT"/>
              </w:rPr>
              <w:t>RMSE</w:t>
            </w:r>
          </w:p>
        </w:tc>
        <w:tc>
          <w:tcPr>
            <w:tcW w:w="500" w:type="pct"/>
            <w:tcBorders>
              <w:top w:val="single" w:sz="12" w:space="0" w:color="00B050"/>
              <w:left w:val="nil"/>
              <w:bottom w:val="single" w:sz="12" w:space="0" w:color="00B050"/>
              <w:right w:val="nil"/>
            </w:tcBorders>
            <w:noWrap/>
            <w:hideMark/>
          </w:tcPr>
          <w:p w14:paraId="095AB18F" w14:textId="77777777" w:rsidR="00AB4874" w:rsidRPr="00D237A3" w:rsidRDefault="00AB4874" w:rsidP="009040D5">
            <w:pPr>
              <w:spacing w:line="240" w:lineRule="auto"/>
              <w:jc w:val="center"/>
              <w:rPr>
                <w:rFonts w:cs="Arial"/>
                <w:b/>
                <w:bCs/>
                <w:sz w:val="17"/>
                <w:szCs w:val="17"/>
                <w:lang w:eastAsia="it-IT"/>
              </w:rPr>
            </w:pPr>
            <w:r w:rsidRPr="00D237A3">
              <w:rPr>
                <w:rFonts w:cs="Arial"/>
                <w:b/>
                <w:bCs/>
                <w:sz w:val="17"/>
                <w:szCs w:val="17"/>
                <w:lang w:eastAsia="it-IT"/>
              </w:rPr>
              <w:t>MAE</w:t>
            </w:r>
          </w:p>
        </w:tc>
      </w:tr>
      <w:tr w:rsidR="00AB4874" w:rsidRPr="00D237A3" w14:paraId="3BFB0561" w14:textId="77777777" w:rsidTr="00E57AD3">
        <w:trPr>
          <w:trHeight w:hRule="exact" w:val="284"/>
        </w:trPr>
        <w:tc>
          <w:tcPr>
            <w:tcW w:w="500" w:type="pct"/>
            <w:tcBorders>
              <w:top w:val="single" w:sz="12" w:space="0" w:color="00B050"/>
              <w:left w:val="nil"/>
              <w:bottom w:val="nil"/>
              <w:right w:val="nil"/>
            </w:tcBorders>
            <w:noWrap/>
            <w:vAlign w:val="bottom"/>
            <w:hideMark/>
          </w:tcPr>
          <w:p w14:paraId="6630BBE7" w14:textId="77777777" w:rsidR="00AB4874" w:rsidRPr="00D237A3" w:rsidRDefault="00AB4874" w:rsidP="009040D5">
            <w:pPr>
              <w:spacing w:line="240" w:lineRule="auto"/>
              <w:jc w:val="center"/>
              <w:rPr>
                <w:rFonts w:cs="Arial"/>
                <w:b/>
                <w:bCs/>
                <w:color w:val="000000"/>
                <w:sz w:val="17"/>
                <w:szCs w:val="17"/>
                <w:lang w:eastAsia="it-IT"/>
              </w:rPr>
            </w:pPr>
            <w:r w:rsidRPr="00D237A3">
              <w:rPr>
                <w:rFonts w:cs="Arial"/>
                <w:b/>
                <w:bCs/>
                <w:color w:val="000000"/>
                <w:sz w:val="17"/>
                <w:szCs w:val="17"/>
                <w:lang w:eastAsia="it-IT"/>
              </w:rPr>
              <w:t>SP</w:t>
            </w:r>
          </w:p>
        </w:tc>
        <w:tc>
          <w:tcPr>
            <w:tcW w:w="500" w:type="pct"/>
            <w:tcBorders>
              <w:top w:val="single" w:sz="12" w:space="0" w:color="00B050"/>
              <w:left w:val="nil"/>
              <w:bottom w:val="nil"/>
              <w:right w:val="nil"/>
            </w:tcBorders>
            <w:noWrap/>
            <w:vAlign w:val="bottom"/>
            <w:hideMark/>
          </w:tcPr>
          <w:p w14:paraId="76A5713E"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k1</w:t>
            </w:r>
          </w:p>
        </w:tc>
        <w:tc>
          <w:tcPr>
            <w:tcW w:w="500" w:type="pct"/>
            <w:tcBorders>
              <w:top w:val="single" w:sz="12" w:space="0" w:color="00B050"/>
              <w:left w:val="nil"/>
              <w:bottom w:val="nil"/>
              <w:right w:val="nil"/>
            </w:tcBorders>
            <w:noWrap/>
            <w:vAlign w:val="bottom"/>
            <w:hideMark/>
          </w:tcPr>
          <w:p w14:paraId="43F6600B"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0.989379</w:t>
            </w:r>
          </w:p>
        </w:tc>
        <w:tc>
          <w:tcPr>
            <w:tcW w:w="500" w:type="pct"/>
            <w:tcBorders>
              <w:top w:val="single" w:sz="12" w:space="0" w:color="00B050"/>
              <w:left w:val="nil"/>
              <w:bottom w:val="nil"/>
              <w:right w:val="nil"/>
            </w:tcBorders>
            <w:noWrap/>
            <w:vAlign w:val="bottom"/>
            <w:hideMark/>
          </w:tcPr>
          <w:p w14:paraId="5DCF5E09"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0.000965</w:t>
            </w:r>
          </w:p>
        </w:tc>
        <w:tc>
          <w:tcPr>
            <w:tcW w:w="500" w:type="pct"/>
            <w:tcBorders>
              <w:top w:val="single" w:sz="12" w:space="0" w:color="00B050"/>
              <w:left w:val="nil"/>
              <w:bottom w:val="nil"/>
              <w:right w:val="nil"/>
            </w:tcBorders>
            <w:noWrap/>
            <w:vAlign w:val="bottom"/>
            <w:hideMark/>
          </w:tcPr>
          <w:p w14:paraId="77576984"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0.000692</w:t>
            </w:r>
          </w:p>
        </w:tc>
        <w:tc>
          <w:tcPr>
            <w:tcW w:w="500" w:type="pct"/>
            <w:tcBorders>
              <w:top w:val="single" w:sz="12" w:space="0" w:color="00B050"/>
              <w:left w:val="nil"/>
              <w:bottom w:val="nil"/>
              <w:right w:val="nil"/>
            </w:tcBorders>
            <w:noWrap/>
            <w:vAlign w:val="bottom"/>
            <w:hideMark/>
          </w:tcPr>
          <w:p w14:paraId="6F77DC85" w14:textId="77777777" w:rsidR="00AB4874" w:rsidRPr="00D237A3" w:rsidRDefault="00AB4874" w:rsidP="009040D5">
            <w:pPr>
              <w:spacing w:line="240" w:lineRule="auto"/>
              <w:jc w:val="center"/>
              <w:rPr>
                <w:rFonts w:cs="Arial"/>
                <w:b/>
                <w:bCs/>
                <w:color w:val="000000"/>
                <w:sz w:val="17"/>
                <w:szCs w:val="17"/>
                <w:lang w:eastAsia="it-IT"/>
              </w:rPr>
            </w:pPr>
            <w:r w:rsidRPr="00D237A3">
              <w:rPr>
                <w:rFonts w:cs="Arial"/>
                <w:b/>
                <w:bCs/>
                <w:color w:val="000000"/>
                <w:sz w:val="17"/>
                <w:szCs w:val="17"/>
                <w:lang w:eastAsia="it-IT"/>
              </w:rPr>
              <w:t>CV</w:t>
            </w:r>
          </w:p>
        </w:tc>
        <w:tc>
          <w:tcPr>
            <w:tcW w:w="500" w:type="pct"/>
            <w:tcBorders>
              <w:top w:val="single" w:sz="12" w:space="0" w:color="00B050"/>
              <w:left w:val="nil"/>
              <w:bottom w:val="nil"/>
              <w:right w:val="nil"/>
            </w:tcBorders>
            <w:noWrap/>
            <w:vAlign w:val="bottom"/>
            <w:hideMark/>
          </w:tcPr>
          <w:p w14:paraId="6453C5FD"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k1</w:t>
            </w:r>
          </w:p>
        </w:tc>
        <w:tc>
          <w:tcPr>
            <w:tcW w:w="500" w:type="pct"/>
            <w:tcBorders>
              <w:top w:val="single" w:sz="12" w:space="0" w:color="00B050"/>
              <w:left w:val="nil"/>
              <w:bottom w:val="nil"/>
              <w:right w:val="nil"/>
            </w:tcBorders>
            <w:noWrap/>
            <w:vAlign w:val="bottom"/>
            <w:hideMark/>
          </w:tcPr>
          <w:p w14:paraId="7CDF557F"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0.880467</w:t>
            </w:r>
          </w:p>
        </w:tc>
        <w:tc>
          <w:tcPr>
            <w:tcW w:w="500" w:type="pct"/>
            <w:tcBorders>
              <w:top w:val="single" w:sz="12" w:space="0" w:color="00B050"/>
              <w:left w:val="nil"/>
              <w:bottom w:val="nil"/>
              <w:right w:val="nil"/>
            </w:tcBorders>
            <w:noWrap/>
            <w:vAlign w:val="bottom"/>
            <w:hideMark/>
          </w:tcPr>
          <w:p w14:paraId="1EDFDA22"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0.002980</w:t>
            </w:r>
          </w:p>
        </w:tc>
        <w:tc>
          <w:tcPr>
            <w:tcW w:w="500" w:type="pct"/>
            <w:tcBorders>
              <w:top w:val="single" w:sz="12" w:space="0" w:color="00B050"/>
              <w:left w:val="nil"/>
              <w:bottom w:val="nil"/>
              <w:right w:val="nil"/>
            </w:tcBorders>
            <w:noWrap/>
            <w:vAlign w:val="bottom"/>
            <w:hideMark/>
          </w:tcPr>
          <w:p w14:paraId="0CBFFA89"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0.002016</w:t>
            </w:r>
          </w:p>
        </w:tc>
      </w:tr>
      <w:tr w:rsidR="00AB4874" w:rsidRPr="00D237A3" w14:paraId="54D8E024" w14:textId="77777777" w:rsidTr="00E57AD3">
        <w:trPr>
          <w:trHeight w:hRule="exact" w:val="284"/>
        </w:trPr>
        <w:tc>
          <w:tcPr>
            <w:tcW w:w="500" w:type="pct"/>
            <w:tcBorders>
              <w:top w:val="nil"/>
              <w:left w:val="nil"/>
              <w:right w:val="nil"/>
            </w:tcBorders>
            <w:noWrap/>
            <w:vAlign w:val="bottom"/>
            <w:hideMark/>
          </w:tcPr>
          <w:p w14:paraId="280A2924" w14:textId="77777777" w:rsidR="00AB4874" w:rsidRPr="00D237A3" w:rsidRDefault="00AB4874" w:rsidP="009040D5">
            <w:pPr>
              <w:spacing w:line="240" w:lineRule="auto"/>
              <w:jc w:val="center"/>
              <w:rPr>
                <w:rFonts w:cs="Arial"/>
                <w:b/>
                <w:bCs/>
                <w:color w:val="000000"/>
                <w:sz w:val="17"/>
                <w:szCs w:val="17"/>
                <w:lang w:eastAsia="it-IT"/>
              </w:rPr>
            </w:pPr>
            <w:r w:rsidRPr="00D237A3">
              <w:rPr>
                <w:rFonts w:cs="Arial"/>
                <w:b/>
                <w:bCs/>
                <w:color w:val="000000"/>
                <w:sz w:val="17"/>
                <w:szCs w:val="17"/>
                <w:lang w:eastAsia="it-IT"/>
              </w:rPr>
              <w:t>SP</w:t>
            </w:r>
          </w:p>
        </w:tc>
        <w:tc>
          <w:tcPr>
            <w:tcW w:w="500" w:type="pct"/>
            <w:tcBorders>
              <w:top w:val="nil"/>
              <w:left w:val="nil"/>
              <w:right w:val="nil"/>
            </w:tcBorders>
            <w:noWrap/>
            <w:vAlign w:val="bottom"/>
            <w:hideMark/>
          </w:tcPr>
          <w:p w14:paraId="28D907D2"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k2</w:t>
            </w:r>
          </w:p>
        </w:tc>
        <w:tc>
          <w:tcPr>
            <w:tcW w:w="500" w:type="pct"/>
            <w:tcBorders>
              <w:top w:val="nil"/>
              <w:left w:val="nil"/>
              <w:right w:val="nil"/>
            </w:tcBorders>
            <w:noWrap/>
            <w:vAlign w:val="bottom"/>
            <w:hideMark/>
          </w:tcPr>
          <w:p w14:paraId="290DD08B"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0.910089</w:t>
            </w:r>
          </w:p>
        </w:tc>
        <w:tc>
          <w:tcPr>
            <w:tcW w:w="500" w:type="pct"/>
            <w:tcBorders>
              <w:top w:val="nil"/>
              <w:left w:val="nil"/>
              <w:right w:val="nil"/>
            </w:tcBorders>
            <w:noWrap/>
            <w:vAlign w:val="bottom"/>
            <w:hideMark/>
          </w:tcPr>
          <w:p w14:paraId="12062264"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0.005854</w:t>
            </w:r>
          </w:p>
        </w:tc>
        <w:tc>
          <w:tcPr>
            <w:tcW w:w="500" w:type="pct"/>
            <w:tcBorders>
              <w:top w:val="nil"/>
              <w:left w:val="nil"/>
              <w:right w:val="nil"/>
            </w:tcBorders>
            <w:noWrap/>
            <w:vAlign w:val="bottom"/>
            <w:hideMark/>
          </w:tcPr>
          <w:p w14:paraId="10620B28"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0.003368</w:t>
            </w:r>
          </w:p>
        </w:tc>
        <w:tc>
          <w:tcPr>
            <w:tcW w:w="500" w:type="pct"/>
            <w:tcBorders>
              <w:top w:val="nil"/>
              <w:left w:val="nil"/>
              <w:right w:val="nil"/>
            </w:tcBorders>
            <w:noWrap/>
            <w:vAlign w:val="bottom"/>
            <w:hideMark/>
          </w:tcPr>
          <w:p w14:paraId="1C52B32F" w14:textId="77777777" w:rsidR="00AB4874" w:rsidRPr="00D237A3" w:rsidRDefault="00AB4874" w:rsidP="009040D5">
            <w:pPr>
              <w:spacing w:line="240" w:lineRule="auto"/>
              <w:jc w:val="center"/>
              <w:rPr>
                <w:rFonts w:cs="Arial"/>
                <w:b/>
                <w:bCs/>
                <w:color w:val="000000"/>
                <w:sz w:val="17"/>
                <w:szCs w:val="17"/>
                <w:lang w:eastAsia="it-IT"/>
              </w:rPr>
            </w:pPr>
            <w:r w:rsidRPr="00D237A3">
              <w:rPr>
                <w:rFonts w:cs="Arial"/>
                <w:b/>
                <w:bCs/>
                <w:color w:val="000000"/>
                <w:sz w:val="17"/>
                <w:szCs w:val="17"/>
                <w:lang w:eastAsia="it-IT"/>
              </w:rPr>
              <w:t>CV</w:t>
            </w:r>
          </w:p>
        </w:tc>
        <w:tc>
          <w:tcPr>
            <w:tcW w:w="500" w:type="pct"/>
            <w:tcBorders>
              <w:top w:val="nil"/>
              <w:left w:val="nil"/>
              <w:right w:val="nil"/>
            </w:tcBorders>
            <w:noWrap/>
            <w:vAlign w:val="bottom"/>
            <w:hideMark/>
          </w:tcPr>
          <w:p w14:paraId="2BB0C7A6"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k2</w:t>
            </w:r>
          </w:p>
        </w:tc>
        <w:tc>
          <w:tcPr>
            <w:tcW w:w="500" w:type="pct"/>
            <w:tcBorders>
              <w:top w:val="nil"/>
              <w:left w:val="nil"/>
              <w:right w:val="nil"/>
            </w:tcBorders>
            <w:noWrap/>
            <w:vAlign w:val="bottom"/>
            <w:hideMark/>
          </w:tcPr>
          <w:p w14:paraId="37E80046"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0.917085</w:t>
            </w:r>
          </w:p>
        </w:tc>
        <w:tc>
          <w:tcPr>
            <w:tcW w:w="500" w:type="pct"/>
            <w:tcBorders>
              <w:top w:val="nil"/>
              <w:left w:val="nil"/>
              <w:right w:val="nil"/>
            </w:tcBorders>
            <w:noWrap/>
            <w:vAlign w:val="bottom"/>
            <w:hideMark/>
          </w:tcPr>
          <w:p w14:paraId="5A5F5685"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0.007218</w:t>
            </w:r>
          </w:p>
        </w:tc>
        <w:tc>
          <w:tcPr>
            <w:tcW w:w="500" w:type="pct"/>
            <w:tcBorders>
              <w:top w:val="nil"/>
              <w:left w:val="nil"/>
              <w:right w:val="nil"/>
            </w:tcBorders>
            <w:noWrap/>
            <w:vAlign w:val="bottom"/>
            <w:hideMark/>
          </w:tcPr>
          <w:p w14:paraId="16870509"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0.003310</w:t>
            </w:r>
          </w:p>
        </w:tc>
      </w:tr>
      <w:tr w:rsidR="00AB4874" w:rsidRPr="00D237A3" w14:paraId="4CA5F47E" w14:textId="77777777" w:rsidTr="00E57AD3">
        <w:trPr>
          <w:trHeight w:hRule="exact" w:val="284"/>
        </w:trPr>
        <w:tc>
          <w:tcPr>
            <w:tcW w:w="500" w:type="pct"/>
            <w:tcBorders>
              <w:top w:val="nil"/>
              <w:left w:val="nil"/>
              <w:bottom w:val="single" w:sz="12" w:space="0" w:color="00B050"/>
              <w:right w:val="nil"/>
            </w:tcBorders>
            <w:noWrap/>
            <w:vAlign w:val="bottom"/>
            <w:hideMark/>
          </w:tcPr>
          <w:p w14:paraId="1F1BB5EC" w14:textId="77777777" w:rsidR="00AB4874" w:rsidRPr="00D237A3" w:rsidRDefault="00AB4874" w:rsidP="009040D5">
            <w:pPr>
              <w:spacing w:line="240" w:lineRule="auto"/>
              <w:jc w:val="center"/>
              <w:rPr>
                <w:rFonts w:cs="Arial"/>
                <w:b/>
                <w:bCs/>
                <w:color w:val="000000"/>
                <w:sz w:val="17"/>
                <w:szCs w:val="17"/>
                <w:lang w:eastAsia="it-IT"/>
              </w:rPr>
            </w:pPr>
            <w:r w:rsidRPr="00D237A3">
              <w:rPr>
                <w:rFonts w:cs="Arial"/>
                <w:b/>
                <w:bCs/>
                <w:color w:val="000000"/>
                <w:sz w:val="17"/>
                <w:szCs w:val="17"/>
                <w:lang w:eastAsia="it-IT"/>
              </w:rPr>
              <w:t>SP</w:t>
            </w:r>
          </w:p>
        </w:tc>
        <w:tc>
          <w:tcPr>
            <w:tcW w:w="500" w:type="pct"/>
            <w:tcBorders>
              <w:top w:val="nil"/>
              <w:left w:val="nil"/>
              <w:bottom w:val="single" w:sz="12" w:space="0" w:color="00B050"/>
              <w:right w:val="nil"/>
            </w:tcBorders>
            <w:noWrap/>
            <w:vAlign w:val="bottom"/>
            <w:hideMark/>
          </w:tcPr>
          <w:p w14:paraId="051EE758"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k3</w:t>
            </w:r>
          </w:p>
        </w:tc>
        <w:tc>
          <w:tcPr>
            <w:tcW w:w="500" w:type="pct"/>
            <w:tcBorders>
              <w:top w:val="nil"/>
              <w:left w:val="nil"/>
              <w:bottom w:val="single" w:sz="12" w:space="0" w:color="00B050"/>
              <w:right w:val="nil"/>
            </w:tcBorders>
            <w:noWrap/>
            <w:vAlign w:val="bottom"/>
            <w:hideMark/>
          </w:tcPr>
          <w:p w14:paraId="0D9DCED3"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0.816724</w:t>
            </w:r>
          </w:p>
        </w:tc>
        <w:tc>
          <w:tcPr>
            <w:tcW w:w="500" w:type="pct"/>
            <w:tcBorders>
              <w:top w:val="nil"/>
              <w:left w:val="nil"/>
              <w:bottom w:val="single" w:sz="12" w:space="0" w:color="00B050"/>
              <w:right w:val="nil"/>
            </w:tcBorders>
            <w:noWrap/>
            <w:vAlign w:val="bottom"/>
            <w:hideMark/>
          </w:tcPr>
          <w:p w14:paraId="7A141C70"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0.023750</w:t>
            </w:r>
          </w:p>
        </w:tc>
        <w:tc>
          <w:tcPr>
            <w:tcW w:w="500" w:type="pct"/>
            <w:tcBorders>
              <w:top w:val="nil"/>
              <w:left w:val="nil"/>
              <w:bottom w:val="single" w:sz="12" w:space="0" w:color="00B050"/>
              <w:right w:val="nil"/>
            </w:tcBorders>
            <w:noWrap/>
            <w:vAlign w:val="bottom"/>
            <w:hideMark/>
          </w:tcPr>
          <w:p w14:paraId="7093DFD5"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0.011742</w:t>
            </w:r>
          </w:p>
        </w:tc>
        <w:tc>
          <w:tcPr>
            <w:tcW w:w="500" w:type="pct"/>
            <w:tcBorders>
              <w:top w:val="nil"/>
              <w:left w:val="nil"/>
              <w:bottom w:val="single" w:sz="12" w:space="0" w:color="00B050"/>
              <w:right w:val="nil"/>
            </w:tcBorders>
            <w:noWrap/>
            <w:vAlign w:val="bottom"/>
            <w:hideMark/>
          </w:tcPr>
          <w:p w14:paraId="73FEE4FD" w14:textId="77777777" w:rsidR="00AB4874" w:rsidRPr="00D237A3" w:rsidRDefault="00AB4874" w:rsidP="009040D5">
            <w:pPr>
              <w:spacing w:line="240" w:lineRule="auto"/>
              <w:jc w:val="center"/>
              <w:rPr>
                <w:rFonts w:cs="Arial"/>
                <w:b/>
                <w:bCs/>
                <w:color w:val="000000"/>
                <w:sz w:val="17"/>
                <w:szCs w:val="17"/>
                <w:lang w:eastAsia="it-IT"/>
              </w:rPr>
            </w:pPr>
            <w:r w:rsidRPr="00D237A3">
              <w:rPr>
                <w:rFonts w:cs="Arial"/>
                <w:b/>
                <w:bCs/>
                <w:color w:val="000000"/>
                <w:sz w:val="17"/>
                <w:szCs w:val="17"/>
                <w:lang w:eastAsia="it-IT"/>
              </w:rPr>
              <w:t>CV</w:t>
            </w:r>
          </w:p>
        </w:tc>
        <w:tc>
          <w:tcPr>
            <w:tcW w:w="500" w:type="pct"/>
            <w:tcBorders>
              <w:top w:val="nil"/>
              <w:left w:val="nil"/>
              <w:bottom w:val="single" w:sz="12" w:space="0" w:color="00B050"/>
              <w:right w:val="nil"/>
            </w:tcBorders>
            <w:noWrap/>
            <w:vAlign w:val="bottom"/>
            <w:hideMark/>
          </w:tcPr>
          <w:p w14:paraId="14A3AC6F"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k3</w:t>
            </w:r>
          </w:p>
        </w:tc>
        <w:tc>
          <w:tcPr>
            <w:tcW w:w="500" w:type="pct"/>
            <w:tcBorders>
              <w:top w:val="nil"/>
              <w:left w:val="nil"/>
              <w:bottom w:val="single" w:sz="12" w:space="0" w:color="00B050"/>
              <w:right w:val="nil"/>
            </w:tcBorders>
            <w:noWrap/>
            <w:vAlign w:val="bottom"/>
            <w:hideMark/>
          </w:tcPr>
          <w:p w14:paraId="661ACECD"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0.999798</w:t>
            </w:r>
          </w:p>
        </w:tc>
        <w:tc>
          <w:tcPr>
            <w:tcW w:w="500" w:type="pct"/>
            <w:tcBorders>
              <w:top w:val="nil"/>
              <w:left w:val="nil"/>
              <w:bottom w:val="single" w:sz="12" w:space="0" w:color="00B050"/>
              <w:right w:val="nil"/>
            </w:tcBorders>
            <w:noWrap/>
            <w:vAlign w:val="bottom"/>
            <w:hideMark/>
          </w:tcPr>
          <w:p w14:paraId="2D7C7C52"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0.003034</w:t>
            </w:r>
          </w:p>
        </w:tc>
        <w:tc>
          <w:tcPr>
            <w:tcW w:w="500" w:type="pct"/>
            <w:tcBorders>
              <w:top w:val="nil"/>
              <w:left w:val="nil"/>
              <w:bottom w:val="single" w:sz="12" w:space="0" w:color="00B050"/>
              <w:right w:val="nil"/>
            </w:tcBorders>
            <w:noWrap/>
            <w:vAlign w:val="bottom"/>
            <w:hideMark/>
          </w:tcPr>
          <w:p w14:paraId="1BBA1435" w14:textId="77777777" w:rsidR="00AB4874" w:rsidRPr="00D237A3" w:rsidRDefault="00AB4874" w:rsidP="009040D5">
            <w:pPr>
              <w:spacing w:line="240" w:lineRule="auto"/>
              <w:jc w:val="center"/>
              <w:rPr>
                <w:rFonts w:cs="Arial"/>
                <w:color w:val="000000"/>
                <w:sz w:val="17"/>
                <w:szCs w:val="17"/>
                <w:lang w:eastAsia="it-IT"/>
              </w:rPr>
            </w:pPr>
            <w:r w:rsidRPr="00D237A3">
              <w:rPr>
                <w:rFonts w:cs="Arial"/>
                <w:color w:val="000000"/>
                <w:sz w:val="17"/>
                <w:szCs w:val="17"/>
                <w:lang w:eastAsia="it-IT"/>
              </w:rPr>
              <w:t>0.001709</w:t>
            </w:r>
          </w:p>
        </w:tc>
      </w:tr>
    </w:tbl>
    <w:p w14:paraId="2F2AA3D5" w14:textId="77777777" w:rsidR="00AB4874" w:rsidRDefault="00AB4874" w:rsidP="00AB4874">
      <w:pPr>
        <w:pStyle w:val="CETBodytext"/>
      </w:pPr>
    </w:p>
    <w:p w14:paraId="252F0F68" w14:textId="1F079DEF" w:rsidR="00AB4874" w:rsidRPr="00AB4874" w:rsidRDefault="00AB4874" w:rsidP="00AB4874">
      <w:pPr>
        <w:pStyle w:val="CETBodytext"/>
      </w:pPr>
      <w:r w:rsidRPr="00AB4874">
        <w:t xml:space="preserve">In the case of </w:t>
      </w:r>
      <w:r>
        <w:t>SP</w:t>
      </w:r>
      <w:r w:rsidRPr="00AB4874">
        <w:t>-derived nanoparticles, the model exhibit</w:t>
      </w:r>
      <w:r>
        <w:t>s</w:t>
      </w:r>
      <w:r w:rsidRPr="00AB4874">
        <w:t xml:space="preserve"> excellent performance for k</w:t>
      </w:r>
      <w:r w:rsidRPr="00AB4874">
        <w:rPr>
          <w:rFonts w:ascii="Cambria Math" w:hAnsi="Cambria Math" w:cs="Cambria Math"/>
        </w:rPr>
        <w:t>₁</w:t>
      </w:r>
      <w:r w:rsidRPr="00AB4874">
        <w:t xml:space="preserve"> (R</w:t>
      </w:r>
      <w:r w:rsidRPr="00AB4874">
        <w:rPr>
          <w:rFonts w:cs="Arial"/>
        </w:rPr>
        <w:t>²</w:t>
      </w:r>
      <w:r w:rsidRPr="00AB4874">
        <w:t xml:space="preserve"> </w:t>
      </w:r>
      <w:r w:rsidRPr="00AB4874">
        <w:rPr>
          <w:rFonts w:cs="Arial"/>
        </w:rPr>
        <w:t>≈</w:t>
      </w:r>
      <w:r w:rsidRPr="00AB4874">
        <w:t xml:space="preserve"> 0.99), with very low error metrics, highlighting a strong predictive robustness for this parameter. The prediction of k</w:t>
      </w:r>
      <w:r w:rsidRPr="00AB4874">
        <w:rPr>
          <w:rFonts w:ascii="Cambria Math" w:hAnsi="Cambria Math" w:cs="Cambria Math"/>
        </w:rPr>
        <w:t>₂</w:t>
      </w:r>
      <w:r w:rsidRPr="00AB4874">
        <w:t xml:space="preserve"> </w:t>
      </w:r>
      <w:r>
        <w:t xml:space="preserve">is </w:t>
      </w:r>
      <w:r w:rsidRPr="00AB4874">
        <w:t xml:space="preserve">comparable to the </w:t>
      </w:r>
      <w:r>
        <w:t>CV</w:t>
      </w:r>
      <w:r w:rsidRPr="00AB4874">
        <w:t xml:space="preserve"> case (R</w:t>
      </w:r>
      <w:r w:rsidRPr="00AB4874">
        <w:rPr>
          <w:rFonts w:cs="Arial"/>
        </w:rPr>
        <w:t>²</w:t>
      </w:r>
      <w:r w:rsidRPr="00AB4874">
        <w:t xml:space="preserve"> </w:t>
      </w:r>
      <w:r w:rsidRPr="00AB4874">
        <w:rPr>
          <w:rFonts w:cs="Arial"/>
        </w:rPr>
        <w:t>≈</w:t>
      </w:r>
      <w:r w:rsidRPr="00AB4874">
        <w:t xml:space="preserve"> 0.91), indicating consistent model behavior across both systems. However, a noticeable decrease in performance was observed for k</w:t>
      </w:r>
      <w:r w:rsidRPr="00AB4874">
        <w:rPr>
          <w:rFonts w:ascii="Cambria Math" w:hAnsi="Cambria Math" w:cs="Cambria Math"/>
        </w:rPr>
        <w:t>₃</w:t>
      </w:r>
      <w:r w:rsidRPr="00AB4874">
        <w:t xml:space="preserve"> (R</w:t>
      </w:r>
      <w:r w:rsidRPr="00AB4874">
        <w:rPr>
          <w:rFonts w:cs="Arial"/>
        </w:rPr>
        <w:t>²</w:t>
      </w:r>
      <w:r w:rsidRPr="00AB4874">
        <w:t xml:space="preserve"> </w:t>
      </w:r>
      <w:r w:rsidRPr="00AB4874">
        <w:rPr>
          <w:rFonts w:cs="Arial"/>
        </w:rPr>
        <w:t>≈</w:t>
      </w:r>
      <w:r w:rsidRPr="00AB4874">
        <w:t xml:space="preserve"> 0.82), accompanied by higher RMSE</w:t>
      </w:r>
    </w:p>
    <w:p w14:paraId="0899AF34" w14:textId="14E7A29F" w:rsidR="00AB4874" w:rsidRPr="00AB4874" w:rsidRDefault="00AB4874" w:rsidP="00AB4874">
      <w:pPr>
        <w:pStyle w:val="CETBodytext"/>
      </w:pPr>
      <w:r w:rsidRPr="00AB4874">
        <w:t xml:space="preserve">For the </w:t>
      </w:r>
      <w:r>
        <w:t>CV-</w:t>
      </w:r>
      <w:r w:rsidRPr="00AB4874">
        <w:t>based system, the model achieve</w:t>
      </w:r>
      <w:r>
        <w:t>s</w:t>
      </w:r>
      <w:r w:rsidRPr="00AB4874">
        <w:t xml:space="preserve"> very high accuracy, particularly for k</w:t>
      </w:r>
      <w:r w:rsidRPr="00AB4874">
        <w:rPr>
          <w:rFonts w:ascii="Cambria Math" w:hAnsi="Cambria Math" w:cs="Cambria Math"/>
        </w:rPr>
        <w:t>₃</w:t>
      </w:r>
      <w:r w:rsidRPr="00AB4874">
        <w:t xml:space="preserve"> (R</w:t>
      </w:r>
      <w:r w:rsidRPr="00AB4874">
        <w:rPr>
          <w:rFonts w:cs="Arial"/>
        </w:rPr>
        <w:t>²</w:t>
      </w:r>
      <w:r w:rsidRPr="00AB4874">
        <w:t xml:space="preserve"> </w:t>
      </w:r>
      <w:r w:rsidRPr="00AB4874">
        <w:rPr>
          <w:rFonts w:cs="Arial"/>
        </w:rPr>
        <w:t>≈</w:t>
      </w:r>
      <w:r w:rsidRPr="00AB4874">
        <w:t xml:space="preserve"> 0.9998), indicating an almost perfect agreement between predicted and experimental values. The predictions for k</w:t>
      </w:r>
      <w:r w:rsidRPr="00AB4874">
        <w:rPr>
          <w:rFonts w:ascii="Cambria Math" w:hAnsi="Cambria Math" w:cs="Cambria Math"/>
        </w:rPr>
        <w:t>₁</w:t>
      </w:r>
      <w:r w:rsidRPr="00AB4874">
        <w:t xml:space="preserve"> and k</w:t>
      </w:r>
      <w:r w:rsidRPr="00AB4874">
        <w:rPr>
          <w:rFonts w:ascii="Cambria Math" w:hAnsi="Cambria Math" w:cs="Cambria Math"/>
        </w:rPr>
        <w:t>₂</w:t>
      </w:r>
      <w:r w:rsidRPr="00AB4874">
        <w:t xml:space="preserve"> </w:t>
      </w:r>
      <w:r>
        <w:t xml:space="preserve">are </w:t>
      </w:r>
      <w:r w:rsidRPr="00AB4874">
        <w:t>also satisfactory (R</w:t>
      </w:r>
      <w:r w:rsidRPr="00AB4874">
        <w:rPr>
          <w:rFonts w:cs="Arial"/>
        </w:rPr>
        <w:t>²</w:t>
      </w:r>
      <w:r w:rsidRPr="00AB4874">
        <w:t xml:space="preserve"> </w:t>
      </w:r>
      <w:r w:rsidRPr="00AB4874">
        <w:rPr>
          <w:rFonts w:cs="Arial"/>
        </w:rPr>
        <w:t>≈</w:t>
      </w:r>
      <w:r w:rsidRPr="00AB4874">
        <w:t xml:space="preserve"> 0.88 and 0.92, respectively)</w:t>
      </w:r>
      <w:r>
        <w:t xml:space="preserve"> in terms of </w:t>
      </w:r>
      <w:r w:rsidRPr="00AB4874">
        <w:t>low RMSE and MAE values, suggesting that the model effectively captures the underlying relationships despite experimental variability.</w:t>
      </w:r>
    </w:p>
    <w:p w14:paraId="0AE312CB" w14:textId="5F50C8CD" w:rsidR="00AB4874" w:rsidRPr="00AB4874" w:rsidRDefault="00AB4874" w:rsidP="00AB4874">
      <w:pPr>
        <w:pStyle w:val="CETBodytext"/>
      </w:pPr>
      <w:r w:rsidRPr="00AB4874">
        <w:t>and MAE values, suggesting increased complexity or variability in the corresponding kinetics.</w:t>
      </w:r>
    </w:p>
    <w:p w14:paraId="4454B25D" w14:textId="77777777" w:rsidR="00AB4874" w:rsidRPr="00AB4874" w:rsidRDefault="00AB4874" w:rsidP="00AB4874">
      <w:pPr>
        <w:pStyle w:val="CETBodytext"/>
      </w:pPr>
      <w:r w:rsidRPr="00AB4874">
        <w:t>These results indicate that the proposed modeling framework is highly effective in capturing nonlinear relationships between process variables and kinetic parameters, while also highlighting system-dependent differences in predictability, likely associated with the physicochemical properties of the biogenic nanoparticles.</w:t>
      </w:r>
    </w:p>
    <w:p w14:paraId="68D26B83" w14:textId="77777777" w:rsidR="00600535" w:rsidRPr="00B57B36" w:rsidRDefault="00600535" w:rsidP="00600535">
      <w:pPr>
        <w:pStyle w:val="CETHeading1"/>
        <w:rPr>
          <w:lang w:val="en-GB"/>
        </w:rPr>
      </w:pPr>
      <w:r w:rsidRPr="00B57B36">
        <w:rPr>
          <w:lang w:val="en-GB"/>
        </w:rPr>
        <w:t>Conclusions</w:t>
      </w:r>
    </w:p>
    <w:p w14:paraId="1175278A" w14:textId="0D204CEE" w:rsidR="002E4C4B" w:rsidRPr="002E4C4B" w:rsidRDefault="002E4C4B" w:rsidP="002E4C4B">
      <w:pPr>
        <w:pStyle w:val="CETBodytext"/>
        <w:rPr>
          <w:lang w:val="en-GB"/>
        </w:rPr>
      </w:pPr>
      <w:r w:rsidRPr="002E4C4B">
        <w:rPr>
          <w:lang w:val="en-GB"/>
        </w:rPr>
        <w:t xml:space="preserve">This study demonstrates that microalgae-mediated green synthesis is an effective route for producing Ag-based nanomaterials with strong photocatalytic activity under visible light. The synthesized nanoparticles, derived from </w:t>
      </w:r>
      <w:r w:rsidRPr="002E4C4B">
        <w:rPr>
          <w:i/>
          <w:iCs/>
          <w:lang w:val="en-GB"/>
        </w:rPr>
        <w:lastRenderedPageBreak/>
        <w:t>Spirulina platensis</w:t>
      </w:r>
      <w:r w:rsidRPr="002E4C4B">
        <w:rPr>
          <w:lang w:val="en-GB"/>
        </w:rPr>
        <w:t xml:space="preserve"> and </w:t>
      </w:r>
      <w:r w:rsidRPr="002E4C4B">
        <w:rPr>
          <w:i/>
          <w:iCs/>
          <w:lang w:val="en-GB"/>
        </w:rPr>
        <w:t>Chlorella vulgaris</w:t>
      </w:r>
      <w:r w:rsidRPr="002E4C4B">
        <w:rPr>
          <w:lang w:val="en-GB"/>
        </w:rPr>
        <w:t xml:space="preserve">, </w:t>
      </w:r>
      <w:r>
        <w:rPr>
          <w:lang w:val="en-GB"/>
        </w:rPr>
        <w:t xml:space="preserve">shows </w:t>
      </w:r>
      <w:r w:rsidR="004D2D15" w:rsidRPr="002E4C4B">
        <w:rPr>
          <w:lang w:val="en-GB"/>
        </w:rPr>
        <w:t>favourable</w:t>
      </w:r>
      <w:r w:rsidRPr="002E4C4B">
        <w:rPr>
          <w:lang w:val="en-GB"/>
        </w:rPr>
        <w:t xml:space="preserve"> physicochemical properties and enabled high dye removal efficiencies across a range of operating conditions. </w:t>
      </w:r>
    </w:p>
    <w:p w14:paraId="4DF185CA" w14:textId="6F7630F0" w:rsidR="002E4C4B" w:rsidRPr="002E4C4B" w:rsidRDefault="002E4C4B" w:rsidP="002E4C4B">
      <w:pPr>
        <w:pStyle w:val="CETBodytext"/>
        <w:rPr>
          <w:lang w:val="en-GB"/>
        </w:rPr>
      </w:pPr>
      <w:r w:rsidRPr="002E4C4B">
        <w:rPr>
          <w:lang w:val="en-GB"/>
        </w:rPr>
        <w:t>A simplified yet physically grounded kinetic model successfully describe</w:t>
      </w:r>
      <w:r>
        <w:rPr>
          <w:lang w:val="en-GB"/>
        </w:rPr>
        <w:t>s</w:t>
      </w:r>
      <w:r w:rsidRPr="002E4C4B">
        <w:rPr>
          <w:lang w:val="en-GB"/>
        </w:rPr>
        <w:t xml:space="preserve"> the adsorption–desorption and degradation mechanisms, providing reliable parameter estimation. Coupling this mechanistic framework with a machine learning approach, supported by data augmentation, significantly enhance</w:t>
      </w:r>
      <w:r>
        <w:rPr>
          <w:lang w:val="en-GB"/>
        </w:rPr>
        <w:t>s</w:t>
      </w:r>
      <w:r w:rsidRPr="002E4C4B">
        <w:rPr>
          <w:lang w:val="en-GB"/>
        </w:rPr>
        <w:t xml:space="preserve"> predictive capability despite limited experimental data. The Gradient Boosting model accurately capture</w:t>
      </w:r>
      <w:r>
        <w:rPr>
          <w:lang w:val="en-GB"/>
        </w:rPr>
        <w:t>s</w:t>
      </w:r>
      <w:r w:rsidRPr="002E4C4B">
        <w:rPr>
          <w:lang w:val="en-GB"/>
        </w:rPr>
        <w:t xml:space="preserve"> nonlinear relationships between operating variables and kinetic parameters, achieving high performance metrics, particularly for selected parameters and strains.</w:t>
      </w:r>
    </w:p>
    <w:p w14:paraId="52DAFDE0" w14:textId="24405E07" w:rsidR="001D0CFB" w:rsidRDefault="002E4C4B" w:rsidP="002E4C4B">
      <w:pPr>
        <w:pStyle w:val="CETBodytext"/>
        <w:rPr>
          <w:lang w:val="en-GB"/>
        </w:rPr>
      </w:pPr>
      <w:r w:rsidRPr="002E4C4B">
        <w:rPr>
          <w:lang w:val="en-GB"/>
        </w:rPr>
        <w:t>Overall, the proposed hybrid methodology integrates experimental insights, mechanistic understanding, and data-driven modeling into a robust tool for process optimization. This approach not only improves the design of sustainable photocatalytic systems but also highlights the potential of microalgae-derived nanomaterials for environmentally friendly water treatment applications.</w:t>
      </w:r>
    </w:p>
    <w:p w14:paraId="07A6D20F" w14:textId="0ECF229E" w:rsidR="00280FAF" w:rsidRPr="00280FAF" w:rsidRDefault="00280FAF" w:rsidP="00280FAF">
      <w:pPr>
        <w:pStyle w:val="CETHeadingxx"/>
        <w:rPr>
          <w:lang w:val="en-GB"/>
        </w:rPr>
        <w:sectPr w:rsidR="00280FAF" w:rsidRPr="00280FAF" w:rsidSect="008314D7">
          <w:type w:val="continuous"/>
          <w:pgSz w:w="11906" w:h="16838" w:code="9"/>
          <w:pgMar w:top="1701" w:right="1418" w:bottom="1701" w:left="1701" w:header="1701" w:footer="0" w:gutter="0"/>
          <w:cols w:space="708"/>
          <w:formProt w:val="0"/>
          <w:titlePg/>
          <w:docGrid w:linePitch="360"/>
        </w:sectPr>
      </w:pPr>
      <w:r>
        <w:t>Nomenclature</w:t>
      </w:r>
    </w:p>
    <w:p w14:paraId="56E7D317" w14:textId="77777777" w:rsidR="00045714" w:rsidRPr="00280FAF" w:rsidRDefault="00045714" w:rsidP="00045714">
      <w:pPr>
        <w:pStyle w:val="CETBodytext"/>
        <w:jc w:val="left"/>
        <w:rPr>
          <w:rFonts w:eastAsia="SimSun"/>
        </w:rPr>
      </w:pPr>
      <w:r>
        <w:rPr>
          <w:rFonts w:eastAsia="SimSun"/>
        </w:rPr>
        <w:t>[Dye]</w:t>
      </w:r>
      <w:r w:rsidRPr="00280FAF">
        <w:rPr>
          <w:rFonts w:eastAsia="SimSun"/>
        </w:rPr>
        <w:t xml:space="preserve"> – </w:t>
      </w:r>
      <w:r>
        <w:rPr>
          <w:rFonts w:eastAsia="SimSun"/>
        </w:rPr>
        <w:t>contaminant concentration</w:t>
      </w:r>
      <w:r w:rsidRPr="00280FAF">
        <w:rPr>
          <w:rFonts w:eastAsia="SimSun"/>
        </w:rPr>
        <w:t xml:space="preserve">, </w:t>
      </w:r>
      <w:r>
        <w:rPr>
          <w:rFonts w:eastAsia="SimSun"/>
        </w:rPr>
        <w:t>mg/L</w:t>
      </w:r>
    </w:p>
    <w:p w14:paraId="2D6C5BCF" w14:textId="77777777" w:rsidR="00045714" w:rsidRPr="00280FAF" w:rsidRDefault="00045714" w:rsidP="00045714">
      <w:pPr>
        <w:pStyle w:val="CETBodytext"/>
        <w:jc w:val="left"/>
        <w:rPr>
          <w:rFonts w:eastAsia="SimSun"/>
        </w:rPr>
      </w:pPr>
      <w:r>
        <w:rPr>
          <w:rFonts w:eastAsia="SimSun"/>
        </w:rPr>
        <w:t>[Dye]</w:t>
      </w:r>
      <w:r w:rsidRPr="00045714">
        <w:rPr>
          <w:rFonts w:eastAsia="SimSun"/>
          <w:vertAlign w:val="superscript"/>
        </w:rPr>
        <w:t>0</w:t>
      </w:r>
      <w:r w:rsidRPr="00280FAF">
        <w:rPr>
          <w:rFonts w:eastAsia="SimSun"/>
        </w:rPr>
        <w:t xml:space="preserve"> –</w:t>
      </w:r>
      <w:r w:rsidRPr="00045714">
        <w:rPr>
          <w:rFonts w:eastAsia="SimSun"/>
        </w:rPr>
        <w:t xml:space="preserve"> </w:t>
      </w:r>
      <w:r>
        <w:rPr>
          <w:rFonts w:eastAsia="SimSun"/>
        </w:rPr>
        <w:t>contaminant concentration</w:t>
      </w:r>
      <w:r w:rsidRPr="00280FAF">
        <w:rPr>
          <w:rFonts w:eastAsia="SimSun"/>
        </w:rPr>
        <w:t xml:space="preserve">, </w:t>
      </w:r>
      <w:r>
        <w:rPr>
          <w:rFonts w:eastAsia="SimSun"/>
        </w:rPr>
        <w:t>mg/L</w:t>
      </w:r>
    </w:p>
    <w:p w14:paraId="33D176ED" w14:textId="019AD24A" w:rsidR="00280FAF" w:rsidRPr="00280FAF" w:rsidRDefault="00045714" w:rsidP="00280FAF">
      <w:pPr>
        <w:pStyle w:val="CETBodytext"/>
        <w:jc w:val="left"/>
        <w:rPr>
          <w:rFonts w:eastAsia="SimSun"/>
        </w:rPr>
      </w:pPr>
      <w:r>
        <w:rPr>
          <w:rFonts w:eastAsia="SimSun"/>
        </w:rPr>
        <w:t>k</w:t>
      </w:r>
      <w:r w:rsidRPr="00045714">
        <w:rPr>
          <w:rFonts w:eastAsia="SimSun"/>
          <w:vertAlign w:val="subscript"/>
        </w:rPr>
        <w:t>1</w:t>
      </w:r>
      <w:r>
        <w:rPr>
          <w:rFonts w:eastAsia="SimSun"/>
        </w:rPr>
        <w:t>, k</w:t>
      </w:r>
      <w:r w:rsidRPr="00045714">
        <w:rPr>
          <w:rFonts w:eastAsia="SimSun"/>
          <w:vertAlign w:val="subscript"/>
        </w:rPr>
        <w:t>2</w:t>
      </w:r>
      <w:r>
        <w:rPr>
          <w:rFonts w:eastAsia="SimSun"/>
        </w:rPr>
        <w:t>, k</w:t>
      </w:r>
      <w:r w:rsidRPr="00045714">
        <w:rPr>
          <w:rFonts w:eastAsia="SimSun"/>
          <w:vertAlign w:val="subscript"/>
        </w:rPr>
        <w:t>3</w:t>
      </w:r>
      <w:r w:rsidR="00280FAF" w:rsidRPr="00280FAF">
        <w:rPr>
          <w:rFonts w:eastAsia="SimSun"/>
        </w:rPr>
        <w:t xml:space="preserve"> – </w:t>
      </w:r>
      <w:r>
        <w:rPr>
          <w:rFonts w:eastAsia="SimSun"/>
        </w:rPr>
        <w:t>kinetic constants</w:t>
      </w:r>
      <w:r w:rsidR="00280FAF" w:rsidRPr="00280FAF">
        <w:rPr>
          <w:rFonts w:eastAsia="SimSun"/>
        </w:rPr>
        <w:t>, m</w:t>
      </w:r>
      <w:r>
        <w:rPr>
          <w:rFonts w:eastAsia="SimSun"/>
        </w:rPr>
        <w:t>in</w:t>
      </w:r>
      <w:r w:rsidRPr="00045714">
        <w:rPr>
          <w:rFonts w:eastAsia="SimSun"/>
          <w:vertAlign w:val="superscript"/>
        </w:rPr>
        <w:t>-1</w:t>
      </w:r>
    </w:p>
    <w:p w14:paraId="531D2453" w14:textId="77777777" w:rsidR="00045714" w:rsidRPr="00280FAF" w:rsidRDefault="00045714" w:rsidP="00045714">
      <w:pPr>
        <w:pStyle w:val="CETBodytext"/>
        <w:jc w:val="left"/>
        <w:rPr>
          <w:rFonts w:eastAsia="SimSun"/>
        </w:rPr>
      </w:pPr>
      <w:r>
        <w:rPr>
          <w:rFonts w:eastAsia="SimSun"/>
        </w:rPr>
        <w:t>t – time, min</w:t>
      </w:r>
    </w:p>
    <w:p w14:paraId="23FF4C40" w14:textId="5436EC7A" w:rsidR="00280FAF" w:rsidRPr="00280FAF" w:rsidRDefault="00045714" w:rsidP="00280FAF">
      <w:pPr>
        <w:pStyle w:val="CETBodytext"/>
        <w:jc w:val="left"/>
        <w:rPr>
          <w:rFonts w:eastAsia="SimSun"/>
        </w:rPr>
      </w:pPr>
      <w:r w:rsidRPr="00045714">
        <w:rPr>
          <w:rFonts w:eastAsia="SimSun"/>
        </w:rPr>
        <w:t>I</w:t>
      </w:r>
      <w:r w:rsidR="00280FAF" w:rsidRPr="00280FAF">
        <w:rPr>
          <w:rFonts w:eastAsia="SimSun"/>
          <w:lang w:val="el-GR"/>
        </w:rPr>
        <w:t xml:space="preserve"> – </w:t>
      </w:r>
      <w:r>
        <w:rPr>
          <w:rFonts w:eastAsia="SimSun"/>
        </w:rPr>
        <w:t>light intensity</w:t>
      </w:r>
      <w:r w:rsidR="00280FAF" w:rsidRPr="00280FAF">
        <w:rPr>
          <w:rFonts w:eastAsia="SimSun"/>
        </w:rPr>
        <w:t xml:space="preserve">, </w:t>
      </w:r>
      <w:r w:rsidRPr="00045714">
        <w:rPr>
          <w:rFonts w:ascii="Symbol" w:eastAsia="SimSun" w:hAnsi="Symbol"/>
        </w:rPr>
        <w:t>m</w:t>
      </w:r>
      <w:r>
        <w:rPr>
          <w:rFonts w:eastAsia="SimSun"/>
        </w:rPr>
        <w:t>E</w:t>
      </w:r>
      <w:r w:rsidR="00280FAF" w:rsidRPr="00280FAF">
        <w:rPr>
          <w:rFonts w:eastAsia="SimSun"/>
        </w:rPr>
        <w:t>/(m</w:t>
      </w:r>
      <w:r w:rsidRPr="00045714">
        <w:rPr>
          <w:rFonts w:eastAsia="SimSun"/>
          <w:vertAlign w:val="superscript"/>
        </w:rPr>
        <w:t>2</w:t>
      </w:r>
      <w:r w:rsidR="00280FAF" w:rsidRPr="00280FAF">
        <w:rPr>
          <w:rFonts w:ascii="Times New Roman" w:eastAsia="SimSun" w:hAnsi="Times New Roman"/>
        </w:rPr>
        <w:t>·</w:t>
      </w:r>
      <w:r>
        <w:rPr>
          <w:rFonts w:eastAsia="SimSun"/>
        </w:rPr>
        <w:t>s</w:t>
      </w:r>
      <w:r w:rsidR="00280FAF" w:rsidRPr="00280FAF">
        <w:rPr>
          <w:rFonts w:eastAsia="SimSun"/>
        </w:rPr>
        <w:t>)</w:t>
      </w:r>
    </w:p>
    <w:p w14:paraId="38BFE636" w14:textId="275D7135" w:rsidR="00280FAF" w:rsidRPr="00E377D0" w:rsidRDefault="00280FAF" w:rsidP="00280FAF">
      <w:pPr>
        <w:pStyle w:val="CETBodytext"/>
        <w:jc w:val="left"/>
        <w:rPr>
          <w:rFonts w:eastAsia="SimSun"/>
        </w:rPr>
        <w:sectPr w:rsidR="00280FAF" w:rsidRPr="00E377D0" w:rsidSect="008314D7">
          <w:type w:val="continuous"/>
          <w:pgSz w:w="11906" w:h="16838" w:code="9"/>
          <w:pgMar w:top="1701" w:right="1418" w:bottom="1701" w:left="1701" w:header="1701" w:footer="0" w:gutter="0"/>
          <w:cols w:num="2" w:space="708"/>
          <w:formProt w:val="0"/>
          <w:titlePg/>
          <w:docGrid w:linePitch="360"/>
        </w:sectPr>
      </w:pPr>
      <w:r w:rsidRPr="00280FAF">
        <w:rPr>
          <w:rFonts w:eastAsia="SimSun"/>
          <w:lang w:val="el-GR"/>
        </w:rPr>
        <w:t>η –</w:t>
      </w:r>
      <w:r w:rsidR="002D183C" w:rsidRPr="002D183C">
        <w:rPr>
          <w:rFonts w:eastAsia="SimSun"/>
        </w:rPr>
        <w:t xml:space="preserve"> removal efficiency</w:t>
      </w:r>
      <w:r w:rsidR="002D183C">
        <w:rPr>
          <w:rFonts w:eastAsia="SimSun"/>
        </w:rPr>
        <w:t>, -</w:t>
      </w:r>
    </w:p>
    <w:p w14:paraId="459D05E6" w14:textId="77777777" w:rsidR="00600535" w:rsidRPr="00B57B36" w:rsidRDefault="00600535" w:rsidP="00600535">
      <w:pPr>
        <w:pStyle w:val="CETAcknowledgementstitle"/>
      </w:pPr>
      <w:r w:rsidRPr="00B57B36">
        <w:t>Acknowledgments</w:t>
      </w:r>
    </w:p>
    <w:p w14:paraId="1F3DEC4C" w14:textId="52699F5F" w:rsidR="00F707C9" w:rsidRDefault="00F707C9" w:rsidP="00600535">
      <w:pPr>
        <w:pStyle w:val="CETReference"/>
        <w:rPr>
          <w:b w:val="0"/>
        </w:rPr>
      </w:pPr>
      <w:r w:rsidRPr="00F707C9">
        <w:rPr>
          <w:b w:val="0"/>
        </w:rPr>
        <w:t>F.A.</w:t>
      </w:r>
      <w:r>
        <w:rPr>
          <w:b w:val="0"/>
        </w:rPr>
        <w:t xml:space="preserve">, </w:t>
      </w:r>
      <w:r w:rsidRPr="00F707C9">
        <w:rPr>
          <w:b w:val="0"/>
        </w:rPr>
        <w:t xml:space="preserve">F.Z. </w:t>
      </w:r>
      <w:r>
        <w:rPr>
          <w:b w:val="0"/>
        </w:rPr>
        <w:t xml:space="preserve">and S.C. </w:t>
      </w:r>
      <w:r w:rsidRPr="00F707C9">
        <w:rPr>
          <w:b w:val="0"/>
        </w:rPr>
        <w:t>were supported by an International PhD Program in Innovation Sciences and Technologies at the University of Cagliari, Italy.</w:t>
      </w:r>
    </w:p>
    <w:p w14:paraId="4F1327F8" w14:textId="395C2681" w:rsidR="00600535" w:rsidRDefault="00600535" w:rsidP="00600535">
      <w:pPr>
        <w:pStyle w:val="CETReference"/>
      </w:pPr>
      <w:r w:rsidRPr="00B57B36">
        <w:t>References</w:t>
      </w:r>
    </w:p>
    <w:p w14:paraId="08ADB9B9" w14:textId="6153198C" w:rsidR="000965F3" w:rsidRDefault="000965F3" w:rsidP="000965F3">
      <w:pPr>
        <w:pStyle w:val="CETReferencetext"/>
      </w:pPr>
      <w:r>
        <w:t xml:space="preserve">Atzori F., Cosenza B., Zedda F., Sidorowicz A., Fais G., Cao G., Concas A., 2025, Hybrid modeling of photocatalytic contaminant degradation using nanomaterials synthesized with microalgal extracts, </w:t>
      </w:r>
      <w:r w:rsidRPr="000965F3">
        <w:rPr>
          <w:lang w:val="en-US"/>
        </w:rPr>
        <w:t xml:space="preserve">Chemical Engineering Science, 316, </w:t>
      </w:r>
      <w:r w:rsidRPr="000965F3">
        <w:t>121945</w:t>
      </w:r>
      <w:r>
        <w:t xml:space="preserve">. </w:t>
      </w:r>
    </w:p>
    <w:p w14:paraId="0BBA9D6A" w14:textId="5C337378" w:rsidR="000965F3" w:rsidRDefault="000965F3" w:rsidP="000965F3">
      <w:pPr>
        <w:pStyle w:val="CETReferencetext"/>
      </w:pPr>
      <w:r w:rsidRPr="000965F3">
        <w:rPr>
          <w:lang w:val="en-US"/>
        </w:rPr>
        <w:t xml:space="preserve">Cosenza B., Miccio M., Pannocchia G., Sammarco I., 2024, </w:t>
      </w:r>
      <w:r>
        <w:t xml:space="preserve">Advanced Simulation Model for Studying Biofuel-Producing Microalgae Populations. Chemical Engineering Transactions, 109, 559–564. </w:t>
      </w:r>
    </w:p>
    <w:p w14:paraId="5FC8197A" w14:textId="1BDFDC3F" w:rsidR="0030349B" w:rsidRDefault="0030349B" w:rsidP="000965F3">
      <w:pPr>
        <w:pStyle w:val="CETReferencetext"/>
      </w:pPr>
      <w:r w:rsidRPr="0030349B">
        <w:t>Gebre S.H., 2023. Bio-inspired Synthesis of Metal and Metal Oxide Nanoparticles: The Key Role of Phytochemicals. J</w:t>
      </w:r>
      <w:r>
        <w:t>ournal of</w:t>
      </w:r>
      <w:r w:rsidRPr="0030349B">
        <w:t xml:space="preserve"> Clust</w:t>
      </w:r>
      <w:r>
        <w:t>er</w:t>
      </w:r>
      <w:r w:rsidRPr="0030349B">
        <w:t xml:space="preserve"> Sci</w:t>
      </w:r>
      <w:r>
        <w:t>ence</w:t>
      </w:r>
      <w:r w:rsidRPr="0030349B">
        <w:t xml:space="preserve"> 34, 665–704. </w:t>
      </w:r>
    </w:p>
    <w:p w14:paraId="1135AF9F" w14:textId="1C5B4DA6" w:rsidR="000965F3" w:rsidRDefault="000965F3" w:rsidP="000965F3">
      <w:pPr>
        <w:pStyle w:val="CETReferencetext"/>
        <w:rPr>
          <w:lang w:val="en-US"/>
        </w:rPr>
      </w:pPr>
      <w:r>
        <w:t>Pal N.K., Kryschi C., 2016, Improved photocatalytic activity of gold decorated differently doped TiO</w:t>
      </w:r>
      <w:r w:rsidRPr="00E57AD3">
        <w:rPr>
          <w:vertAlign w:val="subscript"/>
        </w:rPr>
        <w:t>2</w:t>
      </w:r>
      <w:r>
        <w:t xml:space="preserve"> nanoparticles: A comparative study, </w:t>
      </w:r>
      <w:r w:rsidRPr="000965F3">
        <w:rPr>
          <w:lang w:val="en-US"/>
        </w:rPr>
        <w:t>Chemosphere</w:t>
      </w:r>
      <w:r>
        <w:rPr>
          <w:lang w:val="en-US"/>
        </w:rPr>
        <w:t xml:space="preserve">, </w:t>
      </w:r>
      <w:r w:rsidRPr="000965F3">
        <w:rPr>
          <w:lang w:val="en-US"/>
        </w:rPr>
        <w:t>144, 1655-1664</w:t>
      </w:r>
      <w:r>
        <w:rPr>
          <w:lang w:val="en-US"/>
        </w:rPr>
        <w:t xml:space="preserve">. </w:t>
      </w:r>
    </w:p>
    <w:p w14:paraId="41E54159" w14:textId="5A7C85B1" w:rsidR="000965F3" w:rsidRDefault="000965F3" w:rsidP="000965F3">
      <w:pPr>
        <w:pStyle w:val="CETReferencetext"/>
      </w:pPr>
      <w:r w:rsidRPr="000965F3">
        <w:rPr>
          <w:lang w:val="en-US"/>
        </w:rPr>
        <w:t>Peyghami A., Moharrami A., Rashtbari Y., Afshin S., Vosuoghi M., Dargahi A., 2023,</w:t>
      </w:r>
      <w:r>
        <w:rPr>
          <w:lang w:val="en-US"/>
        </w:rPr>
        <w:t xml:space="preserve"> </w:t>
      </w:r>
      <w:r>
        <w:t>Evaluation of the efficiency of magnetized clinoptilolite zeolite with Fe</w:t>
      </w:r>
      <w:r w:rsidRPr="00246A15">
        <w:rPr>
          <w:vertAlign w:val="subscript"/>
        </w:rPr>
        <w:t>3</w:t>
      </w:r>
      <w:r>
        <w:t>O</w:t>
      </w:r>
      <w:r w:rsidRPr="00246A15">
        <w:rPr>
          <w:vertAlign w:val="subscript"/>
        </w:rPr>
        <w:t>4</w:t>
      </w:r>
      <w:r>
        <w:t xml:space="preserve"> nanoparticles on the removal of basic violet 16 (BV16) dye from aqueous solutions, Journal of Dispersion Science and Technology, 44, </w:t>
      </w:r>
      <w:r w:rsidR="00E44843" w:rsidRPr="00E44843">
        <w:t>278-287</w:t>
      </w:r>
      <w:r w:rsidR="00E44843">
        <w:t>.</w:t>
      </w:r>
    </w:p>
    <w:p w14:paraId="1A624077" w14:textId="49FB371D" w:rsidR="000965F3" w:rsidRDefault="000965F3" w:rsidP="0073075C">
      <w:pPr>
        <w:pStyle w:val="CETReferencetext"/>
      </w:pPr>
      <w:r>
        <w:t>Rasoulifard M.H., Seyed Dorraji M.S., Amani-Ghadim A.R., Keshavarz-Babaeinezhad N., 2016</w:t>
      </w:r>
      <w:r w:rsidR="00E44843">
        <w:t>,</w:t>
      </w:r>
      <w:r>
        <w:t xml:space="preserve"> Visible-light photocatalytic activity of chitosan/polyaniline/CdS nanocomposite: Kinetic studies and artificial neural network </w:t>
      </w:r>
      <w:r w:rsidR="00E44843">
        <w:t xml:space="preserve">modelling, </w:t>
      </w:r>
      <w:r w:rsidR="0073075C">
        <w:t>Applied Catalysis A: General, 514, 60-70</w:t>
      </w:r>
    </w:p>
    <w:p w14:paraId="464FC389" w14:textId="2FB45E3C" w:rsidR="000965F3" w:rsidRDefault="000965F3" w:rsidP="000965F3">
      <w:pPr>
        <w:pStyle w:val="CETReferencetext"/>
      </w:pPr>
      <w:r>
        <w:t>Sidorowicz A., Atzori F., Zedda F., Fais G., Loy F., Licheri R., Lai N., Desogus F., Cao G., Concas A., 2025. Novel experimental and theoretical study on the synthesis and use of microalgae-derived silver nanomaterials for water purification. J</w:t>
      </w:r>
      <w:r w:rsidR="003A2687">
        <w:t xml:space="preserve">ournal of </w:t>
      </w:r>
      <w:r>
        <w:t>Water Process Eng</w:t>
      </w:r>
      <w:r w:rsidR="003A2687">
        <w:t xml:space="preserve">ineering, </w:t>
      </w:r>
      <w:r>
        <w:t>69</w:t>
      </w:r>
      <w:r w:rsidR="003A2687">
        <w:t xml:space="preserve">, </w:t>
      </w:r>
      <w:r w:rsidR="003A2687" w:rsidRPr="003A2687">
        <w:t>106831</w:t>
      </w:r>
      <w:r w:rsidR="003A2687">
        <w:t>.</w:t>
      </w:r>
    </w:p>
    <w:p w14:paraId="1026F126" w14:textId="654A4947" w:rsidR="000965F3" w:rsidRDefault="000965F3" w:rsidP="000965F3">
      <w:pPr>
        <w:pStyle w:val="CETReferencetext"/>
      </w:pPr>
      <w:r>
        <w:t>Sidorowicz A</w:t>
      </w:r>
      <w:r w:rsidR="00ED0789">
        <w:t>.</w:t>
      </w:r>
      <w:r>
        <w:t>, Fais G., Desogus F., Loy F., Licheri R., Lai N., Cao G., Concas A., 2024a</w:t>
      </w:r>
      <w:r w:rsidR="00ED0789">
        <w:t>,</w:t>
      </w:r>
      <w:r>
        <w:t xml:space="preserve"> Eco-Friendly Photocatalytic Treatment of Dyes with Ag Nanoparticles Obtained through Sustainable Process Involving </w:t>
      </w:r>
      <w:r w:rsidRPr="00DB1AD8">
        <w:rPr>
          <w:i/>
          <w:iCs/>
        </w:rPr>
        <w:t>Spirulina platensis</w:t>
      </w:r>
      <w:r w:rsidR="00ED0789">
        <w:t>,</w:t>
      </w:r>
      <w:r>
        <w:t xml:space="preserve"> Sustainability</w:t>
      </w:r>
      <w:r w:rsidR="00ED0789">
        <w:t>,</w:t>
      </w:r>
      <w:r>
        <w:t xml:space="preserve"> 16, 8758</w:t>
      </w:r>
    </w:p>
    <w:p w14:paraId="40FDF102" w14:textId="42799B0D" w:rsidR="000965F3" w:rsidRDefault="000965F3" w:rsidP="000965F3">
      <w:pPr>
        <w:pStyle w:val="CETReferencetext"/>
      </w:pPr>
      <w:r>
        <w:t>Sidorowicz, Agnieszka, Fais, G., Desogus, F., Loy, F., Licheri, R., Lai, N., Locci, A.M., Cincotti, A., Orrù, R., Cao, G., Concas, A., 2024b</w:t>
      </w:r>
      <w:r w:rsidR="00DB1AD8">
        <w:t>,</w:t>
      </w:r>
      <w:r>
        <w:t xml:space="preserve"> Optimization of Brilliant Blue R photocatalytic degradation by silver nanoparticles synthesized using </w:t>
      </w:r>
      <w:r w:rsidRPr="00DB1AD8">
        <w:rPr>
          <w:i/>
          <w:iCs/>
        </w:rPr>
        <w:t>Chlorella vulgaris</w:t>
      </w:r>
      <w:r w:rsidR="00DB1AD8">
        <w:t>,</w:t>
      </w:r>
      <w:r>
        <w:t xml:space="preserve"> </w:t>
      </w:r>
      <w:r w:rsidR="00DB1AD8" w:rsidRPr="00DB1AD8">
        <w:t>Environmental Science and Pollution Research</w:t>
      </w:r>
      <w:r w:rsidR="00DB1AD8">
        <w:t xml:space="preserve">, </w:t>
      </w:r>
      <w:r w:rsidR="00EE6DE8" w:rsidRPr="00EE6DE8">
        <w:t>31, 57765–57777</w:t>
      </w:r>
      <w:r w:rsidR="00EE6DE8">
        <w:t>.</w:t>
      </w:r>
    </w:p>
    <w:p w14:paraId="6913B387" w14:textId="7D9A30F7" w:rsidR="000965F3" w:rsidRDefault="000965F3" w:rsidP="000965F3">
      <w:pPr>
        <w:pStyle w:val="CETReferencetext"/>
      </w:pPr>
      <w:r>
        <w:t>Sidorowicz, Agnieszka, Yigit, N., Wicht, T., Stöger-Pollach, M., Concas, A., Orrù, R., Cao, G., Rupprechter, G., 2024c</w:t>
      </w:r>
      <w:r w:rsidR="00EE6DE8">
        <w:t>,</w:t>
      </w:r>
      <w:r>
        <w:t xml:space="preserve"> Microalgae-derived Co</w:t>
      </w:r>
      <w:r w:rsidRPr="00EE6DE8">
        <w:rPr>
          <w:vertAlign w:val="subscript"/>
        </w:rPr>
        <w:t>3</w:t>
      </w:r>
      <w:r>
        <w:t>O</w:t>
      </w:r>
      <w:r w:rsidRPr="00EE6DE8">
        <w:rPr>
          <w:vertAlign w:val="subscript"/>
        </w:rPr>
        <w:t>4</w:t>
      </w:r>
      <w:r>
        <w:t xml:space="preserve"> nanomaterials for catalytic CO oxidation. RSC Adv</w:t>
      </w:r>
      <w:r w:rsidR="00EE6DE8">
        <w:t xml:space="preserve">ances, </w:t>
      </w:r>
      <w:r>
        <w:t xml:space="preserve">14, 4575–4586. </w:t>
      </w:r>
    </w:p>
    <w:p w14:paraId="33DB2373" w14:textId="22A18DC7" w:rsidR="000965F3" w:rsidRDefault="000965F3" w:rsidP="000965F3">
      <w:pPr>
        <w:pStyle w:val="CETReferencetext"/>
      </w:pPr>
      <w:r>
        <w:t>Syahirah Kamarudin N., Jusoh R., Dina Setiabudi H., Fateha Sukor N., 2018</w:t>
      </w:r>
      <w:r w:rsidR="0030349B">
        <w:t>,</w:t>
      </w:r>
      <w:r>
        <w:t xml:space="preserve"> Photodegradation of methylene blue using phyto-mediated synthesis of silver nanoparticles: Effect of calcination treatment, in: Materials Today: Proceedings. https://doi.org/10.1016/j.matpr.2018.07.059</w:t>
      </w:r>
    </w:p>
    <w:p w14:paraId="39B7B89C" w14:textId="5831FA3C" w:rsidR="00A70DAA" w:rsidRDefault="00351B74" w:rsidP="00A70DAA">
      <w:pPr>
        <w:pStyle w:val="CETReferencetext"/>
      </w:pPr>
      <w:r w:rsidRPr="00351B74">
        <w:t>Vidyasagar N., Patel R.R., Singh S.K., Singh M., 2023</w:t>
      </w:r>
      <w:r>
        <w:t>,</w:t>
      </w:r>
      <w:r w:rsidRPr="00351B74">
        <w:t xml:space="preserve"> Green synthesis of silver nanoparticles: methods, biological applications, delivery and toxicity. Mater</w:t>
      </w:r>
      <w:r>
        <w:t xml:space="preserve">ial </w:t>
      </w:r>
      <w:r w:rsidRPr="00351B74">
        <w:t>Adv</w:t>
      </w:r>
      <w:r>
        <w:t xml:space="preserve">ances, </w:t>
      </w:r>
      <w:r w:rsidRPr="00351B74">
        <w:t>4, 1831–1849.</w:t>
      </w:r>
    </w:p>
    <w:p w14:paraId="3D19734A" w14:textId="0008831B" w:rsidR="003D0DE4" w:rsidRPr="003D0DE4" w:rsidRDefault="003D0DE4" w:rsidP="001F4A10">
      <w:pPr>
        <w:pStyle w:val="CETReferencetext"/>
      </w:pPr>
      <w:r w:rsidRPr="003D0DE4">
        <w:t xml:space="preserve">Zedda F., Atzori F., </w:t>
      </w:r>
      <w:r w:rsidRPr="003D0DE4">
        <w:t xml:space="preserve">Casu F., </w:t>
      </w:r>
      <w:r w:rsidRPr="003D0DE4">
        <w:t>Sidorowicz A., Fais G., Desogus</w:t>
      </w:r>
      <w:r w:rsidRPr="003D0DE4">
        <w:t xml:space="preserve"> F.</w:t>
      </w:r>
      <w:r w:rsidRPr="003D0DE4">
        <w:t>, Licheri</w:t>
      </w:r>
      <w:r w:rsidRPr="003D0DE4">
        <w:t xml:space="preserve"> R.</w:t>
      </w:r>
      <w:r w:rsidRPr="003D0DE4">
        <w:t>, Porcu</w:t>
      </w:r>
      <w:r w:rsidRPr="003D0DE4">
        <w:t xml:space="preserve"> S.</w:t>
      </w:r>
      <w:r w:rsidRPr="003D0DE4">
        <w:t xml:space="preserve">, </w:t>
      </w:r>
      <w:r w:rsidRPr="003D0DE4">
        <w:t>Lutzu G.A.</w:t>
      </w:r>
      <w:r w:rsidRPr="003D0DE4">
        <w:t>, Cao G., Concas A</w:t>
      </w:r>
      <w:r w:rsidR="001F4A10">
        <w:t>., 2026</w:t>
      </w:r>
      <w:r w:rsidR="003D44B6">
        <w:t>,</w:t>
      </w:r>
      <w:r w:rsidR="001F4A10">
        <w:t xml:space="preserve"> </w:t>
      </w:r>
      <w:r w:rsidR="001F4A10">
        <w:t xml:space="preserve">Green-Synthesized Ag/Zn Nanocomposites from </w:t>
      </w:r>
      <w:r w:rsidR="001F4A10" w:rsidRPr="003D44B6">
        <w:rPr>
          <w:i/>
          <w:iCs/>
        </w:rPr>
        <w:t>Chlorella vulgaris</w:t>
      </w:r>
      <w:r w:rsidR="001F4A10">
        <w:t xml:space="preserve"> Polar Extract: Sustainable Photocatalytic Water Remediation and Kinetic Modeling</w:t>
      </w:r>
      <w:r w:rsidR="003D44B6">
        <w:t xml:space="preserve">, </w:t>
      </w:r>
      <w:r w:rsidR="003D44B6">
        <w:t>Sustainability</w:t>
      </w:r>
      <w:r w:rsidR="00F33CD5">
        <w:t xml:space="preserve">, </w:t>
      </w:r>
      <w:r w:rsidR="00F33CD5" w:rsidRPr="00F33CD5">
        <w:t>18(9), 4607</w:t>
      </w:r>
      <w:r w:rsidR="00F33CD5">
        <w:t>.</w:t>
      </w:r>
    </w:p>
    <w:sectPr w:rsidR="003D0DE4" w:rsidRPr="003D0DE4"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F945" w14:textId="77777777" w:rsidR="00F54DAE" w:rsidRDefault="00F54DAE" w:rsidP="004F5E36">
      <w:r>
        <w:separator/>
      </w:r>
    </w:p>
  </w:endnote>
  <w:endnote w:type="continuationSeparator" w:id="0">
    <w:p w14:paraId="3C181A27" w14:textId="77777777" w:rsidR="00F54DAE" w:rsidRDefault="00F54DA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AEFB" w14:textId="77777777" w:rsidR="00F54DAE" w:rsidRDefault="00F54DAE" w:rsidP="004F5E36">
      <w:r>
        <w:separator/>
      </w:r>
    </w:p>
  </w:footnote>
  <w:footnote w:type="continuationSeparator" w:id="0">
    <w:p w14:paraId="38EBB30D" w14:textId="77777777" w:rsidR="00F54DAE" w:rsidRDefault="00F54DAE"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45714"/>
    <w:rsid w:val="00051566"/>
    <w:rsid w:val="000562A9"/>
    <w:rsid w:val="00062A9A"/>
    <w:rsid w:val="00065058"/>
    <w:rsid w:val="000709DB"/>
    <w:rsid w:val="00086C39"/>
    <w:rsid w:val="000965F3"/>
    <w:rsid w:val="000A03B2"/>
    <w:rsid w:val="000A23EB"/>
    <w:rsid w:val="000C1629"/>
    <w:rsid w:val="000D0268"/>
    <w:rsid w:val="000D34BE"/>
    <w:rsid w:val="000E102F"/>
    <w:rsid w:val="000E27C2"/>
    <w:rsid w:val="000E36F1"/>
    <w:rsid w:val="000E3A73"/>
    <w:rsid w:val="000E414A"/>
    <w:rsid w:val="000E75FD"/>
    <w:rsid w:val="000F093C"/>
    <w:rsid w:val="000F787B"/>
    <w:rsid w:val="00101F02"/>
    <w:rsid w:val="00107A4F"/>
    <w:rsid w:val="00116B96"/>
    <w:rsid w:val="0012091F"/>
    <w:rsid w:val="00124AAD"/>
    <w:rsid w:val="00126BC2"/>
    <w:rsid w:val="001308B6"/>
    <w:rsid w:val="0013121F"/>
    <w:rsid w:val="00131FE6"/>
    <w:rsid w:val="0013263F"/>
    <w:rsid w:val="001331DF"/>
    <w:rsid w:val="00134DE4"/>
    <w:rsid w:val="0013529B"/>
    <w:rsid w:val="0014034D"/>
    <w:rsid w:val="00140FE3"/>
    <w:rsid w:val="00144D16"/>
    <w:rsid w:val="00150E59"/>
    <w:rsid w:val="00152DE3"/>
    <w:rsid w:val="00164CF9"/>
    <w:rsid w:val="001667A6"/>
    <w:rsid w:val="00170EEE"/>
    <w:rsid w:val="00184AD6"/>
    <w:rsid w:val="001A3587"/>
    <w:rsid w:val="001A3AC8"/>
    <w:rsid w:val="001A4AF7"/>
    <w:rsid w:val="001B0349"/>
    <w:rsid w:val="001B1E93"/>
    <w:rsid w:val="001B65C1"/>
    <w:rsid w:val="001C260F"/>
    <w:rsid w:val="001C33F1"/>
    <w:rsid w:val="001C684B"/>
    <w:rsid w:val="001D0CFB"/>
    <w:rsid w:val="001D21AF"/>
    <w:rsid w:val="001D53FC"/>
    <w:rsid w:val="001F42A5"/>
    <w:rsid w:val="001F4A10"/>
    <w:rsid w:val="001F7B9D"/>
    <w:rsid w:val="00201C93"/>
    <w:rsid w:val="002224B4"/>
    <w:rsid w:val="0023088E"/>
    <w:rsid w:val="00240B19"/>
    <w:rsid w:val="002447EF"/>
    <w:rsid w:val="00246A15"/>
    <w:rsid w:val="00247D6F"/>
    <w:rsid w:val="00251550"/>
    <w:rsid w:val="00263343"/>
    <w:rsid w:val="00263B05"/>
    <w:rsid w:val="0027221A"/>
    <w:rsid w:val="00275B61"/>
    <w:rsid w:val="00280FAF"/>
    <w:rsid w:val="00282656"/>
    <w:rsid w:val="00296B83"/>
    <w:rsid w:val="002B4015"/>
    <w:rsid w:val="002B5C01"/>
    <w:rsid w:val="002B78CE"/>
    <w:rsid w:val="002C2FB6"/>
    <w:rsid w:val="002D183C"/>
    <w:rsid w:val="002D4230"/>
    <w:rsid w:val="002E4C4B"/>
    <w:rsid w:val="002E5FA7"/>
    <w:rsid w:val="002F3309"/>
    <w:rsid w:val="003008CE"/>
    <w:rsid w:val="003009B7"/>
    <w:rsid w:val="00300E56"/>
    <w:rsid w:val="0030152C"/>
    <w:rsid w:val="0030349B"/>
    <w:rsid w:val="0030469C"/>
    <w:rsid w:val="00315BC6"/>
    <w:rsid w:val="00321CA6"/>
    <w:rsid w:val="00323763"/>
    <w:rsid w:val="00323C5F"/>
    <w:rsid w:val="00334C09"/>
    <w:rsid w:val="00350220"/>
    <w:rsid w:val="00351B74"/>
    <w:rsid w:val="003723D4"/>
    <w:rsid w:val="00381905"/>
    <w:rsid w:val="00384CC8"/>
    <w:rsid w:val="003871FD"/>
    <w:rsid w:val="003A1E30"/>
    <w:rsid w:val="003A2687"/>
    <w:rsid w:val="003A2829"/>
    <w:rsid w:val="003A7D1C"/>
    <w:rsid w:val="003B304B"/>
    <w:rsid w:val="003B3146"/>
    <w:rsid w:val="003B4EA5"/>
    <w:rsid w:val="003D0997"/>
    <w:rsid w:val="003D0DE4"/>
    <w:rsid w:val="003D1E02"/>
    <w:rsid w:val="003D44B6"/>
    <w:rsid w:val="003F015E"/>
    <w:rsid w:val="00400414"/>
    <w:rsid w:val="00406197"/>
    <w:rsid w:val="00411EF2"/>
    <w:rsid w:val="0041446B"/>
    <w:rsid w:val="0044071E"/>
    <w:rsid w:val="0044329C"/>
    <w:rsid w:val="00453E24"/>
    <w:rsid w:val="00455BE6"/>
    <w:rsid w:val="00457456"/>
    <w:rsid w:val="004577FE"/>
    <w:rsid w:val="00457B9C"/>
    <w:rsid w:val="0046164A"/>
    <w:rsid w:val="004628D2"/>
    <w:rsid w:val="00462DCD"/>
    <w:rsid w:val="004648AD"/>
    <w:rsid w:val="004703A9"/>
    <w:rsid w:val="004760DE"/>
    <w:rsid w:val="004763D7"/>
    <w:rsid w:val="00493EF4"/>
    <w:rsid w:val="004A004E"/>
    <w:rsid w:val="004A24CF"/>
    <w:rsid w:val="004A47E8"/>
    <w:rsid w:val="004A5E57"/>
    <w:rsid w:val="004C194F"/>
    <w:rsid w:val="004C3D1D"/>
    <w:rsid w:val="004C3D84"/>
    <w:rsid w:val="004C4808"/>
    <w:rsid w:val="004C7913"/>
    <w:rsid w:val="004D2D15"/>
    <w:rsid w:val="004D4DD2"/>
    <w:rsid w:val="004E4DD6"/>
    <w:rsid w:val="004E55B5"/>
    <w:rsid w:val="004F24F8"/>
    <w:rsid w:val="004F5E36"/>
    <w:rsid w:val="00502883"/>
    <w:rsid w:val="00507B47"/>
    <w:rsid w:val="00507BEF"/>
    <w:rsid w:val="00507CC9"/>
    <w:rsid w:val="005119A5"/>
    <w:rsid w:val="0052569F"/>
    <w:rsid w:val="005278B7"/>
    <w:rsid w:val="00532016"/>
    <w:rsid w:val="005346C8"/>
    <w:rsid w:val="00543E7D"/>
    <w:rsid w:val="00547A68"/>
    <w:rsid w:val="00552D3D"/>
    <w:rsid w:val="005531C9"/>
    <w:rsid w:val="00570C43"/>
    <w:rsid w:val="00592274"/>
    <w:rsid w:val="005B2110"/>
    <w:rsid w:val="005B61E6"/>
    <w:rsid w:val="005C77E1"/>
    <w:rsid w:val="005D16C8"/>
    <w:rsid w:val="005D668A"/>
    <w:rsid w:val="005D6A2F"/>
    <w:rsid w:val="005E0592"/>
    <w:rsid w:val="005E16DC"/>
    <w:rsid w:val="005E1A82"/>
    <w:rsid w:val="005E794C"/>
    <w:rsid w:val="005F0A28"/>
    <w:rsid w:val="005F0E5E"/>
    <w:rsid w:val="00600535"/>
    <w:rsid w:val="00610CD6"/>
    <w:rsid w:val="00613CEE"/>
    <w:rsid w:val="00613EEC"/>
    <w:rsid w:val="00620DEE"/>
    <w:rsid w:val="00621F92"/>
    <w:rsid w:val="0062280A"/>
    <w:rsid w:val="006231E1"/>
    <w:rsid w:val="00625639"/>
    <w:rsid w:val="00631B33"/>
    <w:rsid w:val="00637820"/>
    <w:rsid w:val="0064184D"/>
    <w:rsid w:val="006422CC"/>
    <w:rsid w:val="00651D18"/>
    <w:rsid w:val="00652AE7"/>
    <w:rsid w:val="00660E3E"/>
    <w:rsid w:val="00662E74"/>
    <w:rsid w:val="00664F9F"/>
    <w:rsid w:val="00680C23"/>
    <w:rsid w:val="00683A51"/>
    <w:rsid w:val="00683E23"/>
    <w:rsid w:val="00693766"/>
    <w:rsid w:val="006A3281"/>
    <w:rsid w:val="006B4888"/>
    <w:rsid w:val="006C2E45"/>
    <w:rsid w:val="006C359C"/>
    <w:rsid w:val="006C5579"/>
    <w:rsid w:val="006D6E8B"/>
    <w:rsid w:val="006D7209"/>
    <w:rsid w:val="006E737D"/>
    <w:rsid w:val="006F027F"/>
    <w:rsid w:val="00707DD1"/>
    <w:rsid w:val="00713973"/>
    <w:rsid w:val="00720A24"/>
    <w:rsid w:val="0073075C"/>
    <w:rsid w:val="00732386"/>
    <w:rsid w:val="0073514D"/>
    <w:rsid w:val="007447F3"/>
    <w:rsid w:val="0075499F"/>
    <w:rsid w:val="007617CC"/>
    <w:rsid w:val="007661C8"/>
    <w:rsid w:val="0077098D"/>
    <w:rsid w:val="00777809"/>
    <w:rsid w:val="00785BF9"/>
    <w:rsid w:val="007931FA"/>
    <w:rsid w:val="007A008A"/>
    <w:rsid w:val="007A4861"/>
    <w:rsid w:val="007A699B"/>
    <w:rsid w:val="007A7BBA"/>
    <w:rsid w:val="007B0C50"/>
    <w:rsid w:val="007B48F9"/>
    <w:rsid w:val="007C1A43"/>
    <w:rsid w:val="007D0951"/>
    <w:rsid w:val="007E7F21"/>
    <w:rsid w:val="007F27C8"/>
    <w:rsid w:val="0080013E"/>
    <w:rsid w:val="00811ABD"/>
    <w:rsid w:val="00813288"/>
    <w:rsid w:val="008168FC"/>
    <w:rsid w:val="008216A4"/>
    <w:rsid w:val="00830996"/>
    <w:rsid w:val="008314D7"/>
    <w:rsid w:val="008345F1"/>
    <w:rsid w:val="008365C5"/>
    <w:rsid w:val="0084591A"/>
    <w:rsid w:val="00865B07"/>
    <w:rsid w:val="008667EA"/>
    <w:rsid w:val="0087637F"/>
    <w:rsid w:val="00892AD5"/>
    <w:rsid w:val="008A1512"/>
    <w:rsid w:val="008A740B"/>
    <w:rsid w:val="008B1215"/>
    <w:rsid w:val="008C4D6D"/>
    <w:rsid w:val="008D32B9"/>
    <w:rsid w:val="008D433B"/>
    <w:rsid w:val="008D4A16"/>
    <w:rsid w:val="008E209A"/>
    <w:rsid w:val="008E45BC"/>
    <w:rsid w:val="008E566E"/>
    <w:rsid w:val="008F68D0"/>
    <w:rsid w:val="0090161A"/>
    <w:rsid w:val="00901EB6"/>
    <w:rsid w:val="009041F8"/>
    <w:rsid w:val="0090446E"/>
    <w:rsid w:val="00904C62"/>
    <w:rsid w:val="00922BA8"/>
    <w:rsid w:val="00924DAC"/>
    <w:rsid w:val="00927058"/>
    <w:rsid w:val="00937CFA"/>
    <w:rsid w:val="00942750"/>
    <w:rsid w:val="009450CE"/>
    <w:rsid w:val="009459BB"/>
    <w:rsid w:val="00947179"/>
    <w:rsid w:val="0095164B"/>
    <w:rsid w:val="00954090"/>
    <w:rsid w:val="009573E7"/>
    <w:rsid w:val="00963E05"/>
    <w:rsid w:val="00964A45"/>
    <w:rsid w:val="00966592"/>
    <w:rsid w:val="00967843"/>
    <w:rsid w:val="00967D54"/>
    <w:rsid w:val="00971028"/>
    <w:rsid w:val="009774B8"/>
    <w:rsid w:val="009858A0"/>
    <w:rsid w:val="00991F9E"/>
    <w:rsid w:val="00993B84"/>
    <w:rsid w:val="00996483"/>
    <w:rsid w:val="00996F5A"/>
    <w:rsid w:val="009A2DD0"/>
    <w:rsid w:val="009B041A"/>
    <w:rsid w:val="009C37C3"/>
    <w:rsid w:val="009C7C86"/>
    <w:rsid w:val="009D2FF7"/>
    <w:rsid w:val="009E31B1"/>
    <w:rsid w:val="009E7884"/>
    <w:rsid w:val="009E788A"/>
    <w:rsid w:val="009F0E08"/>
    <w:rsid w:val="009F1DB0"/>
    <w:rsid w:val="009F3997"/>
    <w:rsid w:val="00A079AE"/>
    <w:rsid w:val="00A1763D"/>
    <w:rsid w:val="00A17CEC"/>
    <w:rsid w:val="00A26CBB"/>
    <w:rsid w:val="00A27EF0"/>
    <w:rsid w:val="00A42361"/>
    <w:rsid w:val="00A50995"/>
    <w:rsid w:val="00A50B20"/>
    <w:rsid w:val="00A51390"/>
    <w:rsid w:val="00A60D13"/>
    <w:rsid w:val="00A70DAA"/>
    <w:rsid w:val="00A7223D"/>
    <w:rsid w:val="00A72745"/>
    <w:rsid w:val="00A747BF"/>
    <w:rsid w:val="00A76EFC"/>
    <w:rsid w:val="00A87D50"/>
    <w:rsid w:val="00A91010"/>
    <w:rsid w:val="00A97D65"/>
    <w:rsid w:val="00A97F29"/>
    <w:rsid w:val="00AA702E"/>
    <w:rsid w:val="00AA7D26"/>
    <w:rsid w:val="00AB0964"/>
    <w:rsid w:val="00AB4874"/>
    <w:rsid w:val="00AB5011"/>
    <w:rsid w:val="00AC7368"/>
    <w:rsid w:val="00AD0278"/>
    <w:rsid w:val="00AD16B9"/>
    <w:rsid w:val="00AE377D"/>
    <w:rsid w:val="00AF0EBA"/>
    <w:rsid w:val="00B026AE"/>
    <w:rsid w:val="00B02C8A"/>
    <w:rsid w:val="00B04627"/>
    <w:rsid w:val="00B14608"/>
    <w:rsid w:val="00B17FBD"/>
    <w:rsid w:val="00B315A6"/>
    <w:rsid w:val="00B31813"/>
    <w:rsid w:val="00B33365"/>
    <w:rsid w:val="00B509CD"/>
    <w:rsid w:val="00B57B36"/>
    <w:rsid w:val="00B57E6F"/>
    <w:rsid w:val="00B823E3"/>
    <w:rsid w:val="00B8686D"/>
    <w:rsid w:val="00B93F69"/>
    <w:rsid w:val="00BA0C67"/>
    <w:rsid w:val="00BB1DDC"/>
    <w:rsid w:val="00BC30C9"/>
    <w:rsid w:val="00BD077D"/>
    <w:rsid w:val="00BE3E58"/>
    <w:rsid w:val="00C01616"/>
    <w:rsid w:val="00C0162B"/>
    <w:rsid w:val="00C068ED"/>
    <w:rsid w:val="00C208E9"/>
    <w:rsid w:val="00C22E0C"/>
    <w:rsid w:val="00C333FE"/>
    <w:rsid w:val="00C345B1"/>
    <w:rsid w:val="00C40142"/>
    <w:rsid w:val="00C52C3C"/>
    <w:rsid w:val="00C57182"/>
    <w:rsid w:val="00C57863"/>
    <w:rsid w:val="00C640AF"/>
    <w:rsid w:val="00C655FD"/>
    <w:rsid w:val="00C75407"/>
    <w:rsid w:val="00C841C6"/>
    <w:rsid w:val="00C870A8"/>
    <w:rsid w:val="00C94434"/>
    <w:rsid w:val="00CA0D75"/>
    <w:rsid w:val="00CA1C95"/>
    <w:rsid w:val="00CA5A9C"/>
    <w:rsid w:val="00CC4C20"/>
    <w:rsid w:val="00CC6297"/>
    <w:rsid w:val="00CD3517"/>
    <w:rsid w:val="00CD5FE2"/>
    <w:rsid w:val="00CE7C68"/>
    <w:rsid w:val="00D02B4C"/>
    <w:rsid w:val="00D040C4"/>
    <w:rsid w:val="00D20AD1"/>
    <w:rsid w:val="00D2582C"/>
    <w:rsid w:val="00D40295"/>
    <w:rsid w:val="00D46B7E"/>
    <w:rsid w:val="00D52A5D"/>
    <w:rsid w:val="00D571CD"/>
    <w:rsid w:val="00D57C84"/>
    <w:rsid w:val="00D6057D"/>
    <w:rsid w:val="00D71640"/>
    <w:rsid w:val="00D829EF"/>
    <w:rsid w:val="00D836C5"/>
    <w:rsid w:val="00D84576"/>
    <w:rsid w:val="00DA1399"/>
    <w:rsid w:val="00DA24C6"/>
    <w:rsid w:val="00DA4D7B"/>
    <w:rsid w:val="00DB1AD8"/>
    <w:rsid w:val="00DD271C"/>
    <w:rsid w:val="00DE264A"/>
    <w:rsid w:val="00DF5072"/>
    <w:rsid w:val="00E02D18"/>
    <w:rsid w:val="00E041E7"/>
    <w:rsid w:val="00E23CA1"/>
    <w:rsid w:val="00E409A8"/>
    <w:rsid w:val="00E44843"/>
    <w:rsid w:val="00E47D61"/>
    <w:rsid w:val="00E50C12"/>
    <w:rsid w:val="00E50C61"/>
    <w:rsid w:val="00E57AD3"/>
    <w:rsid w:val="00E65B91"/>
    <w:rsid w:val="00E7209D"/>
    <w:rsid w:val="00E72EAD"/>
    <w:rsid w:val="00E76A3A"/>
    <w:rsid w:val="00E77223"/>
    <w:rsid w:val="00E816E4"/>
    <w:rsid w:val="00E8528B"/>
    <w:rsid w:val="00E85B94"/>
    <w:rsid w:val="00E978D0"/>
    <w:rsid w:val="00E97F9E"/>
    <w:rsid w:val="00EA3EF9"/>
    <w:rsid w:val="00EA4613"/>
    <w:rsid w:val="00EA7F91"/>
    <w:rsid w:val="00EB1523"/>
    <w:rsid w:val="00EC0E49"/>
    <w:rsid w:val="00EC101F"/>
    <w:rsid w:val="00EC1D9F"/>
    <w:rsid w:val="00EC5146"/>
    <w:rsid w:val="00ED0789"/>
    <w:rsid w:val="00EE0131"/>
    <w:rsid w:val="00EE17B0"/>
    <w:rsid w:val="00EE6DE8"/>
    <w:rsid w:val="00EF06D9"/>
    <w:rsid w:val="00EF0982"/>
    <w:rsid w:val="00F126A5"/>
    <w:rsid w:val="00F12FE6"/>
    <w:rsid w:val="00F3049E"/>
    <w:rsid w:val="00F305FA"/>
    <w:rsid w:val="00F30C64"/>
    <w:rsid w:val="00F32BA2"/>
    <w:rsid w:val="00F32CDB"/>
    <w:rsid w:val="00F3348F"/>
    <w:rsid w:val="00F33CD5"/>
    <w:rsid w:val="00F37280"/>
    <w:rsid w:val="00F41EE4"/>
    <w:rsid w:val="00F53F47"/>
    <w:rsid w:val="00F54DAE"/>
    <w:rsid w:val="00F565FE"/>
    <w:rsid w:val="00F63A70"/>
    <w:rsid w:val="00F63D8C"/>
    <w:rsid w:val="00F70264"/>
    <w:rsid w:val="00F707C9"/>
    <w:rsid w:val="00F7534E"/>
    <w:rsid w:val="00F93EDF"/>
    <w:rsid w:val="00F9493E"/>
    <w:rsid w:val="00FA1802"/>
    <w:rsid w:val="00FA21D0"/>
    <w:rsid w:val="00FA4655"/>
    <w:rsid w:val="00FA5F5F"/>
    <w:rsid w:val="00FB1F09"/>
    <w:rsid w:val="00FB221D"/>
    <w:rsid w:val="00FB730C"/>
    <w:rsid w:val="00FC2695"/>
    <w:rsid w:val="00FC3865"/>
    <w:rsid w:val="00FC3E03"/>
    <w:rsid w:val="00FC3FC1"/>
    <w:rsid w:val="00FE3C8A"/>
    <w:rsid w:val="00FE418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FA4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mailto:corresponding.alessandro.concas@unic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9124</Words>
  <Characters>52009</Characters>
  <Application>Microsoft Office Word</Application>
  <DocSecurity>0</DocSecurity>
  <Lines>433</Lines>
  <Paragraphs>122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61011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Alessandro Concas</cp:lastModifiedBy>
  <cp:revision>13</cp:revision>
  <cp:lastPrinted>2026-03-29T21:22:00Z</cp:lastPrinted>
  <dcterms:created xsi:type="dcterms:W3CDTF">2026-03-29T22:25:00Z</dcterms:created>
  <dcterms:modified xsi:type="dcterms:W3CDTF">2026-05-11T16:07:00Z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Document_1">
    <vt:lpwstr>True</vt:lpwstr>
  </property>
  <property fmtid="{D5CDD505-2E9C-101B-9397-08002B2CF9AE}" pid="5" name="Mendeley Unique User Id_1">
    <vt:lpwstr>77260e60-e041-3686-be8c-c763799c9686</vt:lpwstr>
  </property>
  <property fmtid="{D5CDD505-2E9C-101B-9397-08002B2CF9AE}" pid="6" name="Mendeley Citation Style_1">
    <vt:lpwstr>http://www.zotero.org/styles/chemical-engineering-science</vt:lpwstr>
  </property>
  <property fmtid="{D5CDD505-2E9C-101B-9397-08002B2CF9AE}" pid="7" name="Mendeley Recent Style Id 0_1">
    <vt:lpwstr>http://www.zotero.org/styles/acs-sustainable-chemistry-and-engineering</vt:lpwstr>
  </property>
  <property fmtid="{D5CDD505-2E9C-101B-9397-08002B2CF9AE}" pid="8" name="Mendeley Recent Style Name 0_1">
    <vt:lpwstr>ACS Sustainable Chemistry &amp; Engineering</vt:lpwstr>
  </property>
  <property fmtid="{D5CDD505-2E9C-101B-9397-08002B2CF9AE}" pid="9" name="Mendeley Recent Style Id 1_1">
    <vt:lpwstr>http://www.zotero.org/styles/biomass-and-bioenergy</vt:lpwstr>
  </property>
  <property fmtid="{D5CDD505-2E9C-101B-9397-08002B2CF9AE}" pid="10" name="Mendeley Recent Style Name 1_1">
    <vt:lpwstr>Biomass and Bioenergy</vt:lpwstr>
  </property>
  <property fmtid="{D5CDD505-2E9C-101B-9397-08002B2CF9AE}" pid="11" name="Mendeley Recent Style Id 2_1">
    <vt:lpwstr>http://www.zotero.org/styles/chemical-engineering-science</vt:lpwstr>
  </property>
  <property fmtid="{D5CDD505-2E9C-101B-9397-08002B2CF9AE}" pid="12" name="Mendeley Recent Style Name 2_1">
    <vt:lpwstr>Chemical Engineering Science</vt:lpwstr>
  </property>
  <property fmtid="{D5CDD505-2E9C-101B-9397-08002B2CF9AE}" pid="13" name="Mendeley Recent Style Id 3_1">
    <vt:lpwstr>http://www.zotero.org/styles/environmental-science-and-pollution-research</vt:lpwstr>
  </property>
  <property fmtid="{D5CDD505-2E9C-101B-9397-08002B2CF9AE}" pid="14" name="Mendeley Recent Style Name 3_1">
    <vt:lpwstr>Environmental Science and Pollution Research</vt:lpwstr>
  </property>
  <property fmtid="{D5CDD505-2E9C-101B-9397-08002B2CF9AE}" pid="15" name="Mendeley Recent Style Id 4_1">
    <vt:lpwstr>http://www.zotero.org/styles/harvard1</vt:lpwstr>
  </property>
  <property fmtid="{D5CDD505-2E9C-101B-9397-08002B2CF9AE}" pid="16" name="Mendeley Recent Style Name 4_1">
    <vt:lpwstr>Harvard reference format 1 (deprecated)</vt:lpwstr>
  </property>
  <property fmtid="{D5CDD505-2E9C-101B-9397-08002B2CF9AE}" pid="17" name="Mendeley Recent Style Id 5_1">
    <vt:lpwstr>http://www.zotero.org/styles/journal-of-environmental-chemical-engineering</vt:lpwstr>
  </property>
  <property fmtid="{D5CDD505-2E9C-101B-9397-08002B2CF9AE}" pid="18" name="Mendeley Recent Style Name 5_1">
    <vt:lpwstr>Journal of Environmental Chemical Engineering</vt:lpwstr>
  </property>
  <property fmtid="{D5CDD505-2E9C-101B-9397-08002B2CF9AE}" pid="19" name="Mendeley Recent Style Id 6_1">
    <vt:lpwstr>http://www.zotero.org/styles/journal-of-water-process-engineering</vt:lpwstr>
  </property>
  <property fmtid="{D5CDD505-2E9C-101B-9397-08002B2CF9AE}" pid="20" name="Mendeley Recent Style Name 6_1">
    <vt:lpwstr>Journal of Water Process Engineering</vt:lpwstr>
  </property>
  <property fmtid="{D5CDD505-2E9C-101B-9397-08002B2CF9AE}" pid="21" name="Mendeley Recent Style Id 7_1">
    <vt:lpwstr>http://www.zotero.org/styles/nature</vt:lpwstr>
  </property>
  <property fmtid="{D5CDD505-2E9C-101B-9397-08002B2CF9AE}" pid="22" name="Mendeley Recent Style Name 7_1">
    <vt:lpwstr>Nature</vt:lpwstr>
  </property>
  <property fmtid="{D5CDD505-2E9C-101B-9397-08002B2CF9AE}" pid="23" name="Mendeley Recent Style Id 8_1">
    <vt:lpwstr>http://www.zotero.org/styles/separation-and-purification-technology</vt:lpwstr>
  </property>
  <property fmtid="{D5CDD505-2E9C-101B-9397-08002B2CF9AE}" pid="24" name="Mendeley Recent Style Name 8_1">
    <vt:lpwstr>Separation and Purification Technology</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