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3C03EB" w:rsidRPr="003C03EB" w14:paraId="022A2CCA" w14:textId="77777777" w:rsidTr="00246DB9">
        <w:trPr>
          <w:trHeight w:val="852"/>
          <w:jc w:val="center"/>
        </w:trPr>
        <w:tc>
          <w:tcPr>
            <w:tcW w:w="6940" w:type="dxa"/>
            <w:vMerge w:val="restart"/>
            <w:tcBorders>
              <w:right w:val="single" w:sz="4" w:space="0" w:color="auto"/>
            </w:tcBorders>
          </w:tcPr>
          <w:p w14:paraId="237414FC" w14:textId="77777777" w:rsidR="003C03EB" w:rsidRPr="003C03EB" w:rsidRDefault="003C03EB" w:rsidP="003C03EB">
            <w:pPr>
              <w:tabs>
                <w:tab w:val="left" w:pos="-108"/>
                <w:tab w:val="right" w:pos="7100"/>
              </w:tabs>
              <w:spacing w:after="0" w:line="264" w:lineRule="auto"/>
              <w:ind w:left="-108"/>
              <w:rPr>
                <w:rFonts w:ascii="Arial" w:eastAsia="Times New Roman" w:hAnsi="Arial" w:cs="Arial"/>
                <w:b/>
                <w:bCs/>
                <w:i/>
                <w:iCs/>
                <w:color w:val="000066"/>
                <w:sz w:val="12"/>
                <w:szCs w:val="12"/>
                <w:lang w:eastAsia="it-IT"/>
              </w:rPr>
            </w:pPr>
            <w:bookmarkStart w:id="0" w:name="_Hlk145068772"/>
            <w:r w:rsidRPr="003C03EB">
              <w:rPr>
                <w:rFonts w:ascii="AdvP6960" w:eastAsia="Times New Roman" w:hAnsi="AdvP6960" w:cs="AdvP6960"/>
                <w:noProof/>
                <w:color w:val="241F20"/>
                <w:sz w:val="18"/>
                <w:szCs w:val="18"/>
                <w:lang w:eastAsia="en-GB"/>
              </w:rPr>
              <w:drawing>
                <wp:inline distT="0" distB="0" distL="0" distR="0" wp14:anchorId="3647CDBD" wp14:editId="7BACA5A5">
                  <wp:extent cx="629285" cy="373380"/>
                  <wp:effectExtent l="0" t="0" r="0" b="7620"/>
                  <wp:docPr id="2" name="Kép 2"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et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285" cy="373380"/>
                          </a:xfrm>
                          <a:prstGeom prst="rect">
                            <a:avLst/>
                          </a:prstGeom>
                          <a:noFill/>
                          <a:ln>
                            <a:noFill/>
                          </a:ln>
                        </pic:spPr>
                      </pic:pic>
                    </a:graphicData>
                  </a:graphic>
                </wp:inline>
              </w:drawing>
            </w:r>
            <w:r w:rsidRPr="003C03EB">
              <w:rPr>
                <w:rFonts w:ascii="AdvP6960" w:eastAsia="Times New Roman" w:hAnsi="AdvP6960" w:cs="AdvP6960"/>
                <w:color w:val="241F20"/>
                <w:sz w:val="18"/>
                <w:szCs w:val="18"/>
                <w:lang w:eastAsia="it-IT"/>
              </w:rPr>
              <w:t xml:space="preserve"> </w:t>
            </w:r>
            <w:r w:rsidRPr="003C03EB">
              <w:rPr>
                <w:rFonts w:ascii="Arial" w:eastAsia="Times New Roman" w:hAnsi="Arial" w:cs="Arial"/>
                <w:b/>
                <w:bCs/>
                <w:i/>
                <w:iCs/>
                <w:color w:val="000066"/>
                <w:sz w:val="24"/>
                <w:szCs w:val="24"/>
                <w:lang w:eastAsia="it-IT"/>
              </w:rPr>
              <w:t>CHEMICAL ENGINEERING</w:t>
            </w:r>
            <w:r w:rsidRPr="003C03EB">
              <w:rPr>
                <w:rFonts w:ascii="Arial" w:eastAsia="Times New Roman" w:hAnsi="Arial" w:cs="Arial"/>
                <w:b/>
                <w:bCs/>
                <w:i/>
                <w:iCs/>
                <w:color w:val="0033FF"/>
                <w:sz w:val="24"/>
                <w:szCs w:val="24"/>
                <w:lang w:eastAsia="it-IT"/>
              </w:rPr>
              <w:t xml:space="preserve"> </w:t>
            </w:r>
            <w:r w:rsidRPr="003C03EB">
              <w:rPr>
                <w:rFonts w:ascii="Arial" w:eastAsia="Times New Roman" w:hAnsi="Arial" w:cs="Arial"/>
                <w:b/>
                <w:bCs/>
                <w:i/>
                <w:iCs/>
                <w:color w:val="666666"/>
                <w:sz w:val="24"/>
                <w:szCs w:val="24"/>
                <w:lang w:eastAsia="it-IT"/>
              </w:rPr>
              <w:t>TRANSACTIONS</w:t>
            </w:r>
            <w:r w:rsidRPr="003C03EB">
              <w:rPr>
                <w:rFonts w:ascii="Arial" w:eastAsia="Times New Roman" w:hAnsi="Arial" w:cs="Times New Roman"/>
                <w:color w:val="333333"/>
                <w:sz w:val="24"/>
                <w:szCs w:val="24"/>
                <w:lang w:eastAsia="it-IT"/>
              </w:rPr>
              <w:t xml:space="preserve"> </w:t>
            </w:r>
            <w:r w:rsidRPr="003C03EB">
              <w:rPr>
                <w:rFonts w:ascii="Arial" w:eastAsia="Times New Roman" w:hAnsi="Arial" w:cs="Arial"/>
                <w:b/>
                <w:bCs/>
                <w:i/>
                <w:iCs/>
                <w:color w:val="000066"/>
                <w:sz w:val="27"/>
                <w:szCs w:val="27"/>
                <w:lang w:eastAsia="it-IT"/>
              </w:rPr>
              <w:br/>
            </w:r>
          </w:p>
          <w:p w14:paraId="3755D074" w14:textId="77777777" w:rsidR="003C03EB" w:rsidRPr="003C03EB" w:rsidRDefault="003C03EB" w:rsidP="003C03EB">
            <w:pPr>
              <w:tabs>
                <w:tab w:val="left" w:pos="-108"/>
                <w:tab w:val="right" w:pos="7100"/>
              </w:tabs>
              <w:spacing w:after="0" w:line="264" w:lineRule="auto"/>
              <w:ind w:left="-108"/>
              <w:jc w:val="both"/>
              <w:rPr>
                <w:rFonts w:ascii="Arial" w:eastAsia="Times New Roman" w:hAnsi="Arial" w:cs="Arial"/>
                <w:b/>
                <w:bCs/>
                <w:i/>
                <w:iCs/>
                <w:color w:val="000066"/>
                <w:lang w:eastAsia="it-IT"/>
              </w:rPr>
            </w:pPr>
            <w:r w:rsidRPr="003C03EB">
              <w:rPr>
                <w:rFonts w:ascii="Arial" w:eastAsia="Times New Roman" w:hAnsi="Arial" w:cs="Arial"/>
                <w:b/>
                <w:bCs/>
                <w:i/>
                <w:iCs/>
                <w:color w:val="000066"/>
                <w:lang w:eastAsia="it-IT"/>
              </w:rPr>
              <w:t>VOL. xxx, 2026</w:t>
            </w:r>
          </w:p>
        </w:tc>
        <w:tc>
          <w:tcPr>
            <w:tcW w:w="1842" w:type="dxa"/>
            <w:tcBorders>
              <w:left w:val="single" w:sz="4" w:space="0" w:color="auto"/>
              <w:bottom w:val="nil"/>
              <w:right w:val="single" w:sz="4" w:space="0" w:color="auto"/>
            </w:tcBorders>
          </w:tcPr>
          <w:p w14:paraId="722AC1DD" w14:textId="77777777" w:rsidR="003C03EB" w:rsidRPr="003C03EB" w:rsidRDefault="003C03EB" w:rsidP="003C03EB">
            <w:pPr>
              <w:tabs>
                <w:tab w:val="right" w:pos="7100"/>
              </w:tabs>
              <w:spacing w:after="0" w:line="140" w:lineRule="atLeast"/>
              <w:jc w:val="right"/>
              <w:rPr>
                <w:rFonts w:ascii="Arial" w:eastAsia="Times New Roman" w:hAnsi="Arial" w:cs="Arial"/>
                <w:sz w:val="14"/>
                <w:szCs w:val="14"/>
              </w:rPr>
            </w:pPr>
            <w:r w:rsidRPr="003C03EB">
              <w:rPr>
                <w:rFonts w:ascii="Arial" w:eastAsia="Times New Roman" w:hAnsi="Arial" w:cs="Arial"/>
                <w:sz w:val="14"/>
                <w:szCs w:val="14"/>
              </w:rPr>
              <w:t>A publication of</w:t>
            </w:r>
          </w:p>
          <w:p w14:paraId="6D5C1F50" w14:textId="77777777" w:rsidR="003C03EB" w:rsidRPr="003C03EB" w:rsidRDefault="003C03EB" w:rsidP="003C03EB">
            <w:pPr>
              <w:tabs>
                <w:tab w:val="right" w:pos="7100"/>
              </w:tabs>
              <w:spacing w:after="0" w:line="264" w:lineRule="auto"/>
              <w:jc w:val="right"/>
              <w:rPr>
                <w:rFonts w:ascii="Arial" w:eastAsia="Times New Roman" w:hAnsi="Arial" w:cs="Times New Roman"/>
                <w:sz w:val="18"/>
                <w:szCs w:val="20"/>
              </w:rPr>
            </w:pPr>
            <w:r w:rsidRPr="003C03EB">
              <w:rPr>
                <w:rFonts w:ascii="Arial" w:eastAsia="Times New Roman" w:hAnsi="Arial" w:cs="Times New Roman"/>
                <w:noProof/>
                <w:sz w:val="18"/>
                <w:szCs w:val="20"/>
                <w:lang w:eastAsia="en-GB"/>
              </w:rPr>
              <w:drawing>
                <wp:inline distT="0" distB="0" distL="0" distR="0" wp14:anchorId="295BB0EA" wp14:editId="177B333E">
                  <wp:extent cx="665480" cy="358140"/>
                  <wp:effectExtent l="0" t="0" r="1270" b="3810"/>
                  <wp:docPr id="1" name="Kép 1"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aidiclogo_gran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5480" cy="358140"/>
                          </a:xfrm>
                          <a:prstGeom prst="rect">
                            <a:avLst/>
                          </a:prstGeom>
                          <a:noFill/>
                          <a:ln>
                            <a:noFill/>
                          </a:ln>
                        </pic:spPr>
                      </pic:pic>
                    </a:graphicData>
                  </a:graphic>
                </wp:inline>
              </w:drawing>
            </w:r>
          </w:p>
        </w:tc>
      </w:tr>
      <w:tr w:rsidR="003C03EB" w:rsidRPr="003C03EB" w14:paraId="15195B17" w14:textId="77777777" w:rsidTr="00246DB9">
        <w:trPr>
          <w:trHeight w:val="567"/>
          <w:jc w:val="center"/>
        </w:trPr>
        <w:tc>
          <w:tcPr>
            <w:tcW w:w="6940" w:type="dxa"/>
            <w:vMerge/>
            <w:tcBorders>
              <w:right w:val="single" w:sz="4" w:space="0" w:color="auto"/>
            </w:tcBorders>
          </w:tcPr>
          <w:p w14:paraId="2704E414" w14:textId="77777777" w:rsidR="003C03EB" w:rsidRPr="003C03EB" w:rsidRDefault="003C03EB" w:rsidP="003C03EB">
            <w:pPr>
              <w:tabs>
                <w:tab w:val="left" w:pos="-108"/>
                <w:tab w:val="right" w:pos="7100"/>
              </w:tabs>
              <w:spacing w:after="0" w:line="264" w:lineRule="auto"/>
              <w:jc w:val="both"/>
              <w:rPr>
                <w:rFonts w:ascii="Arial" w:eastAsia="Times New Roman" w:hAnsi="Arial" w:cs="Times New Roman"/>
                <w:sz w:val="18"/>
                <w:szCs w:val="20"/>
              </w:rPr>
            </w:pPr>
          </w:p>
        </w:tc>
        <w:tc>
          <w:tcPr>
            <w:tcW w:w="1842" w:type="dxa"/>
            <w:tcBorders>
              <w:left w:val="single" w:sz="4" w:space="0" w:color="auto"/>
              <w:bottom w:val="nil"/>
              <w:right w:val="single" w:sz="4" w:space="0" w:color="auto"/>
            </w:tcBorders>
          </w:tcPr>
          <w:p w14:paraId="01AE8A92" w14:textId="77777777" w:rsidR="003C03EB" w:rsidRPr="003C03EB" w:rsidRDefault="003C03EB" w:rsidP="003C03EB">
            <w:pPr>
              <w:tabs>
                <w:tab w:val="right" w:pos="7100"/>
              </w:tabs>
              <w:spacing w:after="0" w:line="140" w:lineRule="atLeast"/>
              <w:jc w:val="right"/>
              <w:rPr>
                <w:rFonts w:ascii="Arial" w:eastAsia="Times New Roman" w:hAnsi="Arial" w:cs="Arial"/>
                <w:sz w:val="14"/>
                <w:szCs w:val="14"/>
              </w:rPr>
            </w:pPr>
            <w:r w:rsidRPr="003C03EB">
              <w:rPr>
                <w:rFonts w:ascii="Arial" w:eastAsia="Times New Roman" w:hAnsi="Arial" w:cs="Arial"/>
                <w:sz w:val="14"/>
                <w:szCs w:val="14"/>
              </w:rPr>
              <w:t>The Italian Association</w:t>
            </w:r>
          </w:p>
          <w:p w14:paraId="2006A91B" w14:textId="77777777" w:rsidR="003C03EB" w:rsidRPr="003C03EB" w:rsidRDefault="003C03EB" w:rsidP="003C03EB">
            <w:pPr>
              <w:tabs>
                <w:tab w:val="right" w:pos="7100"/>
              </w:tabs>
              <w:spacing w:after="0" w:line="140" w:lineRule="atLeast"/>
              <w:jc w:val="right"/>
              <w:rPr>
                <w:rFonts w:ascii="Arial" w:eastAsia="Times New Roman" w:hAnsi="Arial" w:cs="Arial"/>
                <w:sz w:val="14"/>
                <w:szCs w:val="14"/>
              </w:rPr>
            </w:pPr>
            <w:r w:rsidRPr="003C03EB">
              <w:rPr>
                <w:rFonts w:ascii="Arial" w:eastAsia="Times New Roman" w:hAnsi="Arial" w:cs="Arial"/>
                <w:sz w:val="14"/>
                <w:szCs w:val="14"/>
              </w:rPr>
              <w:t>of Chemical Engineering</w:t>
            </w:r>
          </w:p>
          <w:p w14:paraId="3A922EC7" w14:textId="77777777" w:rsidR="003C03EB" w:rsidRPr="003C03EB" w:rsidRDefault="003C03EB" w:rsidP="003C03EB">
            <w:pPr>
              <w:tabs>
                <w:tab w:val="right" w:pos="7100"/>
              </w:tabs>
              <w:spacing w:after="0" w:line="140" w:lineRule="atLeast"/>
              <w:jc w:val="right"/>
              <w:rPr>
                <w:rFonts w:ascii="Arial" w:eastAsia="Times New Roman" w:hAnsi="Arial" w:cs="Arial"/>
                <w:sz w:val="13"/>
                <w:szCs w:val="13"/>
              </w:rPr>
            </w:pPr>
            <w:r w:rsidRPr="003C03EB">
              <w:rPr>
                <w:rFonts w:ascii="Arial" w:eastAsia="Times New Roman" w:hAnsi="Arial" w:cs="Arial"/>
                <w:sz w:val="13"/>
                <w:szCs w:val="13"/>
              </w:rPr>
              <w:t>Online at www.cetjournal.it</w:t>
            </w:r>
          </w:p>
        </w:tc>
      </w:tr>
      <w:tr w:rsidR="003C03EB" w:rsidRPr="003C03EB" w14:paraId="58574334" w14:textId="77777777" w:rsidTr="00246DB9">
        <w:trPr>
          <w:trHeight w:val="68"/>
          <w:jc w:val="center"/>
        </w:trPr>
        <w:tc>
          <w:tcPr>
            <w:tcW w:w="8782" w:type="dxa"/>
            <w:gridSpan w:val="2"/>
            <w:tcBorders>
              <w:bottom w:val="single" w:sz="4" w:space="0" w:color="auto"/>
            </w:tcBorders>
          </w:tcPr>
          <w:p w14:paraId="08C8502F" w14:textId="77777777" w:rsidR="003C03EB" w:rsidRPr="003C03EB" w:rsidRDefault="003C03EB" w:rsidP="003C03EB">
            <w:pPr>
              <w:tabs>
                <w:tab w:val="right" w:pos="7100"/>
              </w:tabs>
              <w:spacing w:after="0" w:line="264" w:lineRule="auto"/>
              <w:ind w:left="-107"/>
              <w:jc w:val="both"/>
              <w:outlineLvl w:val="2"/>
              <w:rPr>
                <w:rFonts w:ascii="Tahoma" w:eastAsia="Times New Roman" w:hAnsi="Tahoma" w:cs="Tahoma"/>
                <w:bCs/>
                <w:color w:val="000000"/>
                <w:sz w:val="14"/>
                <w:szCs w:val="14"/>
                <w:lang w:val="it-IT" w:eastAsia="it-IT"/>
              </w:rPr>
            </w:pPr>
            <w:r w:rsidRPr="003C03EB">
              <w:rPr>
                <w:rFonts w:ascii="Tahoma" w:eastAsia="Times New Roman" w:hAnsi="Tahoma" w:cs="Tahoma"/>
                <w:iCs/>
                <w:color w:val="333333"/>
                <w:sz w:val="14"/>
                <w:szCs w:val="14"/>
                <w:lang w:val="it-IT" w:eastAsia="it-IT"/>
              </w:rPr>
              <w:t>Guest Editors:</w:t>
            </w:r>
            <w:r w:rsidRPr="003C03EB">
              <w:rPr>
                <w:rFonts w:ascii="Tahoma" w:eastAsia="Times New Roman" w:hAnsi="Tahoma" w:cs="Tahoma"/>
                <w:color w:val="000000"/>
                <w:sz w:val="14"/>
                <w:szCs w:val="14"/>
                <w:shd w:val="clear" w:color="auto" w:fill="FFFFFF"/>
                <w:lang w:val="it-IT"/>
              </w:rPr>
              <w:t xml:space="preserve"> Leonardo Tognotti, </w:t>
            </w:r>
            <w:r w:rsidRPr="003C03EB">
              <w:rPr>
                <w:rFonts w:ascii="Tahoma" w:eastAsia="Times New Roman" w:hAnsi="Tahoma" w:cs="Tahoma"/>
                <w:color w:val="000000"/>
                <w:sz w:val="14"/>
                <w:szCs w:val="14"/>
                <w:lang w:val="it-IT"/>
              </w:rPr>
              <w:t>Rubens Maciel Filho</w:t>
            </w:r>
            <w:r w:rsidRPr="003C03EB">
              <w:rPr>
                <w:rFonts w:ascii="Tahoma" w:eastAsia="Times New Roman" w:hAnsi="Tahoma" w:cs="Tahoma"/>
                <w:color w:val="000000"/>
                <w:sz w:val="14"/>
                <w:szCs w:val="14"/>
                <w:shd w:val="clear" w:color="auto" w:fill="FFFFFF"/>
                <w:lang w:val="it-IT"/>
              </w:rPr>
              <w:t xml:space="preserve">, </w:t>
            </w:r>
            <w:r w:rsidRPr="003C03EB">
              <w:rPr>
                <w:rFonts w:ascii="Tahoma" w:eastAsia="Times New Roman" w:hAnsi="Tahoma" w:cs="Tahoma"/>
                <w:color w:val="000000"/>
                <w:sz w:val="14"/>
                <w:szCs w:val="14"/>
                <w:lang w:val="it-IT"/>
              </w:rPr>
              <w:t>Viatcheslav Kafarov</w:t>
            </w:r>
          </w:p>
          <w:p w14:paraId="07B8D1DA" w14:textId="77777777" w:rsidR="003C03EB" w:rsidRPr="003C03EB" w:rsidRDefault="003C03EB" w:rsidP="003C03EB">
            <w:pPr>
              <w:tabs>
                <w:tab w:val="left" w:pos="-108"/>
                <w:tab w:val="right" w:pos="7100"/>
              </w:tabs>
              <w:spacing w:after="0" w:line="140" w:lineRule="atLeast"/>
              <w:ind w:left="-107"/>
              <w:rPr>
                <w:rFonts w:ascii="Arial" w:eastAsia="Times New Roman" w:hAnsi="Arial" w:cs="Times New Roman"/>
                <w:sz w:val="18"/>
                <w:szCs w:val="20"/>
              </w:rPr>
            </w:pPr>
            <w:r w:rsidRPr="003C03EB">
              <w:rPr>
                <w:rFonts w:ascii="Tahoma" w:eastAsia="Times New Roman" w:hAnsi="Tahoma" w:cs="Tahoma"/>
                <w:iCs/>
                <w:color w:val="333333"/>
                <w:sz w:val="14"/>
                <w:szCs w:val="14"/>
                <w:lang w:eastAsia="it-IT"/>
              </w:rPr>
              <w:t xml:space="preserve">Copyright © 2026, AIDIC Servizi </w:t>
            </w:r>
            <w:proofErr w:type="spellStart"/>
            <w:r w:rsidRPr="003C03EB">
              <w:rPr>
                <w:rFonts w:ascii="Tahoma" w:eastAsia="Times New Roman" w:hAnsi="Tahoma" w:cs="Tahoma"/>
                <w:iCs/>
                <w:color w:val="333333"/>
                <w:sz w:val="14"/>
                <w:szCs w:val="14"/>
                <w:lang w:eastAsia="it-IT"/>
              </w:rPr>
              <w:t>S.r.l</w:t>
            </w:r>
            <w:proofErr w:type="spellEnd"/>
            <w:r w:rsidRPr="003C03EB">
              <w:rPr>
                <w:rFonts w:ascii="Tahoma" w:eastAsia="Times New Roman" w:hAnsi="Tahoma" w:cs="Tahoma"/>
                <w:iCs/>
                <w:color w:val="333333"/>
                <w:sz w:val="14"/>
                <w:szCs w:val="14"/>
                <w:lang w:eastAsia="it-IT"/>
              </w:rPr>
              <w:t>.</w:t>
            </w:r>
            <w:r w:rsidRPr="003C03EB">
              <w:rPr>
                <w:rFonts w:ascii="Tahoma" w:eastAsia="Times New Roman" w:hAnsi="Tahoma" w:cs="Tahoma"/>
                <w:iCs/>
                <w:color w:val="333333"/>
                <w:sz w:val="14"/>
                <w:szCs w:val="14"/>
                <w:lang w:eastAsia="it-IT"/>
              </w:rPr>
              <w:br/>
            </w:r>
            <w:r w:rsidRPr="003C03EB">
              <w:rPr>
                <w:rFonts w:ascii="Tahoma" w:eastAsia="Times New Roman" w:hAnsi="Tahoma" w:cs="Tahoma"/>
                <w:b/>
                <w:iCs/>
                <w:color w:val="000000"/>
                <w:sz w:val="14"/>
                <w:szCs w:val="14"/>
                <w:lang w:eastAsia="it-IT"/>
              </w:rPr>
              <w:t>ISBN</w:t>
            </w:r>
            <w:r w:rsidRPr="003C03EB">
              <w:rPr>
                <w:rFonts w:ascii="Tahoma" w:eastAsia="Times New Roman" w:hAnsi="Tahoma" w:cs="Tahoma"/>
                <w:iCs/>
                <w:color w:val="000000"/>
                <w:sz w:val="14"/>
                <w:szCs w:val="14"/>
                <w:lang w:eastAsia="it-IT"/>
              </w:rPr>
              <w:t xml:space="preserve"> </w:t>
            </w:r>
            <w:r w:rsidRPr="003C03EB">
              <w:rPr>
                <w:rFonts w:ascii="Tahoma" w:eastAsia="Times New Roman" w:hAnsi="Tahoma" w:cs="Tahoma"/>
                <w:sz w:val="14"/>
                <w:szCs w:val="14"/>
              </w:rPr>
              <w:t>979-12-81206-xx-x</w:t>
            </w:r>
            <w:r w:rsidRPr="003C03EB">
              <w:rPr>
                <w:rFonts w:ascii="Tahoma" w:eastAsia="Times New Roman" w:hAnsi="Tahoma" w:cs="Tahoma"/>
                <w:iCs/>
                <w:color w:val="333333"/>
                <w:sz w:val="14"/>
                <w:szCs w:val="14"/>
                <w:lang w:eastAsia="it-IT"/>
              </w:rPr>
              <w:t xml:space="preserve">; </w:t>
            </w:r>
            <w:r w:rsidRPr="003C03EB">
              <w:rPr>
                <w:rFonts w:ascii="Tahoma" w:eastAsia="Times New Roman" w:hAnsi="Tahoma" w:cs="Tahoma"/>
                <w:b/>
                <w:iCs/>
                <w:color w:val="333333"/>
                <w:sz w:val="14"/>
                <w:szCs w:val="14"/>
                <w:lang w:eastAsia="it-IT"/>
              </w:rPr>
              <w:t>ISSN</w:t>
            </w:r>
            <w:r w:rsidRPr="003C03EB">
              <w:rPr>
                <w:rFonts w:ascii="Tahoma" w:eastAsia="Times New Roman" w:hAnsi="Tahoma" w:cs="Tahoma"/>
                <w:iCs/>
                <w:color w:val="333333"/>
                <w:sz w:val="14"/>
                <w:szCs w:val="14"/>
                <w:lang w:eastAsia="it-IT"/>
              </w:rPr>
              <w:t xml:space="preserve"> 2283-9216</w:t>
            </w:r>
          </w:p>
        </w:tc>
      </w:tr>
    </w:tbl>
    <w:bookmarkEnd w:id="0"/>
    <w:p w14:paraId="26BA05C6" w14:textId="77777777" w:rsidR="003C03EB" w:rsidRPr="003C03EB" w:rsidRDefault="003C03EB" w:rsidP="003C03EB">
      <w:pPr>
        <w:suppressAutoHyphens/>
        <w:spacing w:before="480" w:after="120" w:line="264" w:lineRule="auto"/>
        <w:jc w:val="center"/>
        <w:outlineLvl w:val="0"/>
        <w:rPr>
          <w:rFonts w:ascii="Arial" w:eastAsia="Times New Roman" w:hAnsi="Arial" w:cs="Times New Roman"/>
          <w:sz w:val="32"/>
          <w:szCs w:val="20"/>
        </w:rPr>
      </w:pPr>
      <w:r w:rsidRPr="003C03EB">
        <w:rPr>
          <w:rFonts w:ascii="Arial" w:eastAsia="Times New Roman" w:hAnsi="Arial" w:cs="Times New Roman"/>
          <w:sz w:val="32"/>
          <w:szCs w:val="20"/>
        </w:rPr>
        <w:t>Enhancing hydrogen production through effective biomass pretreatment</w:t>
      </w:r>
    </w:p>
    <w:p w14:paraId="497C3547" w14:textId="32DCDE93" w:rsidR="003C03EB" w:rsidRPr="00F66599" w:rsidRDefault="003C03EB" w:rsidP="003C03EB">
      <w:pPr>
        <w:keepNext/>
        <w:tabs>
          <w:tab w:val="right" w:pos="7100"/>
        </w:tabs>
        <w:suppressAutoHyphens/>
        <w:spacing w:after="120" w:line="264" w:lineRule="auto"/>
        <w:jc w:val="both"/>
        <w:rPr>
          <w:rFonts w:ascii="Arial" w:eastAsia="Times New Roman" w:hAnsi="Arial" w:cs="Times New Roman"/>
          <w:noProof/>
          <w:sz w:val="24"/>
          <w:szCs w:val="20"/>
        </w:rPr>
      </w:pPr>
      <w:r w:rsidRPr="003C03EB">
        <w:rPr>
          <w:rFonts w:ascii="Arial" w:eastAsia="Times New Roman" w:hAnsi="Arial" w:cs="Times New Roman"/>
          <w:noProof/>
          <w:sz w:val="24"/>
          <w:szCs w:val="20"/>
        </w:rPr>
        <w:t>Viktória Zsinka</w:t>
      </w:r>
      <w:r w:rsidRPr="003C03EB">
        <w:rPr>
          <w:rFonts w:ascii="Arial" w:eastAsia="Times New Roman" w:hAnsi="Arial" w:cs="Times New Roman"/>
          <w:noProof/>
          <w:sz w:val="24"/>
          <w:szCs w:val="20"/>
          <w:vertAlign w:val="superscript"/>
        </w:rPr>
        <w:t>a,</w:t>
      </w:r>
      <w:r w:rsidRPr="003C03EB">
        <w:rPr>
          <w:rFonts w:ascii="Arial" w:eastAsia="Times New Roman" w:hAnsi="Arial" w:cs="Times New Roman"/>
          <w:noProof/>
          <w:sz w:val="24"/>
          <w:szCs w:val="20"/>
        </w:rPr>
        <w:t>*, Adél Kollár</w:t>
      </w:r>
      <w:r w:rsidRPr="003C03EB">
        <w:rPr>
          <w:rFonts w:ascii="Arial" w:eastAsia="Times New Roman" w:hAnsi="Arial" w:cs="Times New Roman"/>
          <w:noProof/>
          <w:sz w:val="24"/>
          <w:szCs w:val="20"/>
          <w:vertAlign w:val="superscript"/>
        </w:rPr>
        <w:t>a</w:t>
      </w:r>
      <w:r w:rsidRPr="003C03EB">
        <w:rPr>
          <w:rFonts w:ascii="Arial" w:eastAsia="Times New Roman" w:hAnsi="Arial" w:cs="Times New Roman"/>
          <w:noProof/>
          <w:sz w:val="24"/>
          <w:szCs w:val="20"/>
        </w:rPr>
        <w:t>, Norbert Miskolczi</w:t>
      </w:r>
      <w:r w:rsidRPr="003C03EB">
        <w:rPr>
          <w:rFonts w:ascii="Arial" w:eastAsia="Times New Roman" w:hAnsi="Arial" w:cs="Times New Roman"/>
          <w:noProof/>
          <w:sz w:val="24"/>
          <w:szCs w:val="20"/>
          <w:vertAlign w:val="superscript"/>
        </w:rPr>
        <w:t>a</w:t>
      </w:r>
      <w:r w:rsidR="00F66599">
        <w:rPr>
          <w:rFonts w:ascii="Arial" w:eastAsia="Times New Roman" w:hAnsi="Arial" w:cs="Times New Roman"/>
          <w:noProof/>
          <w:sz w:val="24"/>
          <w:szCs w:val="20"/>
        </w:rPr>
        <w:t>, Alex Kis-Iván</w:t>
      </w:r>
      <w:r w:rsidR="00F66599" w:rsidRPr="003C03EB">
        <w:rPr>
          <w:rFonts w:ascii="Arial" w:eastAsia="Times New Roman" w:hAnsi="Arial" w:cs="Times New Roman"/>
          <w:noProof/>
          <w:sz w:val="24"/>
          <w:szCs w:val="20"/>
          <w:vertAlign w:val="superscript"/>
        </w:rPr>
        <w:t>a</w:t>
      </w:r>
      <w:r w:rsidR="00F66599">
        <w:rPr>
          <w:rFonts w:ascii="Arial" w:eastAsia="Times New Roman" w:hAnsi="Arial" w:cs="Times New Roman"/>
          <w:noProof/>
          <w:sz w:val="24"/>
          <w:szCs w:val="20"/>
        </w:rPr>
        <w:t>, Kiara</w:t>
      </w:r>
      <w:r w:rsidR="00C01E6B">
        <w:rPr>
          <w:rFonts w:ascii="Arial" w:eastAsia="Times New Roman" w:hAnsi="Arial" w:cs="Times New Roman"/>
          <w:noProof/>
          <w:sz w:val="24"/>
          <w:szCs w:val="20"/>
        </w:rPr>
        <w:t xml:space="preserve"> Atina</w:t>
      </w:r>
      <w:r w:rsidR="00F66599">
        <w:rPr>
          <w:rFonts w:ascii="Arial" w:eastAsia="Times New Roman" w:hAnsi="Arial" w:cs="Times New Roman"/>
          <w:noProof/>
          <w:sz w:val="24"/>
          <w:szCs w:val="20"/>
        </w:rPr>
        <w:t xml:space="preserve"> Császár</w:t>
      </w:r>
      <w:r w:rsidR="00F66599" w:rsidRPr="003C03EB">
        <w:rPr>
          <w:rFonts w:ascii="Arial" w:eastAsia="Times New Roman" w:hAnsi="Arial" w:cs="Times New Roman"/>
          <w:noProof/>
          <w:sz w:val="24"/>
          <w:szCs w:val="20"/>
          <w:vertAlign w:val="superscript"/>
        </w:rPr>
        <w:t>a</w:t>
      </w:r>
      <w:r w:rsidR="00F66599">
        <w:rPr>
          <w:rFonts w:ascii="Arial" w:eastAsia="Times New Roman" w:hAnsi="Arial" w:cs="Times New Roman"/>
          <w:noProof/>
          <w:sz w:val="24"/>
          <w:szCs w:val="20"/>
        </w:rPr>
        <w:t>, Beatrix Csutorás</w:t>
      </w:r>
      <w:r w:rsidR="00F66599" w:rsidRPr="003C03EB">
        <w:rPr>
          <w:rFonts w:ascii="Arial" w:eastAsia="Times New Roman" w:hAnsi="Arial" w:cs="Times New Roman"/>
          <w:noProof/>
          <w:sz w:val="24"/>
          <w:szCs w:val="20"/>
          <w:vertAlign w:val="superscript"/>
        </w:rPr>
        <w:t>a</w:t>
      </w:r>
    </w:p>
    <w:p w14:paraId="3D14AF0C" w14:textId="77777777" w:rsidR="003C03EB" w:rsidRPr="003C03EB" w:rsidRDefault="003C03EB" w:rsidP="003C03EB">
      <w:pPr>
        <w:keepNext/>
        <w:suppressAutoHyphens/>
        <w:spacing w:after="0" w:line="276" w:lineRule="auto"/>
        <w:contextualSpacing/>
        <w:rPr>
          <w:rFonts w:ascii="Arial" w:eastAsia="Times New Roman" w:hAnsi="Arial" w:cs="Times New Roman"/>
          <w:noProof/>
          <w:sz w:val="16"/>
          <w:szCs w:val="20"/>
        </w:rPr>
      </w:pPr>
      <w:r w:rsidRPr="003C03EB">
        <w:rPr>
          <w:rFonts w:ascii="Arial" w:eastAsia="Times New Roman" w:hAnsi="Arial" w:cs="Times New Roman"/>
          <w:noProof/>
          <w:sz w:val="16"/>
          <w:szCs w:val="20"/>
          <w:vertAlign w:val="superscript"/>
        </w:rPr>
        <w:t xml:space="preserve">a </w:t>
      </w:r>
      <w:r w:rsidRPr="003C03EB">
        <w:rPr>
          <w:rFonts w:ascii="Arial" w:eastAsia="Times New Roman" w:hAnsi="Arial" w:cs="Times New Roman"/>
          <w:noProof/>
          <w:sz w:val="16"/>
          <w:szCs w:val="20"/>
          <w:lang w:val="en-US"/>
        </w:rPr>
        <w:t>University of Pannonia, Department of MOL Hydrocarbon and Coal Processing, Egyetem u. 10, H-8200 Veszprém, Hungary</w:t>
      </w:r>
      <w:r w:rsidRPr="003C03EB">
        <w:rPr>
          <w:rFonts w:ascii="Arial" w:eastAsia="Times New Roman" w:hAnsi="Arial" w:cs="Times New Roman"/>
          <w:noProof/>
          <w:sz w:val="16"/>
          <w:szCs w:val="20"/>
        </w:rPr>
        <w:t xml:space="preserve"> </w:t>
      </w:r>
    </w:p>
    <w:p w14:paraId="5D8C396C" w14:textId="3F19E7B6" w:rsidR="003C03EB" w:rsidRPr="003C03EB" w:rsidRDefault="009B1363" w:rsidP="003C03EB">
      <w:pPr>
        <w:spacing w:after="240" w:line="276" w:lineRule="auto"/>
        <w:rPr>
          <w:rFonts w:ascii="Arial" w:eastAsia="Times New Roman" w:hAnsi="Arial" w:cs="Times New Roman"/>
          <w:noProof/>
          <w:sz w:val="16"/>
          <w:szCs w:val="20"/>
          <w:lang w:val="fr-FR"/>
        </w:rPr>
      </w:pPr>
      <w:r>
        <w:rPr>
          <w:rFonts w:ascii="Arial" w:eastAsia="Times New Roman" w:hAnsi="Arial" w:cs="Times New Roman"/>
          <w:noProof/>
          <w:sz w:val="16"/>
          <w:szCs w:val="20"/>
          <w:lang w:val="fr-FR"/>
        </w:rPr>
        <w:t>*</w:t>
      </w:r>
      <w:r w:rsidR="003C03EB" w:rsidRPr="003C03EB">
        <w:rPr>
          <w:rFonts w:ascii="Arial" w:eastAsia="Times New Roman" w:hAnsi="Arial" w:cs="Times New Roman"/>
          <w:noProof/>
          <w:sz w:val="16"/>
          <w:szCs w:val="20"/>
          <w:lang w:val="fr-FR"/>
        </w:rPr>
        <w:t>zsinka.viktoria@mk.uni-pannon.hu</w:t>
      </w:r>
    </w:p>
    <w:p w14:paraId="46085A97" w14:textId="38CCB89B" w:rsidR="003C03EB" w:rsidRPr="003C03EB" w:rsidRDefault="003C03EB" w:rsidP="003C03EB">
      <w:pPr>
        <w:spacing w:after="0" w:line="264" w:lineRule="auto"/>
        <w:jc w:val="both"/>
        <w:rPr>
          <w:rFonts w:ascii="Arial" w:eastAsia="Times New Roman" w:hAnsi="Arial" w:cs="Times New Roman"/>
          <w:sz w:val="18"/>
          <w:szCs w:val="20"/>
        </w:rPr>
      </w:pPr>
      <w:r w:rsidRPr="003C03EB">
        <w:rPr>
          <w:rFonts w:ascii="Arial" w:eastAsia="Times New Roman" w:hAnsi="Arial" w:cs="Times New Roman"/>
          <w:sz w:val="18"/>
          <w:szCs w:val="20"/>
        </w:rPr>
        <w:t xml:space="preserve">Biomass is a promising renewable resource for sustainable energy production, particularly for hydrogen generation. However, the inherent structural complexity of biomass, including high oxygen content, moisture, and resistant lignocellulosic components, limits its hydrogen yield during thermochemical and biochemical conversion processes. Biomass pretreatment plays a critical role in overcoming these limitations by altering the physical and chemical structure of raw feedstocks. Pretreatment methods such as thermal, chemical, </w:t>
      </w:r>
      <w:proofErr w:type="spellStart"/>
      <w:r w:rsidRPr="003C03EB">
        <w:rPr>
          <w:rFonts w:ascii="Arial" w:eastAsia="Times New Roman" w:hAnsi="Arial" w:cs="Times New Roman"/>
          <w:sz w:val="18"/>
          <w:szCs w:val="20"/>
        </w:rPr>
        <w:t>physico</w:t>
      </w:r>
      <w:proofErr w:type="spellEnd"/>
      <w:r w:rsidRPr="003C03EB">
        <w:rPr>
          <w:rFonts w:ascii="Arial" w:eastAsia="Times New Roman" w:hAnsi="Arial" w:cs="Times New Roman"/>
          <w:sz w:val="18"/>
          <w:szCs w:val="20"/>
        </w:rPr>
        <w:t xml:space="preserve">-chemical, and biological treatments reduce crystallinity, remove lignin, decrease oxygen-rich compounds, and improve carbon accessibility. These changes enhance reaction efficiency, promote hydrogen-rich gas formation, and reduce the formation of undesirable by-products. As a result, pretreatment significantly increases hydrogen content and overall conversion efficiency during processes such as gasification, pyrolysis, and fermentation. Understanding and optimizing biomass pretreatment strategies is therefore essential for improving hydrogen production performance and advancing biomass-based hydrogen as a clean and sustainable energy </w:t>
      </w:r>
      <w:proofErr w:type="spellStart"/>
      <w:proofErr w:type="gramStart"/>
      <w:r w:rsidRPr="003C03EB">
        <w:rPr>
          <w:rFonts w:ascii="Arial" w:eastAsia="Times New Roman" w:hAnsi="Arial" w:cs="Times New Roman"/>
          <w:sz w:val="18"/>
          <w:szCs w:val="20"/>
        </w:rPr>
        <w:t>carrier.In</w:t>
      </w:r>
      <w:proofErr w:type="spellEnd"/>
      <w:proofErr w:type="gramEnd"/>
      <w:r w:rsidRPr="003C03EB">
        <w:rPr>
          <w:rFonts w:ascii="Arial" w:eastAsia="Times New Roman" w:hAnsi="Arial" w:cs="Times New Roman"/>
          <w:sz w:val="18"/>
          <w:szCs w:val="20"/>
        </w:rPr>
        <w:t xml:space="preserve"> this work, </w:t>
      </w:r>
      <w:r w:rsidR="000C7EF6">
        <w:rPr>
          <w:rFonts w:ascii="Arial" w:eastAsia="Times New Roman" w:hAnsi="Arial" w:cs="Times New Roman"/>
          <w:sz w:val="18"/>
          <w:szCs w:val="20"/>
        </w:rPr>
        <w:t xml:space="preserve">thermally pretreated agricultural biomass waste </w:t>
      </w:r>
      <w:r w:rsidRPr="003C03EB">
        <w:rPr>
          <w:rFonts w:ascii="Arial" w:eastAsia="Times New Roman" w:hAnsi="Arial" w:cs="Times New Roman"/>
          <w:sz w:val="18"/>
          <w:szCs w:val="20"/>
        </w:rPr>
        <w:t xml:space="preserve">will be investigated </w:t>
      </w:r>
      <w:proofErr w:type="gramStart"/>
      <w:r w:rsidRPr="003C03EB">
        <w:rPr>
          <w:rFonts w:ascii="Arial" w:eastAsia="Times New Roman" w:hAnsi="Arial" w:cs="Times New Roman"/>
          <w:sz w:val="18"/>
          <w:szCs w:val="20"/>
        </w:rPr>
        <w:t>in order to</w:t>
      </w:r>
      <w:proofErr w:type="gramEnd"/>
      <w:r w:rsidRPr="003C03EB">
        <w:rPr>
          <w:rFonts w:ascii="Arial" w:eastAsia="Times New Roman" w:hAnsi="Arial" w:cs="Times New Roman"/>
          <w:sz w:val="18"/>
          <w:szCs w:val="20"/>
        </w:rPr>
        <w:t xml:space="preserve"> enhance the hydrogen yield of the generated gas during gasification.</w:t>
      </w:r>
    </w:p>
    <w:p w14:paraId="49882234" w14:textId="77777777" w:rsidR="003C03EB" w:rsidRPr="003C03EB" w:rsidRDefault="003C03EB" w:rsidP="003C03EB">
      <w:pPr>
        <w:spacing w:after="0" w:line="264" w:lineRule="auto"/>
        <w:jc w:val="both"/>
        <w:rPr>
          <w:rFonts w:ascii="Arial" w:eastAsia="Times New Roman" w:hAnsi="Arial" w:cs="Times New Roman"/>
          <w:sz w:val="18"/>
          <w:szCs w:val="20"/>
        </w:rPr>
      </w:pPr>
      <w:r w:rsidRPr="003C03EB">
        <w:rPr>
          <w:rFonts w:ascii="Arial" w:eastAsia="Times New Roman" w:hAnsi="Arial" w:cs="Times New Roman"/>
          <w:b/>
          <w:bCs/>
          <w:sz w:val="18"/>
          <w:szCs w:val="20"/>
        </w:rPr>
        <w:t>Keywords</w:t>
      </w:r>
      <w:r w:rsidRPr="003C03EB">
        <w:rPr>
          <w:rFonts w:ascii="Arial" w:eastAsia="Times New Roman" w:hAnsi="Arial" w:cs="Times New Roman"/>
          <w:sz w:val="18"/>
          <w:szCs w:val="20"/>
        </w:rPr>
        <w:t>: pretreatment, biomass, hydrogen, feasibility</w:t>
      </w:r>
    </w:p>
    <w:p w14:paraId="06950C72" w14:textId="77777777" w:rsidR="003C03EB" w:rsidRPr="003C03EB" w:rsidRDefault="003C03EB" w:rsidP="003C03EB">
      <w:pPr>
        <w:keepNext/>
        <w:numPr>
          <w:ilvl w:val="1"/>
          <w:numId w:val="1"/>
        </w:numPr>
        <w:suppressAutoHyphens/>
        <w:spacing w:before="240" w:after="120" w:line="240" w:lineRule="auto"/>
        <w:rPr>
          <w:rFonts w:ascii="Arial" w:eastAsia="Times New Roman" w:hAnsi="Arial" w:cs="Times New Roman"/>
          <w:b/>
          <w:sz w:val="20"/>
          <w:szCs w:val="20"/>
        </w:rPr>
      </w:pPr>
      <w:r w:rsidRPr="003C03EB">
        <w:rPr>
          <w:rFonts w:ascii="Arial" w:eastAsia="Times New Roman" w:hAnsi="Arial" w:cs="Times New Roman"/>
          <w:b/>
          <w:sz w:val="20"/>
          <w:szCs w:val="20"/>
        </w:rPr>
        <w:t>Introduction</w:t>
      </w:r>
    </w:p>
    <w:p w14:paraId="5BF70F54" w14:textId="60376247" w:rsidR="003C03EB" w:rsidRDefault="003C03EB" w:rsidP="003C03EB">
      <w:pPr>
        <w:tabs>
          <w:tab w:val="right" w:pos="7100"/>
        </w:tabs>
        <w:spacing w:after="0" w:line="264" w:lineRule="auto"/>
        <w:jc w:val="both"/>
        <w:rPr>
          <w:rFonts w:ascii="Arial" w:eastAsia="Times New Roman" w:hAnsi="Arial" w:cs="Times New Roman"/>
          <w:sz w:val="18"/>
          <w:szCs w:val="20"/>
        </w:rPr>
      </w:pPr>
      <w:r w:rsidRPr="003C03EB">
        <w:rPr>
          <w:rFonts w:ascii="Arial" w:eastAsia="Times New Roman" w:hAnsi="Arial" w:cs="Times New Roman"/>
          <w:sz w:val="18"/>
          <w:szCs w:val="20"/>
        </w:rPr>
        <w:t>The accelerating depletion of fossil fuel reserves and the intensifying impacts of climate change have reinforced the urge</w:t>
      </w:r>
      <w:r w:rsidR="000C7EF6">
        <w:rPr>
          <w:rFonts w:ascii="Arial" w:eastAsia="Times New Roman" w:hAnsi="Arial" w:cs="Times New Roman"/>
          <w:sz w:val="18"/>
          <w:szCs w:val="20"/>
        </w:rPr>
        <w:t xml:space="preserve">ncy of transitioning toward low </w:t>
      </w:r>
      <w:r w:rsidRPr="003C03EB">
        <w:rPr>
          <w:rFonts w:ascii="Arial" w:eastAsia="Times New Roman" w:hAnsi="Arial" w:cs="Times New Roman"/>
          <w:sz w:val="18"/>
          <w:szCs w:val="20"/>
        </w:rPr>
        <w:t>carbon energy systems. Global primary energy consumption exceeded 600 EJ in 2023, with approximately 80</w:t>
      </w:r>
      <w:r w:rsidR="007A2CAB">
        <w:rPr>
          <w:rFonts w:ascii="Arial" w:eastAsia="Times New Roman" w:hAnsi="Arial" w:cs="Times New Roman"/>
          <w:sz w:val="18"/>
          <w:szCs w:val="20"/>
        </w:rPr>
        <w:t xml:space="preserve"> </w:t>
      </w:r>
      <w:r w:rsidRPr="003C03EB">
        <w:rPr>
          <w:rFonts w:ascii="Arial" w:eastAsia="Times New Roman" w:hAnsi="Arial" w:cs="Times New Roman"/>
          <w:sz w:val="18"/>
          <w:szCs w:val="20"/>
        </w:rPr>
        <w:t>% still derived from fossil resources, resulting in more than 36 Gt of CO</w:t>
      </w:r>
      <w:r w:rsidR="007A2CAB" w:rsidRPr="007A2CAB">
        <w:rPr>
          <w:rFonts w:ascii="Arial" w:eastAsia="Times New Roman" w:hAnsi="Arial" w:cs="Arial"/>
          <w:sz w:val="18"/>
          <w:szCs w:val="20"/>
          <w:vertAlign w:val="subscript"/>
        </w:rPr>
        <w:t>2</w:t>
      </w:r>
      <w:r w:rsidR="00246DB9">
        <w:rPr>
          <w:rFonts w:ascii="Arial" w:eastAsia="Times New Roman" w:hAnsi="Arial" w:cs="Times New Roman"/>
          <w:sz w:val="18"/>
          <w:szCs w:val="20"/>
        </w:rPr>
        <w:t xml:space="preserve"> emissions annually (</w:t>
      </w:r>
      <w:r w:rsidR="00246DB9" w:rsidRPr="00246DB9">
        <w:rPr>
          <w:rFonts w:ascii="Arial" w:eastAsia="Times New Roman" w:hAnsi="Arial" w:cs="Times New Roman"/>
          <w:sz w:val="18"/>
          <w:szCs w:val="20"/>
        </w:rPr>
        <w:t xml:space="preserve">Obiora </w:t>
      </w:r>
      <w:r w:rsidR="00246DB9">
        <w:rPr>
          <w:rFonts w:ascii="Arial" w:eastAsia="Times New Roman" w:hAnsi="Arial" w:cs="Times New Roman"/>
          <w:sz w:val="18"/>
          <w:szCs w:val="20"/>
        </w:rPr>
        <w:t>et al. (2024), Sunar et al. (2025))</w:t>
      </w:r>
      <w:r w:rsidRPr="003C03EB">
        <w:rPr>
          <w:rFonts w:ascii="Arial" w:eastAsia="Times New Roman" w:hAnsi="Arial" w:cs="Times New Roman"/>
          <w:sz w:val="18"/>
          <w:szCs w:val="20"/>
        </w:rPr>
        <w:t xml:space="preserve">. Hydrogen is increasingly regarded as a strategic energy carrier in </w:t>
      </w:r>
      <w:r w:rsidR="000B3AA9" w:rsidRPr="003C03EB">
        <w:rPr>
          <w:rFonts w:ascii="Arial" w:eastAsia="Times New Roman" w:hAnsi="Arial" w:cs="Times New Roman"/>
          <w:sz w:val="18"/>
          <w:szCs w:val="20"/>
        </w:rPr>
        <w:t>decarbonisation</w:t>
      </w:r>
      <w:r w:rsidRPr="003C03EB">
        <w:rPr>
          <w:rFonts w:ascii="Arial" w:eastAsia="Times New Roman" w:hAnsi="Arial" w:cs="Times New Roman"/>
          <w:sz w:val="18"/>
          <w:szCs w:val="20"/>
        </w:rPr>
        <w:t xml:space="preserve"> pathways due to its high gravimetric energy density and the absence of direct CO</w:t>
      </w:r>
      <w:r w:rsidR="007A2CAB" w:rsidRPr="007A2CAB">
        <w:rPr>
          <w:rFonts w:ascii="Arial" w:eastAsia="Times New Roman" w:hAnsi="Arial" w:cs="Arial"/>
          <w:sz w:val="18"/>
          <w:szCs w:val="20"/>
          <w:vertAlign w:val="subscript"/>
        </w:rPr>
        <w:t>2</w:t>
      </w:r>
      <w:r w:rsidR="00246DB9">
        <w:rPr>
          <w:rFonts w:ascii="Arial" w:eastAsia="Times New Roman" w:hAnsi="Arial" w:cs="Times New Roman"/>
          <w:sz w:val="18"/>
          <w:szCs w:val="20"/>
        </w:rPr>
        <w:t xml:space="preserve"> emissions during utilization (Sunar et al. (2025))</w:t>
      </w:r>
      <w:r w:rsidRPr="003C03EB">
        <w:rPr>
          <w:rFonts w:ascii="Arial" w:eastAsia="Times New Roman" w:hAnsi="Arial" w:cs="Times New Roman"/>
          <w:sz w:val="18"/>
          <w:szCs w:val="20"/>
        </w:rPr>
        <w:t>. However, more than 95</w:t>
      </w:r>
      <w:r w:rsidR="000C7EF6">
        <w:rPr>
          <w:rFonts w:ascii="Arial" w:eastAsia="Times New Roman" w:hAnsi="Arial" w:cs="Times New Roman"/>
          <w:sz w:val="18"/>
          <w:szCs w:val="20"/>
        </w:rPr>
        <w:t xml:space="preserve"> </w:t>
      </w:r>
      <w:r w:rsidRPr="003C03EB">
        <w:rPr>
          <w:rFonts w:ascii="Arial" w:eastAsia="Times New Roman" w:hAnsi="Arial" w:cs="Times New Roman"/>
          <w:sz w:val="18"/>
          <w:szCs w:val="20"/>
        </w:rPr>
        <w:t xml:space="preserve">% of global hydrogen production currently originates from </w:t>
      </w:r>
      <w:r w:rsidR="00491A58" w:rsidRPr="00491A58">
        <w:rPr>
          <w:rFonts w:ascii="Arial" w:eastAsia="Times New Roman" w:hAnsi="Arial" w:cs="Times New Roman"/>
          <w:sz w:val="18"/>
          <w:szCs w:val="20"/>
          <w:highlight w:val="yellow"/>
        </w:rPr>
        <w:t>fossil-based</w:t>
      </w:r>
      <w:r w:rsidRPr="003C03EB">
        <w:rPr>
          <w:rFonts w:ascii="Arial" w:eastAsia="Times New Roman" w:hAnsi="Arial" w:cs="Times New Roman"/>
          <w:sz w:val="18"/>
          <w:szCs w:val="20"/>
        </w:rPr>
        <w:t xml:space="preserve"> processes, primarily steam methane reforming, which emits 9</w:t>
      </w:r>
      <w:r w:rsidR="000C7EF6">
        <w:rPr>
          <w:rFonts w:ascii="Arial" w:eastAsia="Times New Roman" w:hAnsi="Arial" w:cs="Arial"/>
          <w:sz w:val="18"/>
          <w:szCs w:val="20"/>
        </w:rPr>
        <w:t>-</w:t>
      </w:r>
      <w:r w:rsidRPr="003C03EB">
        <w:rPr>
          <w:rFonts w:ascii="Arial" w:eastAsia="Times New Roman" w:hAnsi="Arial" w:cs="Times New Roman"/>
          <w:sz w:val="18"/>
          <w:szCs w:val="20"/>
        </w:rPr>
        <w:t>12 kg CO</w:t>
      </w:r>
      <w:r w:rsidR="007A2CAB" w:rsidRPr="007A2CAB">
        <w:rPr>
          <w:rFonts w:ascii="Arial" w:eastAsia="Times New Roman" w:hAnsi="Arial" w:cs="Arial"/>
          <w:sz w:val="18"/>
          <w:szCs w:val="20"/>
          <w:vertAlign w:val="subscript"/>
        </w:rPr>
        <w:t>2</w:t>
      </w:r>
      <w:r w:rsidRPr="003C03EB">
        <w:rPr>
          <w:rFonts w:ascii="Arial" w:eastAsia="Times New Roman" w:hAnsi="Arial" w:cs="Times New Roman"/>
          <w:sz w:val="18"/>
          <w:szCs w:val="20"/>
        </w:rPr>
        <w:t xml:space="preserve"> per kg H</w:t>
      </w:r>
      <w:r w:rsidR="007A2CAB" w:rsidRPr="007A2CAB">
        <w:rPr>
          <w:rFonts w:ascii="Arial" w:eastAsia="Times New Roman" w:hAnsi="Arial" w:cs="Arial"/>
          <w:sz w:val="18"/>
          <w:szCs w:val="20"/>
          <w:vertAlign w:val="subscript"/>
        </w:rPr>
        <w:t>2</w:t>
      </w:r>
      <w:r w:rsidR="00C13EAD">
        <w:rPr>
          <w:rFonts w:ascii="Arial" w:eastAsia="Times New Roman" w:hAnsi="Arial" w:cs="Times New Roman"/>
          <w:sz w:val="18"/>
          <w:szCs w:val="20"/>
        </w:rPr>
        <w:t xml:space="preserve"> produced (A. Tursi (2019))</w:t>
      </w:r>
      <w:r w:rsidRPr="003C03EB">
        <w:rPr>
          <w:rFonts w:ascii="Arial" w:eastAsia="Times New Roman" w:hAnsi="Arial" w:cs="Times New Roman"/>
          <w:sz w:val="18"/>
          <w:szCs w:val="20"/>
        </w:rPr>
        <w:t>. Therefore, renewable hydrogen production routes, particularly those based on biomass, are gaining increasing scientific and industrial attention.</w:t>
      </w:r>
      <w:r w:rsidR="009B1363">
        <w:rPr>
          <w:rFonts w:ascii="Arial" w:eastAsia="Times New Roman" w:hAnsi="Arial" w:cs="Times New Roman"/>
          <w:sz w:val="18"/>
          <w:szCs w:val="20"/>
        </w:rPr>
        <w:t xml:space="preserve"> B</w:t>
      </w:r>
      <w:r w:rsidRPr="003C03EB">
        <w:rPr>
          <w:rFonts w:ascii="Arial" w:eastAsia="Times New Roman" w:hAnsi="Arial" w:cs="Times New Roman"/>
          <w:sz w:val="18"/>
          <w:szCs w:val="20"/>
        </w:rPr>
        <w:t>iomass repre</w:t>
      </w:r>
      <w:r w:rsidR="00811786" w:rsidRPr="00811786">
        <w:rPr>
          <w:rFonts w:ascii="Arial" w:eastAsia="Times New Roman" w:hAnsi="Arial" w:cs="Times New Roman"/>
          <w:sz w:val="18"/>
          <w:szCs w:val="20"/>
        </w:rPr>
        <w:t xml:space="preserve">sents the only renewable carbon </w:t>
      </w:r>
      <w:r w:rsidRPr="003C03EB">
        <w:rPr>
          <w:rFonts w:ascii="Arial" w:eastAsia="Times New Roman" w:hAnsi="Arial" w:cs="Times New Roman"/>
          <w:sz w:val="18"/>
          <w:szCs w:val="20"/>
        </w:rPr>
        <w:t>containing energy resource capable of producing hydrogen through both thermochemical and biochemical pathways. Global sustainable biomass availability is estimated at 100</w:t>
      </w:r>
      <w:r w:rsidR="00811786" w:rsidRPr="00811786">
        <w:rPr>
          <w:rFonts w:ascii="Arial" w:eastAsia="Times New Roman" w:hAnsi="Arial" w:cs="Times New Roman"/>
          <w:sz w:val="18"/>
          <w:szCs w:val="20"/>
        </w:rPr>
        <w:t>-</w:t>
      </w:r>
      <w:r w:rsidRPr="003C03EB">
        <w:rPr>
          <w:rFonts w:ascii="Arial" w:eastAsia="Times New Roman" w:hAnsi="Arial" w:cs="Times New Roman"/>
          <w:sz w:val="18"/>
          <w:szCs w:val="20"/>
        </w:rPr>
        <w:t>150 EJ annually, with agricultural residues accounting for nearly 40</w:t>
      </w:r>
      <w:r w:rsidR="00C01E6B">
        <w:rPr>
          <w:rFonts w:ascii="Arial" w:eastAsia="Times New Roman" w:hAnsi="Arial" w:cs="Times New Roman"/>
          <w:sz w:val="18"/>
          <w:szCs w:val="20"/>
        </w:rPr>
        <w:t>-</w:t>
      </w:r>
      <w:r w:rsidRPr="003C03EB">
        <w:rPr>
          <w:rFonts w:ascii="Arial" w:eastAsia="Times New Roman" w:hAnsi="Arial" w:cs="Times New Roman"/>
          <w:sz w:val="18"/>
          <w:szCs w:val="20"/>
        </w:rPr>
        <w:t>50</w:t>
      </w:r>
      <w:r w:rsidR="00811786" w:rsidRPr="00811786">
        <w:rPr>
          <w:rFonts w:ascii="Arial" w:eastAsia="Times New Roman" w:hAnsi="Arial" w:cs="Times New Roman"/>
          <w:sz w:val="18"/>
          <w:szCs w:val="20"/>
        </w:rPr>
        <w:t xml:space="preserve"> </w:t>
      </w:r>
      <w:r w:rsidRPr="003C03EB">
        <w:rPr>
          <w:rFonts w:ascii="Arial" w:eastAsia="Times New Roman" w:hAnsi="Arial" w:cs="Times New Roman"/>
          <w:sz w:val="18"/>
          <w:szCs w:val="20"/>
        </w:rPr>
        <w:t xml:space="preserve">% of this potential </w:t>
      </w:r>
      <w:r w:rsidR="00C13EAD">
        <w:rPr>
          <w:rFonts w:ascii="Arial" w:eastAsia="Times New Roman" w:hAnsi="Arial" w:cs="Times New Roman"/>
          <w:sz w:val="18"/>
          <w:szCs w:val="20"/>
        </w:rPr>
        <w:t>(A. Tursi (2019))</w:t>
      </w:r>
      <w:r w:rsidRPr="003C03EB">
        <w:rPr>
          <w:rFonts w:ascii="Arial" w:eastAsia="Times New Roman" w:hAnsi="Arial" w:cs="Times New Roman"/>
          <w:sz w:val="18"/>
          <w:szCs w:val="20"/>
        </w:rPr>
        <w:t>. Crop residues such as wheat straw, rice husk, corn stover, and sugarcane bagasse are gene</w:t>
      </w:r>
      <w:r w:rsidR="00811786" w:rsidRPr="00811786">
        <w:rPr>
          <w:rFonts w:ascii="Arial" w:eastAsia="Times New Roman" w:hAnsi="Arial" w:cs="Times New Roman"/>
          <w:sz w:val="18"/>
          <w:szCs w:val="20"/>
        </w:rPr>
        <w:t>rated in quantities exceeding 3-</w:t>
      </w:r>
      <w:r w:rsidRPr="003C03EB">
        <w:rPr>
          <w:rFonts w:ascii="Arial" w:eastAsia="Times New Roman" w:hAnsi="Arial" w:cs="Times New Roman"/>
          <w:sz w:val="18"/>
          <w:szCs w:val="20"/>
        </w:rPr>
        <w:t>4 bil</w:t>
      </w:r>
      <w:r w:rsidR="00C13EAD">
        <w:rPr>
          <w:rFonts w:ascii="Arial" w:eastAsia="Times New Roman" w:hAnsi="Arial" w:cs="Times New Roman"/>
          <w:sz w:val="18"/>
          <w:szCs w:val="20"/>
        </w:rPr>
        <w:t>lion tonnes per year worldwide (A. Tursi (2019))</w:t>
      </w:r>
      <w:r w:rsidRPr="003C03EB">
        <w:rPr>
          <w:rFonts w:ascii="Arial" w:eastAsia="Times New Roman" w:hAnsi="Arial" w:cs="Times New Roman"/>
          <w:sz w:val="18"/>
          <w:szCs w:val="20"/>
        </w:rPr>
        <w:t>. These lignocellulosic materials are attractive feedstocks because they do not compete directly with food production and are widely distributed geographically. Agricultural biomass is prim</w:t>
      </w:r>
      <w:r w:rsidR="00811786" w:rsidRPr="00811786">
        <w:rPr>
          <w:rFonts w:ascii="Arial" w:eastAsia="Times New Roman" w:hAnsi="Arial" w:cs="Times New Roman"/>
          <w:sz w:val="18"/>
          <w:szCs w:val="20"/>
        </w:rPr>
        <w:t xml:space="preserve">arily composed of cellulose (35-45 </w:t>
      </w:r>
      <w:proofErr w:type="spellStart"/>
      <w:r w:rsidR="00811786" w:rsidRPr="00811786">
        <w:rPr>
          <w:rFonts w:ascii="Arial" w:eastAsia="Times New Roman" w:hAnsi="Arial" w:cs="Times New Roman"/>
          <w:sz w:val="18"/>
          <w:szCs w:val="20"/>
        </w:rPr>
        <w:t>wt</w:t>
      </w:r>
      <w:proofErr w:type="spellEnd"/>
      <w:r w:rsidR="00811786" w:rsidRPr="00811786">
        <w:rPr>
          <w:rFonts w:ascii="Arial" w:eastAsia="Times New Roman" w:hAnsi="Arial" w:cs="Times New Roman"/>
          <w:sz w:val="18"/>
          <w:szCs w:val="20"/>
        </w:rPr>
        <w:t>%), hemicellulose (20-</w:t>
      </w:r>
      <w:r w:rsidRPr="003C03EB">
        <w:rPr>
          <w:rFonts w:ascii="Arial" w:eastAsia="Times New Roman" w:hAnsi="Arial" w:cs="Times New Roman"/>
          <w:sz w:val="18"/>
          <w:szCs w:val="20"/>
        </w:rPr>
        <w:t xml:space="preserve">30 </w:t>
      </w:r>
      <w:proofErr w:type="spellStart"/>
      <w:r w:rsidRPr="003C03EB">
        <w:rPr>
          <w:rFonts w:ascii="Arial" w:eastAsia="Times New Roman" w:hAnsi="Arial" w:cs="Times New Roman"/>
          <w:sz w:val="18"/>
          <w:szCs w:val="20"/>
        </w:rPr>
        <w:t>wt</w:t>
      </w:r>
      <w:proofErr w:type="spellEnd"/>
      <w:r w:rsidRPr="003C03EB">
        <w:rPr>
          <w:rFonts w:ascii="Arial" w:eastAsia="Times New Roman" w:hAnsi="Arial" w:cs="Times New Roman"/>
          <w:sz w:val="18"/>
          <w:szCs w:val="20"/>
        </w:rPr>
        <w:t>%), and lignin (15</w:t>
      </w:r>
      <w:r w:rsidR="00811786" w:rsidRPr="00811786">
        <w:rPr>
          <w:rFonts w:ascii="Arial" w:eastAsia="Times New Roman" w:hAnsi="Arial" w:cs="Times New Roman"/>
          <w:sz w:val="18"/>
          <w:szCs w:val="20"/>
        </w:rPr>
        <w:t>-</w:t>
      </w:r>
      <w:r w:rsidRPr="003C03EB">
        <w:rPr>
          <w:rFonts w:ascii="Arial" w:eastAsia="Times New Roman" w:hAnsi="Arial" w:cs="Times New Roman"/>
          <w:sz w:val="18"/>
          <w:szCs w:val="20"/>
        </w:rPr>
        <w:t xml:space="preserve">25 </w:t>
      </w:r>
      <w:proofErr w:type="spellStart"/>
      <w:r w:rsidRPr="003C03EB">
        <w:rPr>
          <w:rFonts w:ascii="Arial" w:eastAsia="Times New Roman" w:hAnsi="Arial" w:cs="Times New Roman"/>
          <w:sz w:val="18"/>
          <w:szCs w:val="20"/>
        </w:rPr>
        <w:t>wt</w:t>
      </w:r>
      <w:proofErr w:type="spellEnd"/>
      <w:r w:rsidRPr="003C03EB">
        <w:rPr>
          <w:rFonts w:ascii="Arial" w:eastAsia="Times New Roman" w:hAnsi="Arial" w:cs="Times New Roman"/>
          <w:sz w:val="18"/>
          <w:szCs w:val="20"/>
        </w:rPr>
        <w:t>%), a</w:t>
      </w:r>
      <w:r w:rsidR="00C13EAD">
        <w:rPr>
          <w:rFonts w:ascii="Arial" w:eastAsia="Times New Roman" w:hAnsi="Arial" w:cs="Times New Roman"/>
          <w:sz w:val="18"/>
          <w:szCs w:val="20"/>
        </w:rPr>
        <w:t>long with ash and extractives (</w:t>
      </w:r>
      <w:proofErr w:type="spellStart"/>
      <w:r w:rsidR="00C13EAD">
        <w:rPr>
          <w:rFonts w:ascii="Arial" w:eastAsia="Times New Roman" w:hAnsi="Arial" w:cs="Times New Roman"/>
          <w:sz w:val="18"/>
          <w:szCs w:val="20"/>
        </w:rPr>
        <w:t>Shafaghat</w:t>
      </w:r>
      <w:proofErr w:type="spellEnd"/>
      <w:r w:rsidR="00C13EAD">
        <w:rPr>
          <w:rFonts w:ascii="Arial" w:eastAsia="Times New Roman" w:hAnsi="Arial" w:cs="Times New Roman"/>
          <w:sz w:val="18"/>
          <w:szCs w:val="20"/>
        </w:rPr>
        <w:t xml:space="preserve"> et al. (2017))</w:t>
      </w:r>
      <w:r w:rsidRPr="003C03EB">
        <w:rPr>
          <w:rFonts w:ascii="Arial" w:eastAsia="Times New Roman" w:hAnsi="Arial" w:cs="Times New Roman"/>
          <w:sz w:val="18"/>
          <w:szCs w:val="20"/>
        </w:rPr>
        <w:t>. The high oxygen content (40</w:t>
      </w:r>
      <w:r w:rsidR="00811786" w:rsidRPr="00811786">
        <w:rPr>
          <w:rFonts w:ascii="Arial" w:eastAsia="Times New Roman" w:hAnsi="Arial" w:cs="Times New Roman"/>
          <w:sz w:val="18"/>
          <w:szCs w:val="20"/>
        </w:rPr>
        <w:t>-</w:t>
      </w:r>
      <w:r w:rsidRPr="003C03EB">
        <w:rPr>
          <w:rFonts w:ascii="Arial" w:eastAsia="Times New Roman" w:hAnsi="Arial" w:cs="Times New Roman"/>
          <w:sz w:val="18"/>
          <w:szCs w:val="20"/>
        </w:rPr>
        <w:t xml:space="preserve">50 </w:t>
      </w:r>
      <w:proofErr w:type="spellStart"/>
      <w:r w:rsidRPr="003C03EB">
        <w:rPr>
          <w:rFonts w:ascii="Arial" w:eastAsia="Times New Roman" w:hAnsi="Arial" w:cs="Times New Roman"/>
          <w:sz w:val="18"/>
          <w:szCs w:val="20"/>
        </w:rPr>
        <w:t>wt</w:t>
      </w:r>
      <w:proofErr w:type="spellEnd"/>
      <w:r w:rsidRPr="003C03EB">
        <w:rPr>
          <w:rFonts w:ascii="Arial" w:eastAsia="Times New Roman" w:hAnsi="Arial" w:cs="Times New Roman"/>
          <w:sz w:val="18"/>
          <w:szCs w:val="20"/>
        </w:rPr>
        <w:t>%) and moisture levels (10</w:t>
      </w:r>
      <w:r w:rsidR="00811786" w:rsidRPr="00811786">
        <w:rPr>
          <w:rFonts w:ascii="Arial" w:eastAsia="Times New Roman" w:hAnsi="Arial" w:cs="Times New Roman"/>
          <w:sz w:val="18"/>
          <w:szCs w:val="20"/>
        </w:rPr>
        <w:t>-</w:t>
      </w:r>
      <w:r w:rsidRPr="003C03EB">
        <w:rPr>
          <w:rFonts w:ascii="Arial" w:eastAsia="Times New Roman" w:hAnsi="Arial" w:cs="Times New Roman"/>
          <w:sz w:val="18"/>
          <w:szCs w:val="20"/>
        </w:rPr>
        <w:t xml:space="preserve">60 </w:t>
      </w:r>
      <w:proofErr w:type="spellStart"/>
      <w:r w:rsidRPr="003C03EB">
        <w:rPr>
          <w:rFonts w:ascii="Arial" w:eastAsia="Times New Roman" w:hAnsi="Arial" w:cs="Times New Roman"/>
          <w:sz w:val="18"/>
          <w:szCs w:val="20"/>
        </w:rPr>
        <w:t>wt</w:t>
      </w:r>
      <w:proofErr w:type="spellEnd"/>
      <w:r w:rsidRPr="003C03EB">
        <w:rPr>
          <w:rFonts w:ascii="Arial" w:eastAsia="Times New Roman" w:hAnsi="Arial" w:cs="Times New Roman"/>
          <w:sz w:val="18"/>
          <w:szCs w:val="20"/>
        </w:rPr>
        <w:t>%) reduc</w:t>
      </w:r>
      <w:r w:rsidR="00811786" w:rsidRPr="00811786">
        <w:rPr>
          <w:rFonts w:ascii="Arial" w:eastAsia="Times New Roman" w:hAnsi="Arial" w:cs="Times New Roman"/>
          <w:sz w:val="18"/>
          <w:szCs w:val="20"/>
        </w:rPr>
        <w:t>e calorific value (typically 14-</w:t>
      </w:r>
      <w:r w:rsidRPr="003C03EB">
        <w:rPr>
          <w:rFonts w:ascii="Arial" w:eastAsia="Times New Roman" w:hAnsi="Arial" w:cs="Times New Roman"/>
          <w:sz w:val="18"/>
          <w:szCs w:val="20"/>
        </w:rPr>
        <w:t>19 MJ kg</w:t>
      </w:r>
      <w:r w:rsidR="007A2CAB" w:rsidRPr="007A2CAB">
        <w:rPr>
          <w:rFonts w:ascii="Arial" w:eastAsia="Times New Roman" w:hAnsi="Arial" w:cs="Arial"/>
          <w:sz w:val="18"/>
          <w:szCs w:val="20"/>
          <w:vertAlign w:val="superscript"/>
        </w:rPr>
        <w:t>-1</w:t>
      </w:r>
      <w:r w:rsidRPr="003C03EB">
        <w:rPr>
          <w:rFonts w:ascii="Arial" w:eastAsia="Times New Roman" w:hAnsi="Arial" w:cs="Times New Roman"/>
          <w:sz w:val="18"/>
          <w:szCs w:val="20"/>
        </w:rPr>
        <w:t>) and promote the formation of tar and oxygenated intermediates during th</w:t>
      </w:r>
      <w:r w:rsidR="00C13EAD">
        <w:rPr>
          <w:rFonts w:ascii="Arial" w:eastAsia="Times New Roman" w:hAnsi="Arial" w:cs="Times New Roman"/>
          <w:sz w:val="18"/>
          <w:szCs w:val="20"/>
        </w:rPr>
        <w:t>ermochemical processing (A. Tursi (2019))</w:t>
      </w:r>
      <w:r w:rsidRPr="003C03EB">
        <w:rPr>
          <w:rFonts w:ascii="Arial" w:eastAsia="Times New Roman" w:hAnsi="Arial" w:cs="Times New Roman"/>
          <w:sz w:val="18"/>
          <w:szCs w:val="20"/>
        </w:rPr>
        <w:t>. These structural characteristics result in lower hydrogen selectivity and increased formation of undesired by-products such as CO</w:t>
      </w:r>
      <w:r w:rsidR="007A2CAB" w:rsidRPr="007A2CAB">
        <w:rPr>
          <w:rFonts w:ascii="Arial" w:eastAsia="Times New Roman" w:hAnsi="Arial" w:cs="Arial"/>
          <w:sz w:val="18"/>
          <w:szCs w:val="20"/>
          <w:vertAlign w:val="subscript"/>
        </w:rPr>
        <w:t>2</w:t>
      </w:r>
      <w:r w:rsidRPr="003C03EB">
        <w:rPr>
          <w:rFonts w:ascii="Arial" w:eastAsia="Times New Roman" w:hAnsi="Arial" w:cs="Times New Roman"/>
          <w:sz w:val="18"/>
          <w:szCs w:val="20"/>
        </w:rPr>
        <w:t xml:space="preserve"> and condensable tars </w:t>
      </w:r>
      <w:r w:rsidRPr="003C03EB">
        <w:rPr>
          <w:rFonts w:ascii="Arial" w:eastAsia="Times New Roman" w:hAnsi="Arial" w:cs="Times New Roman"/>
          <w:sz w:val="18"/>
          <w:szCs w:val="20"/>
        </w:rPr>
        <w:lastRenderedPageBreak/>
        <w:t>du</w:t>
      </w:r>
      <w:r w:rsidR="00F63AF6">
        <w:rPr>
          <w:rFonts w:ascii="Arial" w:eastAsia="Times New Roman" w:hAnsi="Arial" w:cs="Times New Roman"/>
          <w:sz w:val="18"/>
          <w:szCs w:val="20"/>
        </w:rPr>
        <w:t>ring gasification or pyrolysis (Shah et al. (2022); Singh et al. (2023))</w:t>
      </w:r>
      <w:r w:rsidRPr="003C03EB">
        <w:rPr>
          <w:rFonts w:ascii="Arial" w:eastAsia="Times New Roman" w:hAnsi="Arial" w:cs="Times New Roman"/>
          <w:sz w:val="18"/>
          <w:szCs w:val="20"/>
        </w:rPr>
        <w:t>. Consequently, effective biomass pretreatment is essential to improve carbon accessibility, enhance reactivity, and maximize hydrogen yield.</w:t>
      </w:r>
      <w:r w:rsidR="00BB3908">
        <w:rPr>
          <w:rFonts w:ascii="Arial" w:eastAsia="Times New Roman" w:hAnsi="Arial" w:cs="Times New Roman"/>
          <w:sz w:val="18"/>
          <w:szCs w:val="20"/>
        </w:rPr>
        <w:t xml:space="preserve"> </w:t>
      </w:r>
      <w:r w:rsidRPr="003C03EB">
        <w:rPr>
          <w:rFonts w:ascii="Arial" w:eastAsia="Times New Roman" w:hAnsi="Arial" w:cs="Times New Roman"/>
          <w:sz w:val="18"/>
          <w:szCs w:val="20"/>
        </w:rPr>
        <w:t>Pretreatment strategies aim to modify the structural and chemical composition of biomass prior to conversion. Thermal pretreatment methods such as torrefaction (200</w:t>
      </w:r>
      <w:r w:rsidR="00811786" w:rsidRPr="00811786">
        <w:rPr>
          <w:rFonts w:ascii="Arial" w:eastAsia="Times New Roman" w:hAnsi="Arial" w:cs="Times New Roman"/>
          <w:sz w:val="18"/>
          <w:szCs w:val="20"/>
        </w:rPr>
        <w:t>-</w:t>
      </w:r>
      <w:r w:rsidR="00F63AF6">
        <w:rPr>
          <w:rFonts w:ascii="Arial" w:eastAsia="Times New Roman" w:hAnsi="Arial" w:cs="Times New Roman"/>
          <w:sz w:val="18"/>
          <w:szCs w:val="20"/>
        </w:rPr>
        <w:t>300</w:t>
      </w:r>
      <w:r w:rsidRPr="003C03EB">
        <w:rPr>
          <w:rFonts w:ascii="Arial" w:eastAsia="Times New Roman" w:hAnsi="Arial" w:cs="Times New Roman"/>
          <w:sz w:val="18"/>
          <w:szCs w:val="20"/>
        </w:rPr>
        <w:t xml:space="preserve">°C) reduce oxygen content through dehydration and decarboxylation reactions, increasing carbon concentration and improving grindability and hydrophobicity </w:t>
      </w:r>
      <w:r w:rsidR="00F63AF6">
        <w:rPr>
          <w:rFonts w:ascii="Arial" w:eastAsia="Times New Roman" w:hAnsi="Arial" w:cs="Times New Roman"/>
          <w:sz w:val="18"/>
          <w:szCs w:val="20"/>
        </w:rPr>
        <w:t>(Chen et al. (2021)).</w:t>
      </w:r>
      <w:r w:rsidRPr="003C03EB">
        <w:rPr>
          <w:rFonts w:ascii="Arial" w:eastAsia="Times New Roman" w:hAnsi="Arial" w:cs="Times New Roman"/>
          <w:sz w:val="18"/>
          <w:szCs w:val="20"/>
        </w:rPr>
        <w:t xml:space="preserve"> Torrefied biomass typically exhibits an O/C ratio reduction of 20</w:t>
      </w:r>
      <w:r w:rsidR="00811786" w:rsidRPr="00811786">
        <w:rPr>
          <w:rFonts w:ascii="Arial" w:eastAsia="Times New Roman" w:hAnsi="Arial" w:cs="Times New Roman"/>
          <w:sz w:val="18"/>
          <w:szCs w:val="20"/>
        </w:rPr>
        <w:t>-</w:t>
      </w:r>
      <w:r w:rsidRPr="003C03EB">
        <w:rPr>
          <w:rFonts w:ascii="Arial" w:eastAsia="Times New Roman" w:hAnsi="Arial" w:cs="Times New Roman"/>
          <w:sz w:val="18"/>
          <w:szCs w:val="20"/>
        </w:rPr>
        <w:t>40</w:t>
      </w:r>
      <w:r w:rsidR="007A2CAB">
        <w:rPr>
          <w:rFonts w:ascii="Arial" w:eastAsia="Times New Roman" w:hAnsi="Arial" w:cs="Times New Roman"/>
          <w:sz w:val="18"/>
          <w:szCs w:val="20"/>
        </w:rPr>
        <w:t xml:space="preserve"> </w:t>
      </w:r>
      <w:r w:rsidRPr="003C03EB">
        <w:rPr>
          <w:rFonts w:ascii="Arial" w:eastAsia="Times New Roman" w:hAnsi="Arial" w:cs="Times New Roman"/>
          <w:sz w:val="18"/>
          <w:szCs w:val="20"/>
        </w:rPr>
        <w:t>% and</w:t>
      </w:r>
      <w:r w:rsidR="00811786" w:rsidRPr="00811786">
        <w:rPr>
          <w:rFonts w:ascii="Arial" w:eastAsia="Times New Roman" w:hAnsi="Arial" w:cs="Times New Roman"/>
          <w:sz w:val="18"/>
          <w:szCs w:val="20"/>
        </w:rPr>
        <w:t xml:space="preserve"> an energy densification of 1.2-</w:t>
      </w:r>
      <w:r w:rsidR="00F63AF6">
        <w:rPr>
          <w:rFonts w:ascii="Arial" w:eastAsia="Times New Roman" w:hAnsi="Arial" w:cs="Times New Roman"/>
          <w:sz w:val="18"/>
          <w:szCs w:val="20"/>
        </w:rPr>
        <w:t xml:space="preserve">1.4 compared to raw biomass (Ramos et al. </w:t>
      </w:r>
      <w:r w:rsidR="00C13EAD">
        <w:rPr>
          <w:rFonts w:ascii="Arial" w:eastAsia="Times New Roman" w:hAnsi="Arial" w:cs="Times New Roman"/>
          <w:sz w:val="18"/>
          <w:szCs w:val="20"/>
        </w:rPr>
        <w:t>(2022)</w:t>
      </w:r>
      <w:r w:rsidR="00F63AF6">
        <w:rPr>
          <w:rFonts w:ascii="Arial" w:eastAsia="Times New Roman" w:hAnsi="Arial" w:cs="Times New Roman"/>
          <w:sz w:val="18"/>
          <w:szCs w:val="20"/>
        </w:rPr>
        <w:t>)</w:t>
      </w:r>
      <w:r w:rsidRPr="003C03EB">
        <w:rPr>
          <w:rFonts w:ascii="Arial" w:eastAsia="Times New Roman" w:hAnsi="Arial" w:cs="Times New Roman"/>
          <w:sz w:val="18"/>
          <w:szCs w:val="20"/>
        </w:rPr>
        <w:t>. Such changes promote higher hydrogen concentrations during steam gasification due to improved char reactivity and reduced tar formation.</w:t>
      </w:r>
      <w:r w:rsidR="00BB3908">
        <w:rPr>
          <w:rFonts w:ascii="Arial" w:eastAsia="Times New Roman" w:hAnsi="Arial" w:cs="Times New Roman"/>
          <w:sz w:val="18"/>
          <w:szCs w:val="20"/>
        </w:rPr>
        <w:t xml:space="preserve"> </w:t>
      </w:r>
      <w:r w:rsidRPr="003C03EB">
        <w:rPr>
          <w:rFonts w:ascii="Arial" w:eastAsia="Times New Roman" w:hAnsi="Arial" w:cs="Times New Roman"/>
          <w:sz w:val="18"/>
          <w:szCs w:val="20"/>
        </w:rPr>
        <w:t>Chemical pretreatments, including alkali leaching and acid washing, remove al</w:t>
      </w:r>
      <w:r w:rsidR="00811786" w:rsidRPr="00811786">
        <w:rPr>
          <w:rFonts w:ascii="Arial" w:eastAsia="Times New Roman" w:hAnsi="Arial" w:cs="Times New Roman"/>
          <w:sz w:val="18"/>
          <w:szCs w:val="20"/>
        </w:rPr>
        <w:t>kali and alkaline earth metals</w:t>
      </w:r>
      <w:r w:rsidRPr="003C03EB">
        <w:rPr>
          <w:rFonts w:ascii="Arial" w:eastAsia="Times New Roman" w:hAnsi="Arial" w:cs="Times New Roman"/>
          <w:sz w:val="18"/>
          <w:szCs w:val="20"/>
        </w:rPr>
        <w:t xml:space="preserve">, which influence catalytic gasification </w:t>
      </w:r>
      <w:r w:rsidR="000B3AA9" w:rsidRPr="003C03EB">
        <w:rPr>
          <w:rFonts w:ascii="Arial" w:eastAsia="Times New Roman" w:hAnsi="Arial" w:cs="Times New Roman"/>
          <w:sz w:val="18"/>
          <w:szCs w:val="20"/>
        </w:rPr>
        <w:t>behaviour</w:t>
      </w:r>
      <w:r w:rsidR="00D127B2">
        <w:rPr>
          <w:rFonts w:ascii="Arial" w:eastAsia="Times New Roman" w:hAnsi="Arial" w:cs="Times New Roman"/>
          <w:sz w:val="18"/>
          <w:szCs w:val="20"/>
        </w:rPr>
        <w:t xml:space="preserve"> and ash-related issues (Zhang et al. (2025))</w:t>
      </w:r>
      <w:r w:rsidRPr="003C03EB">
        <w:rPr>
          <w:rFonts w:ascii="Arial" w:eastAsia="Times New Roman" w:hAnsi="Arial" w:cs="Times New Roman"/>
          <w:sz w:val="18"/>
          <w:szCs w:val="20"/>
        </w:rPr>
        <w:t xml:space="preserve">. </w:t>
      </w:r>
      <w:proofErr w:type="spellStart"/>
      <w:r w:rsidRPr="003C03EB">
        <w:rPr>
          <w:rFonts w:ascii="Arial" w:eastAsia="Times New Roman" w:hAnsi="Arial" w:cs="Times New Roman"/>
          <w:sz w:val="18"/>
          <w:szCs w:val="20"/>
        </w:rPr>
        <w:t>Physico</w:t>
      </w:r>
      <w:proofErr w:type="spellEnd"/>
      <w:r w:rsidRPr="003C03EB">
        <w:rPr>
          <w:rFonts w:ascii="Arial" w:eastAsia="Times New Roman" w:hAnsi="Arial" w:cs="Times New Roman"/>
          <w:sz w:val="18"/>
          <w:szCs w:val="20"/>
        </w:rPr>
        <w:t xml:space="preserve">-chemical treatments, such as steam explosion and ammonia </w:t>
      </w:r>
      <w:r w:rsidR="000B3AA9" w:rsidRPr="00811786">
        <w:rPr>
          <w:rFonts w:ascii="Arial" w:eastAsia="Times New Roman" w:hAnsi="Arial" w:cs="Times New Roman"/>
          <w:sz w:val="18"/>
          <w:szCs w:val="20"/>
        </w:rPr>
        <w:t>fibre</w:t>
      </w:r>
      <w:r w:rsidR="00811786" w:rsidRPr="00811786">
        <w:rPr>
          <w:rFonts w:ascii="Arial" w:eastAsia="Times New Roman" w:hAnsi="Arial" w:cs="Times New Roman"/>
          <w:sz w:val="18"/>
          <w:szCs w:val="20"/>
        </w:rPr>
        <w:t xml:space="preserve"> expansion, disrupt lignin-</w:t>
      </w:r>
      <w:r w:rsidRPr="003C03EB">
        <w:rPr>
          <w:rFonts w:ascii="Arial" w:eastAsia="Times New Roman" w:hAnsi="Arial" w:cs="Times New Roman"/>
          <w:sz w:val="18"/>
          <w:szCs w:val="20"/>
        </w:rPr>
        <w:t>carbohydrate complexes and enhance porosity, thereby in</w:t>
      </w:r>
      <w:r w:rsidR="00D127B2">
        <w:rPr>
          <w:rFonts w:ascii="Arial" w:eastAsia="Times New Roman" w:hAnsi="Arial" w:cs="Times New Roman"/>
          <w:sz w:val="18"/>
          <w:szCs w:val="20"/>
        </w:rPr>
        <w:t>creasing reaction surface area (Zhang et al. (2025))</w:t>
      </w:r>
      <w:r w:rsidRPr="003C03EB">
        <w:rPr>
          <w:rFonts w:ascii="Arial" w:eastAsia="Times New Roman" w:hAnsi="Arial" w:cs="Times New Roman"/>
          <w:sz w:val="18"/>
          <w:szCs w:val="20"/>
        </w:rPr>
        <w:t xml:space="preserve">. Biological pretreatments, although environmentally benign, are typically limited by slow reaction </w:t>
      </w:r>
      <w:r w:rsidR="00D127B2">
        <w:rPr>
          <w:rFonts w:ascii="Arial" w:eastAsia="Times New Roman" w:hAnsi="Arial" w:cs="Times New Roman"/>
          <w:sz w:val="18"/>
          <w:szCs w:val="20"/>
        </w:rPr>
        <w:t>kinetics and lower scalability (Zhang et al. (2025))</w:t>
      </w:r>
      <w:r w:rsidRPr="003C03EB">
        <w:rPr>
          <w:rFonts w:ascii="Arial" w:eastAsia="Times New Roman" w:hAnsi="Arial" w:cs="Times New Roman"/>
          <w:sz w:val="18"/>
          <w:szCs w:val="20"/>
        </w:rPr>
        <w:t>.</w:t>
      </w:r>
      <w:r w:rsidR="009B1363">
        <w:rPr>
          <w:rFonts w:ascii="Arial" w:eastAsia="Times New Roman" w:hAnsi="Arial" w:cs="Times New Roman"/>
          <w:sz w:val="18"/>
          <w:szCs w:val="20"/>
        </w:rPr>
        <w:t xml:space="preserve"> </w:t>
      </w:r>
      <w:r w:rsidRPr="003C03EB">
        <w:rPr>
          <w:rFonts w:ascii="Arial" w:eastAsia="Times New Roman" w:hAnsi="Arial" w:cs="Times New Roman"/>
          <w:sz w:val="18"/>
          <w:szCs w:val="20"/>
        </w:rPr>
        <w:t xml:space="preserve">Beyond direct biomass modification, increasing attention has been devoted to the use of biochar as a functional additive and catalytic medium in </w:t>
      </w:r>
      <w:r w:rsidR="00491A58" w:rsidRPr="003C03EB">
        <w:rPr>
          <w:rFonts w:ascii="Arial" w:eastAsia="Times New Roman" w:hAnsi="Arial" w:cs="Times New Roman"/>
          <w:sz w:val="18"/>
          <w:szCs w:val="20"/>
        </w:rPr>
        <w:t>hydrogen</w:t>
      </w:r>
      <w:r w:rsidR="00491A58" w:rsidRPr="00811786">
        <w:rPr>
          <w:rFonts w:ascii="Arial" w:eastAsia="Times New Roman" w:hAnsi="Arial" w:cs="Times New Roman"/>
          <w:sz w:val="18"/>
          <w:szCs w:val="20"/>
        </w:rPr>
        <w:t>-oriented</w:t>
      </w:r>
      <w:r w:rsidRPr="003C03EB">
        <w:rPr>
          <w:rFonts w:ascii="Arial" w:eastAsia="Times New Roman" w:hAnsi="Arial" w:cs="Times New Roman"/>
          <w:sz w:val="18"/>
          <w:szCs w:val="20"/>
        </w:rPr>
        <w:t xml:space="preserve"> gasification systems. Biochar is produced via pyrolysis</w:t>
      </w:r>
      <w:r w:rsidR="00811786" w:rsidRPr="00811786">
        <w:rPr>
          <w:rFonts w:ascii="Arial" w:eastAsia="Times New Roman" w:hAnsi="Arial" w:cs="Times New Roman"/>
          <w:sz w:val="18"/>
          <w:szCs w:val="20"/>
        </w:rPr>
        <w:t xml:space="preserve"> or gasification </w:t>
      </w:r>
      <w:r w:rsidRPr="003C03EB">
        <w:rPr>
          <w:rFonts w:ascii="Arial" w:eastAsia="Times New Roman" w:hAnsi="Arial" w:cs="Times New Roman"/>
          <w:sz w:val="18"/>
          <w:szCs w:val="20"/>
        </w:rPr>
        <w:t>of biomass under oxygen</w:t>
      </w:r>
      <w:r w:rsidR="00811786" w:rsidRPr="00811786">
        <w:rPr>
          <w:rFonts w:ascii="Arial" w:eastAsia="Times New Roman" w:hAnsi="Arial" w:cs="Times New Roman"/>
          <w:sz w:val="18"/>
          <w:szCs w:val="20"/>
        </w:rPr>
        <w:t xml:space="preserve"> </w:t>
      </w:r>
      <w:r w:rsidRPr="003C03EB">
        <w:rPr>
          <w:rFonts w:ascii="Arial" w:eastAsia="Times New Roman" w:hAnsi="Arial" w:cs="Times New Roman"/>
          <w:sz w:val="18"/>
          <w:szCs w:val="20"/>
        </w:rPr>
        <w:t>limited conditions and typically contains 60</w:t>
      </w:r>
      <w:r w:rsidR="00811786" w:rsidRPr="00811786">
        <w:rPr>
          <w:rFonts w:ascii="Arial" w:eastAsia="Times New Roman" w:hAnsi="Arial" w:cs="Times New Roman"/>
          <w:sz w:val="18"/>
          <w:szCs w:val="20"/>
        </w:rPr>
        <w:t>-</w:t>
      </w:r>
      <w:r w:rsidRPr="003C03EB">
        <w:rPr>
          <w:rFonts w:ascii="Arial" w:eastAsia="Times New Roman" w:hAnsi="Arial" w:cs="Times New Roman"/>
          <w:sz w:val="18"/>
          <w:szCs w:val="20"/>
        </w:rPr>
        <w:t xml:space="preserve">85 </w:t>
      </w:r>
      <w:proofErr w:type="spellStart"/>
      <w:r w:rsidRPr="003C03EB">
        <w:rPr>
          <w:rFonts w:ascii="Arial" w:eastAsia="Times New Roman" w:hAnsi="Arial" w:cs="Times New Roman"/>
          <w:sz w:val="18"/>
          <w:szCs w:val="20"/>
        </w:rPr>
        <w:t>wt</w:t>
      </w:r>
      <w:proofErr w:type="spellEnd"/>
      <w:r w:rsidRPr="003C03EB">
        <w:rPr>
          <w:rFonts w:ascii="Arial" w:eastAsia="Times New Roman" w:hAnsi="Arial" w:cs="Times New Roman"/>
          <w:sz w:val="18"/>
          <w:szCs w:val="20"/>
        </w:rPr>
        <w:t>% carbon with a highly porous structure and surface are</w:t>
      </w:r>
      <w:r w:rsidR="007A2CAB">
        <w:rPr>
          <w:rFonts w:ascii="Arial" w:eastAsia="Times New Roman" w:hAnsi="Arial" w:cs="Times New Roman"/>
          <w:sz w:val="18"/>
          <w:szCs w:val="20"/>
        </w:rPr>
        <w:t>a ranging from 50 to over 500 m</w:t>
      </w:r>
      <w:r w:rsidR="007A2CAB" w:rsidRPr="007A2CAB">
        <w:rPr>
          <w:rFonts w:ascii="Arial" w:eastAsia="Times New Roman" w:hAnsi="Arial" w:cs="Times New Roman"/>
          <w:sz w:val="18"/>
          <w:szCs w:val="20"/>
          <w:vertAlign w:val="superscript"/>
        </w:rPr>
        <w:t>2</w:t>
      </w:r>
      <w:r w:rsidRPr="003C03EB">
        <w:rPr>
          <w:rFonts w:ascii="Arial" w:eastAsia="Times New Roman" w:hAnsi="Arial" w:cs="Times New Roman"/>
          <w:sz w:val="18"/>
          <w:szCs w:val="20"/>
        </w:rPr>
        <w:t xml:space="preserve"> g</w:t>
      </w:r>
      <w:r w:rsidR="007A2CAB" w:rsidRPr="007A2CAB">
        <w:rPr>
          <w:rFonts w:ascii="Arial" w:eastAsia="Times New Roman" w:hAnsi="Arial" w:cs="Arial"/>
          <w:sz w:val="18"/>
          <w:szCs w:val="20"/>
          <w:vertAlign w:val="superscript"/>
        </w:rPr>
        <w:t>-1</w:t>
      </w:r>
      <w:r w:rsidRPr="003C03EB">
        <w:rPr>
          <w:rFonts w:ascii="Arial" w:eastAsia="Times New Roman" w:hAnsi="Arial" w:cs="Times New Roman"/>
          <w:sz w:val="18"/>
          <w:szCs w:val="20"/>
        </w:rPr>
        <w:t xml:space="preserve"> dependin</w:t>
      </w:r>
      <w:r w:rsidR="007A2CAB">
        <w:rPr>
          <w:rFonts w:ascii="Arial" w:eastAsia="Times New Roman" w:hAnsi="Arial" w:cs="Times New Roman"/>
          <w:sz w:val="18"/>
          <w:szCs w:val="20"/>
        </w:rPr>
        <w:t>g on preparation conditions (Cha et al. (2016))</w:t>
      </w:r>
      <w:r w:rsidRPr="003C03EB">
        <w:rPr>
          <w:rFonts w:ascii="Arial" w:eastAsia="Times New Roman" w:hAnsi="Arial" w:cs="Times New Roman"/>
          <w:sz w:val="18"/>
          <w:szCs w:val="20"/>
        </w:rPr>
        <w:t>. Thermally pretreated or activated biochar exhibits enhanced surface basicity and catalytic functionality, promoting steam reforming</w:t>
      </w:r>
      <w:r w:rsidR="007A2CAB">
        <w:rPr>
          <w:rFonts w:ascii="Arial" w:eastAsia="Times New Roman" w:hAnsi="Arial" w:cs="Times New Roman"/>
          <w:sz w:val="18"/>
          <w:szCs w:val="20"/>
        </w:rPr>
        <w:t xml:space="preserve"> reactions and tar cracking (Panwar et al. (2019))</w:t>
      </w:r>
      <w:r w:rsidRPr="003C03EB">
        <w:rPr>
          <w:rFonts w:ascii="Arial" w:eastAsia="Times New Roman" w:hAnsi="Arial" w:cs="Times New Roman"/>
          <w:sz w:val="18"/>
          <w:szCs w:val="20"/>
        </w:rPr>
        <w:t>. Studies have reported that the incorporation of biochar into steam gasification systems can increase hydrogen yield by 10</w:t>
      </w:r>
      <w:r w:rsidR="00811786" w:rsidRPr="00811786">
        <w:rPr>
          <w:rFonts w:ascii="Arial" w:eastAsia="Times New Roman" w:hAnsi="Arial" w:cs="Times New Roman"/>
          <w:sz w:val="18"/>
          <w:szCs w:val="20"/>
        </w:rPr>
        <w:t>-</w:t>
      </w:r>
      <w:r w:rsidRPr="003C03EB">
        <w:rPr>
          <w:rFonts w:ascii="Arial" w:eastAsia="Times New Roman" w:hAnsi="Arial" w:cs="Times New Roman"/>
          <w:sz w:val="18"/>
          <w:szCs w:val="20"/>
        </w:rPr>
        <w:t>25</w:t>
      </w:r>
      <w:r w:rsidR="007A2CAB">
        <w:rPr>
          <w:rFonts w:ascii="Arial" w:eastAsia="Times New Roman" w:hAnsi="Arial" w:cs="Times New Roman"/>
          <w:sz w:val="18"/>
          <w:szCs w:val="20"/>
        </w:rPr>
        <w:t xml:space="preserve"> </w:t>
      </w:r>
      <w:r w:rsidRPr="003C03EB">
        <w:rPr>
          <w:rFonts w:ascii="Arial" w:eastAsia="Times New Roman" w:hAnsi="Arial" w:cs="Times New Roman"/>
          <w:sz w:val="18"/>
          <w:szCs w:val="20"/>
        </w:rPr>
        <w:t>% while reducing tar formation by up to 40</w:t>
      </w:r>
      <w:r w:rsidR="007A2CAB">
        <w:rPr>
          <w:rFonts w:ascii="Arial" w:eastAsia="Times New Roman" w:hAnsi="Arial" w:cs="Times New Roman"/>
          <w:sz w:val="18"/>
          <w:szCs w:val="20"/>
        </w:rPr>
        <w:t xml:space="preserve"> % (Panwar et al. (2019), Cha et al. (2016))</w:t>
      </w:r>
      <w:r w:rsidRPr="003C03EB">
        <w:rPr>
          <w:rFonts w:ascii="Arial" w:eastAsia="Times New Roman" w:hAnsi="Arial" w:cs="Times New Roman"/>
          <w:sz w:val="18"/>
          <w:szCs w:val="20"/>
        </w:rPr>
        <w:t xml:space="preserve">. The catalytic activity is attributed to inherent mineral species, surface functional groups, and the promotion of </w:t>
      </w:r>
      <w:r w:rsidR="002B2118">
        <w:rPr>
          <w:rFonts w:ascii="Arial" w:eastAsia="Times New Roman" w:hAnsi="Arial" w:cs="Times New Roman"/>
          <w:sz w:val="18"/>
          <w:szCs w:val="20"/>
        </w:rPr>
        <w:t>water-</w:t>
      </w:r>
      <w:r w:rsidRPr="003C03EB">
        <w:rPr>
          <w:rFonts w:ascii="Arial" w:eastAsia="Times New Roman" w:hAnsi="Arial" w:cs="Times New Roman"/>
          <w:sz w:val="18"/>
          <w:szCs w:val="20"/>
        </w:rPr>
        <w:t>gas shift reactions.</w:t>
      </w:r>
      <w:r w:rsidR="007A2CAB">
        <w:rPr>
          <w:rFonts w:ascii="Arial" w:eastAsia="Times New Roman" w:hAnsi="Arial" w:cs="Times New Roman"/>
          <w:sz w:val="18"/>
          <w:szCs w:val="20"/>
        </w:rPr>
        <w:t xml:space="preserve"> </w:t>
      </w:r>
      <w:r w:rsidRPr="003C03EB">
        <w:rPr>
          <w:rFonts w:ascii="Arial" w:eastAsia="Times New Roman" w:hAnsi="Arial" w:cs="Times New Roman"/>
          <w:sz w:val="18"/>
          <w:szCs w:val="20"/>
        </w:rPr>
        <w:t>Thermally modified biochar can also serve as a CO</w:t>
      </w:r>
      <w:r w:rsidR="007A2CAB" w:rsidRPr="007A2CAB">
        <w:rPr>
          <w:rFonts w:ascii="Arial" w:eastAsia="Times New Roman" w:hAnsi="Arial" w:cs="Arial"/>
          <w:sz w:val="18"/>
          <w:szCs w:val="20"/>
          <w:vertAlign w:val="subscript"/>
        </w:rPr>
        <w:t>2</w:t>
      </w:r>
      <w:r w:rsidRPr="003C03EB">
        <w:rPr>
          <w:rFonts w:ascii="Arial" w:eastAsia="Times New Roman" w:hAnsi="Arial" w:cs="Times New Roman"/>
          <w:sz w:val="18"/>
          <w:szCs w:val="20"/>
        </w:rPr>
        <w:t xml:space="preserve"> sorbent in sorption</w:t>
      </w:r>
      <w:r w:rsidR="00811786" w:rsidRPr="00811786">
        <w:rPr>
          <w:rFonts w:ascii="Arial" w:eastAsia="Times New Roman" w:hAnsi="Arial" w:cs="Times New Roman"/>
          <w:sz w:val="18"/>
          <w:szCs w:val="20"/>
        </w:rPr>
        <w:t xml:space="preserve"> </w:t>
      </w:r>
      <w:r w:rsidRPr="003C03EB">
        <w:rPr>
          <w:rFonts w:ascii="Arial" w:eastAsia="Times New Roman" w:hAnsi="Arial" w:cs="Times New Roman"/>
          <w:sz w:val="18"/>
          <w:szCs w:val="20"/>
        </w:rPr>
        <w:t>enhanced gasification systems, shifting equilibrium toward higher hydrogen production. Integration of biochar with biomass feedstock therefore offers a dual benefit: structural improvement of the primary feedstock and in situ catalytic enhancement of hydrogen-forming reactions. In summary, although biomass gasification is considered a technologically mature pathway (TRL 6</w:t>
      </w:r>
      <w:r w:rsidR="00811786" w:rsidRPr="00811786">
        <w:rPr>
          <w:rFonts w:ascii="Arial" w:eastAsia="Times New Roman" w:hAnsi="Arial" w:cs="Times New Roman"/>
          <w:sz w:val="18"/>
          <w:szCs w:val="20"/>
        </w:rPr>
        <w:t>-</w:t>
      </w:r>
      <w:r w:rsidR="007A2CAB">
        <w:rPr>
          <w:rFonts w:ascii="Arial" w:eastAsia="Times New Roman" w:hAnsi="Arial" w:cs="Times New Roman"/>
          <w:sz w:val="18"/>
          <w:szCs w:val="20"/>
        </w:rPr>
        <w:t>8 for certain configurations) (Sher et al. (2025))</w:t>
      </w:r>
      <w:r w:rsidRPr="003C03EB">
        <w:rPr>
          <w:rFonts w:ascii="Arial" w:eastAsia="Times New Roman" w:hAnsi="Arial" w:cs="Times New Roman"/>
          <w:sz w:val="18"/>
          <w:szCs w:val="20"/>
        </w:rPr>
        <w:t>, the variability and structural resistance of agricultural feedstocks continue to constrain hydrogen productivity. Effective pretr</w:t>
      </w:r>
      <w:r w:rsidR="002B2118">
        <w:rPr>
          <w:rFonts w:ascii="Arial" w:eastAsia="Times New Roman" w:hAnsi="Arial" w:cs="Times New Roman"/>
          <w:sz w:val="18"/>
          <w:szCs w:val="20"/>
        </w:rPr>
        <w:t>eatment of</w:t>
      </w:r>
      <w:r w:rsidRPr="003C03EB">
        <w:rPr>
          <w:rFonts w:ascii="Arial" w:eastAsia="Times New Roman" w:hAnsi="Arial" w:cs="Times New Roman"/>
          <w:sz w:val="18"/>
          <w:szCs w:val="20"/>
        </w:rPr>
        <w:t xml:space="preserve"> biochar offers a promising approach to enhance carbon conversion efficiency, reduce tar formation, and improve H</w:t>
      </w:r>
      <w:r w:rsidR="007A2CAB" w:rsidRPr="007A2CAB">
        <w:rPr>
          <w:rFonts w:ascii="Arial" w:eastAsia="Times New Roman" w:hAnsi="Arial" w:cs="Arial"/>
          <w:sz w:val="18"/>
          <w:szCs w:val="20"/>
          <w:vertAlign w:val="subscript"/>
        </w:rPr>
        <w:t>2</w:t>
      </w:r>
      <w:r w:rsidRPr="003C03EB">
        <w:rPr>
          <w:rFonts w:ascii="Arial" w:eastAsia="Times New Roman" w:hAnsi="Arial" w:cs="Times New Roman"/>
          <w:sz w:val="18"/>
          <w:szCs w:val="20"/>
        </w:rPr>
        <w:t xml:space="preserve">/CO ratios suitable for </w:t>
      </w:r>
      <w:r w:rsidR="002B2118">
        <w:rPr>
          <w:rFonts w:ascii="Arial" w:eastAsia="Times New Roman" w:hAnsi="Arial" w:cs="Times New Roman"/>
          <w:sz w:val="18"/>
          <w:szCs w:val="20"/>
        </w:rPr>
        <w:t>other</w:t>
      </w:r>
      <w:r w:rsidRPr="003C03EB">
        <w:rPr>
          <w:rFonts w:ascii="Arial" w:eastAsia="Times New Roman" w:hAnsi="Arial" w:cs="Times New Roman"/>
          <w:sz w:val="18"/>
          <w:szCs w:val="20"/>
        </w:rPr>
        <w:t xml:space="preserve"> applications such as Fischer</w:t>
      </w:r>
      <w:r w:rsidRPr="003C03EB">
        <w:rPr>
          <w:rFonts w:ascii="Arial" w:eastAsia="Times New Roman" w:hAnsi="Arial" w:cs="Arial"/>
          <w:sz w:val="18"/>
          <w:szCs w:val="20"/>
        </w:rPr>
        <w:t>–</w:t>
      </w:r>
      <w:proofErr w:type="spellStart"/>
      <w:r w:rsidRPr="003C03EB">
        <w:rPr>
          <w:rFonts w:ascii="Arial" w:eastAsia="Times New Roman" w:hAnsi="Arial" w:cs="Times New Roman"/>
          <w:sz w:val="18"/>
          <w:szCs w:val="20"/>
        </w:rPr>
        <w:t>Tropsch</w:t>
      </w:r>
      <w:proofErr w:type="spellEnd"/>
      <w:r w:rsidRPr="003C03EB">
        <w:rPr>
          <w:rFonts w:ascii="Arial" w:eastAsia="Times New Roman" w:hAnsi="Arial" w:cs="Times New Roman"/>
          <w:sz w:val="18"/>
          <w:szCs w:val="20"/>
        </w:rPr>
        <w:t xml:space="preserve"> synthesis and methanol production. </w:t>
      </w:r>
    </w:p>
    <w:p w14:paraId="3013E7ED" w14:textId="77777777" w:rsidR="00811786" w:rsidRPr="003C03EB" w:rsidRDefault="00811786" w:rsidP="003C03EB">
      <w:pPr>
        <w:tabs>
          <w:tab w:val="right" w:pos="7100"/>
        </w:tabs>
        <w:spacing w:after="0" w:line="264" w:lineRule="auto"/>
        <w:jc w:val="both"/>
        <w:rPr>
          <w:rFonts w:ascii="Arial" w:eastAsia="Times New Roman" w:hAnsi="Arial" w:cs="Times New Roman"/>
          <w:sz w:val="18"/>
          <w:szCs w:val="20"/>
        </w:rPr>
      </w:pPr>
      <w:r>
        <w:rPr>
          <w:rFonts w:ascii="Arial" w:eastAsia="Times New Roman" w:hAnsi="Arial" w:cs="Times New Roman"/>
          <w:sz w:val="18"/>
          <w:szCs w:val="20"/>
        </w:rPr>
        <w:t xml:space="preserve">In this work, thermally pretreated agricultural biomass waste was </w:t>
      </w:r>
      <w:proofErr w:type="spellStart"/>
      <w:r>
        <w:rPr>
          <w:rFonts w:ascii="Arial" w:eastAsia="Times New Roman" w:hAnsi="Arial" w:cs="Times New Roman"/>
          <w:sz w:val="18"/>
          <w:szCs w:val="20"/>
        </w:rPr>
        <w:t>gasificated</w:t>
      </w:r>
      <w:proofErr w:type="spellEnd"/>
      <w:r>
        <w:rPr>
          <w:rFonts w:ascii="Arial" w:eastAsia="Times New Roman" w:hAnsi="Arial" w:cs="Times New Roman"/>
          <w:sz w:val="18"/>
          <w:szCs w:val="20"/>
        </w:rPr>
        <w:t xml:space="preserve"> in the presence and the absence of steam </w:t>
      </w:r>
      <w:proofErr w:type="gramStart"/>
      <w:r>
        <w:rPr>
          <w:rFonts w:ascii="Arial" w:eastAsia="Times New Roman" w:hAnsi="Arial" w:cs="Times New Roman"/>
          <w:sz w:val="18"/>
          <w:szCs w:val="20"/>
        </w:rPr>
        <w:t>in order to</w:t>
      </w:r>
      <w:proofErr w:type="gramEnd"/>
      <w:r>
        <w:rPr>
          <w:rFonts w:ascii="Arial" w:eastAsia="Times New Roman" w:hAnsi="Arial" w:cs="Times New Roman"/>
          <w:sz w:val="18"/>
          <w:szCs w:val="20"/>
        </w:rPr>
        <w:t xml:space="preserve"> enhance the hydrogen yield and decrease the carbon-dioxide content.</w:t>
      </w:r>
    </w:p>
    <w:p w14:paraId="06B543D8" w14:textId="77777777" w:rsidR="003C03EB" w:rsidRPr="003C03EB" w:rsidRDefault="003C03EB" w:rsidP="009B1363">
      <w:pPr>
        <w:keepNext/>
        <w:numPr>
          <w:ilvl w:val="1"/>
          <w:numId w:val="1"/>
        </w:numPr>
        <w:suppressAutoHyphens/>
        <w:spacing w:before="120" w:after="120" w:line="240" w:lineRule="auto"/>
        <w:rPr>
          <w:rFonts w:ascii="Arial" w:eastAsia="Times New Roman" w:hAnsi="Arial" w:cs="Times New Roman"/>
          <w:b/>
          <w:sz w:val="20"/>
          <w:szCs w:val="20"/>
          <w:lang w:val="en-US"/>
        </w:rPr>
      </w:pPr>
      <w:r w:rsidRPr="003C03EB">
        <w:rPr>
          <w:rFonts w:ascii="Arial" w:eastAsia="Times New Roman" w:hAnsi="Arial" w:cs="Times New Roman"/>
          <w:b/>
          <w:sz w:val="20"/>
          <w:szCs w:val="20"/>
          <w:lang w:val="en-US"/>
        </w:rPr>
        <w:t>Materials &amp; methods</w:t>
      </w:r>
    </w:p>
    <w:p w14:paraId="72F879A7" w14:textId="45B33D14" w:rsidR="003C03EB" w:rsidRPr="003C03EB" w:rsidRDefault="003C03EB" w:rsidP="003C03EB">
      <w:pPr>
        <w:tabs>
          <w:tab w:val="right" w:pos="7100"/>
        </w:tabs>
        <w:spacing w:after="0" w:line="264" w:lineRule="auto"/>
        <w:jc w:val="both"/>
        <w:rPr>
          <w:rFonts w:ascii="Arial" w:eastAsia="Times New Roman" w:hAnsi="Arial" w:cs="Times New Roman"/>
          <w:sz w:val="18"/>
          <w:szCs w:val="20"/>
          <w:lang w:val="en-US"/>
        </w:rPr>
      </w:pPr>
      <w:r w:rsidRPr="003C03EB">
        <w:rPr>
          <w:rFonts w:ascii="Arial" w:eastAsia="Times New Roman" w:hAnsi="Arial" w:cs="Times New Roman"/>
          <w:sz w:val="18"/>
          <w:szCs w:val="20"/>
          <w:lang w:val="en-US"/>
        </w:rPr>
        <w:t xml:space="preserve">In this work, the effect of thermal pretreatment was investigated </w:t>
      </w:r>
      <w:proofErr w:type="gramStart"/>
      <w:r w:rsidRPr="003C03EB">
        <w:rPr>
          <w:rFonts w:ascii="Arial" w:eastAsia="Times New Roman" w:hAnsi="Arial" w:cs="Times New Roman"/>
          <w:sz w:val="18"/>
          <w:szCs w:val="20"/>
          <w:lang w:val="en-US"/>
        </w:rPr>
        <w:t>in order to</w:t>
      </w:r>
      <w:proofErr w:type="gramEnd"/>
      <w:r w:rsidRPr="003C03EB">
        <w:rPr>
          <w:rFonts w:ascii="Arial" w:eastAsia="Times New Roman" w:hAnsi="Arial" w:cs="Times New Roman"/>
          <w:sz w:val="18"/>
          <w:szCs w:val="20"/>
          <w:lang w:val="en-US"/>
        </w:rPr>
        <w:t xml:space="preserve"> enhance the hydrogen yield and decrease the carbon dioxide content</w:t>
      </w:r>
      <w:r w:rsidR="00C01E6B">
        <w:rPr>
          <w:rFonts w:ascii="Arial" w:eastAsia="Times New Roman" w:hAnsi="Arial" w:cs="Times New Roman"/>
          <w:sz w:val="18"/>
          <w:szCs w:val="20"/>
          <w:lang w:val="en-US"/>
        </w:rPr>
        <w:t xml:space="preserve"> with the investigation of produced biochar</w:t>
      </w:r>
      <w:r w:rsidRPr="003C03EB">
        <w:rPr>
          <w:rFonts w:ascii="Arial" w:eastAsia="Times New Roman" w:hAnsi="Arial" w:cs="Times New Roman"/>
          <w:sz w:val="18"/>
          <w:szCs w:val="20"/>
          <w:lang w:val="en-US"/>
        </w:rPr>
        <w:t xml:space="preserve">. As raw material maize waste was used, which properties are summarized below. </w:t>
      </w:r>
    </w:p>
    <w:p w14:paraId="415FE0BF" w14:textId="77777777" w:rsidR="003C03EB" w:rsidRPr="003C03EB" w:rsidRDefault="003C03EB" w:rsidP="003C03EB">
      <w:pPr>
        <w:keepNext/>
        <w:numPr>
          <w:ilvl w:val="2"/>
          <w:numId w:val="1"/>
        </w:numPr>
        <w:suppressAutoHyphens/>
        <w:spacing w:before="120" w:after="120" w:line="240" w:lineRule="auto"/>
        <w:rPr>
          <w:rFonts w:ascii="Arial" w:eastAsia="Times New Roman" w:hAnsi="Arial" w:cs="Times New Roman"/>
          <w:b/>
          <w:sz w:val="18"/>
          <w:szCs w:val="20"/>
          <w:lang w:val="en-US"/>
        </w:rPr>
      </w:pPr>
      <w:r w:rsidRPr="003C03EB">
        <w:rPr>
          <w:rFonts w:ascii="Arial" w:eastAsia="Times New Roman" w:hAnsi="Arial" w:cs="Times New Roman"/>
          <w:b/>
          <w:sz w:val="18"/>
          <w:szCs w:val="20"/>
          <w:lang w:val="en-US"/>
        </w:rPr>
        <w:t>Raw material</w:t>
      </w:r>
    </w:p>
    <w:p w14:paraId="163DDA94" w14:textId="58FDFCAF" w:rsidR="003C03EB" w:rsidRPr="008B3A80" w:rsidRDefault="003C03EB" w:rsidP="003C03EB">
      <w:pPr>
        <w:tabs>
          <w:tab w:val="right" w:pos="7100"/>
        </w:tabs>
        <w:spacing w:after="0" w:line="264" w:lineRule="auto"/>
        <w:jc w:val="both"/>
        <w:rPr>
          <w:rFonts w:ascii="Arial" w:eastAsia="Times New Roman" w:hAnsi="Arial" w:cs="Times New Roman"/>
          <w:sz w:val="18"/>
          <w:szCs w:val="20"/>
          <w:highlight w:val="yellow"/>
          <w:lang w:val="en-US"/>
        </w:rPr>
      </w:pPr>
      <w:r w:rsidRPr="008B3A80">
        <w:rPr>
          <w:rFonts w:ascii="Arial" w:eastAsia="Times New Roman" w:hAnsi="Arial" w:cs="Times New Roman"/>
          <w:sz w:val="18"/>
          <w:szCs w:val="20"/>
          <w:highlight w:val="yellow"/>
          <w:lang w:val="en-US"/>
        </w:rPr>
        <w:t>The</w:t>
      </w:r>
      <w:r w:rsidR="002B2118" w:rsidRPr="008B3A80">
        <w:rPr>
          <w:rFonts w:ascii="Arial" w:eastAsia="Times New Roman" w:hAnsi="Arial" w:cs="Times New Roman"/>
          <w:sz w:val="18"/>
          <w:szCs w:val="20"/>
          <w:highlight w:val="yellow"/>
          <w:lang w:val="en-US"/>
        </w:rPr>
        <w:t xml:space="preserve"> used</w:t>
      </w:r>
      <w:r w:rsidRPr="008B3A80">
        <w:rPr>
          <w:rFonts w:ascii="Arial" w:eastAsia="Times New Roman" w:hAnsi="Arial" w:cs="Times New Roman"/>
          <w:sz w:val="18"/>
          <w:szCs w:val="20"/>
          <w:highlight w:val="yellow"/>
          <w:lang w:val="en-US"/>
        </w:rPr>
        <w:t xml:space="preserve"> </w:t>
      </w:r>
      <w:r w:rsidRPr="008B3A80">
        <w:rPr>
          <w:rFonts w:ascii="Arial" w:eastAsia="Times New Roman" w:hAnsi="Arial" w:cs="Times New Roman"/>
          <w:sz w:val="18"/>
          <w:szCs w:val="20"/>
          <w:highlight w:val="yellow"/>
        </w:rPr>
        <w:t xml:space="preserve">agricultural biomass waste (maize) </w:t>
      </w:r>
      <w:r w:rsidRPr="008B3A80">
        <w:rPr>
          <w:rFonts w:ascii="Arial" w:eastAsia="Times New Roman" w:hAnsi="Arial" w:cs="Times New Roman"/>
          <w:sz w:val="18"/>
          <w:szCs w:val="20"/>
          <w:highlight w:val="yellow"/>
          <w:lang w:val="en-US"/>
        </w:rPr>
        <w:t>was shedder to smaller particles (&lt;3</w:t>
      </w:r>
      <w:r w:rsidR="002B2118" w:rsidRPr="008B3A80">
        <w:rPr>
          <w:rFonts w:ascii="Arial" w:eastAsia="Times New Roman" w:hAnsi="Arial" w:cs="Times New Roman"/>
          <w:sz w:val="18"/>
          <w:szCs w:val="20"/>
          <w:highlight w:val="yellow"/>
          <w:lang w:val="en-US"/>
        </w:rPr>
        <w:t xml:space="preserve"> </w:t>
      </w:r>
      <w:r w:rsidRPr="008B3A80">
        <w:rPr>
          <w:rFonts w:ascii="Arial" w:eastAsia="Times New Roman" w:hAnsi="Arial" w:cs="Times New Roman"/>
          <w:sz w:val="18"/>
          <w:szCs w:val="20"/>
          <w:highlight w:val="yellow"/>
          <w:lang w:val="en-US"/>
        </w:rPr>
        <w:t xml:space="preserve">mm), </w:t>
      </w:r>
      <w:r w:rsidRPr="008B3A80">
        <w:rPr>
          <w:rFonts w:ascii="Arial" w:eastAsia="Times New Roman" w:hAnsi="Arial" w:cs="Times New Roman"/>
          <w:sz w:val="18"/>
          <w:szCs w:val="20"/>
          <w:highlight w:val="yellow"/>
        </w:rPr>
        <w:t>with the following CHNO composition 48.5 %, 6.3 %, 0.5 % and 44.7 %, respectively</w:t>
      </w:r>
      <w:r w:rsidRPr="008B3A80">
        <w:rPr>
          <w:rFonts w:ascii="Arial" w:eastAsia="Times New Roman" w:hAnsi="Arial" w:cs="Times New Roman"/>
          <w:sz w:val="18"/>
          <w:szCs w:val="20"/>
          <w:highlight w:val="yellow"/>
          <w:lang w:val="en-US"/>
        </w:rPr>
        <w:t xml:space="preserve">. Its volatile matter, moisture content, ash content and </w:t>
      </w:r>
      <w:proofErr w:type="gramStart"/>
      <w:r w:rsidRPr="008B3A80">
        <w:rPr>
          <w:rFonts w:ascii="Arial" w:eastAsia="Times New Roman" w:hAnsi="Arial" w:cs="Times New Roman"/>
          <w:sz w:val="18"/>
          <w:szCs w:val="20"/>
          <w:highlight w:val="yellow"/>
          <w:lang w:val="en-US"/>
        </w:rPr>
        <w:t>fix</w:t>
      </w:r>
      <w:proofErr w:type="gramEnd"/>
      <w:r w:rsidRPr="008B3A80">
        <w:rPr>
          <w:rFonts w:ascii="Arial" w:eastAsia="Times New Roman" w:hAnsi="Arial" w:cs="Times New Roman"/>
          <w:sz w:val="18"/>
          <w:szCs w:val="20"/>
          <w:highlight w:val="yellow"/>
          <w:lang w:val="en-US"/>
        </w:rPr>
        <w:t xml:space="preserve"> carbon content were 75.0 %, 6.5 %, 2.3 % and 16.2 %, respectively. Nevertheless, its lignocellulosic content was built from 9.3 % extractive lignin content, 24.5 % lignin content, 44.0 % hemicellulose content and 22.2% cellulose content.</w:t>
      </w:r>
    </w:p>
    <w:p w14:paraId="11E40136" w14:textId="77777777" w:rsidR="008B3A80" w:rsidRPr="008B3A80" w:rsidRDefault="008B3A80" w:rsidP="008B3A80">
      <w:pPr>
        <w:tabs>
          <w:tab w:val="right" w:pos="7100"/>
        </w:tabs>
        <w:spacing w:after="0" w:line="264" w:lineRule="auto"/>
        <w:jc w:val="both"/>
        <w:rPr>
          <w:rFonts w:ascii="Arial" w:eastAsia="Times New Roman" w:hAnsi="Arial" w:cs="Times New Roman"/>
          <w:sz w:val="18"/>
          <w:szCs w:val="20"/>
          <w:highlight w:val="yellow"/>
          <w:lang w:val="hu-HU"/>
        </w:rPr>
      </w:pPr>
      <w:r w:rsidRPr="008B3A80">
        <w:rPr>
          <w:rFonts w:ascii="Arial" w:eastAsia="Times New Roman" w:hAnsi="Arial" w:cs="Times New Roman"/>
          <w:sz w:val="18"/>
          <w:szCs w:val="20"/>
          <w:highlight w:val="yellow"/>
        </w:rPr>
        <w:t>During the measurements, one-zone tubular reactor was used at two different temperatures (800 and 900 °C), with (</w:t>
      </w:r>
      <w:proofErr w:type="spellStart"/>
      <w:r w:rsidRPr="008B3A80">
        <w:rPr>
          <w:rFonts w:ascii="Arial" w:eastAsia="Times New Roman" w:hAnsi="Arial" w:cs="Times New Roman"/>
          <w:sz w:val="18"/>
          <w:szCs w:val="20"/>
          <w:highlight w:val="yellow"/>
        </w:rPr>
        <w:t>steam:biomass</w:t>
      </w:r>
      <w:proofErr w:type="spellEnd"/>
      <w:r w:rsidRPr="008B3A80">
        <w:rPr>
          <w:rFonts w:ascii="Arial" w:eastAsia="Times New Roman" w:hAnsi="Arial" w:cs="Times New Roman"/>
          <w:sz w:val="18"/>
          <w:szCs w:val="20"/>
          <w:highlight w:val="yellow"/>
        </w:rPr>
        <w:t xml:space="preserve"> ratio=1) and without steam implementation. For each measurement 5 g of sample was used, and each experiment took for 20 minutes. Regarding the thermal pretreatment (torrefaction), it was carried out in the same equipment but at different temperatures (200-300 °C), where the pretreatment was made for 1 hour.</w:t>
      </w:r>
    </w:p>
    <w:p w14:paraId="6AFD5F71" w14:textId="491292AB" w:rsidR="003C03EB" w:rsidRPr="003C03EB" w:rsidRDefault="003C03EB" w:rsidP="003C03EB">
      <w:pPr>
        <w:tabs>
          <w:tab w:val="right" w:pos="7100"/>
        </w:tabs>
        <w:spacing w:after="0" w:line="264" w:lineRule="auto"/>
        <w:jc w:val="both"/>
        <w:rPr>
          <w:rFonts w:ascii="Arial" w:eastAsia="Times New Roman" w:hAnsi="Arial" w:cs="Times New Roman"/>
          <w:sz w:val="18"/>
          <w:szCs w:val="20"/>
        </w:rPr>
      </w:pPr>
      <w:r w:rsidRPr="008B3A80">
        <w:rPr>
          <w:rFonts w:ascii="Arial" w:eastAsia="Times New Roman" w:hAnsi="Arial" w:cs="Times New Roman"/>
          <w:sz w:val="18"/>
          <w:szCs w:val="20"/>
          <w:highlight w:val="yellow"/>
        </w:rPr>
        <w:t>The volatile matter content and the moisture content were determined from the TG curve measured under a</w:t>
      </w:r>
      <w:r w:rsidRPr="003C03EB">
        <w:rPr>
          <w:rFonts w:ascii="Arial" w:eastAsia="Times New Roman" w:hAnsi="Arial" w:cs="Times New Roman"/>
          <w:sz w:val="18"/>
          <w:szCs w:val="20"/>
        </w:rPr>
        <w:t xml:space="preserve"> nitrogen atmosphere, while the ash content was determined from the TG curve measured under an oxygen atmosphere. The organic carbon content was calculated by subtracting the previously determined volatile matter, moisture, and ash contents from the total percentage (100</w:t>
      </w:r>
      <w:r w:rsidR="002B2118">
        <w:rPr>
          <w:rFonts w:ascii="Arial" w:eastAsia="Times New Roman" w:hAnsi="Arial" w:cs="Times New Roman"/>
          <w:sz w:val="18"/>
          <w:szCs w:val="20"/>
        </w:rPr>
        <w:t xml:space="preserve"> </w:t>
      </w:r>
      <w:r w:rsidRPr="003C03EB">
        <w:rPr>
          <w:rFonts w:ascii="Arial" w:eastAsia="Times New Roman" w:hAnsi="Arial" w:cs="Times New Roman"/>
          <w:sz w:val="18"/>
          <w:szCs w:val="20"/>
        </w:rPr>
        <w:t xml:space="preserve">%). </w:t>
      </w:r>
    </w:p>
    <w:p w14:paraId="15436D63" w14:textId="3E1BB823" w:rsidR="003C03EB" w:rsidRPr="003C03EB" w:rsidRDefault="003C03EB" w:rsidP="003C03EB">
      <w:pPr>
        <w:tabs>
          <w:tab w:val="right" w:pos="7100"/>
        </w:tabs>
        <w:spacing w:after="0" w:line="264" w:lineRule="auto"/>
        <w:jc w:val="both"/>
        <w:rPr>
          <w:rFonts w:ascii="Arial" w:eastAsia="Times New Roman" w:hAnsi="Arial" w:cs="Times New Roman"/>
          <w:sz w:val="18"/>
          <w:szCs w:val="20"/>
        </w:rPr>
      </w:pPr>
      <w:r w:rsidRPr="003C03EB">
        <w:rPr>
          <w:rFonts w:ascii="Arial" w:eastAsia="Times New Roman" w:hAnsi="Arial" w:cs="Times New Roman"/>
          <w:sz w:val="18"/>
          <w:szCs w:val="20"/>
        </w:rPr>
        <w:t>The hydrocarbon</w:t>
      </w:r>
      <w:r w:rsidR="009B1363">
        <w:rPr>
          <w:rFonts w:ascii="Arial" w:eastAsia="Times New Roman" w:hAnsi="Arial" w:cs="Times New Roman"/>
          <w:sz w:val="18"/>
          <w:szCs w:val="20"/>
        </w:rPr>
        <w:t xml:space="preserve"> </w:t>
      </w:r>
      <w:r w:rsidR="009B1363" w:rsidRPr="003C03EB">
        <w:rPr>
          <w:rFonts w:ascii="Arial" w:eastAsia="Times New Roman" w:hAnsi="Arial" w:cs="Times New Roman"/>
          <w:sz w:val="18"/>
          <w:szCs w:val="20"/>
        </w:rPr>
        <w:t xml:space="preserve">composition </w:t>
      </w:r>
      <w:r w:rsidR="009B1363">
        <w:rPr>
          <w:rFonts w:ascii="Arial" w:eastAsia="Times New Roman" w:hAnsi="Arial" w:cs="Times New Roman"/>
          <w:sz w:val="18"/>
          <w:szCs w:val="20"/>
        </w:rPr>
        <w:t xml:space="preserve">and the </w:t>
      </w:r>
      <w:r w:rsidR="009B1363" w:rsidRPr="003C03EB">
        <w:rPr>
          <w:rFonts w:ascii="Arial" w:eastAsia="Times New Roman" w:hAnsi="Arial" w:cs="Times New Roman"/>
          <w:sz w:val="18"/>
          <w:szCs w:val="20"/>
        </w:rPr>
        <w:t>hydrogen content</w:t>
      </w:r>
      <w:r w:rsidRPr="003C03EB">
        <w:rPr>
          <w:rFonts w:ascii="Arial" w:eastAsia="Times New Roman" w:hAnsi="Arial" w:cs="Times New Roman"/>
          <w:sz w:val="18"/>
          <w:szCs w:val="20"/>
        </w:rPr>
        <w:t xml:space="preserve"> of the gaseous products was </w:t>
      </w:r>
      <w:r w:rsidR="000B3AA9" w:rsidRPr="003C03EB">
        <w:rPr>
          <w:rFonts w:ascii="Arial" w:eastAsia="Times New Roman" w:hAnsi="Arial" w:cs="Times New Roman"/>
          <w:sz w:val="18"/>
          <w:szCs w:val="20"/>
        </w:rPr>
        <w:t>analysed</w:t>
      </w:r>
      <w:r w:rsidRPr="003C03EB">
        <w:rPr>
          <w:rFonts w:ascii="Arial" w:eastAsia="Times New Roman" w:hAnsi="Arial" w:cs="Times New Roman"/>
          <w:sz w:val="18"/>
          <w:szCs w:val="20"/>
        </w:rPr>
        <w:t xml:space="preserve"> using a DANI gas chromatograph equipped with a programmed injector and a flame ionization detector (FID)</w:t>
      </w:r>
      <w:r w:rsidR="009B1363">
        <w:rPr>
          <w:rFonts w:ascii="Arial" w:eastAsia="Times New Roman" w:hAnsi="Arial" w:cs="Times New Roman"/>
          <w:sz w:val="18"/>
          <w:szCs w:val="20"/>
        </w:rPr>
        <w:t xml:space="preserve"> </w:t>
      </w:r>
      <w:r w:rsidR="009B1363" w:rsidRPr="003C03EB">
        <w:rPr>
          <w:rFonts w:ascii="Arial" w:eastAsia="Times New Roman" w:hAnsi="Arial" w:cs="Times New Roman"/>
          <w:sz w:val="18"/>
          <w:szCs w:val="20"/>
        </w:rPr>
        <w:t>and a thermal conductivity detector</w:t>
      </w:r>
      <w:r w:rsidRPr="003C03EB">
        <w:rPr>
          <w:rFonts w:ascii="Arial" w:eastAsia="Times New Roman" w:hAnsi="Arial" w:cs="Times New Roman"/>
          <w:sz w:val="18"/>
          <w:szCs w:val="20"/>
        </w:rPr>
        <w:t xml:space="preserve">. An Rtx-1 PONA capillary column (100 m length, 0.25 mm internal diameter, and 0.5 </w:t>
      </w:r>
      <w:proofErr w:type="spellStart"/>
      <w:r w:rsidRPr="003C03EB">
        <w:rPr>
          <w:rFonts w:ascii="Arial" w:eastAsia="Times New Roman" w:hAnsi="Arial" w:cs="Times New Roman"/>
          <w:sz w:val="18"/>
          <w:szCs w:val="20"/>
        </w:rPr>
        <w:t>μm</w:t>
      </w:r>
      <w:proofErr w:type="spellEnd"/>
      <w:r w:rsidRPr="003C03EB">
        <w:rPr>
          <w:rFonts w:ascii="Arial" w:eastAsia="Times New Roman" w:hAnsi="Arial" w:cs="Times New Roman"/>
          <w:sz w:val="18"/>
          <w:szCs w:val="20"/>
        </w:rPr>
        <w:t xml:space="preserve"> film thickness) </w:t>
      </w:r>
      <w:r w:rsidR="009B1363">
        <w:rPr>
          <w:rFonts w:ascii="Arial" w:eastAsia="Times New Roman" w:hAnsi="Arial" w:cs="Times New Roman"/>
          <w:sz w:val="18"/>
          <w:szCs w:val="20"/>
        </w:rPr>
        <w:t xml:space="preserve">and a </w:t>
      </w:r>
      <w:proofErr w:type="spellStart"/>
      <w:r w:rsidR="009B1363" w:rsidRPr="003C03EB">
        <w:rPr>
          <w:rFonts w:ascii="Arial" w:eastAsia="Times New Roman" w:hAnsi="Arial" w:cs="Times New Roman"/>
          <w:sz w:val="18"/>
          <w:szCs w:val="20"/>
        </w:rPr>
        <w:t>Carboxen</w:t>
      </w:r>
      <w:proofErr w:type="spellEnd"/>
      <w:r w:rsidR="009B1363" w:rsidRPr="003C03EB">
        <w:rPr>
          <w:rFonts w:ascii="Arial" w:eastAsia="Times New Roman" w:hAnsi="Arial" w:cs="Times New Roman"/>
          <w:sz w:val="18"/>
          <w:szCs w:val="20"/>
        </w:rPr>
        <w:t xml:space="preserve">™ 1006 PLOT column (30 m × 0.53 mm) </w:t>
      </w:r>
      <w:r w:rsidRPr="003C03EB">
        <w:rPr>
          <w:rFonts w:ascii="Arial" w:eastAsia="Times New Roman" w:hAnsi="Arial" w:cs="Times New Roman"/>
          <w:sz w:val="18"/>
          <w:szCs w:val="20"/>
        </w:rPr>
        <w:t>was installed in the chromatograph. The analysis was performed under isothermal conditions at 3</w:t>
      </w:r>
      <w:r w:rsidR="009B1363">
        <w:rPr>
          <w:rFonts w:ascii="Arial" w:eastAsia="Times New Roman" w:hAnsi="Arial" w:cs="Times New Roman"/>
          <w:sz w:val="18"/>
          <w:szCs w:val="20"/>
        </w:rPr>
        <w:t>0</w:t>
      </w:r>
      <w:r w:rsidRPr="003C03EB">
        <w:rPr>
          <w:rFonts w:ascii="Arial" w:eastAsia="Times New Roman" w:hAnsi="Arial" w:cs="Times New Roman"/>
          <w:sz w:val="18"/>
          <w:szCs w:val="20"/>
        </w:rPr>
        <w:t>°C. The injector and detector temperatures were maintained at 230°C. The chromatograms were evaluated using Clarity software.</w:t>
      </w:r>
    </w:p>
    <w:p w14:paraId="56C71BC2" w14:textId="4873EF0E" w:rsidR="003C03EB" w:rsidRDefault="003C03EB" w:rsidP="003C03EB">
      <w:pPr>
        <w:tabs>
          <w:tab w:val="right" w:pos="7100"/>
        </w:tabs>
        <w:spacing w:after="0" w:line="264" w:lineRule="auto"/>
        <w:jc w:val="both"/>
        <w:rPr>
          <w:rFonts w:ascii="Arial" w:eastAsia="Times New Roman" w:hAnsi="Arial" w:cs="Times New Roman"/>
          <w:sz w:val="18"/>
          <w:szCs w:val="20"/>
        </w:rPr>
      </w:pPr>
      <w:r w:rsidRPr="003C03EB">
        <w:rPr>
          <w:rFonts w:ascii="Arial" w:eastAsia="Times New Roman" w:hAnsi="Arial" w:cs="Times New Roman"/>
          <w:sz w:val="18"/>
          <w:szCs w:val="20"/>
        </w:rPr>
        <w:lastRenderedPageBreak/>
        <w:t xml:space="preserve">The C, H, N, and S contents of the samples were determined using a Carlo-Erba EA 1108 CHNS-O elemental </w:t>
      </w:r>
      <w:r w:rsidR="000B3AA9" w:rsidRPr="003C03EB">
        <w:rPr>
          <w:rFonts w:ascii="Arial" w:eastAsia="Times New Roman" w:hAnsi="Arial" w:cs="Times New Roman"/>
          <w:sz w:val="18"/>
          <w:szCs w:val="20"/>
        </w:rPr>
        <w:t>analyser</w:t>
      </w:r>
      <w:r w:rsidRPr="003C03EB">
        <w:rPr>
          <w:rFonts w:ascii="Arial" w:eastAsia="Times New Roman" w:hAnsi="Arial" w:cs="Times New Roman"/>
          <w:sz w:val="18"/>
          <w:szCs w:val="20"/>
        </w:rPr>
        <w:t xml:space="preserve"> (Erba Science GES M.B.H.). During the measurements, tin capsules were used, and combustion was performed in a quartz reactor operated at 1020°C, with a 10 mL oxygen loop and helium as carrier gas. </w:t>
      </w:r>
    </w:p>
    <w:p w14:paraId="2F80B579" w14:textId="22A6CBD9" w:rsidR="000B3AA9" w:rsidRDefault="000B3AA9" w:rsidP="003C03EB">
      <w:pPr>
        <w:tabs>
          <w:tab w:val="right" w:pos="7100"/>
        </w:tabs>
        <w:spacing w:after="0" w:line="264" w:lineRule="auto"/>
        <w:jc w:val="both"/>
        <w:rPr>
          <w:rFonts w:ascii="Arial" w:eastAsia="Times New Roman" w:hAnsi="Arial" w:cs="Times New Roman"/>
          <w:sz w:val="18"/>
          <w:szCs w:val="20"/>
        </w:rPr>
      </w:pPr>
      <w:r w:rsidRPr="000B3AA9">
        <w:rPr>
          <w:rFonts w:ascii="Arial" w:eastAsia="Times New Roman" w:hAnsi="Arial" w:cs="Times New Roman"/>
          <w:sz w:val="18"/>
          <w:szCs w:val="20"/>
        </w:rPr>
        <w:t>The elemental composition of the biomass residues</w:t>
      </w:r>
      <w:r>
        <w:rPr>
          <w:rFonts w:ascii="Arial" w:eastAsia="Times New Roman" w:hAnsi="Arial" w:cs="Times New Roman"/>
          <w:sz w:val="18"/>
          <w:szCs w:val="20"/>
        </w:rPr>
        <w:t xml:space="preserve"> </w:t>
      </w:r>
      <w:r w:rsidRPr="000B3AA9">
        <w:rPr>
          <w:rFonts w:ascii="Arial" w:eastAsia="Times New Roman" w:hAnsi="Arial" w:cs="Times New Roman"/>
          <w:sz w:val="18"/>
          <w:szCs w:val="20"/>
        </w:rPr>
        <w:t>was analysed using an energy-dispersive X-ray fluorescence spectrometer (Shimadzu EDX-8100), equipped with a high-performance SDD detector, optimized hardware configuration, and enhanced sensitivity. The instrument was fitted with a rhodium X-ray tube, and the measurements were performed under a helium atmosphere</w:t>
      </w:r>
    </w:p>
    <w:p w14:paraId="6C911A9B" w14:textId="794BF88C" w:rsidR="007678DE" w:rsidRPr="003C03EB" w:rsidRDefault="007678DE" w:rsidP="003C03EB">
      <w:pPr>
        <w:tabs>
          <w:tab w:val="right" w:pos="7100"/>
        </w:tabs>
        <w:spacing w:after="0" w:line="264" w:lineRule="auto"/>
        <w:jc w:val="both"/>
        <w:rPr>
          <w:rFonts w:ascii="Arial" w:eastAsia="Times New Roman" w:hAnsi="Arial" w:cs="Times New Roman"/>
          <w:sz w:val="18"/>
          <w:szCs w:val="20"/>
        </w:rPr>
      </w:pPr>
      <w:r w:rsidRPr="007678DE">
        <w:rPr>
          <w:rFonts w:ascii="Arial" w:eastAsia="Times New Roman" w:hAnsi="Arial" w:cs="Times New Roman"/>
          <w:sz w:val="18"/>
          <w:szCs w:val="20"/>
        </w:rPr>
        <w:t xml:space="preserve">The </w:t>
      </w:r>
      <w:r w:rsidR="00F63AF6">
        <w:rPr>
          <w:rFonts w:ascii="Arial" w:eastAsia="Times New Roman" w:hAnsi="Arial" w:cs="Times New Roman"/>
          <w:sz w:val="18"/>
          <w:szCs w:val="20"/>
        </w:rPr>
        <w:t xml:space="preserve">GCMS </w:t>
      </w:r>
      <w:r w:rsidRPr="007678DE">
        <w:rPr>
          <w:rFonts w:ascii="Arial" w:eastAsia="Times New Roman" w:hAnsi="Arial" w:cs="Times New Roman"/>
          <w:sz w:val="18"/>
          <w:szCs w:val="20"/>
        </w:rPr>
        <w:t xml:space="preserve">analysis was performed using a GC-2010 gas chromatograph </w:t>
      </w:r>
      <w:r w:rsidR="009B1363">
        <w:rPr>
          <w:rFonts w:ascii="Arial" w:eastAsia="Times New Roman" w:hAnsi="Arial" w:cs="Times New Roman"/>
          <w:sz w:val="18"/>
          <w:szCs w:val="20"/>
        </w:rPr>
        <w:t xml:space="preserve">(Shimadzu) </w:t>
      </w:r>
      <w:r w:rsidRPr="007678DE">
        <w:rPr>
          <w:rFonts w:ascii="Arial" w:eastAsia="Times New Roman" w:hAnsi="Arial" w:cs="Times New Roman"/>
          <w:sz w:val="18"/>
          <w:szCs w:val="20"/>
        </w:rPr>
        <w:t>equipped with an AOC-20i automatic sampler, with an injecte</w:t>
      </w:r>
      <w:r w:rsidR="009B1363">
        <w:rPr>
          <w:rFonts w:ascii="Arial" w:eastAsia="Times New Roman" w:hAnsi="Arial" w:cs="Times New Roman"/>
          <w:sz w:val="18"/>
          <w:szCs w:val="20"/>
        </w:rPr>
        <w:t>d volume of 2 µL in split mode</w:t>
      </w:r>
      <w:r w:rsidRPr="007678DE">
        <w:rPr>
          <w:rFonts w:ascii="Arial" w:eastAsia="Times New Roman" w:hAnsi="Arial" w:cs="Times New Roman"/>
          <w:sz w:val="18"/>
          <w:szCs w:val="20"/>
        </w:rPr>
        <w:t xml:space="preserve"> at an injector temperature of 300°C and an initial oven temperature of 40°C.</w:t>
      </w:r>
    </w:p>
    <w:p w14:paraId="048ABC72" w14:textId="77777777" w:rsidR="003C03EB" w:rsidRPr="003C03EB" w:rsidRDefault="003C03EB" w:rsidP="009B1363">
      <w:pPr>
        <w:keepNext/>
        <w:numPr>
          <w:ilvl w:val="1"/>
          <w:numId w:val="1"/>
        </w:numPr>
        <w:suppressAutoHyphens/>
        <w:spacing w:before="240" w:after="0" w:line="240" w:lineRule="auto"/>
        <w:rPr>
          <w:rFonts w:ascii="Arial" w:eastAsia="Times New Roman" w:hAnsi="Arial" w:cs="Times New Roman"/>
          <w:b/>
          <w:sz w:val="20"/>
          <w:szCs w:val="20"/>
          <w:lang w:val="en-US"/>
        </w:rPr>
      </w:pPr>
      <w:r w:rsidRPr="003C03EB">
        <w:rPr>
          <w:rFonts w:ascii="Arial" w:eastAsia="Times New Roman" w:hAnsi="Arial" w:cs="Times New Roman"/>
          <w:b/>
          <w:sz w:val="20"/>
          <w:szCs w:val="20"/>
          <w:lang w:val="en-US"/>
        </w:rPr>
        <w:t>Results &amp; discussion</w:t>
      </w:r>
    </w:p>
    <w:p w14:paraId="596C13EA" w14:textId="40ACE049" w:rsidR="003C03EB" w:rsidRPr="003C03EB" w:rsidRDefault="003C03EB" w:rsidP="003C03EB">
      <w:pPr>
        <w:tabs>
          <w:tab w:val="right" w:pos="7100"/>
        </w:tabs>
        <w:spacing w:after="0" w:line="264" w:lineRule="auto"/>
        <w:jc w:val="both"/>
        <w:rPr>
          <w:rFonts w:ascii="Arial" w:eastAsia="Times New Roman" w:hAnsi="Arial" w:cs="Times New Roman"/>
          <w:sz w:val="18"/>
          <w:szCs w:val="20"/>
        </w:rPr>
      </w:pPr>
      <w:r w:rsidRPr="003C03EB">
        <w:rPr>
          <w:rFonts w:ascii="Arial" w:eastAsia="Times New Roman" w:hAnsi="Arial" w:cs="Times New Roman"/>
          <w:sz w:val="18"/>
          <w:szCs w:val="20"/>
        </w:rPr>
        <w:t>The following subsections are presenting the results in pretreated biomass gasification with and without steam implementation</w:t>
      </w:r>
      <w:r w:rsidR="00C01E6B">
        <w:rPr>
          <w:rFonts w:ascii="Arial" w:eastAsia="Times New Roman" w:hAnsi="Arial" w:cs="Times New Roman"/>
          <w:sz w:val="18"/>
          <w:szCs w:val="20"/>
        </w:rPr>
        <w:t xml:space="preserve"> and the investigation of the obtained biochar</w:t>
      </w:r>
      <w:r w:rsidRPr="003C03EB">
        <w:rPr>
          <w:rFonts w:ascii="Arial" w:eastAsia="Times New Roman" w:hAnsi="Arial" w:cs="Times New Roman"/>
          <w:sz w:val="18"/>
          <w:szCs w:val="20"/>
        </w:rPr>
        <w:t xml:space="preserve">. Besides, the result from the torrefaction is also presented </w:t>
      </w:r>
      <w:proofErr w:type="gramStart"/>
      <w:r w:rsidRPr="003C03EB">
        <w:rPr>
          <w:rFonts w:ascii="Arial" w:eastAsia="Times New Roman" w:hAnsi="Arial" w:cs="Times New Roman"/>
          <w:sz w:val="18"/>
          <w:szCs w:val="20"/>
        </w:rPr>
        <w:t>in order to</w:t>
      </w:r>
      <w:proofErr w:type="gramEnd"/>
      <w:r w:rsidRPr="003C03EB">
        <w:rPr>
          <w:rFonts w:ascii="Arial" w:eastAsia="Times New Roman" w:hAnsi="Arial" w:cs="Times New Roman"/>
          <w:sz w:val="18"/>
          <w:szCs w:val="20"/>
        </w:rPr>
        <w:t xml:space="preserve"> make them comprehensible. </w:t>
      </w:r>
    </w:p>
    <w:p w14:paraId="2244E22F" w14:textId="77777777" w:rsidR="003C03EB" w:rsidRPr="003C03EB" w:rsidRDefault="003C03EB" w:rsidP="003C03EB">
      <w:pPr>
        <w:keepNext/>
        <w:numPr>
          <w:ilvl w:val="2"/>
          <w:numId w:val="1"/>
        </w:numPr>
        <w:suppressAutoHyphens/>
        <w:spacing w:before="120" w:after="120" w:line="240" w:lineRule="auto"/>
        <w:rPr>
          <w:rFonts w:ascii="Arial" w:eastAsia="Times New Roman" w:hAnsi="Arial" w:cs="Times New Roman"/>
          <w:b/>
          <w:sz w:val="18"/>
          <w:szCs w:val="20"/>
          <w:lang w:val="en-US"/>
        </w:rPr>
      </w:pPr>
      <w:r w:rsidRPr="003C03EB">
        <w:rPr>
          <w:rFonts w:ascii="Arial" w:eastAsia="Times New Roman" w:hAnsi="Arial" w:cs="Times New Roman"/>
          <w:b/>
          <w:sz w:val="18"/>
          <w:szCs w:val="20"/>
          <w:lang w:val="en-US"/>
        </w:rPr>
        <w:t>Composition of gas</w:t>
      </w:r>
    </w:p>
    <w:p w14:paraId="7E16DE9E" w14:textId="008FE110" w:rsidR="00C1391F" w:rsidRPr="008948C5" w:rsidRDefault="003C03EB" w:rsidP="009A03A4">
      <w:pPr>
        <w:tabs>
          <w:tab w:val="right" w:pos="7100"/>
        </w:tabs>
        <w:spacing w:after="0" w:line="264" w:lineRule="auto"/>
        <w:jc w:val="both"/>
        <w:rPr>
          <w:rFonts w:ascii="Arial" w:eastAsia="Times New Roman" w:hAnsi="Arial"/>
          <w:sz w:val="18"/>
          <w:szCs w:val="20"/>
        </w:rPr>
      </w:pPr>
      <w:r w:rsidRPr="002B2118">
        <w:rPr>
          <w:rFonts w:ascii="Arial" w:eastAsia="Times New Roman" w:hAnsi="Arial" w:cs="Times New Roman"/>
          <w:bCs/>
          <w:i/>
          <w:iCs/>
          <w:sz w:val="18"/>
          <w:szCs w:val="20"/>
          <w:lang w:val="en-US"/>
        </w:rPr>
        <w:t>Figure 1 (a)</w:t>
      </w:r>
      <w:r w:rsidRPr="002B2118">
        <w:rPr>
          <w:rFonts w:ascii="Arial" w:eastAsia="Times New Roman" w:hAnsi="Arial" w:cs="Times New Roman"/>
          <w:sz w:val="18"/>
          <w:szCs w:val="20"/>
          <w:lang w:val="en-US"/>
        </w:rPr>
        <w:t xml:space="preserve"> </w:t>
      </w:r>
      <w:r>
        <w:rPr>
          <w:rFonts w:ascii="Arial" w:eastAsia="Times New Roman" w:hAnsi="Arial" w:cs="Times New Roman"/>
          <w:sz w:val="18"/>
          <w:szCs w:val="20"/>
          <w:lang w:val="en-US"/>
        </w:rPr>
        <w:t xml:space="preserve">and </w:t>
      </w:r>
      <w:r w:rsidRPr="002B2118">
        <w:rPr>
          <w:rFonts w:ascii="Arial" w:eastAsia="Times New Roman" w:hAnsi="Arial" w:cs="Times New Roman"/>
          <w:bCs/>
          <w:i/>
          <w:iCs/>
          <w:sz w:val="18"/>
          <w:szCs w:val="20"/>
          <w:lang w:val="en-US"/>
        </w:rPr>
        <w:t>(b)</w:t>
      </w:r>
      <w:r w:rsidRPr="002B2118">
        <w:rPr>
          <w:rFonts w:ascii="Arial" w:eastAsia="Times New Roman" w:hAnsi="Arial" w:cs="Times New Roman"/>
          <w:sz w:val="18"/>
          <w:szCs w:val="20"/>
          <w:lang w:val="en-US"/>
        </w:rPr>
        <w:t xml:space="preserve"> </w:t>
      </w:r>
      <w:r>
        <w:rPr>
          <w:rFonts w:ascii="Arial" w:eastAsia="Times New Roman" w:hAnsi="Arial" w:cs="Times New Roman"/>
          <w:sz w:val="18"/>
          <w:szCs w:val="20"/>
          <w:lang w:val="en-US"/>
        </w:rPr>
        <w:t>depicts the gas composition of at 200°C torrefaction material, where the “200” and “300”</w:t>
      </w:r>
      <w:r w:rsidR="000B3AA9">
        <w:rPr>
          <w:rFonts w:ascii="Arial" w:eastAsia="Times New Roman" w:hAnsi="Arial" w:cs="Times New Roman"/>
          <w:sz w:val="18"/>
          <w:szCs w:val="20"/>
          <w:lang w:val="en-US"/>
        </w:rPr>
        <w:t xml:space="preserve"> </w:t>
      </w:r>
      <w:r>
        <w:rPr>
          <w:rFonts w:ascii="Arial" w:eastAsia="Times New Roman" w:hAnsi="Arial" w:cs="Times New Roman"/>
          <w:sz w:val="18"/>
          <w:szCs w:val="20"/>
          <w:lang w:val="en-US"/>
        </w:rPr>
        <w:t xml:space="preserve">means the </w:t>
      </w:r>
      <w:proofErr w:type="spellStart"/>
      <w:r>
        <w:rPr>
          <w:rFonts w:ascii="Arial" w:eastAsia="Times New Roman" w:hAnsi="Arial" w:cs="Times New Roman"/>
          <w:sz w:val="18"/>
          <w:szCs w:val="20"/>
          <w:lang w:val="en-US"/>
        </w:rPr>
        <w:t>preatreating</w:t>
      </w:r>
      <w:proofErr w:type="spellEnd"/>
      <w:r>
        <w:rPr>
          <w:rFonts w:ascii="Arial" w:eastAsia="Times New Roman" w:hAnsi="Arial" w:cs="Times New Roman"/>
          <w:sz w:val="18"/>
          <w:szCs w:val="20"/>
          <w:lang w:val="en-US"/>
        </w:rPr>
        <w:t xml:space="preserve"> temperature, and the “800” and “900” presents the temperature of gasification, while “st” means the steam implementation. </w:t>
      </w:r>
      <w:r w:rsidR="009A03A4">
        <w:rPr>
          <w:rFonts w:ascii="Arial" w:eastAsia="Times New Roman" w:hAnsi="Arial" w:cs="Times New Roman"/>
          <w:sz w:val="18"/>
          <w:szCs w:val="20"/>
          <w:lang w:val="en-US"/>
        </w:rPr>
        <w:t xml:space="preserve">In </w:t>
      </w:r>
      <w:r w:rsidR="009A03A4" w:rsidRPr="002B2118">
        <w:rPr>
          <w:rFonts w:ascii="Arial" w:eastAsia="Times New Roman" w:hAnsi="Arial" w:cs="Times New Roman"/>
          <w:i/>
          <w:sz w:val="18"/>
          <w:szCs w:val="20"/>
          <w:lang w:val="en-US"/>
        </w:rPr>
        <w:t>Figure 1 (a) and (b)</w:t>
      </w:r>
      <w:r w:rsidR="009A03A4">
        <w:rPr>
          <w:rFonts w:ascii="Arial" w:eastAsia="Times New Roman" w:hAnsi="Arial" w:cs="Times New Roman"/>
          <w:sz w:val="18"/>
          <w:szCs w:val="20"/>
          <w:lang w:val="en-US"/>
        </w:rPr>
        <w:t xml:space="preserve">, the first column depicts the composition arisen during the 200°C and 300°C pretreatment. </w:t>
      </w:r>
      <w:proofErr w:type="gramStart"/>
      <w:r w:rsidR="008948C5">
        <w:rPr>
          <w:rFonts w:ascii="Arial" w:eastAsia="Times New Roman" w:hAnsi="Arial" w:cs="Times New Roman"/>
          <w:sz w:val="18"/>
          <w:szCs w:val="20"/>
          <w:lang w:val="en-US"/>
        </w:rPr>
        <w:t>As</w:t>
      </w:r>
      <w:r w:rsidR="009A03A4">
        <w:rPr>
          <w:rFonts w:ascii="Arial" w:eastAsia="Times New Roman" w:hAnsi="Arial" w:cs="Times New Roman"/>
          <w:sz w:val="18"/>
          <w:szCs w:val="20"/>
          <w:lang w:val="en-US"/>
        </w:rPr>
        <w:t xml:space="preserve"> </w:t>
      </w:r>
      <w:r w:rsidR="008948C5">
        <w:rPr>
          <w:rFonts w:ascii="Arial" w:eastAsia="Times New Roman" w:hAnsi="Arial" w:cs="Times New Roman"/>
          <w:sz w:val="18"/>
          <w:szCs w:val="20"/>
          <w:lang w:val="en-US"/>
        </w:rPr>
        <w:t>it</w:t>
      </w:r>
      <w:proofErr w:type="gramEnd"/>
      <w:r w:rsidR="008948C5">
        <w:rPr>
          <w:rFonts w:ascii="Arial" w:eastAsia="Times New Roman" w:hAnsi="Arial" w:cs="Times New Roman"/>
          <w:sz w:val="18"/>
          <w:szCs w:val="20"/>
          <w:lang w:val="en-US"/>
        </w:rPr>
        <w:t xml:space="preserve"> </w:t>
      </w:r>
      <w:r w:rsidR="009A03A4">
        <w:rPr>
          <w:rFonts w:ascii="Arial" w:eastAsia="Times New Roman" w:hAnsi="Arial" w:cs="Times New Roman"/>
          <w:sz w:val="18"/>
          <w:szCs w:val="20"/>
          <w:lang w:val="en-US"/>
        </w:rPr>
        <w:t xml:space="preserve">can be seen, the most dominant component is </w:t>
      </w:r>
      <w:r w:rsidR="001C7214">
        <w:rPr>
          <w:rFonts w:ascii="Arial" w:eastAsia="Times New Roman" w:hAnsi="Arial" w:cs="Times New Roman"/>
          <w:sz w:val="18"/>
          <w:szCs w:val="20"/>
          <w:lang w:val="en-US"/>
        </w:rPr>
        <w:t>carbon</w:t>
      </w:r>
      <w:r w:rsidR="009A03A4">
        <w:rPr>
          <w:rFonts w:ascii="Arial" w:eastAsia="Times New Roman" w:hAnsi="Arial" w:cs="Times New Roman"/>
          <w:sz w:val="18"/>
          <w:szCs w:val="20"/>
          <w:lang w:val="en-US"/>
        </w:rPr>
        <w:t xml:space="preserve"> dioxide with its 50-55 % value. This can be explained by the </w:t>
      </w:r>
      <w:r w:rsidR="009A03A4" w:rsidRPr="009A03A4">
        <w:rPr>
          <w:rFonts w:ascii="Arial" w:eastAsia="Times New Roman" w:hAnsi="Arial" w:cs="Times New Roman"/>
          <w:sz w:val="18"/>
          <w:szCs w:val="20"/>
          <w:lang w:val="en-US"/>
        </w:rPr>
        <w:t>dominant process</w:t>
      </w:r>
      <w:r w:rsidR="009A03A4">
        <w:rPr>
          <w:rFonts w:ascii="Arial" w:eastAsia="Times New Roman" w:hAnsi="Arial" w:cs="Times New Roman"/>
          <w:sz w:val="18"/>
          <w:szCs w:val="20"/>
          <w:lang w:val="en-US"/>
        </w:rPr>
        <w:t xml:space="preserve"> of p</w:t>
      </w:r>
      <w:r w:rsidR="009A03A4" w:rsidRPr="009A03A4">
        <w:rPr>
          <w:rFonts w:ascii="Arial" w:eastAsia="Times New Roman" w:hAnsi="Arial" w:cs="Times New Roman"/>
          <w:sz w:val="18"/>
          <w:szCs w:val="20"/>
          <w:lang w:val="en-US"/>
        </w:rPr>
        <w:t>rimary devolatilization</w:t>
      </w:r>
      <w:r w:rsidR="009A03A4">
        <w:rPr>
          <w:rFonts w:ascii="Arial" w:eastAsia="Times New Roman" w:hAnsi="Arial" w:cs="Times New Roman"/>
          <w:sz w:val="18"/>
          <w:szCs w:val="20"/>
          <w:lang w:val="en-US"/>
        </w:rPr>
        <w:t xml:space="preserve">, also, </w:t>
      </w:r>
      <w:r w:rsidR="002B2118">
        <w:rPr>
          <w:rFonts w:ascii="Arial" w:eastAsia="Times New Roman" w:hAnsi="Arial" w:cs="Times New Roman"/>
          <w:sz w:val="18"/>
          <w:szCs w:val="20"/>
          <w:lang w:val="en-US"/>
        </w:rPr>
        <w:t xml:space="preserve">with </w:t>
      </w:r>
      <w:r w:rsidR="009A03A4">
        <w:rPr>
          <w:rFonts w:ascii="Arial" w:eastAsia="Times New Roman" w:hAnsi="Arial" w:cs="Times New Roman"/>
          <w:sz w:val="18"/>
          <w:szCs w:val="20"/>
          <w:lang w:val="en-US"/>
        </w:rPr>
        <w:t>the</w:t>
      </w:r>
      <w:r w:rsidR="002B2118">
        <w:rPr>
          <w:rFonts w:ascii="Arial" w:eastAsia="Times New Roman" w:hAnsi="Arial" w:cs="Times New Roman"/>
          <w:sz w:val="18"/>
          <w:szCs w:val="20"/>
          <w:lang w:val="en-US"/>
        </w:rPr>
        <w:t xml:space="preserve"> limited</w:t>
      </w:r>
      <w:r w:rsidR="009A03A4">
        <w:rPr>
          <w:rFonts w:ascii="Arial" w:eastAsia="Times New Roman" w:hAnsi="Arial" w:cs="Times New Roman"/>
          <w:sz w:val="18"/>
          <w:szCs w:val="20"/>
          <w:lang w:val="en-US"/>
        </w:rPr>
        <w:t xml:space="preserve"> s</w:t>
      </w:r>
      <w:r w:rsidR="009A03A4" w:rsidRPr="009A03A4">
        <w:rPr>
          <w:rFonts w:ascii="Arial" w:eastAsia="Times New Roman" w:hAnsi="Arial" w:cs="Times New Roman"/>
          <w:sz w:val="18"/>
          <w:szCs w:val="20"/>
          <w:lang w:val="en-US"/>
        </w:rPr>
        <w:t>econdary cracking reactions.</w:t>
      </w:r>
      <w:r w:rsidR="009A03A4">
        <w:rPr>
          <w:rFonts w:ascii="Arial" w:eastAsia="Times New Roman" w:hAnsi="Arial" w:cs="Times New Roman"/>
          <w:sz w:val="18"/>
          <w:szCs w:val="20"/>
          <w:lang w:val="en-US"/>
        </w:rPr>
        <w:t xml:space="preserve"> Nevertheless, at 200-300°C the o</w:t>
      </w:r>
      <w:r w:rsidR="009A03A4" w:rsidRPr="009A03A4">
        <w:rPr>
          <w:rFonts w:ascii="Arial" w:eastAsia="Times New Roman" w:hAnsi="Arial" w:cs="Times New Roman"/>
          <w:sz w:val="18"/>
          <w:szCs w:val="20"/>
          <w:lang w:val="en-US"/>
        </w:rPr>
        <w:t xml:space="preserve">xygenated functional groups decompose, </w:t>
      </w:r>
      <w:r w:rsidR="009A03A4">
        <w:rPr>
          <w:rFonts w:ascii="Arial" w:eastAsia="Times New Roman" w:hAnsi="Arial" w:cs="Times New Roman"/>
          <w:sz w:val="18"/>
          <w:szCs w:val="20"/>
          <w:lang w:val="en-US"/>
        </w:rPr>
        <w:t xml:space="preserve">which </w:t>
      </w:r>
      <w:proofErr w:type="gramStart"/>
      <w:r w:rsidR="009A03A4">
        <w:rPr>
          <w:rFonts w:ascii="Arial" w:eastAsia="Times New Roman" w:hAnsi="Arial" w:cs="Times New Roman"/>
          <w:sz w:val="18"/>
          <w:szCs w:val="20"/>
          <w:lang w:val="en-US"/>
        </w:rPr>
        <w:t xml:space="preserve">are </w:t>
      </w:r>
      <w:r w:rsidR="009A03A4" w:rsidRPr="009A03A4">
        <w:rPr>
          <w:rFonts w:ascii="Arial" w:eastAsia="Times New Roman" w:hAnsi="Arial" w:cs="Times New Roman"/>
          <w:sz w:val="18"/>
          <w:szCs w:val="20"/>
          <w:lang w:val="en-US"/>
        </w:rPr>
        <w:t>forming</w:t>
      </w:r>
      <w:proofErr w:type="gramEnd"/>
      <w:r w:rsidR="009A03A4" w:rsidRPr="009A03A4">
        <w:rPr>
          <w:rFonts w:ascii="Arial" w:eastAsia="Times New Roman" w:hAnsi="Arial" w:cs="Times New Roman"/>
          <w:sz w:val="18"/>
          <w:szCs w:val="20"/>
          <w:lang w:val="en-US"/>
        </w:rPr>
        <w:t xml:space="preserve"> CO</w:t>
      </w:r>
      <w:r w:rsidR="002B2118" w:rsidRPr="002B2118">
        <w:rPr>
          <w:rFonts w:ascii="Arial" w:eastAsia="Times New Roman" w:hAnsi="Arial" w:cs="Arial"/>
          <w:sz w:val="18"/>
          <w:szCs w:val="20"/>
          <w:vertAlign w:val="subscript"/>
          <w:lang w:val="en-US"/>
        </w:rPr>
        <w:t>2</w:t>
      </w:r>
      <w:r w:rsidR="009A03A4" w:rsidRPr="009A03A4">
        <w:rPr>
          <w:rFonts w:ascii="Arial" w:eastAsia="Times New Roman" w:hAnsi="Arial" w:cs="Times New Roman"/>
          <w:sz w:val="18"/>
          <w:szCs w:val="20"/>
          <w:lang w:val="en-US"/>
        </w:rPr>
        <w:t xml:space="preserve"> through decarboxylation</w:t>
      </w:r>
      <w:r w:rsidR="009A03A4">
        <w:rPr>
          <w:rFonts w:ascii="Arial" w:eastAsia="Times New Roman" w:hAnsi="Arial" w:cs="Times New Roman"/>
          <w:sz w:val="18"/>
          <w:szCs w:val="20"/>
          <w:lang w:val="en-US"/>
        </w:rPr>
        <w:t>, while the h</w:t>
      </w:r>
      <w:r w:rsidR="009A03A4" w:rsidRPr="009A03A4">
        <w:rPr>
          <w:rFonts w:ascii="Arial" w:eastAsia="Times New Roman" w:hAnsi="Arial" w:cs="Times New Roman"/>
          <w:sz w:val="18"/>
          <w:szCs w:val="20"/>
          <w:lang w:val="en-US"/>
        </w:rPr>
        <w:t>eavy hydrocarbons are not sufficiently cracked into lighter gases</w:t>
      </w:r>
      <w:r w:rsidR="009A03A4" w:rsidRPr="00C1391F">
        <w:rPr>
          <w:rFonts w:ascii="Arial" w:eastAsia="Times New Roman" w:hAnsi="Arial" w:cs="Times New Roman"/>
          <w:sz w:val="18"/>
          <w:szCs w:val="20"/>
        </w:rPr>
        <w:t xml:space="preserve">, which results in incomplete gas </w:t>
      </w:r>
      <w:r w:rsidR="009A03A4" w:rsidRPr="008948C5">
        <w:rPr>
          <w:rFonts w:ascii="Arial" w:eastAsia="Times New Roman" w:hAnsi="Arial" w:cs="Times New Roman"/>
          <w:sz w:val="18"/>
          <w:szCs w:val="20"/>
        </w:rPr>
        <w:t>upgrading and limited syngas formation.</w:t>
      </w:r>
      <w:r w:rsidR="008948C5" w:rsidRPr="008948C5">
        <w:rPr>
          <w:rFonts w:ascii="Arial" w:eastAsia="Times New Roman" w:hAnsi="Arial" w:cs="Times New Roman"/>
          <w:sz w:val="18"/>
          <w:szCs w:val="20"/>
        </w:rPr>
        <w:t xml:space="preserve"> Hence, at 200°C mainly the moisture content is arising while at 300°C </w:t>
      </w:r>
      <w:r w:rsidR="008948C5" w:rsidRPr="008948C5">
        <w:rPr>
          <w:rFonts w:ascii="Arial" w:eastAsia="Times New Roman" w:hAnsi="Arial"/>
          <w:sz w:val="18"/>
          <w:szCs w:val="20"/>
        </w:rPr>
        <w:t xml:space="preserve">more </w:t>
      </w:r>
      <w:proofErr w:type="spellStart"/>
      <w:r w:rsidR="008948C5" w:rsidRPr="008948C5">
        <w:rPr>
          <w:rFonts w:ascii="Arial" w:eastAsia="Times New Roman" w:hAnsi="Arial"/>
          <w:sz w:val="18"/>
          <w:szCs w:val="20"/>
        </w:rPr>
        <w:t>hemicellulosic</w:t>
      </w:r>
      <w:proofErr w:type="spellEnd"/>
      <w:r w:rsidR="008948C5" w:rsidRPr="008948C5">
        <w:rPr>
          <w:rFonts w:ascii="Arial" w:eastAsia="Times New Roman" w:hAnsi="Arial"/>
          <w:sz w:val="18"/>
          <w:szCs w:val="20"/>
        </w:rPr>
        <w:t xml:space="preserve"> and part of cellulosic part can be decomposed, </w:t>
      </w:r>
      <w:r w:rsidR="002B2118">
        <w:rPr>
          <w:rFonts w:ascii="Arial" w:eastAsia="Times New Roman" w:hAnsi="Arial"/>
          <w:sz w:val="18"/>
          <w:szCs w:val="20"/>
        </w:rPr>
        <w:t xml:space="preserve">also </w:t>
      </w:r>
      <w:r w:rsidR="008948C5" w:rsidRPr="008948C5">
        <w:rPr>
          <w:rFonts w:ascii="Arial" w:eastAsia="Times New Roman" w:hAnsi="Arial"/>
          <w:sz w:val="18"/>
          <w:szCs w:val="20"/>
        </w:rPr>
        <w:t>the o</w:t>
      </w:r>
      <w:r w:rsidR="008948C5" w:rsidRPr="008948C5">
        <w:rPr>
          <w:rFonts w:ascii="Arial" w:eastAsia="Times New Roman" w:hAnsi="Arial" w:cs="Times New Roman"/>
          <w:sz w:val="18"/>
          <w:szCs w:val="20"/>
        </w:rPr>
        <w:t>xygen containing groups can be further removed and the solid biochar becomes richer in fixed carbon</w:t>
      </w:r>
      <w:r w:rsidR="008948C5">
        <w:rPr>
          <w:rFonts w:ascii="Arial" w:eastAsia="Times New Roman" w:hAnsi="Arial" w:cs="Times New Roman"/>
          <w:sz w:val="18"/>
          <w:szCs w:val="20"/>
        </w:rPr>
        <w:t>.</w:t>
      </w:r>
      <w:r w:rsidR="00C1391F" w:rsidRPr="008948C5">
        <w:rPr>
          <w:rFonts w:ascii="Arial" w:eastAsia="Times New Roman" w:hAnsi="Arial" w:cs="Times New Roman"/>
          <w:sz w:val="18"/>
          <w:szCs w:val="20"/>
        </w:rPr>
        <w:t xml:space="preserve">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3C03EB" w:rsidRPr="003C03EB" w14:paraId="6F89564C" w14:textId="77777777" w:rsidTr="009A03A4">
        <w:tc>
          <w:tcPr>
            <w:tcW w:w="4393" w:type="dxa"/>
          </w:tcPr>
          <w:p w14:paraId="42A7B16B" w14:textId="77777777" w:rsidR="003C03EB" w:rsidRPr="003C03EB" w:rsidRDefault="003C03EB" w:rsidP="00246DB9">
            <w:pPr>
              <w:tabs>
                <w:tab w:val="right" w:pos="7100"/>
              </w:tabs>
              <w:spacing w:line="264" w:lineRule="auto"/>
              <w:jc w:val="both"/>
              <w:rPr>
                <w:rFonts w:ascii="Arial" w:hAnsi="Arial"/>
                <w:sz w:val="18"/>
                <w:szCs w:val="20"/>
                <w:lang w:val="en-US"/>
              </w:rPr>
            </w:pPr>
            <w:r w:rsidRPr="003C03EB">
              <w:rPr>
                <w:rFonts w:ascii="Arial" w:hAnsi="Arial"/>
                <w:noProof/>
                <w:sz w:val="18"/>
                <w:szCs w:val="20"/>
                <w:lang w:eastAsia="en-GB"/>
              </w:rPr>
              <w:drawing>
                <wp:inline distT="0" distB="0" distL="0" distR="0" wp14:anchorId="06666AA6" wp14:editId="22161928">
                  <wp:extent cx="2950879" cy="2160000"/>
                  <wp:effectExtent l="0" t="0" r="190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0879" cy="2160000"/>
                          </a:xfrm>
                          <a:prstGeom prst="rect">
                            <a:avLst/>
                          </a:prstGeom>
                          <a:noFill/>
                          <a:ln>
                            <a:noFill/>
                          </a:ln>
                        </pic:spPr>
                      </pic:pic>
                    </a:graphicData>
                  </a:graphic>
                </wp:inline>
              </w:drawing>
            </w:r>
          </w:p>
        </w:tc>
        <w:tc>
          <w:tcPr>
            <w:tcW w:w="4394" w:type="dxa"/>
          </w:tcPr>
          <w:p w14:paraId="364E290B" w14:textId="77777777" w:rsidR="003C03EB" w:rsidRPr="003C03EB" w:rsidRDefault="003C03EB" w:rsidP="00246DB9">
            <w:pPr>
              <w:tabs>
                <w:tab w:val="right" w:pos="7100"/>
              </w:tabs>
              <w:spacing w:line="264" w:lineRule="auto"/>
              <w:jc w:val="both"/>
              <w:rPr>
                <w:rFonts w:ascii="Arial" w:hAnsi="Arial"/>
                <w:sz w:val="18"/>
                <w:szCs w:val="20"/>
                <w:lang w:val="en-US"/>
              </w:rPr>
            </w:pPr>
            <w:r w:rsidRPr="003C03EB">
              <w:rPr>
                <w:rFonts w:ascii="Arial" w:hAnsi="Arial"/>
                <w:noProof/>
                <w:sz w:val="18"/>
                <w:szCs w:val="20"/>
                <w:lang w:eastAsia="en-GB"/>
              </w:rPr>
              <w:drawing>
                <wp:inline distT="0" distB="0" distL="0" distR="0" wp14:anchorId="3BF204A9" wp14:editId="4EA98DFA">
                  <wp:extent cx="2950879" cy="2160000"/>
                  <wp:effectExtent l="0" t="0" r="190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879" cy="2160000"/>
                          </a:xfrm>
                          <a:prstGeom prst="rect">
                            <a:avLst/>
                          </a:prstGeom>
                          <a:noFill/>
                          <a:ln>
                            <a:noFill/>
                          </a:ln>
                        </pic:spPr>
                      </pic:pic>
                    </a:graphicData>
                  </a:graphic>
                </wp:inline>
              </w:drawing>
            </w:r>
          </w:p>
        </w:tc>
      </w:tr>
      <w:tr w:rsidR="003C03EB" w:rsidRPr="003C03EB" w14:paraId="7F309C71" w14:textId="77777777" w:rsidTr="009A03A4">
        <w:tc>
          <w:tcPr>
            <w:tcW w:w="4393" w:type="dxa"/>
          </w:tcPr>
          <w:p w14:paraId="02C09082" w14:textId="77777777" w:rsidR="003C03EB" w:rsidRPr="003C03EB" w:rsidRDefault="003C03EB" w:rsidP="003C03EB">
            <w:pPr>
              <w:tabs>
                <w:tab w:val="right" w:pos="7100"/>
              </w:tabs>
              <w:spacing w:line="264" w:lineRule="auto"/>
              <w:jc w:val="center"/>
              <w:rPr>
                <w:rFonts w:ascii="Arial" w:hAnsi="Arial"/>
                <w:sz w:val="18"/>
                <w:szCs w:val="20"/>
                <w:lang w:val="en-US"/>
              </w:rPr>
            </w:pPr>
            <w:r>
              <w:rPr>
                <w:rFonts w:ascii="Arial" w:hAnsi="Arial"/>
                <w:sz w:val="18"/>
                <w:szCs w:val="20"/>
                <w:lang w:val="en-US"/>
              </w:rPr>
              <w:t>(a)</w:t>
            </w:r>
          </w:p>
        </w:tc>
        <w:tc>
          <w:tcPr>
            <w:tcW w:w="4394" w:type="dxa"/>
          </w:tcPr>
          <w:p w14:paraId="3074781C" w14:textId="77777777" w:rsidR="003C03EB" w:rsidRPr="003C03EB" w:rsidRDefault="003C03EB" w:rsidP="003C03EB">
            <w:pPr>
              <w:tabs>
                <w:tab w:val="right" w:pos="7100"/>
              </w:tabs>
              <w:spacing w:line="264" w:lineRule="auto"/>
              <w:jc w:val="center"/>
              <w:rPr>
                <w:rFonts w:ascii="Arial" w:hAnsi="Arial"/>
                <w:sz w:val="18"/>
                <w:szCs w:val="20"/>
                <w:lang w:val="en-US"/>
              </w:rPr>
            </w:pPr>
            <w:r>
              <w:rPr>
                <w:rFonts w:ascii="Arial" w:hAnsi="Arial"/>
                <w:sz w:val="18"/>
                <w:szCs w:val="20"/>
                <w:lang w:val="en-US"/>
              </w:rPr>
              <w:t>(b)</w:t>
            </w:r>
          </w:p>
        </w:tc>
      </w:tr>
    </w:tbl>
    <w:p w14:paraId="72F03E16" w14:textId="6257F931" w:rsidR="009A03A4" w:rsidRDefault="009A03A4" w:rsidP="009B1363">
      <w:pPr>
        <w:pStyle w:val="CETCaption"/>
        <w:spacing w:before="0" w:after="120"/>
      </w:pPr>
      <w:r w:rsidRPr="009A03A4">
        <w:rPr>
          <w:rStyle w:val="CETCaptionCarattere"/>
          <w:i/>
          <w:iCs/>
        </w:rPr>
        <w:t>Figure 1: the composition of gas at different temperatures: (a) pretreated biomass at 200°C, (b)</w:t>
      </w:r>
      <w:r w:rsidRPr="009A03A4">
        <w:rPr>
          <w:i w:val="0"/>
          <w:iCs/>
        </w:rPr>
        <w:t xml:space="preserve"> pretreated </w:t>
      </w:r>
      <w:r w:rsidRPr="009A03A4">
        <w:t>biomass at 300°C</w:t>
      </w:r>
    </w:p>
    <w:p w14:paraId="2AB9C342" w14:textId="3126D5A4" w:rsidR="009B1363" w:rsidRPr="009B1363" w:rsidRDefault="009B1363" w:rsidP="009B1363">
      <w:pPr>
        <w:tabs>
          <w:tab w:val="num" w:pos="720"/>
          <w:tab w:val="right" w:pos="7100"/>
        </w:tabs>
        <w:spacing w:after="0" w:line="264" w:lineRule="auto"/>
        <w:jc w:val="both"/>
      </w:pPr>
      <w:r>
        <w:rPr>
          <w:rFonts w:ascii="Arial" w:eastAsia="Times New Roman" w:hAnsi="Arial" w:cs="Times New Roman"/>
          <w:sz w:val="18"/>
          <w:szCs w:val="20"/>
        </w:rPr>
        <w:t xml:space="preserve">Owing to the mentioned reasons, the following reactions could take place besides the gasification reactions: </w:t>
      </w:r>
      <w:proofErr w:type="spellStart"/>
      <w:r>
        <w:rPr>
          <w:rFonts w:ascii="Arial" w:eastAsia="Times New Roman" w:hAnsi="Arial" w:cs="Times New Roman"/>
          <w:sz w:val="18"/>
          <w:szCs w:val="20"/>
        </w:rPr>
        <w:t>Boudouard</w:t>
      </w:r>
      <w:proofErr w:type="spellEnd"/>
      <w:r>
        <w:rPr>
          <w:rFonts w:ascii="Arial" w:eastAsia="Times New Roman" w:hAnsi="Arial" w:cs="Times New Roman"/>
          <w:sz w:val="18"/>
          <w:szCs w:val="20"/>
        </w:rPr>
        <w:t xml:space="preserve"> reaction and char-steam reaction. Therefore, i</w:t>
      </w:r>
      <w:r w:rsidRPr="00C1391F">
        <w:rPr>
          <w:rFonts w:ascii="Arial" w:eastAsia="Times New Roman" w:hAnsi="Arial" w:cs="Times New Roman"/>
          <w:sz w:val="18"/>
          <w:szCs w:val="20"/>
        </w:rPr>
        <w:t>ncrem</w:t>
      </w:r>
      <w:r>
        <w:rPr>
          <w:rFonts w:ascii="Arial" w:eastAsia="Times New Roman" w:hAnsi="Arial" w:cs="Times New Roman"/>
          <w:sz w:val="18"/>
          <w:szCs w:val="20"/>
        </w:rPr>
        <w:t>ent</w:t>
      </w:r>
      <w:r w:rsidRPr="00C1391F">
        <w:rPr>
          <w:rFonts w:ascii="Arial" w:eastAsia="Times New Roman" w:hAnsi="Arial" w:cs="Times New Roman"/>
          <w:sz w:val="18"/>
          <w:szCs w:val="20"/>
        </w:rPr>
        <w:t xml:space="preserve"> in CO</w:t>
      </w:r>
      <w:r>
        <w:rPr>
          <w:rFonts w:ascii="Arial" w:eastAsia="Times New Roman" w:hAnsi="Arial" w:cs="Times New Roman"/>
          <w:sz w:val="18"/>
          <w:szCs w:val="20"/>
        </w:rPr>
        <w:t xml:space="preserve"> (from ~16% to 15-20%) and H</w:t>
      </w:r>
      <w:r w:rsidRPr="00C1391F">
        <w:rPr>
          <w:rFonts w:ascii="Arial" w:eastAsia="Times New Roman" w:hAnsi="Arial" w:cs="Times New Roman"/>
          <w:sz w:val="18"/>
          <w:szCs w:val="20"/>
          <w:vertAlign w:val="subscript"/>
        </w:rPr>
        <w:t>2</w:t>
      </w:r>
      <w:r w:rsidRPr="00C1391F">
        <w:rPr>
          <w:rFonts w:ascii="Arial" w:eastAsia="Times New Roman" w:hAnsi="Arial" w:cs="Times New Roman"/>
          <w:sz w:val="18"/>
          <w:szCs w:val="20"/>
        </w:rPr>
        <w:t xml:space="preserve"> </w:t>
      </w:r>
      <w:r>
        <w:rPr>
          <w:rFonts w:ascii="Arial" w:eastAsia="Times New Roman" w:hAnsi="Arial" w:cs="Times New Roman"/>
          <w:sz w:val="18"/>
          <w:szCs w:val="20"/>
        </w:rPr>
        <w:t>(from ~4% to 20-41%) can be seen which is mainly</w:t>
      </w:r>
      <w:r w:rsidRPr="00C1391F">
        <w:rPr>
          <w:rFonts w:ascii="Arial" w:eastAsia="Times New Roman" w:hAnsi="Arial" w:cs="Times New Roman"/>
          <w:sz w:val="18"/>
          <w:szCs w:val="20"/>
        </w:rPr>
        <w:t xml:space="preserve"> from carbon conversion</w:t>
      </w:r>
      <w:r>
        <w:rPr>
          <w:rFonts w:ascii="Arial" w:eastAsia="Times New Roman" w:hAnsi="Arial" w:cs="Times New Roman"/>
          <w:sz w:val="18"/>
          <w:szCs w:val="20"/>
        </w:rPr>
        <w:t xml:space="preserve"> and steam-carbon reactions, while the decrement in CO</w:t>
      </w:r>
      <w:r w:rsidRPr="00C1391F">
        <w:rPr>
          <w:rFonts w:ascii="Arial" w:eastAsia="Times New Roman" w:hAnsi="Arial" w:cs="Times New Roman"/>
          <w:sz w:val="18"/>
          <w:szCs w:val="20"/>
          <w:vertAlign w:val="subscript"/>
        </w:rPr>
        <w:t>2</w:t>
      </w:r>
      <w:r>
        <w:rPr>
          <w:rFonts w:ascii="Arial" w:eastAsia="Times New Roman" w:hAnsi="Arial" w:cs="Times New Roman"/>
          <w:sz w:val="18"/>
          <w:szCs w:val="20"/>
          <w:vertAlign w:val="subscript"/>
        </w:rPr>
        <w:t xml:space="preserve"> </w:t>
      </w:r>
      <w:r>
        <w:rPr>
          <w:rFonts w:ascii="Arial" w:eastAsia="Times New Roman" w:hAnsi="Arial" w:cs="Times New Roman"/>
          <w:sz w:val="18"/>
          <w:szCs w:val="20"/>
        </w:rPr>
        <w:t>(with almost 53-55% decrement) and C</w:t>
      </w:r>
      <w:r w:rsidRPr="00C1391F">
        <w:rPr>
          <w:rFonts w:ascii="Arial" w:eastAsia="Times New Roman" w:hAnsi="Arial" w:cs="Times New Roman"/>
          <w:sz w:val="18"/>
          <w:szCs w:val="20"/>
          <w:vertAlign w:val="subscript"/>
        </w:rPr>
        <w:t>2-5</w:t>
      </w:r>
      <w:r>
        <w:rPr>
          <w:rFonts w:ascii="Arial" w:eastAsia="Times New Roman" w:hAnsi="Arial" w:cs="Times New Roman"/>
          <w:sz w:val="18"/>
          <w:szCs w:val="20"/>
        </w:rPr>
        <w:t xml:space="preserve"> (with ~2-5% decrease) has occurred due to the </w:t>
      </w:r>
      <w:r w:rsidRPr="009B1363">
        <w:rPr>
          <w:rFonts w:ascii="Arial" w:eastAsia="Times New Roman" w:hAnsi="Arial" w:cs="Times New Roman"/>
          <w:sz w:val="18"/>
          <w:szCs w:val="20"/>
        </w:rPr>
        <w:t>reduction and secondary reactions. Besides, in case of the amount of C</w:t>
      </w:r>
      <w:r w:rsidRPr="009B1363">
        <w:rPr>
          <w:rFonts w:ascii="Arial" w:eastAsia="Times New Roman" w:hAnsi="Arial" w:cs="Times New Roman"/>
          <w:sz w:val="18"/>
          <w:szCs w:val="20"/>
          <w:vertAlign w:val="subscript"/>
        </w:rPr>
        <w:t>2-5</w:t>
      </w:r>
      <w:r w:rsidRPr="009B1363">
        <w:rPr>
          <w:rFonts w:ascii="Arial" w:eastAsia="Times New Roman" w:hAnsi="Arial" w:cs="Times New Roman"/>
          <w:sz w:val="18"/>
          <w:szCs w:val="20"/>
        </w:rPr>
        <w:t xml:space="preserve"> a slight increase can be observed with the implementation of steam, which can be explained by the </w:t>
      </w:r>
      <w:r w:rsidRPr="009B1363">
        <w:rPr>
          <w:rFonts w:ascii="Arial" w:eastAsia="Times New Roman" w:hAnsi="Arial"/>
          <w:sz w:val="18"/>
          <w:szCs w:val="20"/>
        </w:rPr>
        <w:t>higher H</w:t>
      </w:r>
      <w:r w:rsidRPr="009B1363">
        <w:rPr>
          <w:rFonts w:ascii="Arial" w:eastAsia="Times New Roman" w:hAnsi="Arial" w:cs="Arial"/>
          <w:sz w:val="18"/>
          <w:szCs w:val="20"/>
          <w:vertAlign w:val="subscript"/>
          <w:lang w:val="en-US"/>
        </w:rPr>
        <w:t>2</w:t>
      </w:r>
      <w:r w:rsidRPr="009B1363">
        <w:rPr>
          <w:rFonts w:ascii="Arial" w:eastAsia="Times New Roman" w:hAnsi="Arial"/>
          <w:sz w:val="18"/>
          <w:szCs w:val="20"/>
        </w:rPr>
        <w:t xml:space="preserve"> partial pressure which can promote the h</w:t>
      </w:r>
      <w:r w:rsidRPr="009B1363">
        <w:rPr>
          <w:rFonts w:ascii="Arial" w:eastAsia="Times New Roman" w:hAnsi="Arial" w:cs="Times New Roman"/>
          <w:sz w:val="18"/>
          <w:szCs w:val="20"/>
        </w:rPr>
        <w:t xml:space="preserve">ydrogenation of carbon fragments and the stabilization of light hydrocarbons resulting in ethane, propane etc. Also, the steam implementation can </w:t>
      </w:r>
      <w:r w:rsidRPr="009B1363">
        <w:rPr>
          <w:rFonts w:ascii="Arial" w:eastAsia="Times New Roman" w:hAnsi="Arial"/>
          <w:sz w:val="18"/>
          <w:szCs w:val="20"/>
        </w:rPr>
        <w:t>produce s</w:t>
      </w:r>
      <w:r w:rsidRPr="009B1363">
        <w:rPr>
          <w:rFonts w:ascii="Arial" w:eastAsia="Times New Roman" w:hAnsi="Arial" w:cs="Times New Roman"/>
          <w:sz w:val="18"/>
          <w:szCs w:val="20"/>
        </w:rPr>
        <w:t>urface active carbon radicals and active sites, eventuating the recombination of fragments into smaller carbon number hydrocarbons.</w:t>
      </w:r>
      <w:r>
        <w:rPr>
          <w:rFonts w:ascii="Arial" w:eastAsia="Times New Roman" w:hAnsi="Arial" w:cs="Times New Roman"/>
          <w:sz w:val="18"/>
          <w:szCs w:val="20"/>
        </w:rPr>
        <w:t xml:space="preserve"> </w:t>
      </w:r>
      <w:r w:rsidRPr="009B1363">
        <w:rPr>
          <w:rFonts w:ascii="Arial" w:eastAsia="Times New Roman" w:hAnsi="Arial" w:cs="Times New Roman"/>
          <w:sz w:val="18"/>
          <w:szCs w:val="20"/>
        </w:rPr>
        <w:t xml:space="preserve">However, it can be said that the biochar pretreated at 200°C then it is </w:t>
      </w:r>
      <w:proofErr w:type="spellStart"/>
      <w:r w:rsidRPr="009B1363">
        <w:rPr>
          <w:rFonts w:ascii="Arial" w:eastAsia="Times New Roman" w:hAnsi="Arial" w:cs="Times New Roman"/>
          <w:sz w:val="18"/>
          <w:szCs w:val="20"/>
        </w:rPr>
        <w:t>gasificated</w:t>
      </w:r>
      <w:proofErr w:type="spellEnd"/>
      <w:r w:rsidRPr="009B1363">
        <w:rPr>
          <w:rFonts w:ascii="Arial" w:eastAsia="Times New Roman" w:hAnsi="Arial" w:cs="Times New Roman"/>
          <w:sz w:val="18"/>
          <w:szCs w:val="20"/>
        </w:rPr>
        <w:t xml:space="preserve"> at higher temperatures (800-900°C), the gas composition shifts from CO</w:t>
      </w:r>
      <w:r w:rsidRPr="009B1363">
        <w:rPr>
          <w:rFonts w:ascii="Arial" w:eastAsia="Times New Roman" w:hAnsi="Arial" w:cs="Arial"/>
          <w:sz w:val="18"/>
          <w:szCs w:val="20"/>
          <w:vertAlign w:val="subscript"/>
          <w:lang w:val="en-US"/>
        </w:rPr>
        <w:t>2</w:t>
      </w:r>
      <w:r w:rsidRPr="009B1363">
        <w:rPr>
          <w:rFonts w:ascii="Cambria Math" w:eastAsia="Times New Roman" w:hAnsi="Cambria Math" w:cs="Cambria Math"/>
          <w:sz w:val="18"/>
          <w:szCs w:val="20"/>
        </w:rPr>
        <w:t xml:space="preserve"> </w:t>
      </w:r>
      <w:r w:rsidRPr="009B1363">
        <w:rPr>
          <w:rFonts w:ascii="Arial" w:eastAsia="Times New Roman" w:hAnsi="Arial" w:cs="Times New Roman"/>
          <w:sz w:val="18"/>
          <w:szCs w:val="20"/>
        </w:rPr>
        <w:t>dominated into syngas rich. This shift is primarily driven by heterogeneous char gasification reactions rather than primary biomass devolatilization. The addition of steam further enhances hydrogen production via steam</w:t>
      </w:r>
      <w:r w:rsidRPr="009B1363">
        <w:rPr>
          <w:rFonts w:ascii="Arial" w:eastAsia="Times New Roman" w:hAnsi="Arial" w:cs="Arial"/>
          <w:sz w:val="18"/>
          <w:szCs w:val="20"/>
        </w:rPr>
        <w:t>-</w:t>
      </w:r>
      <w:r w:rsidRPr="009B1363">
        <w:rPr>
          <w:rFonts w:ascii="Arial" w:eastAsia="Times New Roman" w:hAnsi="Arial" w:cs="Times New Roman"/>
          <w:sz w:val="18"/>
          <w:szCs w:val="20"/>
        </w:rPr>
        <w:t xml:space="preserve">carbon and reforming reactions. Therefore, the observed compositional changes reflect progressive </w:t>
      </w:r>
      <w:r w:rsidRPr="009B1363">
        <w:rPr>
          <w:rFonts w:ascii="Arial" w:eastAsia="Times New Roman" w:hAnsi="Arial" w:cs="Times New Roman"/>
          <w:sz w:val="18"/>
          <w:szCs w:val="20"/>
        </w:rPr>
        <w:lastRenderedPageBreak/>
        <w:t xml:space="preserve">carbon conversion and gas upgrading of the pre-formed biochar. Besides, </w:t>
      </w:r>
      <w:r w:rsidRPr="009B1363">
        <w:rPr>
          <w:rFonts w:ascii="Arial" w:eastAsia="Times New Roman" w:hAnsi="Arial"/>
          <w:sz w:val="18"/>
          <w:szCs w:val="20"/>
        </w:rPr>
        <w:t>increasing pretreatment temperature from 200°C to 300°C could produce a more carbonized and reactive biochar. During subsequent high temperature treatment, gas production is more strongly governed by heterogeneous char gasification reactions rather than volatile cracking. Steam addition continues to enhance hydrogen production through steam-carbon reactions, and the persistence (or slight increase) of C</w:t>
      </w:r>
      <w:r w:rsidRPr="009B1363">
        <w:rPr>
          <w:rFonts w:ascii="Arial" w:eastAsia="Times New Roman" w:hAnsi="Arial" w:cs="Arial"/>
          <w:sz w:val="18"/>
          <w:szCs w:val="20"/>
          <w:vertAlign w:val="subscript"/>
          <w:lang w:val="en-US"/>
        </w:rPr>
        <w:t>2-5</w:t>
      </w:r>
      <w:r w:rsidRPr="009B1363">
        <w:rPr>
          <w:rFonts w:ascii="Arial" w:eastAsia="Times New Roman" w:hAnsi="Arial"/>
          <w:sz w:val="18"/>
          <w:szCs w:val="20"/>
        </w:rPr>
        <w:t xml:space="preserve"> hydrocarbons suggests kinetic limitations in reforming reactions under the applied conditions.</w:t>
      </w:r>
    </w:p>
    <w:p w14:paraId="6C6B5E8C" w14:textId="626E55C4" w:rsidR="00A210D7" w:rsidRPr="00A210D7" w:rsidRDefault="001238AA" w:rsidP="00A210D7">
      <w:pPr>
        <w:keepNext/>
        <w:numPr>
          <w:ilvl w:val="2"/>
          <w:numId w:val="1"/>
        </w:numPr>
        <w:suppressAutoHyphens/>
        <w:spacing w:before="120" w:after="120" w:line="240" w:lineRule="auto"/>
        <w:rPr>
          <w:rFonts w:ascii="Arial" w:eastAsia="Times New Roman" w:hAnsi="Arial" w:cs="Times New Roman"/>
          <w:b/>
          <w:sz w:val="18"/>
          <w:szCs w:val="20"/>
          <w:lang w:val="en-US"/>
        </w:rPr>
      </w:pPr>
      <w:r w:rsidRPr="001238AA">
        <w:rPr>
          <w:rFonts w:ascii="Arial" w:eastAsia="Times New Roman" w:hAnsi="Arial" w:cs="Times New Roman"/>
          <w:b/>
          <w:sz w:val="18"/>
          <w:szCs w:val="20"/>
          <w:highlight w:val="yellow"/>
          <w:lang w:val="en-US"/>
        </w:rPr>
        <w:t>Py-</w:t>
      </w:r>
      <w:r w:rsidR="003C03EB" w:rsidRPr="001238AA">
        <w:rPr>
          <w:rFonts w:ascii="Arial" w:eastAsia="Times New Roman" w:hAnsi="Arial" w:cs="Times New Roman"/>
          <w:b/>
          <w:sz w:val="18"/>
          <w:szCs w:val="20"/>
          <w:highlight w:val="yellow"/>
          <w:lang w:val="en-US"/>
        </w:rPr>
        <w:t>GCMS</w:t>
      </w:r>
      <w:r w:rsidR="003C03EB">
        <w:rPr>
          <w:rFonts w:ascii="Arial" w:eastAsia="Times New Roman" w:hAnsi="Arial" w:cs="Times New Roman"/>
          <w:b/>
          <w:sz w:val="18"/>
          <w:szCs w:val="20"/>
          <w:lang w:val="en-US"/>
        </w:rPr>
        <w:t xml:space="preserve"> analysis of </w:t>
      </w:r>
      <w:r w:rsidR="00811786">
        <w:rPr>
          <w:rFonts w:ascii="Arial" w:eastAsia="Times New Roman" w:hAnsi="Arial" w:cs="Times New Roman"/>
          <w:b/>
          <w:sz w:val="18"/>
          <w:szCs w:val="20"/>
          <w:lang w:val="en-US"/>
        </w:rPr>
        <w:t>pretreated biomas</w:t>
      </w:r>
      <w:r w:rsidR="00A210D7">
        <w:rPr>
          <w:rFonts w:ascii="Arial" w:eastAsia="Times New Roman" w:hAnsi="Arial" w:cs="Times New Roman"/>
          <w:b/>
          <w:sz w:val="18"/>
          <w:szCs w:val="20"/>
          <w:lang w:val="en-US"/>
        </w:rPr>
        <w:t>s</w:t>
      </w:r>
    </w:p>
    <w:p w14:paraId="358B114E" w14:textId="0B85BD4B" w:rsidR="00C57CA2" w:rsidRDefault="00C57CA2" w:rsidP="00C57CA2">
      <w:pPr>
        <w:pStyle w:val="CETBodytext"/>
      </w:pPr>
      <w:r>
        <w:t xml:space="preserve">The </w:t>
      </w:r>
      <w:proofErr w:type="spellStart"/>
      <w:r w:rsidR="001238AA">
        <w:rPr>
          <w:highlight w:val="yellow"/>
        </w:rPr>
        <w:t>p</w:t>
      </w:r>
      <w:r w:rsidR="001238AA" w:rsidRPr="001238AA">
        <w:rPr>
          <w:highlight w:val="yellow"/>
        </w:rPr>
        <w:t>y</w:t>
      </w:r>
      <w:proofErr w:type="spellEnd"/>
      <w:r w:rsidR="001238AA" w:rsidRPr="001238AA">
        <w:rPr>
          <w:highlight w:val="yellow"/>
        </w:rPr>
        <w:t>-</w:t>
      </w:r>
      <w:r w:rsidRPr="001238AA">
        <w:rPr>
          <w:highlight w:val="yellow"/>
        </w:rPr>
        <w:t>GCMS</w:t>
      </w:r>
      <w:r>
        <w:t xml:space="preserve"> analysis </w:t>
      </w:r>
      <w:r w:rsidR="00C7455D">
        <w:t>(</w:t>
      </w:r>
      <w:r w:rsidR="00C7455D" w:rsidRPr="002B2118">
        <w:rPr>
          <w:bCs/>
          <w:i/>
          <w:iCs/>
        </w:rPr>
        <w:t>Table 1</w:t>
      </w:r>
      <w:r w:rsidR="00C7455D" w:rsidRPr="002B2118">
        <w:t>.</w:t>
      </w:r>
      <w:r w:rsidR="00C7455D">
        <w:t xml:space="preserve">) </w:t>
      </w:r>
      <w:r>
        <w:t xml:space="preserve">demonstrates a clear and progressive chemical transformation of the biomass during thermal pretreatment at 200°C and 300°C, characterized by deoxygenation, structural rearrangement, and increasing aromaticity. </w:t>
      </w:r>
      <w:r w:rsidR="001238AA" w:rsidRPr="001238AA">
        <w:rPr>
          <w:highlight w:val="yellow"/>
        </w:rPr>
        <w:t>The pyrolator of the GCMS was used at 700°C, where the mentioned materials were placed inside of it and the arisen components during pyrolysis are summarized in Table 1.</w:t>
      </w:r>
      <w:r w:rsidR="001238AA">
        <w:t xml:space="preserve"> </w:t>
      </w:r>
      <w:r>
        <w:t xml:space="preserve">A significant decrease in carboxylic acids is observed, from 20.21 % in raw biomass to 14.79 % at 200°C and further to 10.63 % at 300°C, representing an overall. This </w:t>
      </w:r>
      <w:r w:rsidR="00C64754">
        <w:t>significant</w:t>
      </w:r>
      <w:r>
        <w:t xml:space="preserve"> decline confirms that decarboxylation reactions occur during pretreatment, which directly explains the strong CO</w:t>
      </w:r>
      <w:r w:rsidR="00C64754" w:rsidRPr="002B2118">
        <w:rPr>
          <w:rFonts w:cs="Arial"/>
          <w:vertAlign w:val="subscript"/>
        </w:rPr>
        <w:t>2</w:t>
      </w:r>
      <w:r>
        <w:t xml:space="preserve"> formation observed in the low</w:t>
      </w:r>
      <w:r w:rsidR="00C64754">
        <w:t xml:space="preserve"> </w:t>
      </w:r>
      <w:r>
        <w:t>temperature gas phase. The reduction of acidic functional groups at higher pretreatment temperature suggests a lower intrinsic potential for CO</w:t>
      </w:r>
      <w:r w:rsidR="00C64754" w:rsidRPr="002B2118">
        <w:rPr>
          <w:rFonts w:cs="Arial"/>
          <w:vertAlign w:val="subscript"/>
        </w:rPr>
        <w:t>2</w:t>
      </w:r>
      <w:r>
        <w:t xml:space="preserve"> evolution during subsequent high</w:t>
      </w:r>
      <w:r w:rsidR="00C64754">
        <w:t xml:space="preserve"> </w:t>
      </w:r>
      <w:r>
        <w:t xml:space="preserve">temperature treatment. Simultaneously, aromatic compounds increase </w:t>
      </w:r>
      <w:r w:rsidR="00C64754">
        <w:t>notably</w:t>
      </w:r>
      <w:r>
        <w:t xml:space="preserve">, from 0.75 % in raw biomass to 7.75 % at 200°C and 8.45 % at 300°C, corresponding to more than a tenfold increase compared to the untreated material. </w:t>
      </w:r>
    </w:p>
    <w:p w14:paraId="21FD4793" w14:textId="47167CFB" w:rsidR="00D949C8" w:rsidRPr="00B57B36" w:rsidRDefault="00D949C8" w:rsidP="00C64754">
      <w:pPr>
        <w:pStyle w:val="CETTabletitle"/>
        <w:spacing w:before="120"/>
      </w:pPr>
      <w:r w:rsidRPr="00B57B36">
        <w:t>Table 1:</w:t>
      </w:r>
      <w:r>
        <w:t xml:space="preserve"> </w:t>
      </w:r>
      <w:r w:rsidR="00583229">
        <w:t>t</w:t>
      </w:r>
      <w:r>
        <w:t>he group composition of raw and pretreated biomass</w:t>
      </w:r>
    </w:p>
    <w:tbl>
      <w:tblPr>
        <w:tblW w:w="7938" w:type="dxa"/>
        <w:tblBorders>
          <w:top w:val="single" w:sz="12" w:space="0" w:color="70AD47" w:themeColor="accent6"/>
          <w:bottom w:val="single" w:sz="12" w:space="0" w:color="70AD47" w:themeColor="accent6"/>
        </w:tblBorders>
        <w:tblCellMar>
          <w:left w:w="70" w:type="dxa"/>
          <w:right w:w="70" w:type="dxa"/>
        </w:tblCellMar>
        <w:tblLook w:val="04A0" w:firstRow="1" w:lastRow="0" w:firstColumn="1" w:lastColumn="0" w:noHBand="0" w:noVBand="1"/>
      </w:tblPr>
      <w:tblGrid>
        <w:gridCol w:w="2977"/>
        <w:gridCol w:w="1276"/>
        <w:gridCol w:w="1843"/>
        <w:gridCol w:w="1842"/>
      </w:tblGrid>
      <w:tr w:rsidR="00A210D7" w:rsidRPr="007678DE" w14:paraId="3CC6D363" w14:textId="77777777" w:rsidTr="009B1363">
        <w:trPr>
          <w:trHeight w:val="170"/>
        </w:trPr>
        <w:tc>
          <w:tcPr>
            <w:tcW w:w="2977" w:type="dxa"/>
            <w:tcBorders>
              <w:top w:val="single" w:sz="12" w:space="0" w:color="70AD47" w:themeColor="accent6"/>
              <w:bottom w:val="single" w:sz="12" w:space="0" w:color="70AD47" w:themeColor="accent6"/>
            </w:tcBorders>
            <w:noWrap/>
            <w:vAlign w:val="bottom"/>
            <w:hideMark/>
          </w:tcPr>
          <w:p w14:paraId="7534A57C" w14:textId="77777777" w:rsidR="00A210D7" w:rsidRPr="007678DE" w:rsidRDefault="00A210D7" w:rsidP="00A210D7">
            <w:pPr>
              <w:pStyle w:val="CETBodytext"/>
              <w:spacing w:line="240" w:lineRule="auto"/>
              <w:rPr>
                <w:b/>
                <w:bCs/>
                <w:sz w:val="16"/>
                <w:szCs w:val="16"/>
                <w:lang w:val="en-GB"/>
              </w:rPr>
            </w:pPr>
          </w:p>
        </w:tc>
        <w:tc>
          <w:tcPr>
            <w:tcW w:w="1276" w:type="dxa"/>
            <w:tcBorders>
              <w:top w:val="single" w:sz="12" w:space="0" w:color="70AD47" w:themeColor="accent6"/>
              <w:bottom w:val="single" w:sz="12" w:space="0" w:color="70AD47" w:themeColor="accent6"/>
            </w:tcBorders>
            <w:noWrap/>
            <w:vAlign w:val="bottom"/>
            <w:hideMark/>
          </w:tcPr>
          <w:p w14:paraId="7FBD8DF7" w14:textId="04358C54" w:rsidR="00A210D7" w:rsidRPr="007678DE" w:rsidRDefault="00A210D7" w:rsidP="009B1363">
            <w:pPr>
              <w:pStyle w:val="CETBodytext"/>
              <w:spacing w:line="240" w:lineRule="auto"/>
              <w:jc w:val="center"/>
              <w:rPr>
                <w:b/>
                <w:bCs/>
                <w:sz w:val="16"/>
                <w:szCs w:val="16"/>
                <w:lang w:val="en-GB"/>
              </w:rPr>
            </w:pPr>
            <w:r w:rsidRPr="007678DE">
              <w:rPr>
                <w:b/>
                <w:bCs/>
                <w:sz w:val="16"/>
                <w:szCs w:val="16"/>
                <w:lang w:val="en-GB"/>
              </w:rPr>
              <w:t>Raw biomass</w:t>
            </w:r>
          </w:p>
        </w:tc>
        <w:tc>
          <w:tcPr>
            <w:tcW w:w="1843" w:type="dxa"/>
            <w:tcBorders>
              <w:top w:val="single" w:sz="12" w:space="0" w:color="70AD47" w:themeColor="accent6"/>
              <w:bottom w:val="single" w:sz="12" w:space="0" w:color="70AD47" w:themeColor="accent6"/>
            </w:tcBorders>
            <w:noWrap/>
            <w:vAlign w:val="bottom"/>
            <w:hideMark/>
          </w:tcPr>
          <w:p w14:paraId="25FC29C1" w14:textId="5C1B93AA" w:rsidR="00A210D7" w:rsidRPr="007678DE" w:rsidRDefault="00A210D7" w:rsidP="009B1363">
            <w:pPr>
              <w:pStyle w:val="CETBodytext"/>
              <w:spacing w:line="240" w:lineRule="auto"/>
              <w:jc w:val="center"/>
              <w:rPr>
                <w:b/>
                <w:bCs/>
                <w:sz w:val="16"/>
                <w:szCs w:val="16"/>
                <w:lang w:val="en-GB"/>
              </w:rPr>
            </w:pPr>
            <w:r w:rsidRPr="007678DE">
              <w:rPr>
                <w:b/>
                <w:bCs/>
                <w:sz w:val="16"/>
                <w:szCs w:val="16"/>
                <w:lang w:val="en-GB"/>
              </w:rPr>
              <w:t>Pretreated BM_2</w:t>
            </w:r>
            <w:r w:rsidR="00D949C8" w:rsidRPr="007678DE">
              <w:rPr>
                <w:b/>
                <w:bCs/>
                <w:sz w:val="16"/>
                <w:szCs w:val="16"/>
                <w:lang w:val="en-GB"/>
              </w:rPr>
              <w:t>0</w:t>
            </w:r>
            <w:r w:rsidRPr="007678DE">
              <w:rPr>
                <w:b/>
                <w:bCs/>
                <w:sz w:val="16"/>
                <w:szCs w:val="16"/>
                <w:lang w:val="en-GB"/>
              </w:rPr>
              <w:t>0°C</w:t>
            </w:r>
          </w:p>
        </w:tc>
        <w:tc>
          <w:tcPr>
            <w:tcW w:w="1842" w:type="dxa"/>
            <w:tcBorders>
              <w:top w:val="single" w:sz="12" w:space="0" w:color="70AD47" w:themeColor="accent6"/>
              <w:bottom w:val="single" w:sz="12" w:space="0" w:color="70AD47" w:themeColor="accent6"/>
            </w:tcBorders>
            <w:noWrap/>
            <w:vAlign w:val="bottom"/>
            <w:hideMark/>
          </w:tcPr>
          <w:p w14:paraId="55DA8FAD" w14:textId="612D057A" w:rsidR="00A210D7" w:rsidRPr="007678DE" w:rsidRDefault="00A210D7" w:rsidP="009B1363">
            <w:pPr>
              <w:pStyle w:val="CETBodytext"/>
              <w:spacing w:line="240" w:lineRule="auto"/>
              <w:jc w:val="center"/>
              <w:rPr>
                <w:b/>
                <w:bCs/>
                <w:sz w:val="16"/>
                <w:szCs w:val="16"/>
                <w:lang w:val="en-GB"/>
              </w:rPr>
            </w:pPr>
            <w:r w:rsidRPr="007678DE">
              <w:rPr>
                <w:b/>
                <w:bCs/>
                <w:sz w:val="16"/>
                <w:szCs w:val="16"/>
                <w:lang w:val="en-GB"/>
              </w:rPr>
              <w:t>Pretreated BM</w:t>
            </w:r>
            <w:r w:rsidR="00D949C8" w:rsidRPr="007678DE">
              <w:rPr>
                <w:b/>
                <w:bCs/>
                <w:sz w:val="16"/>
                <w:szCs w:val="16"/>
                <w:lang w:val="en-GB"/>
              </w:rPr>
              <w:t>_30</w:t>
            </w:r>
            <w:r w:rsidRPr="007678DE">
              <w:rPr>
                <w:b/>
                <w:bCs/>
                <w:sz w:val="16"/>
                <w:szCs w:val="16"/>
                <w:lang w:val="en-GB"/>
              </w:rPr>
              <w:t>0°C</w:t>
            </w:r>
          </w:p>
        </w:tc>
      </w:tr>
      <w:tr w:rsidR="00A210D7" w:rsidRPr="007678DE" w14:paraId="7859A1CB" w14:textId="77777777" w:rsidTr="009B1363">
        <w:trPr>
          <w:trHeight w:val="170"/>
        </w:trPr>
        <w:tc>
          <w:tcPr>
            <w:tcW w:w="2977" w:type="dxa"/>
            <w:tcBorders>
              <w:top w:val="single" w:sz="12" w:space="0" w:color="70AD47" w:themeColor="accent6"/>
            </w:tcBorders>
            <w:noWrap/>
            <w:vAlign w:val="bottom"/>
            <w:hideMark/>
          </w:tcPr>
          <w:p w14:paraId="32A85A40" w14:textId="77777777" w:rsidR="00A210D7" w:rsidRPr="007678DE" w:rsidRDefault="00A210D7" w:rsidP="00A210D7">
            <w:pPr>
              <w:pStyle w:val="CETBodytext"/>
              <w:spacing w:line="240" w:lineRule="auto"/>
              <w:rPr>
                <w:sz w:val="16"/>
                <w:szCs w:val="16"/>
                <w:lang w:val="en-GB"/>
              </w:rPr>
            </w:pPr>
            <w:r w:rsidRPr="007678DE">
              <w:rPr>
                <w:sz w:val="16"/>
                <w:szCs w:val="16"/>
                <w:lang w:val="en-GB"/>
              </w:rPr>
              <w:t>Paraffins</w:t>
            </w:r>
          </w:p>
        </w:tc>
        <w:tc>
          <w:tcPr>
            <w:tcW w:w="1276" w:type="dxa"/>
            <w:tcBorders>
              <w:top w:val="single" w:sz="12" w:space="0" w:color="70AD47" w:themeColor="accent6"/>
            </w:tcBorders>
            <w:noWrap/>
            <w:vAlign w:val="bottom"/>
            <w:hideMark/>
          </w:tcPr>
          <w:p w14:paraId="7F9B288E" w14:textId="3649C604" w:rsidR="00A210D7" w:rsidRPr="007678DE" w:rsidRDefault="00A210D7" w:rsidP="00D949C8">
            <w:pPr>
              <w:pStyle w:val="CETBodytext"/>
              <w:spacing w:line="240" w:lineRule="auto"/>
              <w:jc w:val="center"/>
              <w:rPr>
                <w:sz w:val="16"/>
                <w:szCs w:val="16"/>
                <w:lang w:val="en-GB"/>
              </w:rPr>
            </w:pPr>
            <w:r w:rsidRPr="007678DE">
              <w:rPr>
                <w:sz w:val="16"/>
                <w:szCs w:val="16"/>
                <w:lang w:val="en-GB"/>
              </w:rPr>
              <w:t>9</w:t>
            </w:r>
            <w:r w:rsidR="00D949C8" w:rsidRPr="007678DE">
              <w:rPr>
                <w:sz w:val="16"/>
                <w:szCs w:val="16"/>
                <w:lang w:val="en-GB"/>
              </w:rPr>
              <w:t>.</w:t>
            </w:r>
            <w:r w:rsidRPr="007678DE">
              <w:rPr>
                <w:sz w:val="16"/>
                <w:szCs w:val="16"/>
                <w:lang w:val="en-GB"/>
              </w:rPr>
              <w:t>18</w:t>
            </w:r>
          </w:p>
        </w:tc>
        <w:tc>
          <w:tcPr>
            <w:tcW w:w="1843" w:type="dxa"/>
            <w:tcBorders>
              <w:top w:val="single" w:sz="12" w:space="0" w:color="70AD47" w:themeColor="accent6"/>
            </w:tcBorders>
            <w:noWrap/>
            <w:vAlign w:val="bottom"/>
            <w:hideMark/>
          </w:tcPr>
          <w:p w14:paraId="7E6FD195" w14:textId="3E1BF7F2" w:rsidR="00A210D7" w:rsidRPr="007678DE" w:rsidRDefault="00A210D7" w:rsidP="00D949C8">
            <w:pPr>
              <w:pStyle w:val="CETBodytext"/>
              <w:spacing w:line="240" w:lineRule="auto"/>
              <w:jc w:val="center"/>
              <w:rPr>
                <w:sz w:val="16"/>
                <w:szCs w:val="16"/>
                <w:lang w:val="en-GB"/>
              </w:rPr>
            </w:pPr>
            <w:r w:rsidRPr="007678DE">
              <w:rPr>
                <w:sz w:val="16"/>
                <w:szCs w:val="16"/>
                <w:lang w:val="en-GB"/>
              </w:rPr>
              <w:t>2</w:t>
            </w:r>
            <w:r w:rsidR="00D949C8" w:rsidRPr="007678DE">
              <w:rPr>
                <w:sz w:val="16"/>
                <w:szCs w:val="16"/>
                <w:lang w:val="en-GB"/>
              </w:rPr>
              <w:t>.</w:t>
            </w:r>
            <w:r w:rsidRPr="007678DE">
              <w:rPr>
                <w:sz w:val="16"/>
                <w:szCs w:val="16"/>
                <w:lang w:val="en-GB"/>
              </w:rPr>
              <w:t>16</w:t>
            </w:r>
          </w:p>
        </w:tc>
        <w:tc>
          <w:tcPr>
            <w:tcW w:w="1842" w:type="dxa"/>
            <w:tcBorders>
              <w:top w:val="single" w:sz="12" w:space="0" w:color="70AD47" w:themeColor="accent6"/>
            </w:tcBorders>
            <w:noWrap/>
            <w:vAlign w:val="bottom"/>
            <w:hideMark/>
          </w:tcPr>
          <w:p w14:paraId="22C84707" w14:textId="7938AD3A" w:rsidR="00A210D7" w:rsidRPr="007678DE" w:rsidRDefault="00A210D7" w:rsidP="00D949C8">
            <w:pPr>
              <w:pStyle w:val="CETBodytext"/>
              <w:spacing w:line="240" w:lineRule="auto"/>
              <w:jc w:val="center"/>
              <w:rPr>
                <w:sz w:val="16"/>
                <w:szCs w:val="16"/>
                <w:lang w:val="en-GB"/>
              </w:rPr>
            </w:pPr>
            <w:r w:rsidRPr="007678DE">
              <w:rPr>
                <w:sz w:val="16"/>
                <w:szCs w:val="16"/>
                <w:lang w:val="en-GB"/>
              </w:rPr>
              <w:t>5</w:t>
            </w:r>
            <w:r w:rsidR="00D949C8" w:rsidRPr="007678DE">
              <w:rPr>
                <w:sz w:val="16"/>
                <w:szCs w:val="16"/>
                <w:lang w:val="en-GB"/>
              </w:rPr>
              <w:t>.</w:t>
            </w:r>
            <w:r w:rsidRPr="007678DE">
              <w:rPr>
                <w:sz w:val="16"/>
                <w:szCs w:val="16"/>
                <w:lang w:val="en-GB"/>
              </w:rPr>
              <w:t>4</w:t>
            </w:r>
            <w:r w:rsidR="00D949C8" w:rsidRPr="007678DE">
              <w:rPr>
                <w:sz w:val="16"/>
                <w:szCs w:val="16"/>
                <w:lang w:val="en-GB"/>
              </w:rPr>
              <w:t>0</w:t>
            </w:r>
          </w:p>
        </w:tc>
      </w:tr>
      <w:tr w:rsidR="00A210D7" w:rsidRPr="007678DE" w14:paraId="4CC76899" w14:textId="77777777" w:rsidTr="009B1363">
        <w:trPr>
          <w:trHeight w:val="170"/>
        </w:trPr>
        <w:tc>
          <w:tcPr>
            <w:tcW w:w="2977" w:type="dxa"/>
            <w:noWrap/>
            <w:vAlign w:val="bottom"/>
            <w:hideMark/>
          </w:tcPr>
          <w:p w14:paraId="21A0E92D" w14:textId="77777777" w:rsidR="00A210D7" w:rsidRPr="007678DE" w:rsidRDefault="00A210D7" w:rsidP="00A210D7">
            <w:pPr>
              <w:pStyle w:val="CETBodytext"/>
              <w:spacing w:line="240" w:lineRule="auto"/>
              <w:rPr>
                <w:sz w:val="16"/>
                <w:szCs w:val="16"/>
                <w:lang w:val="en-GB"/>
              </w:rPr>
            </w:pPr>
            <w:r w:rsidRPr="007678DE">
              <w:rPr>
                <w:sz w:val="16"/>
                <w:szCs w:val="16"/>
                <w:lang w:val="en-GB"/>
              </w:rPr>
              <w:t>Isomers</w:t>
            </w:r>
          </w:p>
        </w:tc>
        <w:tc>
          <w:tcPr>
            <w:tcW w:w="1276" w:type="dxa"/>
            <w:noWrap/>
            <w:vAlign w:val="bottom"/>
            <w:hideMark/>
          </w:tcPr>
          <w:p w14:paraId="351E23B6" w14:textId="0062CD4B" w:rsidR="00A210D7" w:rsidRPr="007678DE" w:rsidRDefault="00A210D7" w:rsidP="00D949C8">
            <w:pPr>
              <w:pStyle w:val="CETBodytext"/>
              <w:spacing w:line="240" w:lineRule="auto"/>
              <w:jc w:val="center"/>
              <w:rPr>
                <w:sz w:val="16"/>
                <w:szCs w:val="16"/>
                <w:lang w:val="en-GB"/>
              </w:rPr>
            </w:pPr>
            <w:r w:rsidRPr="007678DE">
              <w:rPr>
                <w:sz w:val="16"/>
                <w:szCs w:val="16"/>
                <w:lang w:val="en-GB"/>
              </w:rPr>
              <w:t>0</w:t>
            </w:r>
            <w:r w:rsidR="00D949C8" w:rsidRPr="007678DE">
              <w:rPr>
                <w:sz w:val="16"/>
                <w:szCs w:val="16"/>
                <w:lang w:val="en-GB"/>
              </w:rPr>
              <w:t>.</w:t>
            </w:r>
            <w:r w:rsidRPr="007678DE">
              <w:rPr>
                <w:sz w:val="16"/>
                <w:szCs w:val="16"/>
                <w:lang w:val="en-GB"/>
              </w:rPr>
              <w:t>79</w:t>
            </w:r>
          </w:p>
        </w:tc>
        <w:tc>
          <w:tcPr>
            <w:tcW w:w="1843" w:type="dxa"/>
            <w:noWrap/>
            <w:vAlign w:val="bottom"/>
            <w:hideMark/>
          </w:tcPr>
          <w:p w14:paraId="604CD814" w14:textId="326F4F7E" w:rsidR="00A210D7" w:rsidRPr="007678DE" w:rsidRDefault="00A210D7" w:rsidP="00D949C8">
            <w:pPr>
              <w:pStyle w:val="CETBodytext"/>
              <w:spacing w:line="240" w:lineRule="auto"/>
              <w:jc w:val="center"/>
              <w:rPr>
                <w:sz w:val="16"/>
                <w:szCs w:val="16"/>
                <w:lang w:val="en-GB"/>
              </w:rPr>
            </w:pPr>
            <w:r w:rsidRPr="007678DE">
              <w:rPr>
                <w:sz w:val="16"/>
                <w:szCs w:val="16"/>
                <w:lang w:val="en-GB"/>
              </w:rPr>
              <w:t>0</w:t>
            </w:r>
            <w:r w:rsidR="00D949C8" w:rsidRPr="007678DE">
              <w:rPr>
                <w:sz w:val="16"/>
                <w:szCs w:val="16"/>
                <w:lang w:val="en-GB"/>
              </w:rPr>
              <w:t>.</w:t>
            </w:r>
            <w:r w:rsidRPr="007678DE">
              <w:rPr>
                <w:sz w:val="16"/>
                <w:szCs w:val="16"/>
                <w:lang w:val="en-GB"/>
              </w:rPr>
              <w:t>38</w:t>
            </w:r>
          </w:p>
        </w:tc>
        <w:tc>
          <w:tcPr>
            <w:tcW w:w="1842" w:type="dxa"/>
            <w:noWrap/>
            <w:vAlign w:val="bottom"/>
            <w:hideMark/>
          </w:tcPr>
          <w:p w14:paraId="7F0A64BB" w14:textId="6361ABFD" w:rsidR="00A210D7" w:rsidRPr="007678DE" w:rsidRDefault="00A210D7" w:rsidP="00D949C8">
            <w:pPr>
              <w:pStyle w:val="CETBodytext"/>
              <w:spacing w:line="240" w:lineRule="auto"/>
              <w:jc w:val="center"/>
              <w:rPr>
                <w:sz w:val="16"/>
                <w:szCs w:val="16"/>
                <w:lang w:val="en-GB"/>
              </w:rPr>
            </w:pPr>
            <w:r w:rsidRPr="007678DE">
              <w:rPr>
                <w:sz w:val="16"/>
                <w:szCs w:val="16"/>
                <w:lang w:val="en-GB"/>
              </w:rPr>
              <w:t>0</w:t>
            </w:r>
            <w:r w:rsidR="00D949C8" w:rsidRPr="007678DE">
              <w:rPr>
                <w:sz w:val="16"/>
                <w:szCs w:val="16"/>
                <w:lang w:val="en-GB"/>
              </w:rPr>
              <w:t>.</w:t>
            </w:r>
            <w:r w:rsidRPr="007678DE">
              <w:rPr>
                <w:sz w:val="16"/>
                <w:szCs w:val="16"/>
                <w:lang w:val="en-GB"/>
              </w:rPr>
              <w:t>22</w:t>
            </w:r>
          </w:p>
        </w:tc>
      </w:tr>
      <w:tr w:rsidR="00A210D7" w:rsidRPr="007678DE" w14:paraId="13FE8C5A" w14:textId="77777777" w:rsidTr="009B1363">
        <w:trPr>
          <w:trHeight w:val="170"/>
        </w:trPr>
        <w:tc>
          <w:tcPr>
            <w:tcW w:w="2977" w:type="dxa"/>
            <w:noWrap/>
            <w:vAlign w:val="bottom"/>
            <w:hideMark/>
          </w:tcPr>
          <w:p w14:paraId="1904896E" w14:textId="77777777" w:rsidR="00A210D7" w:rsidRPr="007678DE" w:rsidRDefault="00A210D7" w:rsidP="00A210D7">
            <w:pPr>
              <w:pStyle w:val="CETBodytext"/>
              <w:spacing w:line="240" w:lineRule="auto"/>
              <w:rPr>
                <w:sz w:val="16"/>
                <w:szCs w:val="16"/>
                <w:lang w:val="en-GB"/>
              </w:rPr>
            </w:pPr>
            <w:r w:rsidRPr="007678DE">
              <w:rPr>
                <w:sz w:val="16"/>
                <w:szCs w:val="16"/>
                <w:lang w:val="en-GB"/>
              </w:rPr>
              <w:t>Olefins (unsaturated hydrocarbons)</w:t>
            </w:r>
          </w:p>
        </w:tc>
        <w:tc>
          <w:tcPr>
            <w:tcW w:w="1276" w:type="dxa"/>
            <w:noWrap/>
            <w:vAlign w:val="bottom"/>
            <w:hideMark/>
          </w:tcPr>
          <w:p w14:paraId="5E18FE40" w14:textId="41B380CC" w:rsidR="00A210D7" w:rsidRPr="007678DE" w:rsidRDefault="00A210D7" w:rsidP="00D949C8">
            <w:pPr>
              <w:pStyle w:val="CETBodytext"/>
              <w:spacing w:line="240" w:lineRule="auto"/>
              <w:jc w:val="center"/>
              <w:rPr>
                <w:sz w:val="16"/>
                <w:szCs w:val="16"/>
                <w:lang w:val="en-GB"/>
              </w:rPr>
            </w:pPr>
            <w:r w:rsidRPr="007678DE">
              <w:rPr>
                <w:sz w:val="16"/>
                <w:szCs w:val="16"/>
                <w:lang w:val="en-GB"/>
              </w:rPr>
              <w:t>10</w:t>
            </w:r>
            <w:r w:rsidR="00D949C8" w:rsidRPr="007678DE">
              <w:rPr>
                <w:sz w:val="16"/>
                <w:szCs w:val="16"/>
                <w:lang w:val="en-GB"/>
              </w:rPr>
              <w:t>.</w:t>
            </w:r>
            <w:r w:rsidRPr="007678DE">
              <w:rPr>
                <w:sz w:val="16"/>
                <w:szCs w:val="16"/>
                <w:lang w:val="en-GB"/>
              </w:rPr>
              <w:t>04</w:t>
            </w:r>
          </w:p>
        </w:tc>
        <w:tc>
          <w:tcPr>
            <w:tcW w:w="1843" w:type="dxa"/>
            <w:noWrap/>
            <w:vAlign w:val="bottom"/>
            <w:hideMark/>
          </w:tcPr>
          <w:p w14:paraId="7FDECD6A" w14:textId="04F87598" w:rsidR="00A210D7" w:rsidRPr="007678DE" w:rsidRDefault="00A210D7" w:rsidP="00D949C8">
            <w:pPr>
              <w:pStyle w:val="CETBodytext"/>
              <w:spacing w:line="240" w:lineRule="auto"/>
              <w:jc w:val="center"/>
              <w:rPr>
                <w:sz w:val="16"/>
                <w:szCs w:val="16"/>
                <w:lang w:val="en-GB"/>
              </w:rPr>
            </w:pPr>
            <w:r w:rsidRPr="007678DE">
              <w:rPr>
                <w:sz w:val="16"/>
                <w:szCs w:val="16"/>
                <w:lang w:val="en-GB"/>
              </w:rPr>
              <w:t>6</w:t>
            </w:r>
            <w:r w:rsidR="00D949C8" w:rsidRPr="007678DE">
              <w:rPr>
                <w:sz w:val="16"/>
                <w:szCs w:val="16"/>
                <w:lang w:val="en-GB"/>
              </w:rPr>
              <w:t>.</w:t>
            </w:r>
            <w:r w:rsidRPr="007678DE">
              <w:rPr>
                <w:sz w:val="16"/>
                <w:szCs w:val="16"/>
                <w:lang w:val="en-GB"/>
              </w:rPr>
              <w:t>46</w:t>
            </w:r>
          </w:p>
        </w:tc>
        <w:tc>
          <w:tcPr>
            <w:tcW w:w="1842" w:type="dxa"/>
            <w:noWrap/>
            <w:vAlign w:val="bottom"/>
            <w:hideMark/>
          </w:tcPr>
          <w:p w14:paraId="217B587E" w14:textId="5C482593" w:rsidR="00A210D7" w:rsidRPr="007678DE" w:rsidRDefault="00A210D7" w:rsidP="00D949C8">
            <w:pPr>
              <w:pStyle w:val="CETBodytext"/>
              <w:spacing w:line="240" w:lineRule="auto"/>
              <w:jc w:val="center"/>
              <w:rPr>
                <w:sz w:val="16"/>
                <w:szCs w:val="16"/>
                <w:lang w:val="en-GB"/>
              </w:rPr>
            </w:pPr>
            <w:r w:rsidRPr="007678DE">
              <w:rPr>
                <w:sz w:val="16"/>
                <w:szCs w:val="16"/>
                <w:lang w:val="en-GB"/>
              </w:rPr>
              <w:t>8</w:t>
            </w:r>
            <w:r w:rsidR="00D949C8" w:rsidRPr="007678DE">
              <w:rPr>
                <w:sz w:val="16"/>
                <w:szCs w:val="16"/>
                <w:lang w:val="en-GB"/>
              </w:rPr>
              <w:t>.</w:t>
            </w:r>
            <w:r w:rsidRPr="007678DE">
              <w:rPr>
                <w:sz w:val="16"/>
                <w:szCs w:val="16"/>
                <w:lang w:val="en-GB"/>
              </w:rPr>
              <w:t>15</w:t>
            </w:r>
          </w:p>
        </w:tc>
      </w:tr>
      <w:tr w:rsidR="00A210D7" w:rsidRPr="007678DE" w14:paraId="2C749661" w14:textId="77777777" w:rsidTr="009B1363">
        <w:trPr>
          <w:trHeight w:val="170"/>
        </w:trPr>
        <w:tc>
          <w:tcPr>
            <w:tcW w:w="2977" w:type="dxa"/>
            <w:noWrap/>
            <w:vAlign w:val="bottom"/>
            <w:hideMark/>
          </w:tcPr>
          <w:p w14:paraId="275B237A" w14:textId="44AA5A69" w:rsidR="00A210D7" w:rsidRPr="007678DE" w:rsidRDefault="00C7455D" w:rsidP="00A210D7">
            <w:pPr>
              <w:pStyle w:val="CETBodytext"/>
              <w:spacing w:line="240" w:lineRule="auto"/>
              <w:rPr>
                <w:sz w:val="16"/>
                <w:szCs w:val="16"/>
                <w:lang w:val="en-GB"/>
              </w:rPr>
            </w:pPr>
            <w:proofErr w:type="spellStart"/>
            <w:r w:rsidRPr="007678DE">
              <w:rPr>
                <w:sz w:val="16"/>
                <w:szCs w:val="16"/>
                <w:lang w:val="en-GB"/>
              </w:rPr>
              <w:t>Naphthens</w:t>
            </w:r>
            <w:proofErr w:type="spellEnd"/>
          </w:p>
        </w:tc>
        <w:tc>
          <w:tcPr>
            <w:tcW w:w="1276" w:type="dxa"/>
            <w:noWrap/>
            <w:vAlign w:val="bottom"/>
            <w:hideMark/>
          </w:tcPr>
          <w:p w14:paraId="6E6CBD6F" w14:textId="7A3D023D" w:rsidR="00A210D7" w:rsidRPr="007678DE" w:rsidRDefault="00A210D7" w:rsidP="00D949C8">
            <w:pPr>
              <w:pStyle w:val="CETBodytext"/>
              <w:spacing w:line="240" w:lineRule="auto"/>
              <w:jc w:val="center"/>
              <w:rPr>
                <w:sz w:val="16"/>
                <w:szCs w:val="16"/>
                <w:lang w:val="en-GB"/>
              </w:rPr>
            </w:pPr>
            <w:r w:rsidRPr="007678DE">
              <w:rPr>
                <w:sz w:val="16"/>
                <w:szCs w:val="16"/>
                <w:lang w:val="en-GB"/>
              </w:rPr>
              <w:t>2</w:t>
            </w:r>
            <w:r w:rsidR="00D949C8" w:rsidRPr="007678DE">
              <w:rPr>
                <w:sz w:val="16"/>
                <w:szCs w:val="16"/>
                <w:lang w:val="en-GB"/>
              </w:rPr>
              <w:t>.</w:t>
            </w:r>
            <w:r w:rsidRPr="007678DE">
              <w:rPr>
                <w:sz w:val="16"/>
                <w:szCs w:val="16"/>
                <w:lang w:val="en-GB"/>
              </w:rPr>
              <w:t>44</w:t>
            </w:r>
          </w:p>
        </w:tc>
        <w:tc>
          <w:tcPr>
            <w:tcW w:w="1843" w:type="dxa"/>
            <w:noWrap/>
            <w:vAlign w:val="bottom"/>
            <w:hideMark/>
          </w:tcPr>
          <w:p w14:paraId="5CAC3B6A" w14:textId="3E965F41" w:rsidR="00A210D7" w:rsidRPr="007678DE" w:rsidRDefault="00A210D7" w:rsidP="00D949C8">
            <w:pPr>
              <w:pStyle w:val="CETBodytext"/>
              <w:spacing w:line="240" w:lineRule="auto"/>
              <w:jc w:val="center"/>
              <w:rPr>
                <w:sz w:val="16"/>
                <w:szCs w:val="16"/>
                <w:lang w:val="en-GB"/>
              </w:rPr>
            </w:pPr>
            <w:r w:rsidRPr="007678DE">
              <w:rPr>
                <w:sz w:val="16"/>
                <w:szCs w:val="16"/>
                <w:lang w:val="en-GB"/>
              </w:rPr>
              <w:t>8</w:t>
            </w:r>
            <w:r w:rsidR="00D949C8" w:rsidRPr="007678DE">
              <w:rPr>
                <w:sz w:val="16"/>
                <w:szCs w:val="16"/>
                <w:lang w:val="en-GB"/>
              </w:rPr>
              <w:t>.</w:t>
            </w:r>
            <w:r w:rsidRPr="007678DE">
              <w:rPr>
                <w:sz w:val="16"/>
                <w:szCs w:val="16"/>
                <w:lang w:val="en-GB"/>
              </w:rPr>
              <w:t>63</w:t>
            </w:r>
          </w:p>
        </w:tc>
        <w:tc>
          <w:tcPr>
            <w:tcW w:w="1842" w:type="dxa"/>
            <w:noWrap/>
            <w:vAlign w:val="bottom"/>
            <w:hideMark/>
          </w:tcPr>
          <w:p w14:paraId="56704785" w14:textId="57A2B248" w:rsidR="00A210D7" w:rsidRPr="007678DE" w:rsidRDefault="00A210D7" w:rsidP="00D949C8">
            <w:pPr>
              <w:pStyle w:val="CETBodytext"/>
              <w:spacing w:line="240" w:lineRule="auto"/>
              <w:jc w:val="center"/>
              <w:rPr>
                <w:sz w:val="16"/>
                <w:szCs w:val="16"/>
                <w:lang w:val="en-GB"/>
              </w:rPr>
            </w:pPr>
            <w:r w:rsidRPr="007678DE">
              <w:rPr>
                <w:sz w:val="16"/>
                <w:szCs w:val="16"/>
                <w:lang w:val="en-GB"/>
              </w:rPr>
              <w:t>5</w:t>
            </w:r>
            <w:r w:rsidR="00D949C8" w:rsidRPr="007678DE">
              <w:rPr>
                <w:sz w:val="16"/>
                <w:szCs w:val="16"/>
                <w:lang w:val="en-GB"/>
              </w:rPr>
              <w:t>.</w:t>
            </w:r>
            <w:r w:rsidRPr="007678DE">
              <w:rPr>
                <w:sz w:val="16"/>
                <w:szCs w:val="16"/>
                <w:lang w:val="en-GB"/>
              </w:rPr>
              <w:t>42</w:t>
            </w:r>
          </w:p>
        </w:tc>
      </w:tr>
      <w:tr w:rsidR="00A210D7" w:rsidRPr="007678DE" w14:paraId="77B6CE29" w14:textId="77777777" w:rsidTr="009B1363">
        <w:trPr>
          <w:trHeight w:val="170"/>
        </w:trPr>
        <w:tc>
          <w:tcPr>
            <w:tcW w:w="2977" w:type="dxa"/>
            <w:noWrap/>
            <w:vAlign w:val="bottom"/>
            <w:hideMark/>
          </w:tcPr>
          <w:p w14:paraId="0FB9D1A5" w14:textId="77777777" w:rsidR="00A210D7" w:rsidRPr="007678DE" w:rsidRDefault="00A210D7" w:rsidP="00A210D7">
            <w:pPr>
              <w:pStyle w:val="CETBodytext"/>
              <w:spacing w:line="240" w:lineRule="auto"/>
              <w:rPr>
                <w:sz w:val="16"/>
                <w:szCs w:val="16"/>
                <w:lang w:val="en-GB"/>
              </w:rPr>
            </w:pPr>
            <w:r w:rsidRPr="007678DE">
              <w:rPr>
                <w:sz w:val="16"/>
                <w:szCs w:val="16"/>
                <w:lang w:val="en-GB"/>
              </w:rPr>
              <w:t>Aromatics</w:t>
            </w:r>
          </w:p>
        </w:tc>
        <w:tc>
          <w:tcPr>
            <w:tcW w:w="1276" w:type="dxa"/>
            <w:noWrap/>
            <w:vAlign w:val="bottom"/>
            <w:hideMark/>
          </w:tcPr>
          <w:p w14:paraId="66AC6894" w14:textId="338CAE7C" w:rsidR="00A210D7" w:rsidRPr="007678DE" w:rsidRDefault="00A210D7" w:rsidP="00D949C8">
            <w:pPr>
              <w:pStyle w:val="CETBodytext"/>
              <w:spacing w:line="240" w:lineRule="auto"/>
              <w:jc w:val="center"/>
              <w:rPr>
                <w:sz w:val="16"/>
                <w:szCs w:val="16"/>
                <w:lang w:val="en-GB"/>
              </w:rPr>
            </w:pPr>
            <w:r w:rsidRPr="007678DE">
              <w:rPr>
                <w:sz w:val="16"/>
                <w:szCs w:val="16"/>
                <w:lang w:val="en-GB"/>
              </w:rPr>
              <w:t>0</w:t>
            </w:r>
            <w:r w:rsidR="00D949C8" w:rsidRPr="007678DE">
              <w:rPr>
                <w:sz w:val="16"/>
                <w:szCs w:val="16"/>
                <w:lang w:val="en-GB"/>
              </w:rPr>
              <w:t>.</w:t>
            </w:r>
            <w:r w:rsidRPr="007678DE">
              <w:rPr>
                <w:sz w:val="16"/>
                <w:szCs w:val="16"/>
                <w:lang w:val="en-GB"/>
              </w:rPr>
              <w:t>75</w:t>
            </w:r>
          </w:p>
        </w:tc>
        <w:tc>
          <w:tcPr>
            <w:tcW w:w="1843" w:type="dxa"/>
            <w:noWrap/>
            <w:vAlign w:val="bottom"/>
            <w:hideMark/>
          </w:tcPr>
          <w:p w14:paraId="7F34D419" w14:textId="46881945" w:rsidR="00A210D7" w:rsidRPr="007678DE" w:rsidRDefault="00A210D7" w:rsidP="00D949C8">
            <w:pPr>
              <w:pStyle w:val="CETBodytext"/>
              <w:spacing w:line="240" w:lineRule="auto"/>
              <w:jc w:val="center"/>
              <w:rPr>
                <w:sz w:val="16"/>
                <w:szCs w:val="16"/>
                <w:lang w:val="en-GB"/>
              </w:rPr>
            </w:pPr>
            <w:r w:rsidRPr="007678DE">
              <w:rPr>
                <w:sz w:val="16"/>
                <w:szCs w:val="16"/>
                <w:lang w:val="en-GB"/>
              </w:rPr>
              <w:t>7</w:t>
            </w:r>
            <w:r w:rsidR="00D949C8" w:rsidRPr="007678DE">
              <w:rPr>
                <w:sz w:val="16"/>
                <w:szCs w:val="16"/>
                <w:lang w:val="en-GB"/>
              </w:rPr>
              <w:t>.</w:t>
            </w:r>
            <w:r w:rsidRPr="007678DE">
              <w:rPr>
                <w:sz w:val="16"/>
                <w:szCs w:val="16"/>
                <w:lang w:val="en-GB"/>
              </w:rPr>
              <w:t>75</w:t>
            </w:r>
          </w:p>
        </w:tc>
        <w:tc>
          <w:tcPr>
            <w:tcW w:w="1842" w:type="dxa"/>
            <w:noWrap/>
            <w:vAlign w:val="bottom"/>
            <w:hideMark/>
          </w:tcPr>
          <w:p w14:paraId="28B9B739" w14:textId="6380244F" w:rsidR="00A210D7" w:rsidRPr="007678DE" w:rsidRDefault="00A210D7" w:rsidP="00D949C8">
            <w:pPr>
              <w:pStyle w:val="CETBodytext"/>
              <w:spacing w:line="240" w:lineRule="auto"/>
              <w:jc w:val="center"/>
              <w:rPr>
                <w:sz w:val="16"/>
                <w:szCs w:val="16"/>
                <w:lang w:val="en-GB"/>
              </w:rPr>
            </w:pPr>
            <w:r w:rsidRPr="007678DE">
              <w:rPr>
                <w:sz w:val="16"/>
                <w:szCs w:val="16"/>
                <w:lang w:val="en-GB"/>
              </w:rPr>
              <w:t>8</w:t>
            </w:r>
            <w:r w:rsidR="00D949C8" w:rsidRPr="007678DE">
              <w:rPr>
                <w:sz w:val="16"/>
                <w:szCs w:val="16"/>
                <w:lang w:val="en-GB"/>
              </w:rPr>
              <w:t>.</w:t>
            </w:r>
            <w:r w:rsidRPr="007678DE">
              <w:rPr>
                <w:sz w:val="16"/>
                <w:szCs w:val="16"/>
                <w:lang w:val="en-GB"/>
              </w:rPr>
              <w:t>45</w:t>
            </w:r>
          </w:p>
        </w:tc>
      </w:tr>
      <w:tr w:rsidR="00A210D7" w:rsidRPr="007678DE" w14:paraId="64ED7777" w14:textId="77777777" w:rsidTr="009B1363">
        <w:trPr>
          <w:trHeight w:val="170"/>
        </w:trPr>
        <w:tc>
          <w:tcPr>
            <w:tcW w:w="2977" w:type="dxa"/>
            <w:noWrap/>
            <w:vAlign w:val="bottom"/>
            <w:hideMark/>
          </w:tcPr>
          <w:p w14:paraId="3B0FED89" w14:textId="77777777" w:rsidR="00A210D7" w:rsidRPr="007678DE" w:rsidRDefault="00A210D7" w:rsidP="00A210D7">
            <w:pPr>
              <w:pStyle w:val="CETBodytext"/>
              <w:spacing w:line="240" w:lineRule="auto"/>
              <w:rPr>
                <w:sz w:val="16"/>
                <w:szCs w:val="16"/>
                <w:lang w:val="en-GB"/>
              </w:rPr>
            </w:pPr>
            <w:r w:rsidRPr="007678DE">
              <w:rPr>
                <w:sz w:val="16"/>
                <w:szCs w:val="16"/>
                <w:lang w:val="en-GB"/>
              </w:rPr>
              <w:t>Alcohols</w:t>
            </w:r>
          </w:p>
        </w:tc>
        <w:tc>
          <w:tcPr>
            <w:tcW w:w="1276" w:type="dxa"/>
            <w:noWrap/>
            <w:vAlign w:val="bottom"/>
            <w:hideMark/>
          </w:tcPr>
          <w:p w14:paraId="6D18774F" w14:textId="35919AFA" w:rsidR="00A210D7" w:rsidRPr="007678DE" w:rsidRDefault="00A210D7" w:rsidP="00D949C8">
            <w:pPr>
              <w:pStyle w:val="CETBodytext"/>
              <w:spacing w:line="240" w:lineRule="auto"/>
              <w:jc w:val="center"/>
              <w:rPr>
                <w:sz w:val="16"/>
                <w:szCs w:val="16"/>
                <w:lang w:val="en-GB"/>
              </w:rPr>
            </w:pPr>
            <w:r w:rsidRPr="007678DE">
              <w:rPr>
                <w:sz w:val="16"/>
                <w:szCs w:val="16"/>
                <w:lang w:val="en-GB"/>
              </w:rPr>
              <w:t>19</w:t>
            </w:r>
            <w:r w:rsidR="00D949C8" w:rsidRPr="007678DE">
              <w:rPr>
                <w:sz w:val="16"/>
                <w:szCs w:val="16"/>
                <w:lang w:val="en-GB"/>
              </w:rPr>
              <w:t>.</w:t>
            </w:r>
            <w:r w:rsidRPr="007678DE">
              <w:rPr>
                <w:sz w:val="16"/>
                <w:szCs w:val="16"/>
                <w:lang w:val="en-GB"/>
              </w:rPr>
              <w:t>36</w:t>
            </w:r>
          </w:p>
        </w:tc>
        <w:tc>
          <w:tcPr>
            <w:tcW w:w="1843" w:type="dxa"/>
            <w:noWrap/>
            <w:vAlign w:val="bottom"/>
            <w:hideMark/>
          </w:tcPr>
          <w:p w14:paraId="5EA60A08" w14:textId="64A8093A" w:rsidR="00A210D7" w:rsidRPr="007678DE" w:rsidRDefault="00A210D7" w:rsidP="00D949C8">
            <w:pPr>
              <w:pStyle w:val="CETBodytext"/>
              <w:spacing w:line="240" w:lineRule="auto"/>
              <w:jc w:val="center"/>
              <w:rPr>
                <w:sz w:val="16"/>
                <w:szCs w:val="16"/>
                <w:lang w:val="en-GB"/>
              </w:rPr>
            </w:pPr>
            <w:r w:rsidRPr="007678DE">
              <w:rPr>
                <w:sz w:val="16"/>
                <w:szCs w:val="16"/>
                <w:lang w:val="en-GB"/>
              </w:rPr>
              <w:t>26</w:t>
            </w:r>
            <w:r w:rsidR="00D949C8" w:rsidRPr="007678DE">
              <w:rPr>
                <w:sz w:val="16"/>
                <w:szCs w:val="16"/>
                <w:lang w:val="en-GB"/>
              </w:rPr>
              <w:t>.</w:t>
            </w:r>
            <w:r w:rsidRPr="007678DE">
              <w:rPr>
                <w:sz w:val="16"/>
                <w:szCs w:val="16"/>
                <w:lang w:val="en-GB"/>
              </w:rPr>
              <w:t>87</w:t>
            </w:r>
          </w:p>
        </w:tc>
        <w:tc>
          <w:tcPr>
            <w:tcW w:w="1842" w:type="dxa"/>
            <w:noWrap/>
            <w:vAlign w:val="bottom"/>
            <w:hideMark/>
          </w:tcPr>
          <w:p w14:paraId="22DBCA52" w14:textId="721E6ECC" w:rsidR="00A210D7" w:rsidRPr="007678DE" w:rsidRDefault="00A210D7" w:rsidP="00D949C8">
            <w:pPr>
              <w:pStyle w:val="CETBodytext"/>
              <w:spacing w:line="240" w:lineRule="auto"/>
              <w:jc w:val="center"/>
              <w:rPr>
                <w:sz w:val="16"/>
                <w:szCs w:val="16"/>
                <w:lang w:val="en-GB"/>
              </w:rPr>
            </w:pPr>
            <w:r w:rsidRPr="007678DE">
              <w:rPr>
                <w:sz w:val="16"/>
                <w:szCs w:val="16"/>
                <w:lang w:val="en-GB"/>
              </w:rPr>
              <w:t>23</w:t>
            </w:r>
            <w:r w:rsidR="00D949C8" w:rsidRPr="007678DE">
              <w:rPr>
                <w:sz w:val="16"/>
                <w:szCs w:val="16"/>
                <w:lang w:val="en-GB"/>
              </w:rPr>
              <w:t>.</w:t>
            </w:r>
            <w:r w:rsidRPr="007678DE">
              <w:rPr>
                <w:sz w:val="16"/>
                <w:szCs w:val="16"/>
                <w:lang w:val="en-GB"/>
              </w:rPr>
              <w:t>39</w:t>
            </w:r>
          </w:p>
        </w:tc>
      </w:tr>
      <w:tr w:rsidR="00A210D7" w:rsidRPr="007678DE" w14:paraId="7C5181BC" w14:textId="77777777" w:rsidTr="009B1363">
        <w:trPr>
          <w:trHeight w:val="170"/>
        </w:trPr>
        <w:tc>
          <w:tcPr>
            <w:tcW w:w="2977" w:type="dxa"/>
            <w:noWrap/>
            <w:vAlign w:val="bottom"/>
            <w:hideMark/>
          </w:tcPr>
          <w:p w14:paraId="050CFB9B" w14:textId="77777777" w:rsidR="00A210D7" w:rsidRPr="007678DE" w:rsidRDefault="00A210D7" w:rsidP="00A210D7">
            <w:pPr>
              <w:pStyle w:val="CETBodytext"/>
              <w:spacing w:line="240" w:lineRule="auto"/>
              <w:rPr>
                <w:sz w:val="16"/>
                <w:szCs w:val="16"/>
                <w:lang w:val="en-GB"/>
              </w:rPr>
            </w:pPr>
            <w:r w:rsidRPr="007678DE">
              <w:rPr>
                <w:sz w:val="16"/>
                <w:szCs w:val="16"/>
                <w:lang w:val="en-GB"/>
              </w:rPr>
              <w:t>Carboxylic acids</w:t>
            </w:r>
          </w:p>
        </w:tc>
        <w:tc>
          <w:tcPr>
            <w:tcW w:w="1276" w:type="dxa"/>
            <w:noWrap/>
            <w:vAlign w:val="bottom"/>
            <w:hideMark/>
          </w:tcPr>
          <w:p w14:paraId="5E1D27F2" w14:textId="1229940A" w:rsidR="00A210D7" w:rsidRPr="007678DE" w:rsidRDefault="00A210D7" w:rsidP="00D949C8">
            <w:pPr>
              <w:pStyle w:val="CETBodytext"/>
              <w:spacing w:line="240" w:lineRule="auto"/>
              <w:jc w:val="center"/>
              <w:rPr>
                <w:sz w:val="16"/>
                <w:szCs w:val="16"/>
                <w:lang w:val="en-GB"/>
              </w:rPr>
            </w:pPr>
            <w:r w:rsidRPr="007678DE">
              <w:rPr>
                <w:sz w:val="16"/>
                <w:szCs w:val="16"/>
                <w:lang w:val="en-GB"/>
              </w:rPr>
              <w:t>20</w:t>
            </w:r>
            <w:r w:rsidR="00D949C8" w:rsidRPr="007678DE">
              <w:rPr>
                <w:sz w:val="16"/>
                <w:szCs w:val="16"/>
                <w:lang w:val="en-GB"/>
              </w:rPr>
              <w:t>.</w:t>
            </w:r>
            <w:r w:rsidRPr="007678DE">
              <w:rPr>
                <w:sz w:val="16"/>
                <w:szCs w:val="16"/>
                <w:lang w:val="en-GB"/>
              </w:rPr>
              <w:t>21</w:t>
            </w:r>
          </w:p>
        </w:tc>
        <w:tc>
          <w:tcPr>
            <w:tcW w:w="1843" w:type="dxa"/>
            <w:noWrap/>
            <w:vAlign w:val="bottom"/>
            <w:hideMark/>
          </w:tcPr>
          <w:p w14:paraId="1F92696D" w14:textId="6E47013A" w:rsidR="00A210D7" w:rsidRPr="007678DE" w:rsidRDefault="00A210D7" w:rsidP="00D949C8">
            <w:pPr>
              <w:pStyle w:val="CETBodytext"/>
              <w:spacing w:line="240" w:lineRule="auto"/>
              <w:jc w:val="center"/>
              <w:rPr>
                <w:sz w:val="16"/>
                <w:szCs w:val="16"/>
                <w:lang w:val="en-GB"/>
              </w:rPr>
            </w:pPr>
            <w:r w:rsidRPr="007678DE">
              <w:rPr>
                <w:sz w:val="16"/>
                <w:szCs w:val="16"/>
                <w:lang w:val="en-GB"/>
              </w:rPr>
              <w:t>14</w:t>
            </w:r>
            <w:r w:rsidR="00D949C8" w:rsidRPr="007678DE">
              <w:rPr>
                <w:sz w:val="16"/>
                <w:szCs w:val="16"/>
                <w:lang w:val="en-GB"/>
              </w:rPr>
              <w:t>.</w:t>
            </w:r>
            <w:r w:rsidRPr="007678DE">
              <w:rPr>
                <w:sz w:val="16"/>
                <w:szCs w:val="16"/>
                <w:lang w:val="en-GB"/>
              </w:rPr>
              <w:t>79</w:t>
            </w:r>
          </w:p>
        </w:tc>
        <w:tc>
          <w:tcPr>
            <w:tcW w:w="1842" w:type="dxa"/>
            <w:noWrap/>
            <w:vAlign w:val="bottom"/>
            <w:hideMark/>
          </w:tcPr>
          <w:p w14:paraId="4EE32D66" w14:textId="6737ADBA" w:rsidR="00A210D7" w:rsidRPr="007678DE" w:rsidRDefault="00A210D7" w:rsidP="00D949C8">
            <w:pPr>
              <w:pStyle w:val="CETBodytext"/>
              <w:spacing w:line="240" w:lineRule="auto"/>
              <w:jc w:val="center"/>
              <w:rPr>
                <w:sz w:val="16"/>
                <w:szCs w:val="16"/>
                <w:lang w:val="en-GB"/>
              </w:rPr>
            </w:pPr>
            <w:r w:rsidRPr="007678DE">
              <w:rPr>
                <w:sz w:val="16"/>
                <w:szCs w:val="16"/>
                <w:lang w:val="en-GB"/>
              </w:rPr>
              <w:t>10</w:t>
            </w:r>
            <w:r w:rsidR="00D949C8" w:rsidRPr="007678DE">
              <w:rPr>
                <w:sz w:val="16"/>
                <w:szCs w:val="16"/>
                <w:lang w:val="en-GB"/>
              </w:rPr>
              <w:t>.</w:t>
            </w:r>
            <w:r w:rsidRPr="007678DE">
              <w:rPr>
                <w:sz w:val="16"/>
                <w:szCs w:val="16"/>
                <w:lang w:val="en-GB"/>
              </w:rPr>
              <w:t>63</w:t>
            </w:r>
          </w:p>
        </w:tc>
      </w:tr>
      <w:tr w:rsidR="00A210D7" w:rsidRPr="007678DE" w14:paraId="359636B6" w14:textId="77777777" w:rsidTr="009B1363">
        <w:trPr>
          <w:trHeight w:val="170"/>
        </w:trPr>
        <w:tc>
          <w:tcPr>
            <w:tcW w:w="2977" w:type="dxa"/>
            <w:noWrap/>
            <w:vAlign w:val="bottom"/>
            <w:hideMark/>
          </w:tcPr>
          <w:p w14:paraId="5DEB07C6" w14:textId="047B5C07" w:rsidR="00A210D7" w:rsidRPr="007678DE" w:rsidRDefault="00A210D7" w:rsidP="00A210D7">
            <w:pPr>
              <w:pStyle w:val="CETBodytext"/>
              <w:spacing w:line="240" w:lineRule="auto"/>
              <w:rPr>
                <w:sz w:val="16"/>
                <w:szCs w:val="16"/>
                <w:lang w:val="en-GB"/>
              </w:rPr>
            </w:pPr>
            <w:r w:rsidRPr="007678DE">
              <w:rPr>
                <w:sz w:val="16"/>
                <w:szCs w:val="16"/>
                <w:lang w:val="en-GB"/>
              </w:rPr>
              <w:t xml:space="preserve">Other </w:t>
            </w:r>
            <w:r w:rsidR="00C7455D" w:rsidRPr="007678DE">
              <w:rPr>
                <w:sz w:val="16"/>
                <w:szCs w:val="16"/>
                <w:lang w:val="en-GB"/>
              </w:rPr>
              <w:t>oxygenated</w:t>
            </w:r>
            <w:r w:rsidRPr="007678DE">
              <w:rPr>
                <w:sz w:val="16"/>
                <w:szCs w:val="16"/>
                <w:lang w:val="en-GB"/>
              </w:rPr>
              <w:t xml:space="preserve"> compounds</w:t>
            </w:r>
          </w:p>
        </w:tc>
        <w:tc>
          <w:tcPr>
            <w:tcW w:w="1276" w:type="dxa"/>
            <w:noWrap/>
            <w:vAlign w:val="bottom"/>
            <w:hideMark/>
          </w:tcPr>
          <w:p w14:paraId="1C962826" w14:textId="4267F748" w:rsidR="00A210D7" w:rsidRPr="007678DE" w:rsidRDefault="00A210D7" w:rsidP="00D949C8">
            <w:pPr>
              <w:pStyle w:val="CETBodytext"/>
              <w:spacing w:line="240" w:lineRule="auto"/>
              <w:jc w:val="center"/>
              <w:rPr>
                <w:sz w:val="16"/>
                <w:szCs w:val="16"/>
                <w:lang w:val="en-GB"/>
              </w:rPr>
            </w:pPr>
            <w:r w:rsidRPr="007678DE">
              <w:rPr>
                <w:sz w:val="16"/>
                <w:szCs w:val="16"/>
                <w:lang w:val="en-GB"/>
              </w:rPr>
              <w:t>34</w:t>
            </w:r>
            <w:r w:rsidR="00D949C8" w:rsidRPr="007678DE">
              <w:rPr>
                <w:sz w:val="16"/>
                <w:szCs w:val="16"/>
                <w:lang w:val="en-GB"/>
              </w:rPr>
              <w:t>.</w:t>
            </w:r>
            <w:r w:rsidRPr="007678DE">
              <w:rPr>
                <w:sz w:val="16"/>
                <w:szCs w:val="16"/>
                <w:lang w:val="en-GB"/>
              </w:rPr>
              <w:t>33</w:t>
            </w:r>
          </w:p>
        </w:tc>
        <w:tc>
          <w:tcPr>
            <w:tcW w:w="1843" w:type="dxa"/>
            <w:noWrap/>
            <w:vAlign w:val="bottom"/>
            <w:hideMark/>
          </w:tcPr>
          <w:p w14:paraId="478EFEE3" w14:textId="252D74D5" w:rsidR="00A210D7" w:rsidRPr="007678DE" w:rsidRDefault="00A210D7" w:rsidP="00D949C8">
            <w:pPr>
              <w:pStyle w:val="CETBodytext"/>
              <w:spacing w:line="240" w:lineRule="auto"/>
              <w:jc w:val="center"/>
              <w:rPr>
                <w:sz w:val="16"/>
                <w:szCs w:val="16"/>
                <w:lang w:val="en-GB"/>
              </w:rPr>
            </w:pPr>
            <w:r w:rsidRPr="007678DE">
              <w:rPr>
                <w:sz w:val="16"/>
                <w:szCs w:val="16"/>
                <w:lang w:val="en-GB"/>
              </w:rPr>
              <w:t>31</w:t>
            </w:r>
            <w:r w:rsidR="00D949C8" w:rsidRPr="007678DE">
              <w:rPr>
                <w:sz w:val="16"/>
                <w:szCs w:val="16"/>
                <w:lang w:val="en-GB"/>
              </w:rPr>
              <w:t>.</w:t>
            </w:r>
            <w:r w:rsidRPr="007678DE">
              <w:rPr>
                <w:sz w:val="16"/>
                <w:szCs w:val="16"/>
                <w:lang w:val="en-GB"/>
              </w:rPr>
              <w:t>83</w:t>
            </w:r>
          </w:p>
        </w:tc>
        <w:tc>
          <w:tcPr>
            <w:tcW w:w="1842" w:type="dxa"/>
            <w:noWrap/>
            <w:vAlign w:val="bottom"/>
            <w:hideMark/>
          </w:tcPr>
          <w:p w14:paraId="53D53670" w14:textId="5278A401" w:rsidR="00A210D7" w:rsidRPr="007678DE" w:rsidRDefault="00A210D7" w:rsidP="00D949C8">
            <w:pPr>
              <w:pStyle w:val="CETBodytext"/>
              <w:spacing w:line="240" w:lineRule="auto"/>
              <w:jc w:val="center"/>
              <w:rPr>
                <w:sz w:val="16"/>
                <w:szCs w:val="16"/>
                <w:lang w:val="en-GB"/>
              </w:rPr>
            </w:pPr>
            <w:r w:rsidRPr="007678DE">
              <w:rPr>
                <w:sz w:val="16"/>
                <w:szCs w:val="16"/>
                <w:lang w:val="en-GB"/>
              </w:rPr>
              <w:t>36</w:t>
            </w:r>
            <w:r w:rsidR="00D949C8" w:rsidRPr="007678DE">
              <w:rPr>
                <w:sz w:val="16"/>
                <w:szCs w:val="16"/>
                <w:lang w:val="en-GB"/>
              </w:rPr>
              <w:t>.</w:t>
            </w:r>
            <w:r w:rsidRPr="007678DE">
              <w:rPr>
                <w:sz w:val="16"/>
                <w:szCs w:val="16"/>
                <w:lang w:val="en-GB"/>
              </w:rPr>
              <w:t>1</w:t>
            </w:r>
            <w:r w:rsidR="00D949C8" w:rsidRPr="007678DE">
              <w:rPr>
                <w:sz w:val="16"/>
                <w:szCs w:val="16"/>
                <w:lang w:val="en-GB"/>
              </w:rPr>
              <w:t>0</w:t>
            </w:r>
          </w:p>
        </w:tc>
      </w:tr>
      <w:tr w:rsidR="00A210D7" w:rsidRPr="007678DE" w14:paraId="6746993D" w14:textId="77777777" w:rsidTr="009B1363">
        <w:trPr>
          <w:trHeight w:val="170"/>
        </w:trPr>
        <w:tc>
          <w:tcPr>
            <w:tcW w:w="2977" w:type="dxa"/>
            <w:noWrap/>
            <w:vAlign w:val="bottom"/>
            <w:hideMark/>
          </w:tcPr>
          <w:p w14:paraId="5EBDBDA8" w14:textId="77777777" w:rsidR="00A210D7" w:rsidRPr="007678DE" w:rsidRDefault="00A210D7" w:rsidP="00A210D7">
            <w:pPr>
              <w:pStyle w:val="CETBodytext"/>
              <w:spacing w:line="240" w:lineRule="auto"/>
              <w:rPr>
                <w:sz w:val="16"/>
                <w:szCs w:val="16"/>
                <w:lang w:val="en-GB"/>
              </w:rPr>
            </w:pPr>
            <w:r w:rsidRPr="007678DE">
              <w:rPr>
                <w:sz w:val="16"/>
                <w:szCs w:val="16"/>
                <w:lang w:val="en-GB"/>
              </w:rPr>
              <w:t>Nitrogenated compounds</w:t>
            </w:r>
          </w:p>
        </w:tc>
        <w:tc>
          <w:tcPr>
            <w:tcW w:w="1276" w:type="dxa"/>
            <w:noWrap/>
            <w:vAlign w:val="bottom"/>
            <w:hideMark/>
          </w:tcPr>
          <w:p w14:paraId="3021B232" w14:textId="0388A7A7" w:rsidR="00A210D7" w:rsidRPr="007678DE" w:rsidRDefault="00A210D7" w:rsidP="00D949C8">
            <w:pPr>
              <w:pStyle w:val="CETBodytext"/>
              <w:spacing w:line="240" w:lineRule="auto"/>
              <w:jc w:val="center"/>
              <w:rPr>
                <w:sz w:val="16"/>
                <w:szCs w:val="16"/>
                <w:lang w:val="en-GB"/>
              </w:rPr>
            </w:pPr>
            <w:r w:rsidRPr="007678DE">
              <w:rPr>
                <w:sz w:val="16"/>
                <w:szCs w:val="16"/>
                <w:lang w:val="en-GB"/>
              </w:rPr>
              <w:t>2</w:t>
            </w:r>
            <w:r w:rsidR="00D949C8" w:rsidRPr="007678DE">
              <w:rPr>
                <w:sz w:val="16"/>
                <w:szCs w:val="16"/>
                <w:lang w:val="en-GB"/>
              </w:rPr>
              <w:t>.</w:t>
            </w:r>
            <w:r w:rsidRPr="007678DE">
              <w:rPr>
                <w:sz w:val="16"/>
                <w:szCs w:val="16"/>
                <w:lang w:val="en-GB"/>
              </w:rPr>
              <w:t>91</w:t>
            </w:r>
          </w:p>
        </w:tc>
        <w:tc>
          <w:tcPr>
            <w:tcW w:w="1843" w:type="dxa"/>
            <w:noWrap/>
            <w:vAlign w:val="bottom"/>
            <w:hideMark/>
          </w:tcPr>
          <w:p w14:paraId="17BDEBAD" w14:textId="52D99B0C" w:rsidR="00A210D7" w:rsidRPr="007678DE" w:rsidRDefault="00A210D7" w:rsidP="00D949C8">
            <w:pPr>
              <w:pStyle w:val="CETBodytext"/>
              <w:spacing w:line="240" w:lineRule="auto"/>
              <w:jc w:val="center"/>
              <w:rPr>
                <w:sz w:val="16"/>
                <w:szCs w:val="16"/>
                <w:lang w:val="en-GB"/>
              </w:rPr>
            </w:pPr>
            <w:r w:rsidRPr="007678DE">
              <w:rPr>
                <w:sz w:val="16"/>
                <w:szCs w:val="16"/>
                <w:lang w:val="en-GB"/>
              </w:rPr>
              <w:t>1</w:t>
            </w:r>
            <w:r w:rsidR="00D949C8" w:rsidRPr="007678DE">
              <w:rPr>
                <w:sz w:val="16"/>
                <w:szCs w:val="16"/>
                <w:lang w:val="en-GB"/>
              </w:rPr>
              <w:t>.</w:t>
            </w:r>
            <w:r w:rsidRPr="007678DE">
              <w:rPr>
                <w:sz w:val="16"/>
                <w:szCs w:val="16"/>
                <w:lang w:val="en-GB"/>
              </w:rPr>
              <w:t>15</w:t>
            </w:r>
          </w:p>
        </w:tc>
        <w:tc>
          <w:tcPr>
            <w:tcW w:w="1842" w:type="dxa"/>
            <w:noWrap/>
            <w:vAlign w:val="bottom"/>
            <w:hideMark/>
          </w:tcPr>
          <w:p w14:paraId="6C071892" w14:textId="73C7C90B" w:rsidR="00A210D7" w:rsidRPr="007678DE" w:rsidRDefault="00A210D7" w:rsidP="00D949C8">
            <w:pPr>
              <w:pStyle w:val="CETBodytext"/>
              <w:spacing w:line="240" w:lineRule="auto"/>
              <w:jc w:val="center"/>
              <w:rPr>
                <w:sz w:val="16"/>
                <w:szCs w:val="16"/>
                <w:lang w:val="en-GB"/>
              </w:rPr>
            </w:pPr>
            <w:r w:rsidRPr="007678DE">
              <w:rPr>
                <w:sz w:val="16"/>
                <w:szCs w:val="16"/>
                <w:lang w:val="en-GB"/>
              </w:rPr>
              <w:t>2</w:t>
            </w:r>
            <w:r w:rsidR="00D949C8" w:rsidRPr="007678DE">
              <w:rPr>
                <w:sz w:val="16"/>
                <w:szCs w:val="16"/>
                <w:lang w:val="en-GB"/>
              </w:rPr>
              <w:t>.</w:t>
            </w:r>
            <w:r w:rsidRPr="007678DE">
              <w:rPr>
                <w:sz w:val="16"/>
                <w:szCs w:val="16"/>
                <w:lang w:val="en-GB"/>
              </w:rPr>
              <w:t>22</w:t>
            </w:r>
          </w:p>
        </w:tc>
      </w:tr>
    </w:tbl>
    <w:p w14:paraId="7E987C8E" w14:textId="0EFF9B6C" w:rsidR="00C64754" w:rsidRDefault="00C64754" w:rsidP="00C64754">
      <w:pPr>
        <w:pStyle w:val="CETBodytext"/>
        <w:spacing w:before="120"/>
      </w:pPr>
      <w:r>
        <w:t>This sharp rise indicates progressive lignin condensation and aromatization reactions, leading to a more carbon dense and structurally sta</w:t>
      </w:r>
      <w:r w:rsidR="00C01E6B">
        <w:t>ble biochar matrix. The increment</w:t>
      </w:r>
      <w:r>
        <w:t xml:space="preserve"> in aromaticity is critical because aromatic carbon structures exhibit enhanced thermal stability and behave predominantly as gasification feedstock during treatment at 800-900°C. Changes are also evident in the aliphatic hydrocarbon fractions, while paraffins decrease</w:t>
      </w:r>
      <w:r w:rsidR="00C01E6B">
        <w:t>d</w:t>
      </w:r>
      <w:r>
        <w:t xml:space="preserve"> sharply at 200°C (from 9.18 % to 2.16 %) due to volatilization and cracking, but partially increase at 300°C to 5.40 %, suggesting secondary recombination or structural rearrangement processes. Olefins decrease</w:t>
      </w:r>
      <w:r w:rsidR="00C01E6B">
        <w:t>d</w:t>
      </w:r>
      <w:r>
        <w:t xml:space="preserve"> from 10.04 % to 6.46 % (200°C) and slightly increase</w:t>
      </w:r>
      <w:r w:rsidR="00C01E6B">
        <w:t>d</w:t>
      </w:r>
      <w:r>
        <w:t xml:space="preserve"> to 8.15 % (300°C), indicating ongoing unsaturation and fragmentation reactions. Meanwhile, </w:t>
      </w:r>
      <w:r w:rsidR="00C01E6B">
        <w:t>naphthenic compounds</w:t>
      </w:r>
      <w:r>
        <w:t xml:space="preserve"> </w:t>
      </w:r>
      <w:r w:rsidR="00491A58" w:rsidRPr="00491A58">
        <w:rPr>
          <w:highlight w:val="yellow"/>
        </w:rPr>
        <w:t>increased</w:t>
      </w:r>
      <w:r>
        <w:t xml:space="preserve"> significantly at 200°C (from 2.44 % to 8.63 %) before decreasing at 300°C (5.42%), suggesting cyclization followed by further transformation toward aromatic structures. Although oxygenated compounds remain substantial even at 300°C (36.10 % other oxygenates and 23.39 % </w:t>
      </w:r>
      <w:proofErr w:type="gramStart"/>
      <w:r>
        <w:t>alcohols</w:t>
      </w:r>
      <w:proofErr w:type="gramEnd"/>
      <w:r>
        <w:t xml:space="preserve">), their nature likely shifts toward more stable oxygen functionalities. The persistence of oxygen containing groups implies that the material is not fully carbonized and retains reactive surface sites, which can strongly influence steam-char reactions during high temperature treatment. Based on the results, from a thermochemical perspective, the pretreatment at 300°C produces a biochar is more aromatic (8.45 % vs 0.75 % raw) and less acidic (10.63 % vs 20.21 % raw). </w:t>
      </w:r>
    </w:p>
    <w:p w14:paraId="16111F9E" w14:textId="340D26EC" w:rsidR="003C03EB" w:rsidRDefault="003C03EB" w:rsidP="003C03EB">
      <w:pPr>
        <w:keepNext/>
        <w:numPr>
          <w:ilvl w:val="2"/>
          <w:numId w:val="1"/>
        </w:numPr>
        <w:suppressAutoHyphens/>
        <w:spacing w:before="120" w:after="120" w:line="240" w:lineRule="auto"/>
        <w:rPr>
          <w:rFonts w:ascii="Arial" w:eastAsia="Times New Roman" w:hAnsi="Arial" w:cs="Times New Roman"/>
          <w:b/>
          <w:sz w:val="18"/>
          <w:szCs w:val="20"/>
          <w:lang w:val="en-US"/>
        </w:rPr>
      </w:pPr>
      <w:r w:rsidRPr="003C03EB">
        <w:rPr>
          <w:rFonts w:ascii="Arial" w:eastAsia="Times New Roman" w:hAnsi="Arial" w:cs="Times New Roman"/>
          <w:b/>
          <w:sz w:val="18"/>
          <w:szCs w:val="20"/>
          <w:lang w:val="en-US"/>
        </w:rPr>
        <w:t xml:space="preserve">Elemental analysis </w:t>
      </w:r>
      <w:r w:rsidR="001B2F6C">
        <w:rPr>
          <w:rFonts w:ascii="Arial" w:eastAsia="Times New Roman" w:hAnsi="Arial" w:cs="Times New Roman"/>
          <w:b/>
          <w:sz w:val="18"/>
          <w:szCs w:val="20"/>
          <w:lang w:val="en-US"/>
        </w:rPr>
        <w:t xml:space="preserve">and CHNS </w:t>
      </w:r>
      <w:r w:rsidRPr="003C03EB">
        <w:rPr>
          <w:rFonts w:ascii="Arial" w:eastAsia="Times New Roman" w:hAnsi="Arial" w:cs="Times New Roman"/>
          <w:b/>
          <w:sz w:val="18"/>
          <w:szCs w:val="20"/>
          <w:lang w:val="en-US"/>
        </w:rPr>
        <w:t xml:space="preserve">of </w:t>
      </w:r>
      <w:proofErr w:type="spellStart"/>
      <w:r w:rsidRPr="003C03EB">
        <w:rPr>
          <w:rFonts w:ascii="Arial" w:eastAsia="Times New Roman" w:hAnsi="Arial" w:cs="Times New Roman"/>
          <w:b/>
          <w:sz w:val="18"/>
          <w:szCs w:val="20"/>
          <w:lang w:val="en-US"/>
        </w:rPr>
        <w:t>biochars</w:t>
      </w:r>
      <w:proofErr w:type="spellEnd"/>
    </w:p>
    <w:p w14:paraId="29F6A021" w14:textId="7A1981AB" w:rsidR="003C03EB" w:rsidRDefault="00C7455D" w:rsidP="00C7455D">
      <w:pPr>
        <w:pStyle w:val="CETBodytext"/>
      </w:pPr>
      <w:r>
        <w:t xml:space="preserve">Elemental analysis of </w:t>
      </w:r>
      <w:proofErr w:type="spellStart"/>
      <w:r>
        <w:t>biochars</w:t>
      </w:r>
      <w:proofErr w:type="spellEnd"/>
      <w:r w:rsidR="00426100">
        <w:t xml:space="preserve"> which is summarized in </w:t>
      </w:r>
      <w:r w:rsidR="00426100" w:rsidRPr="00C64754">
        <w:rPr>
          <w:bCs/>
          <w:i/>
          <w:iCs/>
        </w:rPr>
        <w:t>Table 2</w:t>
      </w:r>
      <w:r>
        <w:t xml:space="preserve"> confirms the progressive enrichment of catalytically active minerals during thermal treatment. Potassium originating primarily from plant uptake and soluble salts, increases from 1.21</w:t>
      </w:r>
      <w:r w:rsidR="00426100">
        <w:t xml:space="preserve"> </w:t>
      </w:r>
      <w:r>
        <w:t>% in raw biomass to as high as 3.063</w:t>
      </w:r>
      <w:r w:rsidR="00426100">
        <w:t xml:space="preserve"> </w:t>
      </w:r>
      <w:r>
        <w:t>%. Potassium is well</w:t>
      </w:r>
      <w:r w:rsidR="00426100">
        <w:t xml:space="preserve"> </w:t>
      </w:r>
      <w:r>
        <w:t>known to catalyze steam</w:t>
      </w:r>
      <w:r w:rsidR="00426100">
        <w:t>-</w:t>
      </w:r>
      <w:r>
        <w:t xml:space="preserve">carbon reactions, enhancing hydrogen formation, accelerating carbon conversion, and promoting cracking of hydrocarbon fragments. Calcium </w:t>
      </w:r>
      <w:r w:rsidR="00426100">
        <w:t>deriv</w:t>
      </w:r>
      <w:r>
        <w:t>ed from soil uptake and plant cell</w:t>
      </w:r>
      <w:r w:rsidR="00426100">
        <w:t xml:space="preserve"> </w:t>
      </w:r>
      <w:r>
        <w:t>wall inclusions, increases from 0.182</w:t>
      </w:r>
      <w:r w:rsidR="00426100">
        <w:t xml:space="preserve"> </w:t>
      </w:r>
      <w:r>
        <w:t>% to 0.755</w:t>
      </w:r>
      <w:r w:rsidR="00426100">
        <w:t xml:space="preserve"> </w:t>
      </w:r>
      <w:r>
        <w:t xml:space="preserve">% at 900°C. </w:t>
      </w:r>
      <w:r w:rsidR="00C01E6B">
        <w:t>Calcium enhances water-gas shift reactions and hydrocarbon cracking, further supporting hydrogen production. Iron present at 0.193 % in raw biomass and enriched to 0.266 % at 900°C, provides additional catalytic activity for steam reforming and hydrocarbon conversion.</w:t>
      </w:r>
      <w:r w:rsidR="008B3A80">
        <w:t xml:space="preserve"> </w:t>
      </w:r>
      <w:r w:rsidR="008B3A80">
        <w:t>Calcium enhances water-gas shift reactions and hydrocarbon cracking, further supporting hydrogen production. Iron present at 0.193 % in raw biomass and enriched to 0.266 % at 900°C, provides additional catalytic activity for steam reforming and hydrocarbon conversion.</w:t>
      </w:r>
    </w:p>
    <w:p w14:paraId="18C94BE4" w14:textId="6706FCF2" w:rsidR="00F66599" w:rsidRDefault="00F66599" w:rsidP="00C64754">
      <w:pPr>
        <w:pStyle w:val="CETTabletitle"/>
        <w:spacing w:before="120"/>
      </w:pPr>
      <w:r w:rsidRPr="00B57B36">
        <w:lastRenderedPageBreak/>
        <w:t xml:space="preserve">Table </w:t>
      </w:r>
      <w:r>
        <w:t>2</w:t>
      </w:r>
      <w:r w:rsidRPr="00B57B36">
        <w:t>:</w:t>
      </w:r>
      <w:r>
        <w:t xml:space="preserve"> </w:t>
      </w:r>
      <w:r w:rsidR="00583229">
        <w:t>t</w:t>
      </w:r>
      <w:r>
        <w:t xml:space="preserve">he elemental composition of </w:t>
      </w:r>
      <w:proofErr w:type="spellStart"/>
      <w:r>
        <w:t>biochars</w:t>
      </w:r>
      <w:proofErr w:type="spellEnd"/>
    </w:p>
    <w:tbl>
      <w:tblPr>
        <w:tblW w:w="8366" w:type="dxa"/>
        <w:tblCellMar>
          <w:left w:w="70" w:type="dxa"/>
          <w:right w:w="70" w:type="dxa"/>
        </w:tblCellMar>
        <w:tblLook w:val="04A0" w:firstRow="1" w:lastRow="0" w:firstColumn="1" w:lastColumn="0" w:noHBand="0" w:noVBand="1"/>
      </w:tblPr>
      <w:tblGrid>
        <w:gridCol w:w="462"/>
        <w:gridCol w:w="814"/>
        <w:gridCol w:w="709"/>
        <w:gridCol w:w="896"/>
        <w:gridCol w:w="896"/>
        <w:gridCol w:w="721"/>
        <w:gridCol w:w="896"/>
        <w:gridCol w:w="541"/>
        <w:gridCol w:w="896"/>
        <w:gridCol w:w="896"/>
        <w:gridCol w:w="639"/>
      </w:tblGrid>
      <w:tr w:rsidR="00F66599" w:rsidRPr="007678DE" w14:paraId="6A64586E" w14:textId="77777777" w:rsidTr="00E87E59">
        <w:trPr>
          <w:trHeight w:val="184"/>
        </w:trPr>
        <w:tc>
          <w:tcPr>
            <w:tcW w:w="462" w:type="dxa"/>
            <w:vMerge w:val="restart"/>
            <w:tcBorders>
              <w:top w:val="single" w:sz="12" w:space="0" w:color="70AD47" w:themeColor="accent6"/>
              <w:left w:val="nil"/>
              <w:right w:val="nil"/>
            </w:tcBorders>
            <w:noWrap/>
            <w:vAlign w:val="bottom"/>
          </w:tcPr>
          <w:p w14:paraId="3193A4FB" w14:textId="5451156B" w:rsidR="00F66599" w:rsidRPr="007678DE" w:rsidRDefault="00F66599" w:rsidP="00E87E59">
            <w:pPr>
              <w:pStyle w:val="CETBodytext"/>
              <w:spacing w:line="240" w:lineRule="auto"/>
              <w:jc w:val="left"/>
              <w:rPr>
                <w:b/>
                <w:bCs/>
                <w:sz w:val="16"/>
                <w:szCs w:val="16"/>
                <w:lang w:val="en-GB"/>
              </w:rPr>
            </w:pPr>
            <w:proofErr w:type="gramStart"/>
            <w:r w:rsidRPr="007678DE">
              <w:rPr>
                <w:b/>
                <w:bCs/>
                <w:sz w:val="16"/>
                <w:szCs w:val="16"/>
                <w:lang w:val="en-GB"/>
              </w:rPr>
              <w:t>T,°</w:t>
            </w:r>
            <w:proofErr w:type="gramEnd"/>
            <w:r w:rsidRPr="007678DE">
              <w:rPr>
                <w:b/>
                <w:bCs/>
                <w:sz w:val="16"/>
                <w:szCs w:val="16"/>
                <w:lang w:val="en-GB"/>
              </w:rPr>
              <w:t>C</w:t>
            </w:r>
          </w:p>
        </w:tc>
        <w:tc>
          <w:tcPr>
            <w:tcW w:w="814" w:type="dxa"/>
            <w:tcBorders>
              <w:top w:val="single" w:sz="12" w:space="0" w:color="70AD47" w:themeColor="accent6"/>
              <w:left w:val="nil"/>
              <w:right w:val="nil"/>
            </w:tcBorders>
            <w:noWrap/>
            <w:vAlign w:val="bottom"/>
          </w:tcPr>
          <w:p w14:paraId="082D0E40" w14:textId="4A5DB9DA"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Raw BM</w:t>
            </w:r>
          </w:p>
        </w:tc>
        <w:tc>
          <w:tcPr>
            <w:tcW w:w="3222" w:type="dxa"/>
            <w:gridSpan w:val="4"/>
            <w:tcBorders>
              <w:top w:val="single" w:sz="12" w:space="0" w:color="70AD47" w:themeColor="accent6"/>
              <w:left w:val="nil"/>
              <w:right w:val="nil"/>
            </w:tcBorders>
            <w:noWrap/>
            <w:vAlign w:val="bottom"/>
          </w:tcPr>
          <w:p w14:paraId="7D4DE576" w14:textId="5F0C7F4B"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Pretreated biomass at 200°C</w:t>
            </w:r>
          </w:p>
        </w:tc>
        <w:tc>
          <w:tcPr>
            <w:tcW w:w="896" w:type="dxa"/>
            <w:tcBorders>
              <w:top w:val="single" w:sz="12" w:space="0" w:color="70AD47" w:themeColor="accent6"/>
              <w:left w:val="nil"/>
              <w:right w:val="nil"/>
            </w:tcBorders>
            <w:noWrap/>
            <w:vAlign w:val="bottom"/>
          </w:tcPr>
          <w:p w14:paraId="3068CE8A" w14:textId="2F666AB8"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Raw BM</w:t>
            </w:r>
          </w:p>
        </w:tc>
        <w:tc>
          <w:tcPr>
            <w:tcW w:w="2972" w:type="dxa"/>
            <w:gridSpan w:val="4"/>
            <w:tcBorders>
              <w:top w:val="single" w:sz="12" w:space="0" w:color="70AD47" w:themeColor="accent6"/>
              <w:left w:val="nil"/>
              <w:right w:val="nil"/>
            </w:tcBorders>
            <w:noWrap/>
            <w:vAlign w:val="bottom"/>
          </w:tcPr>
          <w:p w14:paraId="07A1EF41" w14:textId="75DB2505"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Pretreated biomass at 300°C</w:t>
            </w:r>
          </w:p>
        </w:tc>
      </w:tr>
      <w:tr w:rsidR="00F66599" w:rsidRPr="007678DE" w14:paraId="3ACA57E7" w14:textId="77777777" w:rsidTr="00E87E59">
        <w:trPr>
          <w:trHeight w:val="184"/>
        </w:trPr>
        <w:tc>
          <w:tcPr>
            <w:tcW w:w="462" w:type="dxa"/>
            <w:vMerge/>
            <w:tcBorders>
              <w:left w:val="nil"/>
              <w:bottom w:val="single" w:sz="12" w:space="0" w:color="70AD47" w:themeColor="accent6"/>
              <w:right w:val="nil"/>
            </w:tcBorders>
            <w:noWrap/>
            <w:vAlign w:val="bottom"/>
            <w:hideMark/>
          </w:tcPr>
          <w:p w14:paraId="2500D1F2" w14:textId="676622C7" w:rsidR="00F66599" w:rsidRPr="007678DE" w:rsidRDefault="00F66599" w:rsidP="008D6965">
            <w:pPr>
              <w:pStyle w:val="CETBodytext"/>
              <w:spacing w:line="240" w:lineRule="auto"/>
              <w:rPr>
                <w:b/>
                <w:bCs/>
                <w:sz w:val="16"/>
                <w:szCs w:val="16"/>
                <w:lang w:val="en-GB"/>
              </w:rPr>
            </w:pPr>
          </w:p>
        </w:tc>
        <w:tc>
          <w:tcPr>
            <w:tcW w:w="814" w:type="dxa"/>
            <w:tcBorders>
              <w:left w:val="nil"/>
              <w:bottom w:val="single" w:sz="12" w:space="0" w:color="70AD47" w:themeColor="accent6"/>
              <w:right w:val="nil"/>
            </w:tcBorders>
            <w:noWrap/>
            <w:vAlign w:val="bottom"/>
            <w:hideMark/>
          </w:tcPr>
          <w:p w14:paraId="2B82F134" w14:textId="670553D6"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200</w:t>
            </w:r>
          </w:p>
        </w:tc>
        <w:tc>
          <w:tcPr>
            <w:tcW w:w="709" w:type="dxa"/>
            <w:tcBorders>
              <w:left w:val="nil"/>
              <w:bottom w:val="single" w:sz="12" w:space="0" w:color="70AD47" w:themeColor="accent6"/>
              <w:right w:val="nil"/>
            </w:tcBorders>
            <w:noWrap/>
            <w:vAlign w:val="bottom"/>
            <w:hideMark/>
          </w:tcPr>
          <w:p w14:paraId="596C2BE2" w14:textId="09491829"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800</w:t>
            </w:r>
          </w:p>
        </w:tc>
        <w:tc>
          <w:tcPr>
            <w:tcW w:w="896" w:type="dxa"/>
            <w:tcBorders>
              <w:left w:val="nil"/>
              <w:bottom w:val="single" w:sz="12" w:space="0" w:color="70AD47" w:themeColor="accent6"/>
              <w:right w:val="nil"/>
            </w:tcBorders>
            <w:noWrap/>
            <w:vAlign w:val="bottom"/>
            <w:hideMark/>
          </w:tcPr>
          <w:p w14:paraId="25DC6EB2" w14:textId="41F82DA7"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800_st</w:t>
            </w:r>
          </w:p>
        </w:tc>
        <w:tc>
          <w:tcPr>
            <w:tcW w:w="896" w:type="dxa"/>
            <w:tcBorders>
              <w:left w:val="nil"/>
              <w:bottom w:val="single" w:sz="12" w:space="0" w:color="70AD47" w:themeColor="accent6"/>
              <w:right w:val="nil"/>
            </w:tcBorders>
            <w:noWrap/>
            <w:vAlign w:val="bottom"/>
            <w:hideMark/>
          </w:tcPr>
          <w:p w14:paraId="148F643B" w14:textId="6860BB4D"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900</w:t>
            </w:r>
          </w:p>
        </w:tc>
        <w:tc>
          <w:tcPr>
            <w:tcW w:w="721" w:type="dxa"/>
            <w:tcBorders>
              <w:left w:val="nil"/>
              <w:bottom w:val="single" w:sz="12" w:space="0" w:color="70AD47" w:themeColor="accent6"/>
              <w:right w:val="nil"/>
            </w:tcBorders>
            <w:noWrap/>
            <w:vAlign w:val="bottom"/>
            <w:hideMark/>
          </w:tcPr>
          <w:p w14:paraId="5C04DC6F" w14:textId="7A62B314"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900_st</w:t>
            </w:r>
          </w:p>
        </w:tc>
        <w:tc>
          <w:tcPr>
            <w:tcW w:w="896" w:type="dxa"/>
            <w:tcBorders>
              <w:left w:val="nil"/>
              <w:bottom w:val="single" w:sz="12" w:space="0" w:color="70AD47" w:themeColor="accent6"/>
              <w:right w:val="nil"/>
            </w:tcBorders>
            <w:noWrap/>
            <w:vAlign w:val="bottom"/>
            <w:hideMark/>
          </w:tcPr>
          <w:p w14:paraId="41898696" w14:textId="790F62A2"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300</w:t>
            </w:r>
          </w:p>
        </w:tc>
        <w:tc>
          <w:tcPr>
            <w:tcW w:w="541" w:type="dxa"/>
            <w:tcBorders>
              <w:left w:val="nil"/>
              <w:bottom w:val="single" w:sz="12" w:space="0" w:color="70AD47" w:themeColor="accent6"/>
              <w:right w:val="nil"/>
            </w:tcBorders>
            <w:noWrap/>
            <w:vAlign w:val="bottom"/>
            <w:hideMark/>
          </w:tcPr>
          <w:p w14:paraId="53FCF06C" w14:textId="5CB83EAB"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800</w:t>
            </w:r>
          </w:p>
        </w:tc>
        <w:tc>
          <w:tcPr>
            <w:tcW w:w="896" w:type="dxa"/>
            <w:tcBorders>
              <w:left w:val="nil"/>
              <w:bottom w:val="single" w:sz="12" w:space="0" w:color="70AD47" w:themeColor="accent6"/>
              <w:right w:val="nil"/>
            </w:tcBorders>
            <w:noWrap/>
            <w:vAlign w:val="bottom"/>
            <w:hideMark/>
          </w:tcPr>
          <w:p w14:paraId="29A04776" w14:textId="43AFC51B"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800_st</w:t>
            </w:r>
          </w:p>
        </w:tc>
        <w:tc>
          <w:tcPr>
            <w:tcW w:w="896" w:type="dxa"/>
            <w:tcBorders>
              <w:left w:val="nil"/>
              <w:bottom w:val="single" w:sz="12" w:space="0" w:color="70AD47" w:themeColor="accent6"/>
              <w:right w:val="nil"/>
            </w:tcBorders>
            <w:noWrap/>
            <w:vAlign w:val="bottom"/>
            <w:hideMark/>
          </w:tcPr>
          <w:p w14:paraId="04E246BF" w14:textId="5823BFAE"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900</w:t>
            </w:r>
          </w:p>
        </w:tc>
        <w:tc>
          <w:tcPr>
            <w:tcW w:w="639" w:type="dxa"/>
            <w:tcBorders>
              <w:left w:val="nil"/>
              <w:bottom w:val="single" w:sz="12" w:space="0" w:color="70AD47" w:themeColor="accent6"/>
              <w:right w:val="nil"/>
            </w:tcBorders>
            <w:noWrap/>
            <w:vAlign w:val="bottom"/>
            <w:hideMark/>
          </w:tcPr>
          <w:p w14:paraId="77C0CECC" w14:textId="5B0FB664" w:rsidR="00F66599" w:rsidRPr="007678DE" w:rsidRDefault="00F66599" w:rsidP="008D6965">
            <w:pPr>
              <w:pStyle w:val="CETBodytext"/>
              <w:spacing w:line="240" w:lineRule="auto"/>
              <w:jc w:val="center"/>
              <w:rPr>
                <w:b/>
                <w:bCs/>
                <w:sz w:val="16"/>
                <w:szCs w:val="16"/>
                <w:lang w:val="en-GB"/>
              </w:rPr>
            </w:pPr>
            <w:r w:rsidRPr="007678DE">
              <w:rPr>
                <w:b/>
                <w:bCs/>
                <w:sz w:val="16"/>
                <w:szCs w:val="16"/>
                <w:lang w:val="en-GB"/>
              </w:rPr>
              <w:t>900_st</w:t>
            </w:r>
          </w:p>
        </w:tc>
      </w:tr>
      <w:tr w:rsidR="008D6965" w:rsidRPr="007678DE" w14:paraId="729593E0" w14:textId="77777777" w:rsidTr="00E87E59">
        <w:trPr>
          <w:trHeight w:val="184"/>
        </w:trPr>
        <w:tc>
          <w:tcPr>
            <w:tcW w:w="462" w:type="dxa"/>
            <w:tcBorders>
              <w:top w:val="single" w:sz="12" w:space="0" w:color="70AD47" w:themeColor="accent6"/>
              <w:left w:val="nil"/>
              <w:bottom w:val="nil"/>
              <w:right w:val="nil"/>
            </w:tcBorders>
            <w:noWrap/>
            <w:vAlign w:val="bottom"/>
            <w:hideMark/>
          </w:tcPr>
          <w:p w14:paraId="4843B9E7" w14:textId="77777777" w:rsidR="008D6965" w:rsidRPr="007678DE" w:rsidRDefault="008D6965" w:rsidP="008D6965">
            <w:pPr>
              <w:pStyle w:val="CETBodytext"/>
              <w:spacing w:line="240" w:lineRule="auto"/>
              <w:rPr>
                <w:sz w:val="16"/>
                <w:szCs w:val="16"/>
                <w:lang w:val="en-GB"/>
              </w:rPr>
            </w:pPr>
            <w:r w:rsidRPr="007678DE">
              <w:rPr>
                <w:sz w:val="16"/>
                <w:szCs w:val="16"/>
                <w:lang w:val="en-GB"/>
              </w:rPr>
              <w:t>K</w:t>
            </w:r>
          </w:p>
        </w:tc>
        <w:tc>
          <w:tcPr>
            <w:tcW w:w="814" w:type="dxa"/>
            <w:tcBorders>
              <w:top w:val="single" w:sz="12" w:space="0" w:color="70AD47" w:themeColor="accent6"/>
              <w:left w:val="nil"/>
              <w:bottom w:val="nil"/>
              <w:right w:val="nil"/>
            </w:tcBorders>
            <w:noWrap/>
            <w:vAlign w:val="bottom"/>
            <w:hideMark/>
          </w:tcPr>
          <w:p w14:paraId="693FB1DA" w14:textId="3F5F4C51" w:rsidR="008D6965" w:rsidRPr="007678DE" w:rsidRDefault="008D6965" w:rsidP="008D6965">
            <w:pPr>
              <w:pStyle w:val="CETBodytext"/>
              <w:jc w:val="center"/>
              <w:rPr>
                <w:sz w:val="16"/>
                <w:szCs w:val="16"/>
                <w:lang w:val="en-GB"/>
              </w:rPr>
            </w:pPr>
            <w:r w:rsidRPr="007678DE">
              <w:rPr>
                <w:sz w:val="16"/>
                <w:szCs w:val="16"/>
              </w:rPr>
              <w:t>1.210</w:t>
            </w:r>
          </w:p>
        </w:tc>
        <w:tc>
          <w:tcPr>
            <w:tcW w:w="709" w:type="dxa"/>
            <w:tcBorders>
              <w:top w:val="single" w:sz="12" w:space="0" w:color="70AD47" w:themeColor="accent6"/>
              <w:left w:val="nil"/>
              <w:bottom w:val="nil"/>
              <w:right w:val="nil"/>
            </w:tcBorders>
            <w:noWrap/>
            <w:vAlign w:val="bottom"/>
            <w:hideMark/>
          </w:tcPr>
          <w:p w14:paraId="4B96D75B" w14:textId="79543B1F" w:rsidR="008D6965" w:rsidRPr="007678DE" w:rsidRDefault="008D6965" w:rsidP="008D6965">
            <w:pPr>
              <w:pStyle w:val="CETBodytext"/>
              <w:jc w:val="center"/>
              <w:rPr>
                <w:sz w:val="16"/>
                <w:szCs w:val="16"/>
                <w:lang w:val="en-GB"/>
              </w:rPr>
            </w:pPr>
            <w:r w:rsidRPr="007678DE">
              <w:rPr>
                <w:sz w:val="16"/>
                <w:szCs w:val="16"/>
              </w:rPr>
              <w:t>1.919</w:t>
            </w:r>
          </w:p>
        </w:tc>
        <w:tc>
          <w:tcPr>
            <w:tcW w:w="896" w:type="dxa"/>
            <w:tcBorders>
              <w:top w:val="single" w:sz="12" w:space="0" w:color="70AD47" w:themeColor="accent6"/>
              <w:left w:val="nil"/>
              <w:bottom w:val="nil"/>
              <w:right w:val="nil"/>
            </w:tcBorders>
            <w:noWrap/>
            <w:vAlign w:val="bottom"/>
            <w:hideMark/>
          </w:tcPr>
          <w:p w14:paraId="74D08BC2" w14:textId="074F440D" w:rsidR="008D6965" w:rsidRPr="007678DE" w:rsidRDefault="008D6965" w:rsidP="008D6965">
            <w:pPr>
              <w:pStyle w:val="CETBodytext"/>
              <w:jc w:val="center"/>
              <w:rPr>
                <w:sz w:val="16"/>
                <w:szCs w:val="16"/>
                <w:lang w:val="en-GB"/>
              </w:rPr>
            </w:pPr>
            <w:r w:rsidRPr="007678DE">
              <w:rPr>
                <w:sz w:val="16"/>
                <w:szCs w:val="16"/>
              </w:rPr>
              <w:t>2.958</w:t>
            </w:r>
          </w:p>
        </w:tc>
        <w:tc>
          <w:tcPr>
            <w:tcW w:w="896" w:type="dxa"/>
            <w:tcBorders>
              <w:top w:val="single" w:sz="12" w:space="0" w:color="70AD47" w:themeColor="accent6"/>
              <w:left w:val="nil"/>
              <w:bottom w:val="nil"/>
              <w:right w:val="nil"/>
            </w:tcBorders>
            <w:noWrap/>
            <w:vAlign w:val="bottom"/>
            <w:hideMark/>
          </w:tcPr>
          <w:p w14:paraId="7F8E792C" w14:textId="1C2D34AC" w:rsidR="008D6965" w:rsidRPr="007678DE" w:rsidRDefault="008D6965" w:rsidP="008D6965">
            <w:pPr>
              <w:pStyle w:val="CETBodytext"/>
              <w:jc w:val="center"/>
              <w:rPr>
                <w:sz w:val="16"/>
                <w:szCs w:val="16"/>
                <w:lang w:val="en-GB"/>
              </w:rPr>
            </w:pPr>
            <w:r w:rsidRPr="007678DE">
              <w:rPr>
                <w:sz w:val="16"/>
                <w:szCs w:val="16"/>
              </w:rPr>
              <w:t>1.701</w:t>
            </w:r>
          </w:p>
        </w:tc>
        <w:tc>
          <w:tcPr>
            <w:tcW w:w="721" w:type="dxa"/>
            <w:tcBorders>
              <w:top w:val="single" w:sz="12" w:space="0" w:color="70AD47" w:themeColor="accent6"/>
              <w:left w:val="nil"/>
              <w:bottom w:val="nil"/>
              <w:right w:val="nil"/>
            </w:tcBorders>
            <w:noWrap/>
            <w:vAlign w:val="bottom"/>
            <w:hideMark/>
          </w:tcPr>
          <w:p w14:paraId="17CB9C2D" w14:textId="7D6D2536" w:rsidR="008D6965" w:rsidRPr="007678DE" w:rsidRDefault="008D6965" w:rsidP="008D6965">
            <w:pPr>
              <w:pStyle w:val="CETBodytext"/>
              <w:jc w:val="center"/>
              <w:rPr>
                <w:sz w:val="16"/>
                <w:szCs w:val="16"/>
                <w:lang w:val="en-GB"/>
              </w:rPr>
            </w:pPr>
            <w:r w:rsidRPr="007678DE">
              <w:rPr>
                <w:sz w:val="16"/>
                <w:szCs w:val="16"/>
              </w:rPr>
              <w:t>3.063</w:t>
            </w:r>
          </w:p>
        </w:tc>
        <w:tc>
          <w:tcPr>
            <w:tcW w:w="896" w:type="dxa"/>
            <w:tcBorders>
              <w:top w:val="single" w:sz="12" w:space="0" w:color="70AD47" w:themeColor="accent6"/>
              <w:left w:val="nil"/>
              <w:bottom w:val="nil"/>
              <w:right w:val="nil"/>
            </w:tcBorders>
            <w:noWrap/>
            <w:vAlign w:val="bottom"/>
            <w:hideMark/>
          </w:tcPr>
          <w:p w14:paraId="79332251" w14:textId="3BF2613E" w:rsidR="008D6965" w:rsidRPr="007678DE" w:rsidRDefault="008D6965" w:rsidP="008D6965">
            <w:pPr>
              <w:pStyle w:val="CETBodytext"/>
              <w:jc w:val="center"/>
              <w:rPr>
                <w:sz w:val="16"/>
                <w:szCs w:val="16"/>
                <w:lang w:val="en-GB"/>
              </w:rPr>
            </w:pPr>
            <w:r w:rsidRPr="007678DE">
              <w:rPr>
                <w:sz w:val="16"/>
                <w:szCs w:val="16"/>
              </w:rPr>
              <w:t>1.290</w:t>
            </w:r>
          </w:p>
        </w:tc>
        <w:tc>
          <w:tcPr>
            <w:tcW w:w="541" w:type="dxa"/>
            <w:tcBorders>
              <w:top w:val="single" w:sz="12" w:space="0" w:color="70AD47" w:themeColor="accent6"/>
              <w:left w:val="nil"/>
              <w:bottom w:val="nil"/>
              <w:right w:val="nil"/>
            </w:tcBorders>
            <w:noWrap/>
            <w:vAlign w:val="bottom"/>
            <w:hideMark/>
          </w:tcPr>
          <w:p w14:paraId="39B87191" w14:textId="1CF323C3" w:rsidR="008D6965" w:rsidRPr="007678DE" w:rsidRDefault="008D6965" w:rsidP="008D6965">
            <w:pPr>
              <w:pStyle w:val="CETBodytext"/>
              <w:jc w:val="center"/>
              <w:rPr>
                <w:sz w:val="16"/>
                <w:szCs w:val="16"/>
                <w:lang w:val="en-GB"/>
              </w:rPr>
            </w:pPr>
            <w:r w:rsidRPr="007678DE">
              <w:rPr>
                <w:sz w:val="16"/>
                <w:szCs w:val="16"/>
              </w:rPr>
              <w:t>2.428</w:t>
            </w:r>
          </w:p>
        </w:tc>
        <w:tc>
          <w:tcPr>
            <w:tcW w:w="896" w:type="dxa"/>
            <w:tcBorders>
              <w:top w:val="single" w:sz="12" w:space="0" w:color="70AD47" w:themeColor="accent6"/>
              <w:left w:val="nil"/>
              <w:bottom w:val="nil"/>
              <w:right w:val="nil"/>
            </w:tcBorders>
            <w:noWrap/>
            <w:vAlign w:val="bottom"/>
            <w:hideMark/>
          </w:tcPr>
          <w:p w14:paraId="73E99021" w14:textId="0D5AF21B" w:rsidR="008D6965" w:rsidRPr="007678DE" w:rsidRDefault="008D6965" w:rsidP="008D6965">
            <w:pPr>
              <w:pStyle w:val="CETBodytext"/>
              <w:jc w:val="center"/>
              <w:rPr>
                <w:sz w:val="16"/>
                <w:szCs w:val="16"/>
                <w:lang w:val="en-GB"/>
              </w:rPr>
            </w:pPr>
            <w:r w:rsidRPr="007678DE">
              <w:rPr>
                <w:sz w:val="16"/>
                <w:szCs w:val="16"/>
              </w:rPr>
              <w:t>2.274</w:t>
            </w:r>
          </w:p>
        </w:tc>
        <w:tc>
          <w:tcPr>
            <w:tcW w:w="896" w:type="dxa"/>
            <w:tcBorders>
              <w:top w:val="single" w:sz="12" w:space="0" w:color="70AD47" w:themeColor="accent6"/>
              <w:left w:val="nil"/>
              <w:bottom w:val="nil"/>
              <w:right w:val="nil"/>
            </w:tcBorders>
            <w:noWrap/>
            <w:vAlign w:val="bottom"/>
            <w:hideMark/>
          </w:tcPr>
          <w:p w14:paraId="624B34A0" w14:textId="1DE0ACF1" w:rsidR="008D6965" w:rsidRPr="007678DE" w:rsidRDefault="008D6965" w:rsidP="008D6965">
            <w:pPr>
              <w:pStyle w:val="CETBodytext"/>
              <w:jc w:val="center"/>
              <w:rPr>
                <w:sz w:val="16"/>
                <w:szCs w:val="16"/>
                <w:lang w:val="en-GB"/>
              </w:rPr>
            </w:pPr>
            <w:r w:rsidRPr="007678DE">
              <w:rPr>
                <w:sz w:val="16"/>
                <w:szCs w:val="16"/>
              </w:rPr>
              <w:t>2.340</w:t>
            </w:r>
          </w:p>
        </w:tc>
        <w:tc>
          <w:tcPr>
            <w:tcW w:w="639" w:type="dxa"/>
            <w:tcBorders>
              <w:top w:val="single" w:sz="12" w:space="0" w:color="70AD47" w:themeColor="accent6"/>
              <w:left w:val="nil"/>
              <w:bottom w:val="nil"/>
              <w:right w:val="nil"/>
            </w:tcBorders>
            <w:noWrap/>
            <w:vAlign w:val="bottom"/>
            <w:hideMark/>
          </w:tcPr>
          <w:p w14:paraId="7A2EDB07" w14:textId="64410B0E" w:rsidR="008D6965" w:rsidRPr="007678DE" w:rsidRDefault="008D6965" w:rsidP="008D6965">
            <w:pPr>
              <w:pStyle w:val="CETBodytext"/>
              <w:jc w:val="center"/>
              <w:rPr>
                <w:sz w:val="16"/>
                <w:szCs w:val="16"/>
                <w:lang w:val="en-GB"/>
              </w:rPr>
            </w:pPr>
            <w:r w:rsidRPr="007678DE">
              <w:rPr>
                <w:sz w:val="16"/>
                <w:szCs w:val="16"/>
              </w:rPr>
              <w:t>2.224</w:t>
            </w:r>
          </w:p>
        </w:tc>
      </w:tr>
      <w:tr w:rsidR="008D6965" w:rsidRPr="007678DE" w14:paraId="5A14CD0E" w14:textId="77777777" w:rsidTr="00E87E59">
        <w:trPr>
          <w:trHeight w:val="184"/>
        </w:trPr>
        <w:tc>
          <w:tcPr>
            <w:tcW w:w="462" w:type="dxa"/>
            <w:tcBorders>
              <w:top w:val="nil"/>
              <w:left w:val="nil"/>
              <w:bottom w:val="nil"/>
              <w:right w:val="nil"/>
            </w:tcBorders>
            <w:noWrap/>
            <w:vAlign w:val="bottom"/>
            <w:hideMark/>
          </w:tcPr>
          <w:p w14:paraId="6F56EDC9" w14:textId="77777777" w:rsidR="008D6965" w:rsidRPr="007678DE" w:rsidRDefault="008D6965" w:rsidP="008D6965">
            <w:pPr>
              <w:pStyle w:val="CETBodytext"/>
              <w:spacing w:line="240" w:lineRule="auto"/>
              <w:rPr>
                <w:sz w:val="16"/>
                <w:szCs w:val="16"/>
                <w:lang w:val="en-GB"/>
              </w:rPr>
            </w:pPr>
            <w:r w:rsidRPr="007678DE">
              <w:rPr>
                <w:sz w:val="16"/>
                <w:szCs w:val="16"/>
                <w:lang w:val="en-GB"/>
              </w:rPr>
              <w:t>Cl</w:t>
            </w:r>
          </w:p>
        </w:tc>
        <w:tc>
          <w:tcPr>
            <w:tcW w:w="814" w:type="dxa"/>
            <w:tcBorders>
              <w:top w:val="nil"/>
              <w:left w:val="nil"/>
              <w:bottom w:val="nil"/>
              <w:right w:val="nil"/>
            </w:tcBorders>
            <w:noWrap/>
            <w:vAlign w:val="bottom"/>
            <w:hideMark/>
          </w:tcPr>
          <w:p w14:paraId="74ED2A22" w14:textId="1DD9A7CD" w:rsidR="008D6965" w:rsidRPr="007678DE" w:rsidRDefault="008D6965" w:rsidP="008D6965">
            <w:pPr>
              <w:pStyle w:val="CETBodytext"/>
              <w:jc w:val="center"/>
              <w:rPr>
                <w:sz w:val="16"/>
                <w:szCs w:val="16"/>
                <w:lang w:val="en-GB"/>
              </w:rPr>
            </w:pPr>
            <w:r w:rsidRPr="007678DE">
              <w:rPr>
                <w:sz w:val="16"/>
                <w:szCs w:val="16"/>
              </w:rPr>
              <w:t>0.400</w:t>
            </w:r>
          </w:p>
        </w:tc>
        <w:tc>
          <w:tcPr>
            <w:tcW w:w="709" w:type="dxa"/>
            <w:tcBorders>
              <w:top w:val="nil"/>
              <w:left w:val="nil"/>
              <w:bottom w:val="nil"/>
              <w:right w:val="nil"/>
            </w:tcBorders>
            <w:noWrap/>
            <w:vAlign w:val="bottom"/>
            <w:hideMark/>
          </w:tcPr>
          <w:p w14:paraId="49764CC4" w14:textId="250DF9B1" w:rsidR="008D6965" w:rsidRPr="007678DE" w:rsidRDefault="008D6965" w:rsidP="008D6965">
            <w:pPr>
              <w:pStyle w:val="CETBodytext"/>
              <w:jc w:val="center"/>
              <w:rPr>
                <w:sz w:val="16"/>
                <w:szCs w:val="16"/>
                <w:lang w:val="en-GB"/>
              </w:rPr>
            </w:pPr>
            <w:r w:rsidRPr="007678DE">
              <w:rPr>
                <w:sz w:val="16"/>
                <w:szCs w:val="16"/>
              </w:rPr>
              <w:t>0.272</w:t>
            </w:r>
          </w:p>
        </w:tc>
        <w:tc>
          <w:tcPr>
            <w:tcW w:w="896" w:type="dxa"/>
            <w:tcBorders>
              <w:top w:val="nil"/>
              <w:left w:val="nil"/>
              <w:bottom w:val="nil"/>
              <w:right w:val="nil"/>
            </w:tcBorders>
            <w:noWrap/>
            <w:vAlign w:val="bottom"/>
            <w:hideMark/>
          </w:tcPr>
          <w:p w14:paraId="5A6BE321" w14:textId="7F2026C0" w:rsidR="008D6965" w:rsidRPr="007678DE" w:rsidRDefault="008D6965" w:rsidP="008D6965">
            <w:pPr>
              <w:pStyle w:val="CETBodytext"/>
              <w:jc w:val="center"/>
              <w:rPr>
                <w:sz w:val="16"/>
                <w:szCs w:val="16"/>
                <w:lang w:val="en-GB"/>
              </w:rPr>
            </w:pPr>
            <w:r w:rsidRPr="007678DE">
              <w:rPr>
                <w:sz w:val="16"/>
                <w:szCs w:val="16"/>
              </w:rPr>
              <w:t>0.415</w:t>
            </w:r>
          </w:p>
        </w:tc>
        <w:tc>
          <w:tcPr>
            <w:tcW w:w="896" w:type="dxa"/>
            <w:tcBorders>
              <w:top w:val="nil"/>
              <w:left w:val="nil"/>
              <w:bottom w:val="nil"/>
              <w:right w:val="nil"/>
            </w:tcBorders>
            <w:noWrap/>
            <w:vAlign w:val="bottom"/>
            <w:hideMark/>
          </w:tcPr>
          <w:p w14:paraId="77F5405A" w14:textId="0FBD2DDC" w:rsidR="008D6965" w:rsidRPr="007678DE" w:rsidRDefault="008D6965" w:rsidP="008D6965">
            <w:pPr>
              <w:pStyle w:val="CETBodytext"/>
              <w:jc w:val="center"/>
              <w:rPr>
                <w:sz w:val="16"/>
                <w:szCs w:val="16"/>
                <w:lang w:val="en-GB"/>
              </w:rPr>
            </w:pPr>
            <w:r w:rsidRPr="007678DE">
              <w:rPr>
                <w:sz w:val="16"/>
                <w:szCs w:val="16"/>
              </w:rPr>
              <w:t>0.228</w:t>
            </w:r>
          </w:p>
        </w:tc>
        <w:tc>
          <w:tcPr>
            <w:tcW w:w="721" w:type="dxa"/>
            <w:tcBorders>
              <w:top w:val="nil"/>
              <w:left w:val="nil"/>
              <w:bottom w:val="nil"/>
              <w:right w:val="nil"/>
            </w:tcBorders>
            <w:noWrap/>
            <w:vAlign w:val="bottom"/>
            <w:hideMark/>
          </w:tcPr>
          <w:p w14:paraId="16B2B4F5" w14:textId="5D7FD013" w:rsidR="008D6965" w:rsidRPr="007678DE" w:rsidRDefault="008D6965" w:rsidP="008D6965">
            <w:pPr>
              <w:pStyle w:val="CETBodytext"/>
              <w:jc w:val="center"/>
              <w:rPr>
                <w:sz w:val="16"/>
                <w:szCs w:val="16"/>
                <w:lang w:val="en-GB"/>
              </w:rPr>
            </w:pPr>
            <w:r w:rsidRPr="007678DE">
              <w:rPr>
                <w:sz w:val="16"/>
                <w:szCs w:val="16"/>
              </w:rPr>
              <w:t>0.391</w:t>
            </w:r>
          </w:p>
        </w:tc>
        <w:tc>
          <w:tcPr>
            <w:tcW w:w="896" w:type="dxa"/>
            <w:tcBorders>
              <w:top w:val="nil"/>
              <w:left w:val="nil"/>
              <w:bottom w:val="nil"/>
              <w:right w:val="nil"/>
            </w:tcBorders>
            <w:noWrap/>
            <w:vAlign w:val="bottom"/>
            <w:hideMark/>
          </w:tcPr>
          <w:p w14:paraId="60D4E302" w14:textId="3D3E41A6" w:rsidR="008D6965" w:rsidRPr="007678DE" w:rsidRDefault="008D6965" w:rsidP="008D6965">
            <w:pPr>
              <w:pStyle w:val="CETBodytext"/>
              <w:jc w:val="center"/>
              <w:rPr>
                <w:sz w:val="16"/>
                <w:szCs w:val="16"/>
                <w:lang w:val="en-GB"/>
              </w:rPr>
            </w:pPr>
            <w:r w:rsidRPr="007678DE">
              <w:rPr>
                <w:sz w:val="16"/>
                <w:szCs w:val="16"/>
              </w:rPr>
              <w:t>0.255</w:t>
            </w:r>
          </w:p>
        </w:tc>
        <w:tc>
          <w:tcPr>
            <w:tcW w:w="541" w:type="dxa"/>
            <w:tcBorders>
              <w:top w:val="nil"/>
              <w:left w:val="nil"/>
              <w:bottom w:val="nil"/>
              <w:right w:val="nil"/>
            </w:tcBorders>
            <w:noWrap/>
            <w:vAlign w:val="bottom"/>
            <w:hideMark/>
          </w:tcPr>
          <w:p w14:paraId="6215B2EB" w14:textId="1B8BE043" w:rsidR="008D6965" w:rsidRPr="007678DE" w:rsidRDefault="008D6965" w:rsidP="008D6965">
            <w:pPr>
              <w:pStyle w:val="CETBodytext"/>
              <w:jc w:val="center"/>
              <w:rPr>
                <w:sz w:val="16"/>
                <w:szCs w:val="16"/>
                <w:lang w:val="en-GB"/>
              </w:rPr>
            </w:pPr>
            <w:r w:rsidRPr="007678DE">
              <w:rPr>
                <w:sz w:val="16"/>
                <w:szCs w:val="16"/>
              </w:rPr>
              <w:t>0.268</w:t>
            </w:r>
          </w:p>
        </w:tc>
        <w:tc>
          <w:tcPr>
            <w:tcW w:w="896" w:type="dxa"/>
            <w:tcBorders>
              <w:top w:val="nil"/>
              <w:left w:val="nil"/>
              <w:bottom w:val="nil"/>
              <w:right w:val="nil"/>
            </w:tcBorders>
            <w:noWrap/>
            <w:vAlign w:val="bottom"/>
            <w:hideMark/>
          </w:tcPr>
          <w:p w14:paraId="757DD07D" w14:textId="5C081A8C" w:rsidR="008D6965" w:rsidRPr="007678DE" w:rsidRDefault="008D6965" w:rsidP="008D6965">
            <w:pPr>
              <w:pStyle w:val="CETBodytext"/>
              <w:jc w:val="center"/>
              <w:rPr>
                <w:sz w:val="16"/>
                <w:szCs w:val="16"/>
                <w:lang w:val="en-GB"/>
              </w:rPr>
            </w:pPr>
            <w:r w:rsidRPr="007678DE">
              <w:rPr>
                <w:sz w:val="16"/>
                <w:szCs w:val="16"/>
              </w:rPr>
              <w:t>0.335</w:t>
            </w:r>
          </w:p>
        </w:tc>
        <w:tc>
          <w:tcPr>
            <w:tcW w:w="896" w:type="dxa"/>
            <w:tcBorders>
              <w:top w:val="nil"/>
              <w:left w:val="nil"/>
              <w:bottom w:val="nil"/>
              <w:right w:val="nil"/>
            </w:tcBorders>
            <w:noWrap/>
            <w:vAlign w:val="bottom"/>
            <w:hideMark/>
          </w:tcPr>
          <w:p w14:paraId="76B4338F" w14:textId="21DC5728" w:rsidR="008D6965" w:rsidRPr="007678DE" w:rsidRDefault="008D6965" w:rsidP="008D6965">
            <w:pPr>
              <w:pStyle w:val="CETBodytext"/>
              <w:jc w:val="center"/>
              <w:rPr>
                <w:sz w:val="16"/>
                <w:szCs w:val="16"/>
                <w:lang w:val="en-GB"/>
              </w:rPr>
            </w:pPr>
            <w:r w:rsidRPr="007678DE">
              <w:rPr>
                <w:sz w:val="16"/>
                <w:szCs w:val="16"/>
              </w:rPr>
              <w:t>0.298</w:t>
            </w:r>
          </w:p>
        </w:tc>
        <w:tc>
          <w:tcPr>
            <w:tcW w:w="639" w:type="dxa"/>
            <w:tcBorders>
              <w:top w:val="nil"/>
              <w:left w:val="nil"/>
              <w:bottom w:val="nil"/>
              <w:right w:val="nil"/>
            </w:tcBorders>
            <w:noWrap/>
            <w:vAlign w:val="bottom"/>
            <w:hideMark/>
          </w:tcPr>
          <w:p w14:paraId="7A2AE15E" w14:textId="631D3049" w:rsidR="008D6965" w:rsidRPr="007678DE" w:rsidRDefault="008D6965" w:rsidP="008D6965">
            <w:pPr>
              <w:pStyle w:val="CETBodytext"/>
              <w:jc w:val="center"/>
              <w:rPr>
                <w:sz w:val="16"/>
                <w:szCs w:val="16"/>
                <w:lang w:val="en-GB"/>
              </w:rPr>
            </w:pPr>
            <w:r w:rsidRPr="007678DE">
              <w:rPr>
                <w:sz w:val="16"/>
                <w:szCs w:val="16"/>
              </w:rPr>
              <w:t>0.255</w:t>
            </w:r>
          </w:p>
        </w:tc>
      </w:tr>
      <w:tr w:rsidR="008D6965" w:rsidRPr="007678DE" w14:paraId="0168D2E2" w14:textId="77777777" w:rsidTr="00E87E59">
        <w:trPr>
          <w:trHeight w:val="184"/>
        </w:trPr>
        <w:tc>
          <w:tcPr>
            <w:tcW w:w="462" w:type="dxa"/>
            <w:tcBorders>
              <w:top w:val="nil"/>
              <w:left w:val="nil"/>
              <w:bottom w:val="nil"/>
              <w:right w:val="nil"/>
            </w:tcBorders>
            <w:noWrap/>
            <w:vAlign w:val="bottom"/>
            <w:hideMark/>
          </w:tcPr>
          <w:p w14:paraId="6B0B804E" w14:textId="77777777" w:rsidR="008D6965" w:rsidRPr="007678DE" w:rsidRDefault="008D6965" w:rsidP="008D6965">
            <w:pPr>
              <w:pStyle w:val="CETBodytext"/>
              <w:spacing w:line="240" w:lineRule="auto"/>
              <w:rPr>
                <w:sz w:val="16"/>
                <w:szCs w:val="16"/>
                <w:lang w:val="en-GB"/>
              </w:rPr>
            </w:pPr>
            <w:r w:rsidRPr="007678DE">
              <w:rPr>
                <w:sz w:val="16"/>
                <w:szCs w:val="16"/>
                <w:lang w:val="en-GB"/>
              </w:rPr>
              <w:t>Si</w:t>
            </w:r>
          </w:p>
        </w:tc>
        <w:tc>
          <w:tcPr>
            <w:tcW w:w="814" w:type="dxa"/>
            <w:tcBorders>
              <w:top w:val="nil"/>
              <w:left w:val="nil"/>
              <w:bottom w:val="nil"/>
              <w:right w:val="nil"/>
            </w:tcBorders>
            <w:noWrap/>
            <w:vAlign w:val="bottom"/>
            <w:hideMark/>
          </w:tcPr>
          <w:p w14:paraId="33461198" w14:textId="298B87CB" w:rsidR="008D6965" w:rsidRPr="007678DE" w:rsidRDefault="008D6965" w:rsidP="008D6965">
            <w:pPr>
              <w:pStyle w:val="CETBodytext"/>
              <w:jc w:val="center"/>
              <w:rPr>
                <w:sz w:val="16"/>
                <w:szCs w:val="16"/>
                <w:lang w:val="en-GB"/>
              </w:rPr>
            </w:pPr>
            <w:r w:rsidRPr="007678DE">
              <w:rPr>
                <w:sz w:val="16"/>
                <w:szCs w:val="16"/>
              </w:rPr>
              <w:t>0.330</w:t>
            </w:r>
          </w:p>
        </w:tc>
        <w:tc>
          <w:tcPr>
            <w:tcW w:w="709" w:type="dxa"/>
            <w:tcBorders>
              <w:top w:val="nil"/>
              <w:left w:val="nil"/>
              <w:bottom w:val="nil"/>
              <w:right w:val="nil"/>
            </w:tcBorders>
            <w:noWrap/>
            <w:vAlign w:val="bottom"/>
            <w:hideMark/>
          </w:tcPr>
          <w:p w14:paraId="221DC55E" w14:textId="3DEFF795" w:rsidR="008D6965" w:rsidRPr="007678DE" w:rsidRDefault="008D6965" w:rsidP="008D6965">
            <w:pPr>
              <w:pStyle w:val="CETBodytext"/>
              <w:jc w:val="center"/>
              <w:rPr>
                <w:sz w:val="16"/>
                <w:szCs w:val="16"/>
                <w:lang w:val="en-GB"/>
              </w:rPr>
            </w:pPr>
            <w:r w:rsidRPr="007678DE">
              <w:rPr>
                <w:sz w:val="16"/>
                <w:szCs w:val="16"/>
              </w:rPr>
              <w:t>0.613</w:t>
            </w:r>
          </w:p>
        </w:tc>
        <w:tc>
          <w:tcPr>
            <w:tcW w:w="896" w:type="dxa"/>
            <w:tcBorders>
              <w:top w:val="nil"/>
              <w:left w:val="nil"/>
              <w:bottom w:val="nil"/>
              <w:right w:val="nil"/>
            </w:tcBorders>
            <w:noWrap/>
            <w:vAlign w:val="bottom"/>
            <w:hideMark/>
          </w:tcPr>
          <w:p w14:paraId="6B29761F" w14:textId="420C938B" w:rsidR="008D6965" w:rsidRPr="007678DE" w:rsidRDefault="008D6965" w:rsidP="008D6965">
            <w:pPr>
              <w:pStyle w:val="CETBodytext"/>
              <w:jc w:val="center"/>
              <w:rPr>
                <w:sz w:val="16"/>
                <w:szCs w:val="16"/>
                <w:lang w:val="en-GB"/>
              </w:rPr>
            </w:pPr>
            <w:r w:rsidRPr="007678DE">
              <w:rPr>
                <w:sz w:val="16"/>
                <w:szCs w:val="16"/>
              </w:rPr>
              <w:t>1.179</w:t>
            </w:r>
          </w:p>
        </w:tc>
        <w:tc>
          <w:tcPr>
            <w:tcW w:w="896" w:type="dxa"/>
            <w:tcBorders>
              <w:top w:val="nil"/>
              <w:left w:val="nil"/>
              <w:bottom w:val="nil"/>
              <w:right w:val="nil"/>
            </w:tcBorders>
            <w:noWrap/>
            <w:vAlign w:val="bottom"/>
            <w:hideMark/>
          </w:tcPr>
          <w:p w14:paraId="30A56E56" w14:textId="481A4FB5" w:rsidR="008D6965" w:rsidRPr="007678DE" w:rsidRDefault="008D6965" w:rsidP="008D6965">
            <w:pPr>
              <w:pStyle w:val="CETBodytext"/>
              <w:jc w:val="center"/>
              <w:rPr>
                <w:sz w:val="16"/>
                <w:szCs w:val="16"/>
                <w:lang w:val="en-GB"/>
              </w:rPr>
            </w:pPr>
            <w:r w:rsidRPr="007678DE">
              <w:rPr>
                <w:sz w:val="16"/>
                <w:szCs w:val="16"/>
              </w:rPr>
              <w:t>0.802</w:t>
            </w:r>
          </w:p>
        </w:tc>
        <w:tc>
          <w:tcPr>
            <w:tcW w:w="721" w:type="dxa"/>
            <w:tcBorders>
              <w:top w:val="nil"/>
              <w:left w:val="nil"/>
              <w:bottom w:val="nil"/>
              <w:right w:val="nil"/>
            </w:tcBorders>
            <w:noWrap/>
            <w:vAlign w:val="bottom"/>
            <w:hideMark/>
          </w:tcPr>
          <w:p w14:paraId="5586A272" w14:textId="60A89FC1" w:rsidR="008D6965" w:rsidRPr="007678DE" w:rsidRDefault="008D6965" w:rsidP="008D6965">
            <w:pPr>
              <w:pStyle w:val="CETBodytext"/>
              <w:jc w:val="center"/>
              <w:rPr>
                <w:sz w:val="16"/>
                <w:szCs w:val="16"/>
                <w:lang w:val="en-GB"/>
              </w:rPr>
            </w:pPr>
            <w:r w:rsidRPr="007678DE">
              <w:rPr>
                <w:sz w:val="16"/>
                <w:szCs w:val="16"/>
              </w:rPr>
              <w:t>1.440</w:t>
            </w:r>
          </w:p>
        </w:tc>
        <w:tc>
          <w:tcPr>
            <w:tcW w:w="896" w:type="dxa"/>
            <w:tcBorders>
              <w:top w:val="nil"/>
              <w:left w:val="nil"/>
              <w:bottom w:val="nil"/>
              <w:right w:val="nil"/>
            </w:tcBorders>
            <w:noWrap/>
            <w:vAlign w:val="bottom"/>
            <w:hideMark/>
          </w:tcPr>
          <w:p w14:paraId="2912DB03" w14:textId="2F75098A" w:rsidR="008D6965" w:rsidRPr="007678DE" w:rsidRDefault="008D6965" w:rsidP="008D6965">
            <w:pPr>
              <w:pStyle w:val="CETBodytext"/>
              <w:jc w:val="center"/>
              <w:rPr>
                <w:sz w:val="16"/>
                <w:szCs w:val="16"/>
                <w:lang w:val="en-GB"/>
              </w:rPr>
            </w:pPr>
            <w:r w:rsidRPr="007678DE">
              <w:rPr>
                <w:sz w:val="16"/>
                <w:szCs w:val="16"/>
              </w:rPr>
              <w:t>0.720</w:t>
            </w:r>
          </w:p>
        </w:tc>
        <w:tc>
          <w:tcPr>
            <w:tcW w:w="541" w:type="dxa"/>
            <w:tcBorders>
              <w:top w:val="nil"/>
              <w:left w:val="nil"/>
              <w:bottom w:val="nil"/>
              <w:right w:val="nil"/>
            </w:tcBorders>
            <w:noWrap/>
            <w:vAlign w:val="bottom"/>
            <w:hideMark/>
          </w:tcPr>
          <w:p w14:paraId="5368D5A2" w14:textId="4E2D6995" w:rsidR="008D6965" w:rsidRPr="007678DE" w:rsidRDefault="008D6965" w:rsidP="008D6965">
            <w:pPr>
              <w:pStyle w:val="CETBodytext"/>
              <w:jc w:val="center"/>
              <w:rPr>
                <w:sz w:val="16"/>
                <w:szCs w:val="16"/>
                <w:lang w:val="en-GB"/>
              </w:rPr>
            </w:pPr>
            <w:r w:rsidRPr="007678DE">
              <w:rPr>
                <w:sz w:val="16"/>
                <w:szCs w:val="16"/>
              </w:rPr>
              <w:t>0.621</w:t>
            </w:r>
          </w:p>
        </w:tc>
        <w:tc>
          <w:tcPr>
            <w:tcW w:w="896" w:type="dxa"/>
            <w:tcBorders>
              <w:top w:val="nil"/>
              <w:left w:val="nil"/>
              <w:bottom w:val="nil"/>
              <w:right w:val="nil"/>
            </w:tcBorders>
            <w:noWrap/>
            <w:vAlign w:val="bottom"/>
            <w:hideMark/>
          </w:tcPr>
          <w:p w14:paraId="77D895FE" w14:textId="6F4C8055" w:rsidR="008D6965" w:rsidRPr="007678DE" w:rsidRDefault="008D6965" w:rsidP="008D6965">
            <w:pPr>
              <w:pStyle w:val="CETBodytext"/>
              <w:jc w:val="center"/>
              <w:rPr>
                <w:sz w:val="16"/>
                <w:szCs w:val="16"/>
                <w:lang w:val="en-GB"/>
              </w:rPr>
            </w:pPr>
            <w:r w:rsidRPr="007678DE">
              <w:rPr>
                <w:sz w:val="16"/>
                <w:szCs w:val="16"/>
              </w:rPr>
              <w:t>0.896</w:t>
            </w:r>
          </w:p>
        </w:tc>
        <w:tc>
          <w:tcPr>
            <w:tcW w:w="896" w:type="dxa"/>
            <w:tcBorders>
              <w:top w:val="nil"/>
              <w:left w:val="nil"/>
              <w:bottom w:val="nil"/>
              <w:right w:val="nil"/>
            </w:tcBorders>
            <w:noWrap/>
            <w:vAlign w:val="bottom"/>
            <w:hideMark/>
          </w:tcPr>
          <w:p w14:paraId="4AFF31ED" w14:textId="2005C30A" w:rsidR="008D6965" w:rsidRPr="007678DE" w:rsidRDefault="008D6965" w:rsidP="008D6965">
            <w:pPr>
              <w:pStyle w:val="CETBodytext"/>
              <w:jc w:val="center"/>
              <w:rPr>
                <w:sz w:val="16"/>
                <w:szCs w:val="16"/>
                <w:lang w:val="en-GB"/>
              </w:rPr>
            </w:pPr>
            <w:r w:rsidRPr="007678DE">
              <w:rPr>
                <w:sz w:val="16"/>
                <w:szCs w:val="16"/>
              </w:rPr>
              <w:t>1.255</w:t>
            </w:r>
          </w:p>
        </w:tc>
        <w:tc>
          <w:tcPr>
            <w:tcW w:w="639" w:type="dxa"/>
            <w:tcBorders>
              <w:top w:val="nil"/>
              <w:left w:val="nil"/>
              <w:bottom w:val="nil"/>
              <w:right w:val="nil"/>
            </w:tcBorders>
            <w:noWrap/>
            <w:vAlign w:val="bottom"/>
            <w:hideMark/>
          </w:tcPr>
          <w:p w14:paraId="3B2B264B" w14:textId="6D0C488F" w:rsidR="008D6965" w:rsidRPr="007678DE" w:rsidRDefault="008D6965" w:rsidP="008D6965">
            <w:pPr>
              <w:pStyle w:val="CETBodytext"/>
              <w:jc w:val="center"/>
              <w:rPr>
                <w:sz w:val="16"/>
                <w:szCs w:val="16"/>
                <w:lang w:val="en-GB"/>
              </w:rPr>
            </w:pPr>
            <w:r w:rsidRPr="007678DE">
              <w:rPr>
                <w:sz w:val="16"/>
                <w:szCs w:val="16"/>
              </w:rPr>
              <w:t>0.717</w:t>
            </w:r>
          </w:p>
        </w:tc>
      </w:tr>
      <w:tr w:rsidR="008D6965" w:rsidRPr="007678DE" w14:paraId="3C5D0894" w14:textId="77777777" w:rsidTr="00E87E59">
        <w:trPr>
          <w:trHeight w:val="184"/>
        </w:trPr>
        <w:tc>
          <w:tcPr>
            <w:tcW w:w="462" w:type="dxa"/>
            <w:tcBorders>
              <w:top w:val="nil"/>
              <w:left w:val="nil"/>
              <w:bottom w:val="nil"/>
              <w:right w:val="nil"/>
            </w:tcBorders>
            <w:noWrap/>
            <w:vAlign w:val="bottom"/>
            <w:hideMark/>
          </w:tcPr>
          <w:p w14:paraId="2D6ECE17" w14:textId="77777777" w:rsidR="008D6965" w:rsidRPr="007678DE" w:rsidRDefault="008D6965" w:rsidP="008D6965">
            <w:pPr>
              <w:pStyle w:val="CETBodytext"/>
              <w:spacing w:line="240" w:lineRule="auto"/>
              <w:rPr>
                <w:sz w:val="16"/>
                <w:szCs w:val="16"/>
                <w:lang w:val="en-GB"/>
              </w:rPr>
            </w:pPr>
            <w:r w:rsidRPr="007678DE">
              <w:rPr>
                <w:sz w:val="16"/>
                <w:szCs w:val="16"/>
                <w:lang w:val="en-GB"/>
              </w:rPr>
              <w:t>Fe</w:t>
            </w:r>
          </w:p>
        </w:tc>
        <w:tc>
          <w:tcPr>
            <w:tcW w:w="814" w:type="dxa"/>
            <w:tcBorders>
              <w:top w:val="nil"/>
              <w:left w:val="nil"/>
              <w:bottom w:val="nil"/>
              <w:right w:val="nil"/>
            </w:tcBorders>
            <w:noWrap/>
            <w:vAlign w:val="bottom"/>
            <w:hideMark/>
          </w:tcPr>
          <w:p w14:paraId="0EE525B8" w14:textId="765CB9E3" w:rsidR="008D6965" w:rsidRPr="007678DE" w:rsidRDefault="008D6965" w:rsidP="008D6965">
            <w:pPr>
              <w:pStyle w:val="CETBodytext"/>
              <w:jc w:val="center"/>
              <w:rPr>
                <w:sz w:val="16"/>
                <w:szCs w:val="16"/>
                <w:lang w:val="en-GB"/>
              </w:rPr>
            </w:pPr>
            <w:r w:rsidRPr="007678DE">
              <w:rPr>
                <w:sz w:val="16"/>
                <w:szCs w:val="16"/>
              </w:rPr>
              <w:t>0.193</w:t>
            </w:r>
          </w:p>
        </w:tc>
        <w:tc>
          <w:tcPr>
            <w:tcW w:w="709" w:type="dxa"/>
            <w:tcBorders>
              <w:top w:val="nil"/>
              <w:left w:val="nil"/>
              <w:bottom w:val="nil"/>
              <w:right w:val="nil"/>
            </w:tcBorders>
            <w:noWrap/>
            <w:vAlign w:val="bottom"/>
            <w:hideMark/>
          </w:tcPr>
          <w:p w14:paraId="07E4CF43" w14:textId="5DAE640A" w:rsidR="008D6965" w:rsidRPr="007678DE" w:rsidRDefault="008D6965" w:rsidP="008D6965">
            <w:pPr>
              <w:pStyle w:val="CETBodytext"/>
              <w:jc w:val="center"/>
              <w:rPr>
                <w:sz w:val="16"/>
                <w:szCs w:val="16"/>
                <w:lang w:val="en-GB"/>
              </w:rPr>
            </w:pPr>
            <w:r w:rsidRPr="007678DE">
              <w:rPr>
                <w:sz w:val="16"/>
                <w:szCs w:val="16"/>
              </w:rPr>
              <w:t>0.082</w:t>
            </w:r>
          </w:p>
        </w:tc>
        <w:tc>
          <w:tcPr>
            <w:tcW w:w="896" w:type="dxa"/>
            <w:tcBorders>
              <w:top w:val="nil"/>
              <w:left w:val="nil"/>
              <w:bottom w:val="nil"/>
              <w:right w:val="nil"/>
            </w:tcBorders>
            <w:noWrap/>
            <w:vAlign w:val="bottom"/>
            <w:hideMark/>
          </w:tcPr>
          <w:p w14:paraId="6FEFFD24" w14:textId="7D4B4A18" w:rsidR="008D6965" w:rsidRPr="007678DE" w:rsidRDefault="008D6965" w:rsidP="008D6965">
            <w:pPr>
              <w:pStyle w:val="CETBodytext"/>
              <w:jc w:val="center"/>
              <w:rPr>
                <w:sz w:val="16"/>
                <w:szCs w:val="16"/>
                <w:lang w:val="en-GB"/>
              </w:rPr>
            </w:pPr>
            <w:r w:rsidRPr="007678DE">
              <w:rPr>
                <w:sz w:val="16"/>
                <w:szCs w:val="16"/>
              </w:rPr>
              <w:t>0.113</w:t>
            </w:r>
          </w:p>
        </w:tc>
        <w:tc>
          <w:tcPr>
            <w:tcW w:w="896" w:type="dxa"/>
            <w:tcBorders>
              <w:top w:val="nil"/>
              <w:left w:val="nil"/>
              <w:bottom w:val="nil"/>
              <w:right w:val="nil"/>
            </w:tcBorders>
            <w:noWrap/>
            <w:vAlign w:val="bottom"/>
            <w:hideMark/>
          </w:tcPr>
          <w:p w14:paraId="64CF2E52" w14:textId="1449CD1B" w:rsidR="008D6965" w:rsidRPr="007678DE" w:rsidRDefault="008D6965" w:rsidP="008D6965">
            <w:pPr>
              <w:pStyle w:val="CETBodytext"/>
              <w:jc w:val="center"/>
              <w:rPr>
                <w:sz w:val="16"/>
                <w:szCs w:val="16"/>
                <w:lang w:val="en-GB"/>
              </w:rPr>
            </w:pPr>
            <w:r w:rsidRPr="007678DE">
              <w:rPr>
                <w:sz w:val="16"/>
                <w:szCs w:val="16"/>
              </w:rPr>
              <w:t>0.069</w:t>
            </w:r>
          </w:p>
        </w:tc>
        <w:tc>
          <w:tcPr>
            <w:tcW w:w="721" w:type="dxa"/>
            <w:tcBorders>
              <w:top w:val="nil"/>
              <w:left w:val="nil"/>
              <w:bottom w:val="nil"/>
              <w:right w:val="nil"/>
            </w:tcBorders>
            <w:noWrap/>
            <w:vAlign w:val="bottom"/>
            <w:hideMark/>
          </w:tcPr>
          <w:p w14:paraId="7B30F918" w14:textId="4A87320B" w:rsidR="008D6965" w:rsidRPr="007678DE" w:rsidRDefault="008D6965" w:rsidP="008D6965">
            <w:pPr>
              <w:pStyle w:val="CETBodytext"/>
              <w:jc w:val="center"/>
              <w:rPr>
                <w:sz w:val="16"/>
                <w:szCs w:val="16"/>
                <w:lang w:val="en-GB"/>
              </w:rPr>
            </w:pPr>
            <w:r w:rsidRPr="007678DE">
              <w:rPr>
                <w:sz w:val="16"/>
                <w:szCs w:val="16"/>
              </w:rPr>
              <w:t>0.228</w:t>
            </w:r>
          </w:p>
        </w:tc>
        <w:tc>
          <w:tcPr>
            <w:tcW w:w="896" w:type="dxa"/>
            <w:tcBorders>
              <w:top w:val="nil"/>
              <w:left w:val="nil"/>
              <w:bottom w:val="nil"/>
              <w:right w:val="nil"/>
            </w:tcBorders>
            <w:noWrap/>
            <w:vAlign w:val="bottom"/>
            <w:hideMark/>
          </w:tcPr>
          <w:p w14:paraId="20D110D8" w14:textId="39A2F9AC" w:rsidR="008D6965" w:rsidRPr="007678DE" w:rsidRDefault="008D6965" w:rsidP="008D6965">
            <w:pPr>
              <w:pStyle w:val="CETBodytext"/>
              <w:jc w:val="center"/>
              <w:rPr>
                <w:sz w:val="16"/>
                <w:szCs w:val="16"/>
                <w:lang w:val="en-GB"/>
              </w:rPr>
            </w:pPr>
            <w:r w:rsidRPr="007678DE">
              <w:rPr>
                <w:sz w:val="16"/>
                <w:szCs w:val="16"/>
              </w:rPr>
              <w:t>0.027</w:t>
            </w:r>
          </w:p>
        </w:tc>
        <w:tc>
          <w:tcPr>
            <w:tcW w:w="541" w:type="dxa"/>
            <w:tcBorders>
              <w:top w:val="nil"/>
              <w:left w:val="nil"/>
              <w:bottom w:val="nil"/>
              <w:right w:val="nil"/>
            </w:tcBorders>
            <w:noWrap/>
            <w:vAlign w:val="bottom"/>
            <w:hideMark/>
          </w:tcPr>
          <w:p w14:paraId="0F800384" w14:textId="0C3073E6" w:rsidR="008D6965" w:rsidRPr="007678DE" w:rsidRDefault="008D6965" w:rsidP="008D6965">
            <w:pPr>
              <w:pStyle w:val="CETBodytext"/>
              <w:jc w:val="center"/>
              <w:rPr>
                <w:sz w:val="16"/>
                <w:szCs w:val="16"/>
                <w:lang w:val="en-GB"/>
              </w:rPr>
            </w:pPr>
            <w:r w:rsidRPr="007678DE">
              <w:rPr>
                <w:sz w:val="16"/>
                <w:szCs w:val="16"/>
              </w:rPr>
              <w:t>0.045</w:t>
            </w:r>
          </w:p>
        </w:tc>
        <w:tc>
          <w:tcPr>
            <w:tcW w:w="896" w:type="dxa"/>
            <w:tcBorders>
              <w:top w:val="nil"/>
              <w:left w:val="nil"/>
              <w:bottom w:val="nil"/>
              <w:right w:val="nil"/>
            </w:tcBorders>
            <w:noWrap/>
            <w:vAlign w:val="bottom"/>
            <w:hideMark/>
          </w:tcPr>
          <w:p w14:paraId="3D1398A6" w14:textId="207B2375" w:rsidR="008D6965" w:rsidRPr="007678DE" w:rsidRDefault="008D6965" w:rsidP="008D6965">
            <w:pPr>
              <w:pStyle w:val="CETBodytext"/>
              <w:jc w:val="center"/>
              <w:rPr>
                <w:sz w:val="16"/>
                <w:szCs w:val="16"/>
                <w:lang w:val="en-GB"/>
              </w:rPr>
            </w:pPr>
            <w:r w:rsidRPr="007678DE">
              <w:rPr>
                <w:sz w:val="16"/>
                <w:szCs w:val="16"/>
              </w:rPr>
              <w:t>0.057</w:t>
            </w:r>
          </w:p>
        </w:tc>
        <w:tc>
          <w:tcPr>
            <w:tcW w:w="896" w:type="dxa"/>
            <w:tcBorders>
              <w:top w:val="nil"/>
              <w:left w:val="nil"/>
              <w:bottom w:val="nil"/>
              <w:right w:val="nil"/>
            </w:tcBorders>
            <w:noWrap/>
            <w:vAlign w:val="bottom"/>
            <w:hideMark/>
          </w:tcPr>
          <w:p w14:paraId="33D3ECE6" w14:textId="7CC52731" w:rsidR="008D6965" w:rsidRPr="007678DE" w:rsidRDefault="008D6965" w:rsidP="008D6965">
            <w:pPr>
              <w:pStyle w:val="CETBodytext"/>
              <w:jc w:val="center"/>
              <w:rPr>
                <w:sz w:val="16"/>
                <w:szCs w:val="16"/>
                <w:lang w:val="en-GB"/>
              </w:rPr>
            </w:pPr>
            <w:r w:rsidRPr="007678DE">
              <w:rPr>
                <w:sz w:val="16"/>
                <w:szCs w:val="16"/>
              </w:rPr>
              <w:t>0.266</w:t>
            </w:r>
          </w:p>
        </w:tc>
        <w:tc>
          <w:tcPr>
            <w:tcW w:w="639" w:type="dxa"/>
            <w:tcBorders>
              <w:top w:val="nil"/>
              <w:left w:val="nil"/>
              <w:bottom w:val="nil"/>
              <w:right w:val="nil"/>
            </w:tcBorders>
            <w:noWrap/>
            <w:vAlign w:val="bottom"/>
            <w:hideMark/>
          </w:tcPr>
          <w:p w14:paraId="6434102A" w14:textId="12966071" w:rsidR="008D6965" w:rsidRPr="007678DE" w:rsidRDefault="008D6965" w:rsidP="008D6965">
            <w:pPr>
              <w:pStyle w:val="CETBodytext"/>
              <w:jc w:val="center"/>
              <w:rPr>
                <w:sz w:val="16"/>
                <w:szCs w:val="16"/>
                <w:lang w:val="en-GB"/>
              </w:rPr>
            </w:pPr>
            <w:r w:rsidRPr="007678DE">
              <w:rPr>
                <w:sz w:val="16"/>
                <w:szCs w:val="16"/>
              </w:rPr>
              <w:t>0.022</w:t>
            </w:r>
          </w:p>
        </w:tc>
      </w:tr>
      <w:tr w:rsidR="008D6965" w:rsidRPr="007678DE" w14:paraId="46FD81E1" w14:textId="77777777" w:rsidTr="00E87E59">
        <w:trPr>
          <w:trHeight w:val="184"/>
        </w:trPr>
        <w:tc>
          <w:tcPr>
            <w:tcW w:w="462" w:type="dxa"/>
            <w:tcBorders>
              <w:top w:val="nil"/>
              <w:left w:val="nil"/>
              <w:bottom w:val="nil"/>
              <w:right w:val="nil"/>
            </w:tcBorders>
            <w:noWrap/>
            <w:vAlign w:val="bottom"/>
            <w:hideMark/>
          </w:tcPr>
          <w:p w14:paraId="581EF021" w14:textId="77777777" w:rsidR="008D6965" w:rsidRPr="007678DE" w:rsidRDefault="008D6965" w:rsidP="008D6965">
            <w:pPr>
              <w:pStyle w:val="CETBodytext"/>
              <w:spacing w:line="240" w:lineRule="auto"/>
              <w:rPr>
                <w:sz w:val="16"/>
                <w:szCs w:val="16"/>
                <w:lang w:val="en-GB"/>
              </w:rPr>
            </w:pPr>
            <w:r w:rsidRPr="007678DE">
              <w:rPr>
                <w:sz w:val="16"/>
                <w:szCs w:val="16"/>
                <w:lang w:val="en-GB"/>
              </w:rPr>
              <w:t>Ca</w:t>
            </w:r>
          </w:p>
        </w:tc>
        <w:tc>
          <w:tcPr>
            <w:tcW w:w="814" w:type="dxa"/>
            <w:tcBorders>
              <w:top w:val="nil"/>
              <w:left w:val="nil"/>
              <w:bottom w:val="nil"/>
              <w:right w:val="nil"/>
            </w:tcBorders>
            <w:noWrap/>
            <w:vAlign w:val="bottom"/>
            <w:hideMark/>
          </w:tcPr>
          <w:p w14:paraId="35EEFE13" w14:textId="1B210158" w:rsidR="008D6965" w:rsidRPr="007678DE" w:rsidRDefault="008D6965" w:rsidP="008D6965">
            <w:pPr>
              <w:pStyle w:val="CETBodytext"/>
              <w:jc w:val="center"/>
              <w:rPr>
                <w:sz w:val="16"/>
                <w:szCs w:val="16"/>
                <w:lang w:val="en-GB"/>
              </w:rPr>
            </w:pPr>
            <w:r w:rsidRPr="007678DE">
              <w:rPr>
                <w:sz w:val="16"/>
                <w:szCs w:val="16"/>
              </w:rPr>
              <w:t>0.182</w:t>
            </w:r>
          </w:p>
        </w:tc>
        <w:tc>
          <w:tcPr>
            <w:tcW w:w="709" w:type="dxa"/>
            <w:tcBorders>
              <w:top w:val="nil"/>
              <w:left w:val="nil"/>
              <w:bottom w:val="nil"/>
              <w:right w:val="nil"/>
            </w:tcBorders>
            <w:noWrap/>
            <w:vAlign w:val="bottom"/>
            <w:hideMark/>
          </w:tcPr>
          <w:p w14:paraId="2C9601CF" w14:textId="348ACAD6" w:rsidR="008D6965" w:rsidRPr="007678DE" w:rsidRDefault="008D6965" w:rsidP="008D6965">
            <w:pPr>
              <w:pStyle w:val="CETBodytext"/>
              <w:jc w:val="center"/>
              <w:rPr>
                <w:sz w:val="16"/>
                <w:szCs w:val="16"/>
                <w:lang w:val="en-GB"/>
              </w:rPr>
            </w:pPr>
            <w:r w:rsidRPr="007678DE">
              <w:rPr>
                <w:sz w:val="16"/>
                <w:szCs w:val="16"/>
              </w:rPr>
              <w:t>0.350</w:t>
            </w:r>
          </w:p>
        </w:tc>
        <w:tc>
          <w:tcPr>
            <w:tcW w:w="896" w:type="dxa"/>
            <w:tcBorders>
              <w:top w:val="nil"/>
              <w:left w:val="nil"/>
              <w:bottom w:val="nil"/>
              <w:right w:val="nil"/>
            </w:tcBorders>
            <w:noWrap/>
            <w:vAlign w:val="bottom"/>
            <w:hideMark/>
          </w:tcPr>
          <w:p w14:paraId="11D0330D" w14:textId="140977F3" w:rsidR="008D6965" w:rsidRPr="007678DE" w:rsidRDefault="008D6965" w:rsidP="008D6965">
            <w:pPr>
              <w:pStyle w:val="CETBodytext"/>
              <w:jc w:val="center"/>
              <w:rPr>
                <w:sz w:val="16"/>
                <w:szCs w:val="16"/>
                <w:lang w:val="en-GB"/>
              </w:rPr>
            </w:pPr>
            <w:r w:rsidRPr="007678DE">
              <w:rPr>
                <w:sz w:val="16"/>
                <w:szCs w:val="16"/>
              </w:rPr>
              <w:t>0.648</w:t>
            </w:r>
          </w:p>
        </w:tc>
        <w:tc>
          <w:tcPr>
            <w:tcW w:w="896" w:type="dxa"/>
            <w:tcBorders>
              <w:top w:val="nil"/>
              <w:left w:val="nil"/>
              <w:bottom w:val="nil"/>
              <w:right w:val="nil"/>
            </w:tcBorders>
            <w:noWrap/>
            <w:vAlign w:val="bottom"/>
            <w:hideMark/>
          </w:tcPr>
          <w:p w14:paraId="7B432CD2" w14:textId="494AC242" w:rsidR="008D6965" w:rsidRPr="007678DE" w:rsidRDefault="008D6965" w:rsidP="008D6965">
            <w:pPr>
              <w:pStyle w:val="CETBodytext"/>
              <w:jc w:val="center"/>
              <w:rPr>
                <w:sz w:val="16"/>
                <w:szCs w:val="16"/>
                <w:lang w:val="en-GB"/>
              </w:rPr>
            </w:pPr>
            <w:r w:rsidRPr="007678DE">
              <w:rPr>
                <w:sz w:val="16"/>
                <w:szCs w:val="16"/>
              </w:rPr>
              <w:t>0.539</w:t>
            </w:r>
          </w:p>
        </w:tc>
        <w:tc>
          <w:tcPr>
            <w:tcW w:w="721" w:type="dxa"/>
            <w:tcBorders>
              <w:top w:val="nil"/>
              <w:left w:val="nil"/>
              <w:bottom w:val="nil"/>
              <w:right w:val="nil"/>
            </w:tcBorders>
            <w:noWrap/>
            <w:vAlign w:val="bottom"/>
            <w:hideMark/>
          </w:tcPr>
          <w:p w14:paraId="5B1B6FD8" w14:textId="4C130DFD" w:rsidR="008D6965" w:rsidRPr="007678DE" w:rsidRDefault="008D6965" w:rsidP="008D6965">
            <w:pPr>
              <w:pStyle w:val="CETBodytext"/>
              <w:jc w:val="center"/>
              <w:rPr>
                <w:sz w:val="16"/>
                <w:szCs w:val="16"/>
                <w:lang w:val="en-GB"/>
              </w:rPr>
            </w:pPr>
            <w:r w:rsidRPr="007678DE">
              <w:rPr>
                <w:sz w:val="16"/>
                <w:szCs w:val="16"/>
              </w:rPr>
              <w:t>0.513</w:t>
            </w:r>
          </w:p>
        </w:tc>
        <w:tc>
          <w:tcPr>
            <w:tcW w:w="896" w:type="dxa"/>
            <w:tcBorders>
              <w:top w:val="nil"/>
              <w:left w:val="nil"/>
              <w:bottom w:val="nil"/>
              <w:right w:val="nil"/>
            </w:tcBorders>
            <w:noWrap/>
            <w:vAlign w:val="bottom"/>
            <w:hideMark/>
          </w:tcPr>
          <w:p w14:paraId="469E9F8A" w14:textId="02CA528F" w:rsidR="008D6965" w:rsidRPr="007678DE" w:rsidRDefault="008D6965" w:rsidP="008D6965">
            <w:pPr>
              <w:pStyle w:val="CETBodytext"/>
              <w:jc w:val="center"/>
              <w:rPr>
                <w:sz w:val="16"/>
                <w:szCs w:val="16"/>
                <w:lang w:val="en-GB"/>
              </w:rPr>
            </w:pPr>
            <w:r w:rsidRPr="007678DE">
              <w:rPr>
                <w:sz w:val="16"/>
                <w:szCs w:val="16"/>
              </w:rPr>
              <w:t>0.447</w:t>
            </w:r>
          </w:p>
        </w:tc>
        <w:tc>
          <w:tcPr>
            <w:tcW w:w="541" w:type="dxa"/>
            <w:tcBorders>
              <w:top w:val="nil"/>
              <w:left w:val="nil"/>
              <w:bottom w:val="nil"/>
              <w:right w:val="nil"/>
            </w:tcBorders>
            <w:noWrap/>
            <w:vAlign w:val="bottom"/>
            <w:hideMark/>
          </w:tcPr>
          <w:p w14:paraId="4E5B4474" w14:textId="424103A1" w:rsidR="008D6965" w:rsidRPr="007678DE" w:rsidRDefault="008D6965" w:rsidP="008D6965">
            <w:pPr>
              <w:pStyle w:val="CETBodytext"/>
              <w:jc w:val="center"/>
              <w:rPr>
                <w:sz w:val="16"/>
                <w:szCs w:val="16"/>
                <w:lang w:val="en-GB"/>
              </w:rPr>
            </w:pPr>
            <w:r w:rsidRPr="007678DE">
              <w:rPr>
                <w:sz w:val="16"/>
                <w:szCs w:val="16"/>
              </w:rPr>
              <w:t>0.082</w:t>
            </w:r>
          </w:p>
        </w:tc>
        <w:tc>
          <w:tcPr>
            <w:tcW w:w="896" w:type="dxa"/>
            <w:tcBorders>
              <w:top w:val="nil"/>
              <w:left w:val="nil"/>
              <w:bottom w:val="nil"/>
              <w:right w:val="nil"/>
            </w:tcBorders>
            <w:noWrap/>
            <w:vAlign w:val="bottom"/>
            <w:hideMark/>
          </w:tcPr>
          <w:p w14:paraId="1E5DEF62" w14:textId="35BE5700" w:rsidR="008D6965" w:rsidRPr="007678DE" w:rsidRDefault="008D6965" w:rsidP="008D6965">
            <w:pPr>
              <w:pStyle w:val="CETBodytext"/>
              <w:jc w:val="center"/>
              <w:rPr>
                <w:sz w:val="16"/>
                <w:szCs w:val="16"/>
                <w:lang w:val="en-GB"/>
              </w:rPr>
            </w:pPr>
            <w:r w:rsidRPr="007678DE">
              <w:rPr>
                <w:sz w:val="16"/>
                <w:szCs w:val="16"/>
              </w:rPr>
              <w:t>0.546</w:t>
            </w:r>
          </w:p>
        </w:tc>
        <w:tc>
          <w:tcPr>
            <w:tcW w:w="896" w:type="dxa"/>
            <w:tcBorders>
              <w:top w:val="nil"/>
              <w:left w:val="nil"/>
              <w:bottom w:val="nil"/>
              <w:right w:val="nil"/>
            </w:tcBorders>
            <w:noWrap/>
            <w:vAlign w:val="bottom"/>
            <w:hideMark/>
          </w:tcPr>
          <w:p w14:paraId="14B542E5" w14:textId="75CFCF66" w:rsidR="008D6965" w:rsidRPr="007678DE" w:rsidRDefault="008D6965" w:rsidP="008D6965">
            <w:pPr>
              <w:pStyle w:val="CETBodytext"/>
              <w:jc w:val="center"/>
              <w:rPr>
                <w:sz w:val="16"/>
                <w:szCs w:val="16"/>
                <w:lang w:val="en-GB"/>
              </w:rPr>
            </w:pPr>
            <w:r w:rsidRPr="007678DE">
              <w:rPr>
                <w:sz w:val="16"/>
                <w:szCs w:val="16"/>
              </w:rPr>
              <w:t>0.755</w:t>
            </w:r>
          </w:p>
        </w:tc>
        <w:tc>
          <w:tcPr>
            <w:tcW w:w="639" w:type="dxa"/>
            <w:tcBorders>
              <w:top w:val="nil"/>
              <w:left w:val="nil"/>
              <w:bottom w:val="nil"/>
              <w:right w:val="nil"/>
            </w:tcBorders>
            <w:noWrap/>
            <w:vAlign w:val="bottom"/>
            <w:hideMark/>
          </w:tcPr>
          <w:p w14:paraId="08D3F8D4" w14:textId="03B70729" w:rsidR="008D6965" w:rsidRPr="007678DE" w:rsidRDefault="008D6965" w:rsidP="008D6965">
            <w:pPr>
              <w:pStyle w:val="CETBodytext"/>
              <w:jc w:val="center"/>
              <w:rPr>
                <w:sz w:val="16"/>
                <w:szCs w:val="16"/>
                <w:lang w:val="en-GB"/>
              </w:rPr>
            </w:pPr>
            <w:r w:rsidRPr="007678DE">
              <w:rPr>
                <w:sz w:val="16"/>
                <w:szCs w:val="16"/>
              </w:rPr>
              <w:t>0.301</w:t>
            </w:r>
          </w:p>
        </w:tc>
      </w:tr>
      <w:tr w:rsidR="008D6965" w:rsidRPr="007678DE" w14:paraId="2E57AC48" w14:textId="77777777" w:rsidTr="00E87E59">
        <w:trPr>
          <w:trHeight w:val="184"/>
        </w:trPr>
        <w:tc>
          <w:tcPr>
            <w:tcW w:w="462" w:type="dxa"/>
            <w:tcBorders>
              <w:top w:val="nil"/>
              <w:left w:val="nil"/>
              <w:bottom w:val="nil"/>
              <w:right w:val="nil"/>
            </w:tcBorders>
            <w:noWrap/>
            <w:vAlign w:val="bottom"/>
            <w:hideMark/>
          </w:tcPr>
          <w:p w14:paraId="066C7CAB" w14:textId="77777777" w:rsidR="008D6965" w:rsidRPr="007678DE" w:rsidRDefault="008D6965" w:rsidP="008D6965">
            <w:pPr>
              <w:pStyle w:val="CETBodytext"/>
              <w:spacing w:line="240" w:lineRule="auto"/>
              <w:rPr>
                <w:sz w:val="16"/>
                <w:szCs w:val="16"/>
                <w:lang w:val="en-GB"/>
              </w:rPr>
            </w:pPr>
            <w:r w:rsidRPr="007678DE">
              <w:rPr>
                <w:sz w:val="16"/>
                <w:szCs w:val="16"/>
                <w:lang w:val="en-GB"/>
              </w:rPr>
              <w:t>Cr</w:t>
            </w:r>
          </w:p>
        </w:tc>
        <w:tc>
          <w:tcPr>
            <w:tcW w:w="814" w:type="dxa"/>
            <w:tcBorders>
              <w:top w:val="nil"/>
              <w:left w:val="nil"/>
              <w:bottom w:val="nil"/>
              <w:right w:val="nil"/>
            </w:tcBorders>
            <w:noWrap/>
            <w:vAlign w:val="bottom"/>
            <w:hideMark/>
          </w:tcPr>
          <w:p w14:paraId="0AF75D21" w14:textId="7F0E7A43" w:rsidR="008D6965" w:rsidRPr="007678DE" w:rsidRDefault="008D6965" w:rsidP="008D6965">
            <w:pPr>
              <w:pStyle w:val="CETBodytext"/>
              <w:jc w:val="center"/>
              <w:rPr>
                <w:sz w:val="16"/>
                <w:szCs w:val="16"/>
                <w:lang w:val="en-GB"/>
              </w:rPr>
            </w:pPr>
            <w:r w:rsidRPr="007678DE">
              <w:rPr>
                <w:sz w:val="16"/>
                <w:szCs w:val="16"/>
              </w:rPr>
              <w:t>0.105</w:t>
            </w:r>
          </w:p>
        </w:tc>
        <w:tc>
          <w:tcPr>
            <w:tcW w:w="709" w:type="dxa"/>
            <w:tcBorders>
              <w:top w:val="nil"/>
              <w:left w:val="nil"/>
              <w:bottom w:val="nil"/>
              <w:right w:val="nil"/>
            </w:tcBorders>
            <w:noWrap/>
            <w:vAlign w:val="bottom"/>
            <w:hideMark/>
          </w:tcPr>
          <w:p w14:paraId="4EBC6685" w14:textId="5389538E" w:rsidR="008D6965" w:rsidRPr="007678DE" w:rsidRDefault="008D6965" w:rsidP="008D6965">
            <w:pPr>
              <w:pStyle w:val="CETBodytext"/>
              <w:jc w:val="center"/>
              <w:rPr>
                <w:sz w:val="16"/>
                <w:szCs w:val="16"/>
                <w:lang w:val="en-GB"/>
              </w:rPr>
            </w:pPr>
            <w:r w:rsidRPr="007678DE">
              <w:rPr>
                <w:sz w:val="16"/>
                <w:szCs w:val="16"/>
              </w:rPr>
              <w:t>0.041</w:t>
            </w:r>
          </w:p>
        </w:tc>
        <w:tc>
          <w:tcPr>
            <w:tcW w:w="896" w:type="dxa"/>
            <w:tcBorders>
              <w:top w:val="nil"/>
              <w:left w:val="nil"/>
              <w:bottom w:val="nil"/>
              <w:right w:val="nil"/>
            </w:tcBorders>
            <w:noWrap/>
            <w:vAlign w:val="bottom"/>
            <w:hideMark/>
          </w:tcPr>
          <w:p w14:paraId="2CB5EA9D" w14:textId="6D45F1FC" w:rsidR="008D6965" w:rsidRPr="007678DE" w:rsidRDefault="008D6965" w:rsidP="008D6965">
            <w:pPr>
              <w:pStyle w:val="CETBodytext"/>
              <w:jc w:val="center"/>
              <w:rPr>
                <w:sz w:val="16"/>
                <w:szCs w:val="16"/>
                <w:lang w:val="en-GB"/>
              </w:rPr>
            </w:pPr>
            <w:r w:rsidRPr="007678DE">
              <w:rPr>
                <w:sz w:val="16"/>
                <w:szCs w:val="16"/>
              </w:rPr>
              <w:t>0.081</w:t>
            </w:r>
          </w:p>
        </w:tc>
        <w:tc>
          <w:tcPr>
            <w:tcW w:w="896" w:type="dxa"/>
            <w:tcBorders>
              <w:top w:val="nil"/>
              <w:left w:val="nil"/>
              <w:bottom w:val="nil"/>
              <w:right w:val="nil"/>
            </w:tcBorders>
            <w:noWrap/>
            <w:vAlign w:val="bottom"/>
            <w:hideMark/>
          </w:tcPr>
          <w:p w14:paraId="59F64AE5" w14:textId="3F0B3979" w:rsidR="008D6965" w:rsidRPr="007678DE" w:rsidRDefault="008D6965" w:rsidP="008D6965">
            <w:pPr>
              <w:pStyle w:val="CETBodytext"/>
              <w:jc w:val="center"/>
              <w:rPr>
                <w:sz w:val="16"/>
                <w:szCs w:val="16"/>
                <w:lang w:val="en-GB"/>
              </w:rPr>
            </w:pPr>
            <w:r w:rsidRPr="007678DE">
              <w:rPr>
                <w:sz w:val="16"/>
                <w:szCs w:val="16"/>
              </w:rPr>
              <w:t>0.021</w:t>
            </w:r>
          </w:p>
        </w:tc>
        <w:tc>
          <w:tcPr>
            <w:tcW w:w="721" w:type="dxa"/>
            <w:tcBorders>
              <w:top w:val="nil"/>
              <w:left w:val="nil"/>
              <w:bottom w:val="nil"/>
              <w:right w:val="nil"/>
            </w:tcBorders>
            <w:noWrap/>
            <w:vAlign w:val="bottom"/>
            <w:hideMark/>
          </w:tcPr>
          <w:p w14:paraId="58A4266E" w14:textId="5C0C90E1" w:rsidR="008D6965" w:rsidRPr="007678DE" w:rsidRDefault="008D6965" w:rsidP="008D6965">
            <w:pPr>
              <w:pStyle w:val="CETBodytext"/>
              <w:jc w:val="center"/>
              <w:rPr>
                <w:sz w:val="16"/>
                <w:szCs w:val="16"/>
                <w:lang w:val="en-GB"/>
              </w:rPr>
            </w:pPr>
            <w:r w:rsidRPr="007678DE">
              <w:rPr>
                <w:sz w:val="16"/>
                <w:szCs w:val="16"/>
              </w:rPr>
              <w:t>0.168</w:t>
            </w:r>
          </w:p>
        </w:tc>
        <w:tc>
          <w:tcPr>
            <w:tcW w:w="896" w:type="dxa"/>
            <w:tcBorders>
              <w:top w:val="nil"/>
              <w:left w:val="nil"/>
              <w:bottom w:val="nil"/>
              <w:right w:val="nil"/>
            </w:tcBorders>
            <w:noWrap/>
            <w:vAlign w:val="bottom"/>
            <w:hideMark/>
          </w:tcPr>
          <w:p w14:paraId="2C6331BD" w14:textId="61A991F6" w:rsidR="008D6965" w:rsidRPr="007678DE" w:rsidRDefault="008D6965" w:rsidP="008D6965">
            <w:pPr>
              <w:pStyle w:val="CETBodytext"/>
              <w:jc w:val="center"/>
              <w:rPr>
                <w:sz w:val="16"/>
                <w:szCs w:val="16"/>
                <w:lang w:val="en-GB"/>
              </w:rPr>
            </w:pPr>
            <w:r w:rsidRPr="007678DE">
              <w:rPr>
                <w:sz w:val="16"/>
                <w:szCs w:val="16"/>
              </w:rPr>
              <w:t>0.004</w:t>
            </w:r>
          </w:p>
        </w:tc>
        <w:tc>
          <w:tcPr>
            <w:tcW w:w="541" w:type="dxa"/>
            <w:tcBorders>
              <w:top w:val="nil"/>
              <w:left w:val="nil"/>
              <w:bottom w:val="nil"/>
              <w:right w:val="nil"/>
            </w:tcBorders>
            <w:noWrap/>
            <w:vAlign w:val="bottom"/>
            <w:hideMark/>
          </w:tcPr>
          <w:p w14:paraId="7477E916" w14:textId="6C24A3EA" w:rsidR="008D6965" w:rsidRPr="007678DE" w:rsidRDefault="008D6965" w:rsidP="008D6965">
            <w:pPr>
              <w:pStyle w:val="CETBodytext"/>
              <w:jc w:val="center"/>
              <w:rPr>
                <w:sz w:val="16"/>
                <w:szCs w:val="16"/>
                <w:lang w:val="en-GB"/>
              </w:rPr>
            </w:pPr>
            <w:r w:rsidRPr="007678DE">
              <w:rPr>
                <w:sz w:val="16"/>
                <w:szCs w:val="16"/>
              </w:rPr>
              <w:t>0.050</w:t>
            </w:r>
          </w:p>
        </w:tc>
        <w:tc>
          <w:tcPr>
            <w:tcW w:w="896" w:type="dxa"/>
            <w:tcBorders>
              <w:top w:val="nil"/>
              <w:left w:val="nil"/>
              <w:bottom w:val="nil"/>
              <w:right w:val="nil"/>
            </w:tcBorders>
            <w:noWrap/>
            <w:vAlign w:val="bottom"/>
            <w:hideMark/>
          </w:tcPr>
          <w:p w14:paraId="3735F17F" w14:textId="2B8EA672" w:rsidR="008D6965" w:rsidRPr="007678DE" w:rsidRDefault="008D6965" w:rsidP="008D6965">
            <w:pPr>
              <w:pStyle w:val="CETBodytext"/>
              <w:jc w:val="center"/>
              <w:rPr>
                <w:sz w:val="16"/>
                <w:szCs w:val="16"/>
                <w:lang w:val="en-GB"/>
              </w:rPr>
            </w:pPr>
            <w:r w:rsidRPr="007678DE">
              <w:rPr>
                <w:sz w:val="16"/>
                <w:szCs w:val="16"/>
              </w:rPr>
              <w:t>0.020</w:t>
            </w:r>
          </w:p>
        </w:tc>
        <w:tc>
          <w:tcPr>
            <w:tcW w:w="896" w:type="dxa"/>
            <w:tcBorders>
              <w:top w:val="nil"/>
              <w:left w:val="nil"/>
              <w:bottom w:val="nil"/>
              <w:right w:val="nil"/>
            </w:tcBorders>
            <w:noWrap/>
            <w:vAlign w:val="bottom"/>
            <w:hideMark/>
          </w:tcPr>
          <w:p w14:paraId="2B7E5C65" w14:textId="3F0B1151" w:rsidR="008D6965" w:rsidRPr="007678DE" w:rsidRDefault="008D6965" w:rsidP="008D6965">
            <w:pPr>
              <w:pStyle w:val="CETBodytext"/>
              <w:jc w:val="center"/>
              <w:rPr>
                <w:sz w:val="16"/>
                <w:szCs w:val="16"/>
                <w:lang w:val="en-GB"/>
              </w:rPr>
            </w:pPr>
            <w:r w:rsidRPr="007678DE">
              <w:rPr>
                <w:sz w:val="16"/>
                <w:szCs w:val="16"/>
              </w:rPr>
              <w:t>0.171</w:t>
            </w:r>
          </w:p>
        </w:tc>
        <w:tc>
          <w:tcPr>
            <w:tcW w:w="639" w:type="dxa"/>
            <w:tcBorders>
              <w:top w:val="nil"/>
              <w:left w:val="nil"/>
              <w:bottom w:val="nil"/>
              <w:right w:val="nil"/>
            </w:tcBorders>
            <w:noWrap/>
            <w:vAlign w:val="bottom"/>
            <w:hideMark/>
          </w:tcPr>
          <w:p w14:paraId="29AB5E91" w14:textId="050A0C74" w:rsidR="008D6965" w:rsidRPr="007678DE" w:rsidRDefault="008D6965" w:rsidP="008D6965">
            <w:pPr>
              <w:pStyle w:val="CETBodytext"/>
              <w:jc w:val="center"/>
              <w:rPr>
                <w:sz w:val="16"/>
                <w:szCs w:val="16"/>
                <w:lang w:val="en-GB"/>
              </w:rPr>
            </w:pPr>
            <w:r w:rsidRPr="007678DE">
              <w:rPr>
                <w:sz w:val="16"/>
                <w:szCs w:val="16"/>
              </w:rPr>
              <w:t>0.002</w:t>
            </w:r>
          </w:p>
        </w:tc>
      </w:tr>
      <w:tr w:rsidR="008D6965" w:rsidRPr="007678DE" w14:paraId="2F054475" w14:textId="77777777" w:rsidTr="00E87E59">
        <w:trPr>
          <w:trHeight w:val="184"/>
        </w:trPr>
        <w:tc>
          <w:tcPr>
            <w:tcW w:w="462" w:type="dxa"/>
            <w:tcBorders>
              <w:top w:val="nil"/>
              <w:left w:val="nil"/>
              <w:bottom w:val="nil"/>
              <w:right w:val="nil"/>
            </w:tcBorders>
            <w:noWrap/>
            <w:vAlign w:val="bottom"/>
            <w:hideMark/>
          </w:tcPr>
          <w:p w14:paraId="74790432" w14:textId="77777777" w:rsidR="008D6965" w:rsidRPr="007678DE" w:rsidRDefault="008D6965" w:rsidP="008D6965">
            <w:pPr>
              <w:pStyle w:val="CETBodytext"/>
              <w:spacing w:line="240" w:lineRule="auto"/>
              <w:rPr>
                <w:sz w:val="16"/>
                <w:szCs w:val="16"/>
                <w:lang w:val="en-GB"/>
              </w:rPr>
            </w:pPr>
            <w:r w:rsidRPr="007678DE">
              <w:rPr>
                <w:sz w:val="16"/>
                <w:szCs w:val="16"/>
                <w:lang w:val="en-GB"/>
              </w:rPr>
              <w:t>P</w:t>
            </w:r>
          </w:p>
        </w:tc>
        <w:tc>
          <w:tcPr>
            <w:tcW w:w="814" w:type="dxa"/>
            <w:tcBorders>
              <w:top w:val="nil"/>
              <w:left w:val="nil"/>
              <w:bottom w:val="nil"/>
              <w:right w:val="nil"/>
            </w:tcBorders>
            <w:noWrap/>
            <w:vAlign w:val="bottom"/>
            <w:hideMark/>
          </w:tcPr>
          <w:p w14:paraId="61A2DB49" w14:textId="40992471" w:rsidR="008D6965" w:rsidRPr="007678DE" w:rsidRDefault="008D6965" w:rsidP="008D6965">
            <w:pPr>
              <w:pStyle w:val="CETBodytext"/>
              <w:jc w:val="center"/>
              <w:rPr>
                <w:sz w:val="16"/>
                <w:szCs w:val="16"/>
                <w:lang w:val="en-GB"/>
              </w:rPr>
            </w:pPr>
            <w:r w:rsidRPr="007678DE">
              <w:rPr>
                <w:sz w:val="16"/>
                <w:szCs w:val="16"/>
              </w:rPr>
              <w:t>0.096</w:t>
            </w:r>
          </w:p>
        </w:tc>
        <w:tc>
          <w:tcPr>
            <w:tcW w:w="709" w:type="dxa"/>
            <w:tcBorders>
              <w:top w:val="nil"/>
              <w:left w:val="nil"/>
              <w:bottom w:val="nil"/>
              <w:right w:val="nil"/>
            </w:tcBorders>
            <w:noWrap/>
            <w:vAlign w:val="bottom"/>
            <w:hideMark/>
          </w:tcPr>
          <w:p w14:paraId="3FC379BA" w14:textId="02823F86" w:rsidR="008D6965" w:rsidRPr="007678DE" w:rsidRDefault="008D6965" w:rsidP="008D6965">
            <w:pPr>
              <w:pStyle w:val="CETBodytext"/>
              <w:jc w:val="center"/>
              <w:rPr>
                <w:sz w:val="16"/>
                <w:szCs w:val="16"/>
                <w:lang w:val="en-GB"/>
              </w:rPr>
            </w:pPr>
            <w:r w:rsidRPr="007678DE">
              <w:rPr>
                <w:sz w:val="16"/>
                <w:szCs w:val="16"/>
              </w:rPr>
              <w:t>0.125</w:t>
            </w:r>
          </w:p>
        </w:tc>
        <w:tc>
          <w:tcPr>
            <w:tcW w:w="896" w:type="dxa"/>
            <w:tcBorders>
              <w:top w:val="nil"/>
              <w:left w:val="nil"/>
              <w:bottom w:val="nil"/>
              <w:right w:val="nil"/>
            </w:tcBorders>
            <w:noWrap/>
            <w:vAlign w:val="bottom"/>
            <w:hideMark/>
          </w:tcPr>
          <w:p w14:paraId="4921B83A" w14:textId="7612E7F6" w:rsidR="008D6965" w:rsidRPr="007678DE" w:rsidRDefault="008D6965" w:rsidP="008D6965">
            <w:pPr>
              <w:pStyle w:val="CETBodytext"/>
              <w:jc w:val="center"/>
              <w:rPr>
                <w:sz w:val="16"/>
                <w:szCs w:val="16"/>
                <w:lang w:val="en-GB"/>
              </w:rPr>
            </w:pPr>
            <w:r w:rsidRPr="007678DE">
              <w:rPr>
                <w:sz w:val="16"/>
                <w:szCs w:val="16"/>
              </w:rPr>
              <w:t>0.159</w:t>
            </w:r>
          </w:p>
        </w:tc>
        <w:tc>
          <w:tcPr>
            <w:tcW w:w="896" w:type="dxa"/>
            <w:tcBorders>
              <w:top w:val="nil"/>
              <w:left w:val="nil"/>
              <w:bottom w:val="nil"/>
              <w:right w:val="nil"/>
            </w:tcBorders>
            <w:noWrap/>
            <w:vAlign w:val="bottom"/>
            <w:hideMark/>
          </w:tcPr>
          <w:p w14:paraId="2DA552E0" w14:textId="62FAD708" w:rsidR="008D6965" w:rsidRPr="007678DE" w:rsidRDefault="008D6965" w:rsidP="008D6965">
            <w:pPr>
              <w:pStyle w:val="CETBodytext"/>
              <w:jc w:val="center"/>
              <w:rPr>
                <w:sz w:val="16"/>
                <w:szCs w:val="16"/>
                <w:lang w:val="en-GB"/>
              </w:rPr>
            </w:pPr>
            <w:r w:rsidRPr="007678DE">
              <w:rPr>
                <w:sz w:val="16"/>
                <w:szCs w:val="16"/>
              </w:rPr>
              <w:t>0.124</w:t>
            </w:r>
          </w:p>
        </w:tc>
        <w:tc>
          <w:tcPr>
            <w:tcW w:w="721" w:type="dxa"/>
            <w:tcBorders>
              <w:top w:val="nil"/>
              <w:left w:val="nil"/>
              <w:bottom w:val="nil"/>
              <w:right w:val="nil"/>
            </w:tcBorders>
            <w:noWrap/>
            <w:vAlign w:val="bottom"/>
            <w:hideMark/>
          </w:tcPr>
          <w:p w14:paraId="3A6931FE" w14:textId="58AD9A0B" w:rsidR="008D6965" w:rsidRPr="007678DE" w:rsidRDefault="008D6965" w:rsidP="008D6965">
            <w:pPr>
              <w:pStyle w:val="CETBodytext"/>
              <w:jc w:val="center"/>
              <w:rPr>
                <w:sz w:val="16"/>
                <w:szCs w:val="16"/>
                <w:lang w:val="en-GB"/>
              </w:rPr>
            </w:pPr>
            <w:r w:rsidRPr="007678DE">
              <w:rPr>
                <w:sz w:val="16"/>
                <w:szCs w:val="16"/>
              </w:rPr>
              <w:t>0.173</w:t>
            </w:r>
          </w:p>
        </w:tc>
        <w:tc>
          <w:tcPr>
            <w:tcW w:w="896" w:type="dxa"/>
            <w:tcBorders>
              <w:top w:val="nil"/>
              <w:left w:val="nil"/>
              <w:bottom w:val="nil"/>
              <w:right w:val="nil"/>
            </w:tcBorders>
            <w:noWrap/>
            <w:vAlign w:val="bottom"/>
            <w:hideMark/>
          </w:tcPr>
          <w:p w14:paraId="70AFB636" w14:textId="4B869FA8" w:rsidR="008D6965" w:rsidRPr="007678DE" w:rsidRDefault="008D6965" w:rsidP="008D6965">
            <w:pPr>
              <w:pStyle w:val="CETBodytext"/>
              <w:jc w:val="center"/>
              <w:rPr>
                <w:sz w:val="16"/>
                <w:szCs w:val="16"/>
                <w:lang w:val="en-GB"/>
              </w:rPr>
            </w:pPr>
            <w:r w:rsidRPr="007678DE">
              <w:rPr>
                <w:sz w:val="16"/>
                <w:szCs w:val="16"/>
              </w:rPr>
              <w:t>0.138</w:t>
            </w:r>
          </w:p>
        </w:tc>
        <w:tc>
          <w:tcPr>
            <w:tcW w:w="541" w:type="dxa"/>
            <w:tcBorders>
              <w:top w:val="nil"/>
              <w:left w:val="nil"/>
              <w:bottom w:val="nil"/>
              <w:right w:val="nil"/>
            </w:tcBorders>
            <w:noWrap/>
            <w:vAlign w:val="bottom"/>
            <w:hideMark/>
          </w:tcPr>
          <w:p w14:paraId="1FEE26C3" w14:textId="70C9C138" w:rsidR="008D6965" w:rsidRPr="007678DE" w:rsidRDefault="008D6965" w:rsidP="008D6965">
            <w:pPr>
              <w:pStyle w:val="CETBodytext"/>
              <w:jc w:val="center"/>
              <w:rPr>
                <w:sz w:val="16"/>
                <w:szCs w:val="16"/>
                <w:lang w:val="en-GB"/>
              </w:rPr>
            </w:pPr>
            <w:r w:rsidRPr="007678DE">
              <w:rPr>
                <w:sz w:val="16"/>
                <w:szCs w:val="16"/>
              </w:rPr>
              <w:t>0.138</w:t>
            </w:r>
          </w:p>
        </w:tc>
        <w:tc>
          <w:tcPr>
            <w:tcW w:w="896" w:type="dxa"/>
            <w:tcBorders>
              <w:top w:val="nil"/>
              <w:left w:val="nil"/>
              <w:bottom w:val="nil"/>
              <w:right w:val="nil"/>
            </w:tcBorders>
            <w:noWrap/>
            <w:vAlign w:val="bottom"/>
            <w:hideMark/>
          </w:tcPr>
          <w:p w14:paraId="0E51C51C" w14:textId="1FCA07DA" w:rsidR="008D6965" w:rsidRPr="007678DE" w:rsidRDefault="008D6965" w:rsidP="008D6965">
            <w:pPr>
              <w:pStyle w:val="CETBodytext"/>
              <w:jc w:val="center"/>
              <w:rPr>
                <w:sz w:val="16"/>
                <w:szCs w:val="16"/>
                <w:lang w:val="en-GB"/>
              </w:rPr>
            </w:pPr>
            <w:r w:rsidRPr="007678DE">
              <w:rPr>
                <w:sz w:val="16"/>
                <w:szCs w:val="16"/>
              </w:rPr>
              <w:t>0.128</w:t>
            </w:r>
          </w:p>
        </w:tc>
        <w:tc>
          <w:tcPr>
            <w:tcW w:w="896" w:type="dxa"/>
            <w:tcBorders>
              <w:top w:val="nil"/>
              <w:left w:val="nil"/>
              <w:bottom w:val="nil"/>
              <w:right w:val="nil"/>
            </w:tcBorders>
            <w:noWrap/>
            <w:vAlign w:val="bottom"/>
            <w:hideMark/>
          </w:tcPr>
          <w:p w14:paraId="72037479" w14:textId="0FC735F9" w:rsidR="008D6965" w:rsidRPr="007678DE" w:rsidRDefault="008D6965" w:rsidP="008D6965">
            <w:pPr>
              <w:pStyle w:val="CETBodytext"/>
              <w:jc w:val="center"/>
              <w:rPr>
                <w:sz w:val="16"/>
                <w:szCs w:val="16"/>
                <w:lang w:val="en-GB"/>
              </w:rPr>
            </w:pPr>
            <w:r w:rsidRPr="007678DE">
              <w:rPr>
                <w:sz w:val="16"/>
                <w:szCs w:val="16"/>
              </w:rPr>
              <w:t>0.151</w:t>
            </w:r>
          </w:p>
        </w:tc>
        <w:tc>
          <w:tcPr>
            <w:tcW w:w="639" w:type="dxa"/>
            <w:tcBorders>
              <w:top w:val="nil"/>
              <w:left w:val="nil"/>
              <w:bottom w:val="nil"/>
              <w:right w:val="nil"/>
            </w:tcBorders>
            <w:noWrap/>
            <w:vAlign w:val="bottom"/>
            <w:hideMark/>
          </w:tcPr>
          <w:p w14:paraId="099833BB" w14:textId="6BDE1965" w:rsidR="008D6965" w:rsidRPr="007678DE" w:rsidRDefault="008D6965" w:rsidP="008D6965">
            <w:pPr>
              <w:pStyle w:val="CETBodytext"/>
              <w:jc w:val="center"/>
              <w:rPr>
                <w:sz w:val="16"/>
                <w:szCs w:val="16"/>
                <w:lang w:val="en-GB"/>
              </w:rPr>
            </w:pPr>
            <w:r w:rsidRPr="007678DE">
              <w:rPr>
                <w:sz w:val="16"/>
                <w:szCs w:val="16"/>
              </w:rPr>
              <w:t>0.116</w:t>
            </w:r>
          </w:p>
        </w:tc>
      </w:tr>
      <w:tr w:rsidR="008D6965" w:rsidRPr="007678DE" w14:paraId="572E1B99" w14:textId="77777777" w:rsidTr="00E87E59">
        <w:trPr>
          <w:trHeight w:val="184"/>
        </w:trPr>
        <w:tc>
          <w:tcPr>
            <w:tcW w:w="462" w:type="dxa"/>
            <w:tcBorders>
              <w:top w:val="nil"/>
              <w:left w:val="nil"/>
              <w:bottom w:val="nil"/>
              <w:right w:val="nil"/>
            </w:tcBorders>
            <w:noWrap/>
            <w:vAlign w:val="bottom"/>
            <w:hideMark/>
          </w:tcPr>
          <w:p w14:paraId="782006D4" w14:textId="77777777" w:rsidR="008D6965" w:rsidRPr="007678DE" w:rsidRDefault="008D6965" w:rsidP="008D6965">
            <w:pPr>
              <w:pStyle w:val="CETBodytext"/>
              <w:spacing w:line="240" w:lineRule="auto"/>
              <w:rPr>
                <w:sz w:val="16"/>
                <w:szCs w:val="16"/>
                <w:lang w:val="en-GB"/>
              </w:rPr>
            </w:pPr>
            <w:r w:rsidRPr="007678DE">
              <w:rPr>
                <w:sz w:val="16"/>
                <w:szCs w:val="16"/>
                <w:lang w:val="en-GB"/>
              </w:rPr>
              <w:t>Mg</w:t>
            </w:r>
          </w:p>
        </w:tc>
        <w:tc>
          <w:tcPr>
            <w:tcW w:w="814" w:type="dxa"/>
            <w:tcBorders>
              <w:top w:val="nil"/>
              <w:left w:val="nil"/>
              <w:bottom w:val="nil"/>
              <w:right w:val="nil"/>
            </w:tcBorders>
            <w:noWrap/>
            <w:vAlign w:val="bottom"/>
            <w:hideMark/>
          </w:tcPr>
          <w:p w14:paraId="7FB2FA68" w14:textId="713ECA0A" w:rsidR="008D6965" w:rsidRPr="007678DE" w:rsidRDefault="008D6965" w:rsidP="008D6965">
            <w:pPr>
              <w:pStyle w:val="CETBodytext"/>
              <w:jc w:val="center"/>
              <w:rPr>
                <w:sz w:val="16"/>
                <w:szCs w:val="16"/>
                <w:lang w:val="en-GB"/>
              </w:rPr>
            </w:pPr>
            <w:r w:rsidRPr="007678DE">
              <w:rPr>
                <w:sz w:val="16"/>
                <w:szCs w:val="16"/>
              </w:rPr>
              <w:t>0.067</w:t>
            </w:r>
          </w:p>
        </w:tc>
        <w:tc>
          <w:tcPr>
            <w:tcW w:w="709" w:type="dxa"/>
            <w:tcBorders>
              <w:top w:val="nil"/>
              <w:left w:val="nil"/>
              <w:bottom w:val="nil"/>
              <w:right w:val="nil"/>
            </w:tcBorders>
            <w:noWrap/>
            <w:vAlign w:val="bottom"/>
            <w:hideMark/>
          </w:tcPr>
          <w:p w14:paraId="103D70AE" w14:textId="0DF0EC26" w:rsidR="008D6965" w:rsidRPr="007678DE" w:rsidRDefault="008D6965" w:rsidP="008D6965">
            <w:pPr>
              <w:pStyle w:val="CETBodytext"/>
              <w:jc w:val="center"/>
              <w:rPr>
                <w:sz w:val="16"/>
                <w:szCs w:val="16"/>
                <w:lang w:val="en-GB"/>
              </w:rPr>
            </w:pPr>
            <w:r w:rsidRPr="007678DE">
              <w:rPr>
                <w:sz w:val="16"/>
                <w:szCs w:val="16"/>
              </w:rPr>
              <w:t>0.156</w:t>
            </w:r>
          </w:p>
        </w:tc>
        <w:tc>
          <w:tcPr>
            <w:tcW w:w="896" w:type="dxa"/>
            <w:tcBorders>
              <w:top w:val="nil"/>
              <w:left w:val="nil"/>
              <w:bottom w:val="nil"/>
              <w:right w:val="nil"/>
            </w:tcBorders>
            <w:noWrap/>
            <w:vAlign w:val="bottom"/>
            <w:hideMark/>
          </w:tcPr>
          <w:p w14:paraId="2018714B" w14:textId="1357143B" w:rsidR="008D6965" w:rsidRPr="007678DE" w:rsidRDefault="008D6965" w:rsidP="008D6965">
            <w:pPr>
              <w:pStyle w:val="CETBodytext"/>
              <w:jc w:val="center"/>
              <w:rPr>
                <w:sz w:val="16"/>
                <w:szCs w:val="16"/>
                <w:lang w:val="en-GB"/>
              </w:rPr>
            </w:pPr>
            <w:r w:rsidRPr="007678DE">
              <w:rPr>
                <w:sz w:val="16"/>
                <w:szCs w:val="16"/>
              </w:rPr>
              <w:t>0.247</w:t>
            </w:r>
          </w:p>
        </w:tc>
        <w:tc>
          <w:tcPr>
            <w:tcW w:w="896" w:type="dxa"/>
            <w:tcBorders>
              <w:top w:val="nil"/>
              <w:left w:val="nil"/>
              <w:bottom w:val="nil"/>
              <w:right w:val="nil"/>
            </w:tcBorders>
            <w:noWrap/>
            <w:vAlign w:val="bottom"/>
            <w:hideMark/>
          </w:tcPr>
          <w:p w14:paraId="64BF18EB" w14:textId="0D05AB43" w:rsidR="008D6965" w:rsidRPr="007678DE" w:rsidRDefault="008D6965" w:rsidP="008D6965">
            <w:pPr>
              <w:pStyle w:val="CETBodytext"/>
              <w:jc w:val="center"/>
              <w:rPr>
                <w:sz w:val="16"/>
                <w:szCs w:val="16"/>
                <w:lang w:val="en-GB"/>
              </w:rPr>
            </w:pPr>
            <w:r w:rsidRPr="007678DE">
              <w:rPr>
                <w:sz w:val="16"/>
                <w:szCs w:val="16"/>
              </w:rPr>
              <w:t>0.190</w:t>
            </w:r>
          </w:p>
        </w:tc>
        <w:tc>
          <w:tcPr>
            <w:tcW w:w="721" w:type="dxa"/>
            <w:tcBorders>
              <w:top w:val="nil"/>
              <w:left w:val="nil"/>
              <w:bottom w:val="nil"/>
              <w:right w:val="nil"/>
            </w:tcBorders>
            <w:noWrap/>
            <w:vAlign w:val="bottom"/>
            <w:hideMark/>
          </w:tcPr>
          <w:p w14:paraId="122BE4F0" w14:textId="5353EB63" w:rsidR="008D6965" w:rsidRPr="007678DE" w:rsidRDefault="008D6965" w:rsidP="008D6965">
            <w:pPr>
              <w:pStyle w:val="CETBodytext"/>
              <w:jc w:val="center"/>
              <w:rPr>
                <w:sz w:val="16"/>
                <w:szCs w:val="16"/>
                <w:lang w:val="en-GB"/>
              </w:rPr>
            </w:pPr>
            <w:r w:rsidRPr="007678DE">
              <w:rPr>
                <w:sz w:val="16"/>
                <w:szCs w:val="16"/>
              </w:rPr>
              <w:t>0.191</w:t>
            </w:r>
          </w:p>
        </w:tc>
        <w:tc>
          <w:tcPr>
            <w:tcW w:w="896" w:type="dxa"/>
            <w:tcBorders>
              <w:top w:val="nil"/>
              <w:left w:val="nil"/>
              <w:bottom w:val="nil"/>
              <w:right w:val="nil"/>
            </w:tcBorders>
            <w:noWrap/>
            <w:vAlign w:val="bottom"/>
            <w:hideMark/>
          </w:tcPr>
          <w:p w14:paraId="38FA7E70" w14:textId="46128C75" w:rsidR="008D6965" w:rsidRPr="007678DE" w:rsidRDefault="008D6965" w:rsidP="008D6965">
            <w:pPr>
              <w:pStyle w:val="CETBodytext"/>
              <w:jc w:val="center"/>
              <w:rPr>
                <w:sz w:val="16"/>
                <w:szCs w:val="16"/>
                <w:lang w:val="en-GB"/>
              </w:rPr>
            </w:pPr>
            <w:r w:rsidRPr="007678DE">
              <w:rPr>
                <w:sz w:val="16"/>
                <w:szCs w:val="16"/>
              </w:rPr>
              <w:t>0.120</w:t>
            </w:r>
          </w:p>
        </w:tc>
        <w:tc>
          <w:tcPr>
            <w:tcW w:w="541" w:type="dxa"/>
            <w:tcBorders>
              <w:top w:val="nil"/>
              <w:left w:val="nil"/>
              <w:bottom w:val="nil"/>
              <w:right w:val="nil"/>
            </w:tcBorders>
            <w:noWrap/>
            <w:vAlign w:val="bottom"/>
            <w:hideMark/>
          </w:tcPr>
          <w:p w14:paraId="7CD171D0" w14:textId="21340C4C" w:rsidR="008D6965" w:rsidRPr="007678DE" w:rsidRDefault="008D6965" w:rsidP="008D6965">
            <w:pPr>
              <w:pStyle w:val="CETBodytext"/>
              <w:jc w:val="center"/>
              <w:rPr>
                <w:sz w:val="16"/>
                <w:szCs w:val="16"/>
                <w:lang w:val="en-GB"/>
              </w:rPr>
            </w:pPr>
            <w:r w:rsidRPr="007678DE">
              <w:rPr>
                <w:sz w:val="16"/>
                <w:szCs w:val="16"/>
              </w:rPr>
              <w:t>0.174</w:t>
            </w:r>
          </w:p>
        </w:tc>
        <w:tc>
          <w:tcPr>
            <w:tcW w:w="896" w:type="dxa"/>
            <w:tcBorders>
              <w:top w:val="nil"/>
              <w:left w:val="nil"/>
              <w:bottom w:val="nil"/>
              <w:right w:val="nil"/>
            </w:tcBorders>
            <w:noWrap/>
            <w:vAlign w:val="bottom"/>
            <w:hideMark/>
          </w:tcPr>
          <w:p w14:paraId="0A0844AF" w14:textId="7DDEEC04" w:rsidR="008D6965" w:rsidRPr="007678DE" w:rsidRDefault="008D6965" w:rsidP="008D6965">
            <w:pPr>
              <w:pStyle w:val="CETBodytext"/>
              <w:jc w:val="center"/>
              <w:rPr>
                <w:sz w:val="16"/>
                <w:szCs w:val="16"/>
                <w:lang w:val="en-GB"/>
              </w:rPr>
            </w:pPr>
            <w:r w:rsidRPr="007678DE">
              <w:rPr>
                <w:sz w:val="16"/>
                <w:szCs w:val="16"/>
              </w:rPr>
              <w:t>0.172</w:t>
            </w:r>
          </w:p>
        </w:tc>
        <w:tc>
          <w:tcPr>
            <w:tcW w:w="896" w:type="dxa"/>
            <w:tcBorders>
              <w:top w:val="nil"/>
              <w:left w:val="nil"/>
              <w:bottom w:val="nil"/>
              <w:right w:val="nil"/>
            </w:tcBorders>
            <w:noWrap/>
            <w:vAlign w:val="bottom"/>
            <w:hideMark/>
          </w:tcPr>
          <w:p w14:paraId="7A3F9475" w14:textId="6FB3E3EA" w:rsidR="008D6965" w:rsidRPr="007678DE" w:rsidRDefault="008D6965" w:rsidP="008D6965">
            <w:pPr>
              <w:pStyle w:val="CETBodytext"/>
              <w:jc w:val="center"/>
              <w:rPr>
                <w:sz w:val="16"/>
                <w:szCs w:val="16"/>
                <w:lang w:val="en-GB"/>
              </w:rPr>
            </w:pPr>
            <w:r w:rsidRPr="007678DE">
              <w:rPr>
                <w:sz w:val="16"/>
                <w:szCs w:val="16"/>
              </w:rPr>
              <w:t>0.194</w:t>
            </w:r>
          </w:p>
        </w:tc>
        <w:tc>
          <w:tcPr>
            <w:tcW w:w="639" w:type="dxa"/>
            <w:tcBorders>
              <w:top w:val="nil"/>
              <w:left w:val="nil"/>
              <w:bottom w:val="nil"/>
              <w:right w:val="nil"/>
            </w:tcBorders>
            <w:noWrap/>
            <w:vAlign w:val="bottom"/>
            <w:hideMark/>
          </w:tcPr>
          <w:p w14:paraId="742F571E" w14:textId="7BA66B3A" w:rsidR="008D6965" w:rsidRPr="007678DE" w:rsidRDefault="008D6965" w:rsidP="008D6965">
            <w:pPr>
              <w:pStyle w:val="CETBodytext"/>
              <w:jc w:val="center"/>
              <w:rPr>
                <w:sz w:val="16"/>
                <w:szCs w:val="16"/>
                <w:lang w:val="en-GB"/>
              </w:rPr>
            </w:pPr>
            <w:r w:rsidRPr="007678DE">
              <w:rPr>
                <w:sz w:val="16"/>
                <w:szCs w:val="16"/>
              </w:rPr>
              <w:t>0.144</w:t>
            </w:r>
          </w:p>
        </w:tc>
      </w:tr>
      <w:tr w:rsidR="008D6965" w:rsidRPr="007678DE" w14:paraId="04E4044A" w14:textId="77777777" w:rsidTr="00E87E59">
        <w:trPr>
          <w:trHeight w:val="184"/>
        </w:trPr>
        <w:tc>
          <w:tcPr>
            <w:tcW w:w="462" w:type="dxa"/>
            <w:tcBorders>
              <w:top w:val="nil"/>
              <w:left w:val="nil"/>
              <w:bottom w:val="nil"/>
              <w:right w:val="nil"/>
            </w:tcBorders>
            <w:noWrap/>
            <w:vAlign w:val="bottom"/>
            <w:hideMark/>
          </w:tcPr>
          <w:p w14:paraId="1EE5A69C" w14:textId="77777777" w:rsidR="008D6965" w:rsidRPr="007678DE" w:rsidRDefault="008D6965" w:rsidP="008D6965">
            <w:pPr>
              <w:pStyle w:val="CETBodytext"/>
              <w:spacing w:line="240" w:lineRule="auto"/>
              <w:rPr>
                <w:sz w:val="16"/>
                <w:szCs w:val="16"/>
                <w:lang w:val="en-GB"/>
              </w:rPr>
            </w:pPr>
            <w:r w:rsidRPr="007678DE">
              <w:rPr>
                <w:sz w:val="16"/>
                <w:szCs w:val="16"/>
                <w:lang w:val="en-GB"/>
              </w:rPr>
              <w:t>S</w:t>
            </w:r>
          </w:p>
        </w:tc>
        <w:tc>
          <w:tcPr>
            <w:tcW w:w="814" w:type="dxa"/>
            <w:tcBorders>
              <w:top w:val="nil"/>
              <w:left w:val="nil"/>
              <w:bottom w:val="nil"/>
              <w:right w:val="nil"/>
            </w:tcBorders>
            <w:noWrap/>
            <w:vAlign w:val="bottom"/>
            <w:hideMark/>
          </w:tcPr>
          <w:p w14:paraId="6B3562F8" w14:textId="6FEAD624" w:rsidR="008D6965" w:rsidRPr="007678DE" w:rsidRDefault="008D6965" w:rsidP="008D6965">
            <w:pPr>
              <w:pStyle w:val="CETBodytext"/>
              <w:jc w:val="center"/>
              <w:rPr>
                <w:sz w:val="16"/>
                <w:szCs w:val="16"/>
                <w:lang w:val="en-GB"/>
              </w:rPr>
            </w:pPr>
            <w:r w:rsidRPr="007678DE">
              <w:rPr>
                <w:sz w:val="16"/>
                <w:szCs w:val="16"/>
              </w:rPr>
              <w:t>0.046</w:t>
            </w:r>
          </w:p>
        </w:tc>
        <w:tc>
          <w:tcPr>
            <w:tcW w:w="709" w:type="dxa"/>
            <w:tcBorders>
              <w:top w:val="nil"/>
              <w:left w:val="nil"/>
              <w:bottom w:val="nil"/>
              <w:right w:val="nil"/>
            </w:tcBorders>
            <w:noWrap/>
            <w:vAlign w:val="bottom"/>
            <w:hideMark/>
          </w:tcPr>
          <w:p w14:paraId="7A22BC0D" w14:textId="117E1D03" w:rsidR="008D6965" w:rsidRPr="007678DE" w:rsidRDefault="008D6965" w:rsidP="008D6965">
            <w:pPr>
              <w:pStyle w:val="CETBodytext"/>
              <w:jc w:val="center"/>
              <w:rPr>
                <w:sz w:val="16"/>
                <w:szCs w:val="16"/>
                <w:lang w:val="en-GB"/>
              </w:rPr>
            </w:pPr>
            <w:r w:rsidRPr="007678DE">
              <w:rPr>
                <w:sz w:val="16"/>
                <w:szCs w:val="16"/>
              </w:rPr>
              <w:t>0.023</w:t>
            </w:r>
          </w:p>
        </w:tc>
        <w:tc>
          <w:tcPr>
            <w:tcW w:w="896" w:type="dxa"/>
            <w:tcBorders>
              <w:top w:val="nil"/>
              <w:left w:val="nil"/>
              <w:bottom w:val="nil"/>
              <w:right w:val="nil"/>
            </w:tcBorders>
            <w:noWrap/>
            <w:vAlign w:val="bottom"/>
            <w:hideMark/>
          </w:tcPr>
          <w:p w14:paraId="21953796" w14:textId="5E7F2DE3" w:rsidR="008D6965" w:rsidRPr="007678DE" w:rsidRDefault="008D6965" w:rsidP="008D6965">
            <w:pPr>
              <w:pStyle w:val="CETBodytext"/>
              <w:jc w:val="center"/>
              <w:rPr>
                <w:sz w:val="16"/>
                <w:szCs w:val="16"/>
                <w:lang w:val="en-GB"/>
              </w:rPr>
            </w:pPr>
            <w:r w:rsidRPr="007678DE">
              <w:rPr>
                <w:sz w:val="16"/>
                <w:szCs w:val="16"/>
              </w:rPr>
              <w:t>0.040</w:t>
            </w:r>
          </w:p>
        </w:tc>
        <w:tc>
          <w:tcPr>
            <w:tcW w:w="896" w:type="dxa"/>
            <w:tcBorders>
              <w:top w:val="nil"/>
              <w:left w:val="nil"/>
              <w:bottom w:val="nil"/>
              <w:right w:val="nil"/>
            </w:tcBorders>
            <w:noWrap/>
            <w:vAlign w:val="bottom"/>
            <w:hideMark/>
          </w:tcPr>
          <w:p w14:paraId="74822884" w14:textId="1BF23CCF" w:rsidR="008D6965" w:rsidRPr="007678DE" w:rsidRDefault="008D6965" w:rsidP="008D6965">
            <w:pPr>
              <w:pStyle w:val="CETBodytext"/>
              <w:jc w:val="center"/>
              <w:rPr>
                <w:sz w:val="16"/>
                <w:szCs w:val="16"/>
                <w:lang w:val="en-GB"/>
              </w:rPr>
            </w:pPr>
            <w:r w:rsidRPr="007678DE">
              <w:rPr>
                <w:sz w:val="16"/>
                <w:szCs w:val="16"/>
              </w:rPr>
              <w:t>0.033</w:t>
            </w:r>
          </w:p>
        </w:tc>
        <w:tc>
          <w:tcPr>
            <w:tcW w:w="721" w:type="dxa"/>
            <w:tcBorders>
              <w:top w:val="nil"/>
              <w:left w:val="nil"/>
              <w:bottom w:val="nil"/>
              <w:right w:val="nil"/>
            </w:tcBorders>
            <w:noWrap/>
            <w:vAlign w:val="bottom"/>
            <w:hideMark/>
          </w:tcPr>
          <w:p w14:paraId="4059448B" w14:textId="0437429E" w:rsidR="008D6965" w:rsidRPr="007678DE" w:rsidRDefault="008D6965" w:rsidP="008D6965">
            <w:pPr>
              <w:pStyle w:val="CETBodytext"/>
              <w:jc w:val="center"/>
              <w:rPr>
                <w:sz w:val="16"/>
                <w:szCs w:val="16"/>
                <w:lang w:val="en-GB"/>
              </w:rPr>
            </w:pPr>
            <w:r w:rsidRPr="007678DE">
              <w:rPr>
                <w:sz w:val="16"/>
                <w:szCs w:val="16"/>
              </w:rPr>
              <w:t>0.045</w:t>
            </w:r>
          </w:p>
        </w:tc>
        <w:tc>
          <w:tcPr>
            <w:tcW w:w="896" w:type="dxa"/>
            <w:tcBorders>
              <w:top w:val="nil"/>
              <w:left w:val="nil"/>
              <w:bottom w:val="nil"/>
              <w:right w:val="nil"/>
            </w:tcBorders>
            <w:noWrap/>
            <w:vAlign w:val="bottom"/>
            <w:hideMark/>
          </w:tcPr>
          <w:p w14:paraId="3BA75440" w14:textId="357783EC" w:rsidR="008D6965" w:rsidRPr="007678DE" w:rsidRDefault="008D6965" w:rsidP="008D6965">
            <w:pPr>
              <w:pStyle w:val="CETBodytext"/>
              <w:jc w:val="center"/>
              <w:rPr>
                <w:sz w:val="16"/>
                <w:szCs w:val="16"/>
                <w:lang w:val="en-GB"/>
              </w:rPr>
            </w:pPr>
            <w:r w:rsidRPr="007678DE">
              <w:rPr>
                <w:sz w:val="16"/>
                <w:szCs w:val="16"/>
              </w:rPr>
              <w:t>0.076</w:t>
            </w:r>
          </w:p>
        </w:tc>
        <w:tc>
          <w:tcPr>
            <w:tcW w:w="541" w:type="dxa"/>
            <w:tcBorders>
              <w:top w:val="nil"/>
              <w:left w:val="nil"/>
              <w:bottom w:val="nil"/>
              <w:right w:val="nil"/>
            </w:tcBorders>
            <w:noWrap/>
            <w:vAlign w:val="bottom"/>
            <w:hideMark/>
          </w:tcPr>
          <w:p w14:paraId="1D57E73B" w14:textId="1394FAA9" w:rsidR="008D6965" w:rsidRPr="007678DE" w:rsidRDefault="008D6965" w:rsidP="008D6965">
            <w:pPr>
              <w:pStyle w:val="CETBodytext"/>
              <w:jc w:val="center"/>
              <w:rPr>
                <w:sz w:val="16"/>
                <w:szCs w:val="16"/>
                <w:lang w:val="en-GB"/>
              </w:rPr>
            </w:pPr>
            <w:r w:rsidRPr="007678DE">
              <w:rPr>
                <w:sz w:val="16"/>
                <w:szCs w:val="16"/>
              </w:rPr>
              <w:t>0.025</w:t>
            </w:r>
          </w:p>
        </w:tc>
        <w:tc>
          <w:tcPr>
            <w:tcW w:w="896" w:type="dxa"/>
            <w:tcBorders>
              <w:top w:val="nil"/>
              <w:left w:val="nil"/>
              <w:bottom w:val="nil"/>
              <w:right w:val="nil"/>
            </w:tcBorders>
            <w:noWrap/>
            <w:vAlign w:val="bottom"/>
            <w:hideMark/>
          </w:tcPr>
          <w:p w14:paraId="504E7CF4" w14:textId="00838825" w:rsidR="008D6965" w:rsidRPr="007678DE" w:rsidRDefault="008D6965" w:rsidP="008D6965">
            <w:pPr>
              <w:pStyle w:val="CETBodytext"/>
              <w:jc w:val="center"/>
              <w:rPr>
                <w:sz w:val="16"/>
                <w:szCs w:val="16"/>
                <w:lang w:val="en-GB"/>
              </w:rPr>
            </w:pPr>
            <w:r w:rsidRPr="007678DE">
              <w:rPr>
                <w:sz w:val="16"/>
                <w:szCs w:val="16"/>
              </w:rPr>
              <w:t>0.028</w:t>
            </w:r>
          </w:p>
        </w:tc>
        <w:tc>
          <w:tcPr>
            <w:tcW w:w="896" w:type="dxa"/>
            <w:tcBorders>
              <w:top w:val="nil"/>
              <w:left w:val="nil"/>
              <w:bottom w:val="nil"/>
              <w:right w:val="nil"/>
            </w:tcBorders>
            <w:noWrap/>
            <w:vAlign w:val="bottom"/>
            <w:hideMark/>
          </w:tcPr>
          <w:p w14:paraId="6E1C7128" w14:textId="1E3713A1" w:rsidR="008D6965" w:rsidRPr="007678DE" w:rsidRDefault="008D6965" w:rsidP="008D6965">
            <w:pPr>
              <w:pStyle w:val="CETBodytext"/>
              <w:jc w:val="center"/>
              <w:rPr>
                <w:sz w:val="16"/>
                <w:szCs w:val="16"/>
                <w:lang w:val="en-GB"/>
              </w:rPr>
            </w:pPr>
            <w:r w:rsidRPr="007678DE">
              <w:rPr>
                <w:sz w:val="16"/>
                <w:szCs w:val="16"/>
              </w:rPr>
              <w:t>0.042</w:t>
            </w:r>
          </w:p>
        </w:tc>
        <w:tc>
          <w:tcPr>
            <w:tcW w:w="639" w:type="dxa"/>
            <w:tcBorders>
              <w:top w:val="nil"/>
              <w:left w:val="nil"/>
              <w:bottom w:val="nil"/>
              <w:right w:val="nil"/>
            </w:tcBorders>
            <w:noWrap/>
            <w:vAlign w:val="bottom"/>
            <w:hideMark/>
          </w:tcPr>
          <w:p w14:paraId="542E0789" w14:textId="7E51A597" w:rsidR="008D6965" w:rsidRPr="007678DE" w:rsidRDefault="008D6965" w:rsidP="008D6965">
            <w:pPr>
              <w:pStyle w:val="CETBodytext"/>
              <w:jc w:val="center"/>
              <w:rPr>
                <w:sz w:val="16"/>
                <w:szCs w:val="16"/>
                <w:lang w:val="en-GB"/>
              </w:rPr>
            </w:pPr>
            <w:r w:rsidRPr="007678DE">
              <w:rPr>
                <w:sz w:val="16"/>
                <w:szCs w:val="16"/>
              </w:rPr>
              <w:t>0.035</w:t>
            </w:r>
          </w:p>
        </w:tc>
      </w:tr>
      <w:tr w:rsidR="008D6965" w:rsidRPr="007678DE" w14:paraId="0B8BBB42" w14:textId="77777777" w:rsidTr="00E87E59">
        <w:trPr>
          <w:trHeight w:val="184"/>
        </w:trPr>
        <w:tc>
          <w:tcPr>
            <w:tcW w:w="462" w:type="dxa"/>
            <w:tcBorders>
              <w:top w:val="nil"/>
              <w:left w:val="nil"/>
              <w:bottom w:val="nil"/>
              <w:right w:val="nil"/>
            </w:tcBorders>
            <w:noWrap/>
            <w:vAlign w:val="bottom"/>
            <w:hideMark/>
          </w:tcPr>
          <w:p w14:paraId="3A85457A" w14:textId="77777777" w:rsidR="008D6965" w:rsidRPr="007678DE" w:rsidRDefault="008D6965" w:rsidP="008D6965">
            <w:pPr>
              <w:pStyle w:val="CETBodytext"/>
              <w:spacing w:line="240" w:lineRule="auto"/>
              <w:rPr>
                <w:sz w:val="16"/>
                <w:szCs w:val="16"/>
                <w:lang w:val="en-GB"/>
              </w:rPr>
            </w:pPr>
            <w:r w:rsidRPr="007678DE">
              <w:rPr>
                <w:sz w:val="16"/>
                <w:szCs w:val="16"/>
                <w:lang w:val="en-GB"/>
              </w:rPr>
              <w:t>Al</w:t>
            </w:r>
          </w:p>
        </w:tc>
        <w:tc>
          <w:tcPr>
            <w:tcW w:w="814" w:type="dxa"/>
            <w:tcBorders>
              <w:top w:val="nil"/>
              <w:left w:val="nil"/>
              <w:bottom w:val="nil"/>
              <w:right w:val="nil"/>
            </w:tcBorders>
            <w:noWrap/>
            <w:vAlign w:val="bottom"/>
            <w:hideMark/>
          </w:tcPr>
          <w:p w14:paraId="25C734CF" w14:textId="4DDB3D56" w:rsidR="008D6965" w:rsidRPr="007678DE" w:rsidRDefault="008D6965" w:rsidP="008D6965">
            <w:pPr>
              <w:pStyle w:val="CETBodytext"/>
              <w:jc w:val="center"/>
              <w:rPr>
                <w:sz w:val="16"/>
                <w:szCs w:val="16"/>
                <w:lang w:val="en-GB"/>
              </w:rPr>
            </w:pPr>
            <w:r w:rsidRPr="007678DE">
              <w:rPr>
                <w:sz w:val="16"/>
                <w:szCs w:val="16"/>
              </w:rPr>
              <w:t>0.026</w:t>
            </w:r>
          </w:p>
        </w:tc>
        <w:tc>
          <w:tcPr>
            <w:tcW w:w="709" w:type="dxa"/>
            <w:tcBorders>
              <w:top w:val="nil"/>
              <w:left w:val="nil"/>
              <w:bottom w:val="nil"/>
              <w:right w:val="nil"/>
            </w:tcBorders>
            <w:noWrap/>
            <w:vAlign w:val="bottom"/>
            <w:hideMark/>
          </w:tcPr>
          <w:p w14:paraId="6641BAB8" w14:textId="48AE8241" w:rsidR="008D6965" w:rsidRPr="007678DE" w:rsidRDefault="008D6965" w:rsidP="008D6965">
            <w:pPr>
              <w:pStyle w:val="CETBodytext"/>
              <w:jc w:val="center"/>
              <w:rPr>
                <w:sz w:val="16"/>
                <w:szCs w:val="16"/>
                <w:lang w:val="en-GB"/>
              </w:rPr>
            </w:pPr>
            <w:r w:rsidRPr="007678DE">
              <w:rPr>
                <w:sz w:val="16"/>
                <w:szCs w:val="16"/>
              </w:rPr>
              <w:t>0.049</w:t>
            </w:r>
          </w:p>
        </w:tc>
        <w:tc>
          <w:tcPr>
            <w:tcW w:w="896" w:type="dxa"/>
            <w:tcBorders>
              <w:top w:val="nil"/>
              <w:left w:val="nil"/>
              <w:bottom w:val="nil"/>
              <w:right w:val="nil"/>
            </w:tcBorders>
            <w:noWrap/>
            <w:vAlign w:val="bottom"/>
            <w:hideMark/>
          </w:tcPr>
          <w:p w14:paraId="02A516AA" w14:textId="3108E8D5" w:rsidR="008D6965" w:rsidRPr="007678DE" w:rsidRDefault="008D6965" w:rsidP="008D6965">
            <w:pPr>
              <w:pStyle w:val="CETBodytext"/>
              <w:jc w:val="center"/>
              <w:rPr>
                <w:sz w:val="16"/>
                <w:szCs w:val="16"/>
                <w:lang w:val="en-GB"/>
              </w:rPr>
            </w:pPr>
            <w:r w:rsidRPr="007678DE">
              <w:rPr>
                <w:sz w:val="16"/>
                <w:szCs w:val="16"/>
              </w:rPr>
              <w:t>0.081</w:t>
            </w:r>
          </w:p>
        </w:tc>
        <w:tc>
          <w:tcPr>
            <w:tcW w:w="896" w:type="dxa"/>
            <w:tcBorders>
              <w:top w:val="nil"/>
              <w:left w:val="nil"/>
              <w:bottom w:val="nil"/>
              <w:right w:val="nil"/>
            </w:tcBorders>
            <w:noWrap/>
            <w:vAlign w:val="bottom"/>
            <w:hideMark/>
          </w:tcPr>
          <w:p w14:paraId="126327DD" w14:textId="48D7864B" w:rsidR="008D6965" w:rsidRPr="007678DE" w:rsidRDefault="008D6965" w:rsidP="008D6965">
            <w:pPr>
              <w:pStyle w:val="CETBodytext"/>
              <w:jc w:val="center"/>
              <w:rPr>
                <w:sz w:val="16"/>
                <w:szCs w:val="16"/>
                <w:lang w:val="en-GB"/>
              </w:rPr>
            </w:pPr>
            <w:r w:rsidRPr="007678DE">
              <w:rPr>
                <w:sz w:val="16"/>
                <w:szCs w:val="16"/>
              </w:rPr>
              <w:t>0.019</w:t>
            </w:r>
          </w:p>
        </w:tc>
        <w:tc>
          <w:tcPr>
            <w:tcW w:w="721" w:type="dxa"/>
            <w:tcBorders>
              <w:top w:val="nil"/>
              <w:left w:val="nil"/>
              <w:bottom w:val="nil"/>
              <w:right w:val="nil"/>
            </w:tcBorders>
            <w:noWrap/>
            <w:vAlign w:val="bottom"/>
            <w:hideMark/>
          </w:tcPr>
          <w:p w14:paraId="00FD144B" w14:textId="14A80C97" w:rsidR="008D6965" w:rsidRPr="007678DE" w:rsidRDefault="00F66599" w:rsidP="008D6965">
            <w:pPr>
              <w:pStyle w:val="CETBodytext"/>
              <w:jc w:val="center"/>
              <w:rPr>
                <w:sz w:val="16"/>
                <w:szCs w:val="16"/>
                <w:lang w:val="en-GB"/>
              </w:rPr>
            </w:pPr>
            <w:r w:rsidRPr="007678DE">
              <w:rPr>
                <w:sz w:val="16"/>
                <w:szCs w:val="16"/>
                <w:lang w:val="en-GB"/>
              </w:rPr>
              <w:t>0.024</w:t>
            </w:r>
          </w:p>
        </w:tc>
        <w:tc>
          <w:tcPr>
            <w:tcW w:w="896" w:type="dxa"/>
            <w:tcBorders>
              <w:top w:val="nil"/>
              <w:left w:val="nil"/>
              <w:bottom w:val="nil"/>
              <w:right w:val="nil"/>
            </w:tcBorders>
            <w:noWrap/>
            <w:vAlign w:val="bottom"/>
            <w:hideMark/>
          </w:tcPr>
          <w:p w14:paraId="080044E9" w14:textId="5540AB40" w:rsidR="008D6965" w:rsidRPr="007678DE" w:rsidRDefault="00F66599" w:rsidP="008D6965">
            <w:pPr>
              <w:pStyle w:val="CETBodytext"/>
              <w:jc w:val="center"/>
              <w:rPr>
                <w:sz w:val="16"/>
                <w:szCs w:val="16"/>
                <w:lang w:val="en-GB"/>
              </w:rPr>
            </w:pPr>
            <w:r w:rsidRPr="007678DE">
              <w:rPr>
                <w:sz w:val="16"/>
                <w:szCs w:val="16"/>
                <w:lang w:val="en-GB"/>
              </w:rPr>
              <w:t>0.039</w:t>
            </w:r>
          </w:p>
        </w:tc>
        <w:tc>
          <w:tcPr>
            <w:tcW w:w="541" w:type="dxa"/>
            <w:tcBorders>
              <w:top w:val="nil"/>
              <w:left w:val="nil"/>
              <w:bottom w:val="nil"/>
              <w:right w:val="nil"/>
            </w:tcBorders>
            <w:noWrap/>
            <w:vAlign w:val="bottom"/>
            <w:hideMark/>
          </w:tcPr>
          <w:p w14:paraId="0D6052F3" w14:textId="27A9CE02" w:rsidR="008D6965" w:rsidRPr="007678DE" w:rsidRDefault="00F66599" w:rsidP="008D6965">
            <w:pPr>
              <w:pStyle w:val="CETBodytext"/>
              <w:jc w:val="center"/>
              <w:rPr>
                <w:sz w:val="16"/>
                <w:szCs w:val="16"/>
                <w:lang w:val="en-GB"/>
              </w:rPr>
            </w:pPr>
            <w:r w:rsidRPr="007678DE">
              <w:rPr>
                <w:sz w:val="16"/>
                <w:szCs w:val="16"/>
                <w:lang w:val="en-GB"/>
              </w:rPr>
              <w:t>0.061</w:t>
            </w:r>
          </w:p>
        </w:tc>
        <w:tc>
          <w:tcPr>
            <w:tcW w:w="896" w:type="dxa"/>
            <w:tcBorders>
              <w:top w:val="nil"/>
              <w:left w:val="nil"/>
              <w:bottom w:val="nil"/>
              <w:right w:val="nil"/>
            </w:tcBorders>
            <w:noWrap/>
            <w:vAlign w:val="bottom"/>
            <w:hideMark/>
          </w:tcPr>
          <w:p w14:paraId="435AEB03" w14:textId="78DBC7DF" w:rsidR="008D6965" w:rsidRPr="007678DE" w:rsidRDefault="00F66599" w:rsidP="008D6965">
            <w:pPr>
              <w:pStyle w:val="CETBodytext"/>
              <w:jc w:val="center"/>
              <w:rPr>
                <w:sz w:val="16"/>
                <w:szCs w:val="16"/>
                <w:lang w:val="en-GB"/>
              </w:rPr>
            </w:pPr>
            <w:r w:rsidRPr="007678DE">
              <w:rPr>
                <w:sz w:val="16"/>
                <w:szCs w:val="16"/>
                <w:lang w:val="en-GB"/>
              </w:rPr>
              <w:t>0.011</w:t>
            </w:r>
          </w:p>
        </w:tc>
        <w:tc>
          <w:tcPr>
            <w:tcW w:w="896" w:type="dxa"/>
            <w:tcBorders>
              <w:top w:val="nil"/>
              <w:left w:val="nil"/>
              <w:bottom w:val="nil"/>
              <w:right w:val="nil"/>
            </w:tcBorders>
            <w:noWrap/>
            <w:vAlign w:val="bottom"/>
            <w:hideMark/>
          </w:tcPr>
          <w:p w14:paraId="11F6B32A" w14:textId="2916319A" w:rsidR="008D6965" w:rsidRPr="007678DE" w:rsidRDefault="00F66599" w:rsidP="008D6965">
            <w:pPr>
              <w:pStyle w:val="CETBodytext"/>
              <w:jc w:val="center"/>
              <w:rPr>
                <w:sz w:val="16"/>
                <w:szCs w:val="16"/>
                <w:lang w:val="en-GB"/>
              </w:rPr>
            </w:pPr>
            <w:r w:rsidRPr="007678DE">
              <w:rPr>
                <w:sz w:val="16"/>
                <w:szCs w:val="16"/>
                <w:lang w:val="en-GB"/>
              </w:rPr>
              <w:t>0.022</w:t>
            </w:r>
          </w:p>
        </w:tc>
        <w:tc>
          <w:tcPr>
            <w:tcW w:w="639" w:type="dxa"/>
            <w:tcBorders>
              <w:top w:val="nil"/>
              <w:left w:val="nil"/>
              <w:bottom w:val="nil"/>
              <w:right w:val="nil"/>
            </w:tcBorders>
            <w:noWrap/>
            <w:vAlign w:val="bottom"/>
            <w:hideMark/>
          </w:tcPr>
          <w:p w14:paraId="4043FE9E" w14:textId="513DD932" w:rsidR="008D6965" w:rsidRPr="007678DE" w:rsidRDefault="008D6965" w:rsidP="008D6965">
            <w:pPr>
              <w:pStyle w:val="CETBodytext"/>
              <w:jc w:val="center"/>
              <w:rPr>
                <w:sz w:val="16"/>
                <w:szCs w:val="16"/>
                <w:lang w:val="en-GB"/>
              </w:rPr>
            </w:pPr>
            <w:r w:rsidRPr="007678DE">
              <w:rPr>
                <w:sz w:val="16"/>
                <w:szCs w:val="16"/>
              </w:rPr>
              <w:t>0.018</w:t>
            </w:r>
          </w:p>
        </w:tc>
      </w:tr>
      <w:tr w:rsidR="008D6965" w:rsidRPr="007678DE" w14:paraId="114B33FD" w14:textId="77777777" w:rsidTr="00E87E59">
        <w:trPr>
          <w:trHeight w:val="184"/>
        </w:trPr>
        <w:tc>
          <w:tcPr>
            <w:tcW w:w="462" w:type="dxa"/>
            <w:tcBorders>
              <w:top w:val="nil"/>
              <w:left w:val="nil"/>
              <w:bottom w:val="nil"/>
              <w:right w:val="nil"/>
            </w:tcBorders>
            <w:noWrap/>
            <w:vAlign w:val="bottom"/>
            <w:hideMark/>
          </w:tcPr>
          <w:p w14:paraId="43F06DCA" w14:textId="77777777" w:rsidR="008D6965" w:rsidRPr="007678DE" w:rsidRDefault="008D6965" w:rsidP="008D6965">
            <w:pPr>
              <w:pStyle w:val="CETBodytext"/>
              <w:spacing w:line="240" w:lineRule="auto"/>
              <w:rPr>
                <w:sz w:val="16"/>
                <w:szCs w:val="16"/>
                <w:lang w:val="en-GB"/>
              </w:rPr>
            </w:pPr>
            <w:r w:rsidRPr="007678DE">
              <w:rPr>
                <w:sz w:val="16"/>
                <w:szCs w:val="16"/>
                <w:lang w:val="en-GB"/>
              </w:rPr>
              <w:t>Ni</w:t>
            </w:r>
          </w:p>
        </w:tc>
        <w:tc>
          <w:tcPr>
            <w:tcW w:w="814" w:type="dxa"/>
            <w:tcBorders>
              <w:top w:val="nil"/>
              <w:left w:val="nil"/>
              <w:bottom w:val="nil"/>
              <w:right w:val="nil"/>
            </w:tcBorders>
            <w:noWrap/>
            <w:vAlign w:val="bottom"/>
            <w:hideMark/>
          </w:tcPr>
          <w:p w14:paraId="79B0BFB6" w14:textId="5AD3F85B" w:rsidR="008D6965" w:rsidRPr="007678DE" w:rsidRDefault="008D6965" w:rsidP="008D6965">
            <w:pPr>
              <w:pStyle w:val="CETBodytext"/>
              <w:jc w:val="center"/>
              <w:rPr>
                <w:sz w:val="16"/>
                <w:szCs w:val="16"/>
                <w:lang w:val="en-GB"/>
              </w:rPr>
            </w:pPr>
            <w:r w:rsidRPr="007678DE">
              <w:rPr>
                <w:sz w:val="16"/>
                <w:szCs w:val="16"/>
              </w:rPr>
              <w:t>0.010</w:t>
            </w:r>
          </w:p>
        </w:tc>
        <w:tc>
          <w:tcPr>
            <w:tcW w:w="709" w:type="dxa"/>
            <w:tcBorders>
              <w:top w:val="nil"/>
              <w:left w:val="nil"/>
              <w:bottom w:val="nil"/>
              <w:right w:val="nil"/>
            </w:tcBorders>
            <w:noWrap/>
            <w:vAlign w:val="bottom"/>
            <w:hideMark/>
          </w:tcPr>
          <w:p w14:paraId="0CB7A773" w14:textId="39D8A06D" w:rsidR="008D6965" w:rsidRPr="007678DE" w:rsidRDefault="008D6965" w:rsidP="008D6965">
            <w:pPr>
              <w:pStyle w:val="CETBodytext"/>
              <w:jc w:val="center"/>
              <w:rPr>
                <w:sz w:val="16"/>
                <w:szCs w:val="16"/>
                <w:lang w:val="en-GB"/>
              </w:rPr>
            </w:pPr>
            <w:r w:rsidRPr="007678DE">
              <w:rPr>
                <w:sz w:val="16"/>
                <w:szCs w:val="16"/>
              </w:rPr>
              <w:t>0.005</w:t>
            </w:r>
          </w:p>
        </w:tc>
        <w:tc>
          <w:tcPr>
            <w:tcW w:w="896" w:type="dxa"/>
            <w:tcBorders>
              <w:top w:val="nil"/>
              <w:left w:val="nil"/>
              <w:bottom w:val="nil"/>
              <w:right w:val="nil"/>
            </w:tcBorders>
            <w:noWrap/>
            <w:vAlign w:val="bottom"/>
            <w:hideMark/>
          </w:tcPr>
          <w:p w14:paraId="7C9FA3D7" w14:textId="7F2FD82A" w:rsidR="008D6965" w:rsidRPr="007678DE" w:rsidRDefault="008D6965" w:rsidP="008D6965">
            <w:pPr>
              <w:pStyle w:val="CETBodytext"/>
              <w:jc w:val="center"/>
              <w:rPr>
                <w:sz w:val="16"/>
                <w:szCs w:val="16"/>
                <w:lang w:val="en-GB"/>
              </w:rPr>
            </w:pPr>
            <w:r w:rsidRPr="007678DE">
              <w:rPr>
                <w:sz w:val="16"/>
                <w:szCs w:val="16"/>
              </w:rPr>
              <w:t>0.000</w:t>
            </w:r>
          </w:p>
        </w:tc>
        <w:tc>
          <w:tcPr>
            <w:tcW w:w="896" w:type="dxa"/>
            <w:tcBorders>
              <w:top w:val="nil"/>
              <w:left w:val="nil"/>
              <w:bottom w:val="nil"/>
              <w:right w:val="nil"/>
            </w:tcBorders>
            <w:noWrap/>
            <w:vAlign w:val="bottom"/>
            <w:hideMark/>
          </w:tcPr>
          <w:p w14:paraId="135D70BC" w14:textId="22AD95D3" w:rsidR="008D6965" w:rsidRPr="007678DE" w:rsidRDefault="008D6965" w:rsidP="008D6965">
            <w:pPr>
              <w:pStyle w:val="CETBodytext"/>
              <w:jc w:val="center"/>
              <w:rPr>
                <w:sz w:val="16"/>
                <w:szCs w:val="16"/>
                <w:lang w:val="en-GB"/>
              </w:rPr>
            </w:pPr>
            <w:r w:rsidRPr="007678DE">
              <w:rPr>
                <w:sz w:val="16"/>
                <w:szCs w:val="16"/>
              </w:rPr>
              <w:t>0.003</w:t>
            </w:r>
          </w:p>
        </w:tc>
        <w:tc>
          <w:tcPr>
            <w:tcW w:w="721" w:type="dxa"/>
            <w:tcBorders>
              <w:top w:val="nil"/>
              <w:left w:val="nil"/>
              <w:bottom w:val="nil"/>
              <w:right w:val="nil"/>
            </w:tcBorders>
            <w:noWrap/>
            <w:vAlign w:val="bottom"/>
            <w:hideMark/>
          </w:tcPr>
          <w:p w14:paraId="02BA9911" w14:textId="1CD31172" w:rsidR="008D6965" w:rsidRPr="007678DE" w:rsidRDefault="008D6965" w:rsidP="008D6965">
            <w:pPr>
              <w:pStyle w:val="CETBodytext"/>
              <w:jc w:val="center"/>
              <w:rPr>
                <w:sz w:val="16"/>
                <w:szCs w:val="16"/>
                <w:lang w:val="en-GB"/>
              </w:rPr>
            </w:pPr>
            <w:r w:rsidRPr="007678DE">
              <w:rPr>
                <w:sz w:val="16"/>
                <w:szCs w:val="16"/>
              </w:rPr>
              <w:t>0.016</w:t>
            </w:r>
          </w:p>
        </w:tc>
        <w:tc>
          <w:tcPr>
            <w:tcW w:w="896" w:type="dxa"/>
            <w:tcBorders>
              <w:top w:val="nil"/>
              <w:left w:val="nil"/>
              <w:bottom w:val="nil"/>
              <w:right w:val="nil"/>
            </w:tcBorders>
            <w:noWrap/>
            <w:vAlign w:val="bottom"/>
            <w:hideMark/>
          </w:tcPr>
          <w:p w14:paraId="4B8EE091" w14:textId="05353AA9" w:rsidR="008D6965" w:rsidRPr="007678DE" w:rsidRDefault="008D6965" w:rsidP="008D6965">
            <w:pPr>
              <w:pStyle w:val="CETBodytext"/>
              <w:jc w:val="center"/>
              <w:rPr>
                <w:sz w:val="16"/>
                <w:szCs w:val="16"/>
                <w:lang w:val="en-GB"/>
              </w:rPr>
            </w:pPr>
            <w:r w:rsidRPr="007678DE">
              <w:rPr>
                <w:sz w:val="16"/>
                <w:szCs w:val="16"/>
              </w:rPr>
              <w:t>0.002</w:t>
            </w:r>
          </w:p>
        </w:tc>
        <w:tc>
          <w:tcPr>
            <w:tcW w:w="541" w:type="dxa"/>
            <w:tcBorders>
              <w:top w:val="nil"/>
              <w:left w:val="nil"/>
              <w:bottom w:val="nil"/>
              <w:right w:val="nil"/>
            </w:tcBorders>
            <w:noWrap/>
            <w:vAlign w:val="bottom"/>
            <w:hideMark/>
          </w:tcPr>
          <w:p w14:paraId="4349E7C8" w14:textId="43570D84" w:rsidR="008D6965" w:rsidRPr="007678DE" w:rsidRDefault="008D6965" w:rsidP="008D6965">
            <w:pPr>
              <w:pStyle w:val="CETBodytext"/>
              <w:jc w:val="center"/>
              <w:rPr>
                <w:sz w:val="16"/>
                <w:szCs w:val="16"/>
                <w:lang w:val="en-GB"/>
              </w:rPr>
            </w:pPr>
            <w:r w:rsidRPr="007678DE">
              <w:rPr>
                <w:sz w:val="16"/>
                <w:szCs w:val="16"/>
              </w:rPr>
              <w:t>0.004</w:t>
            </w:r>
          </w:p>
        </w:tc>
        <w:tc>
          <w:tcPr>
            <w:tcW w:w="896" w:type="dxa"/>
            <w:tcBorders>
              <w:top w:val="nil"/>
              <w:left w:val="nil"/>
              <w:bottom w:val="nil"/>
              <w:right w:val="nil"/>
            </w:tcBorders>
            <w:noWrap/>
            <w:vAlign w:val="bottom"/>
            <w:hideMark/>
          </w:tcPr>
          <w:p w14:paraId="054DAA9E" w14:textId="22A4C907" w:rsidR="008D6965" w:rsidRPr="007678DE" w:rsidRDefault="008D6965" w:rsidP="008D6965">
            <w:pPr>
              <w:pStyle w:val="CETBodytext"/>
              <w:jc w:val="center"/>
              <w:rPr>
                <w:sz w:val="16"/>
                <w:szCs w:val="16"/>
                <w:lang w:val="en-GB"/>
              </w:rPr>
            </w:pPr>
            <w:r w:rsidRPr="007678DE">
              <w:rPr>
                <w:sz w:val="16"/>
                <w:szCs w:val="16"/>
              </w:rPr>
              <w:t>0.004</w:t>
            </w:r>
          </w:p>
        </w:tc>
        <w:tc>
          <w:tcPr>
            <w:tcW w:w="896" w:type="dxa"/>
            <w:tcBorders>
              <w:top w:val="nil"/>
              <w:left w:val="nil"/>
              <w:bottom w:val="nil"/>
              <w:right w:val="nil"/>
            </w:tcBorders>
            <w:noWrap/>
            <w:vAlign w:val="bottom"/>
            <w:hideMark/>
          </w:tcPr>
          <w:p w14:paraId="0F972367" w14:textId="4DCE916B" w:rsidR="008D6965" w:rsidRPr="007678DE" w:rsidRDefault="008D6965" w:rsidP="008D6965">
            <w:pPr>
              <w:pStyle w:val="CETBodytext"/>
              <w:jc w:val="center"/>
              <w:rPr>
                <w:sz w:val="16"/>
                <w:szCs w:val="16"/>
                <w:lang w:val="en-GB"/>
              </w:rPr>
            </w:pPr>
            <w:r w:rsidRPr="007678DE">
              <w:rPr>
                <w:sz w:val="16"/>
                <w:szCs w:val="16"/>
              </w:rPr>
              <w:t>0.018</w:t>
            </w:r>
          </w:p>
        </w:tc>
        <w:tc>
          <w:tcPr>
            <w:tcW w:w="639" w:type="dxa"/>
            <w:tcBorders>
              <w:top w:val="nil"/>
              <w:left w:val="nil"/>
              <w:bottom w:val="nil"/>
              <w:right w:val="nil"/>
            </w:tcBorders>
            <w:noWrap/>
            <w:vAlign w:val="bottom"/>
            <w:hideMark/>
          </w:tcPr>
          <w:p w14:paraId="3435DC25" w14:textId="04555778" w:rsidR="008D6965" w:rsidRPr="007678DE" w:rsidRDefault="008D6965" w:rsidP="008D6965">
            <w:pPr>
              <w:pStyle w:val="CETBodytext"/>
              <w:jc w:val="center"/>
              <w:rPr>
                <w:sz w:val="16"/>
                <w:szCs w:val="16"/>
                <w:lang w:val="en-GB"/>
              </w:rPr>
            </w:pPr>
            <w:r w:rsidRPr="007678DE">
              <w:rPr>
                <w:sz w:val="16"/>
                <w:szCs w:val="16"/>
              </w:rPr>
              <w:t>0.002</w:t>
            </w:r>
          </w:p>
        </w:tc>
      </w:tr>
      <w:tr w:rsidR="008D6965" w:rsidRPr="007678DE" w14:paraId="5829E0BE" w14:textId="77777777" w:rsidTr="00E87E59">
        <w:trPr>
          <w:trHeight w:val="184"/>
        </w:trPr>
        <w:tc>
          <w:tcPr>
            <w:tcW w:w="462" w:type="dxa"/>
            <w:tcBorders>
              <w:top w:val="nil"/>
              <w:left w:val="nil"/>
              <w:bottom w:val="nil"/>
              <w:right w:val="nil"/>
            </w:tcBorders>
            <w:noWrap/>
            <w:vAlign w:val="bottom"/>
            <w:hideMark/>
          </w:tcPr>
          <w:p w14:paraId="0D161B66" w14:textId="77777777" w:rsidR="008D6965" w:rsidRPr="007678DE" w:rsidRDefault="008D6965" w:rsidP="008D6965">
            <w:pPr>
              <w:pStyle w:val="CETBodytext"/>
              <w:spacing w:line="240" w:lineRule="auto"/>
              <w:rPr>
                <w:sz w:val="16"/>
                <w:szCs w:val="16"/>
                <w:lang w:val="en-GB"/>
              </w:rPr>
            </w:pPr>
            <w:r w:rsidRPr="007678DE">
              <w:rPr>
                <w:sz w:val="16"/>
                <w:szCs w:val="16"/>
                <w:lang w:val="en-GB"/>
              </w:rPr>
              <w:t>Mn</w:t>
            </w:r>
          </w:p>
        </w:tc>
        <w:tc>
          <w:tcPr>
            <w:tcW w:w="814" w:type="dxa"/>
            <w:tcBorders>
              <w:top w:val="nil"/>
              <w:left w:val="nil"/>
              <w:bottom w:val="nil"/>
              <w:right w:val="nil"/>
            </w:tcBorders>
            <w:noWrap/>
            <w:vAlign w:val="bottom"/>
            <w:hideMark/>
          </w:tcPr>
          <w:p w14:paraId="2425CB28" w14:textId="51A28648" w:rsidR="008D6965" w:rsidRPr="007678DE" w:rsidRDefault="008D6965" w:rsidP="008D6965">
            <w:pPr>
              <w:pStyle w:val="CETBodytext"/>
              <w:jc w:val="center"/>
              <w:rPr>
                <w:sz w:val="16"/>
                <w:szCs w:val="16"/>
                <w:lang w:val="en-GB"/>
              </w:rPr>
            </w:pPr>
            <w:r w:rsidRPr="007678DE">
              <w:rPr>
                <w:sz w:val="16"/>
                <w:szCs w:val="16"/>
              </w:rPr>
              <w:t>0.007</w:t>
            </w:r>
          </w:p>
        </w:tc>
        <w:tc>
          <w:tcPr>
            <w:tcW w:w="709" w:type="dxa"/>
            <w:tcBorders>
              <w:top w:val="nil"/>
              <w:left w:val="nil"/>
              <w:bottom w:val="nil"/>
              <w:right w:val="nil"/>
            </w:tcBorders>
            <w:noWrap/>
            <w:vAlign w:val="bottom"/>
            <w:hideMark/>
          </w:tcPr>
          <w:p w14:paraId="58EF92B9" w14:textId="08220BAB" w:rsidR="008D6965" w:rsidRPr="007678DE" w:rsidRDefault="008D6965" w:rsidP="008D6965">
            <w:pPr>
              <w:pStyle w:val="CETBodytext"/>
              <w:jc w:val="center"/>
              <w:rPr>
                <w:sz w:val="16"/>
                <w:szCs w:val="16"/>
                <w:lang w:val="en-GB"/>
              </w:rPr>
            </w:pPr>
            <w:r w:rsidRPr="007678DE">
              <w:rPr>
                <w:sz w:val="16"/>
                <w:szCs w:val="16"/>
              </w:rPr>
              <w:t>0.005</w:t>
            </w:r>
          </w:p>
        </w:tc>
        <w:tc>
          <w:tcPr>
            <w:tcW w:w="896" w:type="dxa"/>
            <w:tcBorders>
              <w:top w:val="nil"/>
              <w:left w:val="nil"/>
              <w:bottom w:val="nil"/>
              <w:right w:val="nil"/>
            </w:tcBorders>
            <w:noWrap/>
            <w:vAlign w:val="bottom"/>
            <w:hideMark/>
          </w:tcPr>
          <w:p w14:paraId="79DCB133" w14:textId="6485EEDF" w:rsidR="008D6965" w:rsidRPr="007678DE" w:rsidRDefault="008D6965" w:rsidP="008D6965">
            <w:pPr>
              <w:pStyle w:val="CETBodytext"/>
              <w:jc w:val="center"/>
              <w:rPr>
                <w:sz w:val="16"/>
                <w:szCs w:val="16"/>
                <w:lang w:val="en-GB"/>
              </w:rPr>
            </w:pPr>
            <w:r w:rsidRPr="007678DE">
              <w:rPr>
                <w:sz w:val="16"/>
                <w:szCs w:val="16"/>
              </w:rPr>
              <w:t>0.007</w:t>
            </w:r>
          </w:p>
        </w:tc>
        <w:tc>
          <w:tcPr>
            <w:tcW w:w="896" w:type="dxa"/>
            <w:tcBorders>
              <w:top w:val="nil"/>
              <w:left w:val="nil"/>
              <w:bottom w:val="nil"/>
              <w:right w:val="nil"/>
            </w:tcBorders>
            <w:noWrap/>
            <w:vAlign w:val="bottom"/>
            <w:hideMark/>
          </w:tcPr>
          <w:p w14:paraId="2286E43F" w14:textId="395F49F4" w:rsidR="008D6965" w:rsidRPr="007678DE" w:rsidRDefault="008D6965" w:rsidP="008D6965">
            <w:pPr>
              <w:pStyle w:val="CETBodytext"/>
              <w:jc w:val="center"/>
              <w:rPr>
                <w:sz w:val="16"/>
                <w:szCs w:val="16"/>
                <w:lang w:val="en-GB"/>
              </w:rPr>
            </w:pPr>
            <w:r w:rsidRPr="007678DE">
              <w:rPr>
                <w:sz w:val="16"/>
                <w:szCs w:val="16"/>
              </w:rPr>
              <w:t>0.004</w:t>
            </w:r>
          </w:p>
        </w:tc>
        <w:tc>
          <w:tcPr>
            <w:tcW w:w="721" w:type="dxa"/>
            <w:tcBorders>
              <w:top w:val="nil"/>
              <w:left w:val="nil"/>
              <w:bottom w:val="nil"/>
              <w:right w:val="nil"/>
            </w:tcBorders>
            <w:noWrap/>
            <w:vAlign w:val="bottom"/>
            <w:hideMark/>
          </w:tcPr>
          <w:p w14:paraId="2BEEFBF6" w14:textId="2CFA2507" w:rsidR="008D6965" w:rsidRPr="007678DE" w:rsidRDefault="008D6965" w:rsidP="008D6965">
            <w:pPr>
              <w:pStyle w:val="CETBodytext"/>
              <w:jc w:val="center"/>
              <w:rPr>
                <w:sz w:val="16"/>
                <w:szCs w:val="16"/>
                <w:lang w:val="en-GB"/>
              </w:rPr>
            </w:pPr>
            <w:r w:rsidRPr="007678DE">
              <w:rPr>
                <w:sz w:val="16"/>
                <w:szCs w:val="16"/>
              </w:rPr>
              <w:t>0.016</w:t>
            </w:r>
          </w:p>
        </w:tc>
        <w:tc>
          <w:tcPr>
            <w:tcW w:w="896" w:type="dxa"/>
            <w:tcBorders>
              <w:top w:val="nil"/>
              <w:left w:val="nil"/>
              <w:bottom w:val="nil"/>
              <w:right w:val="nil"/>
            </w:tcBorders>
            <w:noWrap/>
            <w:vAlign w:val="bottom"/>
            <w:hideMark/>
          </w:tcPr>
          <w:p w14:paraId="0A44D341" w14:textId="17A5408B" w:rsidR="008D6965" w:rsidRPr="007678DE" w:rsidRDefault="008D6965" w:rsidP="008D6965">
            <w:pPr>
              <w:pStyle w:val="CETBodytext"/>
              <w:jc w:val="center"/>
              <w:rPr>
                <w:sz w:val="16"/>
                <w:szCs w:val="16"/>
                <w:lang w:val="en-GB"/>
              </w:rPr>
            </w:pPr>
            <w:r w:rsidRPr="007678DE">
              <w:rPr>
                <w:sz w:val="16"/>
                <w:szCs w:val="16"/>
              </w:rPr>
              <w:t>0.003</w:t>
            </w:r>
          </w:p>
        </w:tc>
        <w:tc>
          <w:tcPr>
            <w:tcW w:w="541" w:type="dxa"/>
            <w:tcBorders>
              <w:top w:val="nil"/>
              <w:left w:val="nil"/>
              <w:bottom w:val="nil"/>
              <w:right w:val="nil"/>
            </w:tcBorders>
            <w:noWrap/>
            <w:vAlign w:val="bottom"/>
            <w:hideMark/>
          </w:tcPr>
          <w:p w14:paraId="0D6911A6" w14:textId="447A29D3" w:rsidR="008D6965" w:rsidRPr="007678DE" w:rsidRDefault="008D6965" w:rsidP="008D6965">
            <w:pPr>
              <w:pStyle w:val="CETBodytext"/>
              <w:jc w:val="center"/>
              <w:rPr>
                <w:sz w:val="16"/>
                <w:szCs w:val="16"/>
                <w:lang w:val="en-GB"/>
              </w:rPr>
            </w:pPr>
            <w:r w:rsidRPr="007678DE">
              <w:rPr>
                <w:sz w:val="16"/>
                <w:szCs w:val="16"/>
              </w:rPr>
              <w:t>0.004</w:t>
            </w:r>
          </w:p>
        </w:tc>
        <w:tc>
          <w:tcPr>
            <w:tcW w:w="896" w:type="dxa"/>
            <w:tcBorders>
              <w:top w:val="nil"/>
              <w:left w:val="nil"/>
              <w:bottom w:val="nil"/>
              <w:right w:val="nil"/>
            </w:tcBorders>
            <w:noWrap/>
            <w:vAlign w:val="bottom"/>
            <w:hideMark/>
          </w:tcPr>
          <w:p w14:paraId="12D6C727" w14:textId="1D5532D2" w:rsidR="008D6965" w:rsidRPr="007678DE" w:rsidRDefault="008D6965" w:rsidP="008D6965">
            <w:pPr>
              <w:pStyle w:val="CETBodytext"/>
              <w:jc w:val="center"/>
              <w:rPr>
                <w:sz w:val="16"/>
                <w:szCs w:val="16"/>
                <w:lang w:val="en-GB"/>
              </w:rPr>
            </w:pPr>
            <w:r w:rsidRPr="007678DE">
              <w:rPr>
                <w:sz w:val="16"/>
                <w:szCs w:val="16"/>
              </w:rPr>
              <w:t>0.004</w:t>
            </w:r>
          </w:p>
        </w:tc>
        <w:tc>
          <w:tcPr>
            <w:tcW w:w="896" w:type="dxa"/>
            <w:tcBorders>
              <w:top w:val="nil"/>
              <w:left w:val="nil"/>
              <w:bottom w:val="nil"/>
              <w:right w:val="nil"/>
            </w:tcBorders>
            <w:noWrap/>
            <w:vAlign w:val="bottom"/>
            <w:hideMark/>
          </w:tcPr>
          <w:p w14:paraId="54A2DF56" w14:textId="47B04BFB" w:rsidR="008D6965" w:rsidRPr="007678DE" w:rsidRDefault="008D6965" w:rsidP="008D6965">
            <w:pPr>
              <w:pStyle w:val="CETBodytext"/>
              <w:jc w:val="center"/>
              <w:rPr>
                <w:sz w:val="16"/>
                <w:szCs w:val="16"/>
                <w:lang w:val="en-GB"/>
              </w:rPr>
            </w:pPr>
            <w:r w:rsidRPr="007678DE">
              <w:rPr>
                <w:sz w:val="16"/>
                <w:szCs w:val="16"/>
              </w:rPr>
              <w:t>0.013</w:t>
            </w:r>
          </w:p>
        </w:tc>
        <w:tc>
          <w:tcPr>
            <w:tcW w:w="639" w:type="dxa"/>
            <w:tcBorders>
              <w:top w:val="nil"/>
              <w:left w:val="nil"/>
              <w:bottom w:val="nil"/>
              <w:right w:val="nil"/>
            </w:tcBorders>
            <w:noWrap/>
            <w:vAlign w:val="bottom"/>
            <w:hideMark/>
          </w:tcPr>
          <w:p w14:paraId="075EBA9D" w14:textId="62CAD3D6" w:rsidR="008D6965" w:rsidRPr="007678DE" w:rsidRDefault="008D6965" w:rsidP="008D6965">
            <w:pPr>
              <w:pStyle w:val="CETBodytext"/>
              <w:jc w:val="center"/>
              <w:rPr>
                <w:sz w:val="16"/>
                <w:szCs w:val="16"/>
                <w:lang w:val="en-GB"/>
              </w:rPr>
            </w:pPr>
            <w:r w:rsidRPr="007678DE">
              <w:rPr>
                <w:sz w:val="16"/>
                <w:szCs w:val="16"/>
              </w:rPr>
              <w:t>0.002</w:t>
            </w:r>
          </w:p>
        </w:tc>
      </w:tr>
      <w:tr w:rsidR="008D6965" w:rsidRPr="007678DE" w14:paraId="01ADDDB6" w14:textId="77777777" w:rsidTr="00E87E59">
        <w:trPr>
          <w:trHeight w:val="184"/>
        </w:trPr>
        <w:tc>
          <w:tcPr>
            <w:tcW w:w="462" w:type="dxa"/>
            <w:tcBorders>
              <w:top w:val="nil"/>
              <w:left w:val="nil"/>
              <w:right w:val="nil"/>
            </w:tcBorders>
            <w:noWrap/>
            <w:vAlign w:val="bottom"/>
            <w:hideMark/>
          </w:tcPr>
          <w:p w14:paraId="599FAC58" w14:textId="77777777" w:rsidR="008D6965" w:rsidRPr="007678DE" w:rsidRDefault="008D6965" w:rsidP="008D6965">
            <w:pPr>
              <w:pStyle w:val="CETBodytext"/>
              <w:spacing w:line="240" w:lineRule="auto"/>
              <w:rPr>
                <w:sz w:val="16"/>
                <w:szCs w:val="16"/>
                <w:lang w:val="en-GB"/>
              </w:rPr>
            </w:pPr>
            <w:r w:rsidRPr="007678DE">
              <w:rPr>
                <w:sz w:val="16"/>
                <w:szCs w:val="16"/>
                <w:lang w:val="en-GB"/>
              </w:rPr>
              <w:t>Cu</w:t>
            </w:r>
          </w:p>
        </w:tc>
        <w:tc>
          <w:tcPr>
            <w:tcW w:w="814" w:type="dxa"/>
            <w:tcBorders>
              <w:top w:val="nil"/>
              <w:left w:val="nil"/>
              <w:right w:val="nil"/>
            </w:tcBorders>
            <w:noWrap/>
            <w:vAlign w:val="bottom"/>
            <w:hideMark/>
          </w:tcPr>
          <w:p w14:paraId="5DA38535" w14:textId="6598DF0B" w:rsidR="008D6965" w:rsidRPr="007678DE" w:rsidRDefault="008D6965" w:rsidP="008D6965">
            <w:pPr>
              <w:pStyle w:val="CETBodytext"/>
              <w:jc w:val="center"/>
              <w:rPr>
                <w:sz w:val="16"/>
                <w:szCs w:val="16"/>
                <w:lang w:val="en-GB"/>
              </w:rPr>
            </w:pPr>
            <w:r w:rsidRPr="007678DE">
              <w:rPr>
                <w:sz w:val="16"/>
                <w:szCs w:val="16"/>
              </w:rPr>
              <w:t>0.005</w:t>
            </w:r>
          </w:p>
        </w:tc>
        <w:tc>
          <w:tcPr>
            <w:tcW w:w="709" w:type="dxa"/>
            <w:tcBorders>
              <w:top w:val="nil"/>
              <w:left w:val="nil"/>
              <w:right w:val="nil"/>
            </w:tcBorders>
            <w:noWrap/>
            <w:vAlign w:val="bottom"/>
            <w:hideMark/>
          </w:tcPr>
          <w:p w14:paraId="653A28E7" w14:textId="1BC69CF5" w:rsidR="008D6965" w:rsidRPr="007678DE" w:rsidRDefault="008D6965" w:rsidP="008D6965">
            <w:pPr>
              <w:pStyle w:val="CETBodytext"/>
              <w:jc w:val="center"/>
              <w:rPr>
                <w:sz w:val="16"/>
                <w:szCs w:val="16"/>
                <w:lang w:val="en-GB"/>
              </w:rPr>
            </w:pPr>
            <w:r w:rsidRPr="007678DE">
              <w:rPr>
                <w:sz w:val="16"/>
                <w:szCs w:val="16"/>
              </w:rPr>
              <w:t>0.004</w:t>
            </w:r>
          </w:p>
        </w:tc>
        <w:tc>
          <w:tcPr>
            <w:tcW w:w="896" w:type="dxa"/>
            <w:tcBorders>
              <w:top w:val="nil"/>
              <w:left w:val="nil"/>
              <w:right w:val="nil"/>
            </w:tcBorders>
            <w:noWrap/>
            <w:vAlign w:val="bottom"/>
            <w:hideMark/>
          </w:tcPr>
          <w:p w14:paraId="03402048" w14:textId="26109CAD" w:rsidR="008D6965" w:rsidRPr="007678DE" w:rsidRDefault="008D6965" w:rsidP="008D6965">
            <w:pPr>
              <w:pStyle w:val="CETBodytext"/>
              <w:jc w:val="center"/>
              <w:rPr>
                <w:sz w:val="16"/>
                <w:szCs w:val="16"/>
                <w:lang w:val="en-GB"/>
              </w:rPr>
            </w:pPr>
            <w:r w:rsidRPr="007678DE">
              <w:rPr>
                <w:sz w:val="16"/>
                <w:szCs w:val="16"/>
              </w:rPr>
              <w:t>0.006</w:t>
            </w:r>
          </w:p>
        </w:tc>
        <w:tc>
          <w:tcPr>
            <w:tcW w:w="896" w:type="dxa"/>
            <w:tcBorders>
              <w:top w:val="nil"/>
              <w:left w:val="nil"/>
              <w:right w:val="nil"/>
            </w:tcBorders>
            <w:noWrap/>
            <w:vAlign w:val="bottom"/>
            <w:hideMark/>
          </w:tcPr>
          <w:p w14:paraId="4E230F05" w14:textId="417ED6A4" w:rsidR="008D6965" w:rsidRPr="007678DE" w:rsidRDefault="008D6965" w:rsidP="008D6965">
            <w:pPr>
              <w:pStyle w:val="CETBodytext"/>
              <w:jc w:val="center"/>
              <w:rPr>
                <w:sz w:val="16"/>
                <w:szCs w:val="16"/>
                <w:lang w:val="en-GB"/>
              </w:rPr>
            </w:pPr>
            <w:r w:rsidRPr="007678DE">
              <w:rPr>
                <w:sz w:val="16"/>
                <w:szCs w:val="16"/>
              </w:rPr>
              <w:t>0.003</w:t>
            </w:r>
          </w:p>
        </w:tc>
        <w:tc>
          <w:tcPr>
            <w:tcW w:w="721" w:type="dxa"/>
            <w:tcBorders>
              <w:top w:val="nil"/>
              <w:left w:val="nil"/>
              <w:right w:val="nil"/>
            </w:tcBorders>
            <w:noWrap/>
            <w:vAlign w:val="bottom"/>
            <w:hideMark/>
          </w:tcPr>
          <w:p w14:paraId="32041ABF" w14:textId="3D3E7EA9" w:rsidR="008D6965" w:rsidRPr="007678DE" w:rsidRDefault="008D6965" w:rsidP="008D6965">
            <w:pPr>
              <w:pStyle w:val="CETBodytext"/>
              <w:jc w:val="center"/>
              <w:rPr>
                <w:sz w:val="16"/>
                <w:szCs w:val="16"/>
                <w:lang w:val="en-GB"/>
              </w:rPr>
            </w:pPr>
            <w:r w:rsidRPr="007678DE">
              <w:rPr>
                <w:sz w:val="16"/>
                <w:szCs w:val="16"/>
              </w:rPr>
              <w:t>0.005</w:t>
            </w:r>
          </w:p>
        </w:tc>
        <w:tc>
          <w:tcPr>
            <w:tcW w:w="896" w:type="dxa"/>
            <w:tcBorders>
              <w:top w:val="nil"/>
              <w:left w:val="nil"/>
              <w:right w:val="nil"/>
            </w:tcBorders>
            <w:noWrap/>
            <w:vAlign w:val="bottom"/>
            <w:hideMark/>
          </w:tcPr>
          <w:p w14:paraId="6282D964" w14:textId="5CADC27F" w:rsidR="008D6965" w:rsidRPr="007678DE" w:rsidRDefault="008D6965" w:rsidP="008D6965">
            <w:pPr>
              <w:pStyle w:val="CETBodytext"/>
              <w:jc w:val="center"/>
              <w:rPr>
                <w:sz w:val="16"/>
                <w:szCs w:val="16"/>
                <w:lang w:val="en-GB"/>
              </w:rPr>
            </w:pPr>
            <w:r w:rsidRPr="007678DE">
              <w:rPr>
                <w:sz w:val="16"/>
                <w:szCs w:val="16"/>
              </w:rPr>
              <w:t>0.008</w:t>
            </w:r>
          </w:p>
        </w:tc>
        <w:tc>
          <w:tcPr>
            <w:tcW w:w="541" w:type="dxa"/>
            <w:tcBorders>
              <w:top w:val="nil"/>
              <w:left w:val="nil"/>
              <w:right w:val="nil"/>
            </w:tcBorders>
            <w:noWrap/>
            <w:vAlign w:val="bottom"/>
            <w:hideMark/>
          </w:tcPr>
          <w:p w14:paraId="50DAC085" w14:textId="7BB4B8E9" w:rsidR="008D6965" w:rsidRPr="007678DE" w:rsidRDefault="008D6965" w:rsidP="008D6965">
            <w:pPr>
              <w:pStyle w:val="CETBodytext"/>
              <w:jc w:val="center"/>
              <w:rPr>
                <w:sz w:val="16"/>
                <w:szCs w:val="16"/>
                <w:lang w:val="en-GB"/>
              </w:rPr>
            </w:pPr>
            <w:r w:rsidRPr="007678DE">
              <w:rPr>
                <w:sz w:val="16"/>
                <w:szCs w:val="16"/>
              </w:rPr>
              <w:t>0.004</w:t>
            </w:r>
          </w:p>
        </w:tc>
        <w:tc>
          <w:tcPr>
            <w:tcW w:w="896" w:type="dxa"/>
            <w:tcBorders>
              <w:top w:val="nil"/>
              <w:left w:val="nil"/>
              <w:right w:val="nil"/>
            </w:tcBorders>
            <w:noWrap/>
            <w:vAlign w:val="bottom"/>
            <w:hideMark/>
          </w:tcPr>
          <w:p w14:paraId="73189D6F" w14:textId="6E07E566" w:rsidR="008D6965" w:rsidRPr="007678DE" w:rsidRDefault="008D6965" w:rsidP="008D6965">
            <w:pPr>
              <w:pStyle w:val="CETBodytext"/>
              <w:jc w:val="center"/>
              <w:rPr>
                <w:sz w:val="16"/>
                <w:szCs w:val="16"/>
                <w:lang w:val="en-GB"/>
              </w:rPr>
            </w:pPr>
            <w:r w:rsidRPr="007678DE">
              <w:rPr>
                <w:sz w:val="16"/>
                <w:szCs w:val="16"/>
              </w:rPr>
              <w:t>0.006</w:t>
            </w:r>
          </w:p>
        </w:tc>
        <w:tc>
          <w:tcPr>
            <w:tcW w:w="896" w:type="dxa"/>
            <w:tcBorders>
              <w:top w:val="nil"/>
              <w:left w:val="nil"/>
              <w:right w:val="nil"/>
            </w:tcBorders>
            <w:noWrap/>
            <w:vAlign w:val="bottom"/>
            <w:hideMark/>
          </w:tcPr>
          <w:p w14:paraId="125C937A" w14:textId="3A7FA769" w:rsidR="008D6965" w:rsidRPr="007678DE" w:rsidRDefault="008D6965" w:rsidP="008D6965">
            <w:pPr>
              <w:pStyle w:val="CETBodytext"/>
              <w:jc w:val="center"/>
              <w:rPr>
                <w:sz w:val="16"/>
                <w:szCs w:val="16"/>
                <w:lang w:val="en-GB"/>
              </w:rPr>
            </w:pPr>
            <w:r w:rsidRPr="007678DE">
              <w:rPr>
                <w:sz w:val="16"/>
                <w:szCs w:val="16"/>
              </w:rPr>
              <w:t>0.005</w:t>
            </w:r>
          </w:p>
        </w:tc>
        <w:tc>
          <w:tcPr>
            <w:tcW w:w="639" w:type="dxa"/>
            <w:tcBorders>
              <w:top w:val="nil"/>
              <w:left w:val="nil"/>
              <w:right w:val="nil"/>
            </w:tcBorders>
            <w:noWrap/>
            <w:vAlign w:val="bottom"/>
            <w:hideMark/>
          </w:tcPr>
          <w:p w14:paraId="04927562" w14:textId="7862F347" w:rsidR="008D6965" w:rsidRPr="007678DE" w:rsidRDefault="008D6965" w:rsidP="008D6965">
            <w:pPr>
              <w:pStyle w:val="CETBodytext"/>
              <w:jc w:val="center"/>
              <w:rPr>
                <w:sz w:val="16"/>
                <w:szCs w:val="16"/>
                <w:lang w:val="en-GB"/>
              </w:rPr>
            </w:pPr>
            <w:r w:rsidRPr="007678DE">
              <w:rPr>
                <w:sz w:val="16"/>
                <w:szCs w:val="16"/>
              </w:rPr>
              <w:t>0.004</w:t>
            </w:r>
          </w:p>
        </w:tc>
      </w:tr>
      <w:tr w:rsidR="008D6965" w:rsidRPr="007678DE" w14:paraId="0337F79C" w14:textId="77777777" w:rsidTr="00E87E59">
        <w:trPr>
          <w:trHeight w:val="184"/>
        </w:trPr>
        <w:tc>
          <w:tcPr>
            <w:tcW w:w="462" w:type="dxa"/>
            <w:tcBorders>
              <w:top w:val="nil"/>
              <w:left w:val="nil"/>
              <w:bottom w:val="single" w:sz="18" w:space="0" w:color="70AD47" w:themeColor="accent6"/>
              <w:right w:val="nil"/>
            </w:tcBorders>
            <w:noWrap/>
            <w:vAlign w:val="bottom"/>
            <w:hideMark/>
          </w:tcPr>
          <w:p w14:paraId="061F4FEF" w14:textId="77777777" w:rsidR="008D6965" w:rsidRPr="007678DE" w:rsidRDefault="008D6965" w:rsidP="008D6965">
            <w:pPr>
              <w:pStyle w:val="CETBodytext"/>
              <w:spacing w:line="240" w:lineRule="auto"/>
              <w:rPr>
                <w:sz w:val="16"/>
                <w:szCs w:val="16"/>
                <w:lang w:val="en-GB"/>
              </w:rPr>
            </w:pPr>
            <w:r w:rsidRPr="007678DE">
              <w:rPr>
                <w:sz w:val="16"/>
                <w:szCs w:val="16"/>
                <w:lang w:val="en-GB"/>
              </w:rPr>
              <w:t>Zn</w:t>
            </w:r>
          </w:p>
        </w:tc>
        <w:tc>
          <w:tcPr>
            <w:tcW w:w="814" w:type="dxa"/>
            <w:tcBorders>
              <w:top w:val="nil"/>
              <w:left w:val="nil"/>
              <w:bottom w:val="single" w:sz="18" w:space="0" w:color="70AD47" w:themeColor="accent6"/>
              <w:right w:val="nil"/>
            </w:tcBorders>
            <w:noWrap/>
            <w:vAlign w:val="bottom"/>
            <w:hideMark/>
          </w:tcPr>
          <w:p w14:paraId="7A4A3BDF" w14:textId="517E1390" w:rsidR="008D6965" w:rsidRPr="007678DE" w:rsidRDefault="008D6965" w:rsidP="008D6965">
            <w:pPr>
              <w:pStyle w:val="CETBodytext"/>
              <w:jc w:val="center"/>
              <w:rPr>
                <w:sz w:val="16"/>
                <w:szCs w:val="16"/>
                <w:lang w:val="en-GB"/>
              </w:rPr>
            </w:pPr>
            <w:r w:rsidRPr="007678DE">
              <w:rPr>
                <w:sz w:val="16"/>
                <w:szCs w:val="16"/>
              </w:rPr>
              <w:t>0.003</w:t>
            </w:r>
          </w:p>
        </w:tc>
        <w:tc>
          <w:tcPr>
            <w:tcW w:w="709" w:type="dxa"/>
            <w:tcBorders>
              <w:top w:val="nil"/>
              <w:left w:val="nil"/>
              <w:bottom w:val="single" w:sz="18" w:space="0" w:color="70AD47" w:themeColor="accent6"/>
              <w:right w:val="nil"/>
            </w:tcBorders>
            <w:noWrap/>
            <w:vAlign w:val="bottom"/>
            <w:hideMark/>
          </w:tcPr>
          <w:p w14:paraId="0CE7C5C1" w14:textId="516519E6" w:rsidR="008D6965" w:rsidRPr="007678DE" w:rsidRDefault="008D6965" w:rsidP="008D6965">
            <w:pPr>
              <w:pStyle w:val="CETBodytext"/>
              <w:jc w:val="center"/>
              <w:rPr>
                <w:sz w:val="16"/>
                <w:szCs w:val="16"/>
                <w:lang w:val="en-GB"/>
              </w:rPr>
            </w:pPr>
            <w:r w:rsidRPr="007678DE">
              <w:rPr>
                <w:sz w:val="16"/>
                <w:szCs w:val="16"/>
              </w:rPr>
              <w:t>0.005</w:t>
            </w:r>
          </w:p>
        </w:tc>
        <w:tc>
          <w:tcPr>
            <w:tcW w:w="896" w:type="dxa"/>
            <w:tcBorders>
              <w:top w:val="nil"/>
              <w:left w:val="nil"/>
              <w:bottom w:val="single" w:sz="18" w:space="0" w:color="70AD47" w:themeColor="accent6"/>
              <w:right w:val="nil"/>
            </w:tcBorders>
            <w:noWrap/>
            <w:vAlign w:val="bottom"/>
            <w:hideMark/>
          </w:tcPr>
          <w:p w14:paraId="329A2919" w14:textId="33AF47CC" w:rsidR="008D6965" w:rsidRPr="007678DE" w:rsidRDefault="008D6965" w:rsidP="008D6965">
            <w:pPr>
              <w:pStyle w:val="CETBodytext"/>
              <w:jc w:val="center"/>
              <w:rPr>
                <w:sz w:val="16"/>
                <w:szCs w:val="16"/>
                <w:lang w:val="en-GB"/>
              </w:rPr>
            </w:pPr>
            <w:r w:rsidRPr="007678DE">
              <w:rPr>
                <w:sz w:val="16"/>
                <w:szCs w:val="16"/>
              </w:rPr>
              <w:t>0.010</w:t>
            </w:r>
          </w:p>
        </w:tc>
        <w:tc>
          <w:tcPr>
            <w:tcW w:w="896" w:type="dxa"/>
            <w:tcBorders>
              <w:top w:val="nil"/>
              <w:left w:val="nil"/>
              <w:bottom w:val="single" w:sz="18" w:space="0" w:color="70AD47" w:themeColor="accent6"/>
              <w:right w:val="nil"/>
            </w:tcBorders>
            <w:noWrap/>
            <w:vAlign w:val="bottom"/>
            <w:hideMark/>
          </w:tcPr>
          <w:p w14:paraId="5F276F75" w14:textId="5E02FB0E" w:rsidR="008D6965" w:rsidRPr="007678DE" w:rsidRDefault="008D6965" w:rsidP="008D6965">
            <w:pPr>
              <w:pStyle w:val="CETBodytext"/>
              <w:jc w:val="center"/>
              <w:rPr>
                <w:sz w:val="16"/>
                <w:szCs w:val="16"/>
                <w:lang w:val="en-GB"/>
              </w:rPr>
            </w:pPr>
            <w:r w:rsidRPr="007678DE">
              <w:rPr>
                <w:sz w:val="16"/>
                <w:szCs w:val="16"/>
              </w:rPr>
              <w:t>0.007</w:t>
            </w:r>
          </w:p>
        </w:tc>
        <w:tc>
          <w:tcPr>
            <w:tcW w:w="721" w:type="dxa"/>
            <w:tcBorders>
              <w:top w:val="nil"/>
              <w:left w:val="nil"/>
              <w:bottom w:val="single" w:sz="18" w:space="0" w:color="70AD47" w:themeColor="accent6"/>
              <w:right w:val="nil"/>
            </w:tcBorders>
            <w:noWrap/>
            <w:vAlign w:val="bottom"/>
            <w:hideMark/>
          </w:tcPr>
          <w:p w14:paraId="06EBD15F" w14:textId="72FEF26F" w:rsidR="008D6965" w:rsidRPr="007678DE" w:rsidRDefault="008D6965" w:rsidP="008D6965">
            <w:pPr>
              <w:pStyle w:val="CETBodytext"/>
              <w:jc w:val="center"/>
              <w:rPr>
                <w:sz w:val="16"/>
                <w:szCs w:val="16"/>
                <w:lang w:val="en-GB"/>
              </w:rPr>
            </w:pPr>
            <w:r w:rsidRPr="007678DE">
              <w:rPr>
                <w:sz w:val="16"/>
                <w:szCs w:val="16"/>
              </w:rPr>
              <w:t>0.013</w:t>
            </w:r>
          </w:p>
        </w:tc>
        <w:tc>
          <w:tcPr>
            <w:tcW w:w="896" w:type="dxa"/>
            <w:tcBorders>
              <w:top w:val="nil"/>
              <w:left w:val="nil"/>
              <w:bottom w:val="single" w:sz="18" w:space="0" w:color="70AD47" w:themeColor="accent6"/>
              <w:right w:val="nil"/>
            </w:tcBorders>
            <w:noWrap/>
            <w:vAlign w:val="bottom"/>
            <w:hideMark/>
          </w:tcPr>
          <w:p w14:paraId="1FCBD246" w14:textId="6C8A5FFE" w:rsidR="008D6965" w:rsidRPr="007678DE" w:rsidRDefault="008D6965" w:rsidP="008D6965">
            <w:pPr>
              <w:pStyle w:val="CETBodytext"/>
              <w:jc w:val="center"/>
              <w:rPr>
                <w:sz w:val="16"/>
                <w:szCs w:val="16"/>
                <w:lang w:val="en-GB"/>
              </w:rPr>
            </w:pPr>
            <w:r w:rsidRPr="007678DE">
              <w:rPr>
                <w:sz w:val="16"/>
                <w:szCs w:val="16"/>
              </w:rPr>
              <w:t>0.004</w:t>
            </w:r>
          </w:p>
        </w:tc>
        <w:tc>
          <w:tcPr>
            <w:tcW w:w="541" w:type="dxa"/>
            <w:tcBorders>
              <w:top w:val="nil"/>
              <w:left w:val="nil"/>
              <w:bottom w:val="single" w:sz="18" w:space="0" w:color="70AD47" w:themeColor="accent6"/>
              <w:right w:val="nil"/>
            </w:tcBorders>
            <w:noWrap/>
            <w:vAlign w:val="bottom"/>
            <w:hideMark/>
          </w:tcPr>
          <w:p w14:paraId="694E9A13" w14:textId="465274E8" w:rsidR="008D6965" w:rsidRPr="007678DE" w:rsidRDefault="00F66599" w:rsidP="008D6965">
            <w:pPr>
              <w:pStyle w:val="CETBodytext"/>
              <w:jc w:val="center"/>
              <w:rPr>
                <w:sz w:val="16"/>
                <w:szCs w:val="16"/>
                <w:lang w:val="en-GB"/>
              </w:rPr>
            </w:pPr>
            <w:r w:rsidRPr="007678DE">
              <w:rPr>
                <w:sz w:val="16"/>
                <w:szCs w:val="16"/>
                <w:lang w:val="en-GB"/>
              </w:rPr>
              <w:t>0.004</w:t>
            </w:r>
          </w:p>
        </w:tc>
        <w:tc>
          <w:tcPr>
            <w:tcW w:w="896" w:type="dxa"/>
            <w:tcBorders>
              <w:top w:val="nil"/>
              <w:left w:val="nil"/>
              <w:bottom w:val="single" w:sz="18" w:space="0" w:color="70AD47" w:themeColor="accent6"/>
              <w:right w:val="nil"/>
            </w:tcBorders>
            <w:noWrap/>
            <w:vAlign w:val="bottom"/>
            <w:hideMark/>
          </w:tcPr>
          <w:p w14:paraId="0779B228" w14:textId="520D2A11" w:rsidR="008D6965" w:rsidRPr="007678DE" w:rsidRDefault="008D6965" w:rsidP="008D6965">
            <w:pPr>
              <w:pStyle w:val="CETBodytext"/>
              <w:jc w:val="center"/>
              <w:rPr>
                <w:sz w:val="16"/>
                <w:szCs w:val="16"/>
                <w:lang w:val="en-GB"/>
              </w:rPr>
            </w:pPr>
            <w:r w:rsidRPr="007678DE">
              <w:rPr>
                <w:sz w:val="16"/>
                <w:szCs w:val="16"/>
              </w:rPr>
              <w:t>0.006</w:t>
            </w:r>
          </w:p>
        </w:tc>
        <w:tc>
          <w:tcPr>
            <w:tcW w:w="896" w:type="dxa"/>
            <w:tcBorders>
              <w:top w:val="nil"/>
              <w:left w:val="nil"/>
              <w:bottom w:val="single" w:sz="18" w:space="0" w:color="70AD47" w:themeColor="accent6"/>
              <w:right w:val="nil"/>
            </w:tcBorders>
            <w:noWrap/>
            <w:vAlign w:val="bottom"/>
            <w:hideMark/>
          </w:tcPr>
          <w:p w14:paraId="62B4678B" w14:textId="31C5A2C6" w:rsidR="008D6965" w:rsidRPr="007678DE" w:rsidRDefault="008D6965" w:rsidP="008D6965">
            <w:pPr>
              <w:pStyle w:val="CETBodytext"/>
              <w:jc w:val="center"/>
              <w:rPr>
                <w:sz w:val="16"/>
                <w:szCs w:val="16"/>
                <w:lang w:val="en-GB"/>
              </w:rPr>
            </w:pPr>
            <w:r w:rsidRPr="007678DE">
              <w:rPr>
                <w:sz w:val="16"/>
                <w:szCs w:val="16"/>
              </w:rPr>
              <w:t>0.008</w:t>
            </w:r>
          </w:p>
        </w:tc>
        <w:tc>
          <w:tcPr>
            <w:tcW w:w="639" w:type="dxa"/>
            <w:tcBorders>
              <w:top w:val="nil"/>
              <w:left w:val="nil"/>
              <w:bottom w:val="single" w:sz="18" w:space="0" w:color="70AD47" w:themeColor="accent6"/>
              <w:right w:val="nil"/>
            </w:tcBorders>
            <w:noWrap/>
            <w:vAlign w:val="bottom"/>
            <w:hideMark/>
          </w:tcPr>
          <w:p w14:paraId="3DF5367C" w14:textId="240CBB25" w:rsidR="008D6965" w:rsidRPr="007678DE" w:rsidRDefault="008D6965" w:rsidP="008D6965">
            <w:pPr>
              <w:pStyle w:val="CETBodytext"/>
              <w:jc w:val="center"/>
              <w:rPr>
                <w:sz w:val="16"/>
                <w:szCs w:val="16"/>
                <w:lang w:val="en-GB"/>
              </w:rPr>
            </w:pPr>
            <w:r w:rsidRPr="007678DE">
              <w:rPr>
                <w:sz w:val="16"/>
                <w:szCs w:val="16"/>
              </w:rPr>
              <w:t>0.003</w:t>
            </w:r>
          </w:p>
        </w:tc>
      </w:tr>
    </w:tbl>
    <w:p w14:paraId="1935ABB6" w14:textId="29259F83" w:rsidR="00C01E6B" w:rsidRDefault="00426100" w:rsidP="00C64754">
      <w:pPr>
        <w:pStyle w:val="CETBodytext"/>
        <w:spacing w:before="120"/>
      </w:pPr>
      <w:r>
        <w:t xml:space="preserve">Other elements, such as silicon, concentrating in the ash fraction and influence biochar porosity and gas diffusion, while trace metals (Cr, Ni, Mn, Cu, Zn) remain at low concentrations (&lt;0.1%) but may exert minor catalytic effects. The decrement of chlorine with temperature, reflecting volatilization of alkali chlorides under thermal treatment and steam, which may partially moderate potassium activity. </w:t>
      </w:r>
    </w:p>
    <w:p w14:paraId="5A1F9BC7" w14:textId="6B3B794F" w:rsidR="00426100" w:rsidRDefault="00C01E6B" w:rsidP="00C01E6B">
      <w:pPr>
        <w:pStyle w:val="CETBodytext"/>
        <w:spacing w:before="120"/>
        <w:contextualSpacing/>
      </w:pPr>
      <w:r w:rsidRPr="00C64754">
        <w:rPr>
          <w:bCs/>
          <w:i/>
          <w:iCs/>
        </w:rPr>
        <w:t>Table 3</w:t>
      </w:r>
      <w:r>
        <w:rPr>
          <w:b/>
          <w:bCs/>
          <w:i/>
          <w:iCs/>
        </w:rPr>
        <w:t xml:space="preserve"> </w:t>
      </w:r>
      <w:r>
        <w:t xml:space="preserve">summarizes the CHNS composition of the raw, pretreated and </w:t>
      </w:r>
      <w:proofErr w:type="spellStart"/>
      <w:r>
        <w:t>gasificated</w:t>
      </w:r>
      <w:proofErr w:type="spellEnd"/>
      <w:r>
        <w:t xml:space="preserve"> </w:t>
      </w:r>
      <w:proofErr w:type="spellStart"/>
      <w:r>
        <w:t>biochars</w:t>
      </w:r>
      <w:proofErr w:type="spellEnd"/>
      <w:r>
        <w:t xml:space="preserve">. Based on the results, the </w:t>
      </w:r>
      <w:r w:rsidR="001238AA">
        <w:t>hydrogen</w:t>
      </w:r>
      <w:r>
        <w:t xml:space="preserve"> content raw biomass contains </w:t>
      </w:r>
      <w:r w:rsidR="001238AA" w:rsidRPr="001238AA">
        <w:rPr>
          <w:highlight w:val="yellow"/>
        </w:rPr>
        <w:t>6.3</w:t>
      </w:r>
      <w:r w:rsidRPr="001238AA">
        <w:rPr>
          <w:highlight w:val="yellow"/>
        </w:rPr>
        <w:t xml:space="preserve"> % of carbon, which drops dramatically to 1.19 % after 200°C pretreatment and 1.01 % after 300°C pretreatment. This substantial decrease reflects the loss of </w:t>
      </w:r>
      <w:r w:rsidR="001238AA" w:rsidRPr="001238AA">
        <w:rPr>
          <w:highlight w:val="yellow"/>
        </w:rPr>
        <w:t>hydrogen</w:t>
      </w:r>
      <w:r w:rsidRPr="001238AA">
        <w:rPr>
          <w:highlight w:val="yellow"/>
        </w:rPr>
        <w:t xml:space="preserve"> rich volatile compounds</w:t>
      </w:r>
      <w:r w:rsidR="001238AA" w:rsidRPr="001238AA">
        <w:rPr>
          <w:highlight w:val="yellow"/>
        </w:rPr>
        <w:t>,</w:t>
      </w:r>
      <w:r w:rsidR="001238AA" w:rsidRPr="001238AA">
        <w:rPr>
          <w:highlight w:val="yellow"/>
        </w:rPr>
        <w:t xml:space="preserve"> moisture</w:t>
      </w:r>
      <w:r w:rsidR="001238AA" w:rsidRPr="001238AA">
        <w:rPr>
          <w:highlight w:val="yellow"/>
        </w:rPr>
        <w:t xml:space="preserve"> and </w:t>
      </w:r>
      <w:r w:rsidR="001238AA" w:rsidRPr="001238AA">
        <w:rPr>
          <w:highlight w:val="yellow"/>
        </w:rPr>
        <w:t>water content</w:t>
      </w:r>
      <w:r w:rsidR="001238AA" w:rsidRPr="001238AA">
        <w:rPr>
          <w:highlight w:val="yellow"/>
        </w:rPr>
        <w:t xml:space="preserve"> </w:t>
      </w:r>
      <w:r w:rsidRPr="001238AA">
        <w:rPr>
          <w:highlight w:val="yellow"/>
        </w:rPr>
        <w:t xml:space="preserve">during the low temperature pretreatment, leaving behind a solid fraction dominated by </w:t>
      </w:r>
      <w:r w:rsidR="001238AA" w:rsidRPr="001238AA">
        <w:rPr>
          <w:highlight w:val="yellow"/>
        </w:rPr>
        <w:t>carbon</w:t>
      </w:r>
      <w:r w:rsidRPr="001238AA">
        <w:rPr>
          <w:highlight w:val="yellow"/>
        </w:rPr>
        <w:t xml:space="preserve"> and oxygen containing moieties. During subsequent high temperature gasification, </w:t>
      </w:r>
      <w:r w:rsidR="001238AA" w:rsidRPr="001238AA">
        <w:rPr>
          <w:highlight w:val="yellow"/>
        </w:rPr>
        <w:t>hydrogen</w:t>
      </w:r>
      <w:r w:rsidRPr="001238AA">
        <w:rPr>
          <w:highlight w:val="yellow"/>
        </w:rPr>
        <w:t xml:space="preserve"> slightly increases to 1.06-1.44 % for 200°C pretreated biomass and 0.97-1.38 % for 300°C pretreated biomass, indicating partial concentration of </w:t>
      </w:r>
      <w:r w:rsidR="001238AA" w:rsidRPr="001238AA">
        <w:rPr>
          <w:highlight w:val="yellow"/>
        </w:rPr>
        <w:t>hydrogen</w:t>
      </w:r>
      <w:r w:rsidRPr="001238AA">
        <w:rPr>
          <w:highlight w:val="yellow"/>
        </w:rPr>
        <w:t xml:space="preserve"> in the residual </w:t>
      </w:r>
      <w:proofErr w:type="gramStart"/>
      <w:r w:rsidRPr="001238AA">
        <w:rPr>
          <w:highlight w:val="yellow"/>
        </w:rPr>
        <w:t>char</w:t>
      </w:r>
      <w:proofErr w:type="gramEnd"/>
      <w:r w:rsidRPr="001238AA">
        <w:rPr>
          <w:highlight w:val="yellow"/>
        </w:rPr>
        <w:t xml:space="preserve"> despite extensive devolatilization. However, in case of </w:t>
      </w:r>
      <w:r w:rsidR="001238AA" w:rsidRPr="001238AA">
        <w:rPr>
          <w:highlight w:val="yellow"/>
        </w:rPr>
        <w:t>carbon content</w:t>
      </w:r>
      <w:r w:rsidRPr="001238AA">
        <w:rPr>
          <w:highlight w:val="yellow"/>
        </w:rPr>
        <w:t xml:space="preserve"> it becomes the dominant element after pretreatment, increasing from </w:t>
      </w:r>
      <w:r w:rsidR="001238AA" w:rsidRPr="001238AA">
        <w:rPr>
          <w:highlight w:val="yellow"/>
        </w:rPr>
        <w:t>48.5</w:t>
      </w:r>
      <w:r w:rsidRPr="001238AA">
        <w:rPr>
          <w:highlight w:val="yellow"/>
        </w:rPr>
        <w:t>% in raw biomass to 49.19 % (200°C) and 57.08 % (300°C).</w:t>
      </w:r>
    </w:p>
    <w:p w14:paraId="187830FC" w14:textId="5AD9549D" w:rsidR="001B2F6C" w:rsidRDefault="001B2F6C" w:rsidP="008B3A80">
      <w:pPr>
        <w:pStyle w:val="CETTabletitle"/>
        <w:spacing w:before="0"/>
      </w:pPr>
      <w:r w:rsidRPr="00B57B36">
        <w:t xml:space="preserve">Table </w:t>
      </w:r>
      <w:r>
        <w:t>3</w:t>
      </w:r>
      <w:r w:rsidRPr="00B57B36">
        <w:t>:</w:t>
      </w:r>
      <w:r>
        <w:t xml:space="preserve"> </w:t>
      </w:r>
      <w:r w:rsidR="00583229">
        <w:t>t</w:t>
      </w:r>
      <w:r>
        <w:t xml:space="preserve">he CHN of </w:t>
      </w:r>
      <w:proofErr w:type="spellStart"/>
      <w:r>
        <w:t>biochars</w:t>
      </w:r>
      <w:proofErr w:type="spellEnd"/>
    </w:p>
    <w:tbl>
      <w:tblPr>
        <w:tblW w:w="5560" w:type="dxa"/>
        <w:tblCellMar>
          <w:left w:w="70" w:type="dxa"/>
          <w:right w:w="70" w:type="dxa"/>
        </w:tblCellMar>
        <w:tblLook w:val="04A0" w:firstRow="1" w:lastRow="0" w:firstColumn="1" w:lastColumn="0" w:noHBand="0" w:noVBand="1"/>
      </w:tblPr>
      <w:tblGrid>
        <w:gridCol w:w="1060"/>
        <w:gridCol w:w="1080"/>
        <w:gridCol w:w="1060"/>
        <w:gridCol w:w="1060"/>
        <w:gridCol w:w="1300"/>
      </w:tblGrid>
      <w:tr w:rsidR="001B2F6C" w:rsidRPr="007678DE" w14:paraId="21D44E5A" w14:textId="77777777" w:rsidTr="001B2F6C">
        <w:trPr>
          <w:cantSplit/>
          <w:trHeight w:val="227"/>
        </w:trPr>
        <w:tc>
          <w:tcPr>
            <w:tcW w:w="1060" w:type="dxa"/>
            <w:tcBorders>
              <w:top w:val="single" w:sz="12" w:space="0" w:color="70AD47" w:themeColor="accent6"/>
              <w:left w:val="nil"/>
              <w:bottom w:val="single" w:sz="12" w:space="0" w:color="70AD47" w:themeColor="accent6"/>
              <w:right w:val="nil"/>
            </w:tcBorders>
            <w:noWrap/>
            <w:vAlign w:val="bottom"/>
            <w:hideMark/>
          </w:tcPr>
          <w:p w14:paraId="076D16B7" w14:textId="77777777" w:rsidR="001B2F6C" w:rsidRPr="007678DE" w:rsidRDefault="001B2F6C" w:rsidP="001B2F6C">
            <w:pPr>
              <w:pStyle w:val="CETBodytext"/>
              <w:spacing w:line="240" w:lineRule="auto"/>
              <w:jc w:val="center"/>
              <w:rPr>
                <w:rFonts w:cs="Arial"/>
                <w:b/>
                <w:bCs/>
                <w:sz w:val="16"/>
                <w:szCs w:val="16"/>
                <w:lang w:val="en-GB"/>
              </w:rPr>
            </w:pPr>
          </w:p>
        </w:tc>
        <w:tc>
          <w:tcPr>
            <w:tcW w:w="1080" w:type="dxa"/>
            <w:tcBorders>
              <w:top w:val="single" w:sz="12" w:space="0" w:color="70AD47" w:themeColor="accent6"/>
              <w:left w:val="nil"/>
              <w:bottom w:val="single" w:sz="12" w:space="0" w:color="70AD47" w:themeColor="accent6"/>
              <w:right w:val="nil"/>
            </w:tcBorders>
            <w:noWrap/>
            <w:vAlign w:val="bottom"/>
            <w:hideMark/>
          </w:tcPr>
          <w:p w14:paraId="7F0D200D" w14:textId="77777777" w:rsidR="001B2F6C" w:rsidRPr="007678DE" w:rsidRDefault="001B2F6C" w:rsidP="001B2F6C">
            <w:pPr>
              <w:pStyle w:val="CETBodytext"/>
              <w:spacing w:line="240" w:lineRule="auto"/>
              <w:jc w:val="center"/>
              <w:rPr>
                <w:rFonts w:cs="Arial"/>
                <w:b/>
                <w:bCs/>
                <w:sz w:val="16"/>
                <w:szCs w:val="16"/>
                <w:lang w:val="en-GB"/>
              </w:rPr>
            </w:pPr>
          </w:p>
        </w:tc>
        <w:tc>
          <w:tcPr>
            <w:tcW w:w="1060" w:type="dxa"/>
            <w:tcBorders>
              <w:top w:val="single" w:sz="12" w:space="0" w:color="70AD47" w:themeColor="accent6"/>
              <w:left w:val="nil"/>
              <w:bottom w:val="single" w:sz="12" w:space="0" w:color="70AD47" w:themeColor="accent6"/>
              <w:right w:val="nil"/>
            </w:tcBorders>
            <w:noWrap/>
            <w:vAlign w:val="bottom"/>
            <w:hideMark/>
          </w:tcPr>
          <w:p w14:paraId="35938E0E" w14:textId="77777777" w:rsidR="001B2F6C" w:rsidRPr="007678DE" w:rsidRDefault="001B2F6C" w:rsidP="001B2F6C">
            <w:pPr>
              <w:pStyle w:val="CETBodytext"/>
              <w:spacing w:line="240" w:lineRule="auto"/>
              <w:jc w:val="center"/>
              <w:rPr>
                <w:rFonts w:cs="Arial"/>
                <w:b/>
                <w:bCs/>
                <w:sz w:val="16"/>
                <w:szCs w:val="16"/>
                <w:lang w:val="en-GB"/>
              </w:rPr>
            </w:pPr>
            <w:r w:rsidRPr="007678DE">
              <w:rPr>
                <w:rFonts w:cs="Arial"/>
                <w:b/>
                <w:bCs/>
                <w:sz w:val="16"/>
                <w:szCs w:val="16"/>
                <w:lang w:val="en-GB"/>
              </w:rPr>
              <w:t>C</w:t>
            </w:r>
          </w:p>
        </w:tc>
        <w:tc>
          <w:tcPr>
            <w:tcW w:w="1060" w:type="dxa"/>
            <w:tcBorders>
              <w:top w:val="single" w:sz="12" w:space="0" w:color="70AD47" w:themeColor="accent6"/>
              <w:left w:val="nil"/>
              <w:bottom w:val="single" w:sz="12" w:space="0" w:color="70AD47" w:themeColor="accent6"/>
              <w:right w:val="nil"/>
            </w:tcBorders>
            <w:noWrap/>
            <w:vAlign w:val="bottom"/>
            <w:hideMark/>
          </w:tcPr>
          <w:p w14:paraId="78BD8853" w14:textId="77777777" w:rsidR="001B2F6C" w:rsidRPr="007678DE" w:rsidRDefault="001B2F6C" w:rsidP="001B2F6C">
            <w:pPr>
              <w:pStyle w:val="CETBodytext"/>
              <w:spacing w:line="240" w:lineRule="auto"/>
              <w:jc w:val="center"/>
              <w:rPr>
                <w:rFonts w:cs="Arial"/>
                <w:b/>
                <w:bCs/>
                <w:sz w:val="16"/>
                <w:szCs w:val="16"/>
                <w:lang w:val="en-GB"/>
              </w:rPr>
            </w:pPr>
            <w:r w:rsidRPr="007678DE">
              <w:rPr>
                <w:rFonts w:cs="Arial"/>
                <w:b/>
                <w:bCs/>
                <w:sz w:val="16"/>
                <w:szCs w:val="16"/>
                <w:lang w:val="en-GB"/>
              </w:rPr>
              <w:t>H</w:t>
            </w:r>
          </w:p>
        </w:tc>
        <w:tc>
          <w:tcPr>
            <w:tcW w:w="1300" w:type="dxa"/>
            <w:tcBorders>
              <w:top w:val="single" w:sz="12" w:space="0" w:color="70AD47" w:themeColor="accent6"/>
              <w:left w:val="nil"/>
              <w:bottom w:val="single" w:sz="12" w:space="0" w:color="70AD47" w:themeColor="accent6"/>
              <w:right w:val="nil"/>
            </w:tcBorders>
            <w:noWrap/>
            <w:vAlign w:val="bottom"/>
            <w:hideMark/>
          </w:tcPr>
          <w:p w14:paraId="1A23BECF" w14:textId="77777777" w:rsidR="001B2F6C" w:rsidRPr="007678DE" w:rsidRDefault="001B2F6C" w:rsidP="001B2F6C">
            <w:pPr>
              <w:pStyle w:val="CETBodytext"/>
              <w:spacing w:line="240" w:lineRule="auto"/>
              <w:jc w:val="center"/>
              <w:rPr>
                <w:rFonts w:cs="Arial"/>
                <w:b/>
                <w:bCs/>
                <w:sz w:val="16"/>
                <w:szCs w:val="16"/>
                <w:lang w:val="en-GB"/>
              </w:rPr>
            </w:pPr>
            <w:r w:rsidRPr="007678DE">
              <w:rPr>
                <w:rFonts w:cs="Arial"/>
                <w:b/>
                <w:bCs/>
                <w:sz w:val="16"/>
                <w:szCs w:val="16"/>
                <w:lang w:val="en-GB"/>
              </w:rPr>
              <w:t>N</w:t>
            </w:r>
          </w:p>
        </w:tc>
      </w:tr>
      <w:tr w:rsidR="001B2F6C" w:rsidRPr="007678DE" w14:paraId="7A306E96" w14:textId="77777777" w:rsidTr="001B2F6C">
        <w:trPr>
          <w:cantSplit/>
          <w:trHeight w:val="227"/>
        </w:trPr>
        <w:tc>
          <w:tcPr>
            <w:tcW w:w="1060" w:type="dxa"/>
            <w:tcBorders>
              <w:top w:val="single" w:sz="12" w:space="0" w:color="70AD47" w:themeColor="accent6"/>
              <w:left w:val="nil"/>
              <w:bottom w:val="nil"/>
              <w:right w:val="nil"/>
            </w:tcBorders>
            <w:noWrap/>
            <w:vAlign w:val="bottom"/>
            <w:hideMark/>
          </w:tcPr>
          <w:p w14:paraId="68CE8C03" w14:textId="77777777" w:rsidR="001B2F6C" w:rsidRPr="007678DE" w:rsidRDefault="001B2F6C" w:rsidP="001B2F6C">
            <w:pPr>
              <w:spacing w:after="0" w:line="240" w:lineRule="auto"/>
              <w:rPr>
                <w:rFonts w:ascii="Arial" w:eastAsia="Times New Roman" w:hAnsi="Arial" w:cs="Arial"/>
                <w:color w:val="000000"/>
                <w:sz w:val="16"/>
                <w:szCs w:val="16"/>
                <w:lang w:val="hu-HU" w:eastAsia="hu-HU"/>
              </w:rPr>
            </w:pPr>
          </w:p>
        </w:tc>
        <w:tc>
          <w:tcPr>
            <w:tcW w:w="1080" w:type="dxa"/>
            <w:tcBorders>
              <w:top w:val="single" w:sz="12" w:space="0" w:color="70AD47" w:themeColor="accent6"/>
              <w:left w:val="nil"/>
              <w:bottom w:val="nil"/>
              <w:right w:val="nil"/>
            </w:tcBorders>
            <w:noWrap/>
            <w:vAlign w:val="bottom"/>
            <w:hideMark/>
          </w:tcPr>
          <w:p w14:paraId="56DE4D91" w14:textId="77777777" w:rsidR="001B2F6C" w:rsidRPr="007678DE" w:rsidRDefault="001B2F6C" w:rsidP="001B2F6C">
            <w:pPr>
              <w:spacing w:after="0" w:line="240" w:lineRule="auto"/>
              <w:rPr>
                <w:rFonts w:ascii="Arial" w:eastAsia="Times New Roman" w:hAnsi="Arial" w:cs="Arial"/>
                <w:b/>
                <w:color w:val="000000"/>
                <w:sz w:val="16"/>
                <w:szCs w:val="16"/>
                <w:lang w:val="hu-HU" w:eastAsia="hu-HU"/>
              </w:rPr>
            </w:pPr>
            <w:proofErr w:type="spellStart"/>
            <w:r w:rsidRPr="007678DE">
              <w:rPr>
                <w:rFonts w:ascii="Arial" w:eastAsia="Times New Roman" w:hAnsi="Arial" w:cs="Arial"/>
                <w:b/>
                <w:color w:val="000000"/>
                <w:sz w:val="16"/>
                <w:szCs w:val="16"/>
                <w:lang w:val="hu-HU" w:eastAsia="hu-HU"/>
              </w:rPr>
              <w:t>Raw</w:t>
            </w:r>
            <w:proofErr w:type="spellEnd"/>
            <w:r w:rsidRPr="007678DE">
              <w:rPr>
                <w:rFonts w:ascii="Arial" w:eastAsia="Times New Roman" w:hAnsi="Arial" w:cs="Arial"/>
                <w:b/>
                <w:color w:val="000000"/>
                <w:sz w:val="16"/>
                <w:szCs w:val="16"/>
                <w:lang w:val="hu-HU" w:eastAsia="hu-HU"/>
              </w:rPr>
              <w:t xml:space="preserve"> BM</w:t>
            </w:r>
          </w:p>
        </w:tc>
        <w:tc>
          <w:tcPr>
            <w:tcW w:w="1060" w:type="dxa"/>
            <w:tcBorders>
              <w:top w:val="single" w:sz="12" w:space="0" w:color="70AD47" w:themeColor="accent6"/>
              <w:left w:val="nil"/>
              <w:bottom w:val="nil"/>
              <w:right w:val="nil"/>
            </w:tcBorders>
            <w:noWrap/>
            <w:vAlign w:val="center"/>
            <w:hideMark/>
          </w:tcPr>
          <w:p w14:paraId="2952A4E5" w14:textId="5B9D7664" w:rsidR="001B2F6C" w:rsidRPr="007678DE" w:rsidRDefault="001B2F6C" w:rsidP="001B2F6C">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48.5</w:t>
            </w:r>
          </w:p>
        </w:tc>
        <w:tc>
          <w:tcPr>
            <w:tcW w:w="1060" w:type="dxa"/>
            <w:tcBorders>
              <w:top w:val="single" w:sz="12" w:space="0" w:color="70AD47" w:themeColor="accent6"/>
              <w:left w:val="nil"/>
              <w:bottom w:val="nil"/>
              <w:right w:val="nil"/>
            </w:tcBorders>
            <w:noWrap/>
            <w:vAlign w:val="center"/>
            <w:hideMark/>
          </w:tcPr>
          <w:p w14:paraId="628CAA46" w14:textId="4DF30FF5" w:rsidR="001B2F6C" w:rsidRPr="007678DE" w:rsidRDefault="001B2F6C" w:rsidP="001B2F6C">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6.3</w:t>
            </w:r>
          </w:p>
        </w:tc>
        <w:tc>
          <w:tcPr>
            <w:tcW w:w="1300" w:type="dxa"/>
            <w:tcBorders>
              <w:top w:val="single" w:sz="12" w:space="0" w:color="70AD47" w:themeColor="accent6"/>
              <w:left w:val="nil"/>
              <w:bottom w:val="nil"/>
              <w:right w:val="nil"/>
            </w:tcBorders>
            <w:noWrap/>
            <w:vAlign w:val="center"/>
            <w:hideMark/>
          </w:tcPr>
          <w:p w14:paraId="496D2B67" w14:textId="2F895ADB" w:rsidR="001B2F6C" w:rsidRPr="007678DE" w:rsidRDefault="001B2F6C" w:rsidP="001B2F6C">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0.5</w:t>
            </w:r>
          </w:p>
        </w:tc>
      </w:tr>
      <w:tr w:rsidR="001238AA" w:rsidRPr="007678DE" w14:paraId="65F691E2" w14:textId="77777777" w:rsidTr="001B2F6C">
        <w:trPr>
          <w:cantSplit/>
          <w:trHeight w:val="227"/>
        </w:trPr>
        <w:tc>
          <w:tcPr>
            <w:tcW w:w="1060" w:type="dxa"/>
            <w:tcBorders>
              <w:top w:val="nil"/>
              <w:left w:val="nil"/>
              <w:bottom w:val="nil"/>
              <w:right w:val="nil"/>
            </w:tcBorders>
            <w:noWrap/>
            <w:vAlign w:val="bottom"/>
            <w:hideMark/>
          </w:tcPr>
          <w:p w14:paraId="2F0F7318" w14:textId="77777777" w:rsidR="001238AA" w:rsidRPr="007678DE" w:rsidRDefault="001238AA" w:rsidP="001238AA">
            <w:pPr>
              <w:spacing w:after="0" w:line="240" w:lineRule="auto"/>
              <w:jc w:val="right"/>
              <w:rPr>
                <w:rFonts w:ascii="Arial" w:eastAsia="Times New Roman" w:hAnsi="Arial" w:cs="Arial"/>
                <w:color w:val="000000"/>
                <w:sz w:val="16"/>
                <w:szCs w:val="16"/>
                <w:lang w:val="hu-HU" w:eastAsia="hu-HU"/>
              </w:rPr>
            </w:pPr>
          </w:p>
        </w:tc>
        <w:tc>
          <w:tcPr>
            <w:tcW w:w="1080" w:type="dxa"/>
            <w:tcBorders>
              <w:top w:val="nil"/>
              <w:left w:val="nil"/>
              <w:bottom w:val="nil"/>
              <w:right w:val="nil"/>
            </w:tcBorders>
            <w:noWrap/>
            <w:vAlign w:val="bottom"/>
            <w:hideMark/>
          </w:tcPr>
          <w:p w14:paraId="7EBF2A45"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200°C</w:t>
            </w:r>
          </w:p>
        </w:tc>
        <w:tc>
          <w:tcPr>
            <w:tcW w:w="1060" w:type="dxa"/>
            <w:tcBorders>
              <w:top w:val="nil"/>
              <w:left w:val="nil"/>
              <w:bottom w:val="nil"/>
              <w:right w:val="nil"/>
            </w:tcBorders>
            <w:noWrap/>
            <w:vAlign w:val="center"/>
            <w:hideMark/>
          </w:tcPr>
          <w:p w14:paraId="06C58F02" w14:textId="28D6D860"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49.19</w:t>
            </w:r>
          </w:p>
        </w:tc>
        <w:tc>
          <w:tcPr>
            <w:tcW w:w="1060" w:type="dxa"/>
            <w:tcBorders>
              <w:top w:val="nil"/>
              <w:left w:val="nil"/>
              <w:bottom w:val="nil"/>
              <w:right w:val="nil"/>
            </w:tcBorders>
            <w:noWrap/>
            <w:vAlign w:val="center"/>
            <w:hideMark/>
          </w:tcPr>
          <w:p w14:paraId="640BEF9B" w14:textId="667C929C"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1.19</w:t>
            </w:r>
          </w:p>
        </w:tc>
        <w:tc>
          <w:tcPr>
            <w:tcW w:w="1300" w:type="dxa"/>
            <w:tcBorders>
              <w:top w:val="nil"/>
              <w:left w:val="nil"/>
              <w:bottom w:val="nil"/>
              <w:right w:val="nil"/>
            </w:tcBorders>
            <w:noWrap/>
            <w:vAlign w:val="center"/>
            <w:hideMark/>
          </w:tcPr>
          <w:p w14:paraId="38F3E9C5" w14:textId="2E408F58"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5.69</w:t>
            </w:r>
          </w:p>
        </w:tc>
      </w:tr>
      <w:tr w:rsidR="001238AA" w:rsidRPr="007678DE" w14:paraId="4355E4E8" w14:textId="77777777" w:rsidTr="007678DE">
        <w:trPr>
          <w:cantSplit/>
          <w:trHeight w:val="227"/>
        </w:trPr>
        <w:tc>
          <w:tcPr>
            <w:tcW w:w="1060" w:type="dxa"/>
            <w:vMerge w:val="restart"/>
            <w:tcBorders>
              <w:top w:val="nil"/>
              <w:left w:val="nil"/>
              <w:bottom w:val="nil"/>
              <w:right w:val="nil"/>
            </w:tcBorders>
            <w:textDirection w:val="btLr"/>
            <w:vAlign w:val="center"/>
            <w:hideMark/>
          </w:tcPr>
          <w:p w14:paraId="3F476671" w14:textId="77777777" w:rsidR="001238AA" w:rsidRPr="007678DE" w:rsidRDefault="001238AA" w:rsidP="001238AA">
            <w:pPr>
              <w:spacing w:after="0" w:line="240" w:lineRule="auto"/>
              <w:jc w:val="center"/>
              <w:rPr>
                <w:rFonts w:ascii="Arial" w:eastAsia="Times New Roman" w:hAnsi="Arial" w:cs="Arial"/>
                <w:b/>
                <w:color w:val="000000"/>
                <w:sz w:val="16"/>
                <w:szCs w:val="16"/>
                <w:lang w:val="hu-HU" w:eastAsia="hu-HU"/>
              </w:rPr>
            </w:pPr>
            <w:proofErr w:type="spellStart"/>
            <w:r w:rsidRPr="007678DE">
              <w:rPr>
                <w:rFonts w:ascii="Arial" w:eastAsia="Times New Roman" w:hAnsi="Arial" w:cs="Arial"/>
                <w:b/>
                <w:color w:val="000000"/>
                <w:sz w:val="16"/>
                <w:szCs w:val="16"/>
                <w:lang w:val="hu-HU" w:eastAsia="hu-HU"/>
              </w:rPr>
              <w:t>Pretreated</w:t>
            </w:r>
            <w:proofErr w:type="spellEnd"/>
            <w:r w:rsidRPr="007678DE">
              <w:rPr>
                <w:rFonts w:ascii="Arial" w:eastAsia="Times New Roman" w:hAnsi="Arial" w:cs="Arial"/>
                <w:b/>
                <w:color w:val="000000"/>
                <w:sz w:val="16"/>
                <w:szCs w:val="16"/>
                <w:lang w:val="hu-HU" w:eastAsia="hu-HU"/>
              </w:rPr>
              <w:t xml:space="preserve"> </w:t>
            </w:r>
            <w:proofErr w:type="spellStart"/>
            <w:r w:rsidRPr="007678DE">
              <w:rPr>
                <w:rFonts w:ascii="Arial" w:eastAsia="Times New Roman" w:hAnsi="Arial" w:cs="Arial"/>
                <w:b/>
                <w:color w:val="000000"/>
                <w:sz w:val="16"/>
                <w:szCs w:val="16"/>
                <w:lang w:val="hu-HU" w:eastAsia="hu-HU"/>
              </w:rPr>
              <w:t>at</w:t>
            </w:r>
            <w:proofErr w:type="spellEnd"/>
            <w:r w:rsidRPr="007678DE">
              <w:rPr>
                <w:rFonts w:ascii="Arial" w:eastAsia="Times New Roman" w:hAnsi="Arial" w:cs="Arial"/>
                <w:b/>
                <w:color w:val="000000"/>
                <w:sz w:val="16"/>
                <w:szCs w:val="16"/>
                <w:lang w:val="hu-HU" w:eastAsia="hu-HU"/>
              </w:rPr>
              <w:t xml:space="preserve"> 200°C</w:t>
            </w:r>
          </w:p>
        </w:tc>
        <w:tc>
          <w:tcPr>
            <w:tcW w:w="1080" w:type="dxa"/>
            <w:tcBorders>
              <w:top w:val="nil"/>
              <w:left w:val="nil"/>
              <w:bottom w:val="nil"/>
              <w:right w:val="nil"/>
            </w:tcBorders>
            <w:noWrap/>
            <w:vAlign w:val="bottom"/>
            <w:hideMark/>
          </w:tcPr>
          <w:p w14:paraId="3131CF06"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800°C</w:t>
            </w:r>
          </w:p>
        </w:tc>
        <w:tc>
          <w:tcPr>
            <w:tcW w:w="1060" w:type="dxa"/>
            <w:tcBorders>
              <w:top w:val="nil"/>
              <w:left w:val="nil"/>
              <w:bottom w:val="nil"/>
              <w:right w:val="nil"/>
            </w:tcBorders>
            <w:noWrap/>
            <w:vAlign w:val="center"/>
            <w:hideMark/>
          </w:tcPr>
          <w:p w14:paraId="5EDFE814" w14:textId="520345D8"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86.5</w:t>
            </w:r>
          </w:p>
        </w:tc>
        <w:tc>
          <w:tcPr>
            <w:tcW w:w="1060" w:type="dxa"/>
            <w:tcBorders>
              <w:top w:val="nil"/>
              <w:left w:val="nil"/>
              <w:bottom w:val="nil"/>
              <w:right w:val="nil"/>
            </w:tcBorders>
            <w:noWrap/>
            <w:vAlign w:val="center"/>
            <w:hideMark/>
          </w:tcPr>
          <w:p w14:paraId="4ED72B5F" w14:textId="384FA6CD"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1.44</w:t>
            </w:r>
          </w:p>
        </w:tc>
        <w:tc>
          <w:tcPr>
            <w:tcW w:w="1300" w:type="dxa"/>
            <w:tcBorders>
              <w:top w:val="nil"/>
              <w:left w:val="nil"/>
              <w:bottom w:val="nil"/>
              <w:right w:val="nil"/>
            </w:tcBorders>
            <w:noWrap/>
            <w:vAlign w:val="center"/>
            <w:hideMark/>
          </w:tcPr>
          <w:p w14:paraId="2FA7A8C4" w14:textId="39CAE089"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1.22</w:t>
            </w:r>
          </w:p>
        </w:tc>
      </w:tr>
      <w:tr w:rsidR="001238AA" w:rsidRPr="007678DE" w14:paraId="5D67C228" w14:textId="77777777" w:rsidTr="007678DE">
        <w:trPr>
          <w:cantSplit/>
          <w:trHeight w:val="227"/>
        </w:trPr>
        <w:tc>
          <w:tcPr>
            <w:tcW w:w="1060" w:type="dxa"/>
            <w:vMerge/>
            <w:tcBorders>
              <w:top w:val="nil"/>
              <w:left w:val="nil"/>
              <w:bottom w:val="nil"/>
              <w:right w:val="nil"/>
            </w:tcBorders>
            <w:vAlign w:val="center"/>
            <w:hideMark/>
          </w:tcPr>
          <w:p w14:paraId="513B744B" w14:textId="77777777" w:rsidR="001238AA" w:rsidRPr="007678DE" w:rsidRDefault="001238AA" w:rsidP="001238AA">
            <w:pPr>
              <w:spacing w:after="0" w:line="240" w:lineRule="auto"/>
              <w:jc w:val="center"/>
              <w:rPr>
                <w:rFonts w:ascii="Arial" w:eastAsia="Times New Roman" w:hAnsi="Arial" w:cs="Arial"/>
                <w:b/>
                <w:color w:val="000000"/>
                <w:sz w:val="16"/>
                <w:szCs w:val="16"/>
                <w:lang w:val="hu-HU" w:eastAsia="hu-HU"/>
              </w:rPr>
            </w:pPr>
          </w:p>
        </w:tc>
        <w:tc>
          <w:tcPr>
            <w:tcW w:w="1080" w:type="dxa"/>
            <w:tcBorders>
              <w:top w:val="nil"/>
              <w:left w:val="nil"/>
              <w:bottom w:val="nil"/>
              <w:right w:val="nil"/>
            </w:tcBorders>
            <w:noWrap/>
            <w:vAlign w:val="bottom"/>
            <w:hideMark/>
          </w:tcPr>
          <w:p w14:paraId="70E93D2E"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800°C_st</w:t>
            </w:r>
          </w:p>
        </w:tc>
        <w:tc>
          <w:tcPr>
            <w:tcW w:w="1060" w:type="dxa"/>
            <w:tcBorders>
              <w:top w:val="nil"/>
              <w:left w:val="nil"/>
              <w:bottom w:val="nil"/>
              <w:right w:val="nil"/>
            </w:tcBorders>
            <w:noWrap/>
            <w:vAlign w:val="center"/>
            <w:hideMark/>
          </w:tcPr>
          <w:p w14:paraId="3EDD090B" w14:textId="7E014335"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83.67</w:t>
            </w:r>
          </w:p>
        </w:tc>
        <w:tc>
          <w:tcPr>
            <w:tcW w:w="1060" w:type="dxa"/>
            <w:tcBorders>
              <w:top w:val="nil"/>
              <w:left w:val="nil"/>
              <w:bottom w:val="nil"/>
              <w:right w:val="nil"/>
            </w:tcBorders>
            <w:noWrap/>
            <w:vAlign w:val="center"/>
            <w:hideMark/>
          </w:tcPr>
          <w:p w14:paraId="40B0C43C" w14:textId="4FD58D0D"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1.25</w:t>
            </w:r>
          </w:p>
        </w:tc>
        <w:tc>
          <w:tcPr>
            <w:tcW w:w="1300" w:type="dxa"/>
            <w:tcBorders>
              <w:top w:val="nil"/>
              <w:left w:val="nil"/>
              <w:bottom w:val="nil"/>
              <w:right w:val="nil"/>
            </w:tcBorders>
            <w:noWrap/>
            <w:vAlign w:val="center"/>
            <w:hideMark/>
          </w:tcPr>
          <w:p w14:paraId="58651873" w14:textId="5EB6601E"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1.45</w:t>
            </w:r>
          </w:p>
        </w:tc>
      </w:tr>
      <w:tr w:rsidR="001238AA" w:rsidRPr="007678DE" w14:paraId="5FFE5F80" w14:textId="77777777" w:rsidTr="007678DE">
        <w:trPr>
          <w:cantSplit/>
          <w:trHeight w:val="227"/>
        </w:trPr>
        <w:tc>
          <w:tcPr>
            <w:tcW w:w="1060" w:type="dxa"/>
            <w:vMerge/>
            <w:tcBorders>
              <w:top w:val="nil"/>
              <w:left w:val="nil"/>
              <w:bottom w:val="nil"/>
              <w:right w:val="nil"/>
            </w:tcBorders>
            <w:vAlign w:val="center"/>
            <w:hideMark/>
          </w:tcPr>
          <w:p w14:paraId="70906074" w14:textId="77777777" w:rsidR="001238AA" w:rsidRPr="007678DE" w:rsidRDefault="001238AA" w:rsidP="001238AA">
            <w:pPr>
              <w:spacing w:after="0" w:line="240" w:lineRule="auto"/>
              <w:jc w:val="center"/>
              <w:rPr>
                <w:rFonts w:ascii="Arial" w:eastAsia="Times New Roman" w:hAnsi="Arial" w:cs="Arial"/>
                <w:b/>
                <w:color w:val="000000"/>
                <w:sz w:val="16"/>
                <w:szCs w:val="16"/>
                <w:lang w:val="hu-HU" w:eastAsia="hu-HU"/>
              </w:rPr>
            </w:pPr>
          </w:p>
        </w:tc>
        <w:tc>
          <w:tcPr>
            <w:tcW w:w="1080" w:type="dxa"/>
            <w:tcBorders>
              <w:top w:val="nil"/>
              <w:left w:val="nil"/>
              <w:bottom w:val="nil"/>
              <w:right w:val="nil"/>
            </w:tcBorders>
            <w:noWrap/>
            <w:vAlign w:val="bottom"/>
            <w:hideMark/>
          </w:tcPr>
          <w:p w14:paraId="6DD13FDE"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900°C</w:t>
            </w:r>
          </w:p>
        </w:tc>
        <w:tc>
          <w:tcPr>
            <w:tcW w:w="1060" w:type="dxa"/>
            <w:tcBorders>
              <w:top w:val="nil"/>
              <w:left w:val="nil"/>
              <w:bottom w:val="nil"/>
              <w:right w:val="nil"/>
            </w:tcBorders>
            <w:noWrap/>
            <w:vAlign w:val="center"/>
            <w:hideMark/>
          </w:tcPr>
          <w:p w14:paraId="0F8C2010" w14:textId="67C68451"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84</w:t>
            </w:r>
          </w:p>
        </w:tc>
        <w:tc>
          <w:tcPr>
            <w:tcW w:w="1060" w:type="dxa"/>
            <w:tcBorders>
              <w:top w:val="nil"/>
              <w:left w:val="nil"/>
              <w:bottom w:val="nil"/>
              <w:right w:val="nil"/>
            </w:tcBorders>
            <w:noWrap/>
            <w:vAlign w:val="center"/>
            <w:hideMark/>
          </w:tcPr>
          <w:p w14:paraId="0DB6B565" w14:textId="2FF62FCD"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1.17</w:t>
            </w:r>
          </w:p>
        </w:tc>
        <w:tc>
          <w:tcPr>
            <w:tcW w:w="1300" w:type="dxa"/>
            <w:tcBorders>
              <w:top w:val="nil"/>
              <w:left w:val="nil"/>
              <w:bottom w:val="nil"/>
              <w:right w:val="nil"/>
            </w:tcBorders>
            <w:noWrap/>
            <w:vAlign w:val="center"/>
            <w:hideMark/>
          </w:tcPr>
          <w:p w14:paraId="3559A448" w14:textId="703F0C94"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0.82</w:t>
            </w:r>
          </w:p>
        </w:tc>
      </w:tr>
      <w:tr w:rsidR="001238AA" w:rsidRPr="007678DE" w14:paraId="61F873DE" w14:textId="77777777" w:rsidTr="007678DE">
        <w:trPr>
          <w:cantSplit/>
          <w:trHeight w:val="227"/>
        </w:trPr>
        <w:tc>
          <w:tcPr>
            <w:tcW w:w="1060" w:type="dxa"/>
            <w:vMerge/>
            <w:tcBorders>
              <w:top w:val="nil"/>
              <w:left w:val="nil"/>
              <w:bottom w:val="nil"/>
              <w:right w:val="nil"/>
            </w:tcBorders>
            <w:vAlign w:val="center"/>
            <w:hideMark/>
          </w:tcPr>
          <w:p w14:paraId="3CA29AED" w14:textId="77777777" w:rsidR="001238AA" w:rsidRPr="007678DE" w:rsidRDefault="001238AA" w:rsidP="001238AA">
            <w:pPr>
              <w:spacing w:after="0" w:line="240" w:lineRule="auto"/>
              <w:jc w:val="center"/>
              <w:rPr>
                <w:rFonts w:ascii="Arial" w:eastAsia="Times New Roman" w:hAnsi="Arial" w:cs="Arial"/>
                <w:b/>
                <w:color w:val="000000"/>
                <w:sz w:val="16"/>
                <w:szCs w:val="16"/>
                <w:lang w:val="hu-HU" w:eastAsia="hu-HU"/>
              </w:rPr>
            </w:pPr>
          </w:p>
        </w:tc>
        <w:tc>
          <w:tcPr>
            <w:tcW w:w="1080" w:type="dxa"/>
            <w:tcBorders>
              <w:top w:val="nil"/>
              <w:left w:val="nil"/>
              <w:bottom w:val="nil"/>
              <w:right w:val="nil"/>
            </w:tcBorders>
            <w:noWrap/>
            <w:vAlign w:val="bottom"/>
            <w:hideMark/>
          </w:tcPr>
          <w:p w14:paraId="451E3F61"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900°C_st</w:t>
            </w:r>
          </w:p>
        </w:tc>
        <w:tc>
          <w:tcPr>
            <w:tcW w:w="1060" w:type="dxa"/>
            <w:tcBorders>
              <w:top w:val="nil"/>
              <w:left w:val="nil"/>
              <w:bottom w:val="nil"/>
              <w:right w:val="nil"/>
            </w:tcBorders>
            <w:noWrap/>
            <w:vAlign w:val="center"/>
            <w:hideMark/>
          </w:tcPr>
          <w:p w14:paraId="34723871" w14:textId="34267488"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87.26</w:t>
            </w:r>
          </w:p>
        </w:tc>
        <w:tc>
          <w:tcPr>
            <w:tcW w:w="1060" w:type="dxa"/>
            <w:tcBorders>
              <w:top w:val="nil"/>
              <w:left w:val="nil"/>
              <w:bottom w:val="nil"/>
              <w:right w:val="nil"/>
            </w:tcBorders>
            <w:noWrap/>
            <w:vAlign w:val="center"/>
            <w:hideMark/>
          </w:tcPr>
          <w:p w14:paraId="1CEC167A" w14:textId="685DC4D9"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1.06</w:t>
            </w:r>
          </w:p>
        </w:tc>
        <w:tc>
          <w:tcPr>
            <w:tcW w:w="1300" w:type="dxa"/>
            <w:tcBorders>
              <w:top w:val="nil"/>
              <w:left w:val="nil"/>
              <w:bottom w:val="nil"/>
              <w:right w:val="nil"/>
            </w:tcBorders>
            <w:noWrap/>
            <w:vAlign w:val="center"/>
            <w:hideMark/>
          </w:tcPr>
          <w:p w14:paraId="28270E7A" w14:textId="20A24D43"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1.26</w:t>
            </w:r>
          </w:p>
        </w:tc>
      </w:tr>
      <w:tr w:rsidR="001238AA" w:rsidRPr="007678DE" w14:paraId="1594F0DC" w14:textId="77777777" w:rsidTr="007678DE">
        <w:trPr>
          <w:cantSplit/>
          <w:trHeight w:val="227"/>
        </w:trPr>
        <w:tc>
          <w:tcPr>
            <w:tcW w:w="1060" w:type="dxa"/>
            <w:tcBorders>
              <w:top w:val="nil"/>
              <w:left w:val="nil"/>
              <w:right w:val="nil"/>
            </w:tcBorders>
            <w:noWrap/>
            <w:vAlign w:val="center"/>
            <w:hideMark/>
          </w:tcPr>
          <w:p w14:paraId="1381F4A0" w14:textId="77777777" w:rsidR="001238AA" w:rsidRPr="007678DE" w:rsidRDefault="001238AA" w:rsidP="001238AA">
            <w:pPr>
              <w:spacing w:after="0" w:line="240" w:lineRule="auto"/>
              <w:jc w:val="center"/>
              <w:rPr>
                <w:rFonts w:ascii="Arial" w:eastAsia="Times New Roman" w:hAnsi="Arial" w:cs="Arial"/>
                <w:b/>
                <w:color w:val="000000"/>
                <w:sz w:val="16"/>
                <w:szCs w:val="16"/>
                <w:lang w:val="hu-HU" w:eastAsia="hu-HU"/>
              </w:rPr>
            </w:pPr>
          </w:p>
        </w:tc>
        <w:tc>
          <w:tcPr>
            <w:tcW w:w="1080" w:type="dxa"/>
            <w:tcBorders>
              <w:top w:val="nil"/>
              <w:left w:val="nil"/>
              <w:right w:val="nil"/>
            </w:tcBorders>
            <w:noWrap/>
            <w:vAlign w:val="bottom"/>
            <w:hideMark/>
          </w:tcPr>
          <w:p w14:paraId="7B9263F4"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300</w:t>
            </w:r>
          </w:p>
        </w:tc>
        <w:tc>
          <w:tcPr>
            <w:tcW w:w="1060" w:type="dxa"/>
            <w:tcBorders>
              <w:top w:val="nil"/>
              <w:left w:val="nil"/>
              <w:right w:val="nil"/>
            </w:tcBorders>
            <w:noWrap/>
            <w:vAlign w:val="center"/>
            <w:hideMark/>
          </w:tcPr>
          <w:p w14:paraId="3A1192EF" w14:textId="47639E30"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57.08</w:t>
            </w:r>
          </w:p>
        </w:tc>
        <w:tc>
          <w:tcPr>
            <w:tcW w:w="1060" w:type="dxa"/>
            <w:tcBorders>
              <w:top w:val="nil"/>
              <w:left w:val="nil"/>
              <w:right w:val="nil"/>
            </w:tcBorders>
            <w:noWrap/>
            <w:vAlign w:val="center"/>
            <w:hideMark/>
          </w:tcPr>
          <w:p w14:paraId="4F3EA813" w14:textId="229D0BF9"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1.01</w:t>
            </w:r>
          </w:p>
        </w:tc>
        <w:tc>
          <w:tcPr>
            <w:tcW w:w="1300" w:type="dxa"/>
            <w:tcBorders>
              <w:top w:val="nil"/>
              <w:left w:val="nil"/>
              <w:right w:val="nil"/>
            </w:tcBorders>
            <w:noWrap/>
            <w:vAlign w:val="center"/>
            <w:hideMark/>
          </w:tcPr>
          <w:p w14:paraId="31C2C528" w14:textId="52B856A3"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5.28</w:t>
            </w:r>
          </w:p>
        </w:tc>
      </w:tr>
      <w:tr w:rsidR="001238AA" w:rsidRPr="007678DE" w14:paraId="74166508" w14:textId="77777777" w:rsidTr="007678DE">
        <w:trPr>
          <w:cantSplit/>
          <w:trHeight w:val="227"/>
        </w:trPr>
        <w:tc>
          <w:tcPr>
            <w:tcW w:w="1060" w:type="dxa"/>
            <w:vMerge w:val="restart"/>
            <w:tcBorders>
              <w:top w:val="nil"/>
              <w:left w:val="nil"/>
              <w:bottom w:val="nil"/>
              <w:right w:val="nil"/>
            </w:tcBorders>
            <w:textDirection w:val="btLr"/>
            <w:vAlign w:val="center"/>
            <w:hideMark/>
          </w:tcPr>
          <w:p w14:paraId="0DE8DD80" w14:textId="77777777" w:rsidR="001238AA" w:rsidRPr="007678DE" w:rsidRDefault="001238AA" w:rsidP="001238AA">
            <w:pPr>
              <w:spacing w:after="0" w:line="240" w:lineRule="auto"/>
              <w:jc w:val="center"/>
              <w:rPr>
                <w:rFonts w:ascii="Arial" w:eastAsia="Times New Roman" w:hAnsi="Arial" w:cs="Arial"/>
                <w:b/>
                <w:color w:val="000000"/>
                <w:sz w:val="16"/>
                <w:szCs w:val="16"/>
                <w:lang w:val="hu-HU" w:eastAsia="hu-HU"/>
              </w:rPr>
            </w:pPr>
            <w:proofErr w:type="spellStart"/>
            <w:r w:rsidRPr="007678DE">
              <w:rPr>
                <w:rFonts w:ascii="Arial" w:eastAsia="Times New Roman" w:hAnsi="Arial" w:cs="Arial"/>
                <w:b/>
                <w:color w:val="000000"/>
                <w:sz w:val="16"/>
                <w:szCs w:val="16"/>
                <w:lang w:val="hu-HU" w:eastAsia="hu-HU"/>
              </w:rPr>
              <w:t>Pretreated</w:t>
            </w:r>
            <w:proofErr w:type="spellEnd"/>
            <w:r w:rsidRPr="007678DE">
              <w:rPr>
                <w:rFonts w:ascii="Arial" w:eastAsia="Times New Roman" w:hAnsi="Arial" w:cs="Arial"/>
                <w:b/>
                <w:color w:val="000000"/>
                <w:sz w:val="16"/>
                <w:szCs w:val="16"/>
                <w:lang w:val="hu-HU" w:eastAsia="hu-HU"/>
              </w:rPr>
              <w:t xml:space="preserve"> </w:t>
            </w:r>
            <w:proofErr w:type="spellStart"/>
            <w:r w:rsidRPr="007678DE">
              <w:rPr>
                <w:rFonts w:ascii="Arial" w:eastAsia="Times New Roman" w:hAnsi="Arial" w:cs="Arial"/>
                <w:b/>
                <w:color w:val="000000"/>
                <w:sz w:val="16"/>
                <w:szCs w:val="16"/>
                <w:lang w:val="hu-HU" w:eastAsia="hu-HU"/>
              </w:rPr>
              <w:t>at</w:t>
            </w:r>
            <w:proofErr w:type="spellEnd"/>
            <w:r w:rsidRPr="007678DE">
              <w:rPr>
                <w:rFonts w:ascii="Arial" w:eastAsia="Times New Roman" w:hAnsi="Arial" w:cs="Arial"/>
                <w:b/>
                <w:color w:val="000000"/>
                <w:sz w:val="16"/>
                <w:szCs w:val="16"/>
                <w:lang w:val="hu-HU" w:eastAsia="hu-HU"/>
              </w:rPr>
              <w:t xml:space="preserve"> 300°C</w:t>
            </w:r>
          </w:p>
        </w:tc>
        <w:tc>
          <w:tcPr>
            <w:tcW w:w="1080" w:type="dxa"/>
            <w:tcBorders>
              <w:top w:val="nil"/>
              <w:left w:val="nil"/>
              <w:bottom w:val="nil"/>
              <w:right w:val="nil"/>
            </w:tcBorders>
            <w:noWrap/>
            <w:vAlign w:val="bottom"/>
            <w:hideMark/>
          </w:tcPr>
          <w:p w14:paraId="3986261B"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800°C</w:t>
            </w:r>
          </w:p>
        </w:tc>
        <w:tc>
          <w:tcPr>
            <w:tcW w:w="1060" w:type="dxa"/>
            <w:tcBorders>
              <w:top w:val="nil"/>
              <w:left w:val="nil"/>
              <w:bottom w:val="nil"/>
              <w:right w:val="nil"/>
            </w:tcBorders>
            <w:noWrap/>
            <w:vAlign w:val="center"/>
            <w:hideMark/>
          </w:tcPr>
          <w:p w14:paraId="6A70B2E5" w14:textId="65182B63"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84.8</w:t>
            </w:r>
          </w:p>
        </w:tc>
        <w:tc>
          <w:tcPr>
            <w:tcW w:w="1060" w:type="dxa"/>
            <w:tcBorders>
              <w:top w:val="nil"/>
              <w:left w:val="nil"/>
              <w:bottom w:val="nil"/>
              <w:right w:val="nil"/>
            </w:tcBorders>
            <w:noWrap/>
            <w:vAlign w:val="center"/>
            <w:hideMark/>
          </w:tcPr>
          <w:p w14:paraId="008BFA46" w14:textId="3C1D9DCA"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1.14</w:t>
            </w:r>
          </w:p>
        </w:tc>
        <w:tc>
          <w:tcPr>
            <w:tcW w:w="1300" w:type="dxa"/>
            <w:tcBorders>
              <w:top w:val="nil"/>
              <w:left w:val="nil"/>
              <w:bottom w:val="nil"/>
              <w:right w:val="nil"/>
            </w:tcBorders>
            <w:noWrap/>
            <w:vAlign w:val="center"/>
            <w:hideMark/>
          </w:tcPr>
          <w:p w14:paraId="150D054E" w14:textId="4143C99C"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1.31</w:t>
            </w:r>
          </w:p>
        </w:tc>
      </w:tr>
      <w:tr w:rsidR="001238AA" w:rsidRPr="007678DE" w14:paraId="06BD6053" w14:textId="77777777" w:rsidTr="001B2F6C">
        <w:trPr>
          <w:cantSplit/>
          <w:trHeight w:val="227"/>
        </w:trPr>
        <w:tc>
          <w:tcPr>
            <w:tcW w:w="1060" w:type="dxa"/>
            <w:vMerge/>
            <w:tcBorders>
              <w:top w:val="nil"/>
              <w:left w:val="nil"/>
              <w:bottom w:val="nil"/>
              <w:right w:val="nil"/>
            </w:tcBorders>
            <w:vAlign w:val="center"/>
            <w:hideMark/>
          </w:tcPr>
          <w:p w14:paraId="1A2ECCC5" w14:textId="77777777" w:rsidR="001238AA" w:rsidRPr="007678DE" w:rsidRDefault="001238AA" w:rsidP="001238AA">
            <w:pPr>
              <w:spacing w:after="0" w:line="240" w:lineRule="auto"/>
              <w:rPr>
                <w:rFonts w:ascii="Arial" w:eastAsia="Times New Roman" w:hAnsi="Arial" w:cs="Arial"/>
                <w:color w:val="000000"/>
                <w:sz w:val="16"/>
                <w:szCs w:val="16"/>
                <w:lang w:val="hu-HU" w:eastAsia="hu-HU"/>
              </w:rPr>
            </w:pPr>
          </w:p>
        </w:tc>
        <w:tc>
          <w:tcPr>
            <w:tcW w:w="1080" w:type="dxa"/>
            <w:tcBorders>
              <w:top w:val="nil"/>
              <w:left w:val="nil"/>
              <w:bottom w:val="nil"/>
              <w:right w:val="nil"/>
            </w:tcBorders>
            <w:noWrap/>
            <w:vAlign w:val="bottom"/>
            <w:hideMark/>
          </w:tcPr>
          <w:p w14:paraId="1072702B"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800°C_st</w:t>
            </w:r>
          </w:p>
        </w:tc>
        <w:tc>
          <w:tcPr>
            <w:tcW w:w="1060" w:type="dxa"/>
            <w:tcBorders>
              <w:top w:val="nil"/>
              <w:left w:val="nil"/>
              <w:bottom w:val="nil"/>
              <w:right w:val="nil"/>
            </w:tcBorders>
            <w:noWrap/>
            <w:vAlign w:val="center"/>
            <w:hideMark/>
          </w:tcPr>
          <w:p w14:paraId="1145E9DB" w14:textId="5F3A4BFF"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85.07</w:t>
            </w:r>
          </w:p>
        </w:tc>
        <w:tc>
          <w:tcPr>
            <w:tcW w:w="1060" w:type="dxa"/>
            <w:tcBorders>
              <w:top w:val="nil"/>
              <w:left w:val="nil"/>
              <w:bottom w:val="nil"/>
              <w:right w:val="nil"/>
            </w:tcBorders>
            <w:noWrap/>
            <w:vAlign w:val="center"/>
            <w:hideMark/>
          </w:tcPr>
          <w:p w14:paraId="42292DEE" w14:textId="13DEE03E"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0.97</w:t>
            </w:r>
          </w:p>
        </w:tc>
        <w:tc>
          <w:tcPr>
            <w:tcW w:w="1300" w:type="dxa"/>
            <w:tcBorders>
              <w:top w:val="nil"/>
              <w:left w:val="nil"/>
              <w:bottom w:val="nil"/>
              <w:right w:val="nil"/>
            </w:tcBorders>
            <w:noWrap/>
            <w:vAlign w:val="center"/>
            <w:hideMark/>
          </w:tcPr>
          <w:p w14:paraId="40D3E637" w14:textId="0DCA7A9C"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1.31</w:t>
            </w:r>
          </w:p>
        </w:tc>
      </w:tr>
      <w:tr w:rsidR="001238AA" w:rsidRPr="007678DE" w14:paraId="6D3227FF" w14:textId="77777777" w:rsidTr="001B2F6C">
        <w:trPr>
          <w:cantSplit/>
          <w:trHeight w:val="227"/>
        </w:trPr>
        <w:tc>
          <w:tcPr>
            <w:tcW w:w="1060" w:type="dxa"/>
            <w:vMerge/>
            <w:tcBorders>
              <w:top w:val="nil"/>
              <w:left w:val="nil"/>
              <w:bottom w:val="nil"/>
              <w:right w:val="nil"/>
            </w:tcBorders>
            <w:vAlign w:val="center"/>
            <w:hideMark/>
          </w:tcPr>
          <w:p w14:paraId="2A24FE3C" w14:textId="77777777" w:rsidR="001238AA" w:rsidRPr="007678DE" w:rsidRDefault="001238AA" w:rsidP="001238AA">
            <w:pPr>
              <w:spacing w:after="0" w:line="240" w:lineRule="auto"/>
              <w:rPr>
                <w:rFonts w:ascii="Arial" w:eastAsia="Times New Roman" w:hAnsi="Arial" w:cs="Arial"/>
                <w:color w:val="000000"/>
                <w:sz w:val="16"/>
                <w:szCs w:val="16"/>
                <w:lang w:val="hu-HU" w:eastAsia="hu-HU"/>
              </w:rPr>
            </w:pPr>
          </w:p>
        </w:tc>
        <w:tc>
          <w:tcPr>
            <w:tcW w:w="1080" w:type="dxa"/>
            <w:tcBorders>
              <w:top w:val="nil"/>
              <w:left w:val="nil"/>
              <w:bottom w:val="nil"/>
              <w:right w:val="nil"/>
            </w:tcBorders>
            <w:noWrap/>
            <w:vAlign w:val="bottom"/>
            <w:hideMark/>
          </w:tcPr>
          <w:p w14:paraId="683A1278"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900°C</w:t>
            </w:r>
          </w:p>
        </w:tc>
        <w:tc>
          <w:tcPr>
            <w:tcW w:w="1060" w:type="dxa"/>
            <w:tcBorders>
              <w:top w:val="nil"/>
              <w:left w:val="nil"/>
              <w:bottom w:val="nil"/>
              <w:right w:val="nil"/>
            </w:tcBorders>
            <w:noWrap/>
            <w:vAlign w:val="center"/>
            <w:hideMark/>
          </w:tcPr>
          <w:p w14:paraId="16E37B29" w14:textId="5401CF0F"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87.48</w:t>
            </w:r>
          </w:p>
        </w:tc>
        <w:tc>
          <w:tcPr>
            <w:tcW w:w="1060" w:type="dxa"/>
            <w:tcBorders>
              <w:top w:val="nil"/>
              <w:left w:val="nil"/>
              <w:bottom w:val="nil"/>
              <w:right w:val="nil"/>
            </w:tcBorders>
            <w:noWrap/>
            <w:vAlign w:val="center"/>
            <w:hideMark/>
          </w:tcPr>
          <w:p w14:paraId="2FF88726" w14:textId="7E469333"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1.38</w:t>
            </w:r>
          </w:p>
        </w:tc>
        <w:tc>
          <w:tcPr>
            <w:tcW w:w="1300" w:type="dxa"/>
            <w:tcBorders>
              <w:top w:val="nil"/>
              <w:left w:val="nil"/>
              <w:bottom w:val="nil"/>
              <w:right w:val="nil"/>
            </w:tcBorders>
            <w:noWrap/>
            <w:vAlign w:val="center"/>
            <w:hideMark/>
          </w:tcPr>
          <w:p w14:paraId="6C657992" w14:textId="56ABE5A8"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0.83</w:t>
            </w:r>
          </w:p>
        </w:tc>
      </w:tr>
      <w:tr w:rsidR="001238AA" w:rsidRPr="007678DE" w14:paraId="736472D8" w14:textId="77777777" w:rsidTr="001B2F6C">
        <w:trPr>
          <w:cantSplit/>
          <w:trHeight w:val="227"/>
        </w:trPr>
        <w:tc>
          <w:tcPr>
            <w:tcW w:w="1060" w:type="dxa"/>
            <w:vMerge/>
            <w:tcBorders>
              <w:top w:val="nil"/>
              <w:left w:val="nil"/>
              <w:bottom w:val="single" w:sz="12" w:space="0" w:color="70AD47" w:themeColor="accent6"/>
              <w:right w:val="nil"/>
            </w:tcBorders>
            <w:vAlign w:val="center"/>
            <w:hideMark/>
          </w:tcPr>
          <w:p w14:paraId="383545E4" w14:textId="77777777" w:rsidR="001238AA" w:rsidRPr="007678DE" w:rsidRDefault="001238AA" w:rsidP="001238AA">
            <w:pPr>
              <w:spacing w:after="0" w:line="240" w:lineRule="auto"/>
              <w:rPr>
                <w:rFonts w:ascii="Arial" w:eastAsia="Times New Roman" w:hAnsi="Arial" w:cs="Arial"/>
                <w:color w:val="000000"/>
                <w:sz w:val="16"/>
                <w:szCs w:val="16"/>
                <w:lang w:val="hu-HU" w:eastAsia="hu-HU"/>
              </w:rPr>
            </w:pPr>
          </w:p>
        </w:tc>
        <w:tc>
          <w:tcPr>
            <w:tcW w:w="1080" w:type="dxa"/>
            <w:tcBorders>
              <w:top w:val="nil"/>
              <w:left w:val="nil"/>
              <w:bottom w:val="single" w:sz="12" w:space="0" w:color="70AD47" w:themeColor="accent6"/>
              <w:right w:val="nil"/>
            </w:tcBorders>
            <w:noWrap/>
            <w:vAlign w:val="bottom"/>
            <w:hideMark/>
          </w:tcPr>
          <w:p w14:paraId="6EC7172A" w14:textId="77777777" w:rsidR="001238AA" w:rsidRPr="007678DE" w:rsidRDefault="001238AA" w:rsidP="001238AA">
            <w:pPr>
              <w:spacing w:after="0" w:line="240" w:lineRule="auto"/>
              <w:rPr>
                <w:rFonts w:ascii="Arial" w:eastAsia="Times New Roman" w:hAnsi="Arial" w:cs="Arial"/>
                <w:b/>
                <w:color w:val="000000"/>
                <w:sz w:val="16"/>
                <w:szCs w:val="16"/>
                <w:lang w:val="hu-HU" w:eastAsia="hu-HU"/>
              </w:rPr>
            </w:pPr>
            <w:r w:rsidRPr="007678DE">
              <w:rPr>
                <w:rFonts w:ascii="Arial" w:eastAsia="Times New Roman" w:hAnsi="Arial" w:cs="Arial"/>
                <w:b/>
                <w:color w:val="000000"/>
                <w:sz w:val="16"/>
                <w:szCs w:val="16"/>
                <w:lang w:val="hu-HU" w:eastAsia="hu-HU"/>
              </w:rPr>
              <w:t>900°C_st</w:t>
            </w:r>
          </w:p>
        </w:tc>
        <w:tc>
          <w:tcPr>
            <w:tcW w:w="1060" w:type="dxa"/>
            <w:tcBorders>
              <w:top w:val="nil"/>
              <w:left w:val="nil"/>
              <w:bottom w:val="single" w:sz="12" w:space="0" w:color="70AD47" w:themeColor="accent6"/>
              <w:right w:val="nil"/>
            </w:tcBorders>
            <w:noWrap/>
            <w:vAlign w:val="center"/>
            <w:hideMark/>
          </w:tcPr>
          <w:p w14:paraId="66D09034" w14:textId="6D9915BC"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88.53</w:t>
            </w:r>
          </w:p>
        </w:tc>
        <w:tc>
          <w:tcPr>
            <w:tcW w:w="1060" w:type="dxa"/>
            <w:tcBorders>
              <w:top w:val="nil"/>
              <w:left w:val="nil"/>
              <w:bottom w:val="single" w:sz="12" w:space="0" w:color="70AD47" w:themeColor="accent6"/>
              <w:right w:val="nil"/>
            </w:tcBorders>
            <w:noWrap/>
            <w:vAlign w:val="center"/>
            <w:hideMark/>
          </w:tcPr>
          <w:p w14:paraId="6A391519" w14:textId="6D306ADA"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1.37</w:t>
            </w:r>
          </w:p>
        </w:tc>
        <w:tc>
          <w:tcPr>
            <w:tcW w:w="1300" w:type="dxa"/>
            <w:tcBorders>
              <w:top w:val="nil"/>
              <w:left w:val="nil"/>
              <w:bottom w:val="single" w:sz="12" w:space="0" w:color="70AD47" w:themeColor="accent6"/>
              <w:right w:val="nil"/>
            </w:tcBorders>
            <w:noWrap/>
            <w:vAlign w:val="center"/>
            <w:hideMark/>
          </w:tcPr>
          <w:p w14:paraId="2AEB43BD" w14:textId="0A07D295" w:rsidR="001238AA" w:rsidRPr="007678DE" w:rsidRDefault="001238AA" w:rsidP="001238AA">
            <w:pPr>
              <w:spacing w:after="0" w:line="240" w:lineRule="auto"/>
              <w:jc w:val="center"/>
              <w:rPr>
                <w:rFonts w:ascii="Arial" w:eastAsia="Times New Roman" w:hAnsi="Arial" w:cs="Arial"/>
                <w:color w:val="000000"/>
                <w:sz w:val="16"/>
                <w:szCs w:val="16"/>
                <w:lang w:val="hu-HU" w:eastAsia="hu-HU"/>
              </w:rPr>
            </w:pPr>
            <w:r w:rsidRPr="007678DE">
              <w:rPr>
                <w:rFonts w:ascii="Arial" w:eastAsia="Times New Roman" w:hAnsi="Arial" w:cs="Arial"/>
                <w:color w:val="000000"/>
                <w:sz w:val="16"/>
                <w:szCs w:val="16"/>
                <w:lang w:val="hu-HU" w:eastAsia="hu-HU"/>
              </w:rPr>
              <w:t>0.94</w:t>
            </w:r>
          </w:p>
        </w:tc>
      </w:tr>
    </w:tbl>
    <w:p w14:paraId="43F593CB" w14:textId="5ABC0B0A" w:rsidR="009B1363" w:rsidRPr="001238AA" w:rsidRDefault="009B1363" w:rsidP="009B1363">
      <w:pPr>
        <w:pStyle w:val="CETBodytext"/>
        <w:spacing w:before="120"/>
        <w:rPr>
          <w:highlight w:val="yellow"/>
        </w:rPr>
      </w:pPr>
      <w:r w:rsidRPr="001238AA">
        <w:rPr>
          <w:highlight w:val="yellow"/>
        </w:rPr>
        <w:t xml:space="preserve">This suggests that the remaining solid fraction is highly </w:t>
      </w:r>
      <w:r w:rsidR="001238AA" w:rsidRPr="001238AA">
        <w:rPr>
          <w:highlight w:val="yellow"/>
        </w:rPr>
        <w:t>carbon</w:t>
      </w:r>
      <w:r w:rsidRPr="001238AA">
        <w:rPr>
          <w:highlight w:val="yellow"/>
        </w:rPr>
        <w:t xml:space="preserve"> rich, consistent with retention of </w:t>
      </w:r>
      <w:proofErr w:type="gramStart"/>
      <w:r w:rsidRPr="001238AA">
        <w:rPr>
          <w:highlight w:val="yellow"/>
        </w:rPr>
        <w:t>alcohols</w:t>
      </w:r>
      <w:proofErr w:type="gramEnd"/>
      <w:r w:rsidRPr="001238AA">
        <w:rPr>
          <w:highlight w:val="yellow"/>
        </w:rPr>
        <w:t xml:space="preserve">, water, and other hydrogen containing oxygenates. After high temperature treatment, </w:t>
      </w:r>
      <w:r w:rsidR="001238AA" w:rsidRPr="001238AA">
        <w:rPr>
          <w:highlight w:val="yellow"/>
        </w:rPr>
        <w:t>carbon</w:t>
      </w:r>
      <w:r w:rsidRPr="001238AA">
        <w:rPr>
          <w:highlight w:val="yellow"/>
        </w:rPr>
        <w:t xml:space="preserve"> remains high relative to </w:t>
      </w:r>
      <w:r w:rsidR="001238AA" w:rsidRPr="001238AA">
        <w:rPr>
          <w:highlight w:val="yellow"/>
        </w:rPr>
        <w:t>hydrogen</w:t>
      </w:r>
      <w:r w:rsidRPr="001238AA">
        <w:rPr>
          <w:highlight w:val="yellow"/>
        </w:rPr>
        <w:t xml:space="preserve">, ranging from 83.67-87.26 % for 200°C pretreated </w:t>
      </w:r>
      <w:proofErr w:type="spellStart"/>
      <w:r w:rsidRPr="001238AA">
        <w:rPr>
          <w:highlight w:val="yellow"/>
        </w:rPr>
        <w:t>biochars</w:t>
      </w:r>
      <w:proofErr w:type="spellEnd"/>
      <w:r w:rsidRPr="001238AA">
        <w:rPr>
          <w:highlight w:val="yellow"/>
        </w:rPr>
        <w:t xml:space="preserve"> and 84.8-88.53 % for 300°C pretreated </w:t>
      </w:r>
      <w:proofErr w:type="spellStart"/>
      <w:r w:rsidRPr="001238AA">
        <w:rPr>
          <w:highlight w:val="yellow"/>
        </w:rPr>
        <w:t>biochars</w:t>
      </w:r>
      <w:proofErr w:type="spellEnd"/>
      <w:r w:rsidRPr="001238AA">
        <w:rPr>
          <w:highlight w:val="yellow"/>
        </w:rPr>
        <w:t xml:space="preserve">. Afterwards, nitrogen follows a slightly similar pattern </w:t>
      </w:r>
      <w:proofErr w:type="gramStart"/>
      <w:r w:rsidRPr="001238AA">
        <w:rPr>
          <w:highlight w:val="yellow"/>
        </w:rPr>
        <w:t>as</w:t>
      </w:r>
      <w:proofErr w:type="gramEnd"/>
      <w:r w:rsidRPr="001238AA">
        <w:rPr>
          <w:highlight w:val="yellow"/>
        </w:rPr>
        <w:t xml:space="preserve"> hydrogen. While raw biomass contains 0.5 % N, which rises to 5.69 % (200°C) and 5.28 % (300°C) after pretreatment. During high temperature gasification, nitrogen decreases to 0.82-1.45 % (200°C route) and 0.83–1.31 % (300°C route), consistent with the volatilization of nitrogen containing compounds, while the residual nitrogen is likely incorporated into stable heterocyclic structures in the biochar.</w:t>
      </w:r>
    </w:p>
    <w:p w14:paraId="01375CF3" w14:textId="01A08403" w:rsidR="009B1363" w:rsidRDefault="009B1363" w:rsidP="009B1363">
      <w:pPr>
        <w:pStyle w:val="CETBodytext"/>
      </w:pPr>
      <w:r w:rsidRPr="001238AA">
        <w:rPr>
          <w:highlight w:val="yellow"/>
        </w:rPr>
        <w:t xml:space="preserve">Based on the data the thermal pretreatment at 200-300°C removes the bulk of the </w:t>
      </w:r>
      <w:r w:rsidR="001238AA" w:rsidRPr="001238AA">
        <w:rPr>
          <w:highlight w:val="yellow"/>
        </w:rPr>
        <w:t>hydrogen</w:t>
      </w:r>
      <w:r w:rsidRPr="001238AA">
        <w:rPr>
          <w:highlight w:val="yellow"/>
        </w:rPr>
        <w:t xml:space="preserve"> from the solid fraction, leaving </w:t>
      </w:r>
      <w:r w:rsidR="001238AA" w:rsidRPr="001238AA">
        <w:rPr>
          <w:highlight w:val="yellow"/>
        </w:rPr>
        <w:t>carbon as a</w:t>
      </w:r>
      <w:r w:rsidRPr="001238AA">
        <w:rPr>
          <w:highlight w:val="yellow"/>
        </w:rPr>
        <w:t xml:space="preserve"> dominated intermediate. Subsequent gasification concentrates carbon slightly and releases volatile hydrogen and nitrogen species into the gas phase. The 300°C pretreated biomass retains slightly more </w:t>
      </w:r>
      <w:r w:rsidR="001238AA" w:rsidRPr="001238AA">
        <w:rPr>
          <w:highlight w:val="yellow"/>
        </w:rPr>
        <w:t>carbon</w:t>
      </w:r>
      <w:r w:rsidRPr="001238AA">
        <w:rPr>
          <w:highlight w:val="yellow"/>
        </w:rPr>
        <w:t xml:space="preserve"> and less </w:t>
      </w:r>
      <w:r w:rsidR="001238AA" w:rsidRPr="001238AA">
        <w:rPr>
          <w:highlight w:val="yellow"/>
        </w:rPr>
        <w:t>hydrogen</w:t>
      </w:r>
      <w:r w:rsidRPr="001238AA">
        <w:rPr>
          <w:highlight w:val="yellow"/>
        </w:rPr>
        <w:t xml:space="preserve"> than the 200°C route, indicating more extensive deoxygenation and condensation reactions during pretreatment. The residual solid is thus highly reactive, rich in </w:t>
      </w:r>
      <w:r w:rsidR="001238AA" w:rsidRPr="001238AA">
        <w:rPr>
          <w:highlight w:val="yellow"/>
        </w:rPr>
        <w:t>carbon</w:t>
      </w:r>
      <w:r w:rsidRPr="001238AA">
        <w:rPr>
          <w:highlight w:val="yellow"/>
        </w:rPr>
        <w:t>-containing compounds, and well-suited for subsequent steam gasification.</w:t>
      </w:r>
    </w:p>
    <w:p w14:paraId="681A7180" w14:textId="6338B7AA" w:rsidR="00E621DF" w:rsidRDefault="003C03EB" w:rsidP="00E621DF">
      <w:pPr>
        <w:keepNext/>
        <w:numPr>
          <w:ilvl w:val="1"/>
          <w:numId w:val="1"/>
        </w:numPr>
        <w:tabs>
          <w:tab w:val="right" w:pos="7100"/>
        </w:tabs>
        <w:suppressAutoHyphens/>
        <w:spacing w:before="240" w:after="120" w:line="240" w:lineRule="auto"/>
        <w:jc w:val="both"/>
        <w:rPr>
          <w:rFonts w:ascii="Arial" w:eastAsia="Times New Roman" w:hAnsi="Arial" w:cs="Times New Roman"/>
          <w:b/>
          <w:sz w:val="20"/>
          <w:szCs w:val="20"/>
        </w:rPr>
      </w:pPr>
      <w:r w:rsidRPr="003C03EB">
        <w:rPr>
          <w:rFonts w:ascii="Arial" w:eastAsia="Times New Roman" w:hAnsi="Arial" w:cs="Times New Roman"/>
          <w:b/>
          <w:sz w:val="20"/>
          <w:szCs w:val="20"/>
        </w:rPr>
        <w:lastRenderedPageBreak/>
        <w:t>Conclusion</w:t>
      </w:r>
    </w:p>
    <w:p w14:paraId="78F60A63" w14:textId="59C2EA92" w:rsidR="00E621DF" w:rsidRPr="00E621DF" w:rsidRDefault="00E621DF" w:rsidP="00E621DF">
      <w:pPr>
        <w:pStyle w:val="CETBodytext"/>
      </w:pPr>
      <w:r w:rsidRPr="00E621DF">
        <w:rPr>
          <w:lang w:val="en-GB"/>
        </w:rPr>
        <w:t xml:space="preserve">Thermal pretreatment of biomass at 200°C and 300°C causes significant chemical and structural transformations. </w:t>
      </w:r>
      <w:r w:rsidR="001238AA" w:rsidRPr="001238AA">
        <w:rPr>
          <w:highlight w:val="yellow"/>
          <w:lang w:val="en-GB"/>
        </w:rPr>
        <w:t>Py-</w:t>
      </w:r>
      <w:r w:rsidRPr="00E621DF">
        <w:rPr>
          <w:lang w:val="en-GB"/>
        </w:rPr>
        <w:t>GCMS analysis shows a marked reduction in carboxylic acids and alcohols, alongside a tenfold increase in aromatics</w:t>
      </w:r>
      <w:r w:rsidR="00583229">
        <w:rPr>
          <w:lang w:val="en-GB"/>
        </w:rPr>
        <w:t>,</w:t>
      </w:r>
      <w:r w:rsidRPr="00E621DF">
        <w:rPr>
          <w:lang w:val="en-GB"/>
        </w:rPr>
        <w:t xml:space="preserve"> indicating</w:t>
      </w:r>
      <w:r w:rsidR="009B1363">
        <w:rPr>
          <w:lang w:val="en-GB"/>
        </w:rPr>
        <w:t xml:space="preserve"> deoxygenation and condensation.</w:t>
      </w:r>
      <w:r w:rsidR="00583229">
        <w:rPr>
          <w:lang w:val="en-GB"/>
        </w:rPr>
        <w:t xml:space="preserve"> However,</w:t>
      </w:r>
      <w:r w:rsidRPr="00E621DF">
        <w:rPr>
          <w:lang w:val="en-GB"/>
        </w:rPr>
        <w:t xml:space="preserve"> CHN data reveal that the solid fraction after pretreatment is highly </w:t>
      </w:r>
      <w:r w:rsidR="001238AA" w:rsidRPr="001238AA">
        <w:rPr>
          <w:highlight w:val="yellow"/>
          <w:lang w:val="en-GB"/>
        </w:rPr>
        <w:t>carbon</w:t>
      </w:r>
      <w:r w:rsidR="009B1363" w:rsidRPr="001238AA">
        <w:rPr>
          <w:highlight w:val="yellow"/>
          <w:lang w:val="en-GB"/>
        </w:rPr>
        <w:t xml:space="preserve"> </w:t>
      </w:r>
      <w:r w:rsidRPr="001238AA">
        <w:rPr>
          <w:highlight w:val="yellow"/>
          <w:lang w:val="en-GB"/>
        </w:rPr>
        <w:t xml:space="preserve">rich with very low </w:t>
      </w:r>
      <w:r w:rsidR="001238AA" w:rsidRPr="001238AA">
        <w:rPr>
          <w:highlight w:val="yellow"/>
          <w:lang w:val="en-GB"/>
        </w:rPr>
        <w:t>hydrogen</w:t>
      </w:r>
      <w:r w:rsidRPr="00E621DF">
        <w:rPr>
          <w:lang w:val="en-GB"/>
        </w:rPr>
        <w:t xml:space="preserve">, while nitrogen partially concentrates in stable structures. Elemental analysis shows enrichment </w:t>
      </w:r>
      <w:r w:rsidR="009B1363">
        <w:rPr>
          <w:lang w:val="en-GB"/>
        </w:rPr>
        <w:t xml:space="preserve">of catalytic minerals such as K, Ca, and Fe </w:t>
      </w:r>
      <w:r w:rsidRPr="00E621DF">
        <w:rPr>
          <w:lang w:val="en-GB"/>
        </w:rPr>
        <w:t xml:space="preserve">which </w:t>
      </w:r>
      <w:r w:rsidR="00583229">
        <w:rPr>
          <w:lang w:val="en-GB"/>
        </w:rPr>
        <w:t xml:space="preserve">can </w:t>
      </w:r>
      <w:r w:rsidRPr="00E621DF">
        <w:rPr>
          <w:lang w:val="en-GB"/>
        </w:rPr>
        <w:t>enhance char reactivity. During high</w:t>
      </w:r>
      <w:r w:rsidR="00583229">
        <w:rPr>
          <w:lang w:val="en-GB"/>
        </w:rPr>
        <w:t xml:space="preserve"> </w:t>
      </w:r>
      <w:r w:rsidRPr="00E621DF">
        <w:rPr>
          <w:lang w:val="en-GB"/>
        </w:rPr>
        <w:t>temperature gasification these features promote steam</w:t>
      </w:r>
      <w:r w:rsidR="00583229">
        <w:rPr>
          <w:lang w:val="en-GB"/>
        </w:rPr>
        <w:t>-</w:t>
      </w:r>
      <w:r w:rsidRPr="00E621DF">
        <w:rPr>
          <w:lang w:val="en-GB"/>
        </w:rPr>
        <w:t>carbon reactions, yielding high H</w:t>
      </w:r>
      <w:r w:rsidR="00583229" w:rsidRPr="00583229">
        <w:rPr>
          <w:vertAlign w:val="subscript"/>
          <w:lang w:val="en-GB"/>
        </w:rPr>
        <w:t>2</w:t>
      </w:r>
      <w:r w:rsidRPr="00E621DF">
        <w:rPr>
          <w:lang w:val="en-GB"/>
        </w:rPr>
        <w:t xml:space="preserve"> and CO while transiently stabilizing C</w:t>
      </w:r>
      <w:r w:rsidR="00583229" w:rsidRPr="00583229">
        <w:rPr>
          <w:rFonts w:cs="Arial"/>
          <w:vertAlign w:val="subscript"/>
          <w:lang w:val="en-GB"/>
        </w:rPr>
        <w:t>2-5</w:t>
      </w:r>
      <w:r w:rsidRPr="00E621DF">
        <w:rPr>
          <w:lang w:val="en-GB"/>
        </w:rPr>
        <w:t xml:space="preserve"> hydrocarbons. The 300</w:t>
      </w:r>
      <w:r w:rsidRPr="00E621DF">
        <w:rPr>
          <w:rFonts w:cs="Arial"/>
          <w:lang w:val="en-GB"/>
        </w:rPr>
        <w:t>°</w:t>
      </w:r>
      <w:r w:rsidRPr="00E621DF">
        <w:rPr>
          <w:lang w:val="en-GB"/>
        </w:rPr>
        <w:t>C pretreated biomass produces a more carbon-rich, aromatic, and catalytically active char, resulting in superior syngas production and controlled hydrocarbon formation. Overall, pretreatment temperature and mineral content synergistically govern biochar composition and gasification efficiency.</w:t>
      </w:r>
      <w:r w:rsidR="008B3A80">
        <w:rPr>
          <w:lang w:val="en-GB"/>
        </w:rPr>
        <w:t xml:space="preserve"> </w:t>
      </w:r>
      <w:r w:rsidR="008B3A80" w:rsidRPr="008B3A80">
        <w:rPr>
          <w:highlight w:val="yellow"/>
          <w:lang w:val="en-GB"/>
        </w:rPr>
        <w:t>Regarding the</w:t>
      </w:r>
      <w:r w:rsidR="008B3A80" w:rsidRPr="008B3A80">
        <w:rPr>
          <w:highlight w:val="yellow"/>
          <w:lang w:val="en-GB"/>
        </w:rPr>
        <w:t xml:space="preserve"> perspective</w:t>
      </w:r>
      <w:r w:rsidR="008B3A80" w:rsidRPr="008B3A80">
        <w:rPr>
          <w:highlight w:val="yellow"/>
          <w:lang w:val="en-GB"/>
        </w:rPr>
        <w:t xml:space="preserve"> of emission</w:t>
      </w:r>
      <w:r w:rsidR="008B3A80" w:rsidRPr="008B3A80">
        <w:rPr>
          <w:highlight w:val="yellow"/>
          <w:lang w:val="en-GB"/>
        </w:rPr>
        <w:t>, the increased carbon retention in stable aromatic char structures may contribute to reduced net CO</w:t>
      </w:r>
      <w:r w:rsidR="008B3A80" w:rsidRPr="008B3A80">
        <w:rPr>
          <w:rFonts w:ascii="Cambria Math" w:hAnsi="Cambria Math" w:cs="Cambria Math"/>
          <w:highlight w:val="yellow"/>
          <w:lang w:val="en-GB"/>
        </w:rPr>
        <w:t>₂</w:t>
      </w:r>
      <w:r w:rsidR="008B3A80" w:rsidRPr="008B3A80">
        <w:rPr>
          <w:highlight w:val="yellow"/>
          <w:lang w:val="en-GB"/>
        </w:rPr>
        <w:t xml:space="preserve"> emissions if the char is sequestered or utilized in long-term applications, thereby influencing the overall </w:t>
      </w:r>
      <w:r w:rsidR="008B3A80" w:rsidRPr="008B3A80">
        <w:rPr>
          <w:highlight w:val="yellow"/>
          <w:lang w:val="en-GB"/>
        </w:rPr>
        <w:t>g</w:t>
      </w:r>
      <w:r w:rsidR="008B3A80" w:rsidRPr="008B3A80">
        <w:rPr>
          <w:highlight w:val="yellow"/>
          <w:lang w:val="en-GB"/>
        </w:rPr>
        <w:t xml:space="preserve">reenhouse effect. </w:t>
      </w:r>
      <w:r w:rsidR="008B3A80" w:rsidRPr="008B3A80">
        <w:rPr>
          <w:highlight w:val="yellow"/>
          <w:lang w:val="en-GB"/>
        </w:rPr>
        <w:t>In larger scale</w:t>
      </w:r>
      <w:r w:rsidR="008B3A80" w:rsidRPr="008B3A80">
        <w:rPr>
          <w:highlight w:val="yellow"/>
          <w:lang w:val="en-GB"/>
        </w:rPr>
        <w:t xml:space="preserve">, optimizing pretreatment and gasification pathways offers a route to lower lifecycle emissions and improved carbon management, while for </w:t>
      </w:r>
      <w:r w:rsidR="008B3A80" w:rsidRPr="008B3A80">
        <w:rPr>
          <w:highlight w:val="yellow"/>
          <w:lang w:val="en-GB"/>
        </w:rPr>
        <w:t>smaller scale</w:t>
      </w:r>
      <w:r w:rsidR="008B3A80" w:rsidRPr="008B3A80">
        <w:rPr>
          <w:highlight w:val="yellow"/>
          <w:lang w:val="en-GB"/>
        </w:rPr>
        <w:t>, it highlights the importance of understanding carbon stability and conversion pathways in developing climate-mitigating thermochemical technologies</w:t>
      </w:r>
      <w:r w:rsidR="008B3A80">
        <w:rPr>
          <w:lang w:val="en-GB"/>
        </w:rPr>
        <w:t>.</w:t>
      </w:r>
    </w:p>
    <w:p w14:paraId="3F380812" w14:textId="77777777" w:rsidR="003C03EB" w:rsidRPr="003C03EB" w:rsidRDefault="003C03EB" w:rsidP="003C03EB">
      <w:pPr>
        <w:keepNext/>
        <w:suppressAutoHyphens/>
        <w:spacing w:before="120" w:after="120" w:line="240" w:lineRule="auto"/>
        <w:rPr>
          <w:rFonts w:ascii="Arial" w:eastAsia="Times New Roman" w:hAnsi="Arial" w:cs="Times New Roman"/>
          <w:b/>
          <w:sz w:val="18"/>
          <w:szCs w:val="20"/>
        </w:rPr>
        <w:sectPr w:rsidR="003C03EB" w:rsidRPr="003C03EB" w:rsidSect="003C03EB">
          <w:pgSz w:w="11906" w:h="16838" w:code="9"/>
          <w:pgMar w:top="1701" w:right="1418" w:bottom="1701" w:left="1701" w:header="1701" w:footer="0" w:gutter="0"/>
          <w:cols w:space="708"/>
          <w:formProt w:val="0"/>
          <w:titlePg/>
          <w:docGrid w:linePitch="360"/>
        </w:sectPr>
      </w:pPr>
      <w:r w:rsidRPr="003C03EB">
        <w:rPr>
          <w:rFonts w:ascii="Arial" w:eastAsia="Times New Roman" w:hAnsi="Arial" w:cs="Times New Roman"/>
          <w:b/>
          <w:sz w:val="18"/>
          <w:szCs w:val="20"/>
          <w:lang w:val="en-US"/>
        </w:rPr>
        <w:t>Nomenclature</w:t>
      </w:r>
    </w:p>
    <w:p w14:paraId="639A63D1" w14:textId="32D6E32F" w:rsidR="00811786" w:rsidRPr="001238AA" w:rsidRDefault="001238AA" w:rsidP="009B1363">
      <w:pPr>
        <w:spacing w:after="0" w:line="240" w:lineRule="auto"/>
        <w:rPr>
          <w:rFonts w:ascii="Arial" w:eastAsia="Times New Roman" w:hAnsi="Arial" w:cs="Arial"/>
          <w:sz w:val="18"/>
          <w:szCs w:val="18"/>
          <w:highlight w:val="yellow"/>
        </w:rPr>
      </w:pPr>
      <w:r w:rsidRPr="001238AA">
        <w:rPr>
          <w:rFonts w:ascii="Arial" w:eastAsia="Times New Roman" w:hAnsi="Arial" w:cs="Arial"/>
          <w:sz w:val="18"/>
          <w:szCs w:val="18"/>
          <w:highlight w:val="yellow"/>
        </w:rPr>
        <w:t>BM</w:t>
      </w:r>
      <w:r w:rsidR="00811786" w:rsidRPr="001238AA">
        <w:rPr>
          <w:rFonts w:ascii="Arial" w:eastAsia="Times New Roman" w:hAnsi="Arial" w:cs="Arial"/>
          <w:sz w:val="18"/>
          <w:szCs w:val="18"/>
          <w:highlight w:val="yellow"/>
        </w:rPr>
        <w:t xml:space="preserve"> </w:t>
      </w:r>
    </w:p>
    <w:p w14:paraId="5A63B4A0" w14:textId="77777777" w:rsidR="001238AA" w:rsidRPr="009B1363" w:rsidRDefault="001238AA" w:rsidP="001238AA">
      <w:pPr>
        <w:spacing w:after="0" w:line="240" w:lineRule="auto"/>
        <w:rPr>
          <w:rFonts w:ascii="Arial" w:eastAsia="Times New Roman" w:hAnsi="Arial" w:cs="Arial"/>
          <w:sz w:val="18"/>
          <w:szCs w:val="18"/>
        </w:rPr>
      </w:pPr>
      <w:r w:rsidRPr="001238AA">
        <w:rPr>
          <w:rFonts w:ascii="Arial" w:eastAsia="Times New Roman" w:hAnsi="Arial" w:cs="Arial"/>
          <w:sz w:val="18"/>
          <w:szCs w:val="18"/>
          <w:highlight w:val="yellow"/>
        </w:rPr>
        <w:t>AAEM</w:t>
      </w:r>
      <w:r w:rsidRPr="009B1363">
        <w:rPr>
          <w:rFonts w:ascii="Arial" w:eastAsia="Times New Roman" w:hAnsi="Arial" w:cs="Arial"/>
          <w:sz w:val="18"/>
          <w:szCs w:val="18"/>
        </w:rPr>
        <w:t xml:space="preserve"> </w:t>
      </w:r>
    </w:p>
    <w:p w14:paraId="189B2033" w14:textId="0D0718C5" w:rsidR="006A4186" w:rsidRDefault="006A4186" w:rsidP="00BB3908">
      <w:pPr>
        <w:tabs>
          <w:tab w:val="right" w:pos="7100"/>
        </w:tabs>
        <w:spacing w:after="0" w:line="240" w:lineRule="auto"/>
        <w:rPr>
          <w:rFonts w:ascii="Arial" w:eastAsia="SimSun" w:hAnsi="Arial" w:cs="Times New Roman"/>
          <w:sz w:val="18"/>
          <w:szCs w:val="20"/>
          <w:lang w:val="en-US"/>
        </w:rPr>
      </w:pPr>
      <w:r>
        <w:rPr>
          <w:rFonts w:ascii="Arial" w:eastAsia="SimSun" w:hAnsi="Arial" w:cs="Times New Roman"/>
          <w:sz w:val="18"/>
          <w:szCs w:val="20"/>
          <w:lang w:val="en-US"/>
        </w:rPr>
        <w:t>biomass</w:t>
      </w:r>
    </w:p>
    <w:p w14:paraId="00AFCB98" w14:textId="73222DC7" w:rsidR="009B1363" w:rsidRPr="003C03EB" w:rsidRDefault="009B1363" w:rsidP="00BB3908">
      <w:pPr>
        <w:tabs>
          <w:tab w:val="right" w:pos="7100"/>
        </w:tabs>
        <w:spacing w:after="0" w:line="240" w:lineRule="auto"/>
        <w:rPr>
          <w:rFonts w:ascii="Arial" w:eastAsia="SimSun" w:hAnsi="Arial" w:cs="Times New Roman"/>
          <w:sz w:val="18"/>
          <w:szCs w:val="20"/>
          <w:lang w:val="en-US"/>
        </w:rPr>
        <w:sectPr w:rsidR="009B1363" w:rsidRPr="003C03EB" w:rsidSect="00246DB9">
          <w:type w:val="continuous"/>
          <w:pgSz w:w="11906" w:h="16838" w:code="9"/>
          <w:pgMar w:top="1701" w:right="1418" w:bottom="1701" w:left="1701" w:header="1701" w:footer="0" w:gutter="0"/>
          <w:cols w:num="2" w:space="708"/>
          <w:formProt w:val="0"/>
          <w:titlePg/>
          <w:docGrid w:linePitch="360"/>
        </w:sectPr>
      </w:pPr>
      <w:r w:rsidRPr="003C03EB">
        <w:rPr>
          <w:rFonts w:ascii="Arial" w:eastAsia="Times New Roman" w:hAnsi="Arial" w:cs="Times New Roman"/>
          <w:sz w:val="18"/>
          <w:szCs w:val="20"/>
        </w:rPr>
        <w:t>al</w:t>
      </w:r>
      <w:r w:rsidRPr="00811786">
        <w:rPr>
          <w:rFonts w:ascii="Arial" w:eastAsia="Times New Roman" w:hAnsi="Arial" w:cs="Times New Roman"/>
          <w:sz w:val="18"/>
          <w:szCs w:val="20"/>
        </w:rPr>
        <w:t>kali and alkaline earth metals</w:t>
      </w:r>
    </w:p>
    <w:p w14:paraId="122F0CB0" w14:textId="77777777" w:rsidR="003C03EB" w:rsidRPr="007678DE" w:rsidRDefault="003C03EB" w:rsidP="003C03EB">
      <w:pPr>
        <w:spacing w:before="200" w:after="120" w:line="276" w:lineRule="auto"/>
        <w:rPr>
          <w:rFonts w:ascii="Arial" w:eastAsia="Times New Roman" w:hAnsi="Arial" w:cs="Times New Roman"/>
          <w:b/>
          <w:sz w:val="18"/>
          <w:szCs w:val="20"/>
        </w:rPr>
      </w:pPr>
      <w:r w:rsidRPr="007678DE">
        <w:rPr>
          <w:rFonts w:ascii="Arial" w:eastAsia="Times New Roman" w:hAnsi="Arial" w:cs="Times New Roman"/>
          <w:b/>
          <w:sz w:val="18"/>
          <w:szCs w:val="20"/>
        </w:rPr>
        <w:t>Acknowledgments</w:t>
      </w:r>
    </w:p>
    <w:p w14:paraId="32066C58" w14:textId="24DED6B6" w:rsidR="003C03EB" w:rsidRPr="003C03EB" w:rsidRDefault="006A4186" w:rsidP="006A4186">
      <w:pPr>
        <w:pStyle w:val="CETBodytext"/>
      </w:pPr>
      <w:r w:rsidRPr="007678DE">
        <w:t xml:space="preserve">Project no. </w:t>
      </w:r>
      <w:r w:rsidRPr="007678DE">
        <w:rPr>
          <w:lang w:val="en-GB"/>
        </w:rPr>
        <w:t xml:space="preserve">2025-2.1.1-EKÖP-2025-00029 </w:t>
      </w:r>
      <w:r w:rsidRPr="007678DE">
        <w:t>has been implemented with the support provided by the Ministry of Culture and Innovation of Hungary from the National Research</w:t>
      </w:r>
      <w:r w:rsidR="001B2F6C" w:rsidRPr="007678DE">
        <w:t>.</w:t>
      </w:r>
      <w:r w:rsidRPr="007678DE">
        <w:t xml:space="preserve"> Development and Innovation Fund</w:t>
      </w:r>
      <w:r w:rsidR="001B2F6C" w:rsidRPr="007678DE">
        <w:t>.</w:t>
      </w:r>
      <w:r w:rsidR="007678DE" w:rsidRPr="007678DE">
        <w:t xml:space="preserve"> financed under the </w:t>
      </w:r>
      <w:r w:rsidR="007678DE" w:rsidRPr="007678DE">
        <w:rPr>
          <w:i/>
          <w:iCs/>
        </w:rPr>
        <w:t>EKÖP-2025-</w:t>
      </w:r>
      <w:r w:rsidR="007678DE" w:rsidRPr="007678DE">
        <w:t xml:space="preserve"> </w:t>
      </w:r>
      <w:r w:rsidR="007678DE" w:rsidRPr="007678DE">
        <w:rPr>
          <w:i/>
          <w:iCs/>
        </w:rPr>
        <w:t xml:space="preserve">Young Teachers, Researchers I.  </w:t>
      </w:r>
      <w:r w:rsidRPr="007678DE">
        <w:t>funding scheme.</w:t>
      </w:r>
    </w:p>
    <w:p w14:paraId="65F25395" w14:textId="77777777" w:rsidR="003C03EB" w:rsidRPr="00BB3908" w:rsidRDefault="003C03EB" w:rsidP="00BB3908">
      <w:pPr>
        <w:spacing w:before="120" w:after="0" w:line="264" w:lineRule="auto"/>
        <w:ind w:left="284" w:hanging="284"/>
        <w:jc w:val="both"/>
        <w:rPr>
          <w:rFonts w:ascii="Arial" w:eastAsia="Times New Roman" w:hAnsi="Arial" w:cs="Times New Roman"/>
          <w:b/>
          <w:bCs/>
          <w:sz w:val="18"/>
          <w:szCs w:val="20"/>
        </w:rPr>
      </w:pPr>
      <w:r w:rsidRPr="00BB3908">
        <w:rPr>
          <w:rFonts w:ascii="Arial" w:eastAsia="Times New Roman" w:hAnsi="Arial" w:cs="Times New Roman"/>
          <w:b/>
          <w:bCs/>
          <w:sz w:val="18"/>
          <w:szCs w:val="20"/>
        </w:rPr>
        <w:t>Refences:</w:t>
      </w:r>
    </w:p>
    <w:p w14:paraId="505EA10E" w14:textId="4506230B" w:rsidR="00BB3908" w:rsidRDefault="00BB3908" w:rsidP="00C01E6B">
      <w:pPr>
        <w:spacing w:after="0" w:line="264" w:lineRule="auto"/>
        <w:ind w:left="284" w:hanging="284"/>
        <w:jc w:val="both"/>
        <w:rPr>
          <w:rFonts w:ascii="Arial" w:eastAsia="Times New Roman" w:hAnsi="Arial" w:cs="Times New Roman"/>
          <w:sz w:val="18"/>
          <w:szCs w:val="20"/>
        </w:rPr>
      </w:pPr>
      <w:r>
        <w:rPr>
          <w:rFonts w:ascii="Arial" w:eastAsia="Times New Roman" w:hAnsi="Arial" w:cs="Times New Roman"/>
          <w:sz w:val="18"/>
          <w:szCs w:val="20"/>
        </w:rPr>
        <w:t>C</w:t>
      </w:r>
      <w:r w:rsidRPr="007A2CAB">
        <w:rPr>
          <w:rFonts w:ascii="Arial" w:eastAsia="Times New Roman" w:hAnsi="Arial" w:cs="Times New Roman"/>
          <w:sz w:val="18"/>
          <w:szCs w:val="20"/>
        </w:rPr>
        <w:t>ha</w:t>
      </w:r>
      <w:r>
        <w:rPr>
          <w:rFonts w:ascii="Arial" w:eastAsia="Times New Roman" w:hAnsi="Arial" w:cs="Times New Roman"/>
          <w:sz w:val="18"/>
          <w:szCs w:val="20"/>
        </w:rPr>
        <w:t xml:space="preserve"> J. S., Park </w:t>
      </w:r>
      <w:r w:rsidRPr="007A2CAB">
        <w:rPr>
          <w:rFonts w:ascii="Arial" w:eastAsia="Times New Roman" w:hAnsi="Arial" w:cs="Times New Roman"/>
          <w:sz w:val="18"/>
          <w:szCs w:val="20"/>
        </w:rPr>
        <w:t>S</w:t>
      </w:r>
      <w:r>
        <w:rPr>
          <w:rFonts w:ascii="Arial" w:eastAsia="Times New Roman" w:hAnsi="Arial" w:cs="Times New Roman"/>
          <w:sz w:val="18"/>
          <w:szCs w:val="20"/>
        </w:rPr>
        <w:t>.</w:t>
      </w:r>
      <w:r w:rsidRPr="007A2CAB">
        <w:rPr>
          <w:rFonts w:ascii="Arial" w:eastAsia="Times New Roman" w:hAnsi="Arial" w:cs="Times New Roman"/>
          <w:sz w:val="18"/>
          <w:szCs w:val="20"/>
        </w:rPr>
        <w:t xml:space="preserve"> H</w:t>
      </w:r>
      <w:r>
        <w:rPr>
          <w:rFonts w:ascii="Arial" w:eastAsia="Times New Roman" w:hAnsi="Arial" w:cs="Times New Roman"/>
          <w:sz w:val="18"/>
          <w:szCs w:val="20"/>
        </w:rPr>
        <w:t>.</w:t>
      </w:r>
      <w:r w:rsidRPr="007A2CAB">
        <w:rPr>
          <w:rFonts w:ascii="Arial" w:eastAsia="Times New Roman" w:hAnsi="Arial" w:cs="Times New Roman"/>
          <w:sz w:val="18"/>
          <w:szCs w:val="20"/>
        </w:rPr>
        <w:t xml:space="preserve">, </w:t>
      </w:r>
      <w:r>
        <w:rPr>
          <w:rFonts w:ascii="Arial" w:eastAsia="Times New Roman" w:hAnsi="Arial" w:cs="Times New Roman"/>
          <w:sz w:val="18"/>
          <w:szCs w:val="20"/>
        </w:rPr>
        <w:t xml:space="preserve">Jung </w:t>
      </w:r>
      <w:r w:rsidRPr="007A2CAB">
        <w:rPr>
          <w:rFonts w:ascii="Arial" w:eastAsia="Times New Roman" w:hAnsi="Arial" w:cs="Times New Roman"/>
          <w:sz w:val="18"/>
          <w:szCs w:val="20"/>
        </w:rPr>
        <w:t>S</w:t>
      </w:r>
      <w:r>
        <w:rPr>
          <w:rFonts w:ascii="Arial" w:eastAsia="Times New Roman" w:hAnsi="Arial" w:cs="Times New Roman"/>
          <w:sz w:val="18"/>
          <w:szCs w:val="20"/>
        </w:rPr>
        <w:t>. C., Ryu</w:t>
      </w:r>
      <w:r w:rsidRPr="007A2CAB">
        <w:rPr>
          <w:rFonts w:ascii="Arial" w:eastAsia="Times New Roman" w:hAnsi="Arial" w:cs="Times New Roman"/>
          <w:sz w:val="18"/>
          <w:szCs w:val="20"/>
        </w:rPr>
        <w:t xml:space="preserve"> C</w:t>
      </w:r>
      <w:r>
        <w:rPr>
          <w:rFonts w:ascii="Arial" w:eastAsia="Times New Roman" w:hAnsi="Arial" w:cs="Times New Roman"/>
          <w:sz w:val="18"/>
          <w:szCs w:val="20"/>
        </w:rPr>
        <w:t>., Jeon</w:t>
      </w:r>
      <w:r w:rsidRPr="007A2CAB">
        <w:rPr>
          <w:rFonts w:ascii="Arial" w:eastAsia="Times New Roman" w:hAnsi="Arial" w:cs="Times New Roman"/>
          <w:sz w:val="18"/>
          <w:szCs w:val="20"/>
        </w:rPr>
        <w:t xml:space="preserve"> J</w:t>
      </w:r>
      <w:r>
        <w:rPr>
          <w:rFonts w:ascii="Arial" w:eastAsia="Times New Roman" w:hAnsi="Arial" w:cs="Times New Roman"/>
          <w:sz w:val="18"/>
          <w:szCs w:val="20"/>
        </w:rPr>
        <w:t xml:space="preserve">. </w:t>
      </w:r>
      <w:r w:rsidRPr="007A2CAB">
        <w:rPr>
          <w:rFonts w:ascii="Arial" w:eastAsia="Times New Roman" w:hAnsi="Arial" w:cs="Times New Roman"/>
          <w:sz w:val="18"/>
          <w:szCs w:val="20"/>
        </w:rPr>
        <w:t>K</w:t>
      </w:r>
      <w:r>
        <w:rPr>
          <w:rFonts w:ascii="Arial" w:eastAsia="Times New Roman" w:hAnsi="Arial" w:cs="Times New Roman"/>
          <w:sz w:val="18"/>
          <w:szCs w:val="20"/>
        </w:rPr>
        <w:t>.</w:t>
      </w:r>
      <w:r w:rsidRPr="007A2CAB">
        <w:rPr>
          <w:rFonts w:ascii="Arial" w:eastAsia="Times New Roman" w:hAnsi="Arial" w:cs="Times New Roman"/>
          <w:sz w:val="18"/>
          <w:szCs w:val="20"/>
        </w:rPr>
        <w:t xml:space="preserve">, </w:t>
      </w:r>
      <w:r>
        <w:rPr>
          <w:rFonts w:ascii="Arial" w:eastAsia="Times New Roman" w:hAnsi="Arial" w:cs="Times New Roman"/>
          <w:sz w:val="18"/>
          <w:szCs w:val="20"/>
        </w:rPr>
        <w:t xml:space="preserve">Shin </w:t>
      </w:r>
      <w:r w:rsidRPr="007A2CAB">
        <w:rPr>
          <w:rFonts w:ascii="Arial" w:eastAsia="Times New Roman" w:hAnsi="Arial" w:cs="Times New Roman"/>
          <w:sz w:val="18"/>
          <w:szCs w:val="20"/>
        </w:rPr>
        <w:t>M</w:t>
      </w:r>
      <w:r>
        <w:rPr>
          <w:rFonts w:ascii="Arial" w:eastAsia="Times New Roman" w:hAnsi="Arial" w:cs="Times New Roman"/>
          <w:sz w:val="18"/>
          <w:szCs w:val="20"/>
        </w:rPr>
        <w:t xml:space="preserve">. </w:t>
      </w:r>
      <w:r w:rsidRPr="007A2CAB">
        <w:rPr>
          <w:rFonts w:ascii="Arial" w:eastAsia="Times New Roman" w:hAnsi="Arial" w:cs="Times New Roman"/>
          <w:sz w:val="18"/>
          <w:szCs w:val="20"/>
        </w:rPr>
        <w:t>C</w:t>
      </w:r>
      <w:r>
        <w:rPr>
          <w:rFonts w:ascii="Arial" w:eastAsia="Times New Roman" w:hAnsi="Arial" w:cs="Times New Roman"/>
          <w:sz w:val="18"/>
          <w:szCs w:val="20"/>
        </w:rPr>
        <w:t>.</w:t>
      </w:r>
      <w:r w:rsidRPr="007A2CAB">
        <w:rPr>
          <w:rFonts w:ascii="Arial" w:eastAsia="Times New Roman" w:hAnsi="Arial" w:cs="Times New Roman"/>
          <w:sz w:val="18"/>
          <w:szCs w:val="20"/>
        </w:rPr>
        <w:t xml:space="preserve">, </w:t>
      </w:r>
      <w:r>
        <w:rPr>
          <w:rFonts w:ascii="Arial" w:eastAsia="Times New Roman" w:hAnsi="Arial" w:cs="Times New Roman"/>
          <w:sz w:val="18"/>
          <w:szCs w:val="20"/>
        </w:rPr>
        <w:t xml:space="preserve">Park </w:t>
      </w:r>
      <w:r w:rsidRPr="007A2CAB">
        <w:rPr>
          <w:rFonts w:ascii="Arial" w:eastAsia="Times New Roman" w:hAnsi="Arial" w:cs="Times New Roman"/>
          <w:sz w:val="18"/>
          <w:szCs w:val="20"/>
        </w:rPr>
        <w:t>Y</w:t>
      </w:r>
      <w:r>
        <w:rPr>
          <w:rFonts w:ascii="Arial" w:eastAsia="Times New Roman" w:hAnsi="Arial" w:cs="Times New Roman"/>
          <w:sz w:val="18"/>
          <w:szCs w:val="20"/>
        </w:rPr>
        <w:t xml:space="preserve">. </w:t>
      </w:r>
      <w:r w:rsidRPr="007A2CAB">
        <w:rPr>
          <w:rFonts w:ascii="Arial" w:eastAsia="Times New Roman" w:hAnsi="Arial" w:cs="Times New Roman"/>
          <w:sz w:val="18"/>
          <w:szCs w:val="20"/>
        </w:rPr>
        <w:t>K</w:t>
      </w:r>
      <w:r>
        <w:rPr>
          <w:rFonts w:ascii="Arial" w:eastAsia="Times New Roman" w:hAnsi="Arial" w:cs="Times New Roman"/>
          <w:sz w:val="18"/>
          <w:szCs w:val="20"/>
        </w:rPr>
        <w:t xml:space="preserve">., 2016. </w:t>
      </w:r>
      <w:r w:rsidRPr="007A2CAB">
        <w:rPr>
          <w:rFonts w:ascii="Arial" w:eastAsia="Times New Roman" w:hAnsi="Arial" w:cs="Times New Roman"/>
          <w:sz w:val="18"/>
          <w:szCs w:val="20"/>
        </w:rPr>
        <w:t>Production and utilization of biochar: A review</w:t>
      </w:r>
      <w:r>
        <w:rPr>
          <w:rFonts w:ascii="Arial" w:eastAsia="Times New Roman" w:hAnsi="Arial" w:cs="Times New Roman"/>
          <w:sz w:val="18"/>
          <w:szCs w:val="20"/>
        </w:rPr>
        <w:t xml:space="preserve">. </w:t>
      </w:r>
      <w:r w:rsidRPr="007A2CAB">
        <w:rPr>
          <w:rFonts w:ascii="Arial" w:eastAsia="Times New Roman" w:hAnsi="Arial" w:cs="Times New Roman"/>
          <w:sz w:val="18"/>
          <w:szCs w:val="20"/>
        </w:rPr>
        <w:t>Journal of Industria</w:t>
      </w:r>
      <w:r>
        <w:rPr>
          <w:rFonts w:ascii="Arial" w:eastAsia="Times New Roman" w:hAnsi="Arial" w:cs="Times New Roman"/>
          <w:sz w:val="18"/>
          <w:szCs w:val="20"/>
        </w:rPr>
        <w:t>l and Engineering Chemistry</w:t>
      </w:r>
      <w:r w:rsidR="001238AA" w:rsidRPr="001238AA">
        <w:rPr>
          <w:rFonts w:ascii="Arial" w:eastAsia="Times New Roman" w:hAnsi="Arial" w:cs="Times New Roman"/>
          <w:sz w:val="18"/>
          <w:szCs w:val="20"/>
          <w:highlight w:val="yellow"/>
        </w:rPr>
        <w:t>.</w:t>
      </w:r>
      <w:r>
        <w:rPr>
          <w:rFonts w:ascii="Arial" w:eastAsia="Times New Roman" w:hAnsi="Arial" w:cs="Times New Roman"/>
          <w:sz w:val="18"/>
          <w:szCs w:val="20"/>
        </w:rPr>
        <w:t xml:space="preserve"> 40. </w:t>
      </w:r>
      <w:r w:rsidRPr="007A2CAB">
        <w:rPr>
          <w:rFonts w:ascii="Arial" w:eastAsia="Times New Roman" w:hAnsi="Arial" w:cs="Times New Roman"/>
          <w:sz w:val="18"/>
          <w:szCs w:val="20"/>
        </w:rPr>
        <w:t>1–15</w:t>
      </w:r>
      <w:r>
        <w:rPr>
          <w:rFonts w:ascii="Arial" w:eastAsia="Times New Roman" w:hAnsi="Arial" w:cs="Times New Roman"/>
          <w:sz w:val="18"/>
          <w:szCs w:val="20"/>
        </w:rPr>
        <w:t>.</w:t>
      </w:r>
    </w:p>
    <w:p w14:paraId="59556EBA" w14:textId="00D6AB2C" w:rsidR="00BB3908" w:rsidRDefault="00BB3908" w:rsidP="00C01E6B">
      <w:pPr>
        <w:spacing w:after="0" w:line="264" w:lineRule="auto"/>
        <w:ind w:left="284" w:hanging="284"/>
        <w:jc w:val="both"/>
        <w:rPr>
          <w:rFonts w:ascii="Arial" w:eastAsia="Times New Roman" w:hAnsi="Arial" w:cs="Times New Roman"/>
          <w:sz w:val="18"/>
          <w:szCs w:val="20"/>
        </w:rPr>
      </w:pPr>
      <w:r w:rsidRPr="00F63AF6">
        <w:rPr>
          <w:rFonts w:ascii="Arial" w:eastAsia="Times New Roman" w:hAnsi="Arial" w:cs="Times New Roman"/>
          <w:sz w:val="18"/>
          <w:szCs w:val="20"/>
        </w:rPr>
        <w:t>Chen W</w:t>
      </w:r>
      <w:r>
        <w:rPr>
          <w:rFonts w:ascii="Arial" w:eastAsia="Times New Roman" w:hAnsi="Arial" w:cs="Times New Roman"/>
          <w:sz w:val="18"/>
          <w:szCs w:val="20"/>
        </w:rPr>
        <w:t>.</w:t>
      </w:r>
      <w:r w:rsidRPr="00F63AF6">
        <w:rPr>
          <w:rFonts w:ascii="Arial" w:eastAsia="Times New Roman" w:hAnsi="Arial" w:cs="Times New Roman"/>
          <w:sz w:val="18"/>
          <w:szCs w:val="20"/>
        </w:rPr>
        <w:t>H</w:t>
      </w:r>
      <w:r>
        <w:rPr>
          <w:rFonts w:ascii="Arial" w:eastAsia="Times New Roman" w:hAnsi="Arial" w:cs="Times New Roman"/>
          <w:sz w:val="18"/>
          <w:szCs w:val="20"/>
        </w:rPr>
        <w:t>.</w:t>
      </w:r>
      <w:r w:rsidRPr="00F63AF6">
        <w:rPr>
          <w:rFonts w:ascii="Arial" w:eastAsia="Times New Roman" w:hAnsi="Arial" w:cs="Times New Roman"/>
          <w:sz w:val="18"/>
          <w:szCs w:val="20"/>
        </w:rPr>
        <w:t>, Lin B</w:t>
      </w:r>
      <w:r>
        <w:rPr>
          <w:rFonts w:ascii="Arial" w:eastAsia="Times New Roman" w:hAnsi="Arial" w:cs="Times New Roman"/>
          <w:sz w:val="18"/>
          <w:szCs w:val="20"/>
        </w:rPr>
        <w:t>.</w:t>
      </w:r>
      <w:r w:rsidRPr="00F63AF6">
        <w:rPr>
          <w:rFonts w:ascii="Arial" w:eastAsia="Times New Roman" w:hAnsi="Arial" w:cs="Times New Roman"/>
          <w:sz w:val="18"/>
          <w:szCs w:val="20"/>
        </w:rPr>
        <w:t>J</w:t>
      </w:r>
      <w:r>
        <w:rPr>
          <w:rFonts w:ascii="Arial" w:eastAsia="Times New Roman" w:hAnsi="Arial" w:cs="Times New Roman"/>
          <w:sz w:val="18"/>
          <w:szCs w:val="20"/>
        </w:rPr>
        <w:t>.</w:t>
      </w:r>
      <w:r w:rsidRPr="00F63AF6">
        <w:rPr>
          <w:rFonts w:ascii="Arial" w:eastAsia="Times New Roman" w:hAnsi="Arial" w:cs="Times New Roman"/>
          <w:sz w:val="18"/>
          <w:szCs w:val="20"/>
        </w:rPr>
        <w:t>, Lin Y</w:t>
      </w:r>
      <w:r>
        <w:rPr>
          <w:rFonts w:ascii="Arial" w:eastAsia="Times New Roman" w:hAnsi="Arial" w:cs="Times New Roman"/>
          <w:sz w:val="18"/>
          <w:szCs w:val="20"/>
        </w:rPr>
        <w:t>.</w:t>
      </w:r>
      <w:r w:rsidRPr="00F63AF6">
        <w:rPr>
          <w:rFonts w:ascii="Arial" w:eastAsia="Times New Roman" w:hAnsi="Arial" w:cs="Times New Roman"/>
          <w:sz w:val="18"/>
          <w:szCs w:val="20"/>
        </w:rPr>
        <w:t>Y</w:t>
      </w:r>
      <w:r>
        <w:rPr>
          <w:rFonts w:ascii="Arial" w:eastAsia="Times New Roman" w:hAnsi="Arial" w:cs="Times New Roman"/>
          <w:sz w:val="18"/>
          <w:szCs w:val="20"/>
        </w:rPr>
        <w:t>.</w:t>
      </w:r>
      <w:r w:rsidRPr="00F63AF6">
        <w:rPr>
          <w:rFonts w:ascii="Arial" w:eastAsia="Times New Roman" w:hAnsi="Arial" w:cs="Times New Roman"/>
          <w:sz w:val="18"/>
          <w:szCs w:val="20"/>
        </w:rPr>
        <w:t>, Chu Y</w:t>
      </w:r>
      <w:r>
        <w:rPr>
          <w:rFonts w:ascii="Arial" w:eastAsia="Times New Roman" w:hAnsi="Arial" w:cs="Times New Roman"/>
          <w:sz w:val="18"/>
          <w:szCs w:val="20"/>
        </w:rPr>
        <w:t>.</w:t>
      </w:r>
      <w:r w:rsidRPr="00F63AF6">
        <w:rPr>
          <w:rFonts w:ascii="Arial" w:eastAsia="Times New Roman" w:hAnsi="Arial" w:cs="Times New Roman"/>
          <w:sz w:val="18"/>
          <w:szCs w:val="20"/>
        </w:rPr>
        <w:t>S</w:t>
      </w:r>
      <w:r>
        <w:rPr>
          <w:rFonts w:ascii="Arial" w:eastAsia="Times New Roman" w:hAnsi="Arial" w:cs="Times New Roman"/>
          <w:sz w:val="18"/>
          <w:szCs w:val="20"/>
        </w:rPr>
        <w:t>.</w:t>
      </w:r>
      <w:r w:rsidRPr="00F63AF6">
        <w:rPr>
          <w:rFonts w:ascii="Arial" w:eastAsia="Times New Roman" w:hAnsi="Arial" w:cs="Times New Roman"/>
          <w:sz w:val="18"/>
          <w:szCs w:val="20"/>
        </w:rPr>
        <w:t>, Ubando A</w:t>
      </w:r>
      <w:r>
        <w:rPr>
          <w:rFonts w:ascii="Arial" w:eastAsia="Times New Roman" w:hAnsi="Arial" w:cs="Times New Roman"/>
          <w:sz w:val="18"/>
          <w:szCs w:val="20"/>
        </w:rPr>
        <w:t>.</w:t>
      </w:r>
      <w:r w:rsidRPr="00F63AF6">
        <w:rPr>
          <w:rFonts w:ascii="Arial" w:eastAsia="Times New Roman" w:hAnsi="Arial" w:cs="Times New Roman"/>
          <w:sz w:val="18"/>
          <w:szCs w:val="20"/>
        </w:rPr>
        <w:t>T</w:t>
      </w:r>
      <w:r>
        <w:rPr>
          <w:rFonts w:ascii="Arial" w:eastAsia="Times New Roman" w:hAnsi="Arial" w:cs="Times New Roman"/>
          <w:sz w:val="18"/>
          <w:szCs w:val="20"/>
        </w:rPr>
        <w:t>.</w:t>
      </w:r>
      <w:r w:rsidRPr="00F63AF6">
        <w:rPr>
          <w:rFonts w:ascii="Arial" w:eastAsia="Times New Roman" w:hAnsi="Arial" w:cs="Times New Roman"/>
          <w:sz w:val="18"/>
          <w:szCs w:val="20"/>
        </w:rPr>
        <w:t>, Show P</w:t>
      </w:r>
      <w:r>
        <w:rPr>
          <w:rFonts w:ascii="Arial" w:eastAsia="Times New Roman" w:hAnsi="Arial" w:cs="Times New Roman"/>
          <w:sz w:val="18"/>
          <w:szCs w:val="20"/>
        </w:rPr>
        <w:t>.</w:t>
      </w:r>
      <w:r w:rsidRPr="00F63AF6">
        <w:rPr>
          <w:rFonts w:ascii="Arial" w:eastAsia="Times New Roman" w:hAnsi="Arial" w:cs="Times New Roman"/>
          <w:sz w:val="18"/>
          <w:szCs w:val="20"/>
        </w:rPr>
        <w:t>L</w:t>
      </w:r>
      <w:r>
        <w:rPr>
          <w:rFonts w:ascii="Arial" w:eastAsia="Times New Roman" w:hAnsi="Arial" w:cs="Times New Roman"/>
          <w:sz w:val="18"/>
          <w:szCs w:val="20"/>
        </w:rPr>
        <w:t>.</w:t>
      </w:r>
      <w:r w:rsidRPr="00F63AF6">
        <w:rPr>
          <w:rFonts w:ascii="Arial" w:eastAsia="Times New Roman" w:hAnsi="Arial" w:cs="Times New Roman"/>
          <w:sz w:val="18"/>
          <w:szCs w:val="20"/>
        </w:rPr>
        <w:t>, Ong H</w:t>
      </w:r>
      <w:r>
        <w:rPr>
          <w:rFonts w:ascii="Arial" w:eastAsia="Times New Roman" w:hAnsi="Arial" w:cs="Times New Roman"/>
          <w:sz w:val="18"/>
          <w:szCs w:val="20"/>
        </w:rPr>
        <w:t>.</w:t>
      </w:r>
      <w:r w:rsidRPr="00F63AF6">
        <w:rPr>
          <w:rFonts w:ascii="Arial" w:eastAsia="Times New Roman" w:hAnsi="Arial" w:cs="Times New Roman"/>
          <w:sz w:val="18"/>
          <w:szCs w:val="20"/>
        </w:rPr>
        <w:t>C</w:t>
      </w:r>
      <w:r>
        <w:rPr>
          <w:rFonts w:ascii="Arial" w:eastAsia="Times New Roman" w:hAnsi="Arial" w:cs="Times New Roman"/>
          <w:sz w:val="18"/>
          <w:szCs w:val="20"/>
        </w:rPr>
        <w:t>.</w:t>
      </w:r>
      <w:r w:rsidRPr="00F63AF6">
        <w:rPr>
          <w:rFonts w:ascii="Arial" w:eastAsia="Times New Roman" w:hAnsi="Arial" w:cs="Times New Roman"/>
          <w:sz w:val="18"/>
          <w:szCs w:val="20"/>
        </w:rPr>
        <w:t>, Chang J</w:t>
      </w:r>
      <w:r>
        <w:rPr>
          <w:rFonts w:ascii="Arial" w:eastAsia="Times New Roman" w:hAnsi="Arial" w:cs="Times New Roman"/>
          <w:sz w:val="18"/>
          <w:szCs w:val="20"/>
        </w:rPr>
        <w:t>.</w:t>
      </w:r>
      <w:r w:rsidRPr="00F63AF6">
        <w:rPr>
          <w:rFonts w:ascii="Arial" w:eastAsia="Times New Roman" w:hAnsi="Arial" w:cs="Times New Roman"/>
          <w:sz w:val="18"/>
          <w:szCs w:val="20"/>
        </w:rPr>
        <w:t>S</w:t>
      </w:r>
      <w:r>
        <w:rPr>
          <w:rFonts w:ascii="Arial" w:eastAsia="Times New Roman" w:hAnsi="Arial" w:cs="Times New Roman"/>
          <w:sz w:val="18"/>
          <w:szCs w:val="20"/>
        </w:rPr>
        <w:t>.</w:t>
      </w:r>
      <w:r w:rsidRPr="00F63AF6">
        <w:rPr>
          <w:rFonts w:ascii="Arial" w:eastAsia="Times New Roman" w:hAnsi="Arial" w:cs="Times New Roman"/>
          <w:sz w:val="18"/>
          <w:szCs w:val="20"/>
        </w:rPr>
        <w:t>,</w:t>
      </w:r>
      <w:r>
        <w:rPr>
          <w:rFonts w:ascii="Arial" w:eastAsia="Times New Roman" w:hAnsi="Arial" w:cs="Times New Roman"/>
          <w:sz w:val="18"/>
          <w:szCs w:val="20"/>
        </w:rPr>
        <w:t xml:space="preserve"> </w:t>
      </w:r>
      <w:r w:rsidRPr="00F63AF6">
        <w:rPr>
          <w:rFonts w:ascii="Arial" w:eastAsia="Times New Roman" w:hAnsi="Arial" w:cs="Times New Roman"/>
          <w:sz w:val="18"/>
          <w:szCs w:val="20"/>
        </w:rPr>
        <w:t>Ho S</w:t>
      </w:r>
      <w:r>
        <w:rPr>
          <w:rFonts w:ascii="Arial" w:eastAsia="Times New Roman" w:hAnsi="Arial" w:cs="Times New Roman"/>
          <w:sz w:val="18"/>
          <w:szCs w:val="20"/>
        </w:rPr>
        <w:t>.</w:t>
      </w:r>
      <w:r w:rsidRPr="00F63AF6">
        <w:rPr>
          <w:rFonts w:ascii="Arial" w:eastAsia="Times New Roman" w:hAnsi="Arial" w:cs="Times New Roman"/>
          <w:sz w:val="18"/>
          <w:szCs w:val="20"/>
        </w:rPr>
        <w:t>H</w:t>
      </w:r>
      <w:r>
        <w:rPr>
          <w:rFonts w:ascii="Arial" w:eastAsia="Times New Roman" w:hAnsi="Arial" w:cs="Times New Roman"/>
          <w:sz w:val="18"/>
          <w:szCs w:val="20"/>
        </w:rPr>
        <w:t>.</w:t>
      </w:r>
      <w:r w:rsidRPr="00F63AF6">
        <w:rPr>
          <w:rFonts w:ascii="Arial" w:eastAsia="Times New Roman" w:hAnsi="Arial" w:cs="Times New Roman"/>
          <w:sz w:val="18"/>
          <w:szCs w:val="20"/>
        </w:rPr>
        <w:t xml:space="preserve">, </w:t>
      </w:r>
      <w:proofErr w:type="spellStart"/>
      <w:r w:rsidRPr="00F63AF6">
        <w:rPr>
          <w:rFonts w:ascii="Arial" w:eastAsia="Times New Roman" w:hAnsi="Arial" w:cs="Times New Roman"/>
          <w:sz w:val="18"/>
          <w:szCs w:val="20"/>
        </w:rPr>
        <w:t>Culaba</w:t>
      </w:r>
      <w:proofErr w:type="spellEnd"/>
      <w:r w:rsidRPr="00F63AF6">
        <w:rPr>
          <w:rFonts w:ascii="Arial" w:eastAsia="Times New Roman" w:hAnsi="Arial" w:cs="Times New Roman"/>
          <w:sz w:val="18"/>
          <w:szCs w:val="20"/>
        </w:rPr>
        <w:t xml:space="preserve"> A</w:t>
      </w:r>
      <w:r>
        <w:rPr>
          <w:rFonts w:ascii="Arial" w:eastAsia="Times New Roman" w:hAnsi="Arial" w:cs="Times New Roman"/>
          <w:sz w:val="18"/>
          <w:szCs w:val="20"/>
        </w:rPr>
        <w:t>.</w:t>
      </w:r>
      <w:r w:rsidRPr="00F63AF6">
        <w:rPr>
          <w:rFonts w:ascii="Arial" w:eastAsia="Times New Roman" w:hAnsi="Arial" w:cs="Times New Roman"/>
          <w:sz w:val="18"/>
          <w:szCs w:val="20"/>
        </w:rPr>
        <w:t>B</w:t>
      </w:r>
      <w:r>
        <w:rPr>
          <w:rFonts w:ascii="Arial" w:eastAsia="Times New Roman" w:hAnsi="Arial" w:cs="Times New Roman"/>
          <w:sz w:val="18"/>
          <w:szCs w:val="20"/>
        </w:rPr>
        <w:t>.</w:t>
      </w:r>
      <w:r w:rsidRPr="00F63AF6">
        <w:rPr>
          <w:rFonts w:ascii="Arial" w:eastAsia="Times New Roman" w:hAnsi="Arial" w:cs="Times New Roman"/>
          <w:sz w:val="18"/>
          <w:szCs w:val="20"/>
        </w:rPr>
        <w:t xml:space="preserve">, </w:t>
      </w:r>
      <w:proofErr w:type="spellStart"/>
      <w:r w:rsidRPr="00F63AF6">
        <w:rPr>
          <w:rFonts w:ascii="Arial" w:eastAsia="Times New Roman" w:hAnsi="Arial" w:cs="Times New Roman"/>
          <w:sz w:val="18"/>
          <w:szCs w:val="20"/>
        </w:rPr>
        <w:t>P´etrissans</w:t>
      </w:r>
      <w:proofErr w:type="spellEnd"/>
      <w:r w:rsidRPr="00F63AF6">
        <w:rPr>
          <w:rFonts w:ascii="Arial" w:eastAsia="Times New Roman" w:hAnsi="Arial" w:cs="Times New Roman"/>
          <w:sz w:val="18"/>
          <w:szCs w:val="20"/>
        </w:rPr>
        <w:t xml:space="preserve"> A</w:t>
      </w:r>
      <w:r>
        <w:rPr>
          <w:rFonts w:ascii="Arial" w:eastAsia="Times New Roman" w:hAnsi="Arial" w:cs="Times New Roman"/>
          <w:sz w:val="18"/>
          <w:szCs w:val="20"/>
        </w:rPr>
        <w:t>.</w:t>
      </w:r>
      <w:r w:rsidRPr="00F63AF6">
        <w:rPr>
          <w:rFonts w:ascii="Arial" w:eastAsia="Times New Roman" w:hAnsi="Arial" w:cs="Times New Roman"/>
          <w:sz w:val="18"/>
          <w:szCs w:val="20"/>
        </w:rPr>
        <w:t xml:space="preserve">, </w:t>
      </w:r>
      <w:proofErr w:type="spellStart"/>
      <w:r w:rsidRPr="00F63AF6">
        <w:rPr>
          <w:rFonts w:ascii="Arial" w:eastAsia="Times New Roman" w:hAnsi="Arial" w:cs="Times New Roman"/>
          <w:sz w:val="18"/>
          <w:szCs w:val="20"/>
        </w:rPr>
        <w:t>P´etrissans</w:t>
      </w:r>
      <w:proofErr w:type="spellEnd"/>
      <w:r w:rsidRPr="00F63AF6">
        <w:rPr>
          <w:rFonts w:ascii="Arial" w:eastAsia="Times New Roman" w:hAnsi="Arial" w:cs="Times New Roman"/>
          <w:sz w:val="18"/>
          <w:szCs w:val="20"/>
        </w:rPr>
        <w:t xml:space="preserve"> M.</w:t>
      </w:r>
      <w:r w:rsidR="008B3A80" w:rsidRPr="008B3A80">
        <w:rPr>
          <w:rFonts w:ascii="Arial" w:eastAsia="Times New Roman" w:hAnsi="Arial" w:cs="Times New Roman"/>
          <w:sz w:val="18"/>
          <w:szCs w:val="20"/>
          <w:highlight w:val="yellow"/>
        </w:rPr>
        <w:t>,</w:t>
      </w:r>
      <w:r w:rsidRPr="00F63AF6">
        <w:rPr>
          <w:rFonts w:ascii="Arial" w:eastAsia="Times New Roman" w:hAnsi="Arial" w:cs="Times New Roman"/>
          <w:sz w:val="18"/>
          <w:szCs w:val="20"/>
        </w:rPr>
        <w:t xml:space="preserve"> </w:t>
      </w:r>
      <w:r>
        <w:rPr>
          <w:rFonts w:ascii="Arial" w:eastAsia="Times New Roman" w:hAnsi="Arial" w:cs="Times New Roman"/>
          <w:sz w:val="18"/>
          <w:szCs w:val="20"/>
        </w:rPr>
        <w:t xml:space="preserve">2021. </w:t>
      </w:r>
      <w:r w:rsidRPr="00F63AF6">
        <w:rPr>
          <w:rFonts w:ascii="Arial" w:eastAsia="Times New Roman" w:hAnsi="Arial" w:cs="Times New Roman"/>
          <w:sz w:val="18"/>
          <w:szCs w:val="20"/>
        </w:rPr>
        <w:t>Progress in biomass torrefaction:</w:t>
      </w:r>
      <w:r>
        <w:rPr>
          <w:rFonts w:ascii="Arial" w:eastAsia="Times New Roman" w:hAnsi="Arial" w:cs="Times New Roman"/>
          <w:sz w:val="18"/>
          <w:szCs w:val="20"/>
        </w:rPr>
        <w:t xml:space="preserve"> </w:t>
      </w:r>
      <w:r w:rsidRPr="00F63AF6">
        <w:rPr>
          <w:rFonts w:ascii="Arial" w:eastAsia="Times New Roman" w:hAnsi="Arial" w:cs="Times New Roman"/>
          <w:sz w:val="18"/>
          <w:szCs w:val="20"/>
        </w:rPr>
        <w:t>principles, applications and challen</w:t>
      </w:r>
      <w:r>
        <w:rPr>
          <w:rFonts w:ascii="Arial" w:eastAsia="Times New Roman" w:hAnsi="Arial" w:cs="Times New Roman"/>
          <w:sz w:val="18"/>
          <w:szCs w:val="20"/>
        </w:rPr>
        <w:t xml:space="preserve">ges. </w:t>
      </w:r>
      <w:r w:rsidRPr="00F63AF6">
        <w:rPr>
          <w:rFonts w:ascii="Arial" w:eastAsia="Times New Roman" w:hAnsi="Arial" w:cs="Times New Roman"/>
          <w:sz w:val="18"/>
          <w:szCs w:val="20"/>
        </w:rPr>
        <w:t>Progress in Energy and Combustion Science</w:t>
      </w:r>
      <w:r>
        <w:rPr>
          <w:rFonts w:ascii="Arial" w:eastAsia="Times New Roman" w:hAnsi="Arial" w:cs="Times New Roman"/>
          <w:sz w:val="18"/>
          <w:szCs w:val="20"/>
        </w:rPr>
        <w:t xml:space="preserve">. </w:t>
      </w:r>
      <w:r w:rsidRPr="00F63AF6">
        <w:rPr>
          <w:rFonts w:ascii="Arial" w:eastAsia="Times New Roman" w:hAnsi="Arial" w:cs="Times New Roman"/>
          <w:sz w:val="18"/>
          <w:szCs w:val="20"/>
        </w:rPr>
        <w:t>82:100887.</w:t>
      </w:r>
    </w:p>
    <w:p w14:paraId="3D85AAD7" w14:textId="77777777" w:rsidR="00BB3908" w:rsidRPr="00246DB9" w:rsidRDefault="00BB3908" w:rsidP="00C01E6B">
      <w:pPr>
        <w:spacing w:after="0" w:line="264" w:lineRule="auto"/>
        <w:ind w:left="284" w:hanging="284"/>
        <w:jc w:val="both"/>
        <w:rPr>
          <w:rFonts w:ascii="Arial" w:eastAsia="Times New Roman" w:hAnsi="Arial" w:cs="Times New Roman"/>
          <w:sz w:val="18"/>
          <w:szCs w:val="20"/>
        </w:rPr>
      </w:pPr>
      <w:r w:rsidRPr="00246DB9">
        <w:rPr>
          <w:rFonts w:ascii="Arial" w:eastAsia="Times New Roman" w:hAnsi="Arial" w:cs="Times New Roman"/>
          <w:sz w:val="18"/>
          <w:szCs w:val="20"/>
        </w:rPr>
        <w:t>Obiora N. K., Ujah</w:t>
      </w:r>
      <w:r>
        <w:rPr>
          <w:rFonts w:ascii="Arial" w:eastAsia="Times New Roman" w:hAnsi="Arial" w:cs="Times New Roman"/>
          <w:sz w:val="18"/>
          <w:szCs w:val="20"/>
        </w:rPr>
        <w:t xml:space="preserve"> O. C.</w:t>
      </w:r>
      <w:r w:rsidRPr="00246DB9">
        <w:rPr>
          <w:rFonts w:ascii="Arial" w:eastAsia="Times New Roman" w:hAnsi="Arial" w:cs="Times New Roman"/>
          <w:sz w:val="18"/>
          <w:szCs w:val="20"/>
        </w:rPr>
        <w:t xml:space="preserve">, </w:t>
      </w:r>
      <w:proofErr w:type="spellStart"/>
      <w:r w:rsidRPr="00246DB9">
        <w:rPr>
          <w:rFonts w:ascii="Arial" w:eastAsia="Times New Roman" w:hAnsi="Arial" w:cs="Times New Roman"/>
          <w:sz w:val="18"/>
          <w:szCs w:val="20"/>
        </w:rPr>
        <w:t>Asadu</w:t>
      </w:r>
      <w:proofErr w:type="spellEnd"/>
      <w:r w:rsidRPr="00246DB9">
        <w:rPr>
          <w:rFonts w:ascii="Arial" w:eastAsia="Times New Roman" w:hAnsi="Arial" w:cs="Times New Roman"/>
          <w:sz w:val="18"/>
          <w:szCs w:val="20"/>
        </w:rPr>
        <w:t xml:space="preserve"> C. O., Kolawole F. O., Ekwueme B. N., 2024. Production of hydrogen energy from biomass: Prospects and challenges</w:t>
      </w:r>
      <w:r>
        <w:rPr>
          <w:rFonts w:ascii="Arial" w:eastAsia="Times New Roman" w:hAnsi="Arial" w:cs="Times New Roman"/>
          <w:sz w:val="18"/>
          <w:szCs w:val="20"/>
        </w:rPr>
        <w:t xml:space="preserve">. </w:t>
      </w:r>
      <w:r w:rsidRPr="00246DB9">
        <w:rPr>
          <w:rFonts w:ascii="Arial" w:eastAsia="Times New Roman" w:hAnsi="Arial" w:cs="Times New Roman"/>
          <w:sz w:val="18"/>
          <w:szCs w:val="20"/>
        </w:rPr>
        <w:t>Green Technologies and Sustainability</w:t>
      </w:r>
      <w:r>
        <w:rPr>
          <w:rFonts w:ascii="Arial" w:eastAsia="Times New Roman" w:hAnsi="Arial" w:cs="Times New Roman"/>
          <w:sz w:val="18"/>
          <w:szCs w:val="20"/>
        </w:rPr>
        <w:t>. 2. 100100.</w:t>
      </w:r>
    </w:p>
    <w:p w14:paraId="4BF7C8B4" w14:textId="77777777" w:rsidR="00BB3908" w:rsidRDefault="00BB3908" w:rsidP="00C01E6B">
      <w:pPr>
        <w:spacing w:after="0" w:line="264" w:lineRule="auto"/>
        <w:ind w:left="284" w:hanging="284"/>
        <w:jc w:val="both"/>
        <w:rPr>
          <w:rFonts w:ascii="Arial" w:eastAsia="Times New Roman" w:hAnsi="Arial" w:cs="Times New Roman"/>
          <w:sz w:val="18"/>
          <w:szCs w:val="20"/>
        </w:rPr>
      </w:pPr>
      <w:r w:rsidRPr="007A2CAB">
        <w:rPr>
          <w:rFonts w:ascii="Arial" w:eastAsia="Times New Roman" w:hAnsi="Arial" w:cs="Times New Roman"/>
          <w:sz w:val="18"/>
          <w:szCs w:val="20"/>
        </w:rPr>
        <w:t>Panwar</w:t>
      </w:r>
      <w:r>
        <w:rPr>
          <w:rFonts w:ascii="Arial" w:eastAsia="Times New Roman" w:hAnsi="Arial" w:cs="Times New Roman"/>
          <w:sz w:val="18"/>
          <w:szCs w:val="20"/>
        </w:rPr>
        <w:t xml:space="preserve"> </w:t>
      </w:r>
      <w:r w:rsidRPr="007A2CAB">
        <w:rPr>
          <w:rFonts w:ascii="Arial" w:eastAsia="Times New Roman" w:hAnsi="Arial" w:cs="Times New Roman"/>
          <w:sz w:val="18"/>
          <w:szCs w:val="20"/>
        </w:rPr>
        <w:t>N. L., Pawar</w:t>
      </w:r>
      <w:r>
        <w:rPr>
          <w:rFonts w:ascii="Arial" w:eastAsia="Times New Roman" w:hAnsi="Arial" w:cs="Times New Roman"/>
          <w:sz w:val="18"/>
          <w:szCs w:val="20"/>
        </w:rPr>
        <w:t xml:space="preserve"> A., Salvi </w:t>
      </w:r>
      <w:r w:rsidRPr="007A2CAB">
        <w:rPr>
          <w:rFonts w:ascii="Arial" w:eastAsia="Times New Roman" w:hAnsi="Arial" w:cs="Times New Roman"/>
          <w:sz w:val="18"/>
          <w:szCs w:val="20"/>
        </w:rPr>
        <w:t>B. L.</w:t>
      </w:r>
      <w:r>
        <w:rPr>
          <w:rFonts w:ascii="Arial" w:eastAsia="Times New Roman" w:hAnsi="Arial" w:cs="Times New Roman"/>
          <w:sz w:val="18"/>
          <w:szCs w:val="20"/>
        </w:rPr>
        <w:t>,</w:t>
      </w:r>
      <w:r w:rsidRPr="007A2CAB">
        <w:rPr>
          <w:rFonts w:ascii="Arial" w:eastAsia="Times New Roman" w:hAnsi="Arial" w:cs="Times New Roman"/>
          <w:sz w:val="18"/>
          <w:szCs w:val="20"/>
        </w:rPr>
        <w:t xml:space="preserve"> 2019</w:t>
      </w:r>
      <w:r>
        <w:rPr>
          <w:rFonts w:ascii="Arial" w:eastAsia="Times New Roman" w:hAnsi="Arial" w:cs="Times New Roman"/>
          <w:sz w:val="18"/>
          <w:szCs w:val="20"/>
        </w:rPr>
        <w:t xml:space="preserve">. </w:t>
      </w:r>
      <w:r w:rsidRPr="007A2CAB">
        <w:rPr>
          <w:rFonts w:ascii="Arial" w:eastAsia="Times New Roman" w:hAnsi="Arial" w:cs="Times New Roman"/>
          <w:sz w:val="18"/>
          <w:szCs w:val="20"/>
        </w:rPr>
        <w:t>Comprehensive review on production and utilization of biochar</w:t>
      </w:r>
      <w:r>
        <w:rPr>
          <w:rFonts w:ascii="Arial" w:eastAsia="Times New Roman" w:hAnsi="Arial" w:cs="Times New Roman"/>
          <w:sz w:val="18"/>
          <w:szCs w:val="20"/>
        </w:rPr>
        <w:t xml:space="preserve">. </w:t>
      </w:r>
      <w:r w:rsidRPr="007A2CAB">
        <w:rPr>
          <w:rFonts w:ascii="Arial" w:eastAsia="Times New Roman" w:hAnsi="Arial" w:cs="Times New Roman"/>
          <w:sz w:val="18"/>
          <w:szCs w:val="20"/>
        </w:rPr>
        <w:t>1</w:t>
      </w:r>
      <w:r>
        <w:rPr>
          <w:rFonts w:ascii="Arial" w:eastAsia="Times New Roman" w:hAnsi="Arial" w:cs="Times New Roman"/>
          <w:sz w:val="18"/>
          <w:szCs w:val="20"/>
        </w:rPr>
        <w:t>. 168.</w:t>
      </w:r>
    </w:p>
    <w:p w14:paraId="7BDB8FFB" w14:textId="46715568" w:rsidR="00BB3908" w:rsidRDefault="00BB3908" w:rsidP="00C01E6B">
      <w:pPr>
        <w:spacing w:after="0" w:line="264" w:lineRule="auto"/>
        <w:ind w:left="284" w:hanging="284"/>
        <w:jc w:val="both"/>
        <w:rPr>
          <w:rFonts w:ascii="Arial" w:eastAsia="Times New Roman" w:hAnsi="Arial" w:cs="Times New Roman"/>
          <w:sz w:val="18"/>
          <w:szCs w:val="20"/>
        </w:rPr>
      </w:pPr>
      <w:r w:rsidRPr="00C13EAD">
        <w:rPr>
          <w:rFonts w:ascii="Arial" w:eastAsia="Times New Roman" w:hAnsi="Arial" w:cs="Times New Roman"/>
          <w:sz w:val="18"/>
          <w:szCs w:val="20"/>
          <w:lang w:val="es-ES"/>
        </w:rPr>
        <w:t>Ramos A, Monteiro E, Rouboa A.</w:t>
      </w:r>
      <w:r w:rsidR="008B3A80" w:rsidRPr="008B3A80">
        <w:rPr>
          <w:rFonts w:ascii="Arial" w:eastAsia="Times New Roman" w:hAnsi="Arial" w:cs="Times New Roman"/>
          <w:sz w:val="18"/>
          <w:szCs w:val="20"/>
          <w:highlight w:val="yellow"/>
          <w:lang w:val="es-ES"/>
        </w:rPr>
        <w:t>,</w:t>
      </w:r>
      <w:r w:rsidRPr="00C13EAD">
        <w:rPr>
          <w:rFonts w:ascii="Arial" w:eastAsia="Times New Roman" w:hAnsi="Arial" w:cs="Times New Roman"/>
          <w:sz w:val="18"/>
          <w:szCs w:val="20"/>
          <w:lang w:val="es-ES"/>
        </w:rPr>
        <w:t xml:space="preserve"> 2022. </w:t>
      </w:r>
      <w:r w:rsidRPr="00C13EAD">
        <w:rPr>
          <w:rFonts w:ascii="Arial" w:eastAsia="Times New Roman" w:hAnsi="Arial" w:cs="Times New Roman"/>
          <w:sz w:val="18"/>
          <w:szCs w:val="20"/>
        </w:rPr>
        <w:t xml:space="preserve">Biomass pre-treatment techniques </w:t>
      </w:r>
      <w:proofErr w:type="gramStart"/>
      <w:r w:rsidRPr="00C13EAD">
        <w:rPr>
          <w:rFonts w:ascii="Arial" w:eastAsia="Times New Roman" w:hAnsi="Arial" w:cs="Times New Roman"/>
          <w:sz w:val="18"/>
          <w:szCs w:val="20"/>
        </w:rPr>
        <w:t>for the</w:t>
      </w:r>
      <w:r>
        <w:rPr>
          <w:rFonts w:ascii="Arial" w:eastAsia="Times New Roman" w:hAnsi="Arial" w:cs="Times New Roman"/>
          <w:sz w:val="18"/>
          <w:szCs w:val="20"/>
        </w:rPr>
        <w:t xml:space="preserve"> </w:t>
      </w:r>
      <w:r w:rsidRPr="00C13EAD">
        <w:rPr>
          <w:rFonts w:ascii="Arial" w:eastAsia="Times New Roman" w:hAnsi="Arial" w:cs="Times New Roman"/>
          <w:sz w:val="18"/>
          <w:szCs w:val="20"/>
        </w:rPr>
        <w:t>production of</w:t>
      </w:r>
      <w:proofErr w:type="gramEnd"/>
      <w:r w:rsidRPr="00C13EAD">
        <w:rPr>
          <w:rFonts w:ascii="Arial" w:eastAsia="Times New Roman" w:hAnsi="Arial" w:cs="Times New Roman"/>
          <w:sz w:val="18"/>
          <w:szCs w:val="20"/>
        </w:rPr>
        <w:t xml:space="preserve"> biofuels using thermal conversion methods – a review. Energy</w:t>
      </w:r>
      <w:r>
        <w:rPr>
          <w:rFonts w:ascii="Arial" w:eastAsia="Times New Roman" w:hAnsi="Arial" w:cs="Times New Roman"/>
          <w:sz w:val="18"/>
          <w:szCs w:val="20"/>
        </w:rPr>
        <w:t xml:space="preserve"> </w:t>
      </w:r>
      <w:r w:rsidRPr="00C13EAD">
        <w:rPr>
          <w:rFonts w:ascii="Arial" w:eastAsia="Times New Roman" w:hAnsi="Arial" w:cs="Times New Roman"/>
          <w:sz w:val="18"/>
          <w:szCs w:val="20"/>
        </w:rPr>
        <w:t>Convers</w:t>
      </w:r>
      <w:r>
        <w:rPr>
          <w:rFonts w:ascii="Arial" w:eastAsia="Times New Roman" w:hAnsi="Arial" w:cs="Times New Roman"/>
          <w:sz w:val="18"/>
          <w:szCs w:val="20"/>
        </w:rPr>
        <w:t>ion and</w:t>
      </w:r>
      <w:r w:rsidRPr="00C13EAD">
        <w:rPr>
          <w:rFonts w:ascii="Arial" w:eastAsia="Times New Roman" w:hAnsi="Arial" w:cs="Times New Roman"/>
          <w:sz w:val="18"/>
          <w:szCs w:val="20"/>
        </w:rPr>
        <w:t xml:space="preserve"> Manag</w:t>
      </w:r>
      <w:r>
        <w:rPr>
          <w:rFonts w:ascii="Arial" w:eastAsia="Times New Roman" w:hAnsi="Arial" w:cs="Times New Roman"/>
          <w:sz w:val="18"/>
          <w:szCs w:val="20"/>
        </w:rPr>
        <w:t xml:space="preserve">ement. </w:t>
      </w:r>
      <w:r w:rsidRPr="00C13EAD">
        <w:rPr>
          <w:rFonts w:ascii="Arial" w:eastAsia="Times New Roman" w:hAnsi="Arial" w:cs="Times New Roman"/>
          <w:sz w:val="18"/>
          <w:szCs w:val="20"/>
        </w:rPr>
        <w:t>270:116271.</w:t>
      </w:r>
    </w:p>
    <w:p w14:paraId="312F9449" w14:textId="04E646E2" w:rsidR="00BB3908" w:rsidRDefault="00BB3908" w:rsidP="00C01E6B">
      <w:pPr>
        <w:spacing w:after="0" w:line="264" w:lineRule="auto"/>
        <w:ind w:left="284" w:hanging="284"/>
        <w:jc w:val="both"/>
        <w:rPr>
          <w:rFonts w:ascii="Arial" w:eastAsia="Times New Roman" w:hAnsi="Arial" w:cs="Times New Roman"/>
          <w:sz w:val="18"/>
          <w:szCs w:val="20"/>
        </w:rPr>
      </w:pPr>
      <w:proofErr w:type="spellStart"/>
      <w:r w:rsidRPr="00C13EAD">
        <w:rPr>
          <w:rFonts w:ascii="Arial" w:eastAsia="Times New Roman" w:hAnsi="Arial" w:cs="Times New Roman"/>
          <w:sz w:val="18"/>
          <w:szCs w:val="20"/>
        </w:rPr>
        <w:t>Shafaghat</w:t>
      </w:r>
      <w:proofErr w:type="spellEnd"/>
      <w:r>
        <w:rPr>
          <w:rFonts w:ascii="Arial" w:eastAsia="Times New Roman" w:hAnsi="Arial" w:cs="Times New Roman"/>
          <w:sz w:val="18"/>
          <w:szCs w:val="20"/>
        </w:rPr>
        <w:t xml:space="preserve"> H.</w:t>
      </w:r>
      <w:r w:rsidRPr="00C13EAD">
        <w:rPr>
          <w:rFonts w:ascii="Arial" w:eastAsia="Times New Roman" w:hAnsi="Arial" w:cs="Times New Roman"/>
          <w:sz w:val="18"/>
          <w:szCs w:val="20"/>
        </w:rPr>
        <w:t>, Rezaei P.S., Ro D., Jae</w:t>
      </w:r>
      <w:r>
        <w:rPr>
          <w:rFonts w:ascii="Arial" w:eastAsia="Times New Roman" w:hAnsi="Arial" w:cs="Times New Roman"/>
          <w:sz w:val="18"/>
          <w:szCs w:val="20"/>
        </w:rPr>
        <w:t xml:space="preserve"> J.</w:t>
      </w:r>
      <w:r w:rsidRPr="00C13EAD">
        <w:rPr>
          <w:rFonts w:ascii="Arial" w:eastAsia="Times New Roman" w:hAnsi="Arial" w:cs="Times New Roman"/>
          <w:sz w:val="18"/>
          <w:szCs w:val="20"/>
        </w:rPr>
        <w:t xml:space="preserve">, </w:t>
      </w:r>
      <w:r>
        <w:rPr>
          <w:rFonts w:ascii="Arial" w:eastAsia="Times New Roman" w:hAnsi="Arial" w:cs="Times New Roman"/>
          <w:sz w:val="18"/>
          <w:szCs w:val="20"/>
        </w:rPr>
        <w:t>Kim B.S., Jung S.</w:t>
      </w:r>
      <w:r w:rsidRPr="00C13EAD">
        <w:rPr>
          <w:rFonts w:ascii="Arial" w:eastAsia="Times New Roman" w:hAnsi="Arial" w:cs="Times New Roman"/>
          <w:sz w:val="18"/>
          <w:szCs w:val="20"/>
        </w:rPr>
        <w:t xml:space="preserve">C., </w:t>
      </w:r>
      <w:r>
        <w:rPr>
          <w:rFonts w:ascii="Arial" w:eastAsia="Times New Roman" w:hAnsi="Arial" w:cs="Times New Roman"/>
          <w:sz w:val="18"/>
          <w:szCs w:val="20"/>
        </w:rPr>
        <w:t>Sung B.H.</w:t>
      </w:r>
      <w:r w:rsidRPr="00C13EAD">
        <w:rPr>
          <w:rFonts w:ascii="Arial" w:eastAsia="Times New Roman" w:hAnsi="Arial" w:cs="Times New Roman"/>
          <w:sz w:val="18"/>
          <w:szCs w:val="20"/>
        </w:rPr>
        <w:t xml:space="preserve">, </w:t>
      </w:r>
      <w:r>
        <w:rPr>
          <w:rFonts w:ascii="Arial" w:eastAsia="Times New Roman" w:hAnsi="Arial" w:cs="Times New Roman"/>
          <w:sz w:val="18"/>
          <w:szCs w:val="20"/>
        </w:rPr>
        <w:t xml:space="preserve">Park </w:t>
      </w:r>
      <w:r w:rsidRPr="00C13EAD">
        <w:rPr>
          <w:rFonts w:ascii="Arial" w:eastAsia="Times New Roman" w:hAnsi="Arial" w:cs="Times New Roman"/>
          <w:sz w:val="18"/>
          <w:szCs w:val="20"/>
        </w:rPr>
        <w:t>Y.K.</w:t>
      </w:r>
      <w:r w:rsidR="008B3A80" w:rsidRPr="008B3A80">
        <w:rPr>
          <w:rFonts w:ascii="Arial" w:eastAsia="Times New Roman" w:hAnsi="Arial" w:cs="Times New Roman"/>
          <w:sz w:val="18"/>
          <w:szCs w:val="20"/>
          <w:highlight w:val="yellow"/>
        </w:rPr>
        <w:t>,</w:t>
      </w:r>
      <w:r w:rsidRPr="00C13EAD">
        <w:rPr>
          <w:rFonts w:ascii="Arial" w:eastAsia="Times New Roman" w:hAnsi="Arial" w:cs="Times New Roman"/>
          <w:sz w:val="18"/>
          <w:szCs w:val="20"/>
        </w:rPr>
        <w:t xml:space="preserve"> </w:t>
      </w:r>
      <w:r>
        <w:rPr>
          <w:rFonts w:ascii="Arial" w:eastAsia="Times New Roman" w:hAnsi="Arial" w:cs="Times New Roman"/>
          <w:sz w:val="18"/>
          <w:szCs w:val="20"/>
        </w:rPr>
        <w:t xml:space="preserve">2017. </w:t>
      </w:r>
      <w:r w:rsidRPr="00C13EAD">
        <w:rPr>
          <w:rFonts w:ascii="Arial" w:eastAsia="Times New Roman" w:hAnsi="Arial" w:cs="Times New Roman"/>
          <w:sz w:val="18"/>
          <w:szCs w:val="20"/>
        </w:rPr>
        <w:t xml:space="preserve">In-situ catalytic pyrolysis of lignin in a bench-scale fixed bed </w:t>
      </w:r>
      <w:proofErr w:type="spellStart"/>
      <w:r w:rsidRPr="00C13EAD">
        <w:rPr>
          <w:rFonts w:ascii="Arial" w:eastAsia="Times New Roman" w:hAnsi="Arial" w:cs="Times New Roman"/>
          <w:sz w:val="18"/>
          <w:szCs w:val="20"/>
        </w:rPr>
        <w:t>py</w:t>
      </w:r>
      <w:r>
        <w:rPr>
          <w:rFonts w:ascii="Arial" w:eastAsia="Times New Roman" w:hAnsi="Arial" w:cs="Times New Roman"/>
          <w:sz w:val="18"/>
          <w:szCs w:val="20"/>
        </w:rPr>
        <w:t>rolyzer</w:t>
      </w:r>
      <w:proofErr w:type="spellEnd"/>
      <w:r>
        <w:rPr>
          <w:rFonts w:ascii="Arial" w:eastAsia="Times New Roman" w:hAnsi="Arial" w:cs="Times New Roman"/>
          <w:sz w:val="18"/>
          <w:szCs w:val="20"/>
        </w:rPr>
        <w:t xml:space="preserve">. </w:t>
      </w:r>
      <w:r w:rsidRPr="00246DB9">
        <w:rPr>
          <w:rFonts w:ascii="Arial" w:eastAsia="Times New Roman" w:hAnsi="Arial" w:cs="Times New Roman"/>
          <w:sz w:val="18"/>
          <w:szCs w:val="20"/>
        </w:rPr>
        <w:t>Journal of Industrial and Engineering Chemistry</w:t>
      </w:r>
      <w:r>
        <w:rPr>
          <w:rFonts w:ascii="Arial" w:eastAsia="Times New Roman" w:hAnsi="Arial" w:cs="Times New Roman"/>
          <w:sz w:val="18"/>
          <w:szCs w:val="20"/>
        </w:rPr>
        <w:t>. 54. 447–453.</w:t>
      </w:r>
    </w:p>
    <w:p w14:paraId="095870FE" w14:textId="1F7E829F" w:rsidR="00BB3908" w:rsidRPr="00F63AF6" w:rsidRDefault="00BB3908" w:rsidP="00C01E6B">
      <w:pPr>
        <w:spacing w:after="0" w:line="264" w:lineRule="auto"/>
        <w:ind w:left="284" w:hanging="284"/>
        <w:jc w:val="both"/>
        <w:rPr>
          <w:rFonts w:ascii="Arial" w:eastAsia="Times New Roman" w:hAnsi="Arial" w:cs="Times New Roman"/>
          <w:sz w:val="18"/>
          <w:szCs w:val="20"/>
        </w:rPr>
      </w:pPr>
      <w:r w:rsidRPr="00F63AF6">
        <w:rPr>
          <w:rFonts w:ascii="Arial" w:eastAsia="Times New Roman" w:hAnsi="Arial" w:cs="Times New Roman"/>
          <w:sz w:val="18"/>
          <w:szCs w:val="20"/>
        </w:rPr>
        <w:t>Shah A</w:t>
      </w:r>
      <w:r>
        <w:rPr>
          <w:rFonts w:ascii="Arial" w:eastAsia="Times New Roman" w:hAnsi="Arial" w:cs="Times New Roman"/>
          <w:sz w:val="18"/>
          <w:szCs w:val="20"/>
        </w:rPr>
        <w:t>.</w:t>
      </w:r>
      <w:r w:rsidRPr="00F63AF6">
        <w:rPr>
          <w:rFonts w:ascii="Arial" w:eastAsia="Times New Roman" w:hAnsi="Arial" w:cs="Times New Roman"/>
          <w:sz w:val="18"/>
          <w:szCs w:val="20"/>
        </w:rPr>
        <w:t>A</w:t>
      </w:r>
      <w:r>
        <w:rPr>
          <w:rFonts w:ascii="Arial" w:eastAsia="Times New Roman" w:hAnsi="Arial" w:cs="Times New Roman"/>
          <w:sz w:val="18"/>
          <w:szCs w:val="20"/>
        </w:rPr>
        <w:t>.</w:t>
      </w:r>
      <w:r w:rsidRPr="00F63AF6">
        <w:rPr>
          <w:rFonts w:ascii="Arial" w:eastAsia="Times New Roman" w:hAnsi="Arial" w:cs="Times New Roman"/>
          <w:sz w:val="18"/>
          <w:szCs w:val="20"/>
        </w:rPr>
        <w:t xml:space="preserve">, </w:t>
      </w:r>
      <w:proofErr w:type="spellStart"/>
      <w:r w:rsidRPr="00F63AF6">
        <w:rPr>
          <w:rFonts w:ascii="Arial" w:eastAsia="Times New Roman" w:hAnsi="Arial" w:cs="Times New Roman"/>
          <w:sz w:val="18"/>
          <w:szCs w:val="20"/>
        </w:rPr>
        <w:t>Seehar</w:t>
      </w:r>
      <w:proofErr w:type="spellEnd"/>
      <w:r w:rsidRPr="00F63AF6">
        <w:rPr>
          <w:rFonts w:ascii="Arial" w:eastAsia="Times New Roman" w:hAnsi="Arial" w:cs="Times New Roman"/>
          <w:sz w:val="18"/>
          <w:szCs w:val="20"/>
        </w:rPr>
        <w:t xml:space="preserve"> T</w:t>
      </w:r>
      <w:r>
        <w:rPr>
          <w:rFonts w:ascii="Arial" w:eastAsia="Times New Roman" w:hAnsi="Arial" w:cs="Times New Roman"/>
          <w:sz w:val="18"/>
          <w:szCs w:val="20"/>
        </w:rPr>
        <w:t>.</w:t>
      </w:r>
      <w:r w:rsidRPr="00F63AF6">
        <w:rPr>
          <w:rFonts w:ascii="Arial" w:eastAsia="Times New Roman" w:hAnsi="Arial" w:cs="Times New Roman"/>
          <w:sz w:val="18"/>
          <w:szCs w:val="20"/>
        </w:rPr>
        <w:t>H</w:t>
      </w:r>
      <w:r>
        <w:rPr>
          <w:rFonts w:ascii="Arial" w:eastAsia="Times New Roman" w:hAnsi="Arial" w:cs="Times New Roman"/>
          <w:sz w:val="18"/>
          <w:szCs w:val="20"/>
        </w:rPr>
        <w:t>.</w:t>
      </w:r>
      <w:r w:rsidRPr="00F63AF6">
        <w:rPr>
          <w:rFonts w:ascii="Arial" w:eastAsia="Times New Roman" w:hAnsi="Arial" w:cs="Times New Roman"/>
          <w:sz w:val="18"/>
          <w:szCs w:val="20"/>
        </w:rPr>
        <w:t>, Sharma K</w:t>
      </w:r>
      <w:r>
        <w:rPr>
          <w:rFonts w:ascii="Arial" w:eastAsia="Times New Roman" w:hAnsi="Arial" w:cs="Times New Roman"/>
          <w:sz w:val="18"/>
          <w:szCs w:val="20"/>
        </w:rPr>
        <w:t>.</w:t>
      </w:r>
      <w:r w:rsidRPr="00F63AF6">
        <w:rPr>
          <w:rFonts w:ascii="Arial" w:eastAsia="Times New Roman" w:hAnsi="Arial" w:cs="Times New Roman"/>
          <w:sz w:val="18"/>
          <w:szCs w:val="20"/>
        </w:rPr>
        <w:t>, Toor S</w:t>
      </w:r>
      <w:r>
        <w:rPr>
          <w:rFonts w:ascii="Arial" w:eastAsia="Times New Roman" w:hAnsi="Arial" w:cs="Times New Roman"/>
          <w:sz w:val="18"/>
          <w:szCs w:val="20"/>
        </w:rPr>
        <w:t>.</w:t>
      </w:r>
      <w:r w:rsidRPr="00F63AF6">
        <w:rPr>
          <w:rFonts w:ascii="Arial" w:eastAsia="Times New Roman" w:hAnsi="Arial" w:cs="Times New Roman"/>
          <w:sz w:val="18"/>
          <w:szCs w:val="20"/>
        </w:rPr>
        <w:t>S.</w:t>
      </w:r>
      <w:r w:rsidR="008B3A80" w:rsidRPr="008B3A80">
        <w:rPr>
          <w:rFonts w:ascii="Arial" w:eastAsia="Times New Roman" w:hAnsi="Arial" w:cs="Times New Roman"/>
          <w:sz w:val="18"/>
          <w:szCs w:val="20"/>
          <w:highlight w:val="yellow"/>
        </w:rPr>
        <w:t>,</w:t>
      </w:r>
      <w:r w:rsidRPr="00F63AF6">
        <w:rPr>
          <w:rFonts w:ascii="Arial" w:eastAsia="Times New Roman" w:hAnsi="Arial" w:cs="Times New Roman"/>
          <w:sz w:val="18"/>
          <w:szCs w:val="20"/>
        </w:rPr>
        <w:t xml:space="preserve"> 2022</w:t>
      </w:r>
      <w:r>
        <w:rPr>
          <w:rFonts w:ascii="Arial" w:eastAsia="Times New Roman" w:hAnsi="Arial" w:cs="Times New Roman"/>
          <w:sz w:val="18"/>
          <w:szCs w:val="20"/>
        </w:rPr>
        <w:t xml:space="preserve">. </w:t>
      </w:r>
      <w:r w:rsidRPr="00F63AF6">
        <w:rPr>
          <w:rFonts w:ascii="Arial" w:eastAsia="Times New Roman" w:hAnsi="Arial" w:cs="Times New Roman"/>
          <w:sz w:val="18"/>
          <w:szCs w:val="20"/>
        </w:rPr>
        <w:t>Chapter 7 - biomass pretreatment</w:t>
      </w:r>
      <w:r>
        <w:rPr>
          <w:rFonts w:ascii="Arial" w:eastAsia="Times New Roman" w:hAnsi="Arial" w:cs="Times New Roman"/>
          <w:sz w:val="18"/>
          <w:szCs w:val="20"/>
        </w:rPr>
        <w:t xml:space="preserve"> </w:t>
      </w:r>
      <w:r w:rsidRPr="00F63AF6">
        <w:rPr>
          <w:rFonts w:ascii="Arial" w:eastAsia="Times New Roman" w:hAnsi="Arial" w:cs="Times New Roman"/>
          <w:sz w:val="18"/>
          <w:szCs w:val="20"/>
        </w:rPr>
        <w:t>techno</w:t>
      </w:r>
      <w:r>
        <w:rPr>
          <w:rFonts w:ascii="Arial" w:eastAsia="Times New Roman" w:hAnsi="Arial" w:cs="Times New Roman"/>
          <w:sz w:val="18"/>
          <w:szCs w:val="20"/>
        </w:rPr>
        <w:t>logies. Hydrocarbon Biorefinery.</w:t>
      </w:r>
      <w:r w:rsidRPr="00F63AF6">
        <w:rPr>
          <w:rFonts w:ascii="Arial" w:eastAsia="Times New Roman" w:hAnsi="Arial" w:cs="Times New Roman"/>
          <w:sz w:val="18"/>
          <w:szCs w:val="20"/>
        </w:rPr>
        <w:t xml:space="preserve"> 203–28.</w:t>
      </w:r>
    </w:p>
    <w:p w14:paraId="20F363CB" w14:textId="77777777" w:rsidR="00BB3908" w:rsidRPr="007A2CAB" w:rsidRDefault="00BB3908" w:rsidP="00C01E6B">
      <w:pPr>
        <w:spacing w:after="0" w:line="264" w:lineRule="auto"/>
        <w:ind w:left="284" w:hanging="284"/>
        <w:jc w:val="both"/>
        <w:rPr>
          <w:rFonts w:ascii="Arial" w:eastAsia="Times New Roman" w:hAnsi="Arial" w:cs="Times New Roman"/>
          <w:sz w:val="18"/>
          <w:szCs w:val="20"/>
        </w:rPr>
      </w:pPr>
      <w:r w:rsidRPr="00BB3908">
        <w:rPr>
          <w:rFonts w:ascii="Arial" w:eastAsia="Times New Roman" w:hAnsi="Arial" w:cs="Times New Roman"/>
          <w:sz w:val="18"/>
          <w:szCs w:val="20"/>
        </w:rPr>
        <w:t>Sher</w:t>
      </w:r>
      <w:r>
        <w:rPr>
          <w:rFonts w:ascii="Arial" w:eastAsia="Times New Roman" w:hAnsi="Arial" w:cs="Times New Roman"/>
          <w:sz w:val="18"/>
          <w:szCs w:val="20"/>
        </w:rPr>
        <w:t xml:space="preserve"> F.</w:t>
      </w:r>
      <w:r w:rsidRPr="00BB3908">
        <w:rPr>
          <w:rFonts w:ascii="Arial" w:eastAsia="Times New Roman" w:hAnsi="Arial" w:cs="Times New Roman"/>
          <w:sz w:val="18"/>
          <w:szCs w:val="20"/>
        </w:rPr>
        <w:t>, Hameed</w:t>
      </w:r>
      <w:r>
        <w:rPr>
          <w:rFonts w:ascii="Arial" w:eastAsia="Times New Roman" w:hAnsi="Arial" w:cs="Times New Roman"/>
          <w:sz w:val="18"/>
          <w:szCs w:val="20"/>
        </w:rPr>
        <w:t xml:space="preserve"> S.</w:t>
      </w:r>
      <w:r w:rsidRPr="00BB3908">
        <w:rPr>
          <w:rFonts w:ascii="Arial" w:eastAsia="Times New Roman" w:hAnsi="Arial" w:cs="Times New Roman"/>
          <w:sz w:val="18"/>
          <w:szCs w:val="20"/>
        </w:rPr>
        <w:t>, Omerbegović</w:t>
      </w:r>
      <w:r>
        <w:rPr>
          <w:rFonts w:ascii="Arial" w:eastAsia="Times New Roman" w:hAnsi="Arial" w:cs="Times New Roman"/>
          <w:sz w:val="18"/>
          <w:szCs w:val="20"/>
        </w:rPr>
        <w:t xml:space="preserve"> N. S.</w:t>
      </w:r>
      <w:r w:rsidRPr="00BB3908">
        <w:rPr>
          <w:rFonts w:ascii="Arial" w:eastAsia="Times New Roman" w:hAnsi="Arial" w:cs="Times New Roman"/>
          <w:sz w:val="18"/>
          <w:szCs w:val="20"/>
        </w:rPr>
        <w:t xml:space="preserve">, </w:t>
      </w:r>
      <w:proofErr w:type="spellStart"/>
      <w:r w:rsidRPr="00BB3908">
        <w:rPr>
          <w:rFonts w:ascii="Arial" w:eastAsia="Times New Roman" w:hAnsi="Arial" w:cs="Times New Roman"/>
          <w:sz w:val="18"/>
          <w:szCs w:val="20"/>
        </w:rPr>
        <w:t>Chupin</w:t>
      </w:r>
      <w:proofErr w:type="spellEnd"/>
      <w:r>
        <w:rPr>
          <w:rFonts w:ascii="Arial" w:eastAsia="Times New Roman" w:hAnsi="Arial" w:cs="Times New Roman"/>
          <w:sz w:val="18"/>
          <w:szCs w:val="20"/>
        </w:rPr>
        <w:t xml:space="preserve"> A.</w:t>
      </w:r>
      <w:r w:rsidRPr="00BB3908">
        <w:rPr>
          <w:rFonts w:ascii="Arial" w:eastAsia="Times New Roman" w:hAnsi="Arial" w:cs="Times New Roman"/>
          <w:sz w:val="18"/>
          <w:szCs w:val="20"/>
        </w:rPr>
        <w:t>, Hai</w:t>
      </w:r>
      <w:r>
        <w:rPr>
          <w:rFonts w:ascii="Arial" w:eastAsia="Times New Roman" w:hAnsi="Arial" w:cs="Times New Roman"/>
          <w:sz w:val="18"/>
          <w:szCs w:val="20"/>
        </w:rPr>
        <w:t xml:space="preserve"> I. U.</w:t>
      </w:r>
      <w:r w:rsidRPr="00BB3908">
        <w:rPr>
          <w:rFonts w:ascii="Arial" w:eastAsia="Times New Roman" w:hAnsi="Arial" w:cs="Times New Roman"/>
          <w:sz w:val="18"/>
          <w:szCs w:val="20"/>
        </w:rPr>
        <w:t>, Wang</w:t>
      </w:r>
      <w:r>
        <w:rPr>
          <w:rFonts w:ascii="Arial" w:eastAsia="Times New Roman" w:hAnsi="Arial" w:cs="Times New Roman"/>
          <w:sz w:val="18"/>
          <w:szCs w:val="20"/>
        </w:rPr>
        <w:t xml:space="preserve"> B., </w:t>
      </w:r>
      <w:r w:rsidRPr="00BB3908">
        <w:rPr>
          <w:rFonts w:ascii="Arial" w:eastAsia="Times New Roman" w:hAnsi="Arial" w:cs="Times New Roman"/>
          <w:sz w:val="18"/>
          <w:szCs w:val="20"/>
        </w:rPr>
        <w:t>Teoh</w:t>
      </w:r>
      <w:r>
        <w:rPr>
          <w:rFonts w:ascii="Arial" w:eastAsia="Times New Roman" w:hAnsi="Arial" w:cs="Times New Roman"/>
          <w:sz w:val="18"/>
          <w:szCs w:val="20"/>
        </w:rPr>
        <w:t xml:space="preserve"> Y. H.</w:t>
      </w:r>
      <w:r w:rsidRPr="00BB3908">
        <w:rPr>
          <w:rFonts w:ascii="Arial" w:eastAsia="Times New Roman" w:hAnsi="Arial" w:cs="Times New Roman"/>
          <w:sz w:val="18"/>
          <w:szCs w:val="20"/>
        </w:rPr>
        <w:t>, Yildiz</w:t>
      </w:r>
      <w:r>
        <w:rPr>
          <w:rFonts w:ascii="Arial" w:eastAsia="Times New Roman" w:hAnsi="Arial" w:cs="Times New Roman"/>
          <w:sz w:val="18"/>
          <w:szCs w:val="20"/>
        </w:rPr>
        <w:t xml:space="preserve"> M. J.</w:t>
      </w:r>
      <w:r w:rsidRPr="00BB3908">
        <w:rPr>
          <w:rFonts w:ascii="Arial" w:eastAsia="Times New Roman" w:hAnsi="Arial" w:cs="Times New Roman"/>
          <w:sz w:val="18"/>
          <w:szCs w:val="20"/>
        </w:rPr>
        <w:t>,</w:t>
      </w:r>
      <w:r>
        <w:rPr>
          <w:rFonts w:ascii="Arial" w:eastAsia="Times New Roman" w:hAnsi="Arial" w:cs="Times New Roman"/>
          <w:sz w:val="18"/>
          <w:szCs w:val="20"/>
        </w:rPr>
        <w:t xml:space="preserve"> 2025. </w:t>
      </w:r>
      <w:r w:rsidRPr="00BB3908">
        <w:rPr>
          <w:rFonts w:ascii="Arial" w:eastAsia="Times New Roman" w:hAnsi="Arial" w:cs="Times New Roman"/>
          <w:sz w:val="18"/>
          <w:szCs w:val="20"/>
        </w:rPr>
        <w:t>Cutting-edge biomass gasification technologies for renewable energy generation a</w:t>
      </w:r>
      <w:r>
        <w:rPr>
          <w:rFonts w:ascii="Arial" w:eastAsia="Times New Roman" w:hAnsi="Arial" w:cs="Times New Roman"/>
          <w:sz w:val="18"/>
          <w:szCs w:val="20"/>
        </w:rPr>
        <w:t xml:space="preserve">nd achieving net zero emissions. </w:t>
      </w:r>
      <w:r w:rsidRPr="00BB3908">
        <w:rPr>
          <w:rFonts w:ascii="Arial" w:eastAsia="Times New Roman" w:hAnsi="Arial" w:cs="Times New Roman"/>
          <w:sz w:val="18"/>
          <w:szCs w:val="20"/>
        </w:rPr>
        <w:t>E</w:t>
      </w:r>
      <w:r>
        <w:rPr>
          <w:rFonts w:ascii="Arial" w:eastAsia="Times New Roman" w:hAnsi="Arial" w:cs="Times New Roman"/>
          <w:sz w:val="18"/>
          <w:szCs w:val="20"/>
        </w:rPr>
        <w:t xml:space="preserve">nergy Conversion and Management. </w:t>
      </w:r>
      <w:r w:rsidRPr="00BB3908">
        <w:rPr>
          <w:rFonts w:ascii="Arial" w:eastAsia="Times New Roman" w:hAnsi="Arial" w:cs="Times New Roman"/>
          <w:sz w:val="18"/>
          <w:szCs w:val="20"/>
        </w:rPr>
        <w:t>323</w:t>
      </w:r>
      <w:r>
        <w:rPr>
          <w:rFonts w:ascii="Arial" w:eastAsia="Times New Roman" w:hAnsi="Arial" w:cs="Times New Roman"/>
          <w:sz w:val="18"/>
          <w:szCs w:val="20"/>
        </w:rPr>
        <w:t xml:space="preserve">. </w:t>
      </w:r>
      <w:r w:rsidRPr="00BB3908">
        <w:rPr>
          <w:rFonts w:ascii="Arial" w:eastAsia="Times New Roman" w:hAnsi="Arial" w:cs="Times New Roman"/>
          <w:sz w:val="18"/>
          <w:szCs w:val="20"/>
        </w:rPr>
        <w:t>119213</w:t>
      </w:r>
      <w:r>
        <w:rPr>
          <w:rFonts w:ascii="Arial" w:eastAsia="Times New Roman" w:hAnsi="Arial" w:cs="Times New Roman"/>
          <w:sz w:val="18"/>
          <w:szCs w:val="20"/>
        </w:rPr>
        <w:t>.</w:t>
      </w:r>
    </w:p>
    <w:p w14:paraId="344819F8" w14:textId="0E9B8697" w:rsidR="00BB3908" w:rsidRDefault="00BB3908" w:rsidP="00C01E6B">
      <w:pPr>
        <w:spacing w:after="0" w:line="264" w:lineRule="auto"/>
        <w:ind w:left="284" w:hanging="284"/>
        <w:jc w:val="both"/>
        <w:rPr>
          <w:rFonts w:ascii="Arial" w:eastAsia="Times New Roman" w:hAnsi="Arial" w:cs="Times New Roman"/>
          <w:sz w:val="18"/>
          <w:szCs w:val="20"/>
        </w:rPr>
      </w:pPr>
      <w:r w:rsidRPr="00F63AF6">
        <w:rPr>
          <w:rFonts w:ascii="Arial" w:eastAsia="Times New Roman" w:hAnsi="Arial" w:cs="Times New Roman"/>
          <w:sz w:val="18"/>
          <w:szCs w:val="20"/>
        </w:rPr>
        <w:t>Singh R</w:t>
      </w:r>
      <w:r>
        <w:rPr>
          <w:rFonts w:ascii="Arial" w:eastAsia="Times New Roman" w:hAnsi="Arial" w:cs="Times New Roman"/>
          <w:sz w:val="18"/>
          <w:szCs w:val="20"/>
        </w:rPr>
        <w:t>.</w:t>
      </w:r>
      <w:r w:rsidRPr="00F63AF6">
        <w:rPr>
          <w:rFonts w:ascii="Arial" w:eastAsia="Times New Roman" w:hAnsi="Arial" w:cs="Times New Roman"/>
          <w:sz w:val="18"/>
          <w:szCs w:val="20"/>
        </w:rPr>
        <w:t>, Kumar R</w:t>
      </w:r>
      <w:r>
        <w:rPr>
          <w:rFonts w:ascii="Arial" w:eastAsia="Times New Roman" w:hAnsi="Arial" w:cs="Times New Roman"/>
          <w:sz w:val="18"/>
          <w:szCs w:val="20"/>
        </w:rPr>
        <w:t>.</w:t>
      </w:r>
      <w:r w:rsidRPr="00F63AF6">
        <w:rPr>
          <w:rFonts w:ascii="Arial" w:eastAsia="Times New Roman" w:hAnsi="Arial" w:cs="Times New Roman"/>
          <w:sz w:val="18"/>
          <w:szCs w:val="20"/>
        </w:rPr>
        <w:t>, Sarangi P</w:t>
      </w:r>
      <w:r>
        <w:rPr>
          <w:rFonts w:ascii="Arial" w:eastAsia="Times New Roman" w:hAnsi="Arial" w:cs="Times New Roman"/>
          <w:sz w:val="18"/>
          <w:szCs w:val="20"/>
        </w:rPr>
        <w:t>.</w:t>
      </w:r>
      <w:r w:rsidRPr="00F63AF6">
        <w:rPr>
          <w:rFonts w:ascii="Arial" w:eastAsia="Times New Roman" w:hAnsi="Arial" w:cs="Times New Roman"/>
          <w:sz w:val="18"/>
          <w:szCs w:val="20"/>
        </w:rPr>
        <w:t>K</w:t>
      </w:r>
      <w:r>
        <w:rPr>
          <w:rFonts w:ascii="Arial" w:eastAsia="Times New Roman" w:hAnsi="Arial" w:cs="Times New Roman"/>
          <w:sz w:val="18"/>
          <w:szCs w:val="20"/>
        </w:rPr>
        <w:t>.</w:t>
      </w:r>
      <w:r w:rsidRPr="00F63AF6">
        <w:rPr>
          <w:rFonts w:ascii="Arial" w:eastAsia="Times New Roman" w:hAnsi="Arial" w:cs="Times New Roman"/>
          <w:sz w:val="18"/>
          <w:szCs w:val="20"/>
        </w:rPr>
        <w:t>, Kovalev A</w:t>
      </w:r>
      <w:r>
        <w:rPr>
          <w:rFonts w:ascii="Arial" w:eastAsia="Times New Roman" w:hAnsi="Arial" w:cs="Times New Roman"/>
          <w:sz w:val="18"/>
          <w:szCs w:val="20"/>
        </w:rPr>
        <w:t>.</w:t>
      </w:r>
      <w:r w:rsidRPr="00F63AF6">
        <w:rPr>
          <w:rFonts w:ascii="Arial" w:eastAsia="Times New Roman" w:hAnsi="Arial" w:cs="Times New Roman"/>
          <w:sz w:val="18"/>
          <w:szCs w:val="20"/>
        </w:rPr>
        <w:t>A.</w:t>
      </w:r>
      <w:r w:rsidR="008B3A80" w:rsidRPr="008B3A80">
        <w:rPr>
          <w:rFonts w:ascii="Arial" w:eastAsia="Times New Roman" w:hAnsi="Arial" w:cs="Times New Roman"/>
          <w:sz w:val="18"/>
          <w:szCs w:val="20"/>
          <w:highlight w:val="yellow"/>
        </w:rPr>
        <w:t>,</w:t>
      </w:r>
      <w:r>
        <w:rPr>
          <w:rFonts w:ascii="Arial" w:eastAsia="Times New Roman" w:hAnsi="Arial" w:cs="Times New Roman"/>
          <w:sz w:val="18"/>
          <w:szCs w:val="20"/>
        </w:rPr>
        <w:t xml:space="preserve"> 2023.</w:t>
      </w:r>
      <w:r w:rsidRPr="00F63AF6">
        <w:rPr>
          <w:rFonts w:ascii="Arial" w:eastAsia="Times New Roman" w:hAnsi="Arial" w:cs="Times New Roman"/>
          <w:sz w:val="18"/>
          <w:szCs w:val="20"/>
        </w:rPr>
        <w:t xml:space="preserve"> Effect of physical and thermal</w:t>
      </w:r>
      <w:r>
        <w:rPr>
          <w:rFonts w:ascii="Arial" w:eastAsia="Times New Roman" w:hAnsi="Arial" w:cs="Times New Roman"/>
          <w:sz w:val="18"/>
          <w:szCs w:val="20"/>
        </w:rPr>
        <w:t xml:space="preserve"> </w:t>
      </w:r>
      <w:r w:rsidRPr="00F63AF6">
        <w:rPr>
          <w:rFonts w:ascii="Arial" w:eastAsia="Times New Roman" w:hAnsi="Arial" w:cs="Times New Roman"/>
          <w:sz w:val="18"/>
          <w:szCs w:val="20"/>
        </w:rPr>
        <w:t>pretreatment of lignocellulosic biomass on biohydrogen production by</w:t>
      </w:r>
      <w:r>
        <w:rPr>
          <w:rFonts w:ascii="Arial" w:eastAsia="Times New Roman" w:hAnsi="Arial" w:cs="Times New Roman"/>
          <w:sz w:val="18"/>
          <w:szCs w:val="20"/>
        </w:rPr>
        <w:t xml:space="preserve"> </w:t>
      </w:r>
      <w:r w:rsidRPr="00F63AF6">
        <w:rPr>
          <w:rFonts w:ascii="Arial" w:eastAsia="Times New Roman" w:hAnsi="Arial" w:cs="Times New Roman"/>
          <w:sz w:val="18"/>
          <w:szCs w:val="20"/>
        </w:rPr>
        <w:t>thermochemical route: a critical review. Bioresour</w:t>
      </w:r>
      <w:r>
        <w:rPr>
          <w:rFonts w:ascii="Arial" w:eastAsia="Times New Roman" w:hAnsi="Arial" w:cs="Times New Roman"/>
          <w:sz w:val="18"/>
          <w:szCs w:val="20"/>
        </w:rPr>
        <w:t>ce</w:t>
      </w:r>
      <w:r w:rsidRPr="00F63AF6">
        <w:rPr>
          <w:rFonts w:ascii="Arial" w:eastAsia="Times New Roman" w:hAnsi="Arial" w:cs="Times New Roman"/>
          <w:sz w:val="18"/>
          <w:szCs w:val="20"/>
        </w:rPr>
        <w:t xml:space="preserve"> Te</w:t>
      </w:r>
      <w:r>
        <w:rPr>
          <w:rFonts w:ascii="Arial" w:eastAsia="Times New Roman" w:hAnsi="Arial" w:cs="Times New Roman"/>
          <w:sz w:val="18"/>
          <w:szCs w:val="20"/>
        </w:rPr>
        <w:t xml:space="preserve">chnology. 369. </w:t>
      </w:r>
      <w:r w:rsidRPr="00F63AF6">
        <w:rPr>
          <w:rFonts w:ascii="Arial" w:eastAsia="Times New Roman" w:hAnsi="Arial" w:cs="Times New Roman"/>
          <w:sz w:val="18"/>
          <w:szCs w:val="20"/>
        </w:rPr>
        <w:t>128458.</w:t>
      </w:r>
    </w:p>
    <w:p w14:paraId="4D1913E9" w14:textId="7F8707CC" w:rsidR="00BB3908" w:rsidRDefault="00BB3908" w:rsidP="00C01E6B">
      <w:pPr>
        <w:spacing w:after="0" w:line="264" w:lineRule="auto"/>
        <w:ind w:left="284" w:hanging="284"/>
        <w:jc w:val="both"/>
        <w:rPr>
          <w:rFonts w:ascii="Arial" w:eastAsia="Times New Roman" w:hAnsi="Arial" w:cs="Times New Roman"/>
          <w:sz w:val="18"/>
          <w:szCs w:val="20"/>
        </w:rPr>
      </w:pPr>
      <w:r w:rsidRPr="00246DB9">
        <w:rPr>
          <w:rFonts w:ascii="Arial" w:eastAsia="Times New Roman" w:hAnsi="Arial" w:cs="Times New Roman"/>
          <w:sz w:val="18"/>
          <w:szCs w:val="20"/>
        </w:rPr>
        <w:t>Sunar S. L., Kumara K. M., Oruganti R. K., Khadka K. K., Panda T</w:t>
      </w:r>
      <w:r>
        <w:rPr>
          <w:rFonts w:ascii="Arial" w:eastAsia="Times New Roman" w:hAnsi="Arial" w:cs="Times New Roman"/>
          <w:sz w:val="18"/>
          <w:szCs w:val="20"/>
        </w:rPr>
        <w:t>. K.</w:t>
      </w:r>
      <w:r w:rsidRPr="00246DB9">
        <w:rPr>
          <w:rFonts w:ascii="Arial" w:eastAsia="Times New Roman" w:hAnsi="Arial" w:cs="Times New Roman"/>
          <w:sz w:val="18"/>
          <w:szCs w:val="20"/>
        </w:rPr>
        <w:t>, Bhattacharyya</w:t>
      </w:r>
      <w:r>
        <w:rPr>
          <w:rFonts w:ascii="Arial" w:eastAsia="Times New Roman" w:hAnsi="Arial" w:cs="Times New Roman"/>
          <w:sz w:val="18"/>
          <w:szCs w:val="20"/>
        </w:rPr>
        <w:t xml:space="preserve"> D.</w:t>
      </w:r>
      <w:r w:rsidR="008B3A80" w:rsidRPr="008B3A80">
        <w:rPr>
          <w:rFonts w:ascii="Arial" w:eastAsia="Times New Roman" w:hAnsi="Arial" w:cs="Times New Roman"/>
          <w:sz w:val="18"/>
          <w:szCs w:val="20"/>
          <w:highlight w:val="yellow"/>
        </w:rPr>
        <w:t>,</w:t>
      </w:r>
      <w:r>
        <w:rPr>
          <w:rFonts w:ascii="Arial" w:eastAsia="Times New Roman" w:hAnsi="Arial" w:cs="Times New Roman"/>
          <w:sz w:val="18"/>
          <w:szCs w:val="20"/>
        </w:rPr>
        <w:t xml:space="preserve"> 2025. </w:t>
      </w:r>
      <w:r w:rsidRPr="00246DB9">
        <w:rPr>
          <w:rFonts w:ascii="Arial" w:eastAsia="Times New Roman" w:hAnsi="Arial" w:cs="Times New Roman"/>
          <w:sz w:val="18"/>
          <w:szCs w:val="20"/>
        </w:rPr>
        <w:t>Pretreatment and anaerobic co-digestion of lignocellulosic biomass:</w:t>
      </w:r>
      <w:r>
        <w:rPr>
          <w:rFonts w:ascii="Arial" w:eastAsia="Times New Roman" w:hAnsi="Arial" w:cs="Times New Roman"/>
          <w:sz w:val="18"/>
          <w:szCs w:val="20"/>
        </w:rPr>
        <w:t xml:space="preserve"> </w:t>
      </w:r>
      <w:r w:rsidRPr="00246DB9">
        <w:rPr>
          <w:rFonts w:ascii="Arial" w:eastAsia="Times New Roman" w:hAnsi="Arial" w:cs="Times New Roman"/>
          <w:sz w:val="18"/>
          <w:szCs w:val="20"/>
        </w:rPr>
        <w:t>Recent developments</w:t>
      </w:r>
      <w:r>
        <w:rPr>
          <w:rFonts w:ascii="Arial" w:eastAsia="Times New Roman" w:hAnsi="Arial" w:cs="Times New Roman"/>
          <w:sz w:val="18"/>
          <w:szCs w:val="20"/>
        </w:rPr>
        <w:t xml:space="preserve">. </w:t>
      </w:r>
      <w:r w:rsidRPr="00246DB9">
        <w:rPr>
          <w:rFonts w:ascii="Arial" w:eastAsia="Times New Roman" w:hAnsi="Arial" w:cs="Times New Roman"/>
          <w:sz w:val="18"/>
          <w:szCs w:val="20"/>
        </w:rPr>
        <w:t>Bioresource Technology Reports</w:t>
      </w:r>
      <w:r>
        <w:rPr>
          <w:rFonts w:ascii="Arial" w:eastAsia="Times New Roman" w:hAnsi="Arial" w:cs="Times New Roman"/>
          <w:sz w:val="18"/>
          <w:szCs w:val="20"/>
        </w:rPr>
        <w:t>. 30. 102133.</w:t>
      </w:r>
    </w:p>
    <w:p w14:paraId="561DC329" w14:textId="7A431F1B" w:rsidR="00BB3908" w:rsidRDefault="00BB3908" w:rsidP="00C01E6B">
      <w:pPr>
        <w:spacing w:after="0" w:line="264" w:lineRule="auto"/>
        <w:ind w:left="284" w:hanging="284"/>
        <w:jc w:val="both"/>
        <w:rPr>
          <w:rFonts w:ascii="Arial" w:eastAsia="Times New Roman" w:hAnsi="Arial" w:cs="Times New Roman"/>
          <w:sz w:val="18"/>
          <w:szCs w:val="20"/>
        </w:rPr>
      </w:pPr>
      <w:r>
        <w:rPr>
          <w:rFonts w:ascii="Arial" w:eastAsia="Times New Roman" w:hAnsi="Arial" w:cs="Times New Roman"/>
          <w:sz w:val="18"/>
          <w:szCs w:val="20"/>
        </w:rPr>
        <w:t>Tursi A.</w:t>
      </w:r>
      <w:r w:rsidR="008B3A80" w:rsidRPr="008B3A80">
        <w:rPr>
          <w:rFonts w:ascii="Arial" w:eastAsia="Times New Roman" w:hAnsi="Arial" w:cs="Times New Roman"/>
          <w:sz w:val="18"/>
          <w:szCs w:val="20"/>
          <w:highlight w:val="yellow"/>
        </w:rPr>
        <w:t>,</w:t>
      </w:r>
      <w:r>
        <w:rPr>
          <w:rFonts w:ascii="Arial" w:eastAsia="Times New Roman" w:hAnsi="Arial" w:cs="Times New Roman"/>
          <w:sz w:val="18"/>
          <w:szCs w:val="20"/>
        </w:rPr>
        <w:t xml:space="preserve"> 2019. </w:t>
      </w:r>
      <w:r w:rsidRPr="00C13EAD">
        <w:rPr>
          <w:rFonts w:ascii="Arial" w:eastAsia="Times New Roman" w:hAnsi="Arial" w:cs="Times New Roman"/>
          <w:sz w:val="18"/>
          <w:szCs w:val="20"/>
        </w:rPr>
        <w:t>A review on biomass: importance, chemistry, classification, and conversion</w:t>
      </w:r>
      <w:r>
        <w:rPr>
          <w:rFonts w:ascii="Arial" w:eastAsia="Times New Roman" w:hAnsi="Arial" w:cs="Times New Roman"/>
          <w:sz w:val="18"/>
          <w:szCs w:val="20"/>
        </w:rPr>
        <w:t>. Biofuel Research Journal. 22.</w:t>
      </w:r>
      <w:r w:rsidRPr="00C13EAD">
        <w:rPr>
          <w:rFonts w:ascii="Arial" w:eastAsia="Times New Roman" w:hAnsi="Arial" w:cs="Times New Roman"/>
          <w:sz w:val="18"/>
          <w:szCs w:val="20"/>
        </w:rPr>
        <w:t xml:space="preserve"> 962-979</w:t>
      </w:r>
    </w:p>
    <w:p w14:paraId="4ED4DCDA" w14:textId="77777777" w:rsidR="00BB3908" w:rsidRPr="00D127B2" w:rsidRDefault="00BB3908" w:rsidP="00C01E6B">
      <w:pPr>
        <w:spacing w:after="0" w:line="264" w:lineRule="auto"/>
        <w:ind w:left="284" w:hanging="284"/>
        <w:jc w:val="both"/>
        <w:rPr>
          <w:rFonts w:ascii="Arial" w:eastAsia="Times New Roman" w:hAnsi="Arial" w:cs="Times New Roman"/>
          <w:sz w:val="18"/>
          <w:szCs w:val="20"/>
        </w:rPr>
      </w:pPr>
      <w:r w:rsidRPr="00D127B2">
        <w:rPr>
          <w:rFonts w:ascii="Arial" w:eastAsia="Times New Roman" w:hAnsi="Arial" w:cs="Times New Roman"/>
          <w:sz w:val="18"/>
          <w:szCs w:val="20"/>
        </w:rPr>
        <w:t>Zhang</w:t>
      </w:r>
      <w:r>
        <w:rPr>
          <w:rFonts w:ascii="Arial" w:eastAsia="Times New Roman" w:hAnsi="Arial" w:cs="Times New Roman"/>
          <w:sz w:val="18"/>
          <w:szCs w:val="20"/>
        </w:rPr>
        <w:t xml:space="preserve"> X.,</w:t>
      </w:r>
      <w:r w:rsidRPr="00D127B2">
        <w:rPr>
          <w:rFonts w:ascii="Arial" w:eastAsia="Times New Roman" w:hAnsi="Arial" w:cs="Times New Roman"/>
          <w:sz w:val="18"/>
          <w:szCs w:val="20"/>
        </w:rPr>
        <w:t xml:space="preserve"> </w:t>
      </w:r>
      <w:r>
        <w:rPr>
          <w:rFonts w:ascii="Arial" w:eastAsia="Times New Roman" w:hAnsi="Arial" w:cs="Times New Roman"/>
          <w:sz w:val="18"/>
          <w:szCs w:val="20"/>
        </w:rPr>
        <w:t xml:space="preserve">Zhang </w:t>
      </w:r>
      <w:r w:rsidRPr="00D127B2">
        <w:rPr>
          <w:rFonts w:ascii="Arial" w:eastAsia="Times New Roman" w:hAnsi="Arial" w:cs="Times New Roman"/>
          <w:sz w:val="18"/>
          <w:szCs w:val="20"/>
        </w:rPr>
        <w:t>Y</w:t>
      </w:r>
      <w:r>
        <w:rPr>
          <w:rFonts w:ascii="Arial" w:eastAsia="Times New Roman" w:hAnsi="Arial" w:cs="Times New Roman"/>
          <w:sz w:val="18"/>
          <w:szCs w:val="20"/>
        </w:rPr>
        <w:t>.</w:t>
      </w:r>
      <w:r w:rsidRPr="00D127B2">
        <w:rPr>
          <w:rFonts w:ascii="Arial" w:eastAsia="Times New Roman" w:hAnsi="Arial" w:cs="Times New Roman"/>
          <w:sz w:val="18"/>
          <w:szCs w:val="20"/>
        </w:rPr>
        <w:t>,</w:t>
      </w:r>
      <w:r>
        <w:rPr>
          <w:rFonts w:ascii="Arial" w:eastAsia="Times New Roman" w:hAnsi="Arial" w:cs="Times New Roman"/>
          <w:sz w:val="18"/>
          <w:szCs w:val="20"/>
        </w:rPr>
        <w:t xml:space="preserve"> Zhang</w:t>
      </w:r>
      <w:r w:rsidRPr="00D127B2">
        <w:rPr>
          <w:rFonts w:ascii="Arial" w:eastAsia="Times New Roman" w:hAnsi="Arial" w:cs="Times New Roman"/>
          <w:sz w:val="18"/>
          <w:szCs w:val="20"/>
        </w:rPr>
        <w:t xml:space="preserve"> S</w:t>
      </w:r>
      <w:r>
        <w:rPr>
          <w:rFonts w:ascii="Arial" w:eastAsia="Times New Roman" w:hAnsi="Arial" w:cs="Times New Roman"/>
          <w:sz w:val="18"/>
          <w:szCs w:val="20"/>
        </w:rPr>
        <w:t xml:space="preserve">., </w:t>
      </w:r>
      <w:r w:rsidRPr="00D127B2">
        <w:rPr>
          <w:rFonts w:ascii="Arial" w:eastAsia="Times New Roman" w:hAnsi="Arial" w:cs="Times New Roman"/>
          <w:sz w:val="18"/>
          <w:szCs w:val="20"/>
        </w:rPr>
        <w:t>Yao</w:t>
      </w:r>
      <w:r>
        <w:rPr>
          <w:rFonts w:ascii="Arial" w:eastAsia="Times New Roman" w:hAnsi="Arial" w:cs="Times New Roman"/>
          <w:sz w:val="18"/>
          <w:szCs w:val="20"/>
        </w:rPr>
        <w:t xml:space="preserve"> L.,</w:t>
      </w:r>
      <w:r w:rsidRPr="00D127B2">
        <w:rPr>
          <w:rFonts w:ascii="Arial" w:eastAsia="Times New Roman" w:hAnsi="Arial" w:cs="Times New Roman"/>
          <w:sz w:val="18"/>
          <w:szCs w:val="20"/>
        </w:rPr>
        <w:t xml:space="preserve"> </w:t>
      </w:r>
      <w:r>
        <w:rPr>
          <w:rFonts w:ascii="Arial" w:eastAsia="Times New Roman" w:hAnsi="Arial" w:cs="Times New Roman"/>
          <w:sz w:val="18"/>
          <w:szCs w:val="20"/>
        </w:rPr>
        <w:t xml:space="preserve">Hao </w:t>
      </w:r>
      <w:r w:rsidRPr="00D127B2">
        <w:rPr>
          <w:rFonts w:ascii="Arial" w:eastAsia="Times New Roman" w:hAnsi="Arial" w:cs="Times New Roman"/>
          <w:sz w:val="18"/>
          <w:szCs w:val="20"/>
        </w:rPr>
        <w:t>Y</w:t>
      </w:r>
      <w:r>
        <w:rPr>
          <w:rFonts w:ascii="Arial" w:eastAsia="Times New Roman" w:hAnsi="Arial" w:cs="Times New Roman"/>
          <w:sz w:val="18"/>
          <w:szCs w:val="20"/>
        </w:rPr>
        <w:t xml:space="preserve">., 2025. </w:t>
      </w:r>
      <w:r w:rsidRPr="00D127B2">
        <w:rPr>
          <w:rFonts w:ascii="Arial" w:eastAsia="Times New Roman" w:hAnsi="Arial" w:cs="Times New Roman"/>
          <w:sz w:val="18"/>
          <w:szCs w:val="20"/>
        </w:rPr>
        <w:t>Lignocellulosic biomass pyrolysis: A review on the pretreatment</w:t>
      </w:r>
      <w:r>
        <w:rPr>
          <w:rFonts w:ascii="Arial" w:eastAsia="Times New Roman" w:hAnsi="Arial" w:cs="Times New Roman"/>
          <w:sz w:val="18"/>
          <w:szCs w:val="20"/>
        </w:rPr>
        <w:t xml:space="preserve"> </w:t>
      </w:r>
      <w:r w:rsidRPr="00D127B2">
        <w:rPr>
          <w:rFonts w:ascii="Arial" w:eastAsia="Times New Roman" w:hAnsi="Arial" w:cs="Times New Roman"/>
          <w:sz w:val="18"/>
          <w:szCs w:val="20"/>
        </w:rPr>
        <w:t>and catalysts</w:t>
      </w:r>
      <w:r>
        <w:rPr>
          <w:rFonts w:ascii="Arial" w:eastAsia="Times New Roman" w:hAnsi="Arial" w:cs="Times New Roman"/>
          <w:sz w:val="18"/>
          <w:szCs w:val="20"/>
        </w:rPr>
        <w:t>.</w:t>
      </w:r>
      <w:r w:rsidRPr="00D127B2">
        <w:t xml:space="preserve"> </w:t>
      </w:r>
      <w:r w:rsidRPr="00D127B2">
        <w:rPr>
          <w:rFonts w:ascii="Arial" w:eastAsia="Times New Roman" w:hAnsi="Arial" w:cs="Times New Roman"/>
          <w:sz w:val="18"/>
          <w:szCs w:val="20"/>
        </w:rPr>
        <w:t>Fuel Processing Technology</w:t>
      </w:r>
      <w:r>
        <w:rPr>
          <w:rFonts w:ascii="Arial" w:eastAsia="Times New Roman" w:hAnsi="Arial" w:cs="Times New Roman"/>
          <w:sz w:val="18"/>
          <w:szCs w:val="20"/>
        </w:rPr>
        <w:t>. 279. 108352.</w:t>
      </w:r>
    </w:p>
    <w:sectPr w:rsidR="00BB3908" w:rsidRPr="00D127B2" w:rsidSect="00246DB9">
      <w:type w:val="continuous"/>
      <w:pgSz w:w="11906" w:h="16838" w:code="9"/>
      <w:pgMar w:top="1701" w:right="1418" w:bottom="1701" w:left="1701" w:header="1701"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6960">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7C5C"/>
    <w:multiLevelType w:val="multilevel"/>
    <w:tmpl w:val="555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709DE"/>
    <w:multiLevelType w:val="multilevel"/>
    <w:tmpl w:val="847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8217E"/>
    <w:multiLevelType w:val="multilevel"/>
    <w:tmpl w:val="F17228D6"/>
    <w:lvl w:ilvl="0">
      <w:start w:val="1"/>
      <w:numFmt w:val="decimal"/>
      <w:suff w:val="space"/>
      <w:lvlText w:val="Chapter %1"/>
      <w:lvlJc w:val="left"/>
      <w:rPr>
        <w:rFonts w:cs="Times New Roman" w:hint="default"/>
      </w:rPr>
    </w:lvl>
    <w:lvl w:ilvl="1">
      <w:start w:val="1"/>
      <w:numFmt w:val="decimal"/>
      <w:pStyle w:val="CETHeading1"/>
      <w:suff w:val="space"/>
      <w:lvlText w:val="%2."/>
      <w:lvlJc w:val="left"/>
      <w:rPr>
        <w:rFonts w:cs="Times New Roman" w:hint="default"/>
      </w:rPr>
    </w:lvl>
    <w:lvl w:ilvl="2">
      <w:start w:val="1"/>
      <w:numFmt w:val="decimal"/>
      <w:pStyle w:val="CETheadingx"/>
      <w:suff w:val="space"/>
      <w:lvlText w:val="%2.%3"/>
      <w:lvlJc w:val="left"/>
      <w:rPr>
        <w:rFonts w:cs="Times New Roman" w:hint="default"/>
      </w:rPr>
    </w:lvl>
    <w:lvl w:ilvl="3">
      <w:start w:val="1"/>
      <w:numFmt w:val="decimal"/>
      <w:pStyle w:val="Egyszertblzat1"/>
      <w:suff w:val="space"/>
      <w:lvlText w:val="%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3.%4.%5.%6.%7.%8.%9."/>
      <w:lvlJc w:val="left"/>
      <w:rPr>
        <w:rFonts w:cs="Times New Roman" w:hint="default"/>
      </w:rPr>
    </w:lvl>
  </w:abstractNum>
  <w:abstractNum w:abstractNumId="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066261"/>
    <w:multiLevelType w:val="multilevel"/>
    <w:tmpl w:val="E5B4E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10E04"/>
    <w:multiLevelType w:val="multilevel"/>
    <w:tmpl w:val="CFA0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1A1A26"/>
    <w:multiLevelType w:val="multilevel"/>
    <w:tmpl w:val="B39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B561C"/>
    <w:multiLevelType w:val="multilevel"/>
    <w:tmpl w:val="86968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526460">
    <w:abstractNumId w:val="2"/>
  </w:num>
  <w:num w:numId="2" w16cid:durableId="308676037">
    <w:abstractNumId w:val="5"/>
  </w:num>
  <w:num w:numId="3" w16cid:durableId="547303214">
    <w:abstractNumId w:val="3"/>
  </w:num>
  <w:num w:numId="4" w16cid:durableId="385229733">
    <w:abstractNumId w:val="6"/>
  </w:num>
  <w:num w:numId="5" w16cid:durableId="1497265849">
    <w:abstractNumId w:val="7"/>
  </w:num>
  <w:num w:numId="6" w16cid:durableId="1538811039">
    <w:abstractNumId w:val="4"/>
  </w:num>
  <w:num w:numId="7" w16cid:durableId="1497914503">
    <w:abstractNumId w:val="9"/>
  </w:num>
  <w:num w:numId="8" w16cid:durableId="1348481637">
    <w:abstractNumId w:val="8"/>
  </w:num>
  <w:num w:numId="9" w16cid:durableId="1983269160">
    <w:abstractNumId w:val="0"/>
  </w:num>
  <w:num w:numId="10" w16cid:durableId="860969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EB"/>
    <w:rsid w:val="000B3AA9"/>
    <w:rsid w:val="000C7EF6"/>
    <w:rsid w:val="001238AA"/>
    <w:rsid w:val="001B2F6C"/>
    <w:rsid w:val="001B3B8F"/>
    <w:rsid w:val="001C7214"/>
    <w:rsid w:val="00246DB9"/>
    <w:rsid w:val="0026738F"/>
    <w:rsid w:val="002B2118"/>
    <w:rsid w:val="003C03EB"/>
    <w:rsid w:val="00400D63"/>
    <w:rsid w:val="00426100"/>
    <w:rsid w:val="00491A58"/>
    <w:rsid w:val="00583229"/>
    <w:rsid w:val="006A4186"/>
    <w:rsid w:val="006D5955"/>
    <w:rsid w:val="007678DE"/>
    <w:rsid w:val="007A2CAB"/>
    <w:rsid w:val="00811786"/>
    <w:rsid w:val="008948C5"/>
    <w:rsid w:val="008B24A2"/>
    <w:rsid w:val="008B3A80"/>
    <w:rsid w:val="008D6965"/>
    <w:rsid w:val="009516CD"/>
    <w:rsid w:val="00994BC8"/>
    <w:rsid w:val="009A03A4"/>
    <w:rsid w:val="009B1363"/>
    <w:rsid w:val="00A210D7"/>
    <w:rsid w:val="00A4485C"/>
    <w:rsid w:val="00BB3908"/>
    <w:rsid w:val="00C01E6B"/>
    <w:rsid w:val="00C1391F"/>
    <w:rsid w:val="00C13EAD"/>
    <w:rsid w:val="00C57CA2"/>
    <w:rsid w:val="00C64754"/>
    <w:rsid w:val="00C7455D"/>
    <w:rsid w:val="00D127B2"/>
    <w:rsid w:val="00D50FA6"/>
    <w:rsid w:val="00D949C8"/>
    <w:rsid w:val="00E621DF"/>
    <w:rsid w:val="00E87E59"/>
    <w:rsid w:val="00F63AF6"/>
    <w:rsid w:val="00F66599"/>
    <w:rsid w:val="00FE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B20D"/>
  <w15:chartTrackingRefBased/>
  <w15:docId w15:val="{1B3B4183-8F31-4BE0-BAA3-4275A929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ETAuthors">
    <w:name w:val="CET Authors"/>
    <w:basedOn w:val="CETBodytext"/>
    <w:link w:val="CETAuthorsCarattere"/>
    <w:qFormat/>
    <w:rsid w:val="003C03EB"/>
    <w:pPr>
      <w:keepNext/>
      <w:suppressAutoHyphens/>
      <w:spacing w:after="120"/>
    </w:pPr>
    <w:rPr>
      <w:noProof/>
      <w:sz w:val="24"/>
      <w:lang w:val="en-GB"/>
    </w:rPr>
  </w:style>
  <w:style w:type="paragraph" w:customStyle="1" w:styleId="CETTitle">
    <w:name w:val="CET Title"/>
    <w:next w:val="CETAuthors"/>
    <w:link w:val="CETTitleCarattere"/>
    <w:rsid w:val="003C03EB"/>
    <w:pPr>
      <w:suppressAutoHyphens/>
      <w:spacing w:before="480" w:after="120" w:line="264" w:lineRule="auto"/>
      <w:jc w:val="center"/>
      <w:outlineLvl w:val="0"/>
    </w:pPr>
    <w:rPr>
      <w:rFonts w:ascii="Arial" w:eastAsia="Times New Roman" w:hAnsi="Arial" w:cs="Times New Roman"/>
      <w:sz w:val="32"/>
      <w:szCs w:val="20"/>
    </w:rPr>
  </w:style>
  <w:style w:type="character" w:customStyle="1" w:styleId="CETAuthorsCarattere">
    <w:name w:val="CET Authors Carattere"/>
    <w:link w:val="CETAuthors"/>
    <w:rsid w:val="003C03EB"/>
    <w:rPr>
      <w:rFonts w:ascii="Arial" w:eastAsia="Times New Roman" w:hAnsi="Arial" w:cs="Times New Roman"/>
      <w:noProof/>
      <w:sz w:val="24"/>
      <w:szCs w:val="20"/>
    </w:rPr>
  </w:style>
  <w:style w:type="character" w:customStyle="1" w:styleId="CETTitleCarattere">
    <w:name w:val="CET Title Carattere"/>
    <w:link w:val="CETTitle"/>
    <w:rsid w:val="003C03EB"/>
    <w:rPr>
      <w:rFonts w:ascii="Arial" w:eastAsia="Times New Roman" w:hAnsi="Arial" w:cs="Times New Roman"/>
      <w:sz w:val="32"/>
      <w:szCs w:val="20"/>
    </w:rPr>
  </w:style>
  <w:style w:type="paragraph" w:customStyle="1" w:styleId="CETHeading1">
    <w:name w:val="CET Heading1"/>
    <w:next w:val="CETBodytext"/>
    <w:qFormat/>
    <w:rsid w:val="003C03EB"/>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3C03EB"/>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3C03EB"/>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3C03EB"/>
    <w:pPr>
      <w:keepNext/>
      <w:suppressAutoHyphens/>
      <w:spacing w:after="0" w:line="276" w:lineRule="auto"/>
      <w:contextualSpacing/>
    </w:pPr>
    <w:rPr>
      <w:rFonts w:ascii="Arial" w:eastAsia="Times New Roman" w:hAnsi="Arial" w:cs="Times New Roman"/>
      <w:noProof/>
      <w:sz w:val="16"/>
      <w:szCs w:val="20"/>
    </w:rPr>
  </w:style>
  <w:style w:type="table" w:styleId="Egyszertblzat1">
    <w:name w:val="Table Simple 1"/>
    <w:basedOn w:val="Normltblzat"/>
    <w:uiPriority w:val="99"/>
    <w:rsid w:val="003C03EB"/>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3C03EB"/>
    <w:rPr>
      <w:rFonts w:ascii="Arial" w:eastAsia="Times New Roman" w:hAnsi="Arial" w:cs="Times New Roman"/>
      <w:sz w:val="18"/>
      <w:szCs w:val="20"/>
      <w:lang w:val="en-US"/>
    </w:rPr>
  </w:style>
  <w:style w:type="paragraph" w:customStyle="1" w:styleId="CETReference">
    <w:name w:val="CET Reference"/>
    <w:qFormat/>
    <w:rsid w:val="003C03EB"/>
    <w:pPr>
      <w:spacing w:before="200" w:after="120" w:line="240" w:lineRule="auto"/>
    </w:pPr>
    <w:rPr>
      <w:rFonts w:ascii="Arial" w:eastAsia="Times New Roman" w:hAnsi="Arial" w:cs="Times New Roman"/>
      <w:b/>
      <w:sz w:val="18"/>
      <w:szCs w:val="20"/>
    </w:rPr>
  </w:style>
  <w:style w:type="character" w:customStyle="1" w:styleId="CETheadingxCarattere">
    <w:name w:val="CET headingx Carattere"/>
    <w:link w:val="CETheadingx"/>
    <w:rsid w:val="003C03EB"/>
    <w:rPr>
      <w:rFonts w:ascii="Arial" w:eastAsia="Times New Roman" w:hAnsi="Arial" w:cs="Times New Roman"/>
      <w:b/>
      <w:sz w:val="18"/>
      <w:szCs w:val="20"/>
      <w:lang w:val="en-US"/>
    </w:rPr>
  </w:style>
  <w:style w:type="paragraph" w:customStyle="1" w:styleId="CETemail">
    <w:name w:val="CET email"/>
    <w:next w:val="CETBodytext"/>
    <w:rsid w:val="003C03EB"/>
    <w:pPr>
      <w:spacing w:after="240" w:line="276" w:lineRule="auto"/>
    </w:pPr>
    <w:rPr>
      <w:rFonts w:ascii="Arial" w:eastAsia="Times New Roman" w:hAnsi="Arial" w:cs="Times New Roman"/>
      <w:noProof/>
      <w:sz w:val="16"/>
      <w:szCs w:val="20"/>
    </w:rPr>
  </w:style>
  <w:style w:type="character" w:customStyle="1" w:styleId="CETAddressCarattere">
    <w:name w:val="CET Address Carattere"/>
    <w:basedOn w:val="Bekezdsalapbettpusa"/>
    <w:link w:val="CETAddress"/>
    <w:rsid w:val="003C03EB"/>
    <w:rPr>
      <w:rFonts w:ascii="Arial" w:eastAsia="Times New Roman" w:hAnsi="Arial" w:cs="Times New Roman"/>
      <w:noProof/>
      <w:sz w:val="16"/>
      <w:szCs w:val="20"/>
    </w:rPr>
  </w:style>
  <w:style w:type="paragraph" w:customStyle="1" w:styleId="CETnumberingbullets">
    <w:name w:val="CET numbering (bullets)"/>
    <w:rsid w:val="003C03EB"/>
    <w:pPr>
      <w:numPr>
        <w:numId w:val="2"/>
      </w:numPr>
      <w:spacing w:after="0" w:line="264" w:lineRule="auto"/>
    </w:pPr>
    <w:rPr>
      <w:rFonts w:ascii="Arial" w:eastAsia="Times New Roman" w:hAnsi="Arial" w:cs="Times New Roman"/>
      <w:sz w:val="18"/>
      <w:szCs w:val="20"/>
    </w:rPr>
  </w:style>
  <w:style w:type="table" w:styleId="Rcsostblzat">
    <w:name w:val="Table Grid"/>
    <w:basedOn w:val="Normltblzat"/>
    <w:uiPriority w:val="59"/>
    <w:rsid w:val="003C03EB"/>
    <w:pPr>
      <w:spacing w:after="0" w:line="240" w:lineRule="auto"/>
    </w:pPr>
    <w:rPr>
      <w:rFonts w:eastAsia="Times New Roman"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C03EB"/>
    <w:rPr>
      <w:rFonts w:cs="Times New Roman"/>
      <w:color w:val="0563C1" w:themeColor="hyperlink"/>
      <w:u w:val="single"/>
    </w:rPr>
  </w:style>
  <w:style w:type="paragraph" w:customStyle="1" w:styleId="CETListbullets">
    <w:name w:val="CET List bullets"/>
    <w:qFormat/>
    <w:rsid w:val="003C03EB"/>
    <w:pPr>
      <w:spacing w:after="0" w:line="264" w:lineRule="auto"/>
      <w:ind w:left="340" w:hanging="227"/>
      <w:jc w:val="both"/>
    </w:pPr>
    <w:rPr>
      <w:rFonts w:ascii="Arial" w:eastAsia="Times New Roman" w:hAnsi="Arial" w:cs="Times New Roman"/>
      <w:sz w:val="18"/>
      <w:szCs w:val="20"/>
    </w:rPr>
  </w:style>
  <w:style w:type="paragraph" w:customStyle="1" w:styleId="CETReferencetext">
    <w:name w:val="CET Reference text"/>
    <w:qFormat/>
    <w:rsid w:val="003C03EB"/>
    <w:pPr>
      <w:spacing w:after="0" w:line="264" w:lineRule="auto"/>
      <w:ind w:left="284" w:hanging="284"/>
      <w:jc w:val="both"/>
    </w:pPr>
    <w:rPr>
      <w:rFonts w:ascii="Arial" w:eastAsia="Times New Roman" w:hAnsi="Arial" w:cs="Times New Roman"/>
      <w:sz w:val="18"/>
      <w:szCs w:val="20"/>
    </w:rPr>
  </w:style>
  <w:style w:type="paragraph" w:customStyle="1" w:styleId="CETAcknowledgementstitle">
    <w:name w:val="CET Acknowledgements title"/>
    <w:next w:val="CETBodytext"/>
    <w:qFormat/>
    <w:rsid w:val="003C03EB"/>
    <w:pPr>
      <w:spacing w:before="200" w:after="120" w:line="276" w:lineRule="auto"/>
    </w:pPr>
    <w:rPr>
      <w:rFonts w:ascii="Arial" w:eastAsia="Times New Roman" w:hAnsi="Arial" w:cs="Times New Roman"/>
      <w:b/>
      <w:sz w:val="18"/>
      <w:szCs w:val="20"/>
    </w:rPr>
  </w:style>
  <w:style w:type="paragraph" w:customStyle="1" w:styleId="CETHeadingxx">
    <w:name w:val="CET Headingxx"/>
    <w:basedOn w:val="CETheadingx"/>
    <w:link w:val="CETHeadingxxChar"/>
    <w:qFormat/>
    <w:rsid w:val="003C03EB"/>
    <w:pPr>
      <w:numPr>
        <w:ilvl w:val="0"/>
        <w:numId w:val="0"/>
      </w:numPr>
    </w:pPr>
  </w:style>
  <w:style w:type="character" w:customStyle="1" w:styleId="CETHeadingxxChar">
    <w:name w:val="CET Headingxx Char"/>
    <w:basedOn w:val="CETheadingxCarattere"/>
    <w:link w:val="CETHeadingxx"/>
    <w:rsid w:val="003C03EB"/>
    <w:rPr>
      <w:rFonts w:ascii="Arial" w:eastAsia="Times New Roman" w:hAnsi="Arial" w:cs="Times New Roman"/>
      <w:b/>
      <w:sz w:val="18"/>
      <w:szCs w:val="20"/>
      <w:lang w:val="en-US"/>
    </w:rPr>
  </w:style>
  <w:style w:type="paragraph" w:styleId="Listaszerbekezds">
    <w:name w:val="List Paragraph"/>
    <w:basedOn w:val="Norml"/>
    <w:uiPriority w:val="34"/>
    <w:rsid w:val="003C03EB"/>
    <w:pPr>
      <w:tabs>
        <w:tab w:val="right" w:pos="7100"/>
      </w:tabs>
      <w:spacing w:after="0" w:line="264" w:lineRule="auto"/>
      <w:ind w:left="720"/>
      <w:contextualSpacing/>
      <w:jc w:val="both"/>
    </w:pPr>
    <w:rPr>
      <w:rFonts w:ascii="Arial" w:eastAsia="Times New Roman" w:hAnsi="Arial" w:cs="Times New Roman"/>
      <w:sz w:val="18"/>
      <w:szCs w:val="20"/>
    </w:rPr>
  </w:style>
  <w:style w:type="paragraph" w:customStyle="1" w:styleId="CETTabletitle">
    <w:name w:val="CET Table title"/>
    <w:qFormat/>
    <w:rsid w:val="00D949C8"/>
    <w:pPr>
      <w:keepNext/>
      <w:spacing w:before="240" w:after="80" w:line="240" w:lineRule="exact"/>
    </w:pPr>
    <w:rPr>
      <w:rFonts w:ascii="Arial" w:eastAsia="Times New Roman" w:hAnsi="Arial" w:cs="Times New Roman"/>
      <w:i/>
      <w:sz w:val="18"/>
      <w:szCs w:val="20"/>
    </w:rPr>
  </w:style>
  <w:style w:type="paragraph" w:customStyle="1" w:styleId="CETCaption">
    <w:name w:val="CET Caption"/>
    <w:link w:val="CETCaptionCarattere"/>
    <w:qFormat/>
    <w:rsid w:val="009A03A4"/>
    <w:pPr>
      <w:spacing w:before="240" w:after="240" w:line="264" w:lineRule="auto"/>
      <w:jc w:val="both"/>
    </w:pPr>
    <w:rPr>
      <w:rFonts w:ascii="Arial" w:eastAsia="Times New Roman" w:hAnsi="Arial" w:cs="Times New Roman"/>
      <w:i/>
      <w:sz w:val="18"/>
      <w:szCs w:val="20"/>
    </w:rPr>
  </w:style>
  <w:style w:type="character" w:customStyle="1" w:styleId="CETCaptionCarattere">
    <w:name w:val="CET Caption Carattere"/>
    <w:link w:val="CETCaption"/>
    <w:rsid w:val="009A03A4"/>
    <w:rPr>
      <w:rFonts w:ascii="Arial" w:eastAsia="Times New Roman" w:hAnsi="Arial" w:cs="Times New Roman"/>
      <w:i/>
      <w:sz w:val="18"/>
      <w:szCs w:val="20"/>
    </w:rPr>
  </w:style>
  <w:style w:type="paragraph" w:styleId="NormlWeb">
    <w:name w:val="Normal (Web)"/>
    <w:basedOn w:val="Norml"/>
    <w:uiPriority w:val="99"/>
    <w:semiHidden/>
    <w:unhideWhenUsed/>
    <w:rsid w:val="00C1391F"/>
    <w:rPr>
      <w:rFonts w:ascii="Times New Roman" w:hAnsi="Times New Roman" w:cs="Times New Roman"/>
      <w:sz w:val="24"/>
      <w:szCs w:val="24"/>
    </w:rPr>
  </w:style>
  <w:style w:type="character" w:styleId="Jegyzethivatkozs">
    <w:name w:val="annotation reference"/>
    <w:basedOn w:val="Bekezdsalapbettpusa"/>
    <w:uiPriority w:val="99"/>
    <w:semiHidden/>
    <w:unhideWhenUsed/>
    <w:rsid w:val="00583229"/>
    <w:rPr>
      <w:sz w:val="16"/>
      <w:szCs w:val="16"/>
    </w:rPr>
  </w:style>
  <w:style w:type="paragraph" w:styleId="Jegyzetszveg">
    <w:name w:val="annotation text"/>
    <w:basedOn w:val="Norml"/>
    <w:link w:val="JegyzetszvegChar"/>
    <w:uiPriority w:val="99"/>
    <w:unhideWhenUsed/>
    <w:rsid w:val="00583229"/>
    <w:pPr>
      <w:spacing w:line="240" w:lineRule="auto"/>
    </w:pPr>
    <w:rPr>
      <w:sz w:val="20"/>
      <w:szCs w:val="20"/>
    </w:rPr>
  </w:style>
  <w:style w:type="character" w:customStyle="1" w:styleId="JegyzetszvegChar">
    <w:name w:val="Jegyzetszöveg Char"/>
    <w:basedOn w:val="Bekezdsalapbettpusa"/>
    <w:link w:val="Jegyzetszveg"/>
    <w:uiPriority w:val="99"/>
    <w:rsid w:val="00583229"/>
    <w:rPr>
      <w:sz w:val="20"/>
      <w:szCs w:val="20"/>
    </w:rPr>
  </w:style>
  <w:style w:type="paragraph" w:styleId="Megjegyzstrgya">
    <w:name w:val="annotation subject"/>
    <w:basedOn w:val="Jegyzetszveg"/>
    <w:next w:val="Jegyzetszveg"/>
    <w:link w:val="MegjegyzstrgyaChar"/>
    <w:uiPriority w:val="99"/>
    <w:semiHidden/>
    <w:unhideWhenUsed/>
    <w:rsid w:val="00583229"/>
    <w:rPr>
      <w:b/>
      <w:bCs/>
    </w:rPr>
  </w:style>
  <w:style w:type="character" w:customStyle="1" w:styleId="MegjegyzstrgyaChar">
    <w:name w:val="Megjegyzés tárgya Char"/>
    <w:basedOn w:val="JegyzetszvegChar"/>
    <w:link w:val="Megjegyzstrgya"/>
    <w:uiPriority w:val="99"/>
    <w:semiHidden/>
    <w:rsid w:val="00583229"/>
    <w:rPr>
      <w:b/>
      <w:bCs/>
      <w:sz w:val="20"/>
      <w:szCs w:val="20"/>
    </w:rPr>
  </w:style>
  <w:style w:type="paragraph" w:styleId="Buborkszveg">
    <w:name w:val="Balloon Text"/>
    <w:basedOn w:val="Norml"/>
    <w:link w:val="BuborkszvegChar"/>
    <w:uiPriority w:val="99"/>
    <w:semiHidden/>
    <w:unhideWhenUsed/>
    <w:rsid w:val="007678D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67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3349</Words>
  <Characters>23815</Characters>
  <Application>Microsoft Office Word</Application>
  <DocSecurity>0</DocSecurity>
  <Lines>661</Lines>
  <Paragraphs>405</Paragraphs>
  <ScaleCrop>false</ScaleCrop>
  <HeadingPairs>
    <vt:vector size="2" baseType="variant">
      <vt:variant>
        <vt:lpstr>Cím</vt:lpstr>
      </vt:variant>
      <vt:variant>
        <vt:i4>1</vt:i4>
      </vt:variant>
    </vt:vector>
  </HeadingPairs>
  <TitlesOfParts>
    <vt:vector size="1" baseType="lpstr">
      <vt:lpstr/>
    </vt:vector>
  </TitlesOfParts>
  <Company>Pannon Egyetem</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Zsinka Viktória</cp:lastModifiedBy>
  <cp:revision>4</cp:revision>
  <dcterms:created xsi:type="dcterms:W3CDTF">2026-03-02T10:25:00Z</dcterms:created>
  <dcterms:modified xsi:type="dcterms:W3CDTF">2026-04-14T12:10:00Z</dcterms:modified>
</cp:coreProperties>
</file>