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F12EC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F12EC6" w:rsidRDefault="000A03B2" w:rsidP="00DE264A">
            <w:pPr>
              <w:tabs>
                <w:tab w:val="left" w:pos="-108"/>
              </w:tabs>
              <w:ind w:left="-108"/>
              <w:jc w:val="left"/>
              <w:rPr>
                <w:rFonts w:cs="Arial"/>
                <w:b/>
                <w:bCs/>
                <w:i/>
                <w:iCs/>
                <w:color w:val="000066"/>
                <w:sz w:val="12"/>
                <w:szCs w:val="12"/>
                <w:lang w:eastAsia="it-IT"/>
              </w:rPr>
            </w:pPr>
            <w:bookmarkStart w:id="0" w:name="_Hlk145068772"/>
            <w:r w:rsidRPr="00F12EC6">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F12EC6">
              <w:rPr>
                <w:rFonts w:ascii="AdvP6960" w:hAnsi="AdvP6960" w:cs="AdvP6960"/>
                <w:color w:val="241F20"/>
                <w:szCs w:val="18"/>
                <w:lang w:eastAsia="it-IT"/>
              </w:rPr>
              <w:t xml:space="preserve"> </w:t>
            </w:r>
            <w:r w:rsidRPr="00F12EC6">
              <w:rPr>
                <w:rFonts w:cs="Arial"/>
                <w:b/>
                <w:bCs/>
                <w:i/>
                <w:iCs/>
                <w:color w:val="000066"/>
                <w:sz w:val="24"/>
                <w:szCs w:val="24"/>
                <w:lang w:eastAsia="it-IT"/>
              </w:rPr>
              <w:t>CHEMICAL ENGINEERING</w:t>
            </w:r>
            <w:r w:rsidRPr="00F12EC6">
              <w:rPr>
                <w:rFonts w:cs="Arial"/>
                <w:b/>
                <w:bCs/>
                <w:i/>
                <w:iCs/>
                <w:color w:val="0033FF"/>
                <w:sz w:val="24"/>
                <w:szCs w:val="24"/>
                <w:lang w:eastAsia="it-IT"/>
              </w:rPr>
              <w:t xml:space="preserve"> </w:t>
            </w:r>
            <w:r w:rsidRPr="00F12EC6">
              <w:rPr>
                <w:rFonts w:cs="Arial"/>
                <w:b/>
                <w:bCs/>
                <w:i/>
                <w:iCs/>
                <w:color w:val="666666"/>
                <w:sz w:val="24"/>
                <w:szCs w:val="24"/>
                <w:lang w:eastAsia="it-IT"/>
              </w:rPr>
              <w:t>TRANSACTIONS</w:t>
            </w:r>
            <w:r w:rsidRPr="00F12EC6">
              <w:rPr>
                <w:color w:val="333333"/>
                <w:sz w:val="24"/>
                <w:szCs w:val="24"/>
                <w:lang w:eastAsia="it-IT"/>
              </w:rPr>
              <w:t xml:space="preserve"> </w:t>
            </w:r>
            <w:r w:rsidRPr="00F12EC6">
              <w:rPr>
                <w:rFonts w:cs="Arial"/>
                <w:b/>
                <w:bCs/>
                <w:i/>
                <w:iCs/>
                <w:color w:val="000066"/>
                <w:sz w:val="27"/>
                <w:szCs w:val="27"/>
                <w:lang w:eastAsia="it-IT"/>
              </w:rPr>
              <w:br/>
            </w:r>
          </w:p>
          <w:p w14:paraId="4B780582" w14:textId="753620B8" w:rsidR="000A03B2" w:rsidRPr="00F12EC6" w:rsidRDefault="00A76EFC" w:rsidP="001D21AF">
            <w:pPr>
              <w:tabs>
                <w:tab w:val="left" w:pos="-108"/>
              </w:tabs>
              <w:ind w:left="-108"/>
              <w:rPr>
                <w:rFonts w:cs="Arial"/>
                <w:b/>
                <w:bCs/>
                <w:i/>
                <w:iCs/>
                <w:color w:val="000066"/>
                <w:sz w:val="22"/>
                <w:szCs w:val="22"/>
                <w:lang w:eastAsia="it-IT"/>
              </w:rPr>
            </w:pPr>
            <w:r w:rsidRPr="00F12EC6">
              <w:rPr>
                <w:rFonts w:cs="Arial"/>
                <w:b/>
                <w:bCs/>
                <w:i/>
                <w:iCs/>
                <w:color w:val="000066"/>
                <w:sz w:val="22"/>
                <w:szCs w:val="22"/>
                <w:lang w:eastAsia="it-IT"/>
              </w:rPr>
              <w:t>VOL.</w:t>
            </w:r>
            <w:r w:rsidR="00785BF9" w:rsidRPr="00F12EC6">
              <w:rPr>
                <w:rFonts w:cs="Arial"/>
                <w:b/>
                <w:bCs/>
                <w:i/>
                <w:iCs/>
                <w:color w:val="000066"/>
                <w:sz w:val="22"/>
                <w:szCs w:val="22"/>
                <w:lang w:eastAsia="it-IT"/>
              </w:rPr>
              <w:t xml:space="preserve"> </w:t>
            </w:r>
            <w:r w:rsidR="00AD0278" w:rsidRPr="00F12EC6">
              <w:rPr>
                <w:rFonts w:cs="Arial"/>
                <w:b/>
                <w:bCs/>
                <w:i/>
                <w:iCs/>
                <w:color w:val="000066"/>
                <w:sz w:val="22"/>
                <w:szCs w:val="22"/>
                <w:lang w:eastAsia="it-IT"/>
              </w:rPr>
              <w:t>xxx</w:t>
            </w:r>
            <w:r w:rsidR="007B48F9" w:rsidRPr="00F12EC6">
              <w:rPr>
                <w:rFonts w:cs="Arial"/>
                <w:b/>
                <w:bCs/>
                <w:i/>
                <w:iCs/>
                <w:color w:val="000066"/>
                <w:sz w:val="22"/>
                <w:szCs w:val="22"/>
                <w:lang w:eastAsia="it-IT"/>
              </w:rPr>
              <w:t>,</w:t>
            </w:r>
            <w:r w:rsidR="00FA5F5F" w:rsidRPr="00F12EC6">
              <w:rPr>
                <w:rFonts w:cs="Arial"/>
                <w:b/>
                <w:bCs/>
                <w:i/>
                <w:iCs/>
                <w:color w:val="000066"/>
                <w:sz w:val="22"/>
                <w:szCs w:val="22"/>
                <w:lang w:eastAsia="it-IT"/>
              </w:rPr>
              <w:t xml:space="preserve"> </w:t>
            </w:r>
            <w:r w:rsidR="0030152C" w:rsidRPr="00F12EC6">
              <w:rPr>
                <w:rFonts w:cs="Arial"/>
                <w:b/>
                <w:bCs/>
                <w:i/>
                <w:iCs/>
                <w:color w:val="000066"/>
                <w:sz w:val="22"/>
                <w:szCs w:val="22"/>
                <w:lang w:eastAsia="it-IT"/>
              </w:rPr>
              <w:t>202</w:t>
            </w:r>
            <w:r w:rsidR="00AD0278" w:rsidRPr="00F12EC6">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F12EC6" w:rsidRDefault="000A03B2" w:rsidP="00CD5FE2">
            <w:pPr>
              <w:spacing w:line="140" w:lineRule="atLeast"/>
              <w:jc w:val="right"/>
              <w:rPr>
                <w:rFonts w:cs="Arial"/>
                <w:sz w:val="14"/>
                <w:szCs w:val="14"/>
              </w:rPr>
            </w:pPr>
            <w:r w:rsidRPr="00F12EC6">
              <w:rPr>
                <w:rFonts w:cs="Arial"/>
                <w:sz w:val="14"/>
                <w:szCs w:val="14"/>
              </w:rPr>
              <w:t>A publication of</w:t>
            </w:r>
          </w:p>
          <w:p w14:paraId="599E5441" w14:textId="77777777" w:rsidR="000A03B2" w:rsidRPr="00F12EC6" w:rsidRDefault="000A03B2" w:rsidP="00CD5FE2">
            <w:pPr>
              <w:jc w:val="right"/>
            </w:pPr>
            <w:r w:rsidRPr="00F12EC6">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F12EC6" w14:paraId="380FA3CD" w14:textId="77777777" w:rsidTr="00DE264A">
        <w:trPr>
          <w:trHeight w:val="567"/>
          <w:jc w:val="center"/>
        </w:trPr>
        <w:tc>
          <w:tcPr>
            <w:tcW w:w="6946" w:type="dxa"/>
            <w:vMerge/>
            <w:tcBorders>
              <w:right w:val="single" w:sz="4" w:space="0" w:color="auto"/>
            </w:tcBorders>
          </w:tcPr>
          <w:p w14:paraId="39E5E4C1" w14:textId="77777777" w:rsidR="000A03B2" w:rsidRPr="00F12EC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F12EC6" w:rsidRDefault="000A03B2" w:rsidP="00CD5FE2">
            <w:pPr>
              <w:spacing w:line="140" w:lineRule="atLeast"/>
              <w:jc w:val="right"/>
              <w:rPr>
                <w:rFonts w:cs="Arial"/>
                <w:sz w:val="14"/>
                <w:szCs w:val="14"/>
              </w:rPr>
            </w:pPr>
            <w:r w:rsidRPr="00F12EC6">
              <w:rPr>
                <w:rFonts w:cs="Arial"/>
                <w:sz w:val="14"/>
                <w:szCs w:val="14"/>
              </w:rPr>
              <w:t>The Italian Association</w:t>
            </w:r>
          </w:p>
          <w:p w14:paraId="7522B1D2" w14:textId="77777777" w:rsidR="000A03B2" w:rsidRPr="00F12EC6" w:rsidRDefault="000A03B2" w:rsidP="00CD5FE2">
            <w:pPr>
              <w:spacing w:line="140" w:lineRule="atLeast"/>
              <w:jc w:val="right"/>
              <w:rPr>
                <w:rFonts w:cs="Arial"/>
                <w:sz w:val="14"/>
                <w:szCs w:val="14"/>
              </w:rPr>
            </w:pPr>
            <w:r w:rsidRPr="00F12EC6">
              <w:rPr>
                <w:rFonts w:cs="Arial"/>
                <w:sz w:val="14"/>
                <w:szCs w:val="14"/>
              </w:rPr>
              <w:t>of Chemical Engineering</w:t>
            </w:r>
          </w:p>
          <w:p w14:paraId="4F0CC5DE" w14:textId="47FDB2FC" w:rsidR="000A03B2" w:rsidRPr="00F12EC6" w:rsidRDefault="000D0268" w:rsidP="00CD5FE2">
            <w:pPr>
              <w:spacing w:line="140" w:lineRule="atLeast"/>
              <w:jc w:val="right"/>
              <w:rPr>
                <w:rFonts w:cs="Arial"/>
                <w:sz w:val="13"/>
                <w:szCs w:val="13"/>
              </w:rPr>
            </w:pPr>
            <w:r w:rsidRPr="00F12EC6">
              <w:rPr>
                <w:rFonts w:cs="Arial"/>
                <w:sz w:val="13"/>
                <w:szCs w:val="13"/>
              </w:rPr>
              <w:t>Online at www.cetjournal.it</w:t>
            </w:r>
          </w:p>
        </w:tc>
      </w:tr>
      <w:tr w:rsidR="000A03B2" w:rsidRPr="00F12EC6" w14:paraId="2D1B7169" w14:textId="77777777" w:rsidTr="00DE264A">
        <w:trPr>
          <w:trHeight w:val="68"/>
          <w:jc w:val="center"/>
        </w:trPr>
        <w:tc>
          <w:tcPr>
            <w:tcW w:w="8789" w:type="dxa"/>
            <w:gridSpan w:val="2"/>
          </w:tcPr>
          <w:p w14:paraId="1D8DD3C9" w14:textId="61229B97" w:rsidR="00AA7D26" w:rsidRPr="00F12EC6" w:rsidRDefault="004A5E57" w:rsidP="004A5E57">
            <w:pPr>
              <w:ind w:left="-107"/>
              <w:outlineLvl w:val="2"/>
              <w:rPr>
                <w:rFonts w:ascii="Tahoma" w:hAnsi="Tahoma" w:cs="Tahoma"/>
                <w:bCs/>
                <w:color w:val="000000"/>
                <w:sz w:val="14"/>
                <w:szCs w:val="14"/>
                <w:lang w:eastAsia="it-IT"/>
              </w:rPr>
            </w:pPr>
            <w:r w:rsidRPr="00F12EC6">
              <w:rPr>
                <w:rFonts w:ascii="Tahoma" w:hAnsi="Tahoma" w:cs="Tahoma"/>
                <w:iCs/>
                <w:color w:val="333333"/>
                <w:sz w:val="14"/>
                <w:szCs w:val="14"/>
                <w:lang w:eastAsia="it-IT"/>
              </w:rPr>
              <w:t>Guest Editors:</w:t>
            </w:r>
            <w:r w:rsidRPr="00F12EC6">
              <w:rPr>
                <w:rFonts w:ascii="Tahoma" w:hAnsi="Tahoma" w:cs="Tahoma"/>
                <w:color w:val="000000"/>
                <w:sz w:val="14"/>
                <w:szCs w:val="14"/>
                <w:shd w:val="clear" w:color="auto" w:fill="FFFFFF"/>
              </w:rPr>
              <w:t xml:space="preserve"> </w:t>
            </w:r>
            <w:r w:rsidR="00EA3EF9" w:rsidRPr="00F12EC6">
              <w:rPr>
                <w:rFonts w:ascii="Tahoma" w:hAnsi="Tahoma" w:cs="Tahoma"/>
                <w:color w:val="000000"/>
                <w:sz w:val="14"/>
                <w:szCs w:val="14"/>
                <w:shd w:val="clear" w:color="auto" w:fill="FFFFFF"/>
              </w:rPr>
              <w:t xml:space="preserve">Leonardo Tognotti, </w:t>
            </w:r>
            <w:r w:rsidR="00EA3EF9" w:rsidRPr="00F12EC6">
              <w:rPr>
                <w:rFonts w:ascii="Tahoma" w:hAnsi="Tahoma" w:cs="Tahoma"/>
                <w:color w:val="000000"/>
                <w:sz w:val="14"/>
                <w:szCs w:val="14"/>
              </w:rPr>
              <w:t>Rubens Maciel Filho</w:t>
            </w:r>
            <w:r w:rsidR="00EA3EF9" w:rsidRPr="00F12EC6">
              <w:rPr>
                <w:rFonts w:ascii="Tahoma" w:hAnsi="Tahoma" w:cs="Tahoma"/>
                <w:color w:val="000000"/>
                <w:sz w:val="14"/>
                <w:szCs w:val="14"/>
                <w:shd w:val="clear" w:color="auto" w:fill="FFFFFF"/>
              </w:rPr>
              <w:t xml:space="preserve">, </w:t>
            </w:r>
            <w:r w:rsidR="00EA3EF9" w:rsidRPr="00F12EC6">
              <w:rPr>
                <w:rFonts w:ascii="Tahoma" w:hAnsi="Tahoma" w:cs="Tahoma"/>
                <w:color w:val="000000"/>
                <w:sz w:val="14"/>
                <w:szCs w:val="14"/>
              </w:rPr>
              <w:t>Viatcheslav Kafarov</w:t>
            </w:r>
          </w:p>
          <w:p w14:paraId="1B0F1814" w14:textId="710B7B96" w:rsidR="000A03B2" w:rsidRPr="00F12EC6" w:rsidRDefault="00AA7D26" w:rsidP="00AA7D26">
            <w:pPr>
              <w:tabs>
                <w:tab w:val="left" w:pos="-108"/>
              </w:tabs>
              <w:spacing w:line="140" w:lineRule="atLeast"/>
              <w:ind w:left="-107"/>
              <w:jc w:val="left"/>
            </w:pPr>
            <w:r w:rsidRPr="00F12EC6">
              <w:rPr>
                <w:rFonts w:ascii="Tahoma" w:hAnsi="Tahoma" w:cs="Tahoma"/>
                <w:iCs/>
                <w:color w:val="333333"/>
                <w:sz w:val="14"/>
                <w:szCs w:val="14"/>
                <w:lang w:eastAsia="it-IT"/>
              </w:rPr>
              <w:t>Copyright © 202</w:t>
            </w:r>
            <w:r w:rsidR="00005884" w:rsidRPr="00F12EC6">
              <w:rPr>
                <w:rFonts w:ascii="Tahoma" w:hAnsi="Tahoma" w:cs="Tahoma"/>
                <w:iCs/>
                <w:color w:val="333333"/>
                <w:sz w:val="14"/>
                <w:szCs w:val="14"/>
                <w:lang w:eastAsia="it-IT"/>
              </w:rPr>
              <w:t>6</w:t>
            </w:r>
            <w:r w:rsidRPr="00F12EC6">
              <w:rPr>
                <w:rFonts w:ascii="Tahoma" w:hAnsi="Tahoma" w:cs="Tahoma"/>
                <w:iCs/>
                <w:color w:val="333333"/>
                <w:sz w:val="14"/>
                <w:szCs w:val="14"/>
                <w:lang w:eastAsia="it-IT"/>
              </w:rPr>
              <w:t xml:space="preserve">, AIDIC Servizi </w:t>
            </w:r>
            <w:proofErr w:type="spellStart"/>
            <w:r w:rsidRPr="00F12EC6">
              <w:rPr>
                <w:rFonts w:ascii="Tahoma" w:hAnsi="Tahoma" w:cs="Tahoma"/>
                <w:iCs/>
                <w:color w:val="333333"/>
                <w:sz w:val="14"/>
                <w:szCs w:val="14"/>
                <w:lang w:eastAsia="it-IT"/>
              </w:rPr>
              <w:t>S.r.l</w:t>
            </w:r>
            <w:proofErr w:type="spellEnd"/>
            <w:r w:rsidRPr="00F12EC6">
              <w:rPr>
                <w:rFonts w:ascii="Tahoma" w:hAnsi="Tahoma" w:cs="Tahoma"/>
                <w:iCs/>
                <w:color w:val="333333"/>
                <w:sz w:val="14"/>
                <w:szCs w:val="14"/>
                <w:lang w:eastAsia="it-IT"/>
              </w:rPr>
              <w:t>.</w:t>
            </w:r>
            <w:r w:rsidRPr="00F12EC6">
              <w:rPr>
                <w:rFonts w:ascii="Tahoma" w:hAnsi="Tahoma" w:cs="Tahoma"/>
                <w:iCs/>
                <w:color w:val="333333"/>
                <w:sz w:val="14"/>
                <w:szCs w:val="14"/>
                <w:lang w:eastAsia="it-IT"/>
              </w:rPr>
              <w:br/>
            </w:r>
            <w:r w:rsidRPr="00F12EC6">
              <w:rPr>
                <w:rFonts w:ascii="Tahoma" w:hAnsi="Tahoma" w:cs="Tahoma"/>
                <w:b/>
                <w:iCs/>
                <w:color w:val="000000"/>
                <w:sz w:val="14"/>
                <w:szCs w:val="14"/>
                <w:lang w:eastAsia="it-IT"/>
              </w:rPr>
              <w:t>ISBN</w:t>
            </w:r>
            <w:r w:rsidRPr="00F12EC6">
              <w:rPr>
                <w:rFonts w:ascii="Tahoma" w:hAnsi="Tahoma" w:cs="Tahoma"/>
                <w:iCs/>
                <w:color w:val="000000"/>
                <w:sz w:val="14"/>
                <w:szCs w:val="14"/>
                <w:lang w:eastAsia="it-IT"/>
              </w:rPr>
              <w:t xml:space="preserve"> </w:t>
            </w:r>
            <w:r w:rsidR="00D2582C" w:rsidRPr="00F12EC6">
              <w:rPr>
                <w:rFonts w:ascii="Tahoma" w:hAnsi="Tahoma" w:cs="Tahoma"/>
                <w:sz w:val="14"/>
                <w:szCs w:val="14"/>
              </w:rPr>
              <w:t>979-12-81206-</w:t>
            </w:r>
            <w:r w:rsidR="00005884" w:rsidRPr="00F12EC6">
              <w:rPr>
                <w:rFonts w:ascii="Tahoma" w:hAnsi="Tahoma" w:cs="Tahoma"/>
                <w:sz w:val="14"/>
                <w:szCs w:val="14"/>
              </w:rPr>
              <w:t>xx</w:t>
            </w:r>
            <w:r w:rsidR="009041F8" w:rsidRPr="00F12EC6">
              <w:rPr>
                <w:rFonts w:ascii="Tahoma" w:hAnsi="Tahoma" w:cs="Tahoma"/>
                <w:sz w:val="14"/>
                <w:szCs w:val="14"/>
              </w:rPr>
              <w:t>-</w:t>
            </w:r>
            <w:r w:rsidR="00005884" w:rsidRPr="00F12EC6">
              <w:rPr>
                <w:rFonts w:ascii="Tahoma" w:hAnsi="Tahoma" w:cs="Tahoma"/>
                <w:sz w:val="14"/>
                <w:szCs w:val="14"/>
              </w:rPr>
              <w:t>x</w:t>
            </w:r>
            <w:r w:rsidRPr="00F12EC6">
              <w:rPr>
                <w:rFonts w:ascii="Tahoma" w:hAnsi="Tahoma" w:cs="Tahoma"/>
                <w:iCs/>
                <w:color w:val="333333"/>
                <w:sz w:val="14"/>
                <w:szCs w:val="14"/>
                <w:lang w:eastAsia="it-IT"/>
              </w:rPr>
              <w:t xml:space="preserve">; </w:t>
            </w:r>
            <w:r w:rsidRPr="00F12EC6">
              <w:rPr>
                <w:rFonts w:ascii="Tahoma" w:hAnsi="Tahoma" w:cs="Tahoma"/>
                <w:b/>
                <w:iCs/>
                <w:color w:val="333333"/>
                <w:sz w:val="14"/>
                <w:szCs w:val="14"/>
                <w:lang w:eastAsia="it-IT"/>
              </w:rPr>
              <w:t>ISSN</w:t>
            </w:r>
            <w:r w:rsidRPr="00F12EC6">
              <w:rPr>
                <w:rFonts w:ascii="Tahoma" w:hAnsi="Tahoma" w:cs="Tahoma"/>
                <w:iCs/>
                <w:color w:val="333333"/>
                <w:sz w:val="14"/>
                <w:szCs w:val="14"/>
                <w:lang w:eastAsia="it-IT"/>
              </w:rPr>
              <w:t xml:space="preserve"> 2283-9216</w:t>
            </w:r>
          </w:p>
        </w:tc>
      </w:tr>
    </w:tbl>
    <w:bookmarkEnd w:id="0"/>
    <w:p w14:paraId="2E667253" w14:textId="4D2EBF1E" w:rsidR="00E978D0" w:rsidRPr="00F12EC6" w:rsidRDefault="0011450F" w:rsidP="00E978D0">
      <w:pPr>
        <w:pStyle w:val="CETTitle"/>
      </w:pPr>
      <w:r w:rsidRPr="00F12EC6">
        <w:t>Process-driven</w:t>
      </w:r>
      <w:r w:rsidR="00CD794C" w:rsidRPr="00F12EC6">
        <w:t xml:space="preserve"> assessment of heterotrophic continuous cultivation of the extremophilic microalga </w:t>
      </w:r>
      <w:proofErr w:type="spellStart"/>
      <w:r w:rsidR="00CD794C" w:rsidRPr="00F12EC6">
        <w:rPr>
          <w:i/>
          <w:iCs/>
        </w:rPr>
        <w:t>Galdieria</w:t>
      </w:r>
      <w:proofErr w:type="spellEnd"/>
      <w:r w:rsidR="00CD794C" w:rsidRPr="00F12EC6">
        <w:rPr>
          <w:i/>
          <w:iCs/>
        </w:rPr>
        <w:t xml:space="preserve"> </w:t>
      </w:r>
      <w:proofErr w:type="spellStart"/>
      <w:r w:rsidR="00CD794C" w:rsidRPr="00F12EC6">
        <w:rPr>
          <w:i/>
          <w:iCs/>
        </w:rPr>
        <w:t>sulphuraria</w:t>
      </w:r>
      <w:proofErr w:type="spellEnd"/>
      <w:r w:rsidR="00CD794C" w:rsidRPr="00F12EC6">
        <w:rPr>
          <w:i/>
          <w:iCs/>
        </w:rPr>
        <w:t xml:space="preserve"> </w:t>
      </w:r>
      <w:r w:rsidR="00CD794C" w:rsidRPr="00F12EC6">
        <w:t>as a function of temperature and pH</w:t>
      </w:r>
    </w:p>
    <w:p w14:paraId="0488FED2" w14:textId="0D7D2A79" w:rsidR="00B57E6F" w:rsidRPr="00F12EC6" w:rsidRDefault="00CD794C" w:rsidP="00B57E6F">
      <w:pPr>
        <w:pStyle w:val="CETAuthors"/>
        <w:rPr>
          <w:noProof w:val="0"/>
        </w:rPr>
      </w:pPr>
      <w:r w:rsidRPr="00F12EC6">
        <w:rPr>
          <w:noProof w:val="0"/>
        </w:rPr>
        <w:t>Leonardo Pattaro</w:t>
      </w:r>
      <w:r w:rsidR="00EE6E7F">
        <w:rPr>
          <w:noProof w:val="0"/>
        </w:rPr>
        <w:t>*</w:t>
      </w:r>
      <w:r w:rsidRPr="00F12EC6">
        <w:rPr>
          <w:noProof w:val="0"/>
        </w:rPr>
        <w:t>, Eleonora Sforza</w:t>
      </w:r>
    </w:p>
    <w:p w14:paraId="6B2D21B3" w14:textId="6762DA3A" w:rsidR="00B57E6F" w:rsidRPr="00F12EC6" w:rsidRDefault="00B62F4B" w:rsidP="00B57E6F">
      <w:pPr>
        <w:pStyle w:val="CETAddress"/>
        <w:rPr>
          <w:noProof w:val="0"/>
        </w:rPr>
      </w:pPr>
      <w:proofErr w:type="spellStart"/>
      <w:r w:rsidRPr="00F12EC6">
        <w:rPr>
          <w:rFonts w:eastAsia="Arial" w:cs="Arial"/>
          <w:noProof w:val="0"/>
          <w:sz w:val="18"/>
          <w:szCs w:val="18"/>
        </w:rPr>
        <w:t>BiERLAB</w:t>
      </w:r>
      <w:proofErr w:type="spellEnd"/>
      <w:r w:rsidRPr="00F12EC6">
        <w:rPr>
          <w:rFonts w:eastAsia="Arial" w:cs="Arial"/>
          <w:noProof w:val="0"/>
          <w:sz w:val="18"/>
          <w:szCs w:val="18"/>
        </w:rPr>
        <w:t xml:space="preserve"> – Bioprocess Engineering Research Laboratory, Department of Industrial Engineering, University of Padova, via </w:t>
      </w:r>
      <w:proofErr w:type="spellStart"/>
      <w:r w:rsidRPr="00F12EC6">
        <w:rPr>
          <w:rFonts w:eastAsia="Arial" w:cs="Arial"/>
          <w:noProof w:val="0"/>
          <w:sz w:val="18"/>
          <w:szCs w:val="18"/>
        </w:rPr>
        <w:t>Marzolo</w:t>
      </w:r>
      <w:proofErr w:type="spellEnd"/>
      <w:r w:rsidRPr="00F12EC6">
        <w:rPr>
          <w:rFonts w:eastAsia="Arial" w:cs="Arial"/>
          <w:noProof w:val="0"/>
          <w:sz w:val="18"/>
          <w:szCs w:val="18"/>
        </w:rPr>
        <w:t xml:space="preserve"> 9, IT-35131 Padova, Italy.</w:t>
      </w:r>
      <w:r w:rsidR="00B57E6F" w:rsidRPr="00F12EC6">
        <w:rPr>
          <w:noProof w:val="0"/>
        </w:rPr>
        <w:t xml:space="preserve"> </w:t>
      </w:r>
    </w:p>
    <w:p w14:paraId="3983094D" w14:textId="52B63D91" w:rsidR="00656D4B" w:rsidRDefault="00181C4F" w:rsidP="00B57E6F">
      <w:pPr>
        <w:pStyle w:val="CETAddress"/>
        <w:rPr>
          <w:noProof w:val="0"/>
        </w:rPr>
      </w:pPr>
      <w:hyperlink r:id="rId10" w:history="1">
        <w:r w:rsidRPr="00F743DF">
          <w:rPr>
            <w:rStyle w:val="Hyperlink"/>
            <w:noProof w:val="0"/>
          </w:rPr>
          <w:t>leonardo.pattaro@phd.unipd.it</w:t>
        </w:r>
      </w:hyperlink>
    </w:p>
    <w:p w14:paraId="78D5C521" w14:textId="77777777" w:rsidR="00181C4F" w:rsidRPr="00F12EC6" w:rsidRDefault="00181C4F" w:rsidP="00B57E6F">
      <w:pPr>
        <w:pStyle w:val="CETAddress"/>
        <w:rPr>
          <w:noProof w:val="0"/>
        </w:rPr>
      </w:pPr>
    </w:p>
    <w:p w14:paraId="3D6154D4" w14:textId="0B0345F0" w:rsidR="004040E6" w:rsidRDefault="004040E6" w:rsidP="004040E6">
      <w:pPr>
        <w:pStyle w:val="CETBodytext"/>
        <w:rPr>
          <w:b/>
        </w:rPr>
      </w:pPr>
      <w:r w:rsidRPr="004040E6">
        <w:t xml:space="preserve">The polyextremophilic red microalga </w:t>
      </w:r>
      <w:proofErr w:type="spellStart"/>
      <w:r w:rsidRPr="004040E6">
        <w:rPr>
          <w:i/>
          <w:iCs/>
        </w:rPr>
        <w:t>Galdieria</w:t>
      </w:r>
      <w:proofErr w:type="spellEnd"/>
      <w:r w:rsidRPr="004040E6">
        <w:rPr>
          <w:i/>
          <w:iCs/>
        </w:rPr>
        <w:t xml:space="preserve"> </w:t>
      </w:r>
      <w:proofErr w:type="spellStart"/>
      <w:r w:rsidRPr="004040E6">
        <w:rPr>
          <w:i/>
          <w:iCs/>
        </w:rPr>
        <w:t>sulphuraria</w:t>
      </w:r>
      <w:proofErr w:type="spellEnd"/>
      <w:r w:rsidRPr="004040E6">
        <w:t xml:space="preserve"> represents a promising platform for waste-to-biomass bioprocesses, as it can grow heterotrophically under acidic and thermophilic conditions that intrinsically limit microbial contamination. However, quantitative data on the combined effects of temperature and pH under continuous heterotrophic operation remain scarce.</w:t>
      </w:r>
      <w:r>
        <w:t xml:space="preserve"> </w:t>
      </w:r>
      <w:r w:rsidRPr="004040E6">
        <w:t xml:space="preserve">In this work, </w:t>
      </w:r>
      <w:r w:rsidRPr="004040E6">
        <w:rPr>
          <w:i/>
          <w:iCs/>
        </w:rPr>
        <w:t xml:space="preserve">G. </w:t>
      </w:r>
      <w:proofErr w:type="spellStart"/>
      <w:r w:rsidRPr="004040E6">
        <w:rPr>
          <w:i/>
          <w:iCs/>
        </w:rPr>
        <w:t>sulphuraria</w:t>
      </w:r>
      <w:proofErr w:type="spellEnd"/>
      <w:r w:rsidRPr="004040E6">
        <w:t xml:space="preserve"> SAG 21.92 was cultivated heterotrophically in laboratory-scale chemostats operated as CSTRs and fed with a glucose-based medium. Steady-state experiments were performed by varying temperature (30–55 °C) and inlet medium pH (1–5) at fixed residence time (2 d) and inlet organic carbon concentration (6 g</w:t>
      </w:r>
      <w:r w:rsidRPr="00915ADE">
        <w:rPr>
          <w:vertAlign w:val="subscript"/>
        </w:rPr>
        <w:t>C</w:t>
      </w:r>
      <w:r w:rsidRPr="004040E6">
        <w:t xml:space="preserve"> L</w:t>
      </w:r>
      <w:r w:rsidRPr="004040E6">
        <w:rPr>
          <w:rFonts w:ascii="Cambria Math" w:hAnsi="Cambria Math" w:cs="Cambria Math"/>
        </w:rPr>
        <w:t>⁻</w:t>
      </w:r>
      <w:r w:rsidRPr="004040E6">
        <w:rPr>
          <w:rFonts w:cs="Arial"/>
        </w:rPr>
        <w:t>¹</w:t>
      </w:r>
      <w:r w:rsidRPr="004040E6">
        <w:t xml:space="preserve">). Biomass concentration and productivity were determined from dry-weight measurements, while carbon-based mass balances quantified </w:t>
      </w:r>
      <w:proofErr w:type="gramStart"/>
      <w:r w:rsidRPr="004040E6">
        <w:t>respiratory</w:t>
      </w:r>
      <w:r w:rsidR="00FA303A">
        <w:t xml:space="preserve"> </w:t>
      </w:r>
      <w:r w:rsidRPr="004040E6">
        <w:t>carbon</w:t>
      </w:r>
      <w:proofErr w:type="gramEnd"/>
      <w:r w:rsidRPr="004040E6">
        <w:t xml:space="preserve"> losses.</w:t>
      </w:r>
      <w:r>
        <w:t xml:space="preserve"> </w:t>
      </w:r>
      <w:r w:rsidRPr="004040E6">
        <w:t>A broad thermal optimum was observed between 35 and 45 °C, with biomass productivities up to 3.0 g</w:t>
      </w:r>
      <w:r w:rsidRPr="00915ADE">
        <w:rPr>
          <w:vertAlign w:val="subscript"/>
        </w:rPr>
        <w:t>X</w:t>
      </w:r>
      <w:r w:rsidRPr="004040E6">
        <w:t xml:space="preserve"> L</w:t>
      </w:r>
      <w:r w:rsidRPr="004040E6">
        <w:rPr>
          <w:rFonts w:ascii="Cambria Math" w:hAnsi="Cambria Math" w:cs="Cambria Math"/>
        </w:rPr>
        <w:t>⁻</w:t>
      </w:r>
      <w:r w:rsidRPr="004040E6">
        <w:rPr>
          <w:rFonts w:cs="Arial"/>
        </w:rPr>
        <w:t>¹</w:t>
      </w:r>
      <w:r w:rsidRPr="004040E6">
        <w:t xml:space="preserve"> d</w:t>
      </w:r>
      <w:r w:rsidRPr="004040E6">
        <w:rPr>
          <w:rFonts w:ascii="Cambria Math" w:hAnsi="Cambria Math" w:cs="Cambria Math"/>
        </w:rPr>
        <w:t>⁻</w:t>
      </w:r>
      <w:r w:rsidRPr="004040E6">
        <w:rPr>
          <w:rFonts w:cs="Arial"/>
        </w:rPr>
        <w:t>¹</w:t>
      </w:r>
      <w:r w:rsidRPr="004040E6">
        <w:t xml:space="preserve">. Inlet pH acted as an effective control handle for environmental pH, which decreased at steady state due to biological acidification. When </w:t>
      </w:r>
      <w:proofErr w:type="spellStart"/>
      <w:r w:rsidRPr="004040E6">
        <w:t>analysed</w:t>
      </w:r>
      <w:proofErr w:type="spellEnd"/>
      <w:r w:rsidRPr="004040E6">
        <w:t xml:space="preserve"> as a function of environmental pH, biomass productivity showed a narrow optimum around pH 1.9, corresponding to maximum biomass concentrations (7.7 g</w:t>
      </w:r>
      <w:r w:rsidRPr="00915ADE">
        <w:rPr>
          <w:vertAlign w:val="subscript"/>
        </w:rPr>
        <w:t>X</w:t>
      </w:r>
      <w:r w:rsidRPr="004040E6">
        <w:t xml:space="preserve"> L</w:t>
      </w:r>
      <w:r w:rsidRPr="004040E6">
        <w:rPr>
          <w:rFonts w:ascii="Cambria Math" w:hAnsi="Cambria Math" w:cs="Cambria Math"/>
        </w:rPr>
        <w:t>⁻</w:t>
      </w:r>
      <w:r w:rsidRPr="004040E6">
        <w:rPr>
          <w:rFonts w:cs="Arial"/>
        </w:rPr>
        <w:t>¹</w:t>
      </w:r>
      <w:r w:rsidRPr="004040E6">
        <w:t xml:space="preserve">) and </w:t>
      </w:r>
      <w:proofErr w:type="spellStart"/>
      <w:r w:rsidRPr="004040E6">
        <w:t>minimised</w:t>
      </w:r>
      <w:proofErr w:type="spellEnd"/>
      <w:r w:rsidRPr="004040E6">
        <w:t xml:space="preserve"> respiratory carbon losses. Overall, these results identify </w:t>
      </w:r>
      <w:proofErr w:type="spellStart"/>
      <w:r w:rsidRPr="004040E6">
        <w:t>favourable</w:t>
      </w:r>
      <w:proofErr w:type="spellEnd"/>
      <w:r w:rsidRPr="004040E6">
        <w:t xml:space="preserve"> operating windows for </w:t>
      </w:r>
      <w:proofErr w:type="spellStart"/>
      <w:r w:rsidRPr="004040E6">
        <w:t>maximising</w:t>
      </w:r>
      <w:proofErr w:type="spellEnd"/>
      <w:r w:rsidRPr="004040E6">
        <w:t xml:space="preserve"> growth performance and carbon use efficiency, providing quantitative guidelines for process </w:t>
      </w:r>
      <w:proofErr w:type="spellStart"/>
      <w:r w:rsidRPr="004040E6">
        <w:t>optimisation</w:t>
      </w:r>
      <w:proofErr w:type="spellEnd"/>
      <w:r w:rsidRPr="004040E6">
        <w:t xml:space="preserve"> and scale-up.</w:t>
      </w:r>
    </w:p>
    <w:p w14:paraId="476B2F2E" w14:textId="16F12D3E" w:rsidR="00600535" w:rsidRPr="005C3001" w:rsidRDefault="00600535" w:rsidP="005C3001">
      <w:pPr>
        <w:pStyle w:val="CETHeading1"/>
        <w:numPr>
          <w:ilvl w:val="0"/>
          <w:numId w:val="0"/>
        </w:numPr>
        <w:rPr>
          <w:b w:val="0"/>
          <w:sz w:val="18"/>
          <w:lang w:val="en-GB"/>
        </w:rPr>
      </w:pPr>
      <w:r w:rsidRPr="005C3001">
        <w:rPr>
          <w:lang w:val="en-GB"/>
        </w:rPr>
        <w:t>Introduction</w:t>
      </w:r>
    </w:p>
    <w:p w14:paraId="5A9DF198" w14:textId="301BAD05" w:rsidR="00951766" w:rsidRPr="00951766" w:rsidRDefault="00951766" w:rsidP="00951766">
      <w:pPr>
        <w:pStyle w:val="CETBodytext"/>
        <w:rPr>
          <w:lang w:val="en-GB"/>
        </w:rPr>
      </w:pPr>
      <w:r w:rsidRPr="00951766">
        <w:rPr>
          <w:lang w:val="en-GB"/>
        </w:rPr>
        <w:t>The valorisation of organic side streams through microbial bioprocesses is receiving increasing attention as a strategy to improve resource efficiency and reduce the environmental footprint of food and agro-industrial systems. Within this context, microalgae represent a versatile platform for the conversion of organic carbon into valuable biomass, combining high growth efficiencies with the possibility of operating under tightly controlled conditions</w:t>
      </w:r>
      <w:r w:rsidR="006328F8">
        <w:rPr>
          <w:lang w:val="en-GB"/>
        </w:rPr>
        <w:t xml:space="preserve"> </w:t>
      </w:r>
      <w:sdt>
        <w:sdtPr>
          <w:rPr>
            <w:rFonts w:cs="Arial"/>
            <w:color w:val="000000"/>
            <w:lang w:val="en-GB"/>
          </w:rPr>
          <w:tag w:val="MENDELEY_CITATION_v3_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"/>
          <w:id w:val="1367644775"/>
          <w:placeholder>
            <w:docPart w:val="DefaultPlaceholder_-1854013440"/>
          </w:placeholder>
        </w:sdtPr>
        <w:sdtContent>
          <w:r w:rsidR="00B00328" w:rsidRPr="00B00328">
            <w:rPr>
              <w:rFonts w:cs="Arial"/>
              <w:color w:val="000000"/>
              <w:lang w:val="en-GB"/>
            </w:rPr>
            <w:t>(Craggs et al., 2012)</w:t>
          </w:r>
        </w:sdtContent>
      </w:sdt>
      <w:r w:rsidRPr="00951766">
        <w:rPr>
          <w:lang w:val="en-GB"/>
        </w:rPr>
        <w:t>. While photoautotrophic cultivation remains the most established approach, heterotrophic microalgal processes offer distinct advantages from an engineering standpoint, as biomass production becomes independent of light availability and can be intensified through respiratory metabolism supported by organic substrates</w:t>
      </w:r>
      <w:r w:rsidR="006328F8">
        <w:rPr>
          <w:lang w:val="en-GB"/>
        </w:rPr>
        <w:t xml:space="preserve"> </w:t>
      </w:r>
      <w:sdt>
        <w:sdtPr>
          <w:rPr>
            <w:rFonts w:cs="Arial"/>
            <w:color w:val="000000"/>
          </w:rPr>
          <w:tag w:val="MENDELEY_CITATION_v3_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"/>
          <w:id w:val="1226578770"/>
          <w:placeholder>
            <w:docPart w:val="DefaultPlaceholder_-1854013440"/>
          </w:placeholder>
        </w:sdtPr>
        <w:sdtContent>
          <w:r w:rsidR="00B00328" w:rsidRPr="00B00328">
            <w:rPr>
              <w:rFonts w:cs="Arial"/>
              <w:color w:val="000000"/>
            </w:rPr>
            <w:t>(Perez-Garcia et al., 2011)</w:t>
          </w:r>
        </w:sdtContent>
      </w:sdt>
      <w:r w:rsidRPr="00951766">
        <w:rPr>
          <w:lang w:val="en-GB"/>
        </w:rPr>
        <w:t>.</w:t>
      </w:r>
      <w:r>
        <w:rPr>
          <w:lang w:val="en-GB"/>
        </w:rPr>
        <w:t xml:space="preserve"> </w:t>
      </w:r>
      <w:r w:rsidR="00410D99" w:rsidRPr="00410D99">
        <w:rPr>
          <w:lang w:val="en-GB"/>
        </w:rPr>
        <w:t>Moreover, heterotrophic growth typically leads to a strong reduction of photosynthetic pigments, yielding a biomass that is considered more suitable for food applications due to its higher consumer acceptability</w:t>
      </w:r>
      <w:r w:rsidR="000418D3">
        <w:rPr>
          <w:lang w:val="en-GB"/>
        </w:rPr>
        <w:t xml:space="preserve"> </w:t>
      </w:r>
      <w:sdt>
        <w:sdtPr>
          <w:rPr>
            <w:rFonts w:cs="Arial"/>
            <w:color w:val="000000"/>
            <w:lang w:val="en-GB"/>
          </w:rPr>
          <w:tag w:val="MENDELEY_CITATION_v3_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"/>
          <w:id w:val="658194236"/>
          <w:placeholder>
            <w:docPart w:val="DefaultPlaceholder_-1854013440"/>
          </w:placeholder>
        </w:sdtPr>
        <w:sdtContent>
          <w:r w:rsidR="00B00328" w:rsidRPr="00B00328">
            <w:rPr>
              <w:rFonts w:cs="Arial"/>
              <w:color w:val="000000"/>
              <w:lang w:val="en-GB"/>
            </w:rPr>
            <w:t>(Becker, 2007)</w:t>
          </w:r>
        </w:sdtContent>
      </w:sdt>
      <w:r w:rsidR="00C703BE">
        <w:rPr>
          <w:lang w:val="en-GB"/>
        </w:rPr>
        <w:t>.</w:t>
      </w:r>
      <w:r w:rsidR="00B10AA4">
        <w:rPr>
          <w:lang w:val="en-GB"/>
        </w:rPr>
        <w:t xml:space="preserve"> </w:t>
      </w:r>
      <w:r w:rsidR="0003196D" w:rsidRPr="0003196D">
        <w:rPr>
          <w:lang w:val="en-GB"/>
        </w:rPr>
        <w:t>However, the industrial deployment of heterotrophic microalgal cultivation is often hindered by microbial contamination, especially when non-sterile feedstocks are processed at large scale, compromising culture stability and long-term continuous operation</w:t>
      </w:r>
      <w:r w:rsidR="0003196D">
        <w:rPr>
          <w:lang w:val="en-GB"/>
        </w:rPr>
        <w:t xml:space="preserve"> </w:t>
      </w:r>
      <w:sdt>
        <w:sdtPr>
          <w:rPr>
            <w:rFonts w:cs="Arial"/>
            <w:color w:val="000000"/>
            <w:lang w:val="en-GB"/>
          </w:rPr>
          <w:tag w:val="MENDELEY_CITATION_v3_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"/>
          <w:id w:val="1235507927"/>
          <w:placeholder>
            <w:docPart w:val="DefaultPlaceholder_-1854013440"/>
          </w:placeholder>
        </w:sdtPr>
        <w:sdtContent>
          <w:r w:rsidR="00B00328" w:rsidRPr="00B00328">
            <w:rPr>
              <w:rFonts w:cs="Arial"/>
              <w:color w:val="000000"/>
              <w:lang w:val="en-GB"/>
            </w:rPr>
            <w:t>(Day et al., 2017)</w:t>
          </w:r>
        </w:sdtContent>
      </w:sdt>
      <w:r w:rsidRPr="00951766">
        <w:rPr>
          <w:lang w:val="en-GB"/>
        </w:rPr>
        <w:t xml:space="preserve">. In this respect, extremophilic microalgae provide a unique opportunity, as their ability to grow under acidic and thermophilic conditions creates an intrinsic selective pressure against competing microorganisms. The red microalga </w:t>
      </w:r>
      <w:proofErr w:type="spellStart"/>
      <w:r w:rsidRPr="00951766">
        <w:rPr>
          <w:i/>
          <w:iCs/>
          <w:lang w:val="en-GB"/>
        </w:rPr>
        <w:t>Galdieria</w:t>
      </w:r>
      <w:proofErr w:type="spellEnd"/>
      <w:r w:rsidRPr="00951766">
        <w:rPr>
          <w:i/>
          <w:iCs/>
          <w:lang w:val="en-GB"/>
        </w:rPr>
        <w:t xml:space="preserve"> </w:t>
      </w:r>
      <w:proofErr w:type="spellStart"/>
      <w:r w:rsidRPr="00951766">
        <w:rPr>
          <w:i/>
          <w:iCs/>
          <w:lang w:val="en-GB"/>
        </w:rPr>
        <w:t>sulphuraria</w:t>
      </w:r>
      <w:proofErr w:type="spellEnd"/>
      <w:r w:rsidRPr="00951766">
        <w:rPr>
          <w:lang w:val="en-GB"/>
        </w:rPr>
        <w:t xml:space="preserve"> is a representative example of this class, combining metabolic versatility with tolerance to low pH and elevated temperatures. These characteristics enable stable heterotrophic cultivation on organic carbon sources while maintaining conditions that are unfavourable for most contaminants</w:t>
      </w:r>
      <w:r w:rsidR="008169AA">
        <w:rPr>
          <w:lang w:val="en-GB"/>
        </w:rPr>
        <w:t xml:space="preserve"> </w:t>
      </w:r>
      <w:sdt>
        <w:sdtPr>
          <w:rPr>
            <w:rFonts w:cs="Arial"/>
            <w:color w:val="000000"/>
            <w:lang w:val="en-GB"/>
          </w:rPr>
          <w:tag w:val="MENDELEY_CITATION_v3_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"/>
          <w:id w:val="-788050179"/>
          <w:placeholder>
            <w:docPart w:val="DefaultPlaceholder_-1854013440"/>
          </w:placeholder>
        </w:sdtPr>
        <w:sdtContent>
          <w:r w:rsidR="00B00328" w:rsidRPr="00B00328">
            <w:rPr>
              <w:rFonts w:cs="Arial"/>
              <w:color w:val="000000"/>
              <w:lang w:val="en-GB"/>
            </w:rPr>
            <w:t>(</w:t>
          </w:r>
          <w:proofErr w:type="spellStart"/>
          <w:r w:rsidR="00B00328" w:rsidRPr="00B00328">
            <w:rPr>
              <w:rFonts w:cs="Arial"/>
              <w:color w:val="000000"/>
              <w:lang w:val="en-GB"/>
            </w:rPr>
            <w:t>Pleissner</w:t>
          </w:r>
          <w:proofErr w:type="spellEnd"/>
          <w:r w:rsidR="00B00328" w:rsidRPr="00B00328">
            <w:rPr>
              <w:rFonts w:cs="Arial"/>
              <w:color w:val="000000"/>
              <w:lang w:val="en-GB"/>
            </w:rPr>
            <w:t xml:space="preserve"> et al., 2025)</w:t>
          </w:r>
        </w:sdtContent>
      </w:sdt>
      <w:r w:rsidRPr="00951766">
        <w:rPr>
          <w:lang w:val="en-GB"/>
        </w:rPr>
        <w:t>.</w:t>
      </w:r>
      <w:r>
        <w:rPr>
          <w:lang w:val="en-GB"/>
        </w:rPr>
        <w:t xml:space="preserve"> </w:t>
      </w:r>
      <w:r w:rsidRPr="00951766">
        <w:rPr>
          <w:lang w:val="en-GB"/>
        </w:rPr>
        <w:t xml:space="preserve">From a process perspective, continuous cultivation offers a particularly suitable framework to assess and optimise heterotrophic microalgal systems. By operating at steady state, </w:t>
      </w:r>
      <w:r w:rsidRPr="00951766">
        <w:rPr>
          <w:lang w:val="en-GB"/>
        </w:rPr>
        <w:lastRenderedPageBreak/>
        <w:t>continuous reactors allow the direct linkage between operating conditions and measurable performance indicators, such as biomass productivity, substrate conversion efficiency and carbon allocation patterns</w:t>
      </w:r>
      <w:r w:rsidR="008169AA">
        <w:rPr>
          <w:lang w:val="en-GB"/>
        </w:rPr>
        <w:t xml:space="preserve"> </w:t>
      </w:r>
      <w:sdt>
        <w:sdtPr>
          <w:rPr>
            <w:rFonts w:cs="Arial"/>
            <w:color w:val="000000"/>
            <w:lang w:val="en-GB"/>
          </w:rPr>
          <w:tag w:val="MENDELEY_CITATION_v3_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"/>
          <w:id w:val="1901173540"/>
          <w:placeholder>
            <w:docPart w:val="DefaultPlaceholder_-1854013440"/>
          </w:placeholder>
        </w:sdtPr>
        <w:sdtContent>
          <w:r w:rsidR="00B00328" w:rsidRPr="00B00328">
            <w:rPr>
              <w:rFonts w:cs="Arial"/>
              <w:color w:val="000000"/>
              <w:lang w:val="en-GB"/>
            </w:rPr>
            <w:t>(</w:t>
          </w:r>
          <w:proofErr w:type="spellStart"/>
          <w:r w:rsidR="00B00328" w:rsidRPr="00B00328">
            <w:rPr>
              <w:rFonts w:cs="Arial"/>
              <w:color w:val="000000"/>
              <w:lang w:val="en-GB"/>
            </w:rPr>
            <w:t>Bertucco</w:t>
          </w:r>
          <w:proofErr w:type="spellEnd"/>
          <w:r w:rsidR="00B00328" w:rsidRPr="00B00328">
            <w:rPr>
              <w:rFonts w:cs="Arial"/>
              <w:color w:val="000000"/>
              <w:lang w:val="en-GB"/>
            </w:rPr>
            <w:t xml:space="preserve"> et al., 2014)</w:t>
          </w:r>
        </w:sdtContent>
      </w:sdt>
      <w:r w:rsidRPr="00951766">
        <w:rPr>
          <w:lang w:val="en-GB"/>
        </w:rPr>
        <w:t xml:space="preserve">. Despite this potential, </w:t>
      </w:r>
      <w:r w:rsidR="00FC6492" w:rsidRPr="00951766">
        <w:rPr>
          <w:lang w:val="en-GB"/>
        </w:rPr>
        <w:t>most</w:t>
      </w:r>
      <w:r w:rsidRPr="00951766">
        <w:rPr>
          <w:lang w:val="en-GB"/>
        </w:rPr>
        <w:t xml:space="preserve"> </w:t>
      </w:r>
      <w:r w:rsidR="00FC6492">
        <w:rPr>
          <w:lang w:val="en-GB"/>
        </w:rPr>
        <w:t xml:space="preserve">of the </w:t>
      </w:r>
      <w:r w:rsidRPr="00951766">
        <w:rPr>
          <w:lang w:val="en-GB"/>
        </w:rPr>
        <w:t xml:space="preserve">studies on </w:t>
      </w:r>
      <w:r w:rsidRPr="002706AD">
        <w:rPr>
          <w:i/>
          <w:iCs/>
          <w:lang w:val="en-GB"/>
        </w:rPr>
        <w:t xml:space="preserve">G. </w:t>
      </w:r>
      <w:proofErr w:type="spellStart"/>
      <w:r w:rsidRPr="002706AD">
        <w:rPr>
          <w:i/>
          <w:iCs/>
          <w:lang w:val="en-GB"/>
        </w:rPr>
        <w:t>sulphuraria</w:t>
      </w:r>
      <w:proofErr w:type="spellEnd"/>
      <w:r w:rsidRPr="00951766">
        <w:rPr>
          <w:lang w:val="en-GB"/>
        </w:rPr>
        <w:t xml:space="preserve"> heterotrophic growth have been conducted in batch or semi-batch mode, primarily addressing substrate utilisation or trophic versatility. </w:t>
      </w:r>
      <w:r w:rsidR="002706AD" w:rsidRPr="00951766">
        <w:rPr>
          <w:lang w:val="en-GB"/>
        </w:rPr>
        <w:t>Therefore</w:t>
      </w:r>
      <w:r w:rsidRPr="00951766">
        <w:rPr>
          <w:lang w:val="en-GB"/>
        </w:rPr>
        <w:t>, quantitative data describing steady-state performance under continuous operation remain scarce.</w:t>
      </w:r>
      <w:r>
        <w:rPr>
          <w:lang w:val="en-GB"/>
        </w:rPr>
        <w:t xml:space="preserve"> </w:t>
      </w:r>
      <w:r w:rsidRPr="00951766">
        <w:rPr>
          <w:lang w:val="en-GB"/>
        </w:rPr>
        <w:t>Among the operational variables governing heterotrophic cultivation, temperature and pH play a pivotal role, as they directly influence metabolic rates, maintenance requirements and respiratory carbon losses. In addition, under heterotrophic conditions, respiratory CO</w:t>
      </w:r>
      <w:r w:rsidRPr="00951766">
        <w:rPr>
          <w:rFonts w:ascii="Cambria Math" w:hAnsi="Cambria Math" w:cs="Cambria Math"/>
          <w:lang w:val="en-GB"/>
        </w:rPr>
        <w:t>₂</w:t>
      </w:r>
      <w:r w:rsidRPr="00951766">
        <w:rPr>
          <w:lang w:val="en-GB"/>
        </w:rPr>
        <w:t xml:space="preserve"> release can induce significant acidification of the culture broth, decoupling the environmental pH from the inlet medium pH and introducing further complexity in process control. </w:t>
      </w:r>
      <w:r w:rsidR="00DE2454" w:rsidRPr="00DE2454">
        <w:rPr>
          <w:lang w:val="en-GB"/>
        </w:rPr>
        <w:t xml:space="preserve">The present study addresses this gap by experimentally investigating the steady-state heterotrophic growth of </w:t>
      </w:r>
      <w:proofErr w:type="spellStart"/>
      <w:r w:rsidR="00DE2454" w:rsidRPr="00DE2454">
        <w:rPr>
          <w:i/>
          <w:iCs/>
          <w:lang w:val="en-GB"/>
        </w:rPr>
        <w:t>Galdieria</w:t>
      </w:r>
      <w:proofErr w:type="spellEnd"/>
      <w:r w:rsidR="00DE2454" w:rsidRPr="00DE2454">
        <w:rPr>
          <w:i/>
          <w:iCs/>
          <w:lang w:val="en-GB"/>
        </w:rPr>
        <w:t xml:space="preserve"> </w:t>
      </w:r>
      <w:proofErr w:type="spellStart"/>
      <w:r w:rsidR="00DE2454" w:rsidRPr="00DE2454">
        <w:rPr>
          <w:i/>
          <w:iCs/>
          <w:lang w:val="en-GB"/>
        </w:rPr>
        <w:t>sulphuraria</w:t>
      </w:r>
      <w:proofErr w:type="spellEnd"/>
      <w:r w:rsidR="00DE2454" w:rsidRPr="00DE2454">
        <w:rPr>
          <w:lang w:val="en-GB"/>
        </w:rPr>
        <w:t xml:space="preserve"> in laboratory-scale continuous reactors under controlled temperature and inlet pH conditions, quantifying biomass productivity, carbon utilisation and respiratory losses through dry weight (DW) measurements and carbon-based mass balances to identify favourable operating windows.</w:t>
      </w:r>
    </w:p>
    <w:p w14:paraId="5741900F" w14:textId="4061DBBA" w:rsidR="00453E24" w:rsidRDefault="006B32BA" w:rsidP="00453E24">
      <w:pPr>
        <w:pStyle w:val="CETHeading1"/>
        <w:rPr>
          <w:lang w:val="en-GB"/>
        </w:rPr>
      </w:pPr>
      <w:r w:rsidRPr="00F12EC6">
        <w:rPr>
          <w:lang w:val="en-GB"/>
        </w:rPr>
        <w:t>Materials and methods</w:t>
      </w:r>
    </w:p>
    <w:p w14:paraId="6BC64EDA" w14:textId="052C7E95" w:rsidR="00D62215" w:rsidRDefault="0009133E" w:rsidP="0009133E">
      <w:pPr>
        <w:pStyle w:val="CETheadingx"/>
      </w:pPr>
      <w:r>
        <w:t>Species and cultivation conditions</w:t>
      </w:r>
    </w:p>
    <w:p w14:paraId="348E8517" w14:textId="6869BD19" w:rsidR="00001416" w:rsidRDefault="00E11DCD" w:rsidP="00E11DCD">
      <w:pPr>
        <w:pStyle w:val="CETBodytext"/>
      </w:pPr>
      <w:proofErr w:type="spellStart"/>
      <w:r w:rsidRPr="00E11DCD">
        <w:rPr>
          <w:i/>
          <w:iCs/>
        </w:rPr>
        <w:t>Galdieria</w:t>
      </w:r>
      <w:proofErr w:type="spellEnd"/>
      <w:r w:rsidRPr="00E11DCD">
        <w:rPr>
          <w:i/>
          <w:iCs/>
        </w:rPr>
        <w:t xml:space="preserve"> </w:t>
      </w:r>
      <w:proofErr w:type="spellStart"/>
      <w:r w:rsidRPr="00E11DCD">
        <w:rPr>
          <w:i/>
          <w:iCs/>
        </w:rPr>
        <w:t>sulphuraria</w:t>
      </w:r>
      <w:proofErr w:type="spellEnd"/>
      <w:r>
        <w:t xml:space="preserve"> SAG 21.92 (Culture Collection of Algae at Göttingen University) was maintained under sterile conditions in Modified Allen Medium (MAM) in 250 mL flasks, at 30 °C and under an incident light intensity of 75 µmol m</w:t>
      </w:r>
      <w:r>
        <w:rPr>
          <w:rFonts w:ascii="Cambria Math" w:hAnsi="Cambria Math" w:cs="Cambria Math"/>
        </w:rPr>
        <w:t>⁻</w:t>
      </w:r>
      <w:r>
        <w:rPr>
          <w:rFonts w:cs="Arial"/>
        </w:rPr>
        <w:t>²</w:t>
      </w:r>
      <w:r>
        <w:t xml:space="preserve"> s</w:t>
      </w:r>
      <w:r>
        <w:rPr>
          <w:rFonts w:ascii="Cambria Math" w:hAnsi="Cambria Math" w:cs="Cambria Math"/>
        </w:rPr>
        <w:t>⁻</w:t>
      </w:r>
      <w:r>
        <w:rPr>
          <w:rFonts w:cs="Arial"/>
        </w:rPr>
        <w:t>¹</w:t>
      </w:r>
      <w:r>
        <w:t xml:space="preserve">, measured using a </w:t>
      </w:r>
      <w:proofErr w:type="spellStart"/>
      <w:r>
        <w:t>photoradiometer</w:t>
      </w:r>
      <w:proofErr w:type="spellEnd"/>
      <w:r>
        <w:t xml:space="preserve"> (HD 2102.1, Delta OHM). The medium formulation ensured non-limiting nutrient conditions throughout culture maintenance.</w:t>
      </w:r>
      <w:r w:rsidR="00F037C4">
        <w:t xml:space="preserve"> </w:t>
      </w:r>
      <w:r>
        <w:t>Heterotrophic acclimation was performed in 250 mL Drechsel bottles operated in darkness and continuously aerated with atmospheric air at a constant flow rate of 1 L h</w:t>
      </w:r>
      <w:r>
        <w:rPr>
          <w:rFonts w:ascii="Cambria Math" w:hAnsi="Cambria Math" w:cs="Cambria Math"/>
        </w:rPr>
        <w:t>⁻</w:t>
      </w:r>
      <w:r>
        <w:rPr>
          <w:rFonts w:cs="Arial"/>
        </w:rPr>
        <w:t>¹</w:t>
      </w:r>
      <w:r>
        <w:t>. To induce heterotrophic growth, the autotrophic MAM was supplemented with glucose at a concentration of 15 g L</w:t>
      </w:r>
      <w:r>
        <w:rPr>
          <w:rFonts w:ascii="Cambria Math" w:hAnsi="Cambria Math" w:cs="Cambria Math"/>
        </w:rPr>
        <w:t>⁻</w:t>
      </w:r>
      <w:r>
        <w:rPr>
          <w:rFonts w:cs="Arial"/>
        </w:rPr>
        <w:t>¹</w:t>
      </w:r>
      <w:r>
        <w:t>, corresponding to 6 g</w:t>
      </w:r>
      <w:r w:rsidRPr="00857C4E">
        <w:rPr>
          <w:vertAlign w:val="subscript"/>
        </w:rPr>
        <w:t>C</w:t>
      </w:r>
      <w:r>
        <w:t xml:space="preserve"> L</w:t>
      </w:r>
      <w:r>
        <w:rPr>
          <w:rFonts w:ascii="Cambria Math" w:hAnsi="Cambria Math" w:cs="Cambria Math"/>
        </w:rPr>
        <w:t>⁻</w:t>
      </w:r>
      <w:r>
        <w:rPr>
          <w:rFonts w:cs="Arial"/>
        </w:rPr>
        <w:t>¹</w:t>
      </w:r>
      <w:r>
        <w:t xml:space="preserve">. Glucose was selected as a model organic substrate to represent readily assimilable carbohydrates commonly present in food-derived waste streams, while ensuring high reproducibility of the experimental conditions. </w:t>
      </w:r>
      <w:r w:rsidR="009B355D">
        <w:rPr>
          <w:lang w:val="en-GB"/>
        </w:rPr>
        <w:t>For species</w:t>
      </w:r>
      <w:r w:rsidR="009B355D" w:rsidRPr="009B355D">
        <w:rPr>
          <w:lang w:val="en-GB"/>
        </w:rPr>
        <w:t xml:space="preserve"> maintenance and acclimation,</w:t>
      </w:r>
      <w:r w:rsidR="009B355D">
        <w:rPr>
          <w:lang w:val="en-GB"/>
        </w:rPr>
        <w:t xml:space="preserve"> the </w:t>
      </w:r>
      <w:r>
        <w:t>medium pH was adjusted to 2.0 using concentrated H</w:t>
      </w:r>
      <w:r>
        <w:rPr>
          <w:rFonts w:ascii="Cambria Math" w:hAnsi="Cambria Math" w:cs="Cambria Math"/>
        </w:rPr>
        <w:t>₂</w:t>
      </w:r>
      <w:r>
        <w:t>SO</w:t>
      </w:r>
      <w:r>
        <w:rPr>
          <w:rFonts w:ascii="Cambria Math" w:hAnsi="Cambria Math" w:cs="Cambria Math"/>
        </w:rPr>
        <w:t>₄</w:t>
      </w:r>
      <w:r>
        <w:t xml:space="preserve"> (95</w:t>
      </w:r>
      <w:r>
        <w:rPr>
          <w:rFonts w:cs="Arial"/>
        </w:rPr>
        <w:t>–</w:t>
      </w:r>
      <w:r>
        <w:t>98</w:t>
      </w:r>
      <w:r w:rsidR="007245D0">
        <w:t xml:space="preserve"> </w:t>
      </w:r>
      <w:r>
        <w:t>%), in accordance with the acidophilic nature of the species.</w:t>
      </w:r>
      <w:r w:rsidR="00D97AB4">
        <w:t xml:space="preserve"> </w:t>
      </w:r>
      <w:r w:rsidR="00993CA7">
        <w:t xml:space="preserve">The </w:t>
      </w:r>
      <w:r w:rsidR="00D97AB4">
        <w:t>pH was then varied according to the experimental plan (section 1.2).</w:t>
      </w:r>
    </w:p>
    <w:p w14:paraId="23199510" w14:textId="4932CBFC" w:rsidR="00102F45" w:rsidRDefault="00384A13" w:rsidP="00384A13">
      <w:pPr>
        <w:pStyle w:val="CETheadingx"/>
      </w:pPr>
      <w:r>
        <w:t>Experimental conditions</w:t>
      </w:r>
    </w:p>
    <w:p w14:paraId="709530B7" w14:textId="45C8A527" w:rsidR="00384A13" w:rsidRDefault="00A24073" w:rsidP="00A24073">
      <w:pPr>
        <w:pStyle w:val="CETBodytext"/>
      </w:pPr>
      <w:r>
        <w:t xml:space="preserve">Heterotrophic cultivation experiments were carried out in 235 mL laboratory-scale chemostat reactors </w:t>
      </w:r>
      <w:proofErr w:type="gramStart"/>
      <w:r>
        <w:t>operated</w:t>
      </w:r>
      <w:proofErr w:type="gramEnd"/>
      <w:r>
        <w:t xml:space="preserve"> under continuous conditions. Fresh sterile medium was continuously supplied to the reactor at a controlled volumetric flow rate to impose the desired biomass residence time</w:t>
      </w:r>
      <w:r w:rsidR="004A3B93">
        <w:t xml:space="preserve"> (</w:t>
      </w:r>
      <w:r w:rsidR="00B009F8">
        <w:rPr>
          <w:rFonts w:cs="Arial"/>
        </w:rPr>
        <w:t>τ</w:t>
      </w:r>
      <w:r w:rsidR="004A3B93">
        <w:t>)</w:t>
      </w:r>
      <w:r>
        <w:t xml:space="preserve">. The reactor working volume was maintained constant by an overflow stream, resulting in an outlet flow rate equal to the inlet </w:t>
      </w:r>
      <w:r w:rsidR="00A30568">
        <w:t>value</w:t>
      </w:r>
      <w:r>
        <w:t xml:space="preserve">. Aeration was provided through internal sparging with </w:t>
      </w:r>
      <w:r w:rsidR="00A30568">
        <w:t>1 L h</w:t>
      </w:r>
      <w:r w:rsidR="00A30568" w:rsidRPr="00A30568">
        <w:rPr>
          <w:vertAlign w:val="superscript"/>
        </w:rPr>
        <w:t>-1</w:t>
      </w:r>
      <w:r w:rsidR="00A30568">
        <w:t xml:space="preserve"> </w:t>
      </w:r>
      <w:r>
        <w:t xml:space="preserve">atmospheric air, and magnetic stirring ensured complete mixing and homogeneous culture conditions. Under these assumptions, the reactor system was approximated as a continuously stirred tank reactor (CSTR). </w:t>
      </w:r>
      <w:r w:rsidR="001D5FD3" w:rsidRPr="001D5FD3">
        <w:rPr>
          <w:lang w:val="en-GB"/>
        </w:rPr>
        <w:t xml:space="preserve">Continuous heterotrophic cultivation was investigated following a </w:t>
      </w:r>
      <w:r w:rsidR="001D5FD3">
        <w:rPr>
          <w:lang w:val="en-GB"/>
        </w:rPr>
        <w:t>o</w:t>
      </w:r>
      <w:r w:rsidR="001D5FD3" w:rsidRPr="001D5FD3">
        <w:rPr>
          <w:lang w:val="en-GB"/>
        </w:rPr>
        <w:t>ne-</w:t>
      </w:r>
      <w:r w:rsidR="001D5FD3">
        <w:rPr>
          <w:lang w:val="en-GB"/>
        </w:rPr>
        <w:t>f</w:t>
      </w:r>
      <w:r w:rsidR="001D5FD3" w:rsidRPr="001D5FD3">
        <w:rPr>
          <w:lang w:val="en-GB"/>
        </w:rPr>
        <w:t>actor-</w:t>
      </w:r>
      <w:r w:rsidR="001D5FD3">
        <w:rPr>
          <w:lang w:val="en-GB"/>
        </w:rPr>
        <w:t>a</w:t>
      </w:r>
      <w:r w:rsidR="001D5FD3" w:rsidRPr="001D5FD3">
        <w:rPr>
          <w:lang w:val="en-GB"/>
        </w:rPr>
        <w:t>t-a-</w:t>
      </w:r>
      <w:r w:rsidR="001D5FD3">
        <w:rPr>
          <w:lang w:val="en-GB"/>
        </w:rPr>
        <w:t>t</w:t>
      </w:r>
      <w:r w:rsidR="001D5FD3" w:rsidRPr="001D5FD3">
        <w:rPr>
          <w:lang w:val="en-GB"/>
        </w:rPr>
        <w:t>ime (OFAT) approach, in which temperature and inlet medium pH were systematically varied while all other operating conditions were kept fixed, as reported in Table 1. This approach was selected to isolate the steady-state effect of each variable while keeping the experimental campaign manageable.</w:t>
      </w:r>
    </w:p>
    <w:p w14:paraId="1B820204" w14:textId="6252D683" w:rsidR="004D124B" w:rsidRDefault="009D1AD6" w:rsidP="004D124B">
      <w:pPr>
        <w:pStyle w:val="CETTabletitle"/>
      </w:pPr>
      <w:r w:rsidRPr="009D1AD6">
        <w:t xml:space="preserve">Table </w:t>
      </w:r>
      <w:r>
        <w:t>1:</w:t>
      </w:r>
      <w:r w:rsidRPr="009D1AD6">
        <w:t xml:space="preserve"> </w:t>
      </w:r>
      <w:r>
        <w:t xml:space="preserve">Tested </w:t>
      </w:r>
      <w:r w:rsidR="00A547B3">
        <w:t>operating variables leve</w:t>
      </w:r>
      <w:r w:rsidR="00FC6492">
        <w:t>l</w:t>
      </w:r>
      <w:r w:rsidR="00A547B3">
        <w:t>s</w:t>
      </w:r>
      <w:r w:rsidRPr="009D1AD6">
        <w:t xml:space="preserve"> for heterotrophic OFAT experimental campaigns.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09"/>
        <w:gridCol w:w="2894"/>
        <w:gridCol w:w="1985"/>
        <w:gridCol w:w="1699"/>
      </w:tblGrid>
      <w:tr w:rsidR="00C212A1" w:rsidRPr="00F12EC6" w14:paraId="7356DD8C" w14:textId="0D4838A3" w:rsidTr="00BF2193">
        <w:tc>
          <w:tcPr>
            <w:tcW w:w="8787" w:type="dxa"/>
            <w:gridSpan w:val="4"/>
            <w:tcBorders>
              <w:top w:val="single" w:sz="12" w:space="0" w:color="008000"/>
              <w:bottom w:val="single" w:sz="6" w:space="0" w:color="008000"/>
            </w:tcBorders>
            <w:shd w:val="clear" w:color="auto" w:fill="FFFFFF"/>
          </w:tcPr>
          <w:p w14:paraId="26B1837B" w14:textId="55516DFD" w:rsidR="00C212A1" w:rsidRPr="00F12EC6" w:rsidRDefault="00C212A1" w:rsidP="005A3441">
            <w:pPr>
              <w:pStyle w:val="CETBodytext"/>
              <w:jc w:val="center"/>
              <w:rPr>
                <w:lang w:val="en-GB"/>
              </w:rPr>
            </w:pPr>
            <w:r>
              <w:rPr>
                <w:lang w:val="en-GB"/>
              </w:rPr>
              <w:t>Temperature effect experiments</w:t>
            </w:r>
          </w:p>
        </w:tc>
      </w:tr>
      <w:tr w:rsidR="00C212A1" w:rsidRPr="00F12EC6" w14:paraId="7A8E3E24" w14:textId="5EBEFC42" w:rsidTr="00C212A1">
        <w:tc>
          <w:tcPr>
            <w:tcW w:w="2209" w:type="dxa"/>
            <w:tcBorders>
              <w:top w:val="single" w:sz="12" w:space="0" w:color="008000"/>
              <w:bottom w:val="single" w:sz="6" w:space="0" w:color="008000"/>
            </w:tcBorders>
            <w:shd w:val="clear" w:color="auto" w:fill="FFFFFF"/>
          </w:tcPr>
          <w:p w14:paraId="7168E499" w14:textId="77777777" w:rsidR="00C212A1" w:rsidRDefault="00C212A1" w:rsidP="005A3441">
            <w:pPr>
              <w:pStyle w:val="CETBodytext"/>
              <w:jc w:val="center"/>
              <w:rPr>
                <w:lang w:val="en-GB"/>
              </w:rPr>
            </w:pPr>
            <w:r>
              <w:rPr>
                <w:lang w:val="en-GB"/>
              </w:rPr>
              <w:t xml:space="preserve">Residence time </w:t>
            </w:r>
          </w:p>
          <w:p w14:paraId="4B1BCC4D" w14:textId="2C631D54" w:rsidR="00C212A1" w:rsidRPr="00F12EC6" w:rsidRDefault="00C212A1" w:rsidP="005A3441">
            <w:pPr>
              <w:pStyle w:val="CETBodytext"/>
              <w:jc w:val="center"/>
              <w:rPr>
                <w:lang w:val="en-GB"/>
              </w:rPr>
            </w:pPr>
            <w:r>
              <w:rPr>
                <w:lang w:val="en-GB"/>
              </w:rPr>
              <w:t>[d]</w:t>
            </w:r>
          </w:p>
        </w:tc>
        <w:tc>
          <w:tcPr>
            <w:tcW w:w="2894" w:type="dxa"/>
            <w:tcBorders>
              <w:top w:val="single" w:sz="12" w:space="0" w:color="008000"/>
              <w:bottom w:val="single" w:sz="6" w:space="0" w:color="008000"/>
            </w:tcBorders>
            <w:shd w:val="clear" w:color="auto" w:fill="FFFFFF"/>
          </w:tcPr>
          <w:p w14:paraId="04798762" w14:textId="4EB2E1E3" w:rsidR="00C212A1" w:rsidRPr="00F12EC6" w:rsidRDefault="00C212A1" w:rsidP="005A3441">
            <w:pPr>
              <w:pStyle w:val="CETBodytext"/>
              <w:jc w:val="center"/>
              <w:rPr>
                <w:lang w:val="en-GB"/>
              </w:rPr>
            </w:pPr>
            <w:r>
              <w:rPr>
                <w:lang w:val="en-GB"/>
              </w:rPr>
              <w:t>Inlet medium glucose concentration [eq. g</w:t>
            </w:r>
            <w:r w:rsidRPr="00C212A1">
              <w:rPr>
                <w:vertAlign w:val="subscript"/>
                <w:lang w:val="en-GB"/>
              </w:rPr>
              <w:t>C</w:t>
            </w:r>
            <w:r>
              <w:rPr>
                <w:lang w:val="en-GB"/>
              </w:rPr>
              <w:t xml:space="preserve"> L</w:t>
            </w:r>
            <w:r w:rsidRPr="00C212A1">
              <w:rPr>
                <w:vertAlign w:val="superscript"/>
                <w:lang w:val="en-GB"/>
              </w:rPr>
              <w:t>-1</w:t>
            </w:r>
            <w:r>
              <w:rPr>
                <w:lang w:val="en-GB"/>
              </w:rPr>
              <w:t>]</w:t>
            </w:r>
          </w:p>
        </w:tc>
        <w:tc>
          <w:tcPr>
            <w:tcW w:w="1985" w:type="dxa"/>
            <w:tcBorders>
              <w:top w:val="single" w:sz="12" w:space="0" w:color="008000"/>
              <w:bottom w:val="single" w:sz="6" w:space="0" w:color="008000"/>
            </w:tcBorders>
            <w:shd w:val="clear" w:color="auto" w:fill="FFFFFF"/>
          </w:tcPr>
          <w:p w14:paraId="160987A1" w14:textId="77777777" w:rsidR="00C212A1" w:rsidRDefault="00C212A1" w:rsidP="005A3441">
            <w:pPr>
              <w:pStyle w:val="CETBodytext"/>
              <w:jc w:val="center"/>
              <w:rPr>
                <w:lang w:val="en-GB"/>
              </w:rPr>
            </w:pPr>
            <w:r>
              <w:rPr>
                <w:lang w:val="en-GB"/>
              </w:rPr>
              <w:t xml:space="preserve">Temperature </w:t>
            </w:r>
          </w:p>
          <w:p w14:paraId="454B732C" w14:textId="5FF35B7C" w:rsidR="00C212A1" w:rsidRPr="00F12EC6" w:rsidRDefault="00C212A1" w:rsidP="005A3441">
            <w:pPr>
              <w:pStyle w:val="CETBodytext"/>
              <w:jc w:val="center"/>
              <w:rPr>
                <w:lang w:val="en-GB"/>
              </w:rPr>
            </w:pPr>
            <w:r>
              <w:rPr>
                <w:lang w:val="en-GB"/>
              </w:rPr>
              <w:t>[°C]</w:t>
            </w:r>
          </w:p>
        </w:tc>
        <w:tc>
          <w:tcPr>
            <w:tcW w:w="1699" w:type="dxa"/>
            <w:tcBorders>
              <w:top w:val="single" w:sz="12" w:space="0" w:color="008000"/>
              <w:bottom w:val="single" w:sz="6" w:space="0" w:color="008000"/>
            </w:tcBorders>
            <w:shd w:val="clear" w:color="auto" w:fill="FFFFFF"/>
          </w:tcPr>
          <w:p w14:paraId="0057C0E5" w14:textId="77777777" w:rsidR="00C212A1" w:rsidRDefault="00C212A1" w:rsidP="005A3441">
            <w:pPr>
              <w:pStyle w:val="CETBodytext"/>
              <w:jc w:val="center"/>
              <w:rPr>
                <w:lang w:val="en-GB"/>
              </w:rPr>
            </w:pPr>
            <w:r>
              <w:rPr>
                <w:lang w:val="en-GB"/>
              </w:rPr>
              <w:t xml:space="preserve">Inlet medium pH </w:t>
            </w:r>
          </w:p>
          <w:p w14:paraId="5FE04A57" w14:textId="06A4EE54" w:rsidR="00C212A1" w:rsidRDefault="00C212A1" w:rsidP="005A3441">
            <w:pPr>
              <w:pStyle w:val="CETBodytext"/>
              <w:jc w:val="center"/>
              <w:rPr>
                <w:lang w:val="en-GB"/>
              </w:rPr>
            </w:pPr>
            <w:r>
              <w:rPr>
                <w:lang w:val="en-GB"/>
              </w:rPr>
              <w:t>[-]</w:t>
            </w:r>
          </w:p>
        </w:tc>
      </w:tr>
      <w:tr w:rsidR="00C212A1" w:rsidRPr="00F12EC6" w14:paraId="3E4A2543" w14:textId="2993261A" w:rsidTr="00C212A1">
        <w:tc>
          <w:tcPr>
            <w:tcW w:w="2209" w:type="dxa"/>
            <w:vMerge w:val="restart"/>
            <w:shd w:val="clear" w:color="auto" w:fill="FFFFFF"/>
            <w:vAlign w:val="center"/>
          </w:tcPr>
          <w:p w14:paraId="667E32E7" w14:textId="33E4E29D" w:rsidR="00C212A1" w:rsidRPr="00F12EC6" w:rsidRDefault="00C212A1" w:rsidP="00C212A1">
            <w:pPr>
              <w:pStyle w:val="CETBodytext"/>
              <w:jc w:val="center"/>
              <w:rPr>
                <w:lang w:val="en-GB"/>
              </w:rPr>
            </w:pPr>
            <w:r>
              <w:rPr>
                <w:lang w:val="en-GB"/>
              </w:rPr>
              <w:t>2.0</w:t>
            </w:r>
          </w:p>
        </w:tc>
        <w:tc>
          <w:tcPr>
            <w:tcW w:w="2894" w:type="dxa"/>
            <w:vMerge w:val="restart"/>
            <w:shd w:val="clear" w:color="auto" w:fill="FFFFFF"/>
            <w:vAlign w:val="center"/>
          </w:tcPr>
          <w:p w14:paraId="1273A941" w14:textId="362C9A17" w:rsidR="00C212A1" w:rsidRPr="00F12EC6" w:rsidRDefault="00C212A1" w:rsidP="00C212A1">
            <w:pPr>
              <w:pStyle w:val="CETBodytext"/>
              <w:ind w:right="-1"/>
              <w:jc w:val="center"/>
              <w:rPr>
                <w:lang w:val="en-GB"/>
              </w:rPr>
            </w:pPr>
            <w:r>
              <w:rPr>
                <w:lang w:val="en-GB"/>
              </w:rPr>
              <w:t>6.0</w:t>
            </w:r>
          </w:p>
        </w:tc>
        <w:tc>
          <w:tcPr>
            <w:tcW w:w="1985" w:type="dxa"/>
            <w:shd w:val="clear" w:color="auto" w:fill="FFFFFF"/>
          </w:tcPr>
          <w:p w14:paraId="7A30D436" w14:textId="5C48DEDC" w:rsidR="00C212A1" w:rsidRPr="00F12EC6" w:rsidRDefault="00C212A1" w:rsidP="00C212A1">
            <w:pPr>
              <w:pStyle w:val="CETBodytext"/>
              <w:jc w:val="center"/>
              <w:rPr>
                <w:lang w:val="en-GB"/>
              </w:rPr>
            </w:pPr>
            <w:r w:rsidRPr="00F12EC6">
              <w:rPr>
                <w:lang w:val="en-GB"/>
              </w:rPr>
              <w:t>30</w:t>
            </w:r>
          </w:p>
        </w:tc>
        <w:tc>
          <w:tcPr>
            <w:tcW w:w="1699" w:type="dxa"/>
            <w:vMerge w:val="restart"/>
            <w:shd w:val="clear" w:color="auto" w:fill="FFFFFF"/>
            <w:vAlign w:val="center"/>
          </w:tcPr>
          <w:p w14:paraId="0D298CEA" w14:textId="589456AB" w:rsidR="00C212A1" w:rsidRPr="00F12EC6" w:rsidRDefault="00C212A1" w:rsidP="00C212A1">
            <w:pPr>
              <w:pStyle w:val="CETBodytext"/>
              <w:jc w:val="center"/>
              <w:rPr>
                <w:lang w:val="en-GB"/>
              </w:rPr>
            </w:pPr>
            <w:r>
              <w:rPr>
                <w:lang w:val="en-GB"/>
              </w:rPr>
              <w:t>2.0</w:t>
            </w:r>
          </w:p>
        </w:tc>
      </w:tr>
      <w:tr w:rsidR="00C212A1" w:rsidRPr="00F12EC6" w14:paraId="25BCD3D7" w14:textId="5D0B7503" w:rsidTr="00C212A1">
        <w:tc>
          <w:tcPr>
            <w:tcW w:w="2209" w:type="dxa"/>
            <w:vMerge/>
            <w:shd w:val="clear" w:color="auto" w:fill="FFFFFF"/>
          </w:tcPr>
          <w:p w14:paraId="3D8448BE" w14:textId="3B506EA2" w:rsidR="00C212A1" w:rsidRPr="00F12EC6" w:rsidRDefault="00C212A1" w:rsidP="00C212A1">
            <w:pPr>
              <w:pStyle w:val="CETBodytext"/>
              <w:jc w:val="center"/>
              <w:rPr>
                <w:lang w:val="en-GB"/>
              </w:rPr>
            </w:pPr>
          </w:p>
        </w:tc>
        <w:tc>
          <w:tcPr>
            <w:tcW w:w="2894" w:type="dxa"/>
            <w:vMerge/>
            <w:shd w:val="clear" w:color="auto" w:fill="FFFFFF"/>
          </w:tcPr>
          <w:p w14:paraId="16E76CDB" w14:textId="34BDCBD9" w:rsidR="00C212A1" w:rsidRPr="00F12EC6" w:rsidRDefault="00C212A1" w:rsidP="00C212A1">
            <w:pPr>
              <w:pStyle w:val="CETBodytext"/>
              <w:ind w:right="-1"/>
              <w:jc w:val="center"/>
              <w:rPr>
                <w:lang w:val="en-GB"/>
              </w:rPr>
            </w:pPr>
          </w:p>
        </w:tc>
        <w:tc>
          <w:tcPr>
            <w:tcW w:w="1985" w:type="dxa"/>
            <w:shd w:val="clear" w:color="auto" w:fill="FFFFFF"/>
          </w:tcPr>
          <w:p w14:paraId="4747BA24" w14:textId="2EFC16F5" w:rsidR="00C212A1" w:rsidRPr="00F12EC6" w:rsidRDefault="00C212A1" w:rsidP="00C212A1">
            <w:pPr>
              <w:pStyle w:val="CETBodytext"/>
              <w:jc w:val="center"/>
              <w:rPr>
                <w:lang w:val="en-GB"/>
              </w:rPr>
            </w:pPr>
            <w:r w:rsidRPr="00F12EC6">
              <w:rPr>
                <w:lang w:val="en-GB"/>
              </w:rPr>
              <w:t>35</w:t>
            </w:r>
          </w:p>
        </w:tc>
        <w:tc>
          <w:tcPr>
            <w:tcW w:w="1699" w:type="dxa"/>
            <w:vMerge/>
            <w:shd w:val="clear" w:color="auto" w:fill="FFFFFF"/>
          </w:tcPr>
          <w:p w14:paraId="1B94D174" w14:textId="77777777" w:rsidR="00C212A1" w:rsidRPr="00F12EC6" w:rsidRDefault="00C212A1" w:rsidP="00C212A1">
            <w:pPr>
              <w:pStyle w:val="CETBodytext"/>
              <w:jc w:val="center"/>
              <w:rPr>
                <w:lang w:val="en-GB"/>
              </w:rPr>
            </w:pPr>
          </w:p>
        </w:tc>
      </w:tr>
      <w:tr w:rsidR="00C212A1" w:rsidRPr="00F12EC6" w14:paraId="04EA3AF3" w14:textId="1F23EAC8" w:rsidTr="00C212A1">
        <w:tc>
          <w:tcPr>
            <w:tcW w:w="2209" w:type="dxa"/>
            <w:vMerge/>
            <w:shd w:val="clear" w:color="auto" w:fill="FFFFFF"/>
          </w:tcPr>
          <w:p w14:paraId="5817B400" w14:textId="17B10BE8" w:rsidR="00C212A1" w:rsidRPr="00F12EC6" w:rsidRDefault="00C212A1" w:rsidP="00C212A1">
            <w:pPr>
              <w:pStyle w:val="CETBodytext"/>
              <w:jc w:val="center"/>
              <w:rPr>
                <w:lang w:val="en-GB"/>
              </w:rPr>
            </w:pPr>
          </w:p>
        </w:tc>
        <w:tc>
          <w:tcPr>
            <w:tcW w:w="2894" w:type="dxa"/>
            <w:vMerge/>
            <w:shd w:val="clear" w:color="auto" w:fill="FFFFFF"/>
          </w:tcPr>
          <w:p w14:paraId="20613620" w14:textId="30AC2D23" w:rsidR="00C212A1" w:rsidRPr="00F12EC6" w:rsidRDefault="00C212A1" w:rsidP="00C212A1">
            <w:pPr>
              <w:pStyle w:val="CETBodytext"/>
              <w:ind w:right="-1"/>
              <w:jc w:val="center"/>
              <w:rPr>
                <w:lang w:val="en-GB"/>
              </w:rPr>
            </w:pPr>
          </w:p>
        </w:tc>
        <w:tc>
          <w:tcPr>
            <w:tcW w:w="1985" w:type="dxa"/>
            <w:shd w:val="clear" w:color="auto" w:fill="FFFFFF"/>
          </w:tcPr>
          <w:p w14:paraId="4C662019" w14:textId="3DD17325" w:rsidR="00C212A1" w:rsidRPr="00F12EC6" w:rsidRDefault="00C212A1" w:rsidP="00C212A1">
            <w:pPr>
              <w:pStyle w:val="CETBodytext"/>
              <w:jc w:val="center"/>
              <w:rPr>
                <w:lang w:val="en-GB"/>
              </w:rPr>
            </w:pPr>
            <w:r w:rsidRPr="00F12EC6">
              <w:rPr>
                <w:lang w:val="en-GB"/>
              </w:rPr>
              <w:t>45</w:t>
            </w:r>
          </w:p>
        </w:tc>
        <w:tc>
          <w:tcPr>
            <w:tcW w:w="1699" w:type="dxa"/>
            <w:vMerge/>
            <w:shd w:val="clear" w:color="auto" w:fill="FFFFFF"/>
          </w:tcPr>
          <w:p w14:paraId="3FF2BA58" w14:textId="77777777" w:rsidR="00C212A1" w:rsidRPr="00F12EC6" w:rsidRDefault="00C212A1" w:rsidP="00C212A1">
            <w:pPr>
              <w:pStyle w:val="CETBodytext"/>
              <w:jc w:val="center"/>
              <w:rPr>
                <w:lang w:val="en-GB"/>
              </w:rPr>
            </w:pPr>
          </w:p>
        </w:tc>
      </w:tr>
      <w:tr w:rsidR="00C212A1" w:rsidRPr="00F12EC6" w14:paraId="46EA7255" w14:textId="65924350" w:rsidTr="00C212A1">
        <w:tc>
          <w:tcPr>
            <w:tcW w:w="2209" w:type="dxa"/>
            <w:vMerge/>
            <w:shd w:val="clear" w:color="auto" w:fill="FFFFFF"/>
          </w:tcPr>
          <w:p w14:paraId="28E423EB" w14:textId="7E22740E" w:rsidR="00C212A1" w:rsidRPr="00F12EC6" w:rsidRDefault="00C212A1" w:rsidP="00C212A1">
            <w:pPr>
              <w:pStyle w:val="CETBodytext"/>
              <w:jc w:val="center"/>
              <w:rPr>
                <w:lang w:val="en-GB"/>
              </w:rPr>
            </w:pPr>
          </w:p>
        </w:tc>
        <w:tc>
          <w:tcPr>
            <w:tcW w:w="2894" w:type="dxa"/>
            <w:vMerge/>
            <w:shd w:val="clear" w:color="auto" w:fill="FFFFFF"/>
          </w:tcPr>
          <w:p w14:paraId="5342A538" w14:textId="1417114C" w:rsidR="00C212A1" w:rsidRPr="00F12EC6" w:rsidRDefault="00C212A1" w:rsidP="00C212A1">
            <w:pPr>
              <w:pStyle w:val="CETBodytext"/>
              <w:ind w:right="-1"/>
              <w:jc w:val="center"/>
              <w:rPr>
                <w:lang w:val="en-GB"/>
              </w:rPr>
            </w:pPr>
          </w:p>
        </w:tc>
        <w:tc>
          <w:tcPr>
            <w:tcW w:w="1985" w:type="dxa"/>
            <w:shd w:val="clear" w:color="auto" w:fill="FFFFFF"/>
          </w:tcPr>
          <w:p w14:paraId="3EC92DAF" w14:textId="2640BF42" w:rsidR="00C212A1" w:rsidRPr="00F12EC6" w:rsidRDefault="00C212A1" w:rsidP="00C212A1">
            <w:pPr>
              <w:pStyle w:val="CETBodytext"/>
              <w:jc w:val="center"/>
              <w:rPr>
                <w:lang w:val="en-GB"/>
              </w:rPr>
            </w:pPr>
            <w:r w:rsidRPr="00F12EC6">
              <w:rPr>
                <w:lang w:val="en-GB"/>
              </w:rPr>
              <w:t>50</w:t>
            </w:r>
          </w:p>
        </w:tc>
        <w:tc>
          <w:tcPr>
            <w:tcW w:w="1699" w:type="dxa"/>
            <w:vMerge/>
            <w:shd w:val="clear" w:color="auto" w:fill="FFFFFF"/>
          </w:tcPr>
          <w:p w14:paraId="372D479B" w14:textId="77777777" w:rsidR="00C212A1" w:rsidRPr="00F12EC6" w:rsidRDefault="00C212A1" w:rsidP="00C212A1">
            <w:pPr>
              <w:pStyle w:val="CETBodytext"/>
              <w:jc w:val="center"/>
              <w:rPr>
                <w:lang w:val="en-GB"/>
              </w:rPr>
            </w:pPr>
          </w:p>
        </w:tc>
      </w:tr>
      <w:tr w:rsidR="00C212A1" w:rsidRPr="00F12EC6" w14:paraId="1537ED64" w14:textId="09010B19" w:rsidTr="00C212A1">
        <w:tc>
          <w:tcPr>
            <w:tcW w:w="2209" w:type="dxa"/>
            <w:vMerge/>
            <w:shd w:val="clear" w:color="auto" w:fill="FFFFFF"/>
          </w:tcPr>
          <w:p w14:paraId="2B3105F7" w14:textId="0ACB46CF" w:rsidR="00C212A1" w:rsidRPr="00F12EC6" w:rsidRDefault="00C212A1" w:rsidP="00C212A1">
            <w:pPr>
              <w:pStyle w:val="CETBodytext"/>
              <w:ind w:right="-1"/>
              <w:jc w:val="center"/>
              <w:rPr>
                <w:rFonts w:cs="Arial"/>
                <w:szCs w:val="18"/>
                <w:lang w:val="en-GB"/>
              </w:rPr>
            </w:pPr>
          </w:p>
        </w:tc>
        <w:tc>
          <w:tcPr>
            <w:tcW w:w="2894" w:type="dxa"/>
            <w:vMerge/>
            <w:shd w:val="clear" w:color="auto" w:fill="FFFFFF"/>
          </w:tcPr>
          <w:p w14:paraId="12BE9B77" w14:textId="57F33D5E" w:rsidR="00C212A1" w:rsidRPr="00F12EC6" w:rsidRDefault="00C212A1" w:rsidP="00C212A1">
            <w:pPr>
              <w:pStyle w:val="CETBodytext"/>
              <w:ind w:right="-1"/>
              <w:jc w:val="center"/>
              <w:rPr>
                <w:rFonts w:cs="Arial"/>
                <w:szCs w:val="18"/>
                <w:lang w:val="en-GB"/>
              </w:rPr>
            </w:pPr>
          </w:p>
        </w:tc>
        <w:tc>
          <w:tcPr>
            <w:tcW w:w="1985" w:type="dxa"/>
            <w:shd w:val="clear" w:color="auto" w:fill="FFFFFF"/>
          </w:tcPr>
          <w:p w14:paraId="355EE9B1" w14:textId="26E8DF89" w:rsidR="00C212A1" w:rsidRPr="00F12EC6" w:rsidRDefault="00C212A1" w:rsidP="00C212A1">
            <w:pPr>
              <w:pStyle w:val="CETBodytext"/>
              <w:ind w:right="-1"/>
              <w:jc w:val="center"/>
              <w:rPr>
                <w:rFonts w:cs="Arial"/>
                <w:szCs w:val="18"/>
                <w:lang w:val="en-GB"/>
              </w:rPr>
            </w:pPr>
            <w:r w:rsidRPr="00F12EC6">
              <w:rPr>
                <w:rFonts w:cs="Arial"/>
                <w:szCs w:val="18"/>
                <w:lang w:val="en-GB"/>
              </w:rPr>
              <w:t>55</w:t>
            </w:r>
          </w:p>
        </w:tc>
        <w:tc>
          <w:tcPr>
            <w:tcW w:w="1699" w:type="dxa"/>
            <w:vMerge/>
            <w:shd w:val="clear" w:color="auto" w:fill="FFFFFF"/>
          </w:tcPr>
          <w:p w14:paraId="0813771B" w14:textId="77777777" w:rsidR="00C212A1" w:rsidRPr="00F12EC6" w:rsidRDefault="00C212A1" w:rsidP="00C212A1">
            <w:pPr>
              <w:pStyle w:val="CETBodytext"/>
              <w:ind w:right="-1"/>
              <w:jc w:val="center"/>
              <w:rPr>
                <w:lang w:val="en-GB"/>
              </w:rPr>
            </w:pPr>
          </w:p>
        </w:tc>
      </w:tr>
      <w:tr w:rsidR="00C212A1" w:rsidRPr="00F12EC6" w14:paraId="77F91A4D" w14:textId="77777777" w:rsidTr="000E0D38">
        <w:tc>
          <w:tcPr>
            <w:tcW w:w="8787" w:type="dxa"/>
            <w:gridSpan w:val="4"/>
            <w:tcBorders>
              <w:top w:val="single" w:sz="12" w:space="0" w:color="008000"/>
              <w:bottom w:val="single" w:sz="12" w:space="0" w:color="008000"/>
            </w:tcBorders>
            <w:shd w:val="clear" w:color="auto" w:fill="FFFFFF"/>
          </w:tcPr>
          <w:p w14:paraId="452001FD" w14:textId="44D74325" w:rsidR="00C212A1" w:rsidRPr="00F12EC6" w:rsidRDefault="000E0D38" w:rsidP="005A3441">
            <w:pPr>
              <w:pStyle w:val="CETBodytext"/>
              <w:jc w:val="center"/>
              <w:rPr>
                <w:lang w:val="en-GB"/>
              </w:rPr>
            </w:pPr>
            <w:r>
              <w:rPr>
                <w:lang w:val="en-GB"/>
              </w:rPr>
              <w:t>Inlet medium pH</w:t>
            </w:r>
            <w:r w:rsidR="00C212A1">
              <w:rPr>
                <w:lang w:val="en-GB"/>
              </w:rPr>
              <w:t xml:space="preserve"> effect experiments</w:t>
            </w:r>
          </w:p>
        </w:tc>
      </w:tr>
      <w:tr w:rsidR="000E0D38" w14:paraId="3AB7A891" w14:textId="77777777" w:rsidTr="005A3441">
        <w:tc>
          <w:tcPr>
            <w:tcW w:w="2209" w:type="dxa"/>
            <w:tcBorders>
              <w:top w:val="single" w:sz="12" w:space="0" w:color="008000"/>
              <w:bottom w:val="single" w:sz="6" w:space="0" w:color="008000"/>
            </w:tcBorders>
            <w:shd w:val="clear" w:color="auto" w:fill="FFFFFF"/>
          </w:tcPr>
          <w:p w14:paraId="63B8429D" w14:textId="77777777" w:rsidR="000E0D38" w:rsidRDefault="000E0D38" w:rsidP="005A3441">
            <w:pPr>
              <w:pStyle w:val="CETBodytext"/>
              <w:jc w:val="center"/>
              <w:rPr>
                <w:lang w:val="en-GB"/>
              </w:rPr>
            </w:pPr>
            <w:r>
              <w:rPr>
                <w:lang w:val="en-GB"/>
              </w:rPr>
              <w:t xml:space="preserve">Residence time </w:t>
            </w:r>
          </w:p>
          <w:p w14:paraId="2EE07267" w14:textId="77777777" w:rsidR="000E0D38" w:rsidRPr="00F12EC6" w:rsidRDefault="000E0D38" w:rsidP="005A3441">
            <w:pPr>
              <w:pStyle w:val="CETBodytext"/>
              <w:jc w:val="center"/>
              <w:rPr>
                <w:lang w:val="en-GB"/>
              </w:rPr>
            </w:pPr>
            <w:r>
              <w:rPr>
                <w:lang w:val="en-GB"/>
              </w:rPr>
              <w:t>[d]</w:t>
            </w:r>
          </w:p>
        </w:tc>
        <w:tc>
          <w:tcPr>
            <w:tcW w:w="2894" w:type="dxa"/>
            <w:tcBorders>
              <w:top w:val="single" w:sz="12" w:space="0" w:color="008000"/>
              <w:bottom w:val="single" w:sz="6" w:space="0" w:color="008000"/>
            </w:tcBorders>
            <w:shd w:val="clear" w:color="auto" w:fill="FFFFFF"/>
          </w:tcPr>
          <w:p w14:paraId="7391AC70" w14:textId="77777777" w:rsidR="000E0D38" w:rsidRPr="00F12EC6" w:rsidRDefault="000E0D38" w:rsidP="005A3441">
            <w:pPr>
              <w:pStyle w:val="CETBodytext"/>
              <w:jc w:val="center"/>
              <w:rPr>
                <w:lang w:val="en-GB"/>
              </w:rPr>
            </w:pPr>
            <w:r>
              <w:rPr>
                <w:lang w:val="en-GB"/>
              </w:rPr>
              <w:t>Inlet medium glucose concentration [eq. g</w:t>
            </w:r>
            <w:r w:rsidRPr="00C212A1">
              <w:rPr>
                <w:vertAlign w:val="subscript"/>
                <w:lang w:val="en-GB"/>
              </w:rPr>
              <w:t>C</w:t>
            </w:r>
            <w:r>
              <w:rPr>
                <w:lang w:val="en-GB"/>
              </w:rPr>
              <w:t xml:space="preserve"> L</w:t>
            </w:r>
            <w:r w:rsidRPr="00C212A1">
              <w:rPr>
                <w:vertAlign w:val="superscript"/>
                <w:lang w:val="en-GB"/>
              </w:rPr>
              <w:t>-1</w:t>
            </w:r>
            <w:r>
              <w:rPr>
                <w:lang w:val="en-GB"/>
              </w:rPr>
              <w:t>]</w:t>
            </w:r>
          </w:p>
        </w:tc>
        <w:tc>
          <w:tcPr>
            <w:tcW w:w="1985" w:type="dxa"/>
            <w:tcBorders>
              <w:top w:val="single" w:sz="12" w:space="0" w:color="008000"/>
              <w:bottom w:val="single" w:sz="6" w:space="0" w:color="008000"/>
            </w:tcBorders>
            <w:shd w:val="clear" w:color="auto" w:fill="FFFFFF"/>
          </w:tcPr>
          <w:p w14:paraId="3691286B" w14:textId="77777777" w:rsidR="000E0D38" w:rsidRDefault="000E0D38" w:rsidP="005A3441">
            <w:pPr>
              <w:pStyle w:val="CETBodytext"/>
              <w:jc w:val="center"/>
              <w:rPr>
                <w:lang w:val="en-GB"/>
              </w:rPr>
            </w:pPr>
            <w:r>
              <w:rPr>
                <w:lang w:val="en-GB"/>
              </w:rPr>
              <w:t xml:space="preserve">Temperature </w:t>
            </w:r>
          </w:p>
          <w:p w14:paraId="79C861B7" w14:textId="77777777" w:rsidR="000E0D38" w:rsidRPr="00F12EC6" w:rsidRDefault="000E0D38" w:rsidP="005A3441">
            <w:pPr>
              <w:pStyle w:val="CETBodytext"/>
              <w:jc w:val="center"/>
              <w:rPr>
                <w:lang w:val="en-GB"/>
              </w:rPr>
            </w:pPr>
            <w:r>
              <w:rPr>
                <w:lang w:val="en-GB"/>
              </w:rPr>
              <w:t>[°C]</w:t>
            </w:r>
          </w:p>
        </w:tc>
        <w:tc>
          <w:tcPr>
            <w:tcW w:w="1699" w:type="dxa"/>
            <w:tcBorders>
              <w:top w:val="single" w:sz="12" w:space="0" w:color="008000"/>
              <w:bottom w:val="single" w:sz="6" w:space="0" w:color="008000"/>
            </w:tcBorders>
            <w:shd w:val="clear" w:color="auto" w:fill="FFFFFF"/>
          </w:tcPr>
          <w:p w14:paraId="1759A950" w14:textId="77777777" w:rsidR="000E0D38" w:rsidRDefault="000E0D38" w:rsidP="005A3441">
            <w:pPr>
              <w:pStyle w:val="CETBodytext"/>
              <w:jc w:val="center"/>
              <w:rPr>
                <w:lang w:val="en-GB"/>
              </w:rPr>
            </w:pPr>
            <w:r>
              <w:rPr>
                <w:lang w:val="en-GB"/>
              </w:rPr>
              <w:t xml:space="preserve">Inlet medium pH </w:t>
            </w:r>
          </w:p>
          <w:p w14:paraId="65C1110A" w14:textId="77777777" w:rsidR="000E0D38" w:rsidRDefault="000E0D38" w:rsidP="005A3441">
            <w:pPr>
              <w:pStyle w:val="CETBodytext"/>
              <w:jc w:val="center"/>
              <w:rPr>
                <w:lang w:val="en-GB"/>
              </w:rPr>
            </w:pPr>
            <w:r>
              <w:rPr>
                <w:lang w:val="en-GB"/>
              </w:rPr>
              <w:t>[-]</w:t>
            </w:r>
          </w:p>
        </w:tc>
      </w:tr>
      <w:tr w:rsidR="000E0D38" w:rsidRPr="00F12EC6" w14:paraId="33C3EDDE" w14:textId="77777777" w:rsidTr="000E0D38">
        <w:tc>
          <w:tcPr>
            <w:tcW w:w="2209" w:type="dxa"/>
            <w:vMerge w:val="restart"/>
            <w:shd w:val="clear" w:color="auto" w:fill="FFFFFF"/>
            <w:vAlign w:val="center"/>
          </w:tcPr>
          <w:p w14:paraId="684E74E0" w14:textId="77777777" w:rsidR="000E0D38" w:rsidRPr="00F12EC6" w:rsidRDefault="000E0D38" w:rsidP="005A3441">
            <w:pPr>
              <w:pStyle w:val="CETBodytext"/>
              <w:jc w:val="center"/>
              <w:rPr>
                <w:lang w:val="en-GB"/>
              </w:rPr>
            </w:pPr>
            <w:r>
              <w:rPr>
                <w:lang w:val="en-GB"/>
              </w:rPr>
              <w:t>2.0</w:t>
            </w:r>
          </w:p>
        </w:tc>
        <w:tc>
          <w:tcPr>
            <w:tcW w:w="2894" w:type="dxa"/>
            <w:vMerge w:val="restart"/>
            <w:shd w:val="clear" w:color="auto" w:fill="FFFFFF"/>
            <w:vAlign w:val="center"/>
          </w:tcPr>
          <w:p w14:paraId="24E69476" w14:textId="77777777" w:rsidR="000E0D38" w:rsidRPr="00F12EC6" w:rsidRDefault="000E0D38" w:rsidP="005A3441">
            <w:pPr>
              <w:pStyle w:val="CETBodytext"/>
              <w:ind w:right="-1"/>
              <w:jc w:val="center"/>
              <w:rPr>
                <w:lang w:val="en-GB"/>
              </w:rPr>
            </w:pPr>
            <w:r>
              <w:rPr>
                <w:lang w:val="en-GB"/>
              </w:rPr>
              <w:t>6.0</w:t>
            </w:r>
          </w:p>
        </w:tc>
        <w:tc>
          <w:tcPr>
            <w:tcW w:w="1985" w:type="dxa"/>
            <w:vMerge w:val="restart"/>
            <w:shd w:val="clear" w:color="auto" w:fill="FFFFFF"/>
            <w:vAlign w:val="center"/>
          </w:tcPr>
          <w:p w14:paraId="3CDA399A" w14:textId="11FA8146" w:rsidR="000E0D38" w:rsidRPr="00F12EC6" w:rsidRDefault="000E0D38" w:rsidP="000E0D38">
            <w:pPr>
              <w:pStyle w:val="CETBodytext"/>
              <w:jc w:val="center"/>
              <w:rPr>
                <w:lang w:val="en-GB"/>
              </w:rPr>
            </w:pPr>
            <w:r>
              <w:rPr>
                <w:lang w:val="en-GB"/>
              </w:rPr>
              <w:t>45</w:t>
            </w:r>
          </w:p>
        </w:tc>
        <w:tc>
          <w:tcPr>
            <w:tcW w:w="1699" w:type="dxa"/>
            <w:shd w:val="clear" w:color="auto" w:fill="FFFFFF"/>
            <w:vAlign w:val="center"/>
          </w:tcPr>
          <w:p w14:paraId="1AE08E68" w14:textId="47EE2BF2" w:rsidR="000E0D38" w:rsidRPr="00F12EC6" w:rsidRDefault="000E0D38" w:rsidP="005A3441">
            <w:pPr>
              <w:pStyle w:val="CETBodytext"/>
              <w:jc w:val="center"/>
              <w:rPr>
                <w:lang w:val="en-GB"/>
              </w:rPr>
            </w:pPr>
            <w:r>
              <w:rPr>
                <w:lang w:val="en-GB"/>
              </w:rPr>
              <w:t>1.0</w:t>
            </w:r>
          </w:p>
        </w:tc>
      </w:tr>
      <w:tr w:rsidR="000E0D38" w:rsidRPr="00F12EC6" w14:paraId="4869F3CF" w14:textId="77777777" w:rsidTr="005A3441">
        <w:tc>
          <w:tcPr>
            <w:tcW w:w="2209" w:type="dxa"/>
            <w:vMerge/>
            <w:shd w:val="clear" w:color="auto" w:fill="FFFFFF"/>
          </w:tcPr>
          <w:p w14:paraId="7E893F6D" w14:textId="77777777" w:rsidR="000E0D38" w:rsidRPr="00F12EC6" w:rsidRDefault="000E0D38" w:rsidP="005A3441">
            <w:pPr>
              <w:pStyle w:val="CETBodytext"/>
              <w:jc w:val="center"/>
              <w:rPr>
                <w:lang w:val="en-GB"/>
              </w:rPr>
            </w:pPr>
          </w:p>
        </w:tc>
        <w:tc>
          <w:tcPr>
            <w:tcW w:w="2894" w:type="dxa"/>
            <w:vMerge/>
            <w:shd w:val="clear" w:color="auto" w:fill="FFFFFF"/>
          </w:tcPr>
          <w:p w14:paraId="72533A5F" w14:textId="77777777" w:rsidR="000E0D38" w:rsidRPr="00F12EC6" w:rsidRDefault="000E0D38" w:rsidP="005A3441">
            <w:pPr>
              <w:pStyle w:val="CETBodytext"/>
              <w:ind w:right="-1"/>
              <w:jc w:val="center"/>
              <w:rPr>
                <w:lang w:val="en-GB"/>
              </w:rPr>
            </w:pPr>
          </w:p>
        </w:tc>
        <w:tc>
          <w:tcPr>
            <w:tcW w:w="1985" w:type="dxa"/>
            <w:vMerge/>
            <w:shd w:val="clear" w:color="auto" w:fill="FFFFFF"/>
          </w:tcPr>
          <w:p w14:paraId="7DF33F6D" w14:textId="28D9E0B7" w:rsidR="000E0D38" w:rsidRPr="00F12EC6" w:rsidRDefault="000E0D38" w:rsidP="005A3441">
            <w:pPr>
              <w:pStyle w:val="CETBodytext"/>
              <w:jc w:val="center"/>
              <w:rPr>
                <w:lang w:val="en-GB"/>
              </w:rPr>
            </w:pPr>
          </w:p>
        </w:tc>
        <w:tc>
          <w:tcPr>
            <w:tcW w:w="1699" w:type="dxa"/>
            <w:shd w:val="clear" w:color="auto" w:fill="FFFFFF"/>
          </w:tcPr>
          <w:p w14:paraId="77D52E9B" w14:textId="609F2753" w:rsidR="000E0D38" w:rsidRPr="00F12EC6" w:rsidRDefault="000E0D38" w:rsidP="005A3441">
            <w:pPr>
              <w:pStyle w:val="CETBodytext"/>
              <w:jc w:val="center"/>
              <w:rPr>
                <w:lang w:val="en-GB"/>
              </w:rPr>
            </w:pPr>
            <w:r>
              <w:rPr>
                <w:lang w:val="en-GB"/>
              </w:rPr>
              <w:t>2.0</w:t>
            </w:r>
          </w:p>
        </w:tc>
      </w:tr>
      <w:tr w:rsidR="000E0D38" w:rsidRPr="00F12EC6" w14:paraId="684E2988" w14:textId="77777777" w:rsidTr="005A3441">
        <w:tc>
          <w:tcPr>
            <w:tcW w:w="2209" w:type="dxa"/>
            <w:vMerge/>
            <w:shd w:val="clear" w:color="auto" w:fill="FFFFFF"/>
          </w:tcPr>
          <w:p w14:paraId="23BB1DA6" w14:textId="77777777" w:rsidR="000E0D38" w:rsidRPr="00F12EC6" w:rsidRDefault="000E0D38" w:rsidP="005A3441">
            <w:pPr>
              <w:pStyle w:val="CETBodytext"/>
              <w:jc w:val="center"/>
              <w:rPr>
                <w:lang w:val="en-GB"/>
              </w:rPr>
            </w:pPr>
          </w:p>
        </w:tc>
        <w:tc>
          <w:tcPr>
            <w:tcW w:w="2894" w:type="dxa"/>
            <w:vMerge/>
            <w:shd w:val="clear" w:color="auto" w:fill="FFFFFF"/>
          </w:tcPr>
          <w:p w14:paraId="5C6D2DCA" w14:textId="77777777" w:rsidR="000E0D38" w:rsidRPr="00F12EC6" w:rsidRDefault="000E0D38" w:rsidP="005A3441">
            <w:pPr>
              <w:pStyle w:val="CETBodytext"/>
              <w:ind w:right="-1"/>
              <w:jc w:val="center"/>
              <w:rPr>
                <w:lang w:val="en-GB"/>
              </w:rPr>
            </w:pPr>
          </w:p>
        </w:tc>
        <w:tc>
          <w:tcPr>
            <w:tcW w:w="1985" w:type="dxa"/>
            <w:vMerge/>
            <w:shd w:val="clear" w:color="auto" w:fill="FFFFFF"/>
          </w:tcPr>
          <w:p w14:paraId="638278F8" w14:textId="498EA485" w:rsidR="000E0D38" w:rsidRPr="00F12EC6" w:rsidRDefault="000E0D38" w:rsidP="005A3441">
            <w:pPr>
              <w:pStyle w:val="CETBodytext"/>
              <w:jc w:val="center"/>
              <w:rPr>
                <w:lang w:val="en-GB"/>
              </w:rPr>
            </w:pPr>
          </w:p>
        </w:tc>
        <w:tc>
          <w:tcPr>
            <w:tcW w:w="1699" w:type="dxa"/>
            <w:shd w:val="clear" w:color="auto" w:fill="FFFFFF"/>
          </w:tcPr>
          <w:p w14:paraId="1F67B317" w14:textId="6283F2E0" w:rsidR="000E0D38" w:rsidRPr="00F12EC6" w:rsidRDefault="000E0D38" w:rsidP="005A3441">
            <w:pPr>
              <w:pStyle w:val="CETBodytext"/>
              <w:jc w:val="center"/>
              <w:rPr>
                <w:lang w:val="en-GB"/>
              </w:rPr>
            </w:pPr>
            <w:r>
              <w:rPr>
                <w:lang w:val="en-GB"/>
              </w:rPr>
              <w:t>3.0</w:t>
            </w:r>
          </w:p>
        </w:tc>
      </w:tr>
      <w:tr w:rsidR="000E0D38" w:rsidRPr="00F12EC6" w14:paraId="72DA624F" w14:textId="77777777" w:rsidTr="005A3441">
        <w:tc>
          <w:tcPr>
            <w:tcW w:w="2209" w:type="dxa"/>
            <w:vMerge/>
            <w:shd w:val="clear" w:color="auto" w:fill="FFFFFF"/>
          </w:tcPr>
          <w:p w14:paraId="199C3EBE" w14:textId="77777777" w:rsidR="000E0D38" w:rsidRPr="00F12EC6" w:rsidRDefault="000E0D38" w:rsidP="005A3441">
            <w:pPr>
              <w:pStyle w:val="CETBodytext"/>
              <w:jc w:val="center"/>
              <w:rPr>
                <w:lang w:val="en-GB"/>
              </w:rPr>
            </w:pPr>
          </w:p>
        </w:tc>
        <w:tc>
          <w:tcPr>
            <w:tcW w:w="2894" w:type="dxa"/>
            <w:vMerge/>
            <w:shd w:val="clear" w:color="auto" w:fill="FFFFFF"/>
          </w:tcPr>
          <w:p w14:paraId="1A1FCDED" w14:textId="77777777" w:rsidR="000E0D38" w:rsidRPr="00F12EC6" w:rsidRDefault="000E0D38" w:rsidP="005A3441">
            <w:pPr>
              <w:pStyle w:val="CETBodytext"/>
              <w:ind w:right="-1"/>
              <w:jc w:val="center"/>
              <w:rPr>
                <w:lang w:val="en-GB"/>
              </w:rPr>
            </w:pPr>
          </w:p>
        </w:tc>
        <w:tc>
          <w:tcPr>
            <w:tcW w:w="1985" w:type="dxa"/>
            <w:vMerge/>
            <w:shd w:val="clear" w:color="auto" w:fill="FFFFFF"/>
          </w:tcPr>
          <w:p w14:paraId="512BBAD6" w14:textId="004A6C92" w:rsidR="000E0D38" w:rsidRPr="00F12EC6" w:rsidRDefault="000E0D38" w:rsidP="005A3441">
            <w:pPr>
              <w:pStyle w:val="CETBodytext"/>
              <w:jc w:val="center"/>
              <w:rPr>
                <w:lang w:val="en-GB"/>
              </w:rPr>
            </w:pPr>
          </w:p>
        </w:tc>
        <w:tc>
          <w:tcPr>
            <w:tcW w:w="1699" w:type="dxa"/>
            <w:shd w:val="clear" w:color="auto" w:fill="FFFFFF"/>
          </w:tcPr>
          <w:p w14:paraId="15AB975C" w14:textId="726779E9" w:rsidR="000E0D38" w:rsidRPr="00F12EC6" w:rsidRDefault="000E0D38" w:rsidP="005A3441">
            <w:pPr>
              <w:pStyle w:val="CETBodytext"/>
              <w:jc w:val="center"/>
              <w:rPr>
                <w:lang w:val="en-GB"/>
              </w:rPr>
            </w:pPr>
            <w:r>
              <w:rPr>
                <w:lang w:val="en-GB"/>
              </w:rPr>
              <w:t>5.0</w:t>
            </w:r>
          </w:p>
        </w:tc>
      </w:tr>
    </w:tbl>
    <w:p w14:paraId="55757E79" w14:textId="77777777" w:rsidR="00C139A1" w:rsidRDefault="00C139A1" w:rsidP="00C139A1">
      <w:pPr>
        <w:pStyle w:val="CETheadingx"/>
      </w:pPr>
      <w:r w:rsidRPr="00C139A1">
        <w:lastRenderedPageBreak/>
        <w:t>Culture monitoring and analytical methods</w:t>
      </w:r>
    </w:p>
    <w:p w14:paraId="0BA7BEEC" w14:textId="5A1095DD" w:rsidR="00356428" w:rsidRDefault="005A2F06" w:rsidP="00231F1E">
      <w:pPr>
        <w:pStyle w:val="CETBodytext"/>
      </w:pPr>
      <w:r w:rsidRPr="005A2F06">
        <w:t xml:space="preserve">Culture performance under all tested operating conditions was monitored through combined optical, gravimetric and carbon-based analyses. Optical density (OD) was measured at 750 nm using a double-beam UV–visible spectrophotometer (UV-1900, Shimadzu, Japan) and used as a rapid indicator of culture evolution. Quantitative biomass concentration was determined by dry weight (DW) analysis. </w:t>
      </w:r>
      <w:r w:rsidR="00601A49" w:rsidRPr="00601A49">
        <w:rPr>
          <w:lang w:val="en-GB"/>
        </w:rPr>
        <w:t>Briefly, a known sample volume was vacuum</w:t>
      </w:r>
      <w:r w:rsidR="00601A49">
        <w:rPr>
          <w:lang w:val="en-GB"/>
        </w:rPr>
        <w:t xml:space="preserve"> </w:t>
      </w:r>
      <w:r w:rsidR="00601A49" w:rsidRPr="00601A49">
        <w:rPr>
          <w:lang w:val="en-GB"/>
        </w:rPr>
        <w:t>filtered through pre-dried 0.2 µm nitrocellulose filters, conditioned at 105 °C and weighed to determine the tare mass. After filtration and drying at 105 °C for 2 h, biomass concentration</w:t>
      </w:r>
      <w:r w:rsidR="00356428">
        <w:rPr>
          <w:lang w:val="en-GB"/>
        </w:rPr>
        <w:t xml:space="preserve"> (</w:t>
      </w:r>
      <w:r w:rsidR="00356428" w:rsidRPr="00356428">
        <w:t>C</w:t>
      </w:r>
      <w:r w:rsidR="00356428" w:rsidRPr="00356428">
        <w:rPr>
          <w:vertAlign w:val="subscript"/>
        </w:rPr>
        <w:t>X</w:t>
      </w:r>
      <w:r w:rsidR="00601A49" w:rsidRPr="00601A49">
        <w:rPr>
          <w:lang w:val="en-GB"/>
        </w:rPr>
        <w:t>) was obtained from the net mass increase normalised to the filtered volume.</w:t>
      </w:r>
      <w:r w:rsidR="00C57334">
        <w:rPr>
          <w:lang w:val="en-GB"/>
        </w:rPr>
        <w:t xml:space="preserve"> </w:t>
      </w:r>
      <w:r w:rsidR="00C57334">
        <w:t>The corresponding</w:t>
      </w:r>
      <w:r w:rsidRPr="005A2F06">
        <w:t xml:space="preserve"> biomass productivity (</w:t>
      </w:r>
      <w:r w:rsidR="00356428" w:rsidRPr="00356428">
        <w:t>P</w:t>
      </w:r>
      <w:r w:rsidR="00356428" w:rsidRPr="00356428">
        <w:rPr>
          <w:vertAlign w:val="subscript"/>
        </w:rPr>
        <w:t>X</w:t>
      </w:r>
      <w:r w:rsidRPr="005A2F06">
        <w:t>) under steady-state conditions was determined according to</w:t>
      </w:r>
      <w:r w:rsidR="004F0B53">
        <w:t xml:space="preserve"> </w:t>
      </w:r>
      <w:proofErr w:type="gramStart"/>
      <w:r w:rsidR="004F0B53">
        <w:t>Eq(</w:t>
      </w:r>
      <w:proofErr w:type="gramEnd"/>
      <w:r w:rsidR="004F0B53">
        <w:t>1).</w:t>
      </w:r>
    </w:p>
    <w:tbl>
      <w:tblPr>
        <w:tblW w:w="5000" w:type="pct"/>
        <w:tblLook w:val="04A0" w:firstRow="1" w:lastRow="0" w:firstColumn="1" w:lastColumn="0" w:noHBand="0" w:noVBand="1"/>
      </w:tblPr>
      <w:tblGrid>
        <w:gridCol w:w="7982"/>
        <w:gridCol w:w="805"/>
      </w:tblGrid>
      <w:tr w:rsidR="004F0B53" w:rsidRPr="00B57B36" w14:paraId="159693C7" w14:textId="77777777" w:rsidTr="005A3441">
        <w:tc>
          <w:tcPr>
            <w:tcW w:w="8188" w:type="dxa"/>
            <w:vAlign w:val="center"/>
          </w:tcPr>
          <w:p w14:paraId="5D6BF48C" w14:textId="0B73638C" w:rsidR="004F0B53" w:rsidRPr="00356428" w:rsidRDefault="00356428" w:rsidP="00356428">
            <w:pPr>
              <w:pStyle w:val="CETEquation"/>
            </w:pPr>
            <w:r w:rsidRPr="00356428">
              <w:t>P</w:t>
            </w:r>
            <w:r w:rsidRPr="00356428">
              <w:rPr>
                <w:vertAlign w:val="subscript"/>
              </w:rPr>
              <w:t>X</w:t>
            </w:r>
            <w:r w:rsidRPr="00356428">
              <w:t xml:space="preserve"> = C</w:t>
            </w:r>
            <w:r w:rsidRPr="00356428">
              <w:rPr>
                <w:vertAlign w:val="subscript"/>
              </w:rPr>
              <w:t>X</w:t>
            </w:r>
            <w:r w:rsidRPr="00356428">
              <w:t>/τ</w:t>
            </w:r>
          </w:p>
        </w:tc>
        <w:tc>
          <w:tcPr>
            <w:tcW w:w="815" w:type="dxa"/>
            <w:vAlign w:val="center"/>
          </w:tcPr>
          <w:p w14:paraId="11917DDF" w14:textId="77777777" w:rsidR="004F0B53" w:rsidRPr="00B57B36" w:rsidRDefault="004F0B53" w:rsidP="00930C5E">
            <w:pPr>
              <w:pStyle w:val="CETEquation"/>
              <w:jc w:val="right"/>
            </w:pPr>
            <w:r w:rsidRPr="00B57B36">
              <w:t>(1)</w:t>
            </w:r>
          </w:p>
        </w:tc>
      </w:tr>
    </w:tbl>
    <w:p w14:paraId="75185CBD" w14:textId="0AAE2505" w:rsidR="005A2F06" w:rsidRDefault="005A2F06" w:rsidP="00356428">
      <w:pPr>
        <w:pStyle w:val="CETBodytext"/>
      </w:pPr>
      <w:r>
        <w:t xml:space="preserve">Total organic carbon (TOC) measurements were performed to establish a carbon-based description of heterotrophic metabolism and carbon allocation. Samples were collected at steady state from the inlet medium (IN), the reactor broth (R), and the filtrate obtained during the DW determination (OUT). TOC concentration was </w:t>
      </w:r>
      <w:proofErr w:type="spellStart"/>
      <w:r>
        <w:t>analysed</w:t>
      </w:r>
      <w:proofErr w:type="spellEnd"/>
      <w:r>
        <w:t xml:space="preserve"> using a TOC </w:t>
      </w:r>
      <w:proofErr w:type="spellStart"/>
      <w:r>
        <w:t>analyser</w:t>
      </w:r>
      <w:proofErr w:type="spellEnd"/>
      <w:r>
        <w:t xml:space="preserve"> (TOC-L</w:t>
      </w:r>
      <w:r w:rsidRPr="009E2368">
        <w:rPr>
          <w:vertAlign w:val="subscript"/>
        </w:rPr>
        <w:t>CPH</w:t>
      </w:r>
      <w:r>
        <w:t xml:space="preserve">, Shimadzu, Japan). </w:t>
      </w:r>
      <w:r w:rsidR="00791579" w:rsidRPr="00791579">
        <w:rPr>
          <w:lang w:val="en-GB"/>
        </w:rPr>
        <w:t xml:space="preserve">Under steady-state conditions, differences between TOC concentrations measured at different locations of the system were used to resolve the partitioning of organic carbon between respiratory losses and biomass formation. In particular, the decrease in TOC concentration from the inlet medium </w:t>
      </w:r>
      <w:r w:rsidR="0080341B">
        <w:rPr>
          <w:lang w:val="en-GB"/>
        </w:rPr>
        <w:t>(</w:t>
      </w:r>
      <w:r w:rsidR="00356428">
        <w:rPr>
          <w:lang w:val="en-GB"/>
        </w:rPr>
        <w:t>TOC</w:t>
      </w:r>
      <w:r w:rsidR="00356428" w:rsidRPr="00356428">
        <w:rPr>
          <w:vertAlign w:val="subscript"/>
          <w:lang w:val="en-GB"/>
        </w:rPr>
        <w:t>IN</w:t>
      </w:r>
      <w:r w:rsidR="0080341B">
        <w:rPr>
          <w:lang w:val="en-GB"/>
        </w:rPr>
        <w:t xml:space="preserve">) </w:t>
      </w:r>
      <w:r w:rsidR="00791579" w:rsidRPr="00791579">
        <w:rPr>
          <w:lang w:val="en-GB"/>
        </w:rPr>
        <w:t xml:space="preserve">to the reactor broth </w:t>
      </w:r>
      <w:r w:rsidR="0080341B">
        <w:rPr>
          <w:lang w:val="en-GB"/>
        </w:rPr>
        <w:t>(</w:t>
      </w:r>
      <w:r w:rsidR="000862A6">
        <w:rPr>
          <w:lang w:val="en-GB"/>
        </w:rPr>
        <w:t>TOC</w:t>
      </w:r>
      <w:r w:rsidR="000862A6">
        <w:rPr>
          <w:vertAlign w:val="subscript"/>
          <w:lang w:val="en-GB"/>
        </w:rPr>
        <w:t>R</w:t>
      </w:r>
      <w:r w:rsidR="0080341B">
        <w:rPr>
          <w:lang w:val="en-GB"/>
        </w:rPr>
        <w:t xml:space="preserve">) </w:t>
      </w:r>
      <w:r w:rsidR="00791579" w:rsidRPr="00791579">
        <w:rPr>
          <w:lang w:val="en-GB"/>
        </w:rPr>
        <w:t xml:space="preserve">represents the fraction of organic carbon removed from the liquid phase </w:t>
      </w:r>
      <w:r w:rsidR="0080341B" w:rsidRPr="00791579">
        <w:rPr>
          <w:lang w:val="en-GB"/>
        </w:rPr>
        <w:t>because of</w:t>
      </w:r>
      <w:r w:rsidR="00791579" w:rsidRPr="00791579">
        <w:rPr>
          <w:lang w:val="en-GB"/>
        </w:rPr>
        <w:t xml:space="preserve"> metabolic activity and is attributed to carbon oxidised to CO</w:t>
      </w:r>
      <w:r w:rsidR="008956D6" w:rsidRPr="008956D6">
        <w:rPr>
          <w:vertAlign w:val="subscript"/>
          <w:lang w:val="en-GB"/>
        </w:rPr>
        <w:t>2</w:t>
      </w:r>
      <w:r w:rsidR="008956D6">
        <w:rPr>
          <w:lang w:val="en-GB"/>
        </w:rPr>
        <w:t xml:space="preserve"> </w:t>
      </w:r>
      <w:r w:rsidR="00791579" w:rsidRPr="00791579">
        <w:rPr>
          <w:lang w:val="en-GB"/>
        </w:rPr>
        <w:t xml:space="preserve">through respiration. Conversely, the difference between the TOC measured in the reactor broth and the </w:t>
      </w:r>
      <w:r w:rsidR="008956D6">
        <w:rPr>
          <w:lang w:val="en-GB"/>
        </w:rPr>
        <w:t>value</w:t>
      </w:r>
      <w:r w:rsidR="00791579" w:rsidRPr="00791579">
        <w:rPr>
          <w:lang w:val="en-GB"/>
        </w:rPr>
        <w:t xml:space="preserve"> of the clarified filtrate (</w:t>
      </w:r>
      <w:r w:rsidR="000862A6">
        <w:rPr>
          <w:lang w:val="en-GB"/>
        </w:rPr>
        <w:t>TOC</w:t>
      </w:r>
      <w:r w:rsidR="000862A6">
        <w:rPr>
          <w:vertAlign w:val="subscript"/>
          <w:lang w:val="en-GB"/>
        </w:rPr>
        <w:t>OUT</w:t>
      </w:r>
      <w:r w:rsidR="008956D6">
        <w:rPr>
          <w:lang w:val="en-GB"/>
        </w:rPr>
        <w:t xml:space="preserve">) </w:t>
      </w:r>
      <w:r w:rsidR="00791579" w:rsidRPr="00791579">
        <w:rPr>
          <w:lang w:val="en-GB"/>
        </w:rPr>
        <w:t>corresponds to particulate organic carbon retained during filtration and is therefore associated with carbon incorporated into biomass.</w:t>
      </w:r>
      <w:r w:rsidR="002E58A1">
        <w:rPr>
          <w:lang w:val="en-GB"/>
        </w:rPr>
        <w:t xml:space="preserve"> </w:t>
      </w:r>
      <w:r>
        <w:t xml:space="preserve">Based on these measurements, </w:t>
      </w:r>
      <w:r w:rsidR="00E77B06">
        <w:t>biomass-</w:t>
      </w:r>
      <w:r w:rsidR="009E2368">
        <w:t>specific</w:t>
      </w:r>
      <w:r>
        <w:t xml:space="preserve"> organic carbon consumption yields were defined. The </w:t>
      </w:r>
      <w:r w:rsidR="00E77B06">
        <w:t>biomass-specific</w:t>
      </w:r>
      <w:r>
        <w:t xml:space="preserve"> organic carbon yield associated with respiration (</w:t>
      </w:r>
      <w:r w:rsidR="000862A6">
        <w:t>Y</w:t>
      </w:r>
      <w:r w:rsidR="000862A6" w:rsidRPr="000862A6">
        <w:rPr>
          <w:vertAlign w:val="subscript"/>
        </w:rPr>
        <w:t>C/</w:t>
      </w:r>
      <w:proofErr w:type="spellStart"/>
      <w:proofErr w:type="gramStart"/>
      <w:r w:rsidR="000862A6" w:rsidRPr="000862A6">
        <w:rPr>
          <w:vertAlign w:val="subscript"/>
        </w:rPr>
        <w:t>X,resp</w:t>
      </w:r>
      <w:proofErr w:type="spellEnd"/>
      <w:proofErr w:type="gramEnd"/>
      <w:r w:rsidR="000862A6">
        <w:t xml:space="preserve">) </w:t>
      </w:r>
      <w:r>
        <w:t>representing carbon dissipated as CO</w:t>
      </w:r>
      <w:r>
        <w:rPr>
          <w:rFonts w:ascii="Cambria Math" w:hAnsi="Cambria Math" w:cs="Cambria Math"/>
        </w:rPr>
        <w:t>₂</w:t>
      </w:r>
      <w:r>
        <w:t>, was calculated as</w:t>
      </w:r>
      <w:r w:rsidR="00E77B06">
        <w:t xml:space="preserve"> in </w:t>
      </w:r>
      <w:proofErr w:type="gramStart"/>
      <w:r w:rsidR="00E77B06">
        <w:t>Eq(</w:t>
      </w:r>
      <w:proofErr w:type="gramEnd"/>
      <w:r w:rsidR="00E77B06">
        <w:t>2)</w:t>
      </w:r>
      <w:r>
        <w:t>:</w:t>
      </w:r>
    </w:p>
    <w:tbl>
      <w:tblPr>
        <w:tblW w:w="5000" w:type="pct"/>
        <w:tblLook w:val="04A0" w:firstRow="1" w:lastRow="0" w:firstColumn="1" w:lastColumn="0" w:noHBand="0" w:noVBand="1"/>
      </w:tblPr>
      <w:tblGrid>
        <w:gridCol w:w="7983"/>
        <w:gridCol w:w="804"/>
      </w:tblGrid>
      <w:tr w:rsidR="00E77B06" w:rsidRPr="00E9260D" w14:paraId="327E0B04" w14:textId="77777777" w:rsidTr="005A3441">
        <w:tc>
          <w:tcPr>
            <w:tcW w:w="8188" w:type="dxa"/>
            <w:vAlign w:val="center"/>
          </w:tcPr>
          <w:p w14:paraId="3DD59BDD" w14:textId="6849287C" w:rsidR="00E77B06" w:rsidRPr="00E9260D" w:rsidRDefault="004975F0" w:rsidP="00E9260D">
            <w:pPr>
              <w:pStyle w:val="CETEquation"/>
            </w:pPr>
            <w:r w:rsidRPr="00E9260D">
              <w:t>Y</w:t>
            </w:r>
            <w:r w:rsidRPr="00930C5E">
              <w:rPr>
                <w:vertAlign w:val="subscript"/>
              </w:rPr>
              <w:t>C/</w:t>
            </w:r>
            <w:proofErr w:type="spellStart"/>
            <w:proofErr w:type="gramStart"/>
            <w:r w:rsidRPr="00930C5E">
              <w:rPr>
                <w:vertAlign w:val="subscript"/>
              </w:rPr>
              <w:t>X,resp</w:t>
            </w:r>
            <w:proofErr w:type="spellEnd"/>
            <w:proofErr w:type="gramEnd"/>
            <w:r w:rsidRPr="00930C5E">
              <w:rPr>
                <w:vertAlign w:val="subscript"/>
              </w:rPr>
              <w:t xml:space="preserve"> </w:t>
            </w:r>
            <w:r w:rsidRPr="00E9260D">
              <w:t>= (</w:t>
            </w:r>
            <w:r w:rsidR="00E9260D" w:rsidRPr="00E9260D">
              <w:t>TOC</w:t>
            </w:r>
            <w:r w:rsidR="00E9260D" w:rsidRPr="00930C5E">
              <w:rPr>
                <w:vertAlign w:val="subscript"/>
              </w:rPr>
              <w:t>IN</w:t>
            </w:r>
            <w:r w:rsidR="00E9260D" w:rsidRPr="00E9260D">
              <w:t xml:space="preserve"> - TOC</w:t>
            </w:r>
            <w:r w:rsidR="00E9260D" w:rsidRPr="00930C5E">
              <w:rPr>
                <w:vertAlign w:val="subscript"/>
              </w:rPr>
              <w:t>R</w:t>
            </w:r>
            <w:r w:rsidRPr="00E9260D">
              <w:t>)</w:t>
            </w:r>
            <w:r w:rsidR="00E9260D" w:rsidRPr="00E9260D">
              <w:t>/C</w:t>
            </w:r>
            <w:r w:rsidR="00E9260D" w:rsidRPr="00930C5E">
              <w:rPr>
                <w:vertAlign w:val="subscript"/>
              </w:rPr>
              <w:t>X</w:t>
            </w:r>
          </w:p>
        </w:tc>
        <w:tc>
          <w:tcPr>
            <w:tcW w:w="815" w:type="dxa"/>
            <w:vAlign w:val="center"/>
          </w:tcPr>
          <w:p w14:paraId="46C9458D" w14:textId="0DB03F04" w:rsidR="00E77B06" w:rsidRPr="00E9260D" w:rsidRDefault="00E77B06" w:rsidP="00930C5E">
            <w:pPr>
              <w:pStyle w:val="CETEquation"/>
              <w:jc w:val="right"/>
            </w:pPr>
            <w:r w:rsidRPr="00E9260D">
              <w:t>(2)</w:t>
            </w:r>
          </w:p>
        </w:tc>
      </w:tr>
    </w:tbl>
    <w:p w14:paraId="5A348D62" w14:textId="692DD758" w:rsidR="008077CC" w:rsidRPr="008077CC" w:rsidRDefault="008077CC" w:rsidP="008077CC">
      <w:pPr>
        <w:pStyle w:val="CETBodytext"/>
        <w:rPr>
          <w:lang w:val="en-GB"/>
        </w:rPr>
      </w:pPr>
      <w:r w:rsidRPr="008077CC">
        <w:rPr>
          <w:lang w:val="en-GB"/>
        </w:rPr>
        <w:t>The</w:t>
      </w:r>
      <w:r w:rsidR="003E021C">
        <w:rPr>
          <w:lang w:val="en-GB"/>
        </w:rPr>
        <w:t>n, the</w:t>
      </w:r>
      <w:r w:rsidRPr="008077CC">
        <w:rPr>
          <w:lang w:val="en-GB"/>
        </w:rPr>
        <w:t xml:space="preserve"> </w:t>
      </w:r>
      <w:r w:rsidR="003E021C">
        <w:rPr>
          <w:lang w:val="en-GB"/>
        </w:rPr>
        <w:t>biomass-specific</w:t>
      </w:r>
      <w:r w:rsidRPr="008077CC">
        <w:rPr>
          <w:lang w:val="en-GB"/>
        </w:rPr>
        <w:t xml:space="preserve"> organic carbon yield associated with biomass growth (</w:t>
      </w:r>
      <w:r w:rsidR="00930C5E">
        <w:t>Y</w:t>
      </w:r>
      <w:r w:rsidR="00930C5E" w:rsidRPr="000862A6">
        <w:rPr>
          <w:vertAlign w:val="subscript"/>
        </w:rPr>
        <w:t>C/</w:t>
      </w:r>
      <w:proofErr w:type="spellStart"/>
      <w:proofErr w:type="gramStart"/>
      <w:r w:rsidR="00930C5E" w:rsidRPr="000862A6">
        <w:rPr>
          <w:vertAlign w:val="subscript"/>
        </w:rPr>
        <w:t>X,</w:t>
      </w:r>
      <w:r w:rsidR="00930C5E">
        <w:rPr>
          <w:vertAlign w:val="subscript"/>
        </w:rPr>
        <w:t>growth</w:t>
      </w:r>
      <w:proofErr w:type="spellEnd"/>
      <w:proofErr w:type="gramEnd"/>
      <w:r w:rsidRPr="008077CC">
        <w:rPr>
          <w:lang w:val="en-GB"/>
        </w:rPr>
        <w:t>), corresponding to carbon incorporated into particulate biomass, was determined as:</w:t>
      </w:r>
    </w:p>
    <w:tbl>
      <w:tblPr>
        <w:tblW w:w="5000" w:type="pct"/>
        <w:tblLook w:val="04A0" w:firstRow="1" w:lastRow="0" w:firstColumn="1" w:lastColumn="0" w:noHBand="0" w:noVBand="1"/>
      </w:tblPr>
      <w:tblGrid>
        <w:gridCol w:w="7984"/>
        <w:gridCol w:w="803"/>
      </w:tblGrid>
      <w:tr w:rsidR="00E77B06" w:rsidRPr="00B57B36" w14:paraId="65EBF80C" w14:textId="77777777" w:rsidTr="00480E74">
        <w:tc>
          <w:tcPr>
            <w:tcW w:w="7984" w:type="dxa"/>
            <w:vAlign w:val="center"/>
          </w:tcPr>
          <w:p w14:paraId="26FFAC3D" w14:textId="5AFA38FC" w:rsidR="00E77B06" w:rsidRPr="00B57B36" w:rsidRDefault="00B009F8" w:rsidP="005A3441">
            <w:pPr>
              <w:pStyle w:val="CETEquation"/>
            </w:pPr>
            <w:r w:rsidRPr="00E9260D">
              <w:t>Y</w:t>
            </w:r>
            <w:r w:rsidRPr="00930C5E">
              <w:rPr>
                <w:vertAlign w:val="subscript"/>
              </w:rPr>
              <w:t>C/</w:t>
            </w:r>
            <w:proofErr w:type="spellStart"/>
            <w:proofErr w:type="gramStart"/>
            <w:r w:rsidRPr="00930C5E">
              <w:rPr>
                <w:vertAlign w:val="subscript"/>
              </w:rPr>
              <w:t>X,</w:t>
            </w:r>
            <w:r>
              <w:rPr>
                <w:vertAlign w:val="subscript"/>
              </w:rPr>
              <w:t>growth</w:t>
            </w:r>
            <w:proofErr w:type="spellEnd"/>
            <w:proofErr w:type="gramEnd"/>
            <w:r w:rsidRPr="00930C5E">
              <w:rPr>
                <w:vertAlign w:val="subscript"/>
              </w:rPr>
              <w:t xml:space="preserve"> </w:t>
            </w:r>
            <w:r w:rsidRPr="00E9260D">
              <w:t>= (TOC</w:t>
            </w:r>
            <w:r w:rsidRPr="00B009F8">
              <w:rPr>
                <w:vertAlign w:val="subscript"/>
              </w:rPr>
              <w:t>R</w:t>
            </w:r>
            <w:r w:rsidRPr="00E9260D">
              <w:t xml:space="preserve"> - TOC</w:t>
            </w:r>
            <w:r w:rsidRPr="00B009F8">
              <w:rPr>
                <w:vertAlign w:val="subscript"/>
              </w:rPr>
              <w:t>OUT</w:t>
            </w:r>
            <w:r w:rsidRPr="00E9260D">
              <w:t>)/C</w:t>
            </w:r>
            <w:r w:rsidRPr="00930C5E">
              <w:rPr>
                <w:vertAlign w:val="subscript"/>
              </w:rPr>
              <w:t>X</w:t>
            </w:r>
          </w:p>
        </w:tc>
        <w:tc>
          <w:tcPr>
            <w:tcW w:w="803" w:type="dxa"/>
            <w:vAlign w:val="center"/>
          </w:tcPr>
          <w:p w14:paraId="397F5BA7" w14:textId="75917A1C" w:rsidR="00E77B06" w:rsidRPr="00B57B36" w:rsidRDefault="00E77B06" w:rsidP="005A3441">
            <w:pPr>
              <w:pStyle w:val="CETEquation"/>
              <w:jc w:val="right"/>
            </w:pPr>
            <w:r w:rsidRPr="00B57B36">
              <w:t>(</w:t>
            </w:r>
            <w:r>
              <w:t>3</w:t>
            </w:r>
            <w:r w:rsidRPr="00B57B36">
              <w:t>)</w:t>
            </w:r>
          </w:p>
        </w:tc>
      </w:tr>
    </w:tbl>
    <w:p w14:paraId="77A5DA81" w14:textId="53F988B6" w:rsidR="00480E74" w:rsidRDefault="00480E74" w:rsidP="00480E74">
      <w:pPr>
        <w:pStyle w:val="CETBodytext"/>
      </w:pPr>
      <w:r>
        <w:rPr>
          <w:lang w:val="en-GB"/>
        </w:rPr>
        <w:t>Specifically for</w:t>
      </w:r>
      <w:r w:rsidRPr="00480E74">
        <w:rPr>
          <w:lang w:val="en-GB"/>
        </w:rPr>
        <w:t xml:space="preserve"> the inlet pH experimental campaign, environmental pH was measured on the reactor broth after steady state had been reached. The values reported in Table 3 correspond to the average steady-state pH measured under each operating condition, while variability is expressed as standard deviation.</w:t>
      </w:r>
    </w:p>
    <w:p w14:paraId="52623D4B" w14:textId="4AF016C2" w:rsidR="009A03C5" w:rsidRPr="00F12EC6" w:rsidRDefault="009A03C5" w:rsidP="009A03C5">
      <w:pPr>
        <w:pStyle w:val="CETHeading1"/>
        <w:rPr>
          <w:lang w:val="en-GB"/>
        </w:rPr>
      </w:pPr>
      <w:r w:rsidRPr="00F12EC6">
        <w:rPr>
          <w:lang w:val="en-GB"/>
        </w:rPr>
        <w:t>Results and discussion</w:t>
      </w:r>
    </w:p>
    <w:p w14:paraId="11C7D269" w14:textId="7B8F22BE" w:rsidR="009A03C5" w:rsidRPr="00F12EC6" w:rsidRDefault="009A03C5" w:rsidP="009A03C5">
      <w:pPr>
        <w:pStyle w:val="CETheadingx"/>
        <w:rPr>
          <w:lang w:val="en-GB"/>
        </w:rPr>
      </w:pPr>
      <w:r w:rsidRPr="00F12EC6">
        <w:rPr>
          <w:lang w:val="en-GB"/>
        </w:rPr>
        <w:t>Effect of temperature</w:t>
      </w:r>
    </w:p>
    <w:p w14:paraId="5079D4BA" w14:textId="7AC21339" w:rsidR="003134A7" w:rsidRPr="00F12EC6" w:rsidRDefault="006528DF" w:rsidP="003134A7">
      <w:pPr>
        <w:pStyle w:val="CETBodytext"/>
        <w:rPr>
          <w:lang w:val="en-GB"/>
        </w:rPr>
      </w:pPr>
      <w:r w:rsidRPr="00F12EC6">
        <w:rPr>
          <w:lang w:val="en-GB"/>
        </w:rPr>
        <w:t xml:space="preserve">Due </w:t>
      </w:r>
      <w:r w:rsidR="00D0176A" w:rsidRPr="00F12EC6">
        <w:rPr>
          <w:lang w:val="en-GB"/>
        </w:rPr>
        <w:t>to the species thermophilicity, the effect of environment</w:t>
      </w:r>
      <w:r w:rsidR="00B0158F">
        <w:rPr>
          <w:lang w:val="en-GB"/>
        </w:rPr>
        <w:t>al</w:t>
      </w:r>
      <w:r w:rsidR="00D0176A" w:rsidRPr="00F12EC6">
        <w:rPr>
          <w:lang w:val="en-GB"/>
        </w:rPr>
        <w:t xml:space="preserve"> temperature </w:t>
      </w:r>
      <w:r w:rsidR="002F7975" w:rsidRPr="00F12EC6">
        <w:rPr>
          <w:lang w:val="en-GB"/>
        </w:rPr>
        <w:t xml:space="preserve">was investigated </w:t>
      </w:r>
      <w:r w:rsidR="00F64308" w:rsidRPr="00F12EC6">
        <w:rPr>
          <w:lang w:val="en-GB"/>
        </w:rPr>
        <w:t>in an</w:t>
      </w:r>
      <w:r w:rsidR="008368B2" w:rsidRPr="00F12EC6">
        <w:rPr>
          <w:lang w:val="en-GB"/>
        </w:rPr>
        <w:t xml:space="preserve"> OFAT campaign on continuous heterotrophic cultivation of the </w:t>
      </w:r>
      <w:r w:rsidR="00DB41A4" w:rsidRPr="00F12EC6">
        <w:rPr>
          <w:lang w:val="en-GB"/>
        </w:rPr>
        <w:t>microalga</w:t>
      </w:r>
      <w:r w:rsidR="00C14CD2" w:rsidRPr="00F12EC6">
        <w:rPr>
          <w:lang w:val="en-GB"/>
        </w:rPr>
        <w:t>. Table 2 reports the experimental evidence collected</w:t>
      </w:r>
      <w:r w:rsidR="00A12EEA" w:rsidRPr="00F12EC6">
        <w:rPr>
          <w:lang w:val="en-GB"/>
        </w:rPr>
        <w:t xml:space="preserve"> on five different </w:t>
      </w:r>
      <w:r w:rsidR="001043AE" w:rsidRPr="00F12EC6">
        <w:rPr>
          <w:lang w:val="en-GB"/>
        </w:rPr>
        <w:t xml:space="preserve">tested </w:t>
      </w:r>
      <w:r w:rsidR="00A12EEA" w:rsidRPr="00F12EC6">
        <w:rPr>
          <w:lang w:val="en-GB"/>
        </w:rPr>
        <w:t>levels within the 30-55 °C range</w:t>
      </w:r>
      <w:r w:rsidR="001043AE" w:rsidRPr="00F12EC6">
        <w:rPr>
          <w:lang w:val="en-GB"/>
        </w:rPr>
        <w:t>.</w:t>
      </w:r>
    </w:p>
    <w:p w14:paraId="62649F77" w14:textId="22C719C4" w:rsidR="005C57E4" w:rsidRPr="00F12EC6" w:rsidRDefault="005C57E4" w:rsidP="005C57E4">
      <w:pPr>
        <w:pStyle w:val="CETTabletitle"/>
      </w:pPr>
      <w:r w:rsidRPr="00F12EC6">
        <w:t xml:space="preserve">Table 2: </w:t>
      </w:r>
      <w:r w:rsidR="007260DD" w:rsidRPr="00F12EC6">
        <w:t xml:space="preserve">Experimental outputs on </w:t>
      </w:r>
      <w:proofErr w:type="spellStart"/>
      <w:r w:rsidR="007260DD" w:rsidRPr="00F12EC6">
        <w:t>Galdieria</w:t>
      </w:r>
      <w:proofErr w:type="spellEnd"/>
      <w:r w:rsidR="007260DD" w:rsidRPr="00F12EC6">
        <w:t xml:space="preserve"> </w:t>
      </w:r>
      <w:proofErr w:type="spellStart"/>
      <w:r w:rsidR="007260DD" w:rsidRPr="00F12EC6">
        <w:t>sulphuraria</w:t>
      </w:r>
      <w:proofErr w:type="spellEnd"/>
      <w:r w:rsidR="007260DD" w:rsidRPr="00F12EC6">
        <w:t xml:space="preserve"> heterotrophic continuous growth at different temperature levels. Errors represent standard deviations. Letters refer to the statistical analysis on measured experimental outputs. Data that do not share a letter are statistically different.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2268"/>
        <w:gridCol w:w="2268"/>
      </w:tblGrid>
      <w:tr w:rsidR="006D77CC" w:rsidRPr="00F12EC6" w14:paraId="3DBFFC71" w14:textId="77777777" w:rsidTr="00121520">
        <w:tc>
          <w:tcPr>
            <w:tcW w:w="2268" w:type="dxa"/>
            <w:tcBorders>
              <w:top w:val="single" w:sz="12" w:space="0" w:color="008000"/>
              <w:bottom w:val="single" w:sz="6" w:space="0" w:color="008000"/>
            </w:tcBorders>
            <w:shd w:val="clear" w:color="auto" w:fill="FFFFFF"/>
          </w:tcPr>
          <w:p w14:paraId="1F0242F0" w14:textId="65F6322B" w:rsidR="006D77CC" w:rsidRPr="00F12EC6" w:rsidRDefault="006D77CC" w:rsidP="00121520">
            <w:pPr>
              <w:pStyle w:val="CETBodytext"/>
              <w:jc w:val="center"/>
              <w:rPr>
                <w:lang w:val="en-GB"/>
              </w:rPr>
            </w:pPr>
            <w:r w:rsidRPr="00F12EC6">
              <w:rPr>
                <w:lang w:val="en-GB"/>
              </w:rPr>
              <w:t>Temperature [°C]</w:t>
            </w:r>
          </w:p>
        </w:tc>
        <w:tc>
          <w:tcPr>
            <w:tcW w:w="2268" w:type="dxa"/>
            <w:tcBorders>
              <w:top w:val="single" w:sz="12" w:space="0" w:color="008000"/>
              <w:bottom w:val="single" w:sz="6" w:space="0" w:color="008000"/>
            </w:tcBorders>
            <w:shd w:val="clear" w:color="auto" w:fill="FFFFFF"/>
          </w:tcPr>
          <w:p w14:paraId="34CEBA65" w14:textId="2D0CA243" w:rsidR="006D77CC" w:rsidRPr="00F12EC6" w:rsidRDefault="00B009F8" w:rsidP="00121520">
            <w:pPr>
              <w:pStyle w:val="CETBodytext"/>
              <w:jc w:val="center"/>
              <w:rPr>
                <w:lang w:val="en-GB"/>
              </w:rPr>
            </w:pPr>
            <w:r w:rsidRPr="00356428">
              <w:t>C</w:t>
            </w:r>
            <w:r w:rsidRPr="00356428">
              <w:rPr>
                <w:vertAlign w:val="subscript"/>
              </w:rPr>
              <w:t>X</w:t>
            </w:r>
            <w:r w:rsidRPr="00F12EC6">
              <w:rPr>
                <w:lang w:val="en-GB"/>
              </w:rPr>
              <w:t xml:space="preserve"> </w:t>
            </w:r>
            <w:r w:rsidR="006D77CC" w:rsidRPr="00F12EC6">
              <w:rPr>
                <w:lang w:val="en-GB"/>
              </w:rPr>
              <w:t>[g</w:t>
            </w:r>
            <w:r w:rsidR="006D77CC" w:rsidRPr="00F12EC6">
              <w:rPr>
                <w:vertAlign w:val="subscript"/>
                <w:lang w:val="en-GB"/>
              </w:rPr>
              <w:t>X</w:t>
            </w:r>
            <w:r w:rsidR="006D77CC" w:rsidRPr="00F12EC6">
              <w:rPr>
                <w:lang w:val="en-GB"/>
              </w:rPr>
              <w:t xml:space="preserve"> L</w:t>
            </w:r>
            <w:r w:rsidR="006D77CC" w:rsidRPr="00F12EC6">
              <w:rPr>
                <w:vertAlign w:val="superscript"/>
                <w:lang w:val="en-GB"/>
              </w:rPr>
              <w:t>-1</w:t>
            </w:r>
            <w:r w:rsidR="006D77CC" w:rsidRPr="00F12EC6">
              <w:rPr>
                <w:lang w:val="en-GB"/>
              </w:rPr>
              <w:t>]</w:t>
            </w:r>
          </w:p>
        </w:tc>
        <w:tc>
          <w:tcPr>
            <w:tcW w:w="2268" w:type="dxa"/>
            <w:tcBorders>
              <w:top w:val="single" w:sz="12" w:space="0" w:color="008000"/>
              <w:bottom w:val="single" w:sz="6" w:space="0" w:color="008000"/>
            </w:tcBorders>
            <w:shd w:val="clear" w:color="auto" w:fill="FFFFFF"/>
          </w:tcPr>
          <w:p w14:paraId="79D179EC" w14:textId="4020C97D" w:rsidR="006D77CC" w:rsidRPr="00F12EC6" w:rsidRDefault="00B009F8" w:rsidP="00121520">
            <w:pPr>
              <w:pStyle w:val="CETBodytext"/>
              <w:jc w:val="center"/>
              <w:rPr>
                <w:lang w:val="en-GB"/>
              </w:rPr>
            </w:pPr>
            <w:r>
              <w:rPr>
                <w:lang w:val="en-GB"/>
              </w:rPr>
              <w:t>TOC</w:t>
            </w:r>
            <w:r>
              <w:rPr>
                <w:vertAlign w:val="subscript"/>
                <w:lang w:val="en-GB"/>
              </w:rPr>
              <w:t>OUT</w:t>
            </w:r>
            <w:r w:rsidRPr="00F12EC6">
              <w:rPr>
                <w:lang w:val="en-GB"/>
              </w:rPr>
              <w:t xml:space="preserve"> </w:t>
            </w:r>
            <w:r w:rsidR="006D77CC" w:rsidRPr="00F12EC6">
              <w:rPr>
                <w:lang w:val="en-GB"/>
              </w:rPr>
              <w:t>[g</w:t>
            </w:r>
            <w:r w:rsidR="006D77CC" w:rsidRPr="00F12EC6">
              <w:rPr>
                <w:vertAlign w:val="subscript"/>
                <w:lang w:val="en-GB"/>
              </w:rPr>
              <w:t>C</w:t>
            </w:r>
            <w:r w:rsidR="006D77CC" w:rsidRPr="00F12EC6">
              <w:rPr>
                <w:lang w:val="en-GB"/>
              </w:rPr>
              <w:t xml:space="preserve"> L</w:t>
            </w:r>
            <w:r w:rsidR="006D77CC" w:rsidRPr="00F12EC6">
              <w:rPr>
                <w:vertAlign w:val="superscript"/>
                <w:lang w:val="en-GB"/>
              </w:rPr>
              <w:t>-1</w:t>
            </w:r>
            <w:r w:rsidR="006D77CC" w:rsidRPr="00F12EC6">
              <w:rPr>
                <w:lang w:val="en-GB"/>
              </w:rPr>
              <w:t>]</w:t>
            </w:r>
          </w:p>
        </w:tc>
      </w:tr>
      <w:tr w:rsidR="0050740B" w:rsidRPr="00F12EC6" w14:paraId="24F1736C" w14:textId="77777777" w:rsidTr="00121520">
        <w:tc>
          <w:tcPr>
            <w:tcW w:w="2268" w:type="dxa"/>
            <w:shd w:val="clear" w:color="auto" w:fill="FFFFFF"/>
          </w:tcPr>
          <w:p w14:paraId="09445305" w14:textId="0932A9BD" w:rsidR="0050740B" w:rsidRPr="00F12EC6" w:rsidRDefault="0050740B" w:rsidP="00121520">
            <w:pPr>
              <w:pStyle w:val="CETBodytext"/>
              <w:jc w:val="center"/>
              <w:rPr>
                <w:lang w:val="en-GB"/>
              </w:rPr>
            </w:pPr>
            <w:r w:rsidRPr="00F12EC6">
              <w:rPr>
                <w:lang w:val="en-GB"/>
              </w:rPr>
              <w:t>30</w:t>
            </w:r>
          </w:p>
        </w:tc>
        <w:tc>
          <w:tcPr>
            <w:tcW w:w="2268" w:type="dxa"/>
            <w:shd w:val="clear" w:color="auto" w:fill="FFFFFF"/>
          </w:tcPr>
          <w:p w14:paraId="1D31A3BC" w14:textId="4058214A" w:rsidR="0050740B" w:rsidRPr="00F12EC6" w:rsidRDefault="002D698C" w:rsidP="00121520">
            <w:pPr>
              <w:pStyle w:val="CETBodytext"/>
              <w:jc w:val="center"/>
              <w:rPr>
                <w:lang w:val="en-GB"/>
              </w:rPr>
            </w:pPr>
            <w:r w:rsidRPr="00F12EC6">
              <w:rPr>
                <w:lang w:val="en-GB"/>
              </w:rPr>
              <w:t>4.973</w:t>
            </w:r>
            <w:r w:rsidR="0050740B" w:rsidRPr="00F12EC6">
              <w:rPr>
                <w:lang w:val="en-GB"/>
              </w:rPr>
              <w:t xml:space="preserve"> ± </w:t>
            </w:r>
            <w:r w:rsidRPr="00F12EC6">
              <w:rPr>
                <w:lang w:val="en-GB"/>
              </w:rPr>
              <w:t>1.017</w:t>
            </w:r>
            <w:r w:rsidR="00CC549B" w:rsidRPr="00F12EC6">
              <w:rPr>
                <w:vertAlign w:val="superscript"/>
                <w:lang w:val="en-GB"/>
              </w:rPr>
              <w:t>a</w:t>
            </w:r>
          </w:p>
        </w:tc>
        <w:tc>
          <w:tcPr>
            <w:tcW w:w="2268" w:type="dxa"/>
            <w:shd w:val="clear" w:color="auto" w:fill="FFFFFF"/>
          </w:tcPr>
          <w:p w14:paraId="146330A0" w14:textId="3EABA5F1" w:rsidR="0050740B" w:rsidRPr="00F12EC6" w:rsidRDefault="0050740B" w:rsidP="00121520">
            <w:pPr>
              <w:pStyle w:val="CETBodytext"/>
              <w:jc w:val="center"/>
              <w:rPr>
                <w:lang w:val="en-GB"/>
              </w:rPr>
            </w:pPr>
            <w:r w:rsidRPr="00F12EC6">
              <w:rPr>
                <w:lang w:val="en-GB"/>
              </w:rPr>
              <w:t>3.771 ± 0.705</w:t>
            </w:r>
            <w:r w:rsidRPr="00F12EC6">
              <w:rPr>
                <w:vertAlign w:val="superscript"/>
                <w:lang w:val="en-GB"/>
              </w:rPr>
              <w:t>A</w:t>
            </w:r>
          </w:p>
        </w:tc>
      </w:tr>
      <w:tr w:rsidR="0050740B" w:rsidRPr="00F12EC6" w14:paraId="6413CC1A" w14:textId="77777777" w:rsidTr="00121520">
        <w:tc>
          <w:tcPr>
            <w:tcW w:w="2268" w:type="dxa"/>
            <w:shd w:val="clear" w:color="auto" w:fill="FFFFFF"/>
          </w:tcPr>
          <w:p w14:paraId="55CF63FB" w14:textId="2A45F76C" w:rsidR="0050740B" w:rsidRPr="00F12EC6" w:rsidRDefault="0050740B" w:rsidP="00121520">
            <w:pPr>
              <w:pStyle w:val="CETBodytext"/>
              <w:jc w:val="center"/>
              <w:rPr>
                <w:lang w:val="en-GB"/>
              </w:rPr>
            </w:pPr>
            <w:r w:rsidRPr="00F12EC6">
              <w:rPr>
                <w:lang w:val="en-GB"/>
              </w:rPr>
              <w:t>35</w:t>
            </w:r>
          </w:p>
        </w:tc>
        <w:tc>
          <w:tcPr>
            <w:tcW w:w="2268" w:type="dxa"/>
            <w:shd w:val="clear" w:color="auto" w:fill="FFFFFF"/>
          </w:tcPr>
          <w:p w14:paraId="103B75E5" w14:textId="33437850" w:rsidR="0050740B" w:rsidRPr="00F12EC6" w:rsidRDefault="002D698C" w:rsidP="00121520">
            <w:pPr>
              <w:pStyle w:val="CETBodytext"/>
              <w:jc w:val="center"/>
              <w:rPr>
                <w:lang w:val="en-GB"/>
              </w:rPr>
            </w:pPr>
            <w:r w:rsidRPr="00F12EC6">
              <w:rPr>
                <w:lang w:val="en-GB"/>
              </w:rPr>
              <w:t>5.860</w:t>
            </w:r>
            <w:r w:rsidR="0050740B" w:rsidRPr="00F12EC6">
              <w:rPr>
                <w:lang w:val="en-GB"/>
              </w:rPr>
              <w:t xml:space="preserve"> ± </w:t>
            </w:r>
            <w:r w:rsidRPr="00F12EC6">
              <w:rPr>
                <w:lang w:val="en-GB"/>
              </w:rPr>
              <w:t>0.087</w:t>
            </w:r>
            <w:r w:rsidR="00CC549B" w:rsidRPr="00F12EC6">
              <w:rPr>
                <w:vertAlign w:val="superscript"/>
                <w:lang w:val="en-GB"/>
              </w:rPr>
              <w:t>a</w:t>
            </w:r>
          </w:p>
        </w:tc>
        <w:tc>
          <w:tcPr>
            <w:tcW w:w="2268" w:type="dxa"/>
            <w:shd w:val="clear" w:color="auto" w:fill="FFFFFF"/>
          </w:tcPr>
          <w:p w14:paraId="54268045" w14:textId="5A09DD86" w:rsidR="0050740B" w:rsidRPr="00F12EC6" w:rsidRDefault="0050740B" w:rsidP="00121520">
            <w:pPr>
              <w:pStyle w:val="CETBodytext"/>
              <w:jc w:val="center"/>
              <w:rPr>
                <w:lang w:val="en-GB"/>
              </w:rPr>
            </w:pPr>
            <w:r w:rsidRPr="00F12EC6">
              <w:rPr>
                <w:lang w:val="en-GB"/>
              </w:rPr>
              <w:t>1.183 ± 0.275</w:t>
            </w:r>
            <w:r w:rsidRPr="00F12EC6">
              <w:rPr>
                <w:vertAlign w:val="superscript"/>
                <w:lang w:val="en-GB"/>
              </w:rPr>
              <w:t>B</w:t>
            </w:r>
          </w:p>
        </w:tc>
      </w:tr>
      <w:tr w:rsidR="0050740B" w:rsidRPr="00F12EC6" w14:paraId="7C8BCAD5" w14:textId="77777777" w:rsidTr="00121520">
        <w:tc>
          <w:tcPr>
            <w:tcW w:w="2268" w:type="dxa"/>
            <w:shd w:val="clear" w:color="auto" w:fill="FFFFFF"/>
          </w:tcPr>
          <w:p w14:paraId="735A7557" w14:textId="638CB1F9" w:rsidR="0050740B" w:rsidRPr="00F12EC6" w:rsidRDefault="0050740B" w:rsidP="00121520">
            <w:pPr>
              <w:pStyle w:val="CETBodytext"/>
              <w:jc w:val="center"/>
              <w:rPr>
                <w:lang w:val="en-GB"/>
              </w:rPr>
            </w:pPr>
            <w:r w:rsidRPr="00F12EC6">
              <w:rPr>
                <w:lang w:val="en-GB"/>
              </w:rPr>
              <w:t>45</w:t>
            </w:r>
          </w:p>
        </w:tc>
        <w:tc>
          <w:tcPr>
            <w:tcW w:w="2268" w:type="dxa"/>
            <w:shd w:val="clear" w:color="auto" w:fill="FFFFFF"/>
          </w:tcPr>
          <w:p w14:paraId="70547202" w14:textId="3A50E82D" w:rsidR="0050740B" w:rsidRPr="00F12EC6" w:rsidRDefault="002D698C" w:rsidP="00121520">
            <w:pPr>
              <w:pStyle w:val="CETBodytext"/>
              <w:jc w:val="center"/>
              <w:rPr>
                <w:lang w:val="en-GB"/>
              </w:rPr>
            </w:pPr>
            <w:r w:rsidRPr="00F12EC6">
              <w:rPr>
                <w:lang w:val="en-GB"/>
              </w:rPr>
              <w:t>5.673</w:t>
            </w:r>
            <w:r w:rsidR="0050740B" w:rsidRPr="00F12EC6">
              <w:rPr>
                <w:lang w:val="en-GB"/>
              </w:rPr>
              <w:t xml:space="preserve"> ± 0.</w:t>
            </w:r>
            <w:r w:rsidR="00DC1760" w:rsidRPr="00F12EC6">
              <w:rPr>
                <w:lang w:val="en-GB"/>
              </w:rPr>
              <w:t>369</w:t>
            </w:r>
            <w:r w:rsidR="00CC549B" w:rsidRPr="00F12EC6">
              <w:rPr>
                <w:vertAlign w:val="superscript"/>
                <w:lang w:val="en-GB"/>
              </w:rPr>
              <w:t>a</w:t>
            </w:r>
          </w:p>
        </w:tc>
        <w:tc>
          <w:tcPr>
            <w:tcW w:w="2268" w:type="dxa"/>
            <w:shd w:val="clear" w:color="auto" w:fill="FFFFFF"/>
          </w:tcPr>
          <w:p w14:paraId="72A69AC1" w14:textId="2A776F93" w:rsidR="0050740B" w:rsidRPr="00F12EC6" w:rsidRDefault="00906711" w:rsidP="00121520">
            <w:pPr>
              <w:pStyle w:val="CETBodytext"/>
              <w:jc w:val="center"/>
              <w:rPr>
                <w:lang w:val="en-GB"/>
              </w:rPr>
            </w:pPr>
            <w:r>
              <w:rPr>
                <w:lang w:val="en-GB"/>
              </w:rPr>
              <w:t>1.970</w:t>
            </w:r>
            <w:r w:rsidR="0050740B" w:rsidRPr="00F12EC6">
              <w:rPr>
                <w:lang w:val="en-GB"/>
              </w:rPr>
              <w:t xml:space="preserve"> ± 0.425</w:t>
            </w:r>
            <w:r w:rsidR="0050740B" w:rsidRPr="00F12EC6">
              <w:rPr>
                <w:vertAlign w:val="superscript"/>
                <w:lang w:val="en-GB"/>
              </w:rPr>
              <w:t>B</w:t>
            </w:r>
          </w:p>
        </w:tc>
      </w:tr>
      <w:tr w:rsidR="0050740B" w:rsidRPr="00F12EC6" w14:paraId="74B3D3C0" w14:textId="77777777" w:rsidTr="00121520">
        <w:tc>
          <w:tcPr>
            <w:tcW w:w="2268" w:type="dxa"/>
            <w:shd w:val="clear" w:color="auto" w:fill="FFFFFF"/>
          </w:tcPr>
          <w:p w14:paraId="765B3D94" w14:textId="7C0CAFF9" w:rsidR="0050740B" w:rsidRPr="00F12EC6" w:rsidRDefault="0050740B" w:rsidP="00121520">
            <w:pPr>
              <w:pStyle w:val="CETBodytext"/>
              <w:jc w:val="center"/>
              <w:rPr>
                <w:lang w:val="en-GB"/>
              </w:rPr>
            </w:pPr>
            <w:r w:rsidRPr="00F12EC6">
              <w:rPr>
                <w:lang w:val="en-GB"/>
              </w:rPr>
              <w:t>50</w:t>
            </w:r>
          </w:p>
        </w:tc>
        <w:tc>
          <w:tcPr>
            <w:tcW w:w="2268" w:type="dxa"/>
            <w:shd w:val="clear" w:color="auto" w:fill="FFFFFF"/>
          </w:tcPr>
          <w:p w14:paraId="25565133" w14:textId="2BB71909" w:rsidR="0050740B" w:rsidRPr="00F12EC6" w:rsidRDefault="00DC1760" w:rsidP="00121520">
            <w:pPr>
              <w:pStyle w:val="CETBodytext"/>
              <w:jc w:val="center"/>
              <w:rPr>
                <w:lang w:val="en-GB"/>
              </w:rPr>
            </w:pPr>
            <w:r w:rsidRPr="00F12EC6">
              <w:rPr>
                <w:lang w:val="en-GB"/>
              </w:rPr>
              <w:t>3.</w:t>
            </w:r>
            <w:r w:rsidR="007526CA">
              <w:rPr>
                <w:lang w:val="en-GB"/>
              </w:rPr>
              <w:t>0</w:t>
            </w:r>
            <w:r w:rsidR="008C3F61">
              <w:rPr>
                <w:lang w:val="en-GB"/>
              </w:rPr>
              <w:t>37</w:t>
            </w:r>
            <w:r w:rsidR="0050740B" w:rsidRPr="00F12EC6">
              <w:rPr>
                <w:lang w:val="en-GB"/>
              </w:rPr>
              <w:t xml:space="preserve"> ± 0.</w:t>
            </w:r>
            <w:r w:rsidR="004475D5">
              <w:rPr>
                <w:lang w:val="en-GB"/>
              </w:rPr>
              <w:t>360</w:t>
            </w:r>
            <w:r w:rsidR="00CC549B" w:rsidRPr="00F12EC6">
              <w:rPr>
                <w:vertAlign w:val="superscript"/>
                <w:lang w:val="en-GB"/>
              </w:rPr>
              <w:t>b</w:t>
            </w:r>
          </w:p>
        </w:tc>
        <w:tc>
          <w:tcPr>
            <w:tcW w:w="2268" w:type="dxa"/>
            <w:shd w:val="clear" w:color="auto" w:fill="FFFFFF"/>
          </w:tcPr>
          <w:p w14:paraId="7B75E3DF" w14:textId="52EFE4B9" w:rsidR="0050740B" w:rsidRPr="00F12EC6" w:rsidRDefault="00DC03C2" w:rsidP="00121520">
            <w:pPr>
              <w:pStyle w:val="CETBodytext"/>
              <w:jc w:val="center"/>
              <w:rPr>
                <w:lang w:val="en-GB"/>
              </w:rPr>
            </w:pPr>
            <w:r>
              <w:rPr>
                <w:lang w:val="en-GB"/>
              </w:rPr>
              <w:t>1.617</w:t>
            </w:r>
            <w:r w:rsidR="0050740B" w:rsidRPr="00F12EC6">
              <w:rPr>
                <w:lang w:val="en-GB"/>
              </w:rPr>
              <w:t xml:space="preserve"> ± 0.</w:t>
            </w:r>
            <w:r>
              <w:rPr>
                <w:lang w:val="en-GB"/>
              </w:rPr>
              <w:t>175</w:t>
            </w:r>
            <w:r w:rsidR="006276C6">
              <w:rPr>
                <w:vertAlign w:val="superscript"/>
                <w:lang w:val="en-GB"/>
              </w:rPr>
              <w:t>B</w:t>
            </w:r>
          </w:p>
        </w:tc>
      </w:tr>
      <w:tr w:rsidR="0050740B" w:rsidRPr="00F12EC6" w14:paraId="38A4D648" w14:textId="77777777" w:rsidTr="00121520">
        <w:tc>
          <w:tcPr>
            <w:tcW w:w="2268" w:type="dxa"/>
            <w:shd w:val="clear" w:color="auto" w:fill="FFFFFF"/>
          </w:tcPr>
          <w:p w14:paraId="5DE5CEB9" w14:textId="4730CAD4" w:rsidR="0050740B" w:rsidRPr="00F12EC6" w:rsidRDefault="0050740B" w:rsidP="00121520">
            <w:pPr>
              <w:pStyle w:val="CETBodytext"/>
              <w:ind w:right="-1"/>
              <w:jc w:val="center"/>
              <w:rPr>
                <w:rFonts w:cs="Arial"/>
                <w:szCs w:val="18"/>
                <w:lang w:val="en-GB"/>
              </w:rPr>
            </w:pPr>
            <w:r w:rsidRPr="00F12EC6">
              <w:rPr>
                <w:rFonts w:cs="Arial"/>
                <w:szCs w:val="18"/>
                <w:lang w:val="en-GB"/>
              </w:rPr>
              <w:t>55</w:t>
            </w:r>
          </w:p>
        </w:tc>
        <w:tc>
          <w:tcPr>
            <w:tcW w:w="2268" w:type="dxa"/>
            <w:shd w:val="clear" w:color="auto" w:fill="FFFFFF"/>
          </w:tcPr>
          <w:p w14:paraId="54387CE7" w14:textId="6C480ACE" w:rsidR="0050740B" w:rsidRPr="00F12EC6" w:rsidRDefault="00DC1760" w:rsidP="00121520">
            <w:pPr>
              <w:pStyle w:val="CETBodytext"/>
              <w:ind w:right="-1"/>
              <w:jc w:val="center"/>
              <w:rPr>
                <w:rFonts w:cs="Arial"/>
                <w:szCs w:val="18"/>
                <w:lang w:val="en-GB"/>
              </w:rPr>
            </w:pPr>
            <w:r w:rsidRPr="00F12EC6">
              <w:rPr>
                <w:lang w:val="en-GB"/>
              </w:rPr>
              <w:t>1.603</w:t>
            </w:r>
            <w:r w:rsidR="0050740B" w:rsidRPr="00F12EC6">
              <w:rPr>
                <w:lang w:val="en-GB"/>
              </w:rPr>
              <w:t xml:space="preserve"> ± 0.</w:t>
            </w:r>
            <w:r w:rsidRPr="00F12EC6">
              <w:rPr>
                <w:lang w:val="en-GB"/>
              </w:rPr>
              <w:t>067</w:t>
            </w:r>
            <w:r w:rsidR="00CC549B" w:rsidRPr="00F12EC6">
              <w:rPr>
                <w:vertAlign w:val="superscript"/>
                <w:lang w:val="en-GB"/>
              </w:rPr>
              <w:t>c</w:t>
            </w:r>
          </w:p>
        </w:tc>
        <w:tc>
          <w:tcPr>
            <w:tcW w:w="2268" w:type="dxa"/>
            <w:shd w:val="clear" w:color="auto" w:fill="FFFFFF"/>
          </w:tcPr>
          <w:p w14:paraId="161C80C3" w14:textId="321F7827" w:rsidR="0050740B" w:rsidRPr="00F12EC6" w:rsidRDefault="0050740B" w:rsidP="00121520">
            <w:pPr>
              <w:pStyle w:val="CETBodytext"/>
              <w:ind w:right="-1"/>
              <w:jc w:val="center"/>
              <w:rPr>
                <w:rFonts w:cs="Arial"/>
                <w:szCs w:val="18"/>
                <w:lang w:val="en-GB"/>
              </w:rPr>
            </w:pPr>
            <w:r w:rsidRPr="00F12EC6">
              <w:rPr>
                <w:lang w:val="en-GB"/>
              </w:rPr>
              <w:t>5.510 ± 0.505</w:t>
            </w:r>
            <w:r w:rsidRPr="00F12EC6">
              <w:rPr>
                <w:vertAlign w:val="superscript"/>
                <w:lang w:val="en-GB"/>
              </w:rPr>
              <w:t>C</w:t>
            </w:r>
          </w:p>
        </w:tc>
      </w:tr>
    </w:tbl>
    <w:p w14:paraId="5319B675" w14:textId="3B8ED345" w:rsidR="00915D97" w:rsidRPr="00F12EC6" w:rsidRDefault="0062161A" w:rsidP="00CC549B">
      <w:pPr>
        <w:pStyle w:val="CETBodytext"/>
        <w:rPr>
          <w:lang w:val="en-GB"/>
        </w:rPr>
      </w:pPr>
      <w:r w:rsidRPr="0062161A">
        <w:rPr>
          <w:lang w:val="en-GB"/>
        </w:rPr>
        <w:t xml:space="preserve">Although the results show a broad optimal temperature range, 45 °C was selected as the operating temperature for the OFAT campaign on medium pH effect, as it falls within the optimal growth window reported for </w:t>
      </w:r>
      <w:proofErr w:type="spellStart"/>
      <w:r w:rsidRPr="0062161A">
        <w:rPr>
          <w:i/>
          <w:iCs/>
          <w:lang w:val="en-GB"/>
        </w:rPr>
        <w:t>Galdieria</w:t>
      </w:r>
      <w:proofErr w:type="spellEnd"/>
      <w:r w:rsidRPr="0062161A">
        <w:rPr>
          <w:i/>
          <w:iCs/>
          <w:lang w:val="en-GB"/>
        </w:rPr>
        <w:t xml:space="preserve"> </w:t>
      </w:r>
      <w:proofErr w:type="spellStart"/>
      <w:r w:rsidRPr="0062161A">
        <w:rPr>
          <w:i/>
          <w:iCs/>
          <w:lang w:val="en-GB"/>
        </w:rPr>
        <w:t>sulphuraria</w:t>
      </w:r>
      <w:proofErr w:type="spellEnd"/>
      <w:r w:rsidRPr="0062161A">
        <w:rPr>
          <w:lang w:val="en-GB"/>
        </w:rPr>
        <w:t>, typically between 40 and 45 °</w:t>
      </w:r>
      <w:r w:rsidR="0082137E">
        <w:rPr>
          <w:lang w:val="en-GB"/>
        </w:rPr>
        <w:t>C</w:t>
      </w:r>
      <w:r w:rsidR="0009118C">
        <w:rPr>
          <w:lang w:val="en-GB"/>
        </w:rPr>
        <w:t xml:space="preserve"> </w:t>
      </w:r>
      <w:sdt>
        <w:sdtPr>
          <w:rPr>
            <w:rFonts w:cs="Arial"/>
            <w:color w:val="000000"/>
            <w:lang w:val="en-GB"/>
          </w:rPr>
          <w:tag w:val="MENDELEY_CITATION_v3_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"/>
          <w:id w:val="-1498257229"/>
          <w:placeholder>
            <w:docPart w:val="DefaultPlaceholder_-1854013440"/>
          </w:placeholder>
        </w:sdtPr>
        <w:sdtContent>
          <w:r w:rsidR="00B00328" w:rsidRPr="00B00328">
            <w:rPr>
              <w:rFonts w:cs="Arial"/>
              <w:color w:val="000000"/>
              <w:lang w:val="en-GB"/>
            </w:rPr>
            <w:t>(Sloth et al., 2006)</w:t>
          </w:r>
        </w:sdtContent>
      </w:sdt>
      <w:r w:rsidR="00FC6492">
        <w:rPr>
          <w:lang w:val="en-GB"/>
        </w:rPr>
        <w:t>.</w:t>
      </w:r>
      <w:r w:rsidR="00C57734">
        <w:rPr>
          <w:lang w:val="en-GB"/>
        </w:rPr>
        <w:t xml:space="preserve"> </w:t>
      </w:r>
      <w:r w:rsidR="00C57734" w:rsidRPr="00C57734">
        <w:rPr>
          <w:lang w:val="en-GB"/>
        </w:rPr>
        <w:t>From a process engineering standpoint, the ability of this species to maintain high heterotrophic growth performance at elevated temperatures represents a relevant advantage, as it may reduce cooling requirements in fermentative system</w:t>
      </w:r>
      <w:r w:rsidR="00D46F5B">
        <w:rPr>
          <w:lang w:val="en-GB"/>
        </w:rPr>
        <w:t xml:space="preserve">s </w:t>
      </w:r>
      <w:r w:rsidR="00D46F5B" w:rsidRPr="00D46F5B">
        <w:rPr>
          <w:lang w:val="en-GB"/>
        </w:rPr>
        <w:t>and improve intrinsic selectivity against contaminants</w:t>
      </w:r>
      <w:r w:rsidR="0003077E">
        <w:rPr>
          <w:lang w:val="en-GB"/>
        </w:rPr>
        <w:t>.</w:t>
      </w:r>
    </w:p>
    <w:p w14:paraId="2EA68919" w14:textId="1DCAACBC" w:rsidR="009A03C5" w:rsidRPr="00F12EC6" w:rsidRDefault="009A03C5" w:rsidP="009A03C5">
      <w:pPr>
        <w:pStyle w:val="CETheadingx"/>
        <w:rPr>
          <w:lang w:val="en-GB"/>
        </w:rPr>
      </w:pPr>
      <w:r w:rsidRPr="00F12EC6">
        <w:rPr>
          <w:lang w:val="en-GB"/>
        </w:rPr>
        <w:lastRenderedPageBreak/>
        <w:t>Effect of inlet medium pH</w:t>
      </w:r>
    </w:p>
    <w:p w14:paraId="6816A032" w14:textId="26AEA5BB" w:rsidR="00BB5554" w:rsidRPr="00F12EC6" w:rsidRDefault="009A03C5" w:rsidP="009A03C5">
      <w:pPr>
        <w:pStyle w:val="CETBodytext"/>
        <w:rPr>
          <w:lang w:val="en-GB"/>
        </w:rPr>
      </w:pPr>
      <w:r w:rsidRPr="00F12EC6">
        <w:rPr>
          <w:lang w:val="en-GB"/>
        </w:rPr>
        <w:t xml:space="preserve">The acidophilic trait of this microalga is well established in </w:t>
      </w:r>
      <w:r w:rsidR="002E3E65">
        <w:rPr>
          <w:lang w:val="en-GB"/>
        </w:rPr>
        <w:t xml:space="preserve">the </w:t>
      </w:r>
      <w:r w:rsidRPr="00F12EC6">
        <w:rPr>
          <w:lang w:val="en-GB"/>
        </w:rPr>
        <w:t>literature, as it is reported to withstand environmental pH in the 1-4 range</w:t>
      </w:r>
      <w:r w:rsidR="0083080C" w:rsidRPr="00F12EC6">
        <w:rPr>
          <w:lang w:val="en-GB"/>
        </w:rPr>
        <w:t xml:space="preserve">, as highlighted by </w:t>
      </w:r>
      <w:sdt>
        <w:sdtPr>
          <w:rPr>
            <w:rFonts w:cs="Arial"/>
            <w:color w:val="000000"/>
            <w:lang w:val="en-GB"/>
          </w:rPr>
          <w:tag w:val="MENDELEY_CITATION_v3_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"/>
          <w:id w:val="-341401555"/>
          <w:placeholder>
            <w:docPart w:val="DefaultPlaceholder_-1854013440"/>
          </w:placeholder>
        </w:sdtPr>
        <w:sdtContent>
          <w:r w:rsidR="00B00328" w:rsidRPr="00B00328">
            <w:rPr>
              <w:rFonts w:cs="Arial"/>
              <w:color w:val="000000"/>
              <w:lang w:val="en-GB"/>
            </w:rPr>
            <w:t>Sloth et al. (2006)</w:t>
          </w:r>
        </w:sdtContent>
      </w:sdt>
      <w:r w:rsidRPr="00F12EC6">
        <w:rPr>
          <w:lang w:val="en-GB"/>
        </w:rPr>
        <w:t xml:space="preserve">. However, no studies quantified the species growth capabilities across different acidic pH levels. According to the rationale in Table </w:t>
      </w:r>
      <w:r w:rsidR="000468C7" w:rsidRPr="00F12EC6">
        <w:rPr>
          <w:lang w:val="en-GB"/>
        </w:rPr>
        <w:t>1</w:t>
      </w:r>
      <w:r w:rsidRPr="00F12EC6">
        <w:rPr>
          <w:lang w:val="en-GB"/>
        </w:rPr>
        <w:t xml:space="preserve">, heterotrophic growth performances of </w:t>
      </w:r>
      <w:proofErr w:type="spellStart"/>
      <w:r w:rsidRPr="00F12EC6">
        <w:rPr>
          <w:i/>
          <w:iCs/>
          <w:lang w:val="en-GB"/>
        </w:rPr>
        <w:t>Galdieria</w:t>
      </w:r>
      <w:proofErr w:type="spellEnd"/>
      <w:r w:rsidRPr="00F12EC6">
        <w:rPr>
          <w:i/>
          <w:iCs/>
          <w:lang w:val="en-GB"/>
        </w:rPr>
        <w:t xml:space="preserve"> </w:t>
      </w:r>
      <w:proofErr w:type="spellStart"/>
      <w:r w:rsidRPr="00F12EC6">
        <w:rPr>
          <w:i/>
          <w:iCs/>
          <w:lang w:val="en-GB"/>
        </w:rPr>
        <w:t>sulphuraria</w:t>
      </w:r>
      <w:proofErr w:type="spellEnd"/>
      <w:r w:rsidRPr="00F12EC6">
        <w:rPr>
          <w:lang w:val="en-GB"/>
        </w:rPr>
        <w:t xml:space="preserve"> were assessed by modulating medium inlet pH at different levels and assessing steady state biomass productivities as well as yield metrics on organic carbon consumption. Additionally for this specific experimental campaign, also steady</w:t>
      </w:r>
      <w:r w:rsidR="008B3581">
        <w:rPr>
          <w:lang w:val="en-GB"/>
        </w:rPr>
        <w:t>-</w:t>
      </w:r>
      <w:r w:rsidRPr="00F12EC6">
        <w:rPr>
          <w:lang w:val="en-GB"/>
        </w:rPr>
        <w:t>state environment</w:t>
      </w:r>
      <w:r w:rsidR="009815C2">
        <w:rPr>
          <w:lang w:val="en-GB"/>
        </w:rPr>
        <w:t>al</w:t>
      </w:r>
      <w:r w:rsidRPr="00F12EC6">
        <w:rPr>
          <w:lang w:val="en-GB"/>
        </w:rPr>
        <w:t xml:space="preserve"> pH </w:t>
      </w:r>
      <w:r w:rsidR="009815C2">
        <w:rPr>
          <w:lang w:val="en-GB"/>
        </w:rPr>
        <w:t xml:space="preserve">values </w:t>
      </w:r>
      <w:r w:rsidRPr="00F12EC6">
        <w:rPr>
          <w:lang w:val="en-GB"/>
        </w:rPr>
        <w:t xml:space="preserve">were collected. The results are presented in Table </w:t>
      </w:r>
      <w:r w:rsidR="00975864" w:rsidRPr="00F12EC6">
        <w:rPr>
          <w:lang w:val="en-GB"/>
        </w:rPr>
        <w:t>3</w:t>
      </w:r>
      <w:r w:rsidRPr="00F12EC6">
        <w:rPr>
          <w:lang w:val="en-GB"/>
        </w:rPr>
        <w:t>.</w:t>
      </w:r>
    </w:p>
    <w:p w14:paraId="576C11DC" w14:textId="583FA606" w:rsidR="009A03C5" w:rsidRPr="00F12EC6" w:rsidRDefault="009A03C5" w:rsidP="00AC4E74">
      <w:pPr>
        <w:pStyle w:val="CETTabletitle"/>
      </w:pPr>
      <w:r w:rsidRPr="00F12EC6">
        <w:t xml:space="preserve">Table </w:t>
      </w:r>
      <w:r w:rsidR="00975864" w:rsidRPr="00F12EC6">
        <w:t>3</w:t>
      </w:r>
      <w:r w:rsidR="00EF5796">
        <w:t>:</w:t>
      </w:r>
      <w:r w:rsidRPr="00F12EC6">
        <w:t xml:space="preserve"> Experimental outputs on </w:t>
      </w:r>
      <w:proofErr w:type="spellStart"/>
      <w:r w:rsidRPr="00F12EC6">
        <w:t>Galdieria</w:t>
      </w:r>
      <w:proofErr w:type="spellEnd"/>
      <w:r w:rsidRPr="00F12EC6">
        <w:t xml:space="preserve"> </w:t>
      </w:r>
      <w:proofErr w:type="spellStart"/>
      <w:r w:rsidRPr="00F12EC6">
        <w:t>sulphuraria</w:t>
      </w:r>
      <w:proofErr w:type="spellEnd"/>
      <w:r w:rsidRPr="00F12EC6">
        <w:t xml:space="preserve"> heterotrophic continuous growth at different medium pH levels. Letters and symbols refer to the statistical analysis on measured experimental outputs, with different sets according to the type of output under assessment. Data that do not share a letter or symbol within the same set are statistically different.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701"/>
        <w:gridCol w:w="1701"/>
        <w:gridCol w:w="1701"/>
        <w:gridCol w:w="1701"/>
      </w:tblGrid>
      <w:tr w:rsidR="005A69B3" w:rsidRPr="00F12EC6" w14:paraId="0C7CD1DC" w14:textId="45E0441E" w:rsidTr="00121520">
        <w:tc>
          <w:tcPr>
            <w:tcW w:w="1701" w:type="dxa"/>
            <w:tcBorders>
              <w:top w:val="single" w:sz="12" w:space="0" w:color="008000"/>
              <w:bottom w:val="single" w:sz="6" w:space="0" w:color="008000"/>
            </w:tcBorders>
            <w:shd w:val="clear" w:color="auto" w:fill="FFFFFF"/>
          </w:tcPr>
          <w:p w14:paraId="5B1FEEEC" w14:textId="372A9E90" w:rsidR="005A69B3" w:rsidRPr="00F12EC6" w:rsidRDefault="005A69B3" w:rsidP="00121520">
            <w:pPr>
              <w:pStyle w:val="CETBodytext"/>
              <w:jc w:val="center"/>
              <w:rPr>
                <w:lang w:val="en-GB"/>
              </w:rPr>
            </w:pPr>
            <w:r w:rsidRPr="00F12EC6">
              <w:rPr>
                <w:lang w:val="en-GB"/>
              </w:rPr>
              <w:t>Medium inlet pH [-]</w:t>
            </w:r>
          </w:p>
        </w:tc>
        <w:tc>
          <w:tcPr>
            <w:tcW w:w="1701" w:type="dxa"/>
            <w:tcBorders>
              <w:top w:val="single" w:sz="12" w:space="0" w:color="008000"/>
              <w:bottom w:val="single" w:sz="6" w:space="0" w:color="008000"/>
            </w:tcBorders>
            <w:shd w:val="clear" w:color="auto" w:fill="FFFFFF"/>
          </w:tcPr>
          <w:p w14:paraId="21B68AFD" w14:textId="0206133A" w:rsidR="005A69B3" w:rsidRPr="00F12EC6" w:rsidRDefault="005A69B3" w:rsidP="00121520">
            <w:pPr>
              <w:pStyle w:val="CETBodytext"/>
              <w:jc w:val="center"/>
              <w:rPr>
                <w:lang w:val="en-GB"/>
              </w:rPr>
            </w:pPr>
            <w:r w:rsidRPr="00F12EC6">
              <w:rPr>
                <w:lang w:val="en-GB"/>
              </w:rPr>
              <w:t>Environment pH [-]</w:t>
            </w:r>
          </w:p>
        </w:tc>
        <w:tc>
          <w:tcPr>
            <w:tcW w:w="1701" w:type="dxa"/>
            <w:tcBorders>
              <w:top w:val="single" w:sz="12" w:space="0" w:color="008000"/>
              <w:bottom w:val="single" w:sz="6" w:space="0" w:color="008000"/>
            </w:tcBorders>
            <w:shd w:val="clear" w:color="auto" w:fill="FFFFFF"/>
          </w:tcPr>
          <w:p w14:paraId="731DB8E3" w14:textId="789E0528" w:rsidR="005A69B3" w:rsidRPr="00F12EC6" w:rsidRDefault="00B009F8" w:rsidP="00121520">
            <w:pPr>
              <w:pStyle w:val="CETBodytext"/>
              <w:jc w:val="center"/>
              <w:rPr>
                <w:lang w:val="en-GB"/>
              </w:rPr>
            </w:pPr>
            <w:r w:rsidRPr="00356428">
              <w:t>C</w:t>
            </w:r>
            <w:r w:rsidRPr="00356428">
              <w:rPr>
                <w:vertAlign w:val="subscript"/>
              </w:rPr>
              <w:t>X</w:t>
            </w:r>
            <w:r w:rsidRPr="00F12EC6">
              <w:rPr>
                <w:lang w:val="en-GB"/>
              </w:rPr>
              <w:t xml:space="preserve"> </w:t>
            </w:r>
            <w:r w:rsidR="005A69B3" w:rsidRPr="00F12EC6">
              <w:rPr>
                <w:lang w:val="en-GB"/>
              </w:rPr>
              <w:t>[g</w:t>
            </w:r>
            <w:r w:rsidR="005A69B3" w:rsidRPr="00F12EC6">
              <w:rPr>
                <w:vertAlign w:val="subscript"/>
                <w:lang w:val="en-GB"/>
              </w:rPr>
              <w:t>X</w:t>
            </w:r>
            <w:r w:rsidR="005A69B3" w:rsidRPr="00F12EC6">
              <w:rPr>
                <w:lang w:val="en-GB"/>
              </w:rPr>
              <w:t xml:space="preserve"> L</w:t>
            </w:r>
            <w:r w:rsidR="005A69B3" w:rsidRPr="00F12EC6">
              <w:rPr>
                <w:vertAlign w:val="superscript"/>
                <w:lang w:val="en-GB"/>
              </w:rPr>
              <w:t>-1</w:t>
            </w:r>
            <w:r w:rsidR="005A69B3" w:rsidRPr="00F12EC6">
              <w:rPr>
                <w:lang w:val="en-GB"/>
              </w:rPr>
              <w:t>]</w:t>
            </w:r>
          </w:p>
        </w:tc>
        <w:tc>
          <w:tcPr>
            <w:tcW w:w="1701" w:type="dxa"/>
            <w:tcBorders>
              <w:top w:val="single" w:sz="12" w:space="0" w:color="008000"/>
              <w:bottom w:val="single" w:sz="6" w:space="0" w:color="008000"/>
            </w:tcBorders>
            <w:shd w:val="clear" w:color="auto" w:fill="FFFFFF"/>
          </w:tcPr>
          <w:p w14:paraId="564ABE8C" w14:textId="6C27487F" w:rsidR="005A69B3" w:rsidRPr="00F12EC6" w:rsidRDefault="00B009F8" w:rsidP="00121520">
            <w:pPr>
              <w:pStyle w:val="CETBodytext"/>
              <w:jc w:val="center"/>
              <w:rPr>
                <w:lang w:val="en-GB"/>
              </w:rPr>
            </w:pPr>
            <w:r>
              <w:t>Y</w:t>
            </w:r>
            <w:r w:rsidRPr="000862A6">
              <w:rPr>
                <w:vertAlign w:val="subscript"/>
              </w:rPr>
              <w:t>C/</w:t>
            </w:r>
            <w:proofErr w:type="spellStart"/>
            <w:proofErr w:type="gramStart"/>
            <w:r w:rsidRPr="000862A6">
              <w:rPr>
                <w:vertAlign w:val="subscript"/>
              </w:rPr>
              <w:t>X,</w:t>
            </w:r>
            <w:r>
              <w:rPr>
                <w:vertAlign w:val="subscript"/>
              </w:rPr>
              <w:t>growth</w:t>
            </w:r>
            <w:proofErr w:type="spellEnd"/>
            <w:proofErr w:type="gramEnd"/>
            <w:r w:rsidRPr="00F12EC6">
              <w:rPr>
                <w:lang w:val="en-GB"/>
              </w:rPr>
              <w:t xml:space="preserve"> </w:t>
            </w:r>
            <w:r w:rsidR="005A69B3" w:rsidRPr="00F12EC6">
              <w:rPr>
                <w:lang w:val="en-GB"/>
              </w:rPr>
              <w:t>[g</w:t>
            </w:r>
            <w:r w:rsidR="005A69B3" w:rsidRPr="00F12EC6">
              <w:rPr>
                <w:vertAlign w:val="subscript"/>
                <w:lang w:val="en-GB"/>
              </w:rPr>
              <w:t>C</w:t>
            </w:r>
            <w:r w:rsidR="005A69B3" w:rsidRPr="00F12EC6">
              <w:rPr>
                <w:lang w:val="en-GB"/>
              </w:rPr>
              <w:t xml:space="preserve"> g</w:t>
            </w:r>
            <w:r w:rsidR="005A69B3" w:rsidRPr="00F12EC6">
              <w:rPr>
                <w:vertAlign w:val="subscript"/>
                <w:lang w:val="en-GB"/>
              </w:rPr>
              <w:t>X</w:t>
            </w:r>
            <w:r w:rsidR="005A69B3" w:rsidRPr="00F12EC6">
              <w:rPr>
                <w:vertAlign w:val="superscript"/>
                <w:lang w:val="en-GB"/>
              </w:rPr>
              <w:t>-1</w:t>
            </w:r>
            <w:r w:rsidR="005A69B3" w:rsidRPr="00F12EC6">
              <w:rPr>
                <w:lang w:val="en-GB"/>
              </w:rPr>
              <w:t>]</w:t>
            </w:r>
          </w:p>
        </w:tc>
        <w:tc>
          <w:tcPr>
            <w:tcW w:w="1701" w:type="dxa"/>
            <w:tcBorders>
              <w:top w:val="single" w:sz="12" w:space="0" w:color="008000"/>
              <w:bottom w:val="single" w:sz="6" w:space="0" w:color="008000"/>
            </w:tcBorders>
            <w:shd w:val="clear" w:color="auto" w:fill="FFFFFF"/>
          </w:tcPr>
          <w:p w14:paraId="47A20C96" w14:textId="57798BD8" w:rsidR="005A69B3" w:rsidRPr="00F12EC6" w:rsidRDefault="00951429" w:rsidP="00121520">
            <w:pPr>
              <w:pStyle w:val="CETBodytext"/>
              <w:jc w:val="center"/>
              <w:rPr>
                <w:lang w:val="en-GB"/>
              </w:rPr>
            </w:pPr>
            <w:r w:rsidRPr="00F12EC6" w:rsidDel="00951429">
              <w:rPr>
                <w:lang w:val="en-GB"/>
              </w:rPr>
              <w:t xml:space="preserve"> </w:t>
            </w:r>
            <w:r w:rsidR="00B009F8">
              <w:t>Y</w:t>
            </w:r>
            <w:r w:rsidR="00B009F8" w:rsidRPr="000862A6">
              <w:rPr>
                <w:vertAlign w:val="subscript"/>
              </w:rPr>
              <w:t>C/</w:t>
            </w:r>
            <w:proofErr w:type="spellStart"/>
            <w:proofErr w:type="gramStart"/>
            <w:r w:rsidR="00B009F8" w:rsidRPr="000862A6">
              <w:rPr>
                <w:vertAlign w:val="subscript"/>
              </w:rPr>
              <w:t>X,resp</w:t>
            </w:r>
            <w:proofErr w:type="spellEnd"/>
            <w:proofErr w:type="gramEnd"/>
            <w:r w:rsidR="00B009F8" w:rsidRPr="00F12EC6">
              <w:rPr>
                <w:lang w:val="en-GB"/>
              </w:rPr>
              <w:t xml:space="preserve"> </w:t>
            </w:r>
            <w:r w:rsidR="00161112" w:rsidRPr="00F12EC6">
              <w:rPr>
                <w:lang w:val="en-GB"/>
              </w:rPr>
              <w:t>[g</w:t>
            </w:r>
            <w:r w:rsidR="00161112" w:rsidRPr="00F12EC6">
              <w:rPr>
                <w:vertAlign w:val="subscript"/>
                <w:lang w:val="en-GB"/>
              </w:rPr>
              <w:t>C</w:t>
            </w:r>
            <w:r w:rsidR="00161112" w:rsidRPr="00F12EC6">
              <w:rPr>
                <w:lang w:val="en-GB"/>
              </w:rPr>
              <w:t xml:space="preserve"> g</w:t>
            </w:r>
            <w:r w:rsidR="00161112" w:rsidRPr="00F12EC6">
              <w:rPr>
                <w:vertAlign w:val="subscript"/>
                <w:lang w:val="en-GB"/>
              </w:rPr>
              <w:t>X</w:t>
            </w:r>
            <w:r w:rsidR="00161112" w:rsidRPr="00F12EC6">
              <w:rPr>
                <w:vertAlign w:val="superscript"/>
                <w:lang w:val="en-GB"/>
              </w:rPr>
              <w:t>-1</w:t>
            </w:r>
            <w:r w:rsidR="00161112" w:rsidRPr="00F12EC6">
              <w:rPr>
                <w:lang w:val="en-GB"/>
              </w:rPr>
              <w:t>]</w:t>
            </w:r>
          </w:p>
        </w:tc>
      </w:tr>
      <w:tr w:rsidR="00416DDD" w:rsidRPr="00F12EC6" w14:paraId="77FD9A4A" w14:textId="2B7982E3" w:rsidTr="00121520">
        <w:tc>
          <w:tcPr>
            <w:tcW w:w="1701" w:type="dxa"/>
            <w:shd w:val="clear" w:color="auto" w:fill="FFFFFF"/>
          </w:tcPr>
          <w:p w14:paraId="2B8BA5F6" w14:textId="58B49E75" w:rsidR="00416DDD" w:rsidRPr="00F12EC6" w:rsidRDefault="00416DDD" w:rsidP="00121520">
            <w:pPr>
              <w:pStyle w:val="CETBodytext"/>
              <w:jc w:val="center"/>
              <w:rPr>
                <w:lang w:val="en-GB"/>
              </w:rPr>
            </w:pPr>
            <w:r w:rsidRPr="00F12EC6">
              <w:rPr>
                <w:lang w:val="en-GB"/>
              </w:rPr>
              <w:t>1.0</w:t>
            </w:r>
          </w:p>
        </w:tc>
        <w:tc>
          <w:tcPr>
            <w:tcW w:w="1701" w:type="dxa"/>
            <w:shd w:val="clear" w:color="auto" w:fill="FFFFFF"/>
            <w:vAlign w:val="center"/>
          </w:tcPr>
          <w:p w14:paraId="46E96C26" w14:textId="6A2CB236" w:rsidR="00416DDD" w:rsidRPr="00F12EC6" w:rsidRDefault="00416DDD" w:rsidP="00121520">
            <w:pPr>
              <w:pStyle w:val="CETBodytext"/>
              <w:jc w:val="center"/>
              <w:rPr>
                <w:lang w:val="en-GB"/>
              </w:rPr>
            </w:pPr>
            <w:r w:rsidRPr="00F12EC6">
              <w:rPr>
                <w:rFonts w:cs="Arial"/>
                <w:szCs w:val="22"/>
                <w:lang w:val="en-GB"/>
              </w:rPr>
              <w:t xml:space="preserve">0.748 </w:t>
            </w:r>
            <w:r w:rsidRPr="00F12EC6">
              <w:rPr>
                <w:szCs w:val="22"/>
                <w:lang w:val="en-GB"/>
              </w:rPr>
              <w:t>± 0.063</w:t>
            </w:r>
            <w:r w:rsidRPr="00F12EC6">
              <w:rPr>
                <w:szCs w:val="22"/>
                <w:vertAlign w:val="superscript"/>
                <w:lang w:val="en-GB"/>
              </w:rPr>
              <w:t>A</w:t>
            </w:r>
          </w:p>
        </w:tc>
        <w:tc>
          <w:tcPr>
            <w:tcW w:w="1701" w:type="dxa"/>
            <w:shd w:val="clear" w:color="auto" w:fill="FFFFFF"/>
            <w:vAlign w:val="center"/>
          </w:tcPr>
          <w:p w14:paraId="276A9B52" w14:textId="2876C83C" w:rsidR="00416DDD" w:rsidRPr="00F12EC6" w:rsidRDefault="00BD111E" w:rsidP="00121520">
            <w:pPr>
              <w:pStyle w:val="CETBodytext"/>
              <w:jc w:val="center"/>
              <w:rPr>
                <w:lang w:val="en-GB"/>
              </w:rPr>
            </w:pPr>
            <w:r w:rsidRPr="00F12EC6">
              <w:rPr>
                <w:rFonts w:cs="Arial"/>
                <w:szCs w:val="22"/>
                <w:lang w:val="en-GB"/>
              </w:rPr>
              <w:t>3.</w:t>
            </w:r>
            <w:r w:rsidR="00047E0C">
              <w:rPr>
                <w:rFonts w:cs="Arial"/>
                <w:szCs w:val="22"/>
                <w:lang w:val="en-GB"/>
              </w:rPr>
              <w:t>217</w:t>
            </w:r>
            <w:r w:rsidR="00416DDD" w:rsidRPr="00F12EC6">
              <w:rPr>
                <w:rFonts w:cs="Arial"/>
                <w:szCs w:val="22"/>
                <w:lang w:val="en-GB"/>
              </w:rPr>
              <w:t xml:space="preserve"> </w:t>
            </w:r>
            <w:r w:rsidR="00416DDD" w:rsidRPr="00F12EC6">
              <w:rPr>
                <w:szCs w:val="22"/>
                <w:lang w:val="en-GB"/>
              </w:rPr>
              <w:t xml:space="preserve">± </w:t>
            </w:r>
            <w:r w:rsidRPr="00F12EC6">
              <w:rPr>
                <w:szCs w:val="22"/>
                <w:lang w:val="en-GB"/>
              </w:rPr>
              <w:t>0.</w:t>
            </w:r>
            <w:r w:rsidR="00047E0C">
              <w:rPr>
                <w:szCs w:val="22"/>
                <w:lang w:val="en-GB"/>
              </w:rPr>
              <w:t>090</w:t>
            </w:r>
            <w:r w:rsidR="00416DDD" w:rsidRPr="00F12EC6">
              <w:rPr>
                <w:szCs w:val="22"/>
                <w:vertAlign w:val="superscript"/>
                <w:lang w:val="en-GB"/>
              </w:rPr>
              <w:t>a</w:t>
            </w:r>
          </w:p>
        </w:tc>
        <w:tc>
          <w:tcPr>
            <w:tcW w:w="1701" w:type="dxa"/>
            <w:shd w:val="clear" w:color="auto" w:fill="FFFFFF"/>
            <w:vAlign w:val="center"/>
          </w:tcPr>
          <w:p w14:paraId="3FD5612C" w14:textId="38DC1F59" w:rsidR="00416DDD" w:rsidRPr="00F12EC6" w:rsidRDefault="00416DDD" w:rsidP="00121520">
            <w:pPr>
              <w:pStyle w:val="CETBodytext"/>
              <w:jc w:val="center"/>
              <w:rPr>
                <w:lang w:val="en-GB"/>
              </w:rPr>
            </w:pPr>
            <w:r w:rsidRPr="00F12EC6">
              <w:rPr>
                <w:rFonts w:cs="Arial"/>
                <w:szCs w:val="22"/>
                <w:lang w:val="en-GB"/>
              </w:rPr>
              <w:t xml:space="preserve">0.530 </w:t>
            </w:r>
            <w:r w:rsidRPr="00F12EC6">
              <w:rPr>
                <w:szCs w:val="22"/>
                <w:lang w:val="en-GB"/>
              </w:rPr>
              <w:t>± 0.140</w:t>
            </w:r>
            <w:r w:rsidRPr="00F12EC6">
              <w:rPr>
                <w:szCs w:val="22"/>
                <w:vertAlign w:val="superscript"/>
                <w:lang w:val="en-GB"/>
              </w:rPr>
              <w:t>α</w:t>
            </w:r>
          </w:p>
        </w:tc>
        <w:tc>
          <w:tcPr>
            <w:tcW w:w="1701" w:type="dxa"/>
            <w:shd w:val="clear" w:color="auto" w:fill="FFFFFF"/>
            <w:vAlign w:val="center"/>
          </w:tcPr>
          <w:p w14:paraId="6F9F1142" w14:textId="6FAB6C6D" w:rsidR="00416DDD" w:rsidRPr="00F12EC6" w:rsidRDefault="00416DDD" w:rsidP="00121520">
            <w:pPr>
              <w:pStyle w:val="CETBodytext"/>
              <w:jc w:val="center"/>
              <w:rPr>
                <w:lang w:val="en-GB"/>
              </w:rPr>
            </w:pPr>
            <w:r w:rsidRPr="00F12EC6">
              <w:rPr>
                <w:rFonts w:cs="Arial"/>
                <w:szCs w:val="22"/>
                <w:lang w:val="en-GB"/>
              </w:rPr>
              <w:t xml:space="preserve">0.176 </w:t>
            </w:r>
            <w:r w:rsidRPr="00F12EC6">
              <w:rPr>
                <w:szCs w:val="22"/>
                <w:lang w:val="en-GB"/>
              </w:rPr>
              <w:t>± 0.084</w:t>
            </w:r>
            <w:r w:rsidRPr="00F12EC6">
              <w:rPr>
                <w:szCs w:val="22"/>
                <w:vertAlign w:val="superscript"/>
                <w:lang w:val="en-GB"/>
              </w:rPr>
              <w:t>*</w:t>
            </w:r>
          </w:p>
        </w:tc>
      </w:tr>
      <w:tr w:rsidR="00416DDD" w:rsidRPr="00F12EC6" w14:paraId="1B806ADB" w14:textId="498A3210" w:rsidTr="00121520">
        <w:tc>
          <w:tcPr>
            <w:tcW w:w="1701" w:type="dxa"/>
            <w:shd w:val="clear" w:color="auto" w:fill="FFFFFF"/>
          </w:tcPr>
          <w:p w14:paraId="571509C2" w14:textId="7585EA0C" w:rsidR="00416DDD" w:rsidRPr="00F12EC6" w:rsidRDefault="00416DDD" w:rsidP="00121520">
            <w:pPr>
              <w:pStyle w:val="CETBodytext"/>
              <w:jc w:val="center"/>
              <w:rPr>
                <w:lang w:val="en-GB"/>
              </w:rPr>
            </w:pPr>
            <w:r w:rsidRPr="00F12EC6">
              <w:rPr>
                <w:lang w:val="en-GB"/>
              </w:rPr>
              <w:t>2.0</w:t>
            </w:r>
          </w:p>
        </w:tc>
        <w:tc>
          <w:tcPr>
            <w:tcW w:w="1701" w:type="dxa"/>
            <w:shd w:val="clear" w:color="auto" w:fill="FFFFFF"/>
            <w:vAlign w:val="center"/>
          </w:tcPr>
          <w:p w14:paraId="266604EC" w14:textId="1E6B7C4C" w:rsidR="00416DDD" w:rsidRPr="00F12EC6" w:rsidRDefault="00416DDD" w:rsidP="00121520">
            <w:pPr>
              <w:pStyle w:val="CETBodytext"/>
              <w:jc w:val="center"/>
              <w:rPr>
                <w:lang w:val="en-GB"/>
              </w:rPr>
            </w:pPr>
            <w:r w:rsidRPr="00F12EC6">
              <w:rPr>
                <w:rFonts w:cs="Arial"/>
                <w:szCs w:val="22"/>
                <w:lang w:val="en-GB"/>
              </w:rPr>
              <w:t xml:space="preserve">1.773 </w:t>
            </w:r>
            <w:r w:rsidRPr="00F12EC6">
              <w:rPr>
                <w:szCs w:val="22"/>
                <w:lang w:val="en-GB"/>
              </w:rPr>
              <w:t>± 0.019</w:t>
            </w:r>
            <w:r w:rsidRPr="00F12EC6">
              <w:rPr>
                <w:szCs w:val="22"/>
                <w:vertAlign w:val="superscript"/>
                <w:lang w:val="en-GB"/>
              </w:rPr>
              <w:t>B</w:t>
            </w:r>
          </w:p>
        </w:tc>
        <w:tc>
          <w:tcPr>
            <w:tcW w:w="1701" w:type="dxa"/>
            <w:shd w:val="clear" w:color="auto" w:fill="FFFFFF"/>
            <w:vAlign w:val="center"/>
          </w:tcPr>
          <w:p w14:paraId="5D244180" w14:textId="5CD13587" w:rsidR="00416DDD" w:rsidRPr="00F12EC6" w:rsidRDefault="00BD111E" w:rsidP="00121520">
            <w:pPr>
              <w:pStyle w:val="CETBodytext"/>
              <w:jc w:val="center"/>
              <w:rPr>
                <w:lang w:val="en-GB"/>
              </w:rPr>
            </w:pPr>
            <w:r w:rsidRPr="00F12EC6">
              <w:rPr>
                <w:rFonts w:cs="Arial"/>
                <w:szCs w:val="22"/>
                <w:lang w:val="en-GB"/>
              </w:rPr>
              <w:t>5.673</w:t>
            </w:r>
            <w:r w:rsidR="00416DDD" w:rsidRPr="00F12EC6">
              <w:rPr>
                <w:rFonts w:cs="Arial"/>
                <w:szCs w:val="22"/>
                <w:lang w:val="en-GB"/>
              </w:rPr>
              <w:t xml:space="preserve"> </w:t>
            </w:r>
            <w:r w:rsidR="00416DDD" w:rsidRPr="00F12EC6">
              <w:rPr>
                <w:szCs w:val="22"/>
                <w:lang w:val="en-GB"/>
              </w:rPr>
              <w:t xml:space="preserve">± </w:t>
            </w:r>
            <w:r w:rsidRPr="00F12EC6">
              <w:rPr>
                <w:szCs w:val="22"/>
                <w:lang w:val="en-GB"/>
              </w:rPr>
              <w:t>0.369</w:t>
            </w:r>
            <w:r w:rsidR="00416DDD" w:rsidRPr="00F12EC6">
              <w:rPr>
                <w:szCs w:val="22"/>
                <w:vertAlign w:val="superscript"/>
                <w:lang w:val="en-GB"/>
              </w:rPr>
              <w:t>b</w:t>
            </w:r>
          </w:p>
        </w:tc>
        <w:tc>
          <w:tcPr>
            <w:tcW w:w="1701" w:type="dxa"/>
            <w:shd w:val="clear" w:color="auto" w:fill="FFFFFF"/>
            <w:vAlign w:val="center"/>
          </w:tcPr>
          <w:p w14:paraId="52F1A62A" w14:textId="4AF0A936" w:rsidR="00416DDD" w:rsidRPr="00F12EC6" w:rsidRDefault="00416DDD" w:rsidP="00121520">
            <w:pPr>
              <w:pStyle w:val="CETBodytext"/>
              <w:jc w:val="center"/>
              <w:rPr>
                <w:lang w:val="en-GB"/>
              </w:rPr>
            </w:pPr>
            <w:r w:rsidRPr="00F12EC6">
              <w:rPr>
                <w:rFonts w:cs="Arial"/>
                <w:szCs w:val="22"/>
                <w:lang w:val="en-GB"/>
              </w:rPr>
              <w:t xml:space="preserve">0.478 </w:t>
            </w:r>
            <w:r w:rsidRPr="00F12EC6">
              <w:rPr>
                <w:szCs w:val="22"/>
                <w:lang w:val="en-GB"/>
              </w:rPr>
              <w:t>± 0.055</w:t>
            </w:r>
            <w:r w:rsidRPr="00F12EC6">
              <w:rPr>
                <w:szCs w:val="22"/>
                <w:vertAlign w:val="superscript"/>
                <w:lang w:val="en-GB"/>
              </w:rPr>
              <w:t>α</w:t>
            </w:r>
          </w:p>
        </w:tc>
        <w:tc>
          <w:tcPr>
            <w:tcW w:w="1701" w:type="dxa"/>
            <w:shd w:val="clear" w:color="auto" w:fill="FFFFFF"/>
            <w:vAlign w:val="center"/>
          </w:tcPr>
          <w:p w14:paraId="55AF73B1" w14:textId="0D98526A" w:rsidR="00416DDD" w:rsidRPr="00F12EC6" w:rsidRDefault="00416DDD" w:rsidP="00121520">
            <w:pPr>
              <w:pStyle w:val="CETBodytext"/>
              <w:jc w:val="center"/>
              <w:rPr>
                <w:lang w:val="en-GB"/>
              </w:rPr>
            </w:pPr>
            <w:r w:rsidRPr="00F12EC6">
              <w:rPr>
                <w:rFonts w:cs="Arial"/>
                <w:szCs w:val="22"/>
                <w:lang w:val="en-GB"/>
              </w:rPr>
              <w:t xml:space="preserve">0.150 </w:t>
            </w:r>
            <w:r w:rsidRPr="00F12EC6">
              <w:rPr>
                <w:szCs w:val="22"/>
                <w:lang w:val="en-GB"/>
              </w:rPr>
              <w:t>± 0.061</w:t>
            </w:r>
            <w:r w:rsidRPr="00F12EC6">
              <w:rPr>
                <w:szCs w:val="22"/>
                <w:vertAlign w:val="superscript"/>
                <w:lang w:val="en-GB"/>
              </w:rPr>
              <w:t>*</w:t>
            </w:r>
          </w:p>
        </w:tc>
      </w:tr>
      <w:tr w:rsidR="00416DDD" w:rsidRPr="00F12EC6" w14:paraId="3104CA85" w14:textId="2FBBBF09" w:rsidTr="00121520">
        <w:tc>
          <w:tcPr>
            <w:tcW w:w="1701" w:type="dxa"/>
            <w:shd w:val="clear" w:color="auto" w:fill="FFFFFF"/>
          </w:tcPr>
          <w:p w14:paraId="289025FB" w14:textId="5B223000" w:rsidR="00416DDD" w:rsidRPr="00F12EC6" w:rsidRDefault="00416DDD" w:rsidP="00121520">
            <w:pPr>
              <w:pStyle w:val="CETBodytext"/>
              <w:jc w:val="center"/>
              <w:rPr>
                <w:lang w:val="en-GB"/>
              </w:rPr>
            </w:pPr>
            <w:r w:rsidRPr="00F12EC6">
              <w:rPr>
                <w:lang w:val="en-GB"/>
              </w:rPr>
              <w:t>3.0</w:t>
            </w:r>
          </w:p>
        </w:tc>
        <w:tc>
          <w:tcPr>
            <w:tcW w:w="1701" w:type="dxa"/>
            <w:shd w:val="clear" w:color="auto" w:fill="FFFFFF"/>
          </w:tcPr>
          <w:p w14:paraId="45D588F0" w14:textId="279E5F29" w:rsidR="00416DDD" w:rsidRPr="00F12EC6" w:rsidRDefault="00416DDD" w:rsidP="00121520">
            <w:pPr>
              <w:pStyle w:val="CETBodytext"/>
              <w:jc w:val="center"/>
              <w:rPr>
                <w:lang w:val="en-GB"/>
              </w:rPr>
            </w:pPr>
            <w:r w:rsidRPr="00F12EC6">
              <w:rPr>
                <w:rFonts w:cs="Arial"/>
                <w:szCs w:val="22"/>
                <w:lang w:val="en-GB"/>
              </w:rPr>
              <w:t xml:space="preserve">1.935 </w:t>
            </w:r>
            <w:r w:rsidRPr="00F12EC6">
              <w:rPr>
                <w:szCs w:val="22"/>
                <w:lang w:val="en-GB"/>
              </w:rPr>
              <w:t>± 0.030</w:t>
            </w:r>
            <w:r w:rsidRPr="00F12EC6">
              <w:rPr>
                <w:szCs w:val="22"/>
                <w:vertAlign w:val="superscript"/>
                <w:lang w:val="en-GB"/>
              </w:rPr>
              <w:t>C</w:t>
            </w:r>
          </w:p>
        </w:tc>
        <w:tc>
          <w:tcPr>
            <w:tcW w:w="1701" w:type="dxa"/>
            <w:shd w:val="clear" w:color="auto" w:fill="FFFFFF"/>
          </w:tcPr>
          <w:p w14:paraId="3D0DE088" w14:textId="31BD2DE2" w:rsidR="00416DDD" w:rsidRPr="00F12EC6" w:rsidRDefault="00F94B5A" w:rsidP="00121520">
            <w:pPr>
              <w:pStyle w:val="CETBodytext"/>
              <w:jc w:val="center"/>
              <w:rPr>
                <w:lang w:val="en-GB"/>
              </w:rPr>
            </w:pPr>
            <w:r w:rsidRPr="00F12EC6">
              <w:rPr>
                <w:rFonts w:cs="Arial"/>
                <w:szCs w:val="22"/>
                <w:lang w:val="en-GB"/>
              </w:rPr>
              <w:t>7.658</w:t>
            </w:r>
            <w:r w:rsidR="00416DDD" w:rsidRPr="00F12EC6">
              <w:rPr>
                <w:rFonts w:cs="Arial"/>
                <w:szCs w:val="22"/>
                <w:lang w:val="en-GB"/>
              </w:rPr>
              <w:t xml:space="preserve"> </w:t>
            </w:r>
            <w:r w:rsidR="00416DDD" w:rsidRPr="00F12EC6">
              <w:rPr>
                <w:szCs w:val="22"/>
                <w:lang w:val="en-GB"/>
              </w:rPr>
              <w:t xml:space="preserve">± </w:t>
            </w:r>
            <w:r w:rsidRPr="00F12EC6">
              <w:rPr>
                <w:szCs w:val="22"/>
                <w:lang w:val="en-GB"/>
              </w:rPr>
              <w:t>0.498</w:t>
            </w:r>
            <w:r w:rsidR="00416DDD" w:rsidRPr="00F12EC6">
              <w:rPr>
                <w:szCs w:val="22"/>
                <w:vertAlign w:val="superscript"/>
                <w:lang w:val="en-GB"/>
              </w:rPr>
              <w:t>c</w:t>
            </w:r>
          </w:p>
        </w:tc>
        <w:tc>
          <w:tcPr>
            <w:tcW w:w="1701" w:type="dxa"/>
            <w:shd w:val="clear" w:color="auto" w:fill="FFFFFF"/>
          </w:tcPr>
          <w:p w14:paraId="586B8CC8" w14:textId="2A0868F0" w:rsidR="00416DDD" w:rsidRPr="00F12EC6" w:rsidRDefault="00416DDD" w:rsidP="00121520">
            <w:pPr>
              <w:pStyle w:val="CETBodytext"/>
              <w:jc w:val="center"/>
              <w:rPr>
                <w:lang w:val="en-GB"/>
              </w:rPr>
            </w:pPr>
            <w:r w:rsidRPr="00F12EC6">
              <w:rPr>
                <w:rFonts w:cs="Arial"/>
                <w:szCs w:val="22"/>
                <w:lang w:val="en-GB"/>
              </w:rPr>
              <w:t xml:space="preserve">0.450 </w:t>
            </w:r>
            <w:r w:rsidRPr="00F12EC6">
              <w:rPr>
                <w:szCs w:val="22"/>
                <w:lang w:val="en-GB"/>
              </w:rPr>
              <w:t>± 0.020</w:t>
            </w:r>
            <w:r w:rsidRPr="00F12EC6">
              <w:rPr>
                <w:szCs w:val="22"/>
                <w:vertAlign w:val="superscript"/>
                <w:lang w:val="en-GB"/>
              </w:rPr>
              <w:t>α</w:t>
            </w:r>
          </w:p>
        </w:tc>
        <w:tc>
          <w:tcPr>
            <w:tcW w:w="1701" w:type="dxa"/>
            <w:shd w:val="clear" w:color="auto" w:fill="FFFFFF"/>
          </w:tcPr>
          <w:p w14:paraId="509C7CA2" w14:textId="1B96E5E8" w:rsidR="00416DDD" w:rsidRPr="00F12EC6" w:rsidRDefault="005031C0" w:rsidP="00121520">
            <w:pPr>
              <w:pStyle w:val="CETBodytext"/>
              <w:jc w:val="center"/>
              <w:rPr>
                <w:lang w:val="en-GB"/>
              </w:rPr>
            </w:pPr>
            <w:r w:rsidRPr="00F12EC6">
              <w:rPr>
                <w:rFonts w:cs="Arial"/>
                <w:szCs w:val="22"/>
                <w:lang w:val="en-GB"/>
              </w:rPr>
              <w:t>0.</w:t>
            </w:r>
            <w:r w:rsidR="00016455">
              <w:rPr>
                <w:rFonts w:cs="Arial"/>
                <w:szCs w:val="22"/>
                <w:lang w:val="en-GB"/>
              </w:rPr>
              <w:t>011</w:t>
            </w:r>
            <w:r w:rsidRPr="00F12EC6">
              <w:rPr>
                <w:rFonts w:cs="Arial"/>
                <w:szCs w:val="22"/>
                <w:lang w:val="en-GB"/>
              </w:rPr>
              <w:t xml:space="preserve"> </w:t>
            </w:r>
            <w:r w:rsidRPr="00F12EC6">
              <w:rPr>
                <w:szCs w:val="22"/>
                <w:lang w:val="en-GB"/>
              </w:rPr>
              <w:t>± 0.0</w:t>
            </w:r>
            <w:r w:rsidR="00016455">
              <w:rPr>
                <w:szCs w:val="22"/>
                <w:lang w:val="en-GB"/>
              </w:rPr>
              <w:t>10</w:t>
            </w:r>
            <w:r w:rsidRPr="00F12EC6">
              <w:rPr>
                <w:szCs w:val="22"/>
                <w:vertAlign w:val="superscript"/>
                <w:lang w:val="en-GB"/>
              </w:rPr>
              <w:t>*</w:t>
            </w:r>
            <w:r w:rsidR="00016455">
              <w:rPr>
                <w:szCs w:val="22"/>
                <w:vertAlign w:val="superscript"/>
                <w:lang w:val="en-GB"/>
              </w:rPr>
              <w:t>*</w:t>
            </w:r>
          </w:p>
        </w:tc>
      </w:tr>
      <w:tr w:rsidR="00416DDD" w:rsidRPr="00F12EC6" w14:paraId="2DB68163" w14:textId="663B8534" w:rsidTr="00121520">
        <w:tc>
          <w:tcPr>
            <w:tcW w:w="1701" w:type="dxa"/>
            <w:shd w:val="clear" w:color="auto" w:fill="FFFFFF"/>
          </w:tcPr>
          <w:p w14:paraId="1FDA1F71" w14:textId="3063CB61" w:rsidR="00416DDD" w:rsidRPr="00F12EC6" w:rsidRDefault="00416DDD" w:rsidP="00121520">
            <w:pPr>
              <w:pStyle w:val="CETBodytext"/>
              <w:jc w:val="center"/>
              <w:rPr>
                <w:lang w:val="en-GB"/>
              </w:rPr>
            </w:pPr>
            <w:r w:rsidRPr="00F12EC6">
              <w:rPr>
                <w:lang w:val="en-GB"/>
              </w:rPr>
              <w:t>5.0</w:t>
            </w:r>
          </w:p>
        </w:tc>
        <w:tc>
          <w:tcPr>
            <w:tcW w:w="1701" w:type="dxa"/>
            <w:shd w:val="clear" w:color="auto" w:fill="FFFFFF"/>
          </w:tcPr>
          <w:p w14:paraId="4D614D74" w14:textId="05D5E561" w:rsidR="00416DDD" w:rsidRPr="00F12EC6" w:rsidRDefault="00416DDD" w:rsidP="00121520">
            <w:pPr>
              <w:pStyle w:val="CETBodytext"/>
              <w:jc w:val="center"/>
              <w:rPr>
                <w:lang w:val="en-GB"/>
              </w:rPr>
            </w:pPr>
            <w:r w:rsidRPr="00F12EC6">
              <w:rPr>
                <w:rFonts w:cs="Arial"/>
                <w:szCs w:val="22"/>
                <w:lang w:val="en-GB"/>
              </w:rPr>
              <w:t xml:space="preserve">2.068 </w:t>
            </w:r>
            <w:r w:rsidRPr="00F12EC6">
              <w:rPr>
                <w:szCs w:val="22"/>
                <w:lang w:val="en-GB"/>
              </w:rPr>
              <w:t>± 0.083</w:t>
            </w:r>
            <w:r w:rsidRPr="00F12EC6">
              <w:rPr>
                <w:szCs w:val="22"/>
                <w:vertAlign w:val="superscript"/>
                <w:lang w:val="en-GB"/>
              </w:rPr>
              <w:t>D</w:t>
            </w:r>
          </w:p>
        </w:tc>
        <w:tc>
          <w:tcPr>
            <w:tcW w:w="1701" w:type="dxa"/>
            <w:shd w:val="clear" w:color="auto" w:fill="FFFFFF"/>
          </w:tcPr>
          <w:p w14:paraId="0DF504B3" w14:textId="3528F274" w:rsidR="00416DDD" w:rsidRPr="00F12EC6" w:rsidRDefault="001005D4" w:rsidP="00121520">
            <w:pPr>
              <w:pStyle w:val="CETBodytext"/>
              <w:jc w:val="center"/>
              <w:rPr>
                <w:lang w:val="en-GB"/>
              </w:rPr>
            </w:pPr>
            <w:r>
              <w:rPr>
                <w:rFonts w:cs="Arial"/>
                <w:szCs w:val="22"/>
                <w:lang w:val="en-GB"/>
              </w:rPr>
              <w:t>5.413</w:t>
            </w:r>
            <w:r w:rsidR="00416DDD" w:rsidRPr="00F12EC6">
              <w:rPr>
                <w:rFonts w:cs="Arial"/>
                <w:szCs w:val="22"/>
                <w:lang w:val="en-GB"/>
              </w:rPr>
              <w:t xml:space="preserve"> </w:t>
            </w:r>
            <w:r w:rsidR="00416DDD" w:rsidRPr="00F12EC6">
              <w:rPr>
                <w:szCs w:val="22"/>
                <w:lang w:val="en-GB"/>
              </w:rPr>
              <w:t xml:space="preserve">± </w:t>
            </w:r>
            <w:r w:rsidR="00F94B5A" w:rsidRPr="00F12EC6">
              <w:rPr>
                <w:szCs w:val="22"/>
                <w:lang w:val="en-GB"/>
              </w:rPr>
              <w:t>0.</w:t>
            </w:r>
            <w:r>
              <w:rPr>
                <w:szCs w:val="22"/>
                <w:lang w:val="en-GB"/>
              </w:rPr>
              <w:t>293</w:t>
            </w:r>
            <w:r w:rsidR="00416DDD" w:rsidRPr="00F12EC6">
              <w:rPr>
                <w:szCs w:val="22"/>
                <w:vertAlign w:val="superscript"/>
                <w:lang w:val="en-GB"/>
              </w:rPr>
              <w:t>b</w:t>
            </w:r>
          </w:p>
        </w:tc>
        <w:tc>
          <w:tcPr>
            <w:tcW w:w="1701" w:type="dxa"/>
            <w:shd w:val="clear" w:color="auto" w:fill="FFFFFF"/>
          </w:tcPr>
          <w:p w14:paraId="0BC207EB" w14:textId="5ABFE297" w:rsidR="00416DDD" w:rsidRPr="00F12EC6" w:rsidRDefault="00416DDD" w:rsidP="00121520">
            <w:pPr>
              <w:pStyle w:val="CETBodytext"/>
              <w:jc w:val="center"/>
              <w:rPr>
                <w:lang w:val="en-GB"/>
              </w:rPr>
            </w:pPr>
            <w:r w:rsidRPr="00F12EC6">
              <w:rPr>
                <w:rFonts w:cs="Arial"/>
                <w:szCs w:val="22"/>
                <w:lang w:val="en-GB"/>
              </w:rPr>
              <w:t xml:space="preserve">0.432 </w:t>
            </w:r>
            <w:r w:rsidRPr="00F12EC6">
              <w:rPr>
                <w:szCs w:val="22"/>
                <w:lang w:val="en-GB"/>
              </w:rPr>
              <w:t>± 0.004</w:t>
            </w:r>
            <w:r w:rsidRPr="00F12EC6">
              <w:rPr>
                <w:szCs w:val="22"/>
                <w:vertAlign w:val="superscript"/>
                <w:lang w:val="en-GB"/>
              </w:rPr>
              <w:t>α</w:t>
            </w:r>
          </w:p>
        </w:tc>
        <w:tc>
          <w:tcPr>
            <w:tcW w:w="1701" w:type="dxa"/>
            <w:shd w:val="clear" w:color="auto" w:fill="FFFFFF"/>
          </w:tcPr>
          <w:p w14:paraId="1472161A" w14:textId="06FEAE88" w:rsidR="00416DDD" w:rsidRPr="00F12EC6" w:rsidRDefault="00416DDD" w:rsidP="00121520">
            <w:pPr>
              <w:pStyle w:val="CETBodytext"/>
              <w:jc w:val="center"/>
              <w:rPr>
                <w:lang w:val="en-GB"/>
              </w:rPr>
            </w:pPr>
            <w:r w:rsidRPr="00F12EC6">
              <w:rPr>
                <w:rFonts w:cs="Arial"/>
                <w:szCs w:val="22"/>
                <w:lang w:val="en-GB"/>
              </w:rPr>
              <w:t xml:space="preserve">0.077 </w:t>
            </w:r>
            <w:r w:rsidRPr="00F12EC6">
              <w:rPr>
                <w:szCs w:val="22"/>
                <w:lang w:val="en-GB"/>
              </w:rPr>
              <w:t>± 0.031</w:t>
            </w:r>
            <w:r w:rsidRPr="00F12EC6">
              <w:rPr>
                <w:szCs w:val="22"/>
                <w:vertAlign w:val="superscript"/>
                <w:lang w:val="en-GB"/>
              </w:rPr>
              <w:t>**</w:t>
            </w:r>
            <w:r w:rsidR="00016455">
              <w:rPr>
                <w:szCs w:val="22"/>
                <w:vertAlign w:val="superscript"/>
                <w:lang w:val="en-GB"/>
              </w:rPr>
              <w:t>*</w:t>
            </w:r>
          </w:p>
        </w:tc>
      </w:tr>
    </w:tbl>
    <w:p w14:paraId="312F0893" w14:textId="77777777" w:rsidR="009A03C5" w:rsidRPr="00F12EC6" w:rsidRDefault="009A03C5" w:rsidP="009A03C5">
      <w:pPr>
        <w:pStyle w:val="CETBodytext"/>
        <w:rPr>
          <w:lang w:val="en-GB"/>
        </w:rPr>
      </w:pPr>
    </w:p>
    <w:p w14:paraId="5769F4AD" w14:textId="0BE9516E" w:rsidR="00295BE7" w:rsidRPr="00F12EC6" w:rsidRDefault="009A03C5" w:rsidP="00A13812">
      <w:pPr>
        <w:pStyle w:val="CETBodytext"/>
        <w:rPr>
          <w:lang w:val="en-GB"/>
        </w:rPr>
      </w:pPr>
      <w:r w:rsidRPr="00F12EC6">
        <w:rPr>
          <w:lang w:val="en-GB"/>
        </w:rPr>
        <w:t>As observed for all tested conditions, the measured environmental pH resulted to be significantly lower from the starting ones, with the trend clearly shown in Figure</w:t>
      </w:r>
      <w:r w:rsidR="00543E8A">
        <w:rPr>
          <w:lang w:val="en-GB"/>
        </w:rPr>
        <w:t xml:space="preserve"> </w:t>
      </w:r>
      <w:r w:rsidR="00951429">
        <w:rPr>
          <w:lang w:val="en-GB"/>
        </w:rPr>
        <w:t>1</w:t>
      </w:r>
      <w:r w:rsidRPr="00F12EC6">
        <w:rPr>
          <w:lang w:val="en-GB"/>
        </w:rPr>
        <w:t>. Additionally, as the nominally expected environment pH values increase monotonically with the inlet ones, also the actual pH seems to follow a similar pattern. This can be attributed to both biological and physical phenomena occurring within the cultivation environment. Firstly, since the species is cultivated heterotrophically, the exploited metabolism involves the release of CO</w:t>
      </w:r>
      <w:r w:rsidRPr="003A73BD">
        <w:rPr>
          <w:vertAlign w:val="subscript"/>
          <w:lang w:val="en-GB"/>
        </w:rPr>
        <w:t>2</w:t>
      </w:r>
      <w:r w:rsidRPr="00F12EC6">
        <w:rPr>
          <w:lang w:val="en-GB"/>
        </w:rPr>
        <w:t xml:space="preserve"> with organic carbon assimilation in the culture environment</w:t>
      </w:r>
      <w:r w:rsidR="00E8752C">
        <w:rPr>
          <w:lang w:val="en-GB"/>
        </w:rPr>
        <w:t xml:space="preserve">, as reported in the review by </w:t>
      </w:r>
      <w:sdt>
        <w:sdtPr>
          <w:rPr>
            <w:rFonts w:cs="Arial"/>
            <w:color w:val="000000"/>
            <w:lang w:val="en-GB"/>
          </w:rPr>
          <w:tag w:val="MENDELEY_CITATION_v3_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"/>
          <w:id w:val="1681396172"/>
          <w:placeholder>
            <w:docPart w:val="DefaultPlaceholder_-1854013440"/>
          </w:placeholder>
        </w:sdtPr>
        <w:sdtContent>
          <w:r w:rsidR="00B00328" w:rsidRPr="00B00328">
            <w:rPr>
              <w:rFonts w:cs="Arial"/>
              <w:color w:val="000000"/>
              <w:lang w:val="en-GB"/>
            </w:rPr>
            <w:t>Perez-Garcia et al. (2011)</w:t>
          </w:r>
        </w:sdtContent>
      </w:sdt>
      <w:r w:rsidRPr="00F12EC6">
        <w:rPr>
          <w:lang w:val="en-GB"/>
        </w:rPr>
        <w:t>. Then, part of this released CO</w:t>
      </w:r>
      <w:r w:rsidRPr="003A73BD">
        <w:rPr>
          <w:vertAlign w:val="subscript"/>
          <w:lang w:val="en-GB"/>
        </w:rPr>
        <w:t>2</w:t>
      </w:r>
      <w:r w:rsidRPr="00F12EC6">
        <w:rPr>
          <w:lang w:val="en-GB"/>
        </w:rPr>
        <w:t xml:space="preserve"> can solubilise into the system according to the equilibrium reaction </w:t>
      </w:r>
      <w:r w:rsidR="00B8471F">
        <w:rPr>
          <w:lang w:val="en-GB"/>
        </w:rPr>
        <w:t xml:space="preserve">in </w:t>
      </w:r>
      <w:proofErr w:type="spellStart"/>
      <w:proofErr w:type="gramStart"/>
      <w:r w:rsidR="00B8471F">
        <w:rPr>
          <w:lang w:val="en-GB"/>
        </w:rPr>
        <w:t>Eq</w:t>
      </w:r>
      <w:proofErr w:type="spellEnd"/>
      <w:r w:rsidR="00B8471F">
        <w:rPr>
          <w:lang w:val="en-GB"/>
        </w:rPr>
        <w:t>(</w:t>
      </w:r>
      <w:proofErr w:type="gramEnd"/>
      <w:r w:rsidR="00130DFF">
        <w:rPr>
          <w:lang w:val="en-GB"/>
        </w:rPr>
        <w:t>4</w:t>
      </w:r>
      <w:r w:rsidR="00B8471F">
        <w:rPr>
          <w:lang w:val="en-GB"/>
        </w:rPr>
        <w:t>)</w:t>
      </w:r>
      <w:r w:rsidRPr="00F12EC6">
        <w:rPr>
          <w:lang w:val="en-GB"/>
        </w:rPr>
        <w:t>, providing the further acidification of the environment due to the release of free protons.</w:t>
      </w:r>
    </w:p>
    <w:tbl>
      <w:tblPr>
        <w:tblW w:w="5000" w:type="pct"/>
        <w:tblLook w:val="04A0" w:firstRow="1" w:lastRow="0" w:firstColumn="1" w:lastColumn="0" w:noHBand="0" w:noVBand="1"/>
      </w:tblPr>
      <w:tblGrid>
        <w:gridCol w:w="7982"/>
        <w:gridCol w:w="805"/>
      </w:tblGrid>
      <w:tr w:rsidR="00B8471F" w:rsidRPr="00B57B36" w14:paraId="2917B589" w14:textId="77777777" w:rsidTr="005A3441">
        <w:tc>
          <w:tcPr>
            <w:tcW w:w="8188" w:type="dxa"/>
            <w:vAlign w:val="center"/>
          </w:tcPr>
          <w:p w14:paraId="4F80DD10" w14:textId="0156FA34" w:rsidR="00B8471F" w:rsidRPr="005E0108" w:rsidRDefault="00763EC3" w:rsidP="005E0108">
            <w:pPr>
              <w:pStyle w:val="CETEquation"/>
            </w:pPr>
            <w:r w:rsidRPr="005E0108">
              <w:t>CO</w:t>
            </w:r>
            <w:r w:rsidRPr="005E0108">
              <w:rPr>
                <w:vertAlign w:val="subscript"/>
              </w:rPr>
              <w:t>2</w:t>
            </w:r>
            <w:r w:rsidRPr="005E0108">
              <w:t xml:space="preserve"> + H</w:t>
            </w:r>
            <w:r w:rsidRPr="005E0108">
              <w:rPr>
                <w:vertAlign w:val="subscript"/>
              </w:rPr>
              <w:t>2</w:t>
            </w:r>
            <w:r w:rsidR="005E0108">
              <w:t>O</w:t>
            </w:r>
            <w:r w:rsidRPr="005E0108">
              <w:t xml:space="preserve"> </w:t>
            </w:r>
            <w:r w:rsidR="005332A2" w:rsidRPr="005E0108">
              <w:t>↔ H</w:t>
            </w:r>
            <w:r w:rsidR="005332A2" w:rsidRPr="005E0108">
              <w:rPr>
                <w:vertAlign w:val="subscript"/>
              </w:rPr>
              <w:t>2</w:t>
            </w:r>
            <w:r w:rsidR="005332A2" w:rsidRPr="005E0108">
              <w:t>CO</w:t>
            </w:r>
            <w:r w:rsidR="005332A2" w:rsidRPr="005E0108">
              <w:rPr>
                <w:vertAlign w:val="subscript"/>
              </w:rPr>
              <w:t>3</w:t>
            </w:r>
            <w:r w:rsidR="005332A2" w:rsidRPr="005E0108">
              <w:t xml:space="preserve"> ↔ </w:t>
            </w:r>
            <w:r w:rsidR="005E0108" w:rsidRPr="005E0108">
              <w:t>H</w:t>
            </w:r>
            <w:r w:rsidR="005E0108" w:rsidRPr="005E0108">
              <w:rPr>
                <w:vertAlign w:val="superscript"/>
              </w:rPr>
              <w:t>+</w:t>
            </w:r>
            <w:r w:rsidR="005E0108" w:rsidRPr="005E0108">
              <w:t xml:space="preserve"> + HCO</w:t>
            </w:r>
            <w:r w:rsidR="005E0108" w:rsidRPr="005E0108">
              <w:rPr>
                <w:vertAlign w:val="subscript"/>
              </w:rPr>
              <w:t>3</w:t>
            </w:r>
            <w:r w:rsidR="005E0108" w:rsidRPr="005E0108">
              <w:rPr>
                <w:vertAlign w:val="superscript"/>
              </w:rPr>
              <w:t>-</w:t>
            </w:r>
          </w:p>
        </w:tc>
        <w:tc>
          <w:tcPr>
            <w:tcW w:w="815" w:type="dxa"/>
            <w:vAlign w:val="center"/>
          </w:tcPr>
          <w:p w14:paraId="1DADA175" w14:textId="0ECF5336" w:rsidR="00B8471F" w:rsidRPr="00B57B36" w:rsidRDefault="00417F56" w:rsidP="005A3441">
            <w:pPr>
              <w:pStyle w:val="CETEquation"/>
              <w:jc w:val="right"/>
            </w:pPr>
            <w:r>
              <w:t xml:space="preserve">   </w:t>
            </w:r>
            <w:r w:rsidR="00B8471F" w:rsidRPr="00B57B36">
              <w:t>(</w:t>
            </w:r>
            <w:r w:rsidR="00130DFF">
              <w:t>4</w:t>
            </w:r>
            <w:r w:rsidR="00B8471F" w:rsidRPr="00B57B36">
              <w:t>)</w:t>
            </w:r>
          </w:p>
        </w:tc>
      </w:tr>
    </w:tbl>
    <w:p w14:paraId="62B232F2" w14:textId="76782BE9" w:rsidR="009A03C5" w:rsidRPr="00F12EC6" w:rsidRDefault="00EA0471" w:rsidP="009A03C5">
      <w:pPr>
        <w:pStyle w:val="CETBodytext"/>
        <w:rPr>
          <w:lang w:val="en-GB"/>
        </w:rPr>
      </w:pPr>
      <w:r>
        <w:rPr>
          <w:lang w:val="en-GB"/>
        </w:rPr>
        <w:t>As extensively discussed by</w:t>
      </w:r>
      <w:r w:rsidR="009A03C5" w:rsidRPr="00F12EC6">
        <w:rPr>
          <w:lang w:val="en-GB"/>
        </w:rPr>
        <w:t xml:space="preserve"> </w:t>
      </w:r>
      <w:sdt>
        <w:sdtPr>
          <w:rPr>
            <w:rFonts w:cs="Arial"/>
            <w:color w:val="000000"/>
            <w:lang w:val="en-GB"/>
          </w:rPr>
          <w:tag w:val="MENDELEY_CITATION_v3_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"/>
          <w:id w:val="-407313969"/>
          <w:placeholder>
            <w:docPart w:val="DefaultPlaceholder_-1854013440"/>
          </w:placeholder>
        </w:sdtPr>
        <w:sdtContent>
          <w:proofErr w:type="spellStart"/>
          <w:r w:rsidR="00B00328" w:rsidRPr="00B00328">
            <w:rPr>
              <w:rFonts w:cs="Arial"/>
              <w:color w:val="000000"/>
              <w:lang w:val="en-GB"/>
            </w:rPr>
            <w:t>Zeebe</w:t>
          </w:r>
          <w:proofErr w:type="spellEnd"/>
          <w:r w:rsidR="00B00328" w:rsidRPr="00B00328">
            <w:rPr>
              <w:rFonts w:cs="Arial"/>
              <w:color w:val="000000"/>
              <w:lang w:val="en-GB"/>
            </w:rPr>
            <w:t xml:space="preserve"> and Wolf-</w:t>
          </w:r>
          <w:proofErr w:type="spellStart"/>
          <w:r w:rsidR="00B00328" w:rsidRPr="00B00328">
            <w:rPr>
              <w:rFonts w:cs="Arial"/>
              <w:color w:val="000000"/>
              <w:lang w:val="en-GB"/>
            </w:rPr>
            <w:t>Gladrow</w:t>
          </w:r>
          <w:proofErr w:type="spellEnd"/>
          <w:r w:rsidR="00B00328" w:rsidRPr="00B00328">
            <w:rPr>
              <w:rFonts w:cs="Arial"/>
              <w:color w:val="000000"/>
              <w:lang w:val="en-GB"/>
            </w:rPr>
            <w:t xml:space="preserve"> (2001)</w:t>
          </w:r>
        </w:sdtContent>
      </w:sdt>
      <w:r w:rsidR="00705647">
        <w:rPr>
          <w:lang w:val="en-GB"/>
        </w:rPr>
        <w:t xml:space="preserve">, the </w:t>
      </w:r>
      <w:r w:rsidR="009A03C5" w:rsidRPr="00F12EC6">
        <w:rPr>
          <w:lang w:val="en-GB"/>
        </w:rPr>
        <w:t xml:space="preserve">different extent of pH decrease observed at increasing inlet pH values can be attributed to the logarithmic nature of the pH scale, which results in a non-linear acidification response at low proton concentrations. At very low values, increasingly larger amounts of protons are required to achieve the same pH change, resulting in the non-linear acidification response that can be appreciated in Figure </w:t>
      </w:r>
      <w:r w:rsidR="00705647">
        <w:rPr>
          <w:lang w:val="en-GB"/>
        </w:rPr>
        <w:t>1</w:t>
      </w:r>
      <w:r w:rsidR="009A03C5" w:rsidRPr="00F12EC6">
        <w:rPr>
          <w:lang w:val="en-GB"/>
        </w:rPr>
        <w:t>. For the rest of this section, the results discussion will be done with respect to the experimental environment pH levels collected.</w:t>
      </w:r>
    </w:p>
    <w:p w14:paraId="6959553D" w14:textId="70CF3C1D" w:rsidR="009A03C5" w:rsidRPr="00F12EC6" w:rsidRDefault="009A03C5" w:rsidP="009A03C5">
      <w:pPr>
        <w:pStyle w:val="CETBodytext"/>
        <w:rPr>
          <w:lang w:val="en-GB"/>
        </w:rPr>
      </w:pPr>
      <w:r w:rsidRPr="00F12EC6">
        <w:rPr>
          <w:lang w:val="en-GB"/>
        </w:rPr>
        <w:t xml:space="preserve"> </w:t>
      </w:r>
      <w:r w:rsidR="00D43145">
        <w:rPr>
          <w:noProof/>
          <w:lang w:val="en-GB"/>
        </w:rPr>
        <w:drawing>
          <wp:inline distT="0" distB="0" distL="0" distR="0" wp14:anchorId="3E0AF531" wp14:editId="0CBEDE66">
            <wp:extent cx="2555913" cy="2241968"/>
            <wp:effectExtent l="0" t="0" r="0" b="6350"/>
            <wp:docPr id="1092343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43792" name="Picture 1"/>
                    <pic:cNvPicPr>
                      <a:picLocks noChangeAspect="1" noChangeArrowheads="1"/>
                    </pic:cNvPicPr>
                  </pic:nvPicPr>
                  <pic:blipFill>
                    <a:blip r:embed="rId11"/>
                    <a:stretch>
                      <a:fillRect/>
                    </a:stretch>
                  </pic:blipFill>
                  <pic:spPr bwMode="auto">
                    <a:xfrm>
                      <a:off x="0" y="0"/>
                      <a:ext cx="2560101" cy="2245642"/>
                    </a:xfrm>
                    <a:prstGeom prst="rect">
                      <a:avLst/>
                    </a:prstGeom>
                    <a:noFill/>
                    <a:ln>
                      <a:noFill/>
                    </a:ln>
                  </pic:spPr>
                </pic:pic>
              </a:graphicData>
            </a:graphic>
          </wp:inline>
        </w:drawing>
      </w:r>
    </w:p>
    <w:p w14:paraId="2327F182" w14:textId="124A7F9C" w:rsidR="009A03C5" w:rsidRPr="00F12EC6" w:rsidRDefault="009A03C5" w:rsidP="00E25B14">
      <w:pPr>
        <w:pStyle w:val="CETCaption"/>
      </w:pPr>
      <w:r w:rsidRPr="00F12EC6">
        <w:t xml:space="preserve">Figure </w:t>
      </w:r>
      <w:r w:rsidR="00F60F2C">
        <w:t>1:</w:t>
      </w:r>
      <w:r w:rsidRPr="00F12EC6">
        <w:t xml:space="preserve"> Comparison between expected and measured environment pH values for each tested medium inlet pH levels. Letters refer to the statistical analysis on measured </w:t>
      </w:r>
      <w:r w:rsidR="00345453">
        <w:t>environment pH values</w:t>
      </w:r>
      <w:r w:rsidRPr="00F12EC6">
        <w:t>. Data that do not share a letter are statistically different.</w:t>
      </w:r>
    </w:p>
    <w:p w14:paraId="4E68D4BA" w14:textId="3F488946" w:rsidR="009A03C5" w:rsidRPr="00F12EC6" w:rsidRDefault="009A03C5" w:rsidP="009A03C5">
      <w:pPr>
        <w:pStyle w:val="CETBodytext"/>
        <w:rPr>
          <w:lang w:val="en-GB"/>
        </w:rPr>
      </w:pPr>
      <w:r w:rsidRPr="00F12EC6">
        <w:rPr>
          <w:lang w:val="en-GB"/>
        </w:rPr>
        <w:lastRenderedPageBreak/>
        <w:t xml:space="preserve">The trends for the abovementioned experimental outputs collected are presented in Figure </w:t>
      </w:r>
      <w:r w:rsidR="00270651">
        <w:rPr>
          <w:lang w:val="en-GB"/>
        </w:rPr>
        <w:t>2</w:t>
      </w:r>
      <w:r w:rsidRPr="00F12EC6">
        <w:rPr>
          <w:lang w:val="en-GB"/>
        </w:rPr>
        <w:t xml:space="preserve">. Starting from the biomass </w:t>
      </w:r>
      <w:r w:rsidR="00B80A9D">
        <w:rPr>
          <w:lang w:val="en-GB"/>
        </w:rPr>
        <w:t>concentration</w:t>
      </w:r>
      <w:r w:rsidRPr="00F12EC6">
        <w:rPr>
          <w:lang w:val="en-GB"/>
        </w:rPr>
        <w:t xml:space="preserve"> trend, the discussion is analogous to temperature dependency on growth: away from the optimal range growth performances are reduced, resulting in a bell-shaped curve </w:t>
      </w:r>
      <w:sdt>
        <w:sdtPr>
          <w:rPr>
            <w:rFonts w:cs="Arial"/>
            <w:color w:val="000000"/>
            <w:lang w:val="en-GB"/>
          </w:rPr>
          <w:tag w:val="MENDELEY_CITATION_v3_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"/>
          <w:id w:val="1417828498"/>
          <w:placeholder>
            <w:docPart w:val="DefaultPlaceholder_-1854013440"/>
          </w:placeholder>
        </w:sdtPr>
        <w:sdtContent>
          <w:r w:rsidR="00B00328" w:rsidRPr="00B00328">
            <w:rPr>
              <w:rFonts w:cs="Arial"/>
              <w:color w:val="000000"/>
              <w:lang w:val="en-GB"/>
            </w:rPr>
            <w:t>(Hata et al., 2001)</w:t>
          </w:r>
        </w:sdtContent>
      </w:sdt>
      <w:r w:rsidRPr="00F12EC6">
        <w:rPr>
          <w:lang w:val="en-GB"/>
        </w:rPr>
        <w:t>. In this specific case, the optimal region appears to be quite narrow, i.e. around 1.9, with even slight variations in pH, such as ±7</w:t>
      </w:r>
      <w:r w:rsidR="007245D0">
        <w:rPr>
          <w:lang w:val="en-GB"/>
        </w:rPr>
        <w:t xml:space="preserve"> </w:t>
      </w:r>
      <w:r w:rsidRPr="00F12EC6">
        <w:rPr>
          <w:lang w:val="en-GB"/>
        </w:rPr>
        <w:t xml:space="preserve">% approximately, inducing </w:t>
      </w:r>
      <w:r w:rsidR="00B80A9D">
        <w:rPr>
          <w:lang w:val="en-GB"/>
        </w:rPr>
        <w:t>cultivation performance</w:t>
      </w:r>
      <w:r w:rsidRPr="00F12EC6">
        <w:rPr>
          <w:lang w:val="en-GB"/>
        </w:rPr>
        <w:t xml:space="preserve"> drops by also -26</w:t>
      </w:r>
      <w:r w:rsidR="007245D0">
        <w:rPr>
          <w:lang w:val="en-GB"/>
        </w:rPr>
        <w:t xml:space="preserve"> </w:t>
      </w:r>
      <w:r w:rsidRPr="00F12EC6">
        <w:rPr>
          <w:lang w:val="en-GB"/>
        </w:rPr>
        <w:t>%. Neverth</w:t>
      </w:r>
      <w:r w:rsidR="0088722C">
        <w:rPr>
          <w:lang w:val="en-GB"/>
        </w:rPr>
        <w:t>e</w:t>
      </w:r>
      <w:r w:rsidRPr="00F12EC6">
        <w:rPr>
          <w:lang w:val="en-GB"/>
        </w:rPr>
        <w:t xml:space="preserve">less, within the tested pH range, all the experiments reported satisfying </w:t>
      </w:r>
      <w:r w:rsidR="005112E2">
        <w:rPr>
          <w:lang w:val="en-GB"/>
        </w:rPr>
        <w:t xml:space="preserve">cultivation </w:t>
      </w:r>
      <w:r w:rsidR="007C125B">
        <w:rPr>
          <w:lang w:val="en-GB"/>
        </w:rPr>
        <w:t>outcomes</w:t>
      </w:r>
      <w:r w:rsidRPr="00F12EC6">
        <w:rPr>
          <w:lang w:val="en-GB"/>
        </w:rPr>
        <w:t xml:space="preserve">, confirming once more the species capability to thrive in acidic environments. From the TOC analyses some considerations can be also proposed on derived yield metrics. </w:t>
      </w:r>
      <w:r w:rsidR="0046460A">
        <w:rPr>
          <w:lang w:val="en-GB"/>
        </w:rPr>
        <w:t>As expected</w:t>
      </w:r>
      <w:r w:rsidRPr="00F12EC6">
        <w:rPr>
          <w:lang w:val="en-GB"/>
        </w:rPr>
        <w:t>, data on the amount of carbon within biomass</w:t>
      </w:r>
      <w:r w:rsidR="005112E2">
        <w:rPr>
          <w:lang w:val="en-GB"/>
        </w:rPr>
        <w:t>, i.e.</w:t>
      </w:r>
      <w:r w:rsidR="005E0108" w:rsidRPr="005E0108">
        <w:t xml:space="preserve"> </w:t>
      </w:r>
      <w:r w:rsidR="005E0108">
        <w:t>Y</w:t>
      </w:r>
      <w:r w:rsidR="005E0108" w:rsidRPr="000862A6">
        <w:rPr>
          <w:vertAlign w:val="subscript"/>
        </w:rPr>
        <w:t>C/</w:t>
      </w:r>
      <w:proofErr w:type="spellStart"/>
      <w:proofErr w:type="gramStart"/>
      <w:r w:rsidR="005E0108" w:rsidRPr="000862A6">
        <w:rPr>
          <w:vertAlign w:val="subscript"/>
        </w:rPr>
        <w:t>X,</w:t>
      </w:r>
      <w:r w:rsidR="005E0108">
        <w:rPr>
          <w:vertAlign w:val="subscript"/>
        </w:rPr>
        <w:t>growth</w:t>
      </w:r>
      <w:proofErr w:type="spellEnd"/>
      <w:proofErr w:type="gramEnd"/>
      <w:r w:rsidR="005112E2">
        <w:rPr>
          <w:lang w:val="en-GB"/>
        </w:rPr>
        <w:t>,</w:t>
      </w:r>
      <w:r w:rsidRPr="00F12EC6">
        <w:rPr>
          <w:lang w:val="en-GB"/>
        </w:rPr>
        <w:t xml:space="preserve"> are not influenced by the varying cultivation environment, as it stabilises at a constant average value of 47</w:t>
      </w:r>
      <w:r w:rsidR="007245D0">
        <w:rPr>
          <w:lang w:val="en-GB"/>
        </w:rPr>
        <w:t xml:space="preserve"> </w:t>
      </w:r>
      <w:r w:rsidRPr="00F12EC6">
        <w:rPr>
          <w:lang w:val="en-GB"/>
        </w:rPr>
        <w:t>%. This value aligns with the elemental composition of microalgal biomass, with almost 50</w:t>
      </w:r>
      <w:r w:rsidR="007245D0">
        <w:rPr>
          <w:lang w:val="en-GB"/>
        </w:rPr>
        <w:t xml:space="preserve"> </w:t>
      </w:r>
      <w:r w:rsidRPr="00F12EC6">
        <w:rPr>
          <w:lang w:val="en-GB"/>
        </w:rPr>
        <w:t>% of it being carbon</w:t>
      </w:r>
      <w:r w:rsidR="002D779B">
        <w:rPr>
          <w:lang w:val="en-GB"/>
        </w:rPr>
        <w:t xml:space="preserve"> </w:t>
      </w:r>
      <w:sdt>
        <w:sdtPr>
          <w:rPr>
            <w:rFonts w:cs="Arial"/>
            <w:color w:val="000000"/>
            <w:lang w:val="en-GB"/>
          </w:rPr>
          <w:tag w:val="MENDELEY_CITATION_v3_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"/>
          <w:id w:val="1730496905"/>
          <w:placeholder>
            <w:docPart w:val="DefaultPlaceholder_-1854013440"/>
          </w:placeholder>
        </w:sdtPr>
        <w:sdtContent>
          <w:r w:rsidR="00B00328" w:rsidRPr="00B00328">
            <w:rPr>
              <w:rFonts w:cs="Arial"/>
              <w:color w:val="000000"/>
              <w:lang w:val="en-GB"/>
            </w:rPr>
            <w:t>(Lage and Gentili, 2023)</w:t>
          </w:r>
        </w:sdtContent>
      </w:sdt>
      <w:r w:rsidRPr="00F12EC6">
        <w:rPr>
          <w:lang w:val="en-GB"/>
        </w:rPr>
        <w:t xml:space="preserve">. Differently, the respiratory carbon yield </w:t>
      </w:r>
      <w:r w:rsidR="005E0108">
        <w:t>Y</w:t>
      </w:r>
      <w:r w:rsidR="005E0108" w:rsidRPr="005E0108">
        <w:rPr>
          <w:vertAlign w:val="subscript"/>
        </w:rPr>
        <w:t>C/</w:t>
      </w:r>
      <w:proofErr w:type="spellStart"/>
      <w:proofErr w:type="gramStart"/>
      <w:r w:rsidR="005E0108" w:rsidRPr="005E0108">
        <w:rPr>
          <w:vertAlign w:val="subscript"/>
        </w:rPr>
        <w:t>X,resp</w:t>
      </w:r>
      <w:proofErr w:type="spellEnd"/>
      <w:proofErr w:type="gramEnd"/>
      <w:r w:rsidR="005E0108" w:rsidRPr="005E0108">
        <w:rPr>
          <w:vertAlign w:val="subscript"/>
        </w:rPr>
        <w:t xml:space="preserve"> </w:t>
      </w:r>
      <w:r w:rsidRPr="005E0108">
        <w:rPr>
          <w:lang w:val="en-GB"/>
        </w:rPr>
        <w:t>appears</w:t>
      </w:r>
      <w:r w:rsidRPr="00F12EC6">
        <w:rPr>
          <w:lang w:val="en-GB"/>
        </w:rPr>
        <w:t xml:space="preserve"> to be influenced by the surroundings. Indeed, it exhibits higher values at low environmental pH, followed by a decrease near the optimal productivity range. Although data variability prevented a clear statistical resolution across all conditions, this trend suggests increased maintenance requirements under more acidic conditions, associated with an increased stress induction to the cells</w:t>
      </w:r>
      <w:r w:rsidR="00D93408">
        <w:rPr>
          <w:lang w:val="en-GB"/>
        </w:rPr>
        <w:t xml:space="preserve"> </w:t>
      </w:r>
      <w:sdt>
        <w:sdtPr>
          <w:rPr>
            <w:rFonts w:cs="Arial"/>
            <w:color w:val="000000"/>
            <w:lang w:val="en-GB"/>
          </w:rPr>
          <w:tag w:val="MENDELEY_CITATION_v3_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"/>
          <w:id w:val="1744606654"/>
          <w:placeholder>
            <w:docPart w:val="DefaultPlaceholder_-1854013440"/>
          </w:placeholder>
        </w:sdtPr>
        <w:sdtContent>
          <w:r w:rsidR="00B00328" w:rsidRPr="00B00328">
            <w:rPr>
              <w:rFonts w:cs="Arial"/>
              <w:color w:val="000000"/>
              <w:lang w:val="en-GB"/>
            </w:rPr>
            <w:t xml:space="preserve">(Van </w:t>
          </w:r>
          <w:proofErr w:type="spellStart"/>
          <w:r w:rsidR="00B00328" w:rsidRPr="00B00328">
            <w:rPr>
              <w:rFonts w:cs="Arial"/>
              <w:color w:val="000000"/>
              <w:lang w:val="en-GB"/>
            </w:rPr>
            <w:t>Bodegom</w:t>
          </w:r>
          <w:proofErr w:type="spellEnd"/>
          <w:r w:rsidR="00B00328" w:rsidRPr="00B00328">
            <w:rPr>
              <w:rFonts w:cs="Arial"/>
              <w:color w:val="000000"/>
              <w:lang w:val="en-GB"/>
            </w:rPr>
            <w:t>, 2007)</w:t>
          </w:r>
        </w:sdtContent>
      </w:sdt>
      <w:r w:rsidRPr="00F12EC6">
        <w:rPr>
          <w:lang w:val="en-GB"/>
        </w:rPr>
        <w:t>.</w:t>
      </w:r>
      <w:r w:rsidR="007D5F41">
        <w:rPr>
          <w:lang w:val="en-GB"/>
        </w:rPr>
        <w:t xml:space="preserve"> </w:t>
      </w:r>
      <w:r w:rsidR="007D5F41" w:rsidRPr="007D5F41">
        <w:rPr>
          <w:lang w:val="en-GB"/>
        </w:rPr>
        <w:t>Across all heterotrophic conditions investigated in this study, the harvested biomass qualitatively appeared weakly pigmented, consistent with the expected reduction in photosynthetic pigmentation under dark heterotrophic growth (data not shown).</w:t>
      </w:r>
    </w:p>
    <w:p w14:paraId="26B5CEDF" w14:textId="6BBDFA18" w:rsidR="009A03C5" w:rsidRPr="00F12EC6" w:rsidRDefault="009A03C5" w:rsidP="003244B8">
      <w:pPr>
        <w:pStyle w:val="CETBodytext"/>
        <w:jc w:val="left"/>
        <w:rPr>
          <w:lang w:val="en-GB"/>
        </w:rPr>
      </w:pPr>
      <w:r w:rsidRPr="00F12EC6">
        <w:rPr>
          <w:lang w:val="en-GB"/>
        </w:rPr>
        <w:t xml:space="preserve"> </w:t>
      </w:r>
      <w:r w:rsidR="00C73F6F">
        <w:rPr>
          <w:noProof/>
          <w:lang w:val="en-GB"/>
        </w:rPr>
        <w:drawing>
          <wp:inline distT="0" distB="0" distL="0" distR="0" wp14:anchorId="1BF9E308" wp14:editId="537495A7">
            <wp:extent cx="5509260" cy="3054067"/>
            <wp:effectExtent l="0" t="0" r="0" b="0"/>
            <wp:docPr id="318514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14838" name="Picture 2"/>
                    <pic:cNvPicPr>
                      <a:picLocks noChangeAspect="1" noChangeArrowheads="1"/>
                    </pic:cNvPicPr>
                  </pic:nvPicPr>
                  <pic:blipFill rotWithShape="1">
                    <a:blip r:embed="rId12"/>
                    <a:srcRect l="6393" t="7591" r="6334" b="6399"/>
                    <a:stretch>
                      <a:fillRect/>
                    </a:stretch>
                  </pic:blipFill>
                  <pic:spPr bwMode="auto">
                    <a:xfrm>
                      <a:off x="0" y="0"/>
                      <a:ext cx="5531496" cy="3066393"/>
                    </a:xfrm>
                    <a:prstGeom prst="rect">
                      <a:avLst/>
                    </a:prstGeom>
                    <a:noFill/>
                    <a:ln>
                      <a:noFill/>
                    </a:ln>
                    <a:extLst>
                      <a:ext uri="{53640926-AAD7-44D8-BBD7-CCE9431645EC}">
                        <a14:shadowObscured xmlns:a14="http://schemas.microsoft.com/office/drawing/2010/main"/>
                      </a:ext>
                    </a:extLst>
                  </pic:spPr>
                </pic:pic>
              </a:graphicData>
            </a:graphic>
          </wp:inline>
        </w:drawing>
      </w:r>
    </w:p>
    <w:p w14:paraId="126072CD" w14:textId="3EEFDEF7" w:rsidR="009A03C5" w:rsidRPr="00F12EC6" w:rsidRDefault="009A03C5" w:rsidP="003244B8">
      <w:pPr>
        <w:pStyle w:val="CETCaption"/>
      </w:pPr>
      <w:r w:rsidRPr="00F12EC6">
        <w:t xml:space="preserve">Figure </w:t>
      </w:r>
      <w:r w:rsidR="00951429">
        <w:t>2</w:t>
      </w:r>
      <w:r w:rsidR="00CD246D">
        <w:t>:</w:t>
      </w:r>
      <w:r w:rsidR="00951429" w:rsidRPr="00F12EC6">
        <w:t xml:space="preserve"> </w:t>
      </w:r>
      <w:r w:rsidRPr="00F12EC6">
        <w:t xml:space="preserve">Experimental trends on organic carbon yields </w:t>
      </w:r>
      <w:r w:rsidR="00C73F6F">
        <w:t xml:space="preserve">(a) </w:t>
      </w:r>
      <w:r w:rsidRPr="00F12EC6">
        <w:t xml:space="preserve">and biomass </w:t>
      </w:r>
      <w:r w:rsidR="003E26E7">
        <w:t>concentrations</w:t>
      </w:r>
      <w:r w:rsidRPr="00F12EC6">
        <w:t xml:space="preserve"> (</w:t>
      </w:r>
      <w:r w:rsidR="00C73F6F">
        <w:t>b</w:t>
      </w:r>
      <w:r w:rsidRPr="00F12EC6">
        <w:t xml:space="preserve">) for heterotrophic </w:t>
      </w:r>
      <w:proofErr w:type="spellStart"/>
      <w:r w:rsidRPr="00F12EC6">
        <w:t>Galdieria</w:t>
      </w:r>
      <w:proofErr w:type="spellEnd"/>
      <w:r w:rsidRPr="00F12EC6">
        <w:t xml:space="preserve"> </w:t>
      </w:r>
      <w:proofErr w:type="spellStart"/>
      <w:r w:rsidRPr="00F12EC6">
        <w:t>sulphuraria</w:t>
      </w:r>
      <w:proofErr w:type="spellEnd"/>
      <w:r w:rsidRPr="00F12EC6">
        <w:t xml:space="preserve"> continuous cultivation on different environment pH levels. Letters</w:t>
      </w:r>
      <w:r w:rsidR="00C73F6F">
        <w:t xml:space="preserve"> and symbols</w:t>
      </w:r>
      <w:r w:rsidRPr="00F12EC6">
        <w:t xml:space="preserve"> refer to the statistical analysis on measured experimental outputs, with different sets of letters</w:t>
      </w:r>
      <w:r w:rsidR="00C73F6F">
        <w:t xml:space="preserve"> </w:t>
      </w:r>
      <w:r w:rsidR="003E26E7">
        <w:t>and symbols</w:t>
      </w:r>
      <w:r w:rsidRPr="00F12EC6">
        <w:t xml:space="preserve"> according to the type of output under assessment. Data that do not share a letter within the same set are statistically different. Scatterplot dotted line is just eye guide.</w:t>
      </w:r>
    </w:p>
    <w:p w14:paraId="68D26B83" w14:textId="77777777" w:rsidR="00600535" w:rsidRPr="00F12EC6" w:rsidRDefault="00600535" w:rsidP="00600535">
      <w:pPr>
        <w:pStyle w:val="CETHeading1"/>
        <w:rPr>
          <w:lang w:val="en-GB"/>
        </w:rPr>
      </w:pPr>
      <w:r w:rsidRPr="00F12EC6">
        <w:rPr>
          <w:lang w:val="en-GB"/>
        </w:rPr>
        <w:t>Conclusions</w:t>
      </w:r>
    </w:p>
    <w:p w14:paraId="0AF26606" w14:textId="370C7B4B" w:rsidR="00F12EC7" w:rsidRPr="004F43BF" w:rsidRDefault="00F12EC7" w:rsidP="00F12EC7">
      <w:pPr>
        <w:pStyle w:val="CETBodytext"/>
      </w:pPr>
      <w:r w:rsidRPr="00F12EC7">
        <w:t xml:space="preserve">This study provided a quantitative assessment of heterotrophic continuous cultivation of </w:t>
      </w:r>
      <w:proofErr w:type="spellStart"/>
      <w:r w:rsidRPr="00BF25C6">
        <w:rPr>
          <w:i/>
          <w:iCs/>
        </w:rPr>
        <w:t>Galdieria</w:t>
      </w:r>
      <w:proofErr w:type="spellEnd"/>
      <w:r w:rsidRPr="00BF25C6">
        <w:rPr>
          <w:i/>
          <w:iCs/>
        </w:rPr>
        <w:t xml:space="preserve"> </w:t>
      </w:r>
      <w:proofErr w:type="spellStart"/>
      <w:r w:rsidRPr="00BF25C6">
        <w:rPr>
          <w:i/>
          <w:iCs/>
        </w:rPr>
        <w:t>sulphuraria</w:t>
      </w:r>
      <w:proofErr w:type="spellEnd"/>
      <w:r w:rsidRPr="00F12EC7">
        <w:t xml:space="preserve"> under controlled acidic and thermophilic conditions, focusing on the effects of temperature and</w:t>
      </w:r>
      <w:r w:rsidR="00BF25C6">
        <w:t xml:space="preserve"> inlet medium</w:t>
      </w:r>
      <w:r w:rsidRPr="00F12EC7">
        <w:t xml:space="preserve"> pH on steady-state biomass </w:t>
      </w:r>
      <w:r w:rsidR="00BF25C6">
        <w:t>cultivation</w:t>
      </w:r>
      <w:r w:rsidRPr="00F12EC7">
        <w:t xml:space="preserve"> and carbon allocation.</w:t>
      </w:r>
      <w:r>
        <w:t xml:space="preserve"> </w:t>
      </w:r>
      <w:r w:rsidRPr="00F12EC7">
        <w:t>The experimental results highlighted the existence of a broad thermal operating window between 35 and 45 °C, within which biomass concentrations remained above 5.5 g</w:t>
      </w:r>
      <w:r w:rsidRPr="00BF25C6">
        <w:rPr>
          <w:vertAlign w:val="subscript"/>
        </w:rPr>
        <w:t>X</w:t>
      </w:r>
      <w:r w:rsidRPr="00F12EC7">
        <w:t xml:space="preserve"> L</w:t>
      </w:r>
      <w:r w:rsidRPr="00F12EC7">
        <w:rPr>
          <w:rFonts w:ascii="Cambria Math" w:hAnsi="Cambria Math" w:cs="Cambria Math"/>
        </w:rPr>
        <w:t>⁻</w:t>
      </w:r>
      <w:r w:rsidRPr="00F12EC7">
        <w:rPr>
          <w:rFonts w:cs="Arial"/>
        </w:rPr>
        <w:t>¹</w:t>
      </w:r>
      <w:r w:rsidRPr="00F12EC7">
        <w:t xml:space="preserve"> and</w:t>
      </w:r>
      <w:r w:rsidR="00BF25C6">
        <w:t xml:space="preserve"> corresponding</w:t>
      </w:r>
      <w:r w:rsidRPr="00F12EC7">
        <w:t xml:space="preserve"> productivities reached values up to 3.0 g</w:t>
      </w:r>
      <w:r w:rsidRPr="00BF25C6">
        <w:rPr>
          <w:vertAlign w:val="subscript"/>
        </w:rPr>
        <w:t>X</w:t>
      </w:r>
      <w:r w:rsidRPr="00F12EC7">
        <w:t xml:space="preserve"> L</w:t>
      </w:r>
      <w:r w:rsidRPr="00F12EC7">
        <w:rPr>
          <w:rFonts w:ascii="Cambria Math" w:hAnsi="Cambria Math" w:cs="Cambria Math"/>
        </w:rPr>
        <w:t>⁻</w:t>
      </w:r>
      <w:r w:rsidRPr="00F12EC7">
        <w:rPr>
          <w:rFonts w:cs="Arial"/>
        </w:rPr>
        <w:t>¹</w:t>
      </w:r>
      <w:r w:rsidRPr="00F12EC7">
        <w:t xml:space="preserve"> d</w:t>
      </w:r>
      <w:r w:rsidRPr="00F12EC7">
        <w:rPr>
          <w:rFonts w:ascii="Cambria Math" w:hAnsi="Cambria Math" w:cs="Cambria Math"/>
        </w:rPr>
        <w:t>⁻</w:t>
      </w:r>
      <w:r w:rsidRPr="00F12EC7">
        <w:rPr>
          <w:rFonts w:cs="Arial"/>
        </w:rPr>
        <w:t>¹</w:t>
      </w:r>
      <w:r w:rsidRPr="00F12EC7">
        <w:t xml:space="preserve"> at a residence time of 2 d. Outside this range, cultivation performance declined sharply, with biomass concentration decreasing by more than 70 % at 55 </w:t>
      </w:r>
      <w:r w:rsidRPr="00F12EC7">
        <w:rPr>
          <w:rFonts w:cs="Arial"/>
        </w:rPr>
        <w:t>°</w:t>
      </w:r>
      <w:r w:rsidRPr="00F12EC7">
        <w:t>C, identifying temperature as a key variable for sustaining high process efficiency.</w:t>
      </w:r>
      <w:r w:rsidR="00BF25C6">
        <w:t xml:space="preserve"> </w:t>
      </w:r>
      <w:r w:rsidRPr="00F12EC7">
        <w:t xml:space="preserve">Inlet medium pH emerged as an effective control handle for regulating the environmental pH established at steady state. Regardless of the inlet value, biologically induced acidification led to systematically lower environmental pH levels, which ultimately governed growth performance. When </w:t>
      </w:r>
      <w:proofErr w:type="spellStart"/>
      <w:r w:rsidRPr="00F12EC7">
        <w:t>analysed</w:t>
      </w:r>
      <w:proofErr w:type="spellEnd"/>
      <w:r w:rsidRPr="00F12EC7">
        <w:t xml:space="preserve"> as a function of environmental pH, biomass productivity exhibited a narrow optimum around pH 1.9, corresponding to a maximum biomass concentration of approximately 7.7 g</w:t>
      </w:r>
      <w:r w:rsidRPr="00D657ED">
        <w:rPr>
          <w:vertAlign w:val="subscript"/>
        </w:rPr>
        <w:t>X</w:t>
      </w:r>
      <w:r w:rsidRPr="00F12EC7">
        <w:t xml:space="preserve"> L</w:t>
      </w:r>
      <w:r w:rsidRPr="00F12EC7">
        <w:rPr>
          <w:rFonts w:ascii="Cambria Math" w:hAnsi="Cambria Math" w:cs="Cambria Math"/>
        </w:rPr>
        <w:t>⁻</w:t>
      </w:r>
      <w:r w:rsidRPr="00F12EC7">
        <w:rPr>
          <w:rFonts w:cs="Arial"/>
        </w:rPr>
        <w:t>¹</w:t>
      </w:r>
      <w:r w:rsidRPr="00F12EC7">
        <w:t xml:space="preserve">. </w:t>
      </w:r>
      <w:r w:rsidR="004F43BF" w:rsidRPr="004F43BF">
        <w:rPr>
          <w:lang w:val="en-GB"/>
        </w:rPr>
        <w:t xml:space="preserve">Outside this optimal region, deviations towards either more acidic or </w:t>
      </w:r>
      <w:r w:rsidR="004F43BF" w:rsidRPr="004F43BF">
        <w:rPr>
          <w:lang w:val="en-GB"/>
        </w:rPr>
        <w:lastRenderedPageBreak/>
        <w:t>higher pH conditions resulted in biomass concentration reductions of up to approximately 60</w:t>
      </w:r>
      <w:r w:rsidR="007245D0">
        <w:rPr>
          <w:lang w:val="en-GB"/>
        </w:rPr>
        <w:t xml:space="preserve"> </w:t>
      </w:r>
      <w:r w:rsidR="004F43BF" w:rsidRPr="004F43BF">
        <w:rPr>
          <w:lang w:val="en-GB"/>
        </w:rPr>
        <w:t>%, confirming the presence of a well-defined optimal operating window.</w:t>
      </w:r>
      <w:r w:rsidR="004F43BF">
        <w:rPr>
          <w:lang w:val="en-GB"/>
        </w:rPr>
        <w:t xml:space="preserve"> </w:t>
      </w:r>
      <w:r w:rsidRPr="00F12EC7">
        <w:t xml:space="preserve">Carbon-based mass balances further showed that the fraction of organic carbon incorporated into biomass remained nearly constant across the tested pH range, with </w:t>
      </w:r>
      <w:r w:rsidR="005E0108">
        <w:t>Y</w:t>
      </w:r>
      <w:r w:rsidR="005E0108" w:rsidRPr="000862A6">
        <w:rPr>
          <w:vertAlign w:val="subscript"/>
        </w:rPr>
        <w:t>C/</w:t>
      </w:r>
      <w:proofErr w:type="spellStart"/>
      <w:proofErr w:type="gramStart"/>
      <w:r w:rsidR="005E0108" w:rsidRPr="000862A6">
        <w:rPr>
          <w:vertAlign w:val="subscript"/>
        </w:rPr>
        <w:t>X,</w:t>
      </w:r>
      <w:r w:rsidR="005E0108">
        <w:rPr>
          <w:vertAlign w:val="subscript"/>
        </w:rPr>
        <w:t>growth</w:t>
      </w:r>
      <w:proofErr w:type="spellEnd"/>
      <w:proofErr w:type="gramEnd"/>
      <w:r w:rsidR="005E0108" w:rsidRPr="00F12EC7">
        <w:t xml:space="preserve"> </w:t>
      </w:r>
      <w:proofErr w:type="spellStart"/>
      <w:r w:rsidRPr="00F12EC7">
        <w:t>stabilising</w:t>
      </w:r>
      <w:proofErr w:type="spellEnd"/>
      <w:r w:rsidRPr="00F12EC7">
        <w:t xml:space="preserve"> around 0.45–0.48 g</w:t>
      </w:r>
      <w:r w:rsidRPr="00A72E6E">
        <w:rPr>
          <w:vertAlign w:val="subscript"/>
        </w:rPr>
        <w:t>C</w:t>
      </w:r>
      <w:r w:rsidRPr="00F12EC7">
        <w:t xml:space="preserve"> g</w:t>
      </w:r>
      <w:r w:rsidRPr="00A72E6E">
        <w:rPr>
          <w:vertAlign w:val="subscript"/>
        </w:rPr>
        <w:t>X</w:t>
      </w:r>
      <w:r w:rsidRPr="00F12EC7">
        <w:rPr>
          <w:rFonts w:ascii="Cambria Math" w:hAnsi="Cambria Math" w:cs="Cambria Math"/>
        </w:rPr>
        <w:t>⁻</w:t>
      </w:r>
      <w:r w:rsidRPr="00F12EC7">
        <w:rPr>
          <w:rFonts w:cs="Arial"/>
        </w:rPr>
        <w:t>¹</w:t>
      </w:r>
      <w:r w:rsidRPr="00F12EC7">
        <w:t>. In contrast, the biomass-specific respiratory carbon yield was sensitive to environmental pH, reaching minimum values close to the optimal productivity region and increasing under more acidic conditions, indicating enhanced maintenance requirements.</w:t>
      </w:r>
      <w:r w:rsidR="004F43BF">
        <w:t xml:space="preserve"> </w:t>
      </w:r>
      <w:r w:rsidRPr="00F12EC7">
        <w:t xml:space="preserve">Overall, these findings demonstrate that temperature and pH act as complementary tunable operational variables in heterotrophic continuous cultivation </w:t>
      </w:r>
      <w:r w:rsidR="004F43BF">
        <w:t>of the species</w:t>
      </w:r>
      <w:r w:rsidRPr="00F12EC7">
        <w:t>.</w:t>
      </w:r>
      <w:r w:rsidR="002C6D4A">
        <w:t xml:space="preserve"> </w:t>
      </w:r>
      <w:r w:rsidRPr="00F12EC7">
        <w:t xml:space="preserve">The identification of </w:t>
      </w:r>
      <w:proofErr w:type="spellStart"/>
      <w:r w:rsidRPr="00F12EC7">
        <w:t>favourable</w:t>
      </w:r>
      <w:proofErr w:type="spellEnd"/>
      <w:r w:rsidRPr="00F12EC7">
        <w:t xml:space="preserve"> operating windows under steady-state conditions offers practical guidelines for process </w:t>
      </w:r>
      <w:proofErr w:type="spellStart"/>
      <w:r w:rsidRPr="00F12EC7">
        <w:t>optimisation</w:t>
      </w:r>
      <w:proofErr w:type="spellEnd"/>
      <w:r w:rsidRPr="00F12EC7">
        <w:t xml:space="preserve"> and supports the development of robust and scalable extremophilic microalgal bioprocesses.</w:t>
      </w:r>
    </w:p>
    <w:p w14:paraId="07A6D20F" w14:textId="23BC5415" w:rsidR="00280FAF" w:rsidRPr="00F12EC6" w:rsidRDefault="00280FAF" w:rsidP="00F12EC7">
      <w:pPr>
        <w:pStyle w:val="CETHeadingxx"/>
        <w:rPr>
          <w:lang w:val="en-GB"/>
        </w:rPr>
        <w:sectPr w:rsidR="00280FAF" w:rsidRPr="00F12EC6" w:rsidSect="008314D7">
          <w:type w:val="continuous"/>
          <w:pgSz w:w="11906" w:h="16838" w:code="9"/>
          <w:pgMar w:top="1701" w:right="1418" w:bottom="1701" w:left="1701" w:header="1701" w:footer="0" w:gutter="0"/>
          <w:cols w:space="708"/>
          <w:formProt w:val="0"/>
          <w:titlePg/>
          <w:docGrid w:linePitch="360"/>
        </w:sectPr>
      </w:pPr>
      <w:r w:rsidRPr="00F12EC6">
        <w:rPr>
          <w:lang w:val="en-GB"/>
        </w:rPr>
        <w:t>Nomenclature</w:t>
      </w:r>
    </w:p>
    <w:p w14:paraId="25D52BD8" w14:textId="33B824D0" w:rsidR="00280FAF" w:rsidRPr="00A0384E" w:rsidRDefault="005E0108" w:rsidP="00280FAF">
      <w:pPr>
        <w:pStyle w:val="CETBodytext"/>
        <w:jc w:val="left"/>
        <w:rPr>
          <w:rFonts w:eastAsia="SimSun"/>
          <w:vertAlign w:val="superscript"/>
          <w:lang w:val="en-GB"/>
        </w:rPr>
      </w:pPr>
      <w:r>
        <w:rPr>
          <w:rFonts w:eastAsia="SimSun"/>
          <w:lang w:val="en-GB"/>
        </w:rPr>
        <w:t>C</w:t>
      </w:r>
      <w:r w:rsidRPr="003E2875">
        <w:rPr>
          <w:rFonts w:eastAsia="SimSun"/>
          <w:vertAlign w:val="subscript"/>
          <w:lang w:val="en-GB"/>
        </w:rPr>
        <w:t>X</w:t>
      </w:r>
      <w:r w:rsidR="003E2875">
        <w:rPr>
          <w:rFonts w:eastAsia="SimSun"/>
          <w:lang w:val="en-GB"/>
        </w:rPr>
        <w:t xml:space="preserve"> </w:t>
      </w:r>
      <w:r w:rsidR="00280FAF" w:rsidRPr="00F12EC6">
        <w:rPr>
          <w:rFonts w:eastAsia="SimSun"/>
          <w:lang w:val="en-GB"/>
        </w:rPr>
        <w:t xml:space="preserve">– </w:t>
      </w:r>
      <w:r w:rsidR="00A0384E">
        <w:rPr>
          <w:rFonts w:eastAsia="SimSun"/>
          <w:lang w:val="en-GB"/>
        </w:rPr>
        <w:t>biomass concentration</w:t>
      </w:r>
      <w:r w:rsidR="00280FAF" w:rsidRPr="00F12EC6">
        <w:rPr>
          <w:rFonts w:eastAsia="SimSun"/>
          <w:lang w:val="en-GB"/>
        </w:rPr>
        <w:t xml:space="preserve">, </w:t>
      </w:r>
      <w:r w:rsidR="00A0384E">
        <w:rPr>
          <w:rFonts w:eastAsia="SimSun"/>
          <w:lang w:val="en-GB"/>
        </w:rPr>
        <w:t>g</w:t>
      </w:r>
      <w:r w:rsidR="00A0384E" w:rsidRPr="00A0384E">
        <w:rPr>
          <w:rFonts w:eastAsia="SimSun"/>
          <w:vertAlign w:val="subscript"/>
          <w:lang w:val="en-GB"/>
        </w:rPr>
        <w:t>X</w:t>
      </w:r>
      <w:r w:rsidR="00A0384E">
        <w:rPr>
          <w:rFonts w:eastAsia="SimSun"/>
          <w:lang w:val="en-GB"/>
        </w:rPr>
        <w:t xml:space="preserve"> L</w:t>
      </w:r>
      <w:r w:rsidR="00A0384E" w:rsidRPr="00A0384E">
        <w:rPr>
          <w:rFonts w:eastAsia="SimSun"/>
          <w:vertAlign w:val="superscript"/>
          <w:lang w:val="en-GB"/>
        </w:rPr>
        <w:t>-1</w:t>
      </w:r>
    </w:p>
    <w:p w14:paraId="7DFFBF41" w14:textId="77777777" w:rsidR="00280FAF" w:rsidRPr="00F12EC6" w:rsidRDefault="00280FAF" w:rsidP="00280FAF">
      <w:pPr>
        <w:pStyle w:val="CETBodytext"/>
        <w:jc w:val="left"/>
        <w:rPr>
          <w:rFonts w:eastAsia="SimSun"/>
          <w:lang w:val="en-GB"/>
        </w:rPr>
        <w:sectPr w:rsidR="00280FAF" w:rsidRPr="00F12EC6" w:rsidSect="008314D7">
          <w:type w:val="continuous"/>
          <w:pgSz w:w="11906" w:h="16838" w:code="9"/>
          <w:pgMar w:top="1701" w:right="1418" w:bottom="1701" w:left="1701" w:header="1701" w:footer="0" w:gutter="0"/>
          <w:cols w:space="708"/>
          <w:formProt w:val="0"/>
          <w:titlePg/>
          <w:docGrid w:linePitch="360"/>
        </w:sectPr>
      </w:pPr>
    </w:p>
    <w:p w14:paraId="57590CE2" w14:textId="79E87935" w:rsidR="00280FAF" w:rsidRPr="00F12EC6" w:rsidRDefault="005E0108" w:rsidP="00280FAF">
      <w:pPr>
        <w:pStyle w:val="CETBodytext"/>
        <w:jc w:val="left"/>
        <w:rPr>
          <w:rFonts w:eastAsia="SimSun"/>
          <w:lang w:val="en-GB"/>
        </w:rPr>
      </w:pPr>
      <w:r>
        <w:rPr>
          <w:rFonts w:eastAsia="SimSun"/>
          <w:lang w:val="en-GB"/>
        </w:rPr>
        <w:t>TOC</w:t>
      </w:r>
      <w:r w:rsidRPr="003E2875">
        <w:rPr>
          <w:rFonts w:eastAsia="SimSun"/>
          <w:vertAlign w:val="subscript"/>
          <w:lang w:val="en-GB"/>
        </w:rPr>
        <w:t>IN</w:t>
      </w:r>
      <w:r w:rsidR="00280FAF" w:rsidRPr="00F12EC6">
        <w:rPr>
          <w:rFonts w:eastAsia="SimSun"/>
          <w:lang w:val="en-GB"/>
        </w:rPr>
        <w:t xml:space="preserve"> – </w:t>
      </w:r>
      <w:r w:rsidR="00E338B6">
        <w:rPr>
          <w:rFonts w:eastAsia="SimSun"/>
          <w:lang w:val="en-GB"/>
        </w:rPr>
        <w:t xml:space="preserve">Total Organic Carbon in </w:t>
      </w:r>
      <w:r w:rsidR="008510A6">
        <w:rPr>
          <w:rFonts w:eastAsia="SimSun"/>
          <w:lang w:val="en-GB"/>
        </w:rPr>
        <w:t>inlet medium</w:t>
      </w:r>
      <w:r w:rsidR="00E338B6" w:rsidRPr="00F12EC6">
        <w:rPr>
          <w:rFonts w:eastAsia="SimSun"/>
          <w:lang w:val="en-GB"/>
        </w:rPr>
        <w:t xml:space="preserve">, </w:t>
      </w:r>
      <w:r w:rsidR="00E338B6">
        <w:rPr>
          <w:rFonts w:eastAsia="SimSun"/>
          <w:lang w:val="en-GB"/>
        </w:rPr>
        <w:t>g</w:t>
      </w:r>
      <w:r w:rsidR="00E338B6" w:rsidRPr="00D52DFC">
        <w:rPr>
          <w:rFonts w:eastAsia="SimSun"/>
          <w:vertAlign w:val="subscript"/>
          <w:lang w:val="en-GB"/>
        </w:rPr>
        <w:t>C</w:t>
      </w:r>
      <w:r w:rsidR="00E338B6">
        <w:rPr>
          <w:rFonts w:eastAsia="SimSun"/>
          <w:lang w:val="en-GB"/>
        </w:rPr>
        <w:t xml:space="preserve"> L</w:t>
      </w:r>
      <w:r w:rsidR="00E338B6" w:rsidRPr="00E338B6">
        <w:rPr>
          <w:rFonts w:eastAsia="SimSun"/>
          <w:vertAlign w:val="superscript"/>
          <w:lang w:val="en-GB"/>
        </w:rPr>
        <w:t>-1</w:t>
      </w:r>
    </w:p>
    <w:p w14:paraId="0E502614" w14:textId="5276D437" w:rsidR="00280FAF" w:rsidRPr="00F12EC6" w:rsidRDefault="005E0108" w:rsidP="00280FAF">
      <w:pPr>
        <w:pStyle w:val="CETBodytext"/>
        <w:jc w:val="left"/>
        <w:rPr>
          <w:rFonts w:eastAsia="SimSun"/>
          <w:lang w:val="en-GB"/>
        </w:rPr>
      </w:pPr>
      <w:r>
        <w:rPr>
          <w:rFonts w:eastAsia="SimSun"/>
          <w:lang w:val="en-GB"/>
        </w:rPr>
        <w:t>TOC</w:t>
      </w:r>
      <w:r w:rsidRPr="003E2875">
        <w:rPr>
          <w:rFonts w:eastAsia="SimSun"/>
          <w:vertAlign w:val="subscript"/>
          <w:lang w:val="en-GB"/>
        </w:rPr>
        <w:t>OUT</w:t>
      </w:r>
      <w:r w:rsidR="003E2875">
        <w:rPr>
          <w:rFonts w:eastAsia="SimSun"/>
          <w:lang w:val="en-GB"/>
        </w:rPr>
        <w:t xml:space="preserve"> </w:t>
      </w:r>
      <w:r w:rsidR="00280FAF" w:rsidRPr="00F12EC6">
        <w:rPr>
          <w:rFonts w:eastAsia="SimSun"/>
          <w:lang w:val="en-GB"/>
        </w:rPr>
        <w:t xml:space="preserve">– </w:t>
      </w:r>
      <w:r w:rsidR="00E338B6">
        <w:rPr>
          <w:rFonts w:eastAsia="SimSun"/>
          <w:lang w:val="en-GB"/>
        </w:rPr>
        <w:t>Total Organic Carbon in clarified filtrate</w:t>
      </w:r>
      <w:r w:rsidR="00E338B6" w:rsidRPr="00F12EC6">
        <w:rPr>
          <w:rFonts w:eastAsia="SimSun"/>
          <w:lang w:val="en-GB"/>
        </w:rPr>
        <w:t xml:space="preserve">, </w:t>
      </w:r>
      <w:r w:rsidR="00E338B6">
        <w:rPr>
          <w:rFonts w:eastAsia="SimSun"/>
          <w:lang w:val="en-GB"/>
        </w:rPr>
        <w:t>g</w:t>
      </w:r>
      <w:r w:rsidR="00E338B6" w:rsidRPr="00D52DFC">
        <w:rPr>
          <w:rFonts w:eastAsia="SimSun"/>
          <w:vertAlign w:val="subscript"/>
          <w:lang w:val="en-GB"/>
        </w:rPr>
        <w:t>C</w:t>
      </w:r>
      <w:r w:rsidR="00E338B6">
        <w:rPr>
          <w:rFonts w:eastAsia="SimSun"/>
          <w:lang w:val="en-GB"/>
        </w:rPr>
        <w:t xml:space="preserve"> L</w:t>
      </w:r>
      <w:r w:rsidR="00E338B6" w:rsidRPr="00E338B6">
        <w:rPr>
          <w:rFonts w:eastAsia="SimSun"/>
          <w:vertAlign w:val="superscript"/>
          <w:lang w:val="en-GB"/>
        </w:rPr>
        <w:t>-1</w:t>
      </w:r>
    </w:p>
    <w:p w14:paraId="33D176ED" w14:textId="32959B67" w:rsidR="00280FAF" w:rsidRPr="00F12EC6" w:rsidRDefault="005E0108" w:rsidP="00280FAF">
      <w:pPr>
        <w:pStyle w:val="CETBodytext"/>
        <w:jc w:val="left"/>
        <w:rPr>
          <w:rFonts w:eastAsia="SimSun"/>
          <w:lang w:val="en-GB"/>
        </w:rPr>
      </w:pPr>
      <w:r>
        <w:rPr>
          <w:rFonts w:eastAsia="SimSun"/>
          <w:lang w:val="en-GB"/>
        </w:rPr>
        <w:t>TOC</w:t>
      </w:r>
      <w:r w:rsidRPr="005E0108">
        <w:rPr>
          <w:rFonts w:eastAsia="SimSun"/>
          <w:vertAlign w:val="subscript"/>
          <w:lang w:val="en-GB"/>
        </w:rPr>
        <w:t>R</w:t>
      </w:r>
      <w:r w:rsidR="00280FAF" w:rsidRPr="00F12EC6">
        <w:rPr>
          <w:rFonts w:eastAsia="SimSun"/>
          <w:lang w:val="en-GB"/>
        </w:rPr>
        <w:t xml:space="preserve"> – </w:t>
      </w:r>
      <w:r w:rsidR="00E338B6">
        <w:rPr>
          <w:rFonts w:eastAsia="SimSun"/>
          <w:lang w:val="en-GB"/>
        </w:rPr>
        <w:t>Total Organic Carbon in reactor broth</w:t>
      </w:r>
      <w:r w:rsidR="00280FAF" w:rsidRPr="00F12EC6">
        <w:rPr>
          <w:rFonts w:eastAsia="SimSun"/>
          <w:lang w:val="en-GB"/>
        </w:rPr>
        <w:t xml:space="preserve">, </w:t>
      </w:r>
      <w:r w:rsidR="00E338B6">
        <w:rPr>
          <w:rFonts w:eastAsia="SimSun"/>
          <w:lang w:val="en-GB"/>
        </w:rPr>
        <w:t>g</w:t>
      </w:r>
      <w:r w:rsidR="00E338B6" w:rsidRPr="00D52DFC">
        <w:rPr>
          <w:rFonts w:eastAsia="SimSun"/>
          <w:vertAlign w:val="subscript"/>
          <w:lang w:val="en-GB"/>
        </w:rPr>
        <w:t>C</w:t>
      </w:r>
      <w:r w:rsidR="00E338B6">
        <w:rPr>
          <w:rFonts w:eastAsia="SimSun"/>
          <w:lang w:val="en-GB"/>
        </w:rPr>
        <w:t xml:space="preserve"> L</w:t>
      </w:r>
      <w:r w:rsidR="00E338B6" w:rsidRPr="00E338B6">
        <w:rPr>
          <w:rFonts w:eastAsia="SimSun"/>
          <w:vertAlign w:val="superscript"/>
          <w:lang w:val="en-GB"/>
        </w:rPr>
        <w:t>-1</w:t>
      </w:r>
    </w:p>
    <w:p w14:paraId="05CC3BA4" w14:textId="67F3C627" w:rsidR="00280FAF" w:rsidRPr="00F12EC6" w:rsidRDefault="005E0108" w:rsidP="00280FAF">
      <w:pPr>
        <w:pStyle w:val="CETBodytext"/>
        <w:jc w:val="left"/>
        <w:rPr>
          <w:rFonts w:eastAsia="SimSun"/>
          <w:lang w:val="en-GB"/>
        </w:rPr>
      </w:pPr>
      <w:r>
        <w:rPr>
          <w:rFonts w:eastAsia="SimSun"/>
          <w:lang w:val="en-GB"/>
        </w:rPr>
        <w:t>Y</w:t>
      </w:r>
      <w:r w:rsidRPr="005E0108">
        <w:rPr>
          <w:rFonts w:eastAsia="SimSun"/>
          <w:vertAlign w:val="subscript"/>
          <w:lang w:val="en-GB"/>
        </w:rPr>
        <w:t>C/</w:t>
      </w:r>
      <w:proofErr w:type="spellStart"/>
      <w:proofErr w:type="gramStart"/>
      <w:r w:rsidRPr="005E0108">
        <w:rPr>
          <w:rFonts w:eastAsia="SimSun"/>
          <w:vertAlign w:val="subscript"/>
          <w:lang w:val="en-GB"/>
        </w:rPr>
        <w:t>X,growth</w:t>
      </w:r>
      <w:proofErr w:type="spellEnd"/>
      <w:proofErr w:type="gramEnd"/>
      <w:r>
        <w:rPr>
          <w:rFonts w:eastAsia="SimSun"/>
          <w:lang w:val="en-GB"/>
        </w:rPr>
        <w:t xml:space="preserve"> </w:t>
      </w:r>
      <w:r w:rsidR="00280FAF" w:rsidRPr="00F12EC6">
        <w:rPr>
          <w:rFonts w:eastAsia="SimSun"/>
          <w:lang w:val="en-GB"/>
        </w:rPr>
        <w:t xml:space="preserve">– </w:t>
      </w:r>
      <w:r w:rsidR="00E338B6">
        <w:rPr>
          <w:rFonts w:eastAsia="SimSun"/>
          <w:lang w:val="en-GB"/>
        </w:rPr>
        <w:t>biomass-specific carbon consumption yield for biomass growth, g</w:t>
      </w:r>
      <w:r w:rsidR="00E338B6" w:rsidRPr="00E338B6">
        <w:rPr>
          <w:rFonts w:eastAsia="SimSun"/>
          <w:vertAlign w:val="subscript"/>
          <w:lang w:val="en-GB"/>
        </w:rPr>
        <w:t>C</w:t>
      </w:r>
      <w:r w:rsidR="00E338B6">
        <w:rPr>
          <w:rFonts w:eastAsia="SimSun"/>
          <w:lang w:val="en-GB"/>
        </w:rPr>
        <w:t xml:space="preserve"> g</w:t>
      </w:r>
      <w:r w:rsidR="00E338B6" w:rsidRPr="00E338B6">
        <w:rPr>
          <w:rFonts w:eastAsia="SimSun"/>
          <w:vertAlign w:val="subscript"/>
          <w:lang w:val="en-GB"/>
        </w:rPr>
        <w:t>X</w:t>
      </w:r>
      <w:r w:rsidR="00E338B6" w:rsidRPr="00E338B6">
        <w:rPr>
          <w:rFonts w:eastAsia="SimSun"/>
          <w:vertAlign w:val="superscript"/>
          <w:lang w:val="en-GB"/>
        </w:rPr>
        <w:t>-1</w:t>
      </w:r>
    </w:p>
    <w:p w14:paraId="0718B861" w14:textId="70220A06" w:rsidR="00280FAF" w:rsidRPr="00F12EC6" w:rsidRDefault="005E0108" w:rsidP="00280FAF">
      <w:pPr>
        <w:pStyle w:val="CETBodytext"/>
        <w:jc w:val="left"/>
        <w:rPr>
          <w:rFonts w:eastAsia="SimSun"/>
          <w:lang w:val="en-GB"/>
        </w:rPr>
      </w:pPr>
      <w:r>
        <w:rPr>
          <w:rFonts w:eastAsia="SimSun"/>
          <w:lang w:val="en-GB"/>
        </w:rPr>
        <w:t>Y</w:t>
      </w:r>
      <w:r w:rsidRPr="005E0108">
        <w:rPr>
          <w:rFonts w:eastAsia="SimSun"/>
          <w:vertAlign w:val="subscript"/>
          <w:lang w:val="en-GB"/>
        </w:rPr>
        <w:t>C/</w:t>
      </w:r>
      <w:proofErr w:type="spellStart"/>
      <w:proofErr w:type="gramStart"/>
      <w:r w:rsidRPr="005E0108">
        <w:rPr>
          <w:rFonts w:eastAsia="SimSun"/>
          <w:vertAlign w:val="subscript"/>
          <w:lang w:val="en-GB"/>
        </w:rPr>
        <w:t>X,resp</w:t>
      </w:r>
      <w:proofErr w:type="spellEnd"/>
      <w:proofErr w:type="gramEnd"/>
      <w:r>
        <w:rPr>
          <w:rFonts w:eastAsia="SimSun"/>
          <w:lang w:val="en-GB"/>
        </w:rPr>
        <w:t xml:space="preserve"> </w:t>
      </w:r>
      <w:r w:rsidR="00280FAF" w:rsidRPr="00F12EC6">
        <w:rPr>
          <w:rFonts w:eastAsia="SimSun"/>
          <w:lang w:val="en-GB"/>
        </w:rPr>
        <w:t xml:space="preserve">– </w:t>
      </w:r>
      <w:r w:rsidR="00754B6E">
        <w:rPr>
          <w:rFonts w:eastAsia="SimSun"/>
          <w:lang w:val="en-GB"/>
        </w:rPr>
        <w:t xml:space="preserve">biomass-specific carbon consumption yield for </w:t>
      </w:r>
      <w:r w:rsidR="00E338B6">
        <w:rPr>
          <w:rFonts w:eastAsia="SimSun"/>
          <w:lang w:val="en-GB"/>
        </w:rPr>
        <w:t>respiration, g</w:t>
      </w:r>
      <w:r w:rsidR="00E338B6" w:rsidRPr="00E338B6">
        <w:rPr>
          <w:rFonts w:eastAsia="SimSun"/>
          <w:vertAlign w:val="subscript"/>
          <w:lang w:val="en-GB"/>
        </w:rPr>
        <w:t>C</w:t>
      </w:r>
      <w:r w:rsidR="00E338B6">
        <w:rPr>
          <w:rFonts w:eastAsia="SimSun"/>
          <w:lang w:val="en-GB"/>
        </w:rPr>
        <w:t xml:space="preserve"> g</w:t>
      </w:r>
      <w:r w:rsidR="00E338B6" w:rsidRPr="00E338B6">
        <w:rPr>
          <w:rFonts w:eastAsia="SimSun"/>
          <w:vertAlign w:val="subscript"/>
          <w:lang w:val="en-GB"/>
        </w:rPr>
        <w:t>X</w:t>
      </w:r>
      <w:r w:rsidR="00E338B6" w:rsidRPr="00E338B6">
        <w:rPr>
          <w:rFonts w:eastAsia="SimSun"/>
          <w:vertAlign w:val="superscript"/>
          <w:lang w:val="en-GB"/>
        </w:rPr>
        <w:t>-1</w:t>
      </w:r>
    </w:p>
    <w:p w14:paraId="5A6624BF" w14:textId="5BD4071F" w:rsidR="00280FAF" w:rsidRDefault="005E0108" w:rsidP="00280FAF">
      <w:pPr>
        <w:pStyle w:val="CETBodytext"/>
        <w:jc w:val="left"/>
        <w:rPr>
          <w:rFonts w:eastAsia="SimSun"/>
          <w:lang w:val="en-GB"/>
        </w:rPr>
      </w:pPr>
      <w:r>
        <w:rPr>
          <w:rFonts w:eastAsia="SimSun"/>
          <w:lang w:val="en-GB"/>
        </w:rPr>
        <w:t>P</w:t>
      </w:r>
      <w:r w:rsidRPr="005E0108">
        <w:rPr>
          <w:rFonts w:eastAsia="SimSun"/>
          <w:vertAlign w:val="subscript"/>
          <w:lang w:val="en-GB"/>
        </w:rPr>
        <w:t>X</w:t>
      </w:r>
      <w:r>
        <w:rPr>
          <w:rFonts w:eastAsia="SimSun"/>
          <w:lang w:val="en-GB"/>
        </w:rPr>
        <w:t xml:space="preserve"> </w:t>
      </w:r>
      <w:r w:rsidR="00280FAF" w:rsidRPr="00F12EC6">
        <w:rPr>
          <w:rFonts w:eastAsia="SimSun"/>
          <w:lang w:val="en-GB"/>
        </w:rPr>
        <w:t xml:space="preserve">– </w:t>
      </w:r>
      <w:r w:rsidR="00754B6E">
        <w:rPr>
          <w:rFonts w:eastAsia="SimSun"/>
          <w:lang w:val="en-GB"/>
        </w:rPr>
        <w:t>biomass productivity, g</w:t>
      </w:r>
      <w:r w:rsidR="00754B6E" w:rsidRPr="00A0384E">
        <w:rPr>
          <w:rFonts w:eastAsia="SimSun"/>
          <w:vertAlign w:val="subscript"/>
          <w:lang w:val="en-GB"/>
        </w:rPr>
        <w:t>X</w:t>
      </w:r>
      <w:r w:rsidR="00754B6E">
        <w:rPr>
          <w:rFonts w:eastAsia="SimSun"/>
          <w:lang w:val="en-GB"/>
        </w:rPr>
        <w:t xml:space="preserve"> L</w:t>
      </w:r>
      <w:r w:rsidR="00754B6E" w:rsidRPr="00A0384E">
        <w:rPr>
          <w:rFonts w:eastAsia="SimSun"/>
          <w:vertAlign w:val="superscript"/>
          <w:lang w:val="en-GB"/>
        </w:rPr>
        <w:t>-1</w:t>
      </w:r>
      <w:r w:rsidR="00754B6E">
        <w:rPr>
          <w:rFonts w:eastAsia="SimSun"/>
          <w:vertAlign w:val="superscript"/>
          <w:lang w:val="en-GB"/>
        </w:rPr>
        <w:t xml:space="preserve"> </w:t>
      </w:r>
      <w:r w:rsidR="00754B6E">
        <w:rPr>
          <w:rFonts w:eastAsia="SimSun"/>
          <w:lang w:val="en-GB"/>
        </w:rPr>
        <w:t>d</w:t>
      </w:r>
      <w:r w:rsidR="00754B6E" w:rsidRPr="00754B6E">
        <w:rPr>
          <w:rFonts w:eastAsia="SimSun"/>
          <w:vertAlign w:val="superscript"/>
          <w:lang w:val="en-GB"/>
        </w:rPr>
        <w:t>-1</w:t>
      </w:r>
    </w:p>
    <w:p w14:paraId="1AE3BDB3" w14:textId="6AAF22B9" w:rsidR="000040C2" w:rsidRPr="000040C2" w:rsidRDefault="005E0108" w:rsidP="00280FAF">
      <w:pPr>
        <w:pStyle w:val="CETBodytext"/>
        <w:jc w:val="left"/>
        <w:rPr>
          <w:rFonts w:eastAsia="SimSun"/>
          <w:vertAlign w:val="superscript"/>
          <w:lang w:val="en-GB"/>
        </w:rPr>
      </w:pPr>
      <w:r>
        <w:rPr>
          <w:rFonts w:eastAsia="SimSun" w:cs="Arial"/>
          <w:lang w:val="en-GB"/>
        </w:rPr>
        <w:t>τ</w:t>
      </w:r>
      <w:r w:rsidR="000040C2" w:rsidRPr="00F12EC6">
        <w:rPr>
          <w:rFonts w:eastAsia="SimSun"/>
          <w:lang w:val="en-GB"/>
        </w:rPr>
        <w:t xml:space="preserve"> – </w:t>
      </w:r>
      <w:r w:rsidR="000040C2">
        <w:rPr>
          <w:rFonts w:eastAsia="SimSun"/>
          <w:lang w:val="en-GB"/>
        </w:rPr>
        <w:t>re</w:t>
      </w:r>
      <w:r w:rsidR="00180C12">
        <w:rPr>
          <w:rFonts w:eastAsia="SimSun"/>
          <w:lang w:val="en-GB"/>
        </w:rPr>
        <w:t>sidence time</w:t>
      </w:r>
      <w:r w:rsidR="000040C2" w:rsidRPr="00F12EC6">
        <w:rPr>
          <w:rFonts w:eastAsia="SimSun"/>
          <w:lang w:val="en-GB"/>
        </w:rPr>
        <w:t xml:space="preserve">, </w:t>
      </w:r>
      <w:r w:rsidR="00180C12">
        <w:rPr>
          <w:rFonts w:eastAsia="SimSun"/>
          <w:lang w:val="en-GB"/>
        </w:rPr>
        <w:t>d</w:t>
      </w:r>
    </w:p>
    <w:p w14:paraId="6CD2A4CB" w14:textId="1391B1E2" w:rsidR="009606BE" w:rsidRPr="00D52DFC" w:rsidRDefault="00600535" w:rsidP="009A03C5">
      <w:pPr>
        <w:pStyle w:val="CETReference"/>
      </w:pPr>
      <w:r w:rsidRPr="00D52DFC">
        <w:t>References</w:t>
      </w:r>
    </w:p>
    <w:sdt>
      <w:sdtPr>
        <w:rPr>
          <w:rFonts w:cs="Arial"/>
          <w:color w:val="000000"/>
        </w:rPr>
        <w:tag w:val="MENDELEY_BIBLIOGRAPHY"/>
        <w:id w:val="1511414706"/>
        <w:placeholder>
          <w:docPart w:val="DefaultPlaceholder_-1854013440"/>
        </w:placeholder>
      </w:sdtPr>
      <w:sdtContent>
        <w:p w14:paraId="01DF0E56" w14:textId="07EF5BBD" w:rsidR="00B00328" w:rsidRPr="00B00328" w:rsidRDefault="00B00328">
          <w:pPr>
            <w:autoSpaceDE w:val="0"/>
            <w:autoSpaceDN w:val="0"/>
            <w:ind w:hanging="480"/>
            <w:divId w:val="233663948"/>
            <w:rPr>
              <w:rFonts w:cs="Arial"/>
              <w:color w:val="000000"/>
              <w:szCs w:val="24"/>
            </w:rPr>
          </w:pPr>
          <w:r w:rsidRPr="00B00328">
            <w:rPr>
              <w:rFonts w:cs="Arial"/>
              <w:color w:val="000000"/>
            </w:rPr>
            <w:t>Becker E.W., 2007</w:t>
          </w:r>
          <w:r w:rsidR="00CC61FF">
            <w:rPr>
              <w:rFonts w:cs="Arial"/>
              <w:color w:val="000000"/>
            </w:rPr>
            <w:t>,</w:t>
          </w:r>
          <w:r w:rsidRPr="00B00328">
            <w:rPr>
              <w:rFonts w:cs="Arial"/>
              <w:color w:val="000000"/>
            </w:rPr>
            <w:t xml:space="preserve"> Micro-algae as a source of protein</w:t>
          </w:r>
          <w:r w:rsidR="00DB5947">
            <w:rPr>
              <w:rFonts w:cs="Arial"/>
              <w:color w:val="000000"/>
            </w:rPr>
            <w:t>,</w:t>
          </w:r>
          <w:r w:rsidRPr="00B00328">
            <w:rPr>
              <w:rFonts w:cs="Arial"/>
              <w:color w:val="000000"/>
            </w:rPr>
            <w:t xml:space="preserve"> Biotechnol</w:t>
          </w:r>
          <w:r w:rsidR="002C717B">
            <w:rPr>
              <w:rFonts w:cs="Arial"/>
              <w:color w:val="000000"/>
            </w:rPr>
            <w:t>ogy</w:t>
          </w:r>
          <w:r w:rsidRPr="00B00328">
            <w:rPr>
              <w:rFonts w:cs="Arial"/>
              <w:color w:val="000000"/>
            </w:rPr>
            <w:t xml:space="preserve"> Adv</w:t>
          </w:r>
          <w:r w:rsidR="002C717B">
            <w:rPr>
              <w:rFonts w:cs="Arial"/>
              <w:color w:val="000000"/>
            </w:rPr>
            <w:t>ances</w:t>
          </w:r>
          <w:r w:rsidR="00DB5947">
            <w:rPr>
              <w:rFonts w:cs="Arial"/>
              <w:color w:val="000000"/>
            </w:rPr>
            <w:t>,</w:t>
          </w:r>
          <w:r w:rsidRPr="00B00328">
            <w:rPr>
              <w:rFonts w:cs="Arial"/>
              <w:color w:val="000000"/>
            </w:rPr>
            <w:t xml:space="preserve"> 25, 207–210. </w:t>
          </w:r>
        </w:p>
        <w:p w14:paraId="65359B42" w14:textId="6FF23687" w:rsidR="00B00328" w:rsidRPr="00B00328" w:rsidRDefault="00B00328">
          <w:pPr>
            <w:autoSpaceDE w:val="0"/>
            <w:autoSpaceDN w:val="0"/>
            <w:ind w:hanging="480"/>
            <w:divId w:val="1464621188"/>
            <w:rPr>
              <w:rFonts w:cs="Arial"/>
              <w:color w:val="000000"/>
            </w:rPr>
          </w:pPr>
          <w:proofErr w:type="spellStart"/>
          <w:r w:rsidRPr="00CC61FF">
            <w:rPr>
              <w:rFonts w:cs="Arial"/>
              <w:color w:val="000000"/>
            </w:rPr>
            <w:t>Bertucco</w:t>
          </w:r>
          <w:proofErr w:type="spellEnd"/>
          <w:r w:rsidRPr="00CC61FF">
            <w:rPr>
              <w:rFonts w:cs="Arial"/>
              <w:color w:val="000000"/>
            </w:rPr>
            <w:t xml:space="preserve"> A., </w:t>
          </w:r>
          <w:proofErr w:type="spellStart"/>
          <w:r w:rsidRPr="00CC61FF">
            <w:rPr>
              <w:rFonts w:cs="Arial"/>
              <w:color w:val="000000"/>
            </w:rPr>
            <w:t>Beraldi</w:t>
          </w:r>
          <w:proofErr w:type="spellEnd"/>
          <w:r w:rsidRPr="00CC61FF">
            <w:rPr>
              <w:rFonts w:cs="Arial"/>
              <w:color w:val="000000"/>
            </w:rPr>
            <w:t xml:space="preserve"> M., Sforza E., 2014</w:t>
          </w:r>
          <w:r w:rsidR="00CC61FF">
            <w:rPr>
              <w:rFonts w:cs="Arial"/>
              <w:color w:val="000000"/>
            </w:rPr>
            <w:t>,</w:t>
          </w:r>
          <w:r w:rsidRPr="00CC61FF">
            <w:rPr>
              <w:rFonts w:cs="Arial"/>
              <w:color w:val="000000"/>
            </w:rPr>
            <w:t xml:space="preserve"> </w:t>
          </w:r>
          <w:r w:rsidRPr="00B00328">
            <w:rPr>
              <w:rFonts w:cs="Arial"/>
              <w:color w:val="000000"/>
            </w:rPr>
            <w:t>Continuous microalgal cultivation in a laboratory-scale photobioreactor under seasonal day-night irradiation: Experiments and simulation</w:t>
          </w:r>
          <w:r w:rsidR="00CC61FF">
            <w:rPr>
              <w:rFonts w:cs="Arial"/>
              <w:color w:val="000000"/>
            </w:rPr>
            <w:t>,</w:t>
          </w:r>
          <w:r w:rsidRPr="00B00328">
            <w:rPr>
              <w:rFonts w:cs="Arial"/>
              <w:color w:val="000000"/>
            </w:rPr>
            <w:t xml:space="preserve"> Bioprocess </w:t>
          </w:r>
          <w:r w:rsidR="00CC61FF">
            <w:rPr>
              <w:rFonts w:cs="Arial"/>
              <w:color w:val="000000"/>
            </w:rPr>
            <w:t xml:space="preserve">and </w:t>
          </w:r>
          <w:r w:rsidRPr="00B00328">
            <w:rPr>
              <w:rFonts w:cs="Arial"/>
              <w:color w:val="000000"/>
            </w:rPr>
            <w:t>Biosyst</w:t>
          </w:r>
          <w:r w:rsidR="00DB5947">
            <w:rPr>
              <w:rFonts w:cs="Arial"/>
              <w:color w:val="000000"/>
            </w:rPr>
            <w:t>ems Engineering,</w:t>
          </w:r>
          <w:r w:rsidRPr="00B00328">
            <w:rPr>
              <w:rFonts w:cs="Arial"/>
              <w:color w:val="000000"/>
            </w:rPr>
            <w:t xml:space="preserve"> 37, 1535–1542.</w:t>
          </w:r>
        </w:p>
        <w:p w14:paraId="54921EA6" w14:textId="320775E0" w:rsidR="00B00328" w:rsidRPr="00B00328" w:rsidRDefault="00B00328">
          <w:pPr>
            <w:autoSpaceDE w:val="0"/>
            <w:autoSpaceDN w:val="0"/>
            <w:ind w:hanging="480"/>
            <w:divId w:val="1106928798"/>
            <w:rPr>
              <w:rFonts w:cs="Arial"/>
              <w:color w:val="000000"/>
            </w:rPr>
          </w:pPr>
          <w:r w:rsidRPr="00B00328">
            <w:rPr>
              <w:rFonts w:cs="Arial"/>
              <w:color w:val="000000"/>
            </w:rPr>
            <w:t>Craggs R., Sutherland D., Campbell H., 2012</w:t>
          </w:r>
          <w:r w:rsidR="00B260F6">
            <w:rPr>
              <w:rFonts w:cs="Arial"/>
              <w:color w:val="000000"/>
            </w:rPr>
            <w:t>,</w:t>
          </w:r>
          <w:r w:rsidRPr="00B00328">
            <w:rPr>
              <w:rFonts w:cs="Arial"/>
              <w:color w:val="000000"/>
            </w:rPr>
            <w:t xml:space="preserve"> Hectare-scale demonstration of </w:t>
          </w:r>
          <w:proofErr w:type="gramStart"/>
          <w:r w:rsidRPr="00B00328">
            <w:rPr>
              <w:rFonts w:cs="Arial"/>
              <w:color w:val="000000"/>
            </w:rPr>
            <w:t>high rate</w:t>
          </w:r>
          <w:proofErr w:type="gramEnd"/>
          <w:r w:rsidRPr="00B00328">
            <w:rPr>
              <w:rFonts w:cs="Arial"/>
              <w:color w:val="000000"/>
            </w:rPr>
            <w:t xml:space="preserve"> algal ponds for enhanced wastewater treatment and biofuel production</w:t>
          </w:r>
          <w:r w:rsidR="00B260F6">
            <w:rPr>
              <w:rFonts w:cs="Arial"/>
              <w:color w:val="000000"/>
            </w:rPr>
            <w:t>,</w:t>
          </w:r>
          <w:r w:rsidRPr="00B00328">
            <w:rPr>
              <w:rFonts w:cs="Arial"/>
              <w:color w:val="000000"/>
            </w:rPr>
            <w:t xml:space="preserve"> Journal of Applied Phycology</w:t>
          </w:r>
          <w:r w:rsidR="00B260F6">
            <w:rPr>
              <w:rFonts w:cs="Arial"/>
              <w:color w:val="000000"/>
            </w:rPr>
            <w:t xml:space="preserve">, </w:t>
          </w:r>
          <w:r w:rsidRPr="00B00328">
            <w:rPr>
              <w:rFonts w:cs="Arial"/>
              <w:color w:val="000000"/>
            </w:rPr>
            <w:t>24, 329–337.</w:t>
          </w:r>
        </w:p>
        <w:p w14:paraId="04AEB7D3" w14:textId="7F112D06" w:rsidR="00B00328" w:rsidRPr="00B00328" w:rsidRDefault="00B00328">
          <w:pPr>
            <w:autoSpaceDE w:val="0"/>
            <w:autoSpaceDN w:val="0"/>
            <w:ind w:hanging="480"/>
            <w:divId w:val="65151206"/>
            <w:rPr>
              <w:rFonts w:cs="Arial"/>
              <w:color w:val="000000"/>
            </w:rPr>
          </w:pPr>
          <w:r w:rsidRPr="00B00328">
            <w:rPr>
              <w:rFonts w:cs="Arial"/>
              <w:color w:val="000000"/>
            </w:rPr>
            <w:t>Day J.G., Gong Y., Hu Q., 2017</w:t>
          </w:r>
          <w:r w:rsidR="00B260F6">
            <w:rPr>
              <w:rFonts w:cs="Arial"/>
              <w:color w:val="000000"/>
            </w:rPr>
            <w:t>,</w:t>
          </w:r>
          <w:r w:rsidRPr="00B00328">
            <w:rPr>
              <w:rFonts w:cs="Arial"/>
              <w:color w:val="000000"/>
            </w:rPr>
            <w:t xml:space="preserve"> </w:t>
          </w:r>
          <w:proofErr w:type="spellStart"/>
          <w:r w:rsidRPr="00B00328">
            <w:rPr>
              <w:rFonts w:cs="Arial"/>
              <w:color w:val="000000"/>
            </w:rPr>
            <w:t>Microzooplanktonic</w:t>
          </w:r>
          <w:proofErr w:type="spellEnd"/>
          <w:r w:rsidRPr="00B00328">
            <w:rPr>
              <w:rFonts w:cs="Arial"/>
              <w:color w:val="000000"/>
            </w:rPr>
            <w:t xml:space="preserve"> grazers – A potentially devastating threat to the commercial success of microalgal mass culture</w:t>
          </w:r>
          <w:r w:rsidR="00B260F6">
            <w:rPr>
              <w:rFonts w:cs="Arial"/>
              <w:color w:val="000000"/>
            </w:rPr>
            <w:t>,</w:t>
          </w:r>
          <w:r w:rsidRPr="00B00328">
            <w:rPr>
              <w:rFonts w:cs="Arial"/>
              <w:color w:val="000000"/>
            </w:rPr>
            <w:t xml:space="preserve"> Algal</w:t>
          </w:r>
          <w:r w:rsidR="00B260F6">
            <w:rPr>
              <w:rFonts w:cs="Arial"/>
              <w:color w:val="000000"/>
            </w:rPr>
            <w:t xml:space="preserve"> Research,</w:t>
          </w:r>
          <w:r w:rsidRPr="00B00328">
            <w:rPr>
              <w:rFonts w:cs="Arial"/>
              <w:color w:val="000000"/>
            </w:rPr>
            <w:t xml:space="preserve"> 27, 356–365.</w:t>
          </w:r>
        </w:p>
        <w:p w14:paraId="3DCED43F" w14:textId="03909CDF" w:rsidR="00B00328" w:rsidRPr="001B0DE3" w:rsidRDefault="00B00328">
          <w:pPr>
            <w:autoSpaceDE w:val="0"/>
            <w:autoSpaceDN w:val="0"/>
            <w:ind w:hanging="480"/>
            <w:divId w:val="550195316"/>
            <w:rPr>
              <w:rFonts w:cs="Arial"/>
              <w:color w:val="000000"/>
            </w:rPr>
          </w:pPr>
          <w:r w:rsidRPr="00B260F6">
            <w:rPr>
              <w:rFonts w:cs="Arial"/>
              <w:color w:val="000000"/>
            </w:rPr>
            <w:t xml:space="preserve">Hata N., Ogbonna J.C., Hasegawa Y., </w:t>
          </w:r>
          <w:proofErr w:type="spellStart"/>
          <w:r w:rsidRPr="00B260F6">
            <w:rPr>
              <w:rFonts w:cs="Arial"/>
              <w:color w:val="000000"/>
            </w:rPr>
            <w:t>Taroda</w:t>
          </w:r>
          <w:proofErr w:type="spellEnd"/>
          <w:r w:rsidRPr="00B260F6">
            <w:rPr>
              <w:rFonts w:cs="Arial"/>
              <w:color w:val="000000"/>
            </w:rPr>
            <w:t xml:space="preserve"> H., Tanaka H., 2001</w:t>
          </w:r>
          <w:r w:rsidR="00B260F6">
            <w:rPr>
              <w:rFonts w:cs="Arial"/>
              <w:color w:val="000000"/>
            </w:rPr>
            <w:t>,</w:t>
          </w:r>
          <w:r w:rsidRPr="00B260F6">
            <w:rPr>
              <w:rFonts w:cs="Arial"/>
              <w:color w:val="000000"/>
            </w:rPr>
            <w:t xml:space="preserve"> </w:t>
          </w:r>
          <w:r w:rsidRPr="00B00328">
            <w:rPr>
              <w:rFonts w:cs="Arial"/>
              <w:color w:val="000000"/>
            </w:rPr>
            <w:t xml:space="preserve">Production of astaxanthin by </w:t>
          </w:r>
          <w:proofErr w:type="spellStart"/>
          <w:r w:rsidRPr="00B00328">
            <w:rPr>
              <w:rFonts w:cs="Arial"/>
              <w:color w:val="000000"/>
            </w:rPr>
            <w:t>Haematococcus</w:t>
          </w:r>
          <w:proofErr w:type="spellEnd"/>
          <w:r w:rsidRPr="00B00328">
            <w:rPr>
              <w:rFonts w:cs="Arial"/>
              <w:color w:val="000000"/>
            </w:rPr>
            <w:t xml:space="preserve"> </w:t>
          </w:r>
          <w:proofErr w:type="spellStart"/>
          <w:r w:rsidRPr="00B00328">
            <w:rPr>
              <w:rFonts w:cs="Arial"/>
              <w:color w:val="000000"/>
            </w:rPr>
            <w:t>pluvialis</w:t>
          </w:r>
          <w:proofErr w:type="spellEnd"/>
          <w:r w:rsidRPr="00B00328">
            <w:rPr>
              <w:rFonts w:cs="Arial"/>
              <w:color w:val="000000"/>
            </w:rPr>
            <w:t xml:space="preserve"> in a sequential heterotrophic-photoautotrophic culture</w:t>
          </w:r>
          <w:r w:rsidR="00B260F6">
            <w:rPr>
              <w:rFonts w:cs="Arial"/>
              <w:color w:val="000000"/>
            </w:rPr>
            <w:t>,</w:t>
          </w:r>
          <w:r w:rsidRPr="00B00328">
            <w:rPr>
              <w:rFonts w:cs="Arial"/>
              <w:color w:val="000000"/>
            </w:rPr>
            <w:t xml:space="preserve"> </w:t>
          </w:r>
          <w:r w:rsidRPr="00B260F6">
            <w:rPr>
              <w:rFonts w:cs="Arial"/>
              <w:color w:val="000000"/>
            </w:rPr>
            <w:t>J</w:t>
          </w:r>
          <w:r w:rsidR="001B0DE3">
            <w:rPr>
              <w:rFonts w:cs="Arial"/>
              <w:color w:val="000000"/>
            </w:rPr>
            <w:t>ournal</w:t>
          </w:r>
          <w:r w:rsidRPr="00B260F6">
            <w:rPr>
              <w:rFonts w:cs="Arial"/>
              <w:color w:val="000000"/>
            </w:rPr>
            <w:t xml:space="preserve"> </w:t>
          </w:r>
          <w:r w:rsidR="001B0DE3">
            <w:rPr>
              <w:rFonts w:cs="Arial"/>
              <w:color w:val="000000"/>
            </w:rPr>
            <w:t xml:space="preserve">of </w:t>
          </w:r>
          <w:r w:rsidRPr="00B260F6">
            <w:rPr>
              <w:rFonts w:cs="Arial"/>
              <w:color w:val="000000"/>
            </w:rPr>
            <w:t>Appl</w:t>
          </w:r>
          <w:r w:rsidR="001B0DE3">
            <w:rPr>
              <w:rFonts w:cs="Arial"/>
              <w:color w:val="000000"/>
            </w:rPr>
            <w:t>ied</w:t>
          </w:r>
          <w:r w:rsidRPr="00B260F6">
            <w:rPr>
              <w:rFonts w:cs="Arial"/>
              <w:color w:val="000000"/>
            </w:rPr>
            <w:t xml:space="preserve"> </w:t>
          </w:r>
          <w:r w:rsidRPr="001B0DE3">
            <w:rPr>
              <w:rFonts w:cs="Arial"/>
              <w:color w:val="000000"/>
            </w:rPr>
            <w:t>Phycol</w:t>
          </w:r>
          <w:r w:rsidR="001B0DE3">
            <w:rPr>
              <w:rFonts w:cs="Arial"/>
              <w:color w:val="000000"/>
            </w:rPr>
            <w:t>ogy,</w:t>
          </w:r>
          <w:r w:rsidRPr="001B0DE3">
            <w:rPr>
              <w:rFonts w:cs="Arial"/>
              <w:color w:val="000000"/>
            </w:rPr>
            <w:t xml:space="preserve"> 13, 395–402.</w:t>
          </w:r>
        </w:p>
        <w:p w14:paraId="42B15060" w14:textId="46DA1148" w:rsidR="00B00328" w:rsidRPr="00B00328" w:rsidRDefault="00B00328">
          <w:pPr>
            <w:autoSpaceDE w:val="0"/>
            <w:autoSpaceDN w:val="0"/>
            <w:ind w:hanging="480"/>
            <w:divId w:val="1802723741"/>
            <w:rPr>
              <w:rFonts w:cs="Arial"/>
              <w:color w:val="000000"/>
            </w:rPr>
          </w:pPr>
          <w:r w:rsidRPr="001B0DE3">
            <w:rPr>
              <w:rFonts w:cs="Arial"/>
              <w:color w:val="000000"/>
            </w:rPr>
            <w:t>Lage S., Gentili F.G., 2023</w:t>
          </w:r>
          <w:r w:rsidR="001B0DE3">
            <w:rPr>
              <w:rFonts w:cs="Arial"/>
              <w:color w:val="000000"/>
            </w:rPr>
            <w:t>,</w:t>
          </w:r>
          <w:r w:rsidRPr="001B0DE3">
            <w:rPr>
              <w:rFonts w:cs="Arial"/>
              <w:color w:val="000000"/>
            </w:rPr>
            <w:t xml:space="preserve"> </w:t>
          </w:r>
          <w:r w:rsidRPr="00B00328">
            <w:rPr>
              <w:rFonts w:cs="Arial"/>
              <w:color w:val="000000"/>
            </w:rPr>
            <w:t>Chemical composition and species identification of microalgal biomass grown at pilot-scale with municipal wastewater and CO2 from flue gases</w:t>
          </w:r>
          <w:r w:rsidR="001B0DE3">
            <w:rPr>
              <w:rFonts w:cs="Arial"/>
              <w:color w:val="000000"/>
            </w:rPr>
            <w:t>,</w:t>
          </w:r>
          <w:r w:rsidRPr="00B00328">
            <w:rPr>
              <w:rFonts w:cs="Arial"/>
              <w:color w:val="000000"/>
            </w:rPr>
            <w:t xml:space="preserve"> Chemosphere</w:t>
          </w:r>
          <w:r w:rsidR="00BA601C">
            <w:rPr>
              <w:rFonts w:cs="Arial"/>
              <w:color w:val="000000"/>
            </w:rPr>
            <w:t>,</w:t>
          </w:r>
          <w:r w:rsidRPr="00B00328">
            <w:rPr>
              <w:rFonts w:cs="Arial"/>
              <w:color w:val="000000"/>
            </w:rPr>
            <w:t xml:space="preserve"> 313, 137344.</w:t>
          </w:r>
        </w:p>
        <w:p w14:paraId="27654466" w14:textId="707CC551" w:rsidR="00B00328" w:rsidRPr="00B00328" w:rsidRDefault="00B00328">
          <w:pPr>
            <w:autoSpaceDE w:val="0"/>
            <w:autoSpaceDN w:val="0"/>
            <w:ind w:hanging="480"/>
            <w:divId w:val="1698307308"/>
            <w:rPr>
              <w:rFonts w:cs="Arial"/>
              <w:color w:val="000000"/>
            </w:rPr>
          </w:pPr>
          <w:r w:rsidRPr="00BA601C">
            <w:rPr>
              <w:rFonts w:cs="Arial"/>
              <w:color w:val="000000"/>
            </w:rPr>
            <w:t>Perez-Garcia O., Escalante F.M.E., de-Bashan L.E., Bashan Y., 2011</w:t>
          </w:r>
          <w:r w:rsidR="00BA601C">
            <w:rPr>
              <w:rFonts w:cs="Arial"/>
              <w:color w:val="000000"/>
            </w:rPr>
            <w:t>,</w:t>
          </w:r>
          <w:r w:rsidRPr="00BA601C">
            <w:rPr>
              <w:rFonts w:cs="Arial"/>
              <w:color w:val="000000"/>
            </w:rPr>
            <w:t xml:space="preserve"> </w:t>
          </w:r>
          <w:r w:rsidRPr="00B00328">
            <w:rPr>
              <w:rFonts w:cs="Arial"/>
              <w:color w:val="000000"/>
            </w:rPr>
            <w:t>Heterotrophic cultures of microalgae: metabolism and potential products</w:t>
          </w:r>
          <w:r w:rsidR="00BA601C">
            <w:rPr>
              <w:rFonts w:cs="Arial"/>
              <w:color w:val="000000"/>
            </w:rPr>
            <w:t>,</w:t>
          </w:r>
          <w:r w:rsidRPr="00B00328">
            <w:rPr>
              <w:rFonts w:cs="Arial"/>
              <w:color w:val="000000"/>
            </w:rPr>
            <w:t xml:space="preserve"> Water Res</w:t>
          </w:r>
          <w:r w:rsidR="008848AE">
            <w:rPr>
              <w:rFonts w:cs="Arial"/>
              <w:color w:val="000000"/>
            </w:rPr>
            <w:t>earch,</w:t>
          </w:r>
          <w:r w:rsidRPr="00B00328">
            <w:rPr>
              <w:rFonts w:cs="Arial"/>
              <w:color w:val="000000"/>
            </w:rPr>
            <w:t xml:space="preserve"> 45, 11–36.</w:t>
          </w:r>
        </w:p>
        <w:p w14:paraId="72FDC881" w14:textId="44BED6C0" w:rsidR="00B00328" w:rsidRPr="00B00328" w:rsidRDefault="00B00328">
          <w:pPr>
            <w:autoSpaceDE w:val="0"/>
            <w:autoSpaceDN w:val="0"/>
            <w:ind w:hanging="480"/>
            <w:divId w:val="1630740289"/>
            <w:rPr>
              <w:rFonts w:cs="Arial"/>
              <w:color w:val="000000"/>
            </w:rPr>
          </w:pPr>
          <w:proofErr w:type="spellStart"/>
          <w:r w:rsidRPr="00B00328">
            <w:rPr>
              <w:rFonts w:cs="Arial"/>
              <w:color w:val="000000"/>
            </w:rPr>
            <w:t>Pleissner</w:t>
          </w:r>
          <w:proofErr w:type="spellEnd"/>
          <w:r w:rsidRPr="00B00328">
            <w:rPr>
              <w:rFonts w:cs="Arial"/>
              <w:color w:val="000000"/>
            </w:rPr>
            <w:t xml:space="preserve"> D., Händel N., </w:t>
          </w:r>
          <w:proofErr w:type="spellStart"/>
          <w:r w:rsidRPr="00B00328">
            <w:rPr>
              <w:rFonts w:cs="Arial"/>
              <w:color w:val="000000"/>
            </w:rPr>
            <w:t>Schönfelder</w:t>
          </w:r>
          <w:proofErr w:type="spellEnd"/>
          <w:r w:rsidRPr="00B00328">
            <w:rPr>
              <w:rFonts w:cs="Arial"/>
              <w:color w:val="000000"/>
            </w:rPr>
            <w:t xml:space="preserve"> S., </w:t>
          </w:r>
          <w:proofErr w:type="spellStart"/>
          <w:r w:rsidRPr="00B00328">
            <w:rPr>
              <w:rFonts w:cs="Arial"/>
              <w:color w:val="000000"/>
            </w:rPr>
            <w:t>Petrusan</w:t>
          </w:r>
          <w:proofErr w:type="spellEnd"/>
          <w:r w:rsidRPr="00B00328">
            <w:rPr>
              <w:rFonts w:cs="Arial"/>
              <w:color w:val="000000"/>
            </w:rPr>
            <w:t xml:space="preserve"> J.I., Queiroz Silva B., Schröder J., Müller J., Cowan K., Smetana S., 2025</w:t>
          </w:r>
          <w:r w:rsidR="008848AE">
            <w:rPr>
              <w:rFonts w:cs="Arial"/>
              <w:color w:val="000000"/>
            </w:rPr>
            <w:t>,</w:t>
          </w:r>
          <w:r w:rsidRPr="00B00328">
            <w:rPr>
              <w:rFonts w:cs="Arial"/>
              <w:color w:val="000000"/>
            </w:rPr>
            <w:t xml:space="preserve"> Long-term heterotrophic cultivation of </w:t>
          </w:r>
          <w:proofErr w:type="spellStart"/>
          <w:r w:rsidRPr="00B00328">
            <w:rPr>
              <w:rFonts w:cs="Arial"/>
              <w:color w:val="000000"/>
            </w:rPr>
            <w:t>Galdieria</w:t>
          </w:r>
          <w:proofErr w:type="spellEnd"/>
          <w:r w:rsidRPr="00B00328">
            <w:rPr>
              <w:rFonts w:cs="Arial"/>
              <w:color w:val="000000"/>
            </w:rPr>
            <w:t xml:space="preserve"> </w:t>
          </w:r>
          <w:proofErr w:type="spellStart"/>
          <w:r w:rsidRPr="00B00328">
            <w:rPr>
              <w:rFonts w:cs="Arial"/>
              <w:color w:val="000000"/>
            </w:rPr>
            <w:t>sulphuraria</w:t>
          </w:r>
          <w:proofErr w:type="spellEnd"/>
          <w:r w:rsidRPr="00B00328">
            <w:rPr>
              <w:rFonts w:cs="Arial"/>
              <w:color w:val="000000"/>
            </w:rPr>
            <w:t xml:space="preserve"> at technical scale under non-sterile conditions</w:t>
          </w:r>
          <w:r w:rsidR="008848AE">
            <w:rPr>
              <w:rFonts w:cs="Arial"/>
              <w:color w:val="000000"/>
            </w:rPr>
            <w:t>,</w:t>
          </w:r>
          <w:r w:rsidRPr="00B00328">
            <w:rPr>
              <w:rFonts w:cs="Arial"/>
              <w:color w:val="000000"/>
            </w:rPr>
            <w:t xml:space="preserve"> Sustainable Chemistry One World</w:t>
          </w:r>
          <w:r w:rsidR="008848AE">
            <w:rPr>
              <w:rFonts w:cs="Arial"/>
              <w:color w:val="000000"/>
            </w:rPr>
            <w:t>,</w:t>
          </w:r>
          <w:r w:rsidRPr="00B00328">
            <w:rPr>
              <w:rFonts w:cs="Arial"/>
              <w:color w:val="000000"/>
            </w:rPr>
            <w:t xml:space="preserve"> 8, 100116.</w:t>
          </w:r>
        </w:p>
        <w:p w14:paraId="0D01F9B2" w14:textId="7897BA14" w:rsidR="00B00328" w:rsidRPr="00B00328" w:rsidRDefault="00B00328">
          <w:pPr>
            <w:autoSpaceDE w:val="0"/>
            <w:autoSpaceDN w:val="0"/>
            <w:ind w:hanging="480"/>
            <w:divId w:val="656348624"/>
            <w:rPr>
              <w:rFonts w:cs="Arial"/>
              <w:color w:val="000000"/>
            </w:rPr>
          </w:pPr>
          <w:r w:rsidRPr="00B00328">
            <w:rPr>
              <w:rFonts w:cs="Arial"/>
              <w:color w:val="000000"/>
            </w:rPr>
            <w:t>Sloth J.K., Wiebe M.G., Eriksen N.T., 2006</w:t>
          </w:r>
          <w:r w:rsidR="008848AE">
            <w:rPr>
              <w:rFonts w:cs="Arial"/>
              <w:color w:val="000000"/>
            </w:rPr>
            <w:t>,</w:t>
          </w:r>
          <w:r w:rsidRPr="00B00328">
            <w:rPr>
              <w:rFonts w:cs="Arial"/>
              <w:color w:val="000000"/>
            </w:rPr>
            <w:t xml:space="preserve"> Accumulation of phycocyanin in heterotrophic and mixotrophic cultures of the acidophilic red alga </w:t>
          </w:r>
          <w:proofErr w:type="spellStart"/>
          <w:r w:rsidRPr="00B00328">
            <w:rPr>
              <w:rFonts w:cs="Arial"/>
              <w:color w:val="000000"/>
            </w:rPr>
            <w:t>Galdieria</w:t>
          </w:r>
          <w:proofErr w:type="spellEnd"/>
          <w:r w:rsidRPr="00B00328">
            <w:rPr>
              <w:rFonts w:cs="Arial"/>
              <w:color w:val="000000"/>
            </w:rPr>
            <w:t xml:space="preserve"> </w:t>
          </w:r>
          <w:proofErr w:type="spellStart"/>
          <w:r w:rsidRPr="00B00328">
            <w:rPr>
              <w:rFonts w:cs="Arial"/>
              <w:color w:val="000000"/>
            </w:rPr>
            <w:t>sulphuraria</w:t>
          </w:r>
          <w:proofErr w:type="spellEnd"/>
          <w:r w:rsidR="008848AE">
            <w:rPr>
              <w:rFonts w:cs="Arial"/>
              <w:color w:val="000000"/>
            </w:rPr>
            <w:t>,</w:t>
          </w:r>
          <w:r w:rsidRPr="00B00328">
            <w:rPr>
              <w:rFonts w:cs="Arial"/>
              <w:color w:val="000000"/>
            </w:rPr>
            <w:t xml:space="preserve"> Enzyme</w:t>
          </w:r>
          <w:r w:rsidR="002A2397">
            <w:rPr>
              <w:rFonts w:cs="Arial"/>
              <w:color w:val="000000"/>
            </w:rPr>
            <w:t xml:space="preserve"> and</w:t>
          </w:r>
          <w:r w:rsidRPr="00B00328">
            <w:rPr>
              <w:rFonts w:cs="Arial"/>
              <w:color w:val="000000"/>
            </w:rPr>
            <w:t xml:space="preserve"> Microb</w:t>
          </w:r>
          <w:r w:rsidR="002A2397">
            <w:rPr>
              <w:rFonts w:cs="Arial"/>
              <w:color w:val="000000"/>
            </w:rPr>
            <w:t>ial Technology,</w:t>
          </w:r>
          <w:r w:rsidRPr="00B00328">
            <w:rPr>
              <w:rFonts w:cs="Arial"/>
              <w:color w:val="000000"/>
            </w:rPr>
            <w:t xml:space="preserve"> 38, 168–175.</w:t>
          </w:r>
        </w:p>
        <w:p w14:paraId="21A937C3" w14:textId="77777777" w:rsidR="00917CF5" w:rsidRDefault="00B00328" w:rsidP="00917CF5">
          <w:pPr>
            <w:autoSpaceDE w:val="0"/>
            <w:autoSpaceDN w:val="0"/>
            <w:ind w:hanging="480"/>
            <w:divId w:val="1871213578"/>
            <w:rPr>
              <w:rFonts w:cs="Arial"/>
              <w:color w:val="000000"/>
            </w:rPr>
          </w:pPr>
          <w:r w:rsidRPr="00B00328">
            <w:rPr>
              <w:rFonts w:cs="Arial"/>
              <w:color w:val="000000"/>
            </w:rPr>
            <w:t xml:space="preserve">Van </w:t>
          </w:r>
          <w:proofErr w:type="spellStart"/>
          <w:r w:rsidRPr="00B00328">
            <w:rPr>
              <w:rFonts w:cs="Arial"/>
              <w:color w:val="000000"/>
            </w:rPr>
            <w:t>Bodegom</w:t>
          </w:r>
          <w:proofErr w:type="spellEnd"/>
          <w:r w:rsidRPr="00B00328">
            <w:rPr>
              <w:rFonts w:cs="Arial"/>
              <w:color w:val="000000"/>
            </w:rPr>
            <w:t xml:space="preserve"> P., 2007</w:t>
          </w:r>
          <w:r w:rsidR="002A2397">
            <w:rPr>
              <w:rFonts w:cs="Arial"/>
              <w:color w:val="000000"/>
            </w:rPr>
            <w:t>,</w:t>
          </w:r>
          <w:r w:rsidRPr="00B00328">
            <w:rPr>
              <w:rFonts w:cs="Arial"/>
              <w:color w:val="000000"/>
            </w:rPr>
            <w:t xml:space="preserve"> Microbial Maintenance: A Critical Review on Its Quantification</w:t>
          </w:r>
          <w:r w:rsidR="002A2397">
            <w:rPr>
              <w:rFonts w:cs="Arial"/>
              <w:color w:val="000000"/>
            </w:rPr>
            <w:t>,</w:t>
          </w:r>
          <w:r w:rsidRPr="00B00328">
            <w:rPr>
              <w:rFonts w:cs="Arial"/>
              <w:color w:val="000000"/>
            </w:rPr>
            <w:t xml:space="preserve"> Microb</w:t>
          </w:r>
          <w:r w:rsidR="002A2397">
            <w:rPr>
              <w:rFonts w:cs="Arial"/>
              <w:color w:val="000000"/>
            </w:rPr>
            <w:t>ial</w:t>
          </w:r>
          <w:r w:rsidRPr="00B00328">
            <w:rPr>
              <w:rFonts w:cs="Arial"/>
              <w:color w:val="000000"/>
            </w:rPr>
            <w:t xml:space="preserve"> Ecol</w:t>
          </w:r>
          <w:r w:rsidR="002A2397">
            <w:rPr>
              <w:rFonts w:cs="Arial"/>
              <w:color w:val="000000"/>
            </w:rPr>
            <w:t>ogy,</w:t>
          </w:r>
          <w:r w:rsidRPr="00B00328">
            <w:rPr>
              <w:rFonts w:cs="Arial"/>
              <w:color w:val="000000"/>
            </w:rPr>
            <w:t xml:space="preserve"> 53, 513</w:t>
          </w:r>
          <w:r w:rsidR="002A2397">
            <w:rPr>
              <w:rFonts w:cs="Arial"/>
              <w:color w:val="000000"/>
            </w:rPr>
            <w:t>.</w:t>
          </w:r>
        </w:p>
        <w:p w14:paraId="5A13856B" w14:textId="71C44EC8" w:rsidR="006B4888" w:rsidRPr="004C2990" w:rsidRDefault="00B00328" w:rsidP="00917CF5">
          <w:pPr>
            <w:autoSpaceDE w:val="0"/>
            <w:autoSpaceDN w:val="0"/>
            <w:ind w:hanging="480"/>
            <w:divId w:val="1871213578"/>
            <w:rPr>
              <w:rFonts w:cs="Arial"/>
              <w:color w:val="000000"/>
            </w:rPr>
          </w:pPr>
          <w:proofErr w:type="spellStart"/>
          <w:r w:rsidRPr="00B00328">
            <w:rPr>
              <w:rFonts w:cs="Arial"/>
              <w:color w:val="000000"/>
            </w:rPr>
            <w:t>Zeebe</w:t>
          </w:r>
          <w:proofErr w:type="spellEnd"/>
          <w:r w:rsidRPr="00B00328">
            <w:rPr>
              <w:rFonts w:cs="Arial"/>
              <w:color w:val="000000"/>
            </w:rPr>
            <w:t xml:space="preserve"> R.E., Wolf-</w:t>
          </w:r>
          <w:proofErr w:type="spellStart"/>
          <w:r w:rsidRPr="00B00328">
            <w:rPr>
              <w:rFonts w:cs="Arial"/>
              <w:color w:val="000000"/>
            </w:rPr>
            <w:t>Gladrow</w:t>
          </w:r>
          <w:proofErr w:type="spellEnd"/>
          <w:r w:rsidRPr="00B00328">
            <w:rPr>
              <w:rFonts w:cs="Arial"/>
              <w:color w:val="000000"/>
            </w:rPr>
            <w:t xml:space="preserve"> D., 2001</w:t>
          </w:r>
          <w:r w:rsidR="002A2397">
            <w:rPr>
              <w:rFonts w:cs="Arial"/>
              <w:color w:val="000000"/>
            </w:rPr>
            <w:t>,</w:t>
          </w:r>
          <w:r w:rsidRPr="00B00328">
            <w:rPr>
              <w:rFonts w:cs="Arial"/>
              <w:color w:val="000000"/>
            </w:rPr>
            <w:t xml:space="preserve"> CO2 in Seawater: Equilibrium, Kinetics, Isotopes</w:t>
          </w:r>
          <w:r w:rsidR="002A2397">
            <w:rPr>
              <w:rFonts w:cs="Arial"/>
              <w:color w:val="000000"/>
            </w:rPr>
            <w:t xml:space="preserve">, </w:t>
          </w:r>
          <w:r w:rsidR="00917CF5">
            <w:rPr>
              <w:rFonts w:cs="Arial"/>
              <w:color w:val="000000"/>
            </w:rPr>
            <w:t>Elsevier Science, Amsterdam, The Nether</w:t>
          </w:r>
          <w:r w:rsidR="00B57975">
            <w:rPr>
              <w:rFonts w:cs="Arial"/>
              <w:color w:val="000000"/>
            </w:rPr>
            <w:t>lands.</w:t>
          </w:r>
        </w:p>
      </w:sdtContent>
    </w:sdt>
    <w:p w14:paraId="7B63E251" w14:textId="77777777" w:rsidR="004C2990" w:rsidRDefault="004C2990" w:rsidP="004C2990">
      <w:pPr>
        <w:autoSpaceDE w:val="0"/>
        <w:autoSpaceDN w:val="0"/>
        <w:ind w:hanging="480"/>
        <w:rPr>
          <w:rFonts w:cs="Arial"/>
          <w:color w:val="000000"/>
        </w:rPr>
      </w:pPr>
    </w:p>
    <w:p w14:paraId="68440353" w14:textId="77777777" w:rsidR="004C2990" w:rsidRDefault="004C2990" w:rsidP="004C2990">
      <w:pPr>
        <w:autoSpaceDE w:val="0"/>
        <w:autoSpaceDN w:val="0"/>
        <w:ind w:hanging="480"/>
        <w:rPr>
          <w:rFonts w:cs="Arial"/>
          <w:color w:val="000000"/>
        </w:rPr>
      </w:pPr>
    </w:p>
    <w:p w14:paraId="464E9360" w14:textId="641CD817" w:rsidR="004C2990" w:rsidRPr="00F12EC6" w:rsidRDefault="004C2990" w:rsidP="004C2990">
      <w:pPr>
        <w:pStyle w:val="CETReferencetext"/>
        <w:ind w:left="0" w:firstLine="0"/>
      </w:pPr>
    </w:p>
    <w:sectPr w:rsidR="004C2990" w:rsidRPr="00F12EC6"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77F5E" w14:textId="77777777" w:rsidR="005A47F2" w:rsidRPr="00F12EC6" w:rsidRDefault="005A47F2" w:rsidP="004F5E36">
      <w:r w:rsidRPr="00F12EC6">
        <w:separator/>
      </w:r>
    </w:p>
  </w:endnote>
  <w:endnote w:type="continuationSeparator" w:id="0">
    <w:p w14:paraId="49BEDDE5" w14:textId="77777777" w:rsidR="005A47F2" w:rsidRPr="00F12EC6" w:rsidRDefault="005A47F2" w:rsidP="004F5E36">
      <w:r w:rsidRPr="00F12EC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E594B" w14:textId="77777777" w:rsidR="005A47F2" w:rsidRPr="00F12EC6" w:rsidRDefault="005A47F2" w:rsidP="004F5E36">
      <w:r w:rsidRPr="00F12EC6">
        <w:separator/>
      </w:r>
    </w:p>
  </w:footnote>
  <w:footnote w:type="continuationSeparator" w:id="0">
    <w:p w14:paraId="44578950" w14:textId="77777777" w:rsidR="005A47F2" w:rsidRPr="00F12EC6" w:rsidRDefault="005A47F2" w:rsidP="004F5E36">
      <w:r w:rsidRPr="00F12EC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416"/>
    <w:rsid w:val="000027C0"/>
    <w:rsid w:val="000040C2"/>
    <w:rsid w:val="000052FB"/>
    <w:rsid w:val="00005884"/>
    <w:rsid w:val="00005A19"/>
    <w:rsid w:val="000117CB"/>
    <w:rsid w:val="00016455"/>
    <w:rsid w:val="000201D2"/>
    <w:rsid w:val="00026DE6"/>
    <w:rsid w:val="0003077E"/>
    <w:rsid w:val="0003148D"/>
    <w:rsid w:val="0003196D"/>
    <w:rsid w:val="00031EEC"/>
    <w:rsid w:val="00040080"/>
    <w:rsid w:val="000418D3"/>
    <w:rsid w:val="000468C7"/>
    <w:rsid w:val="00047E0C"/>
    <w:rsid w:val="00051566"/>
    <w:rsid w:val="00055701"/>
    <w:rsid w:val="000562A9"/>
    <w:rsid w:val="00062A9A"/>
    <w:rsid w:val="00063E13"/>
    <w:rsid w:val="00065058"/>
    <w:rsid w:val="000862A6"/>
    <w:rsid w:val="00086C39"/>
    <w:rsid w:val="0009118C"/>
    <w:rsid w:val="0009133E"/>
    <w:rsid w:val="000A03B2"/>
    <w:rsid w:val="000A2324"/>
    <w:rsid w:val="000D0165"/>
    <w:rsid w:val="000D0268"/>
    <w:rsid w:val="000D34BE"/>
    <w:rsid w:val="000D5196"/>
    <w:rsid w:val="000E0D38"/>
    <w:rsid w:val="000E102F"/>
    <w:rsid w:val="000E36F1"/>
    <w:rsid w:val="000E3A73"/>
    <w:rsid w:val="000E414A"/>
    <w:rsid w:val="000E75FD"/>
    <w:rsid w:val="000F093C"/>
    <w:rsid w:val="000F787B"/>
    <w:rsid w:val="001005D4"/>
    <w:rsid w:val="00101F02"/>
    <w:rsid w:val="00102F45"/>
    <w:rsid w:val="001043AE"/>
    <w:rsid w:val="0011450F"/>
    <w:rsid w:val="0012091F"/>
    <w:rsid w:val="00121520"/>
    <w:rsid w:val="00124AAD"/>
    <w:rsid w:val="00126BC2"/>
    <w:rsid w:val="001308B6"/>
    <w:rsid w:val="00130DFF"/>
    <w:rsid w:val="0013121F"/>
    <w:rsid w:val="00131FE6"/>
    <w:rsid w:val="0013263F"/>
    <w:rsid w:val="00132BE7"/>
    <w:rsid w:val="001331DF"/>
    <w:rsid w:val="00134DE4"/>
    <w:rsid w:val="00137B75"/>
    <w:rsid w:val="0014034D"/>
    <w:rsid w:val="00140FE3"/>
    <w:rsid w:val="001445E8"/>
    <w:rsid w:val="00144D16"/>
    <w:rsid w:val="00150E59"/>
    <w:rsid w:val="001521D1"/>
    <w:rsid w:val="00152DE3"/>
    <w:rsid w:val="00161112"/>
    <w:rsid w:val="00164CF9"/>
    <w:rsid w:val="00164F20"/>
    <w:rsid w:val="001667A6"/>
    <w:rsid w:val="00170B9C"/>
    <w:rsid w:val="00180C12"/>
    <w:rsid w:val="00181C4F"/>
    <w:rsid w:val="001837BA"/>
    <w:rsid w:val="00184AD6"/>
    <w:rsid w:val="001A4AF7"/>
    <w:rsid w:val="001B0349"/>
    <w:rsid w:val="001B0DE3"/>
    <w:rsid w:val="001B17FD"/>
    <w:rsid w:val="001B1E93"/>
    <w:rsid w:val="001B65C1"/>
    <w:rsid w:val="001C260F"/>
    <w:rsid w:val="001C33F1"/>
    <w:rsid w:val="001C684B"/>
    <w:rsid w:val="001D0CFB"/>
    <w:rsid w:val="001D21AF"/>
    <w:rsid w:val="001D53FC"/>
    <w:rsid w:val="001D5FD3"/>
    <w:rsid w:val="001F42A5"/>
    <w:rsid w:val="001F7B9D"/>
    <w:rsid w:val="00201C93"/>
    <w:rsid w:val="0021625B"/>
    <w:rsid w:val="002224B4"/>
    <w:rsid w:val="0022327F"/>
    <w:rsid w:val="0022523E"/>
    <w:rsid w:val="00231F1E"/>
    <w:rsid w:val="00240B19"/>
    <w:rsid w:val="002447EF"/>
    <w:rsid w:val="00251550"/>
    <w:rsid w:val="00253571"/>
    <w:rsid w:val="00263B05"/>
    <w:rsid w:val="00270651"/>
    <w:rsid w:val="002706AD"/>
    <w:rsid w:val="0027221A"/>
    <w:rsid w:val="00275B61"/>
    <w:rsid w:val="00280FAF"/>
    <w:rsid w:val="00282656"/>
    <w:rsid w:val="00295BE7"/>
    <w:rsid w:val="00296B83"/>
    <w:rsid w:val="002A2397"/>
    <w:rsid w:val="002A3D0B"/>
    <w:rsid w:val="002B4015"/>
    <w:rsid w:val="002B5C01"/>
    <w:rsid w:val="002B78CE"/>
    <w:rsid w:val="002C1447"/>
    <w:rsid w:val="002C2FB6"/>
    <w:rsid w:val="002C6D4A"/>
    <w:rsid w:val="002C717B"/>
    <w:rsid w:val="002D0481"/>
    <w:rsid w:val="002D698C"/>
    <w:rsid w:val="002D779B"/>
    <w:rsid w:val="002E04BE"/>
    <w:rsid w:val="002E1BE2"/>
    <w:rsid w:val="002E3E65"/>
    <w:rsid w:val="002E58A1"/>
    <w:rsid w:val="002E5FA7"/>
    <w:rsid w:val="002F3309"/>
    <w:rsid w:val="002F7975"/>
    <w:rsid w:val="003008CE"/>
    <w:rsid w:val="003009B7"/>
    <w:rsid w:val="00300B79"/>
    <w:rsid w:val="00300E56"/>
    <w:rsid w:val="0030152C"/>
    <w:rsid w:val="0030469C"/>
    <w:rsid w:val="003134A7"/>
    <w:rsid w:val="00321CA6"/>
    <w:rsid w:val="00323763"/>
    <w:rsid w:val="00323C5F"/>
    <w:rsid w:val="003244B8"/>
    <w:rsid w:val="003248F8"/>
    <w:rsid w:val="00331C89"/>
    <w:rsid w:val="00334C09"/>
    <w:rsid w:val="00345453"/>
    <w:rsid w:val="00356428"/>
    <w:rsid w:val="00360812"/>
    <w:rsid w:val="003723D4"/>
    <w:rsid w:val="00381905"/>
    <w:rsid w:val="00384A13"/>
    <w:rsid w:val="00384CC8"/>
    <w:rsid w:val="003871FD"/>
    <w:rsid w:val="003A1E30"/>
    <w:rsid w:val="003A2829"/>
    <w:rsid w:val="003A73BD"/>
    <w:rsid w:val="003A7D1C"/>
    <w:rsid w:val="003B304B"/>
    <w:rsid w:val="003B3146"/>
    <w:rsid w:val="003B4EA5"/>
    <w:rsid w:val="003B55D4"/>
    <w:rsid w:val="003C693E"/>
    <w:rsid w:val="003D1E02"/>
    <w:rsid w:val="003D3084"/>
    <w:rsid w:val="003E021C"/>
    <w:rsid w:val="003E26E7"/>
    <w:rsid w:val="003E2875"/>
    <w:rsid w:val="003F015E"/>
    <w:rsid w:val="00400414"/>
    <w:rsid w:val="004040E6"/>
    <w:rsid w:val="00410D99"/>
    <w:rsid w:val="0041446B"/>
    <w:rsid w:val="00416DDD"/>
    <w:rsid w:val="00417F56"/>
    <w:rsid w:val="0044071E"/>
    <w:rsid w:val="0044329C"/>
    <w:rsid w:val="004475D5"/>
    <w:rsid w:val="00453E24"/>
    <w:rsid w:val="00457456"/>
    <w:rsid w:val="004577FE"/>
    <w:rsid w:val="00457816"/>
    <w:rsid w:val="00457B9C"/>
    <w:rsid w:val="0046164A"/>
    <w:rsid w:val="004628D2"/>
    <w:rsid w:val="00462DCD"/>
    <w:rsid w:val="0046460A"/>
    <w:rsid w:val="004648AD"/>
    <w:rsid w:val="004703A9"/>
    <w:rsid w:val="004760DE"/>
    <w:rsid w:val="004763D7"/>
    <w:rsid w:val="00480E74"/>
    <w:rsid w:val="004839E0"/>
    <w:rsid w:val="00491B74"/>
    <w:rsid w:val="00493EF4"/>
    <w:rsid w:val="00494C2C"/>
    <w:rsid w:val="004975F0"/>
    <w:rsid w:val="004A004E"/>
    <w:rsid w:val="004A24CF"/>
    <w:rsid w:val="004A39A6"/>
    <w:rsid w:val="004A3B93"/>
    <w:rsid w:val="004A5E57"/>
    <w:rsid w:val="004A6CCD"/>
    <w:rsid w:val="004C194F"/>
    <w:rsid w:val="004C2990"/>
    <w:rsid w:val="004C3D1D"/>
    <w:rsid w:val="004C3D84"/>
    <w:rsid w:val="004C403D"/>
    <w:rsid w:val="004C5826"/>
    <w:rsid w:val="004C5D73"/>
    <w:rsid w:val="004C7913"/>
    <w:rsid w:val="004D124B"/>
    <w:rsid w:val="004E4DD6"/>
    <w:rsid w:val="004F0B53"/>
    <w:rsid w:val="004F43BF"/>
    <w:rsid w:val="004F5E36"/>
    <w:rsid w:val="005031C0"/>
    <w:rsid w:val="005065A5"/>
    <w:rsid w:val="0050740B"/>
    <w:rsid w:val="00507B47"/>
    <w:rsid w:val="00507BEF"/>
    <w:rsid w:val="00507CC9"/>
    <w:rsid w:val="005112E2"/>
    <w:rsid w:val="005119A5"/>
    <w:rsid w:val="00512FBA"/>
    <w:rsid w:val="00522B5E"/>
    <w:rsid w:val="005278B7"/>
    <w:rsid w:val="0053085D"/>
    <w:rsid w:val="00532016"/>
    <w:rsid w:val="005332A2"/>
    <w:rsid w:val="005346C8"/>
    <w:rsid w:val="00543186"/>
    <w:rsid w:val="00543E7D"/>
    <w:rsid w:val="00543E8A"/>
    <w:rsid w:val="00547A68"/>
    <w:rsid w:val="005519DC"/>
    <w:rsid w:val="00552CAF"/>
    <w:rsid w:val="005531C9"/>
    <w:rsid w:val="005533FD"/>
    <w:rsid w:val="00567F7D"/>
    <w:rsid w:val="00570C43"/>
    <w:rsid w:val="00582340"/>
    <w:rsid w:val="005849D8"/>
    <w:rsid w:val="00592274"/>
    <w:rsid w:val="005956A3"/>
    <w:rsid w:val="00596E57"/>
    <w:rsid w:val="005A2F06"/>
    <w:rsid w:val="005A47F2"/>
    <w:rsid w:val="005A69B3"/>
    <w:rsid w:val="005B2110"/>
    <w:rsid w:val="005B61E6"/>
    <w:rsid w:val="005C3001"/>
    <w:rsid w:val="005C4405"/>
    <w:rsid w:val="005C57E4"/>
    <w:rsid w:val="005C77E1"/>
    <w:rsid w:val="005D31B5"/>
    <w:rsid w:val="005D668A"/>
    <w:rsid w:val="005D6A2F"/>
    <w:rsid w:val="005E0108"/>
    <w:rsid w:val="005E0592"/>
    <w:rsid w:val="005E1A82"/>
    <w:rsid w:val="005E794C"/>
    <w:rsid w:val="005E7C5D"/>
    <w:rsid w:val="005F0A28"/>
    <w:rsid w:val="005F0E5E"/>
    <w:rsid w:val="00600535"/>
    <w:rsid w:val="00601A49"/>
    <w:rsid w:val="00605C4E"/>
    <w:rsid w:val="00610CD6"/>
    <w:rsid w:val="006126CF"/>
    <w:rsid w:val="00620DEE"/>
    <w:rsid w:val="0062161A"/>
    <w:rsid w:val="00621F92"/>
    <w:rsid w:val="0062280A"/>
    <w:rsid w:val="006231E1"/>
    <w:rsid w:val="00625639"/>
    <w:rsid w:val="006276C6"/>
    <w:rsid w:val="00631B33"/>
    <w:rsid w:val="006328F8"/>
    <w:rsid w:val="00634C5A"/>
    <w:rsid w:val="0064063D"/>
    <w:rsid w:val="0064184D"/>
    <w:rsid w:val="006422CC"/>
    <w:rsid w:val="00651D18"/>
    <w:rsid w:val="006528DF"/>
    <w:rsid w:val="00656D4B"/>
    <w:rsid w:val="00660E3E"/>
    <w:rsid w:val="00662E74"/>
    <w:rsid w:val="00664F9F"/>
    <w:rsid w:val="00680C23"/>
    <w:rsid w:val="00683E23"/>
    <w:rsid w:val="0069326B"/>
    <w:rsid w:val="00693766"/>
    <w:rsid w:val="006A3281"/>
    <w:rsid w:val="006A5058"/>
    <w:rsid w:val="006B32BA"/>
    <w:rsid w:val="006B4888"/>
    <w:rsid w:val="006C1005"/>
    <w:rsid w:val="006C2E45"/>
    <w:rsid w:val="006C359C"/>
    <w:rsid w:val="006C5579"/>
    <w:rsid w:val="006D6E8B"/>
    <w:rsid w:val="006D7209"/>
    <w:rsid w:val="006D77CC"/>
    <w:rsid w:val="006E65A7"/>
    <w:rsid w:val="006E737D"/>
    <w:rsid w:val="00705647"/>
    <w:rsid w:val="0070623F"/>
    <w:rsid w:val="00707DD1"/>
    <w:rsid w:val="00711EA9"/>
    <w:rsid w:val="00713973"/>
    <w:rsid w:val="00714251"/>
    <w:rsid w:val="00720A24"/>
    <w:rsid w:val="00720CA2"/>
    <w:rsid w:val="00721B37"/>
    <w:rsid w:val="007245D0"/>
    <w:rsid w:val="007260DD"/>
    <w:rsid w:val="00732386"/>
    <w:rsid w:val="0073514D"/>
    <w:rsid w:val="007447F3"/>
    <w:rsid w:val="007526CA"/>
    <w:rsid w:val="0075499F"/>
    <w:rsid w:val="00754B6E"/>
    <w:rsid w:val="007617CC"/>
    <w:rsid w:val="00763EC3"/>
    <w:rsid w:val="007661C8"/>
    <w:rsid w:val="0077098D"/>
    <w:rsid w:val="00785BF9"/>
    <w:rsid w:val="00791579"/>
    <w:rsid w:val="007931FA"/>
    <w:rsid w:val="007A0E5B"/>
    <w:rsid w:val="007A4861"/>
    <w:rsid w:val="007A7BBA"/>
    <w:rsid w:val="007B0535"/>
    <w:rsid w:val="007B0C50"/>
    <w:rsid w:val="007B3CA0"/>
    <w:rsid w:val="007B48F9"/>
    <w:rsid w:val="007B4D02"/>
    <w:rsid w:val="007C125B"/>
    <w:rsid w:val="007C1A43"/>
    <w:rsid w:val="007D0951"/>
    <w:rsid w:val="007D5F41"/>
    <w:rsid w:val="007E0A32"/>
    <w:rsid w:val="007F27C8"/>
    <w:rsid w:val="0080013E"/>
    <w:rsid w:val="00802A7F"/>
    <w:rsid w:val="0080341B"/>
    <w:rsid w:val="008077CC"/>
    <w:rsid w:val="00813288"/>
    <w:rsid w:val="0081337B"/>
    <w:rsid w:val="00815681"/>
    <w:rsid w:val="008168FC"/>
    <w:rsid w:val="008169AA"/>
    <w:rsid w:val="00817257"/>
    <w:rsid w:val="0082137E"/>
    <w:rsid w:val="0083080C"/>
    <w:rsid w:val="00830996"/>
    <w:rsid w:val="00830BB1"/>
    <w:rsid w:val="008314D7"/>
    <w:rsid w:val="008345F1"/>
    <w:rsid w:val="008368B2"/>
    <w:rsid w:val="00842BFE"/>
    <w:rsid w:val="008510A6"/>
    <w:rsid w:val="00856E44"/>
    <w:rsid w:val="00857C4E"/>
    <w:rsid w:val="00865B07"/>
    <w:rsid w:val="008667EA"/>
    <w:rsid w:val="00873F40"/>
    <w:rsid w:val="0087637F"/>
    <w:rsid w:val="00877078"/>
    <w:rsid w:val="008848AE"/>
    <w:rsid w:val="0088722C"/>
    <w:rsid w:val="00892AD5"/>
    <w:rsid w:val="008956D6"/>
    <w:rsid w:val="008A1512"/>
    <w:rsid w:val="008B3581"/>
    <w:rsid w:val="008C3F61"/>
    <w:rsid w:val="008D32B9"/>
    <w:rsid w:val="008D433B"/>
    <w:rsid w:val="008D4A16"/>
    <w:rsid w:val="008D52CD"/>
    <w:rsid w:val="008E209A"/>
    <w:rsid w:val="008E45BC"/>
    <w:rsid w:val="008E566E"/>
    <w:rsid w:val="008F5ABE"/>
    <w:rsid w:val="008F773F"/>
    <w:rsid w:val="0090161A"/>
    <w:rsid w:val="0090181D"/>
    <w:rsid w:val="00901EB6"/>
    <w:rsid w:val="009041F8"/>
    <w:rsid w:val="00904C62"/>
    <w:rsid w:val="00906711"/>
    <w:rsid w:val="009121B9"/>
    <w:rsid w:val="00915ADE"/>
    <w:rsid w:val="00915D97"/>
    <w:rsid w:val="00917CF5"/>
    <w:rsid w:val="00922BA8"/>
    <w:rsid w:val="00924DAC"/>
    <w:rsid w:val="00927058"/>
    <w:rsid w:val="00930C5E"/>
    <w:rsid w:val="009328A6"/>
    <w:rsid w:val="00942750"/>
    <w:rsid w:val="009450CE"/>
    <w:rsid w:val="009459BB"/>
    <w:rsid w:val="00947132"/>
    <w:rsid w:val="00947179"/>
    <w:rsid w:val="00951429"/>
    <w:rsid w:val="0095164B"/>
    <w:rsid w:val="00951766"/>
    <w:rsid w:val="00954090"/>
    <w:rsid w:val="009573E7"/>
    <w:rsid w:val="009606BE"/>
    <w:rsid w:val="00963E05"/>
    <w:rsid w:val="00964A45"/>
    <w:rsid w:val="00967843"/>
    <w:rsid w:val="00967D54"/>
    <w:rsid w:val="00971028"/>
    <w:rsid w:val="00975864"/>
    <w:rsid w:val="009815C2"/>
    <w:rsid w:val="00981CED"/>
    <w:rsid w:val="00993B84"/>
    <w:rsid w:val="00993CA7"/>
    <w:rsid w:val="00996483"/>
    <w:rsid w:val="00996F5A"/>
    <w:rsid w:val="009A03C5"/>
    <w:rsid w:val="009B041A"/>
    <w:rsid w:val="009B355D"/>
    <w:rsid w:val="009C37C3"/>
    <w:rsid w:val="009C7C86"/>
    <w:rsid w:val="009D1AD6"/>
    <w:rsid w:val="009D2FF7"/>
    <w:rsid w:val="009E2368"/>
    <w:rsid w:val="009E7884"/>
    <w:rsid w:val="009E788A"/>
    <w:rsid w:val="009F0D7D"/>
    <w:rsid w:val="009F0E08"/>
    <w:rsid w:val="00A0384E"/>
    <w:rsid w:val="00A05E0D"/>
    <w:rsid w:val="00A079AE"/>
    <w:rsid w:val="00A12BB0"/>
    <w:rsid w:val="00A12EEA"/>
    <w:rsid w:val="00A13812"/>
    <w:rsid w:val="00A14F4A"/>
    <w:rsid w:val="00A1763D"/>
    <w:rsid w:val="00A17CEC"/>
    <w:rsid w:val="00A24073"/>
    <w:rsid w:val="00A26CBB"/>
    <w:rsid w:val="00A27EF0"/>
    <w:rsid w:val="00A30568"/>
    <w:rsid w:val="00A42361"/>
    <w:rsid w:val="00A50B20"/>
    <w:rsid w:val="00A51390"/>
    <w:rsid w:val="00A547B3"/>
    <w:rsid w:val="00A60D13"/>
    <w:rsid w:val="00A7223D"/>
    <w:rsid w:val="00A72745"/>
    <w:rsid w:val="00A72E6E"/>
    <w:rsid w:val="00A76EFC"/>
    <w:rsid w:val="00A87D50"/>
    <w:rsid w:val="00A91010"/>
    <w:rsid w:val="00A97F29"/>
    <w:rsid w:val="00AA0A09"/>
    <w:rsid w:val="00AA2EAC"/>
    <w:rsid w:val="00AA702E"/>
    <w:rsid w:val="00AA7D26"/>
    <w:rsid w:val="00AB0964"/>
    <w:rsid w:val="00AB5011"/>
    <w:rsid w:val="00AC1ED9"/>
    <w:rsid w:val="00AC4D74"/>
    <w:rsid w:val="00AC4E74"/>
    <w:rsid w:val="00AC7368"/>
    <w:rsid w:val="00AD0278"/>
    <w:rsid w:val="00AD16B9"/>
    <w:rsid w:val="00AE377D"/>
    <w:rsid w:val="00AE51E6"/>
    <w:rsid w:val="00AE71BA"/>
    <w:rsid w:val="00AF0EBA"/>
    <w:rsid w:val="00B00328"/>
    <w:rsid w:val="00B009F8"/>
    <w:rsid w:val="00B0158F"/>
    <w:rsid w:val="00B02C8A"/>
    <w:rsid w:val="00B04627"/>
    <w:rsid w:val="00B10AA4"/>
    <w:rsid w:val="00B17FBD"/>
    <w:rsid w:val="00B260F6"/>
    <w:rsid w:val="00B315A6"/>
    <w:rsid w:val="00B31813"/>
    <w:rsid w:val="00B33365"/>
    <w:rsid w:val="00B51021"/>
    <w:rsid w:val="00B57975"/>
    <w:rsid w:val="00B57B36"/>
    <w:rsid w:val="00B57E6F"/>
    <w:rsid w:val="00B62F4B"/>
    <w:rsid w:val="00B80A9D"/>
    <w:rsid w:val="00B8471F"/>
    <w:rsid w:val="00B8686D"/>
    <w:rsid w:val="00B923CE"/>
    <w:rsid w:val="00B93F69"/>
    <w:rsid w:val="00BA601C"/>
    <w:rsid w:val="00BB1DDC"/>
    <w:rsid w:val="00BB5554"/>
    <w:rsid w:val="00BC2E41"/>
    <w:rsid w:val="00BC30C9"/>
    <w:rsid w:val="00BD077D"/>
    <w:rsid w:val="00BD111E"/>
    <w:rsid w:val="00BE1CB6"/>
    <w:rsid w:val="00BE3E58"/>
    <w:rsid w:val="00BF25C6"/>
    <w:rsid w:val="00C01616"/>
    <w:rsid w:val="00C0162B"/>
    <w:rsid w:val="00C068ED"/>
    <w:rsid w:val="00C139A1"/>
    <w:rsid w:val="00C14CD2"/>
    <w:rsid w:val="00C208E9"/>
    <w:rsid w:val="00C212A1"/>
    <w:rsid w:val="00C22E0C"/>
    <w:rsid w:val="00C26BA7"/>
    <w:rsid w:val="00C345B1"/>
    <w:rsid w:val="00C40142"/>
    <w:rsid w:val="00C43C9F"/>
    <w:rsid w:val="00C52C3C"/>
    <w:rsid w:val="00C57182"/>
    <w:rsid w:val="00C57334"/>
    <w:rsid w:val="00C57734"/>
    <w:rsid w:val="00C57863"/>
    <w:rsid w:val="00C640AF"/>
    <w:rsid w:val="00C655FD"/>
    <w:rsid w:val="00C703BE"/>
    <w:rsid w:val="00C70446"/>
    <w:rsid w:val="00C72718"/>
    <w:rsid w:val="00C73F6F"/>
    <w:rsid w:val="00C75407"/>
    <w:rsid w:val="00C841C6"/>
    <w:rsid w:val="00C852A1"/>
    <w:rsid w:val="00C870A8"/>
    <w:rsid w:val="00C91D2D"/>
    <w:rsid w:val="00C94232"/>
    <w:rsid w:val="00C94434"/>
    <w:rsid w:val="00C9660D"/>
    <w:rsid w:val="00CA0D75"/>
    <w:rsid w:val="00CA1C95"/>
    <w:rsid w:val="00CA5A9C"/>
    <w:rsid w:val="00CC0666"/>
    <w:rsid w:val="00CC4C20"/>
    <w:rsid w:val="00CC549B"/>
    <w:rsid w:val="00CC61FF"/>
    <w:rsid w:val="00CD246D"/>
    <w:rsid w:val="00CD3517"/>
    <w:rsid w:val="00CD5FE2"/>
    <w:rsid w:val="00CD6718"/>
    <w:rsid w:val="00CD794C"/>
    <w:rsid w:val="00CE7C68"/>
    <w:rsid w:val="00CF5FF2"/>
    <w:rsid w:val="00D014E4"/>
    <w:rsid w:val="00D0176A"/>
    <w:rsid w:val="00D02221"/>
    <w:rsid w:val="00D02B4C"/>
    <w:rsid w:val="00D040C4"/>
    <w:rsid w:val="00D159E6"/>
    <w:rsid w:val="00D162AC"/>
    <w:rsid w:val="00D179FB"/>
    <w:rsid w:val="00D20AD1"/>
    <w:rsid w:val="00D2582C"/>
    <w:rsid w:val="00D2658E"/>
    <w:rsid w:val="00D43145"/>
    <w:rsid w:val="00D46B7E"/>
    <w:rsid w:val="00D46F5B"/>
    <w:rsid w:val="00D52658"/>
    <w:rsid w:val="00D52DFC"/>
    <w:rsid w:val="00D57C84"/>
    <w:rsid w:val="00D6057D"/>
    <w:rsid w:val="00D62215"/>
    <w:rsid w:val="00D657ED"/>
    <w:rsid w:val="00D71640"/>
    <w:rsid w:val="00D836C5"/>
    <w:rsid w:val="00D84576"/>
    <w:rsid w:val="00D91D2E"/>
    <w:rsid w:val="00D93408"/>
    <w:rsid w:val="00D95327"/>
    <w:rsid w:val="00D97AB4"/>
    <w:rsid w:val="00DA1399"/>
    <w:rsid w:val="00DA24C6"/>
    <w:rsid w:val="00DA4D7B"/>
    <w:rsid w:val="00DB41A4"/>
    <w:rsid w:val="00DB4BAB"/>
    <w:rsid w:val="00DB5947"/>
    <w:rsid w:val="00DC03C2"/>
    <w:rsid w:val="00DC1760"/>
    <w:rsid w:val="00DD271C"/>
    <w:rsid w:val="00DE1205"/>
    <w:rsid w:val="00DE2454"/>
    <w:rsid w:val="00DE264A"/>
    <w:rsid w:val="00DE2FF2"/>
    <w:rsid w:val="00DF5072"/>
    <w:rsid w:val="00E00CEA"/>
    <w:rsid w:val="00E02D18"/>
    <w:rsid w:val="00E041E7"/>
    <w:rsid w:val="00E11DCD"/>
    <w:rsid w:val="00E122FC"/>
    <w:rsid w:val="00E23CA1"/>
    <w:rsid w:val="00E25B14"/>
    <w:rsid w:val="00E30DD8"/>
    <w:rsid w:val="00E338B6"/>
    <w:rsid w:val="00E36A12"/>
    <w:rsid w:val="00E409A8"/>
    <w:rsid w:val="00E47D61"/>
    <w:rsid w:val="00E50C12"/>
    <w:rsid w:val="00E57DE6"/>
    <w:rsid w:val="00E65B91"/>
    <w:rsid w:val="00E7209D"/>
    <w:rsid w:val="00E72EAD"/>
    <w:rsid w:val="00E77223"/>
    <w:rsid w:val="00E77B06"/>
    <w:rsid w:val="00E8528B"/>
    <w:rsid w:val="00E85B94"/>
    <w:rsid w:val="00E8647F"/>
    <w:rsid w:val="00E8752C"/>
    <w:rsid w:val="00E9260D"/>
    <w:rsid w:val="00E978D0"/>
    <w:rsid w:val="00EA0471"/>
    <w:rsid w:val="00EA1349"/>
    <w:rsid w:val="00EA3EF9"/>
    <w:rsid w:val="00EA4613"/>
    <w:rsid w:val="00EA7F91"/>
    <w:rsid w:val="00EB1523"/>
    <w:rsid w:val="00EC0E49"/>
    <w:rsid w:val="00EC101F"/>
    <w:rsid w:val="00EC1D9F"/>
    <w:rsid w:val="00EC28A9"/>
    <w:rsid w:val="00EE0131"/>
    <w:rsid w:val="00EE17B0"/>
    <w:rsid w:val="00EE6E7F"/>
    <w:rsid w:val="00EF06D9"/>
    <w:rsid w:val="00EF0982"/>
    <w:rsid w:val="00EF1E29"/>
    <w:rsid w:val="00EF2D81"/>
    <w:rsid w:val="00EF5796"/>
    <w:rsid w:val="00F037C4"/>
    <w:rsid w:val="00F126A5"/>
    <w:rsid w:val="00F12EC6"/>
    <w:rsid w:val="00F12EC7"/>
    <w:rsid w:val="00F1662A"/>
    <w:rsid w:val="00F22895"/>
    <w:rsid w:val="00F3049E"/>
    <w:rsid w:val="00F30C64"/>
    <w:rsid w:val="00F32BA2"/>
    <w:rsid w:val="00F32CDB"/>
    <w:rsid w:val="00F3348F"/>
    <w:rsid w:val="00F37280"/>
    <w:rsid w:val="00F41EE4"/>
    <w:rsid w:val="00F43F59"/>
    <w:rsid w:val="00F46BD3"/>
    <w:rsid w:val="00F50DD8"/>
    <w:rsid w:val="00F565FE"/>
    <w:rsid w:val="00F60F2C"/>
    <w:rsid w:val="00F63A70"/>
    <w:rsid w:val="00F63D8C"/>
    <w:rsid w:val="00F64308"/>
    <w:rsid w:val="00F658F4"/>
    <w:rsid w:val="00F7534E"/>
    <w:rsid w:val="00F81978"/>
    <w:rsid w:val="00F93EDF"/>
    <w:rsid w:val="00F94B5A"/>
    <w:rsid w:val="00FA1802"/>
    <w:rsid w:val="00FA21D0"/>
    <w:rsid w:val="00FA303A"/>
    <w:rsid w:val="00FA4543"/>
    <w:rsid w:val="00FA5913"/>
    <w:rsid w:val="00FA5F5F"/>
    <w:rsid w:val="00FB3211"/>
    <w:rsid w:val="00FB338E"/>
    <w:rsid w:val="00FB53A3"/>
    <w:rsid w:val="00FB730C"/>
    <w:rsid w:val="00FC2695"/>
    <w:rsid w:val="00FC3E03"/>
    <w:rsid w:val="00FC3FC1"/>
    <w:rsid w:val="00FC6492"/>
    <w:rsid w:val="00FD7AA8"/>
    <w:rsid w:val="00FE0320"/>
    <w:rsid w:val="00FE685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E77B06"/>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A05E0D"/>
    <w:rPr>
      <w:color w:val="605E5C"/>
      <w:shd w:val="clear" w:color="auto" w:fill="E1DFDD"/>
    </w:rPr>
  </w:style>
  <w:style w:type="character" w:styleId="PlaceholderText">
    <w:name w:val="Placeholder Text"/>
    <w:basedOn w:val="DefaultParagraphFont"/>
    <w:uiPriority w:val="99"/>
    <w:semiHidden/>
    <w:rsid w:val="0083080C"/>
    <w:rPr>
      <w:color w:val="666666"/>
    </w:rPr>
  </w:style>
  <w:style w:type="paragraph" w:styleId="Revision">
    <w:name w:val="Revision"/>
    <w:hidden/>
    <w:uiPriority w:val="99"/>
    <w:semiHidden/>
    <w:rsid w:val="00FC6492"/>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2371">
      <w:marLeft w:val="480"/>
      <w:marRight w:val="0"/>
      <w:marTop w:val="0"/>
      <w:marBottom w:val="0"/>
      <w:divBdr>
        <w:top w:val="none" w:sz="0" w:space="0" w:color="auto"/>
        <w:left w:val="none" w:sz="0" w:space="0" w:color="auto"/>
        <w:bottom w:val="none" w:sz="0" w:space="0" w:color="auto"/>
        <w:right w:val="none" w:sz="0" w:space="0" w:color="auto"/>
      </w:divBdr>
    </w:div>
    <w:div w:id="16547540">
      <w:marLeft w:val="480"/>
      <w:marRight w:val="0"/>
      <w:marTop w:val="0"/>
      <w:marBottom w:val="0"/>
      <w:divBdr>
        <w:top w:val="none" w:sz="0" w:space="0" w:color="auto"/>
        <w:left w:val="none" w:sz="0" w:space="0" w:color="auto"/>
        <w:bottom w:val="none" w:sz="0" w:space="0" w:color="auto"/>
        <w:right w:val="none" w:sz="0" w:space="0" w:color="auto"/>
      </w:divBdr>
    </w:div>
    <w:div w:id="53241409">
      <w:marLeft w:val="480"/>
      <w:marRight w:val="0"/>
      <w:marTop w:val="0"/>
      <w:marBottom w:val="0"/>
      <w:divBdr>
        <w:top w:val="none" w:sz="0" w:space="0" w:color="auto"/>
        <w:left w:val="none" w:sz="0" w:space="0" w:color="auto"/>
        <w:bottom w:val="none" w:sz="0" w:space="0" w:color="auto"/>
        <w:right w:val="none" w:sz="0" w:space="0" w:color="auto"/>
      </w:divBdr>
    </w:div>
    <w:div w:id="56168056">
      <w:marLeft w:val="480"/>
      <w:marRight w:val="0"/>
      <w:marTop w:val="0"/>
      <w:marBottom w:val="0"/>
      <w:divBdr>
        <w:top w:val="none" w:sz="0" w:space="0" w:color="auto"/>
        <w:left w:val="none" w:sz="0" w:space="0" w:color="auto"/>
        <w:bottom w:val="none" w:sz="0" w:space="0" w:color="auto"/>
        <w:right w:val="none" w:sz="0" w:space="0" w:color="auto"/>
      </w:divBdr>
    </w:div>
    <w:div w:id="65151206">
      <w:marLeft w:val="480"/>
      <w:marRight w:val="0"/>
      <w:marTop w:val="0"/>
      <w:marBottom w:val="0"/>
      <w:divBdr>
        <w:top w:val="none" w:sz="0" w:space="0" w:color="auto"/>
        <w:left w:val="none" w:sz="0" w:space="0" w:color="auto"/>
        <w:bottom w:val="none" w:sz="0" w:space="0" w:color="auto"/>
        <w:right w:val="none" w:sz="0" w:space="0" w:color="auto"/>
      </w:divBdr>
    </w:div>
    <w:div w:id="66458379">
      <w:marLeft w:val="480"/>
      <w:marRight w:val="0"/>
      <w:marTop w:val="0"/>
      <w:marBottom w:val="0"/>
      <w:divBdr>
        <w:top w:val="none" w:sz="0" w:space="0" w:color="auto"/>
        <w:left w:val="none" w:sz="0" w:space="0" w:color="auto"/>
        <w:bottom w:val="none" w:sz="0" w:space="0" w:color="auto"/>
        <w:right w:val="none" w:sz="0" w:space="0" w:color="auto"/>
      </w:divBdr>
    </w:div>
    <w:div w:id="69232126">
      <w:marLeft w:val="480"/>
      <w:marRight w:val="0"/>
      <w:marTop w:val="0"/>
      <w:marBottom w:val="0"/>
      <w:divBdr>
        <w:top w:val="none" w:sz="0" w:space="0" w:color="auto"/>
        <w:left w:val="none" w:sz="0" w:space="0" w:color="auto"/>
        <w:bottom w:val="none" w:sz="0" w:space="0" w:color="auto"/>
        <w:right w:val="none" w:sz="0" w:space="0" w:color="auto"/>
      </w:divBdr>
    </w:div>
    <w:div w:id="74203519">
      <w:marLeft w:val="480"/>
      <w:marRight w:val="0"/>
      <w:marTop w:val="0"/>
      <w:marBottom w:val="0"/>
      <w:divBdr>
        <w:top w:val="none" w:sz="0" w:space="0" w:color="auto"/>
        <w:left w:val="none" w:sz="0" w:space="0" w:color="auto"/>
        <w:bottom w:val="none" w:sz="0" w:space="0" w:color="auto"/>
        <w:right w:val="none" w:sz="0" w:space="0" w:color="auto"/>
      </w:divBdr>
    </w:div>
    <w:div w:id="88431528">
      <w:marLeft w:val="480"/>
      <w:marRight w:val="0"/>
      <w:marTop w:val="0"/>
      <w:marBottom w:val="0"/>
      <w:divBdr>
        <w:top w:val="none" w:sz="0" w:space="0" w:color="auto"/>
        <w:left w:val="none" w:sz="0" w:space="0" w:color="auto"/>
        <w:bottom w:val="none" w:sz="0" w:space="0" w:color="auto"/>
        <w:right w:val="none" w:sz="0" w:space="0" w:color="auto"/>
      </w:divBdr>
    </w:div>
    <w:div w:id="88701427">
      <w:marLeft w:val="480"/>
      <w:marRight w:val="0"/>
      <w:marTop w:val="0"/>
      <w:marBottom w:val="0"/>
      <w:divBdr>
        <w:top w:val="none" w:sz="0" w:space="0" w:color="auto"/>
        <w:left w:val="none" w:sz="0" w:space="0" w:color="auto"/>
        <w:bottom w:val="none" w:sz="0" w:space="0" w:color="auto"/>
        <w:right w:val="none" w:sz="0" w:space="0" w:color="auto"/>
      </w:divBdr>
    </w:div>
    <w:div w:id="89544805">
      <w:marLeft w:val="480"/>
      <w:marRight w:val="0"/>
      <w:marTop w:val="0"/>
      <w:marBottom w:val="0"/>
      <w:divBdr>
        <w:top w:val="none" w:sz="0" w:space="0" w:color="auto"/>
        <w:left w:val="none" w:sz="0" w:space="0" w:color="auto"/>
        <w:bottom w:val="none" w:sz="0" w:space="0" w:color="auto"/>
        <w:right w:val="none" w:sz="0" w:space="0" w:color="auto"/>
      </w:divBdr>
    </w:div>
    <w:div w:id="112943583">
      <w:marLeft w:val="480"/>
      <w:marRight w:val="0"/>
      <w:marTop w:val="0"/>
      <w:marBottom w:val="0"/>
      <w:divBdr>
        <w:top w:val="none" w:sz="0" w:space="0" w:color="auto"/>
        <w:left w:val="none" w:sz="0" w:space="0" w:color="auto"/>
        <w:bottom w:val="none" w:sz="0" w:space="0" w:color="auto"/>
        <w:right w:val="none" w:sz="0" w:space="0" w:color="auto"/>
      </w:divBdr>
    </w:div>
    <w:div w:id="126438398">
      <w:marLeft w:val="480"/>
      <w:marRight w:val="0"/>
      <w:marTop w:val="0"/>
      <w:marBottom w:val="0"/>
      <w:divBdr>
        <w:top w:val="none" w:sz="0" w:space="0" w:color="auto"/>
        <w:left w:val="none" w:sz="0" w:space="0" w:color="auto"/>
        <w:bottom w:val="none" w:sz="0" w:space="0" w:color="auto"/>
        <w:right w:val="none" w:sz="0" w:space="0" w:color="auto"/>
      </w:divBdr>
    </w:div>
    <w:div w:id="136922287">
      <w:marLeft w:val="480"/>
      <w:marRight w:val="0"/>
      <w:marTop w:val="0"/>
      <w:marBottom w:val="0"/>
      <w:divBdr>
        <w:top w:val="none" w:sz="0" w:space="0" w:color="auto"/>
        <w:left w:val="none" w:sz="0" w:space="0" w:color="auto"/>
        <w:bottom w:val="none" w:sz="0" w:space="0" w:color="auto"/>
        <w:right w:val="none" w:sz="0" w:space="0" w:color="auto"/>
      </w:divBdr>
    </w:div>
    <w:div w:id="142434306">
      <w:marLeft w:val="480"/>
      <w:marRight w:val="0"/>
      <w:marTop w:val="0"/>
      <w:marBottom w:val="0"/>
      <w:divBdr>
        <w:top w:val="none" w:sz="0" w:space="0" w:color="auto"/>
        <w:left w:val="none" w:sz="0" w:space="0" w:color="auto"/>
        <w:bottom w:val="none" w:sz="0" w:space="0" w:color="auto"/>
        <w:right w:val="none" w:sz="0" w:space="0" w:color="auto"/>
      </w:divBdr>
    </w:div>
    <w:div w:id="149562701">
      <w:marLeft w:val="480"/>
      <w:marRight w:val="0"/>
      <w:marTop w:val="0"/>
      <w:marBottom w:val="0"/>
      <w:divBdr>
        <w:top w:val="none" w:sz="0" w:space="0" w:color="auto"/>
        <w:left w:val="none" w:sz="0" w:space="0" w:color="auto"/>
        <w:bottom w:val="none" w:sz="0" w:space="0" w:color="auto"/>
        <w:right w:val="none" w:sz="0" w:space="0" w:color="auto"/>
      </w:divBdr>
    </w:div>
    <w:div w:id="152188376">
      <w:marLeft w:val="480"/>
      <w:marRight w:val="0"/>
      <w:marTop w:val="0"/>
      <w:marBottom w:val="0"/>
      <w:divBdr>
        <w:top w:val="none" w:sz="0" w:space="0" w:color="auto"/>
        <w:left w:val="none" w:sz="0" w:space="0" w:color="auto"/>
        <w:bottom w:val="none" w:sz="0" w:space="0" w:color="auto"/>
        <w:right w:val="none" w:sz="0" w:space="0" w:color="auto"/>
      </w:divBdr>
    </w:div>
    <w:div w:id="153491955">
      <w:marLeft w:val="480"/>
      <w:marRight w:val="0"/>
      <w:marTop w:val="0"/>
      <w:marBottom w:val="0"/>
      <w:divBdr>
        <w:top w:val="none" w:sz="0" w:space="0" w:color="auto"/>
        <w:left w:val="none" w:sz="0" w:space="0" w:color="auto"/>
        <w:bottom w:val="none" w:sz="0" w:space="0" w:color="auto"/>
        <w:right w:val="none" w:sz="0" w:space="0" w:color="auto"/>
      </w:divBdr>
    </w:div>
    <w:div w:id="166794681">
      <w:marLeft w:val="480"/>
      <w:marRight w:val="0"/>
      <w:marTop w:val="0"/>
      <w:marBottom w:val="0"/>
      <w:divBdr>
        <w:top w:val="none" w:sz="0" w:space="0" w:color="auto"/>
        <w:left w:val="none" w:sz="0" w:space="0" w:color="auto"/>
        <w:bottom w:val="none" w:sz="0" w:space="0" w:color="auto"/>
        <w:right w:val="none" w:sz="0" w:space="0" w:color="auto"/>
      </w:divBdr>
    </w:div>
    <w:div w:id="177932796">
      <w:marLeft w:val="480"/>
      <w:marRight w:val="0"/>
      <w:marTop w:val="0"/>
      <w:marBottom w:val="0"/>
      <w:divBdr>
        <w:top w:val="none" w:sz="0" w:space="0" w:color="auto"/>
        <w:left w:val="none" w:sz="0" w:space="0" w:color="auto"/>
        <w:bottom w:val="none" w:sz="0" w:space="0" w:color="auto"/>
        <w:right w:val="none" w:sz="0" w:space="0" w:color="auto"/>
      </w:divBdr>
    </w:div>
    <w:div w:id="178199513">
      <w:marLeft w:val="480"/>
      <w:marRight w:val="0"/>
      <w:marTop w:val="0"/>
      <w:marBottom w:val="0"/>
      <w:divBdr>
        <w:top w:val="none" w:sz="0" w:space="0" w:color="auto"/>
        <w:left w:val="none" w:sz="0" w:space="0" w:color="auto"/>
        <w:bottom w:val="none" w:sz="0" w:space="0" w:color="auto"/>
        <w:right w:val="none" w:sz="0" w:space="0" w:color="auto"/>
      </w:divBdr>
    </w:div>
    <w:div w:id="180096781">
      <w:marLeft w:val="480"/>
      <w:marRight w:val="0"/>
      <w:marTop w:val="0"/>
      <w:marBottom w:val="0"/>
      <w:divBdr>
        <w:top w:val="none" w:sz="0" w:space="0" w:color="auto"/>
        <w:left w:val="none" w:sz="0" w:space="0" w:color="auto"/>
        <w:bottom w:val="none" w:sz="0" w:space="0" w:color="auto"/>
        <w:right w:val="none" w:sz="0" w:space="0" w:color="auto"/>
      </w:divBdr>
    </w:div>
    <w:div w:id="228151750">
      <w:marLeft w:val="480"/>
      <w:marRight w:val="0"/>
      <w:marTop w:val="0"/>
      <w:marBottom w:val="0"/>
      <w:divBdr>
        <w:top w:val="none" w:sz="0" w:space="0" w:color="auto"/>
        <w:left w:val="none" w:sz="0" w:space="0" w:color="auto"/>
        <w:bottom w:val="none" w:sz="0" w:space="0" w:color="auto"/>
        <w:right w:val="none" w:sz="0" w:space="0" w:color="auto"/>
      </w:divBdr>
    </w:div>
    <w:div w:id="233663948">
      <w:marLeft w:val="480"/>
      <w:marRight w:val="0"/>
      <w:marTop w:val="0"/>
      <w:marBottom w:val="0"/>
      <w:divBdr>
        <w:top w:val="none" w:sz="0" w:space="0" w:color="auto"/>
        <w:left w:val="none" w:sz="0" w:space="0" w:color="auto"/>
        <w:bottom w:val="none" w:sz="0" w:space="0" w:color="auto"/>
        <w:right w:val="none" w:sz="0" w:space="0" w:color="auto"/>
      </w:divBdr>
    </w:div>
    <w:div w:id="241111775">
      <w:marLeft w:val="480"/>
      <w:marRight w:val="0"/>
      <w:marTop w:val="0"/>
      <w:marBottom w:val="0"/>
      <w:divBdr>
        <w:top w:val="none" w:sz="0" w:space="0" w:color="auto"/>
        <w:left w:val="none" w:sz="0" w:space="0" w:color="auto"/>
        <w:bottom w:val="none" w:sz="0" w:space="0" w:color="auto"/>
        <w:right w:val="none" w:sz="0" w:space="0" w:color="auto"/>
      </w:divBdr>
    </w:div>
    <w:div w:id="260721432">
      <w:marLeft w:val="480"/>
      <w:marRight w:val="0"/>
      <w:marTop w:val="0"/>
      <w:marBottom w:val="0"/>
      <w:divBdr>
        <w:top w:val="none" w:sz="0" w:space="0" w:color="auto"/>
        <w:left w:val="none" w:sz="0" w:space="0" w:color="auto"/>
        <w:bottom w:val="none" w:sz="0" w:space="0" w:color="auto"/>
        <w:right w:val="none" w:sz="0" w:space="0" w:color="auto"/>
      </w:divBdr>
    </w:div>
    <w:div w:id="261232920">
      <w:marLeft w:val="480"/>
      <w:marRight w:val="0"/>
      <w:marTop w:val="0"/>
      <w:marBottom w:val="0"/>
      <w:divBdr>
        <w:top w:val="none" w:sz="0" w:space="0" w:color="auto"/>
        <w:left w:val="none" w:sz="0" w:space="0" w:color="auto"/>
        <w:bottom w:val="none" w:sz="0" w:space="0" w:color="auto"/>
        <w:right w:val="none" w:sz="0" w:space="0" w:color="auto"/>
      </w:divBdr>
    </w:div>
    <w:div w:id="277222167">
      <w:marLeft w:val="480"/>
      <w:marRight w:val="0"/>
      <w:marTop w:val="0"/>
      <w:marBottom w:val="0"/>
      <w:divBdr>
        <w:top w:val="none" w:sz="0" w:space="0" w:color="auto"/>
        <w:left w:val="none" w:sz="0" w:space="0" w:color="auto"/>
        <w:bottom w:val="none" w:sz="0" w:space="0" w:color="auto"/>
        <w:right w:val="none" w:sz="0" w:space="0" w:color="auto"/>
      </w:divBdr>
    </w:div>
    <w:div w:id="283465949">
      <w:marLeft w:val="480"/>
      <w:marRight w:val="0"/>
      <w:marTop w:val="0"/>
      <w:marBottom w:val="0"/>
      <w:divBdr>
        <w:top w:val="none" w:sz="0" w:space="0" w:color="auto"/>
        <w:left w:val="none" w:sz="0" w:space="0" w:color="auto"/>
        <w:bottom w:val="none" w:sz="0" w:space="0" w:color="auto"/>
        <w:right w:val="none" w:sz="0" w:space="0" w:color="auto"/>
      </w:divBdr>
    </w:div>
    <w:div w:id="305594422">
      <w:marLeft w:val="480"/>
      <w:marRight w:val="0"/>
      <w:marTop w:val="0"/>
      <w:marBottom w:val="0"/>
      <w:divBdr>
        <w:top w:val="none" w:sz="0" w:space="0" w:color="auto"/>
        <w:left w:val="none" w:sz="0" w:space="0" w:color="auto"/>
        <w:bottom w:val="none" w:sz="0" w:space="0" w:color="auto"/>
        <w:right w:val="none" w:sz="0" w:space="0" w:color="auto"/>
      </w:divBdr>
    </w:div>
    <w:div w:id="339478758">
      <w:marLeft w:val="480"/>
      <w:marRight w:val="0"/>
      <w:marTop w:val="0"/>
      <w:marBottom w:val="0"/>
      <w:divBdr>
        <w:top w:val="none" w:sz="0" w:space="0" w:color="auto"/>
        <w:left w:val="none" w:sz="0" w:space="0" w:color="auto"/>
        <w:bottom w:val="none" w:sz="0" w:space="0" w:color="auto"/>
        <w:right w:val="none" w:sz="0" w:space="0" w:color="auto"/>
      </w:divBdr>
    </w:div>
    <w:div w:id="344327052">
      <w:marLeft w:val="480"/>
      <w:marRight w:val="0"/>
      <w:marTop w:val="0"/>
      <w:marBottom w:val="0"/>
      <w:divBdr>
        <w:top w:val="none" w:sz="0" w:space="0" w:color="auto"/>
        <w:left w:val="none" w:sz="0" w:space="0" w:color="auto"/>
        <w:bottom w:val="none" w:sz="0" w:space="0" w:color="auto"/>
        <w:right w:val="none" w:sz="0" w:space="0" w:color="auto"/>
      </w:divBdr>
    </w:div>
    <w:div w:id="345641647">
      <w:marLeft w:val="480"/>
      <w:marRight w:val="0"/>
      <w:marTop w:val="0"/>
      <w:marBottom w:val="0"/>
      <w:divBdr>
        <w:top w:val="none" w:sz="0" w:space="0" w:color="auto"/>
        <w:left w:val="none" w:sz="0" w:space="0" w:color="auto"/>
        <w:bottom w:val="none" w:sz="0" w:space="0" w:color="auto"/>
        <w:right w:val="none" w:sz="0" w:space="0" w:color="auto"/>
      </w:divBdr>
    </w:div>
    <w:div w:id="353842971">
      <w:marLeft w:val="480"/>
      <w:marRight w:val="0"/>
      <w:marTop w:val="0"/>
      <w:marBottom w:val="0"/>
      <w:divBdr>
        <w:top w:val="none" w:sz="0" w:space="0" w:color="auto"/>
        <w:left w:val="none" w:sz="0" w:space="0" w:color="auto"/>
        <w:bottom w:val="none" w:sz="0" w:space="0" w:color="auto"/>
        <w:right w:val="none" w:sz="0" w:space="0" w:color="auto"/>
      </w:divBdr>
    </w:div>
    <w:div w:id="354890339">
      <w:marLeft w:val="480"/>
      <w:marRight w:val="0"/>
      <w:marTop w:val="0"/>
      <w:marBottom w:val="0"/>
      <w:divBdr>
        <w:top w:val="none" w:sz="0" w:space="0" w:color="auto"/>
        <w:left w:val="none" w:sz="0" w:space="0" w:color="auto"/>
        <w:bottom w:val="none" w:sz="0" w:space="0" w:color="auto"/>
        <w:right w:val="none" w:sz="0" w:space="0" w:color="auto"/>
      </w:divBdr>
    </w:div>
    <w:div w:id="357198188">
      <w:marLeft w:val="480"/>
      <w:marRight w:val="0"/>
      <w:marTop w:val="0"/>
      <w:marBottom w:val="0"/>
      <w:divBdr>
        <w:top w:val="none" w:sz="0" w:space="0" w:color="auto"/>
        <w:left w:val="none" w:sz="0" w:space="0" w:color="auto"/>
        <w:bottom w:val="none" w:sz="0" w:space="0" w:color="auto"/>
        <w:right w:val="none" w:sz="0" w:space="0" w:color="auto"/>
      </w:divBdr>
    </w:div>
    <w:div w:id="360009926">
      <w:marLeft w:val="480"/>
      <w:marRight w:val="0"/>
      <w:marTop w:val="0"/>
      <w:marBottom w:val="0"/>
      <w:divBdr>
        <w:top w:val="none" w:sz="0" w:space="0" w:color="auto"/>
        <w:left w:val="none" w:sz="0" w:space="0" w:color="auto"/>
        <w:bottom w:val="none" w:sz="0" w:space="0" w:color="auto"/>
        <w:right w:val="none" w:sz="0" w:space="0" w:color="auto"/>
      </w:divBdr>
    </w:div>
    <w:div w:id="360327793">
      <w:marLeft w:val="480"/>
      <w:marRight w:val="0"/>
      <w:marTop w:val="0"/>
      <w:marBottom w:val="0"/>
      <w:divBdr>
        <w:top w:val="none" w:sz="0" w:space="0" w:color="auto"/>
        <w:left w:val="none" w:sz="0" w:space="0" w:color="auto"/>
        <w:bottom w:val="none" w:sz="0" w:space="0" w:color="auto"/>
        <w:right w:val="none" w:sz="0" w:space="0" w:color="auto"/>
      </w:divBdr>
    </w:div>
    <w:div w:id="363405244">
      <w:marLeft w:val="480"/>
      <w:marRight w:val="0"/>
      <w:marTop w:val="0"/>
      <w:marBottom w:val="0"/>
      <w:divBdr>
        <w:top w:val="none" w:sz="0" w:space="0" w:color="auto"/>
        <w:left w:val="none" w:sz="0" w:space="0" w:color="auto"/>
        <w:bottom w:val="none" w:sz="0" w:space="0" w:color="auto"/>
        <w:right w:val="none" w:sz="0" w:space="0" w:color="auto"/>
      </w:divBdr>
    </w:div>
    <w:div w:id="410127804">
      <w:marLeft w:val="480"/>
      <w:marRight w:val="0"/>
      <w:marTop w:val="0"/>
      <w:marBottom w:val="0"/>
      <w:divBdr>
        <w:top w:val="none" w:sz="0" w:space="0" w:color="auto"/>
        <w:left w:val="none" w:sz="0" w:space="0" w:color="auto"/>
        <w:bottom w:val="none" w:sz="0" w:space="0" w:color="auto"/>
        <w:right w:val="none" w:sz="0" w:space="0" w:color="auto"/>
      </w:divBdr>
    </w:div>
    <w:div w:id="410738375">
      <w:marLeft w:val="480"/>
      <w:marRight w:val="0"/>
      <w:marTop w:val="0"/>
      <w:marBottom w:val="0"/>
      <w:divBdr>
        <w:top w:val="none" w:sz="0" w:space="0" w:color="auto"/>
        <w:left w:val="none" w:sz="0" w:space="0" w:color="auto"/>
        <w:bottom w:val="none" w:sz="0" w:space="0" w:color="auto"/>
        <w:right w:val="none" w:sz="0" w:space="0" w:color="auto"/>
      </w:divBdr>
    </w:div>
    <w:div w:id="448937333">
      <w:marLeft w:val="480"/>
      <w:marRight w:val="0"/>
      <w:marTop w:val="0"/>
      <w:marBottom w:val="0"/>
      <w:divBdr>
        <w:top w:val="none" w:sz="0" w:space="0" w:color="auto"/>
        <w:left w:val="none" w:sz="0" w:space="0" w:color="auto"/>
        <w:bottom w:val="none" w:sz="0" w:space="0" w:color="auto"/>
        <w:right w:val="none" w:sz="0" w:space="0" w:color="auto"/>
      </w:divBdr>
    </w:div>
    <w:div w:id="459342538">
      <w:marLeft w:val="480"/>
      <w:marRight w:val="0"/>
      <w:marTop w:val="0"/>
      <w:marBottom w:val="0"/>
      <w:divBdr>
        <w:top w:val="none" w:sz="0" w:space="0" w:color="auto"/>
        <w:left w:val="none" w:sz="0" w:space="0" w:color="auto"/>
        <w:bottom w:val="none" w:sz="0" w:space="0" w:color="auto"/>
        <w:right w:val="none" w:sz="0" w:space="0" w:color="auto"/>
      </w:divBdr>
    </w:div>
    <w:div w:id="475684083">
      <w:marLeft w:val="480"/>
      <w:marRight w:val="0"/>
      <w:marTop w:val="0"/>
      <w:marBottom w:val="0"/>
      <w:divBdr>
        <w:top w:val="none" w:sz="0" w:space="0" w:color="auto"/>
        <w:left w:val="none" w:sz="0" w:space="0" w:color="auto"/>
        <w:bottom w:val="none" w:sz="0" w:space="0" w:color="auto"/>
        <w:right w:val="none" w:sz="0" w:space="0" w:color="auto"/>
      </w:divBdr>
    </w:div>
    <w:div w:id="477575281">
      <w:marLeft w:val="480"/>
      <w:marRight w:val="0"/>
      <w:marTop w:val="0"/>
      <w:marBottom w:val="0"/>
      <w:divBdr>
        <w:top w:val="none" w:sz="0" w:space="0" w:color="auto"/>
        <w:left w:val="none" w:sz="0" w:space="0" w:color="auto"/>
        <w:bottom w:val="none" w:sz="0" w:space="0" w:color="auto"/>
        <w:right w:val="none" w:sz="0" w:space="0" w:color="auto"/>
      </w:divBdr>
    </w:div>
    <w:div w:id="489249460">
      <w:marLeft w:val="480"/>
      <w:marRight w:val="0"/>
      <w:marTop w:val="0"/>
      <w:marBottom w:val="0"/>
      <w:divBdr>
        <w:top w:val="none" w:sz="0" w:space="0" w:color="auto"/>
        <w:left w:val="none" w:sz="0" w:space="0" w:color="auto"/>
        <w:bottom w:val="none" w:sz="0" w:space="0" w:color="auto"/>
        <w:right w:val="none" w:sz="0" w:space="0" w:color="auto"/>
      </w:divBdr>
    </w:div>
    <w:div w:id="508495007">
      <w:marLeft w:val="480"/>
      <w:marRight w:val="0"/>
      <w:marTop w:val="0"/>
      <w:marBottom w:val="0"/>
      <w:divBdr>
        <w:top w:val="none" w:sz="0" w:space="0" w:color="auto"/>
        <w:left w:val="none" w:sz="0" w:space="0" w:color="auto"/>
        <w:bottom w:val="none" w:sz="0" w:space="0" w:color="auto"/>
        <w:right w:val="none" w:sz="0" w:space="0" w:color="auto"/>
      </w:divBdr>
    </w:div>
    <w:div w:id="509031687">
      <w:marLeft w:val="480"/>
      <w:marRight w:val="0"/>
      <w:marTop w:val="0"/>
      <w:marBottom w:val="0"/>
      <w:divBdr>
        <w:top w:val="none" w:sz="0" w:space="0" w:color="auto"/>
        <w:left w:val="none" w:sz="0" w:space="0" w:color="auto"/>
        <w:bottom w:val="none" w:sz="0" w:space="0" w:color="auto"/>
        <w:right w:val="none" w:sz="0" w:space="0" w:color="auto"/>
      </w:divBdr>
    </w:div>
    <w:div w:id="509610229">
      <w:marLeft w:val="480"/>
      <w:marRight w:val="0"/>
      <w:marTop w:val="0"/>
      <w:marBottom w:val="0"/>
      <w:divBdr>
        <w:top w:val="none" w:sz="0" w:space="0" w:color="auto"/>
        <w:left w:val="none" w:sz="0" w:space="0" w:color="auto"/>
        <w:bottom w:val="none" w:sz="0" w:space="0" w:color="auto"/>
        <w:right w:val="none" w:sz="0" w:space="0" w:color="auto"/>
      </w:divBdr>
    </w:div>
    <w:div w:id="540022231">
      <w:marLeft w:val="480"/>
      <w:marRight w:val="0"/>
      <w:marTop w:val="0"/>
      <w:marBottom w:val="0"/>
      <w:divBdr>
        <w:top w:val="none" w:sz="0" w:space="0" w:color="auto"/>
        <w:left w:val="none" w:sz="0" w:space="0" w:color="auto"/>
        <w:bottom w:val="none" w:sz="0" w:space="0" w:color="auto"/>
        <w:right w:val="none" w:sz="0" w:space="0" w:color="auto"/>
      </w:divBdr>
    </w:div>
    <w:div w:id="544949817">
      <w:marLeft w:val="480"/>
      <w:marRight w:val="0"/>
      <w:marTop w:val="0"/>
      <w:marBottom w:val="0"/>
      <w:divBdr>
        <w:top w:val="none" w:sz="0" w:space="0" w:color="auto"/>
        <w:left w:val="none" w:sz="0" w:space="0" w:color="auto"/>
        <w:bottom w:val="none" w:sz="0" w:space="0" w:color="auto"/>
        <w:right w:val="none" w:sz="0" w:space="0" w:color="auto"/>
      </w:divBdr>
    </w:div>
    <w:div w:id="550195316">
      <w:marLeft w:val="480"/>
      <w:marRight w:val="0"/>
      <w:marTop w:val="0"/>
      <w:marBottom w:val="0"/>
      <w:divBdr>
        <w:top w:val="none" w:sz="0" w:space="0" w:color="auto"/>
        <w:left w:val="none" w:sz="0" w:space="0" w:color="auto"/>
        <w:bottom w:val="none" w:sz="0" w:space="0" w:color="auto"/>
        <w:right w:val="none" w:sz="0" w:space="0" w:color="auto"/>
      </w:divBdr>
    </w:div>
    <w:div w:id="561058582">
      <w:marLeft w:val="480"/>
      <w:marRight w:val="0"/>
      <w:marTop w:val="0"/>
      <w:marBottom w:val="0"/>
      <w:divBdr>
        <w:top w:val="none" w:sz="0" w:space="0" w:color="auto"/>
        <w:left w:val="none" w:sz="0" w:space="0" w:color="auto"/>
        <w:bottom w:val="none" w:sz="0" w:space="0" w:color="auto"/>
        <w:right w:val="none" w:sz="0" w:space="0" w:color="auto"/>
      </w:divBdr>
    </w:div>
    <w:div w:id="562957116">
      <w:marLeft w:val="480"/>
      <w:marRight w:val="0"/>
      <w:marTop w:val="0"/>
      <w:marBottom w:val="0"/>
      <w:divBdr>
        <w:top w:val="none" w:sz="0" w:space="0" w:color="auto"/>
        <w:left w:val="none" w:sz="0" w:space="0" w:color="auto"/>
        <w:bottom w:val="none" w:sz="0" w:space="0" w:color="auto"/>
        <w:right w:val="none" w:sz="0" w:space="0" w:color="auto"/>
      </w:divBdr>
    </w:div>
    <w:div w:id="567307105">
      <w:marLeft w:val="480"/>
      <w:marRight w:val="0"/>
      <w:marTop w:val="0"/>
      <w:marBottom w:val="0"/>
      <w:divBdr>
        <w:top w:val="none" w:sz="0" w:space="0" w:color="auto"/>
        <w:left w:val="none" w:sz="0" w:space="0" w:color="auto"/>
        <w:bottom w:val="none" w:sz="0" w:space="0" w:color="auto"/>
        <w:right w:val="none" w:sz="0" w:space="0" w:color="auto"/>
      </w:divBdr>
    </w:div>
    <w:div w:id="576479791">
      <w:marLeft w:val="480"/>
      <w:marRight w:val="0"/>
      <w:marTop w:val="0"/>
      <w:marBottom w:val="0"/>
      <w:divBdr>
        <w:top w:val="none" w:sz="0" w:space="0" w:color="auto"/>
        <w:left w:val="none" w:sz="0" w:space="0" w:color="auto"/>
        <w:bottom w:val="none" w:sz="0" w:space="0" w:color="auto"/>
        <w:right w:val="none" w:sz="0" w:space="0" w:color="auto"/>
      </w:divBdr>
    </w:div>
    <w:div w:id="581108463">
      <w:marLeft w:val="480"/>
      <w:marRight w:val="0"/>
      <w:marTop w:val="0"/>
      <w:marBottom w:val="0"/>
      <w:divBdr>
        <w:top w:val="none" w:sz="0" w:space="0" w:color="auto"/>
        <w:left w:val="none" w:sz="0" w:space="0" w:color="auto"/>
        <w:bottom w:val="none" w:sz="0" w:space="0" w:color="auto"/>
        <w:right w:val="none" w:sz="0" w:space="0" w:color="auto"/>
      </w:divBdr>
    </w:div>
    <w:div w:id="583688562">
      <w:marLeft w:val="480"/>
      <w:marRight w:val="0"/>
      <w:marTop w:val="0"/>
      <w:marBottom w:val="0"/>
      <w:divBdr>
        <w:top w:val="none" w:sz="0" w:space="0" w:color="auto"/>
        <w:left w:val="none" w:sz="0" w:space="0" w:color="auto"/>
        <w:bottom w:val="none" w:sz="0" w:space="0" w:color="auto"/>
        <w:right w:val="none" w:sz="0" w:space="0" w:color="auto"/>
      </w:divBdr>
    </w:div>
    <w:div w:id="591203307">
      <w:marLeft w:val="480"/>
      <w:marRight w:val="0"/>
      <w:marTop w:val="0"/>
      <w:marBottom w:val="0"/>
      <w:divBdr>
        <w:top w:val="none" w:sz="0" w:space="0" w:color="auto"/>
        <w:left w:val="none" w:sz="0" w:space="0" w:color="auto"/>
        <w:bottom w:val="none" w:sz="0" w:space="0" w:color="auto"/>
        <w:right w:val="none" w:sz="0" w:space="0" w:color="auto"/>
      </w:divBdr>
    </w:div>
    <w:div w:id="607665240">
      <w:marLeft w:val="480"/>
      <w:marRight w:val="0"/>
      <w:marTop w:val="0"/>
      <w:marBottom w:val="0"/>
      <w:divBdr>
        <w:top w:val="none" w:sz="0" w:space="0" w:color="auto"/>
        <w:left w:val="none" w:sz="0" w:space="0" w:color="auto"/>
        <w:bottom w:val="none" w:sz="0" w:space="0" w:color="auto"/>
        <w:right w:val="none" w:sz="0" w:space="0" w:color="auto"/>
      </w:divBdr>
    </w:div>
    <w:div w:id="643435563">
      <w:marLeft w:val="480"/>
      <w:marRight w:val="0"/>
      <w:marTop w:val="0"/>
      <w:marBottom w:val="0"/>
      <w:divBdr>
        <w:top w:val="none" w:sz="0" w:space="0" w:color="auto"/>
        <w:left w:val="none" w:sz="0" w:space="0" w:color="auto"/>
        <w:bottom w:val="none" w:sz="0" w:space="0" w:color="auto"/>
        <w:right w:val="none" w:sz="0" w:space="0" w:color="auto"/>
      </w:divBdr>
    </w:div>
    <w:div w:id="656348624">
      <w:marLeft w:val="480"/>
      <w:marRight w:val="0"/>
      <w:marTop w:val="0"/>
      <w:marBottom w:val="0"/>
      <w:divBdr>
        <w:top w:val="none" w:sz="0" w:space="0" w:color="auto"/>
        <w:left w:val="none" w:sz="0" w:space="0" w:color="auto"/>
        <w:bottom w:val="none" w:sz="0" w:space="0" w:color="auto"/>
        <w:right w:val="none" w:sz="0" w:space="0" w:color="auto"/>
      </w:divBdr>
    </w:div>
    <w:div w:id="672151624">
      <w:marLeft w:val="480"/>
      <w:marRight w:val="0"/>
      <w:marTop w:val="0"/>
      <w:marBottom w:val="0"/>
      <w:divBdr>
        <w:top w:val="none" w:sz="0" w:space="0" w:color="auto"/>
        <w:left w:val="none" w:sz="0" w:space="0" w:color="auto"/>
        <w:bottom w:val="none" w:sz="0" w:space="0" w:color="auto"/>
        <w:right w:val="none" w:sz="0" w:space="0" w:color="auto"/>
      </w:divBdr>
    </w:div>
    <w:div w:id="692658344">
      <w:marLeft w:val="480"/>
      <w:marRight w:val="0"/>
      <w:marTop w:val="0"/>
      <w:marBottom w:val="0"/>
      <w:divBdr>
        <w:top w:val="none" w:sz="0" w:space="0" w:color="auto"/>
        <w:left w:val="none" w:sz="0" w:space="0" w:color="auto"/>
        <w:bottom w:val="none" w:sz="0" w:space="0" w:color="auto"/>
        <w:right w:val="none" w:sz="0" w:space="0" w:color="auto"/>
      </w:divBdr>
    </w:div>
    <w:div w:id="706754749">
      <w:marLeft w:val="480"/>
      <w:marRight w:val="0"/>
      <w:marTop w:val="0"/>
      <w:marBottom w:val="0"/>
      <w:divBdr>
        <w:top w:val="none" w:sz="0" w:space="0" w:color="auto"/>
        <w:left w:val="none" w:sz="0" w:space="0" w:color="auto"/>
        <w:bottom w:val="none" w:sz="0" w:space="0" w:color="auto"/>
        <w:right w:val="none" w:sz="0" w:space="0" w:color="auto"/>
      </w:divBdr>
    </w:div>
    <w:div w:id="719985537">
      <w:marLeft w:val="480"/>
      <w:marRight w:val="0"/>
      <w:marTop w:val="0"/>
      <w:marBottom w:val="0"/>
      <w:divBdr>
        <w:top w:val="none" w:sz="0" w:space="0" w:color="auto"/>
        <w:left w:val="none" w:sz="0" w:space="0" w:color="auto"/>
        <w:bottom w:val="none" w:sz="0" w:space="0" w:color="auto"/>
        <w:right w:val="none" w:sz="0" w:space="0" w:color="auto"/>
      </w:divBdr>
    </w:div>
    <w:div w:id="750394676">
      <w:marLeft w:val="480"/>
      <w:marRight w:val="0"/>
      <w:marTop w:val="0"/>
      <w:marBottom w:val="0"/>
      <w:divBdr>
        <w:top w:val="none" w:sz="0" w:space="0" w:color="auto"/>
        <w:left w:val="none" w:sz="0" w:space="0" w:color="auto"/>
        <w:bottom w:val="none" w:sz="0" w:space="0" w:color="auto"/>
        <w:right w:val="none" w:sz="0" w:space="0" w:color="auto"/>
      </w:divBdr>
    </w:div>
    <w:div w:id="769351408">
      <w:marLeft w:val="480"/>
      <w:marRight w:val="0"/>
      <w:marTop w:val="0"/>
      <w:marBottom w:val="0"/>
      <w:divBdr>
        <w:top w:val="none" w:sz="0" w:space="0" w:color="auto"/>
        <w:left w:val="none" w:sz="0" w:space="0" w:color="auto"/>
        <w:bottom w:val="none" w:sz="0" w:space="0" w:color="auto"/>
        <w:right w:val="none" w:sz="0" w:space="0" w:color="auto"/>
      </w:divBdr>
    </w:div>
    <w:div w:id="774666154">
      <w:marLeft w:val="48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8246">
      <w:marLeft w:val="480"/>
      <w:marRight w:val="0"/>
      <w:marTop w:val="0"/>
      <w:marBottom w:val="0"/>
      <w:divBdr>
        <w:top w:val="none" w:sz="0" w:space="0" w:color="auto"/>
        <w:left w:val="none" w:sz="0" w:space="0" w:color="auto"/>
        <w:bottom w:val="none" w:sz="0" w:space="0" w:color="auto"/>
        <w:right w:val="none" w:sz="0" w:space="0" w:color="auto"/>
      </w:divBdr>
    </w:div>
    <w:div w:id="852838465">
      <w:marLeft w:val="480"/>
      <w:marRight w:val="0"/>
      <w:marTop w:val="0"/>
      <w:marBottom w:val="0"/>
      <w:divBdr>
        <w:top w:val="none" w:sz="0" w:space="0" w:color="auto"/>
        <w:left w:val="none" w:sz="0" w:space="0" w:color="auto"/>
        <w:bottom w:val="none" w:sz="0" w:space="0" w:color="auto"/>
        <w:right w:val="none" w:sz="0" w:space="0" w:color="auto"/>
      </w:divBdr>
    </w:div>
    <w:div w:id="860321312">
      <w:marLeft w:val="48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5585163">
      <w:marLeft w:val="480"/>
      <w:marRight w:val="0"/>
      <w:marTop w:val="0"/>
      <w:marBottom w:val="0"/>
      <w:divBdr>
        <w:top w:val="none" w:sz="0" w:space="0" w:color="auto"/>
        <w:left w:val="none" w:sz="0" w:space="0" w:color="auto"/>
        <w:bottom w:val="none" w:sz="0" w:space="0" w:color="auto"/>
        <w:right w:val="none" w:sz="0" w:space="0" w:color="auto"/>
      </w:divBdr>
    </w:div>
    <w:div w:id="912474466">
      <w:marLeft w:val="480"/>
      <w:marRight w:val="0"/>
      <w:marTop w:val="0"/>
      <w:marBottom w:val="0"/>
      <w:divBdr>
        <w:top w:val="none" w:sz="0" w:space="0" w:color="auto"/>
        <w:left w:val="none" w:sz="0" w:space="0" w:color="auto"/>
        <w:bottom w:val="none" w:sz="0" w:space="0" w:color="auto"/>
        <w:right w:val="none" w:sz="0" w:space="0" w:color="auto"/>
      </w:divBdr>
    </w:div>
    <w:div w:id="912668060">
      <w:marLeft w:val="480"/>
      <w:marRight w:val="0"/>
      <w:marTop w:val="0"/>
      <w:marBottom w:val="0"/>
      <w:divBdr>
        <w:top w:val="none" w:sz="0" w:space="0" w:color="auto"/>
        <w:left w:val="none" w:sz="0" w:space="0" w:color="auto"/>
        <w:bottom w:val="none" w:sz="0" w:space="0" w:color="auto"/>
        <w:right w:val="none" w:sz="0" w:space="0" w:color="auto"/>
      </w:divBdr>
    </w:div>
    <w:div w:id="918900816">
      <w:marLeft w:val="48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89015">
      <w:marLeft w:val="480"/>
      <w:marRight w:val="0"/>
      <w:marTop w:val="0"/>
      <w:marBottom w:val="0"/>
      <w:divBdr>
        <w:top w:val="none" w:sz="0" w:space="0" w:color="auto"/>
        <w:left w:val="none" w:sz="0" w:space="0" w:color="auto"/>
        <w:bottom w:val="none" w:sz="0" w:space="0" w:color="auto"/>
        <w:right w:val="none" w:sz="0" w:space="0" w:color="auto"/>
      </w:divBdr>
    </w:div>
    <w:div w:id="946543137">
      <w:marLeft w:val="480"/>
      <w:marRight w:val="0"/>
      <w:marTop w:val="0"/>
      <w:marBottom w:val="0"/>
      <w:divBdr>
        <w:top w:val="none" w:sz="0" w:space="0" w:color="auto"/>
        <w:left w:val="none" w:sz="0" w:space="0" w:color="auto"/>
        <w:bottom w:val="none" w:sz="0" w:space="0" w:color="auto"/>
        <w:right w:val="none" w:sz="0" w:space="0" w:color="auto"/>
      </w:divBdr>
    </w:div>
    <w:div w:id="952789266">
      <w:marLeft w:val="480"/>
      <w:marRight w:val="0"/>
      <w:marTop w:val="0"/>
      <w:marBottom w:val="0"/>
      <w:divBdr>
        <w:top w:val="none" w:sz="0" w:space="0" w:color="auto"/>
        <w:left w:val="none" w:sz="0" w:space="0" w:color="auto"/>
        <w:bottom w:val="none" w:sz="0" w:space="0" w:color="auto"/>
        <w:right w:val="none" w:sz="0" w:space="0" w:color="auto"/>
      </w:divBdr>
    </w:div>
    <w:div w:id="976034965">
      <w:marLeft w:val="480"/>
      <w:marRight w:val="0"/>
      <w:marTop w:val="0"/>
      <w:marBottom w:val="0"/>
      <w:divBdr>
        <w:top w:val="none" w:sz="0" w:space="0" w:color="auto"/>
        <w:left w:val="none" w:sz="0" w:space="0" w:color="auto"/>
        <w:bottom w:val="none" w:sz="0" w:space="0" w:color="auto"/>
        <w:right w:val="none" w:sz="0" w:space="0" w:color="auto"/>
      </w:divBdr>
    </w:div>
    <w:div w:id="990793062">
      <w:marLeft w:val="480"/>
      <w:marRight w:val="0"/>
      <w:marTop w:val="0"/>
      <w:marBottom w:val="0"/>
      <w:divBdr>
        <w:top w:val="none" w:sz="0" w:space="0" w:color="auto"/>
        <w:left w:val="none" w:sz="0" w:space="0" w:color="auto"/>
        <w:bottom w:val="none" w:sz="0" w:space="0" w:color="auto"/>
        <w:right w:val="none" w:sz="0" w:space="0" w:color="auto"/>
      </w:divBdr>
    </w:div>
    <w:div w:id="991560689">
      <w:marLeft w:val="480"/>
      <w:marRight w:val="0"/>
      <w:marTop w:val="0"/>
      <w:marBottom w:val="0"/>
      <w:divBdr>
        <w:top w:val="none" w:sz="0" w:space="0" w:color="auto"/>
        <w:left w:val="none" w:sz="0" w:space="0" w:color="auto"/>
        <w:bottom w:val="none" w:sz="0" w:space="0" w:color="auto"/>
        <w:right w:val="none" w:sz="0" w:space="0" w:color="auto"/>
      </w:divBdr>
    </w:div>
    <w:div w:id="994576920">
      <w:marLeft w:val="480"/>
      <w:marRight w:val="0"/>
      <w:marTop w:val="0"/>
      <w:marBottom w:val="0"/>
      <w:divBdr>
        <w:top w:val="none" w:sz="0" w:space="0" w:color="auto"/>
        <w:left w:val="none" w:sz="0" w:space="0" w:color="auto"/>
        <w:bottom w:val="none" w:sz="0" w:space="0" w:color="auto"/>
        <w:right w:val="none" w:sz="0" w:space="0" w:color="auto"/>
      </w:divBdr>
    </w:div>
    <w:div w:id="997610552">
      <w:marLeft w:val="480"/>
      <w:marRight w:val="0"/>
      <w:marTop w:val="0"/>
      <w:marBottom w:val="0"/>
      <w:divBdr>
        <w:top w:val="none" w:sz="0" w:space="0" w:color="auto"/>
        <w:left w:val="none" w:sz="0" w:space="0" w:color="auto"/>
        <w:bottom w:val="none" w:sz="0" w:space="0" w:color="auto"/>
        <w:right w:val="none" w:sz="0" w:space="0" w:color="auto"/>
      </w:divBdr>
    </w:div>
    <w:div w:id="1010832217">
      <w:marLeft w:val="480"/>
      <w:marRight w:val="0"/>
      <w:marTop w:val="0"/>
      <w:marBottom w:val="0"/>
      <w:divBdr>
        <w:top w:val="none" w:sz="0" w:space="0" w:color="auto"/>
        <w:left w:val="none" w:sz="0" w:space="0" w:color="auto"/>
        <w:bottom w:val="none" w:sz="0" w:space="0" w:color="auto"/>
        <w:right w:val="none" w:sz="0" w:space="0" w:color="auto"/>
      </w:divBdr>
    </w:div>
    <w:div w:id="1061909500">
      <w:marLeft w:val="480"/>
      <w:marRight w:val="0"/>
      <w:marTop w:val="0"/>
      <w:marBottom w:val="0"/>
      <w:divBdr>
        <w:top w:val="none" w:sz="0" w:space="0" w:color="auto"/>
        <w:left w:val="none" w:sz="0" w:space="0" w:color="auto"/>
        <w:bottom w:val="none" w:sz="0" w:space="0" w:color="auto"/>
        <w:right w:val="none" w:sz="0" w:space="0" w:color="auto"/>
      </w:divBdr>
    </w:div>
    <w:div w:id="1084842024">
      <w:marLeft w:val="480"/>
      <w:marRight w:val="0"/>
      <w:marTop w:val="0"/>
      <w:marBottom w:val="0"/>
      <w:divBdr>
        <w:top w:val="none" w:sz="0" w:space="0" w:color="auto"/>
        <w:left w:val="none" w:sz="0" w:space="0" w:color="auto"/>
        <w:bottom w:val="none" w:sz="0" w:space="0" w:color="auto"/>
        <w:right w:val="none" w:sz="0" w:space="0" w:color="auto"/>
      </w:divBdr>
    </w:div>
    <w:div w:id="1106928798">
      <w:marLeft w:val="480"/>
      <w:marRight w:val="0"/>
      <w:marTop w:val="0"/>
      <w:marBottom w:val="0"/>
      <w:divBdr>
        <w:top w:val="none" w:sz="0" w:space="0" w:color="auto"/>
        <w:left w:val="none" w:sz="0" w:space="0" w:color="auto"/>
        <w:bottom w:val="none" w:sz="0" w:space="0" w:color="auto"/>
        <w:right w:val="none" w:sz="0" w:space="0" w:color="auto"/>
      </w:divBdr>
    </w:div>
    <w:div w:id="1109541750">
      <w:marLeft w:val="480"/>
      <w:marRight w:val="0"/>
      <w:marTop w:val="0"/>
      <w:marBottom w:val="0"/>
      <w:divBdr>
        <w:top w:val="none" w:sz="0" w:space="0" w:color="auto"/>
        <w:left w:val="none" w:sz="0" w:space="0" w:color="auto"/>
        <w:bottom w:val="none" w:sz="0" w:space="0" w:color="auto"/>
        <w:right w:val="none" w:sz="0" w:space="0" w:color="auto"/>
      </w:divBdr>
    </w:div>
    <w:div w:id="1114329835">
      <w:marLeft w:val="480"/>
      <w:marRight w:val="0"/>
      <w:marTop w:val="0"/>
      <w:marBottom w:val="0"/>
      <w:divBdr>
        <w:top w:val="none" w:sz="0" w:space="0" w:color="auto"/>
        <w:left w:val="none" w:sz="0" w:space="0" w:color="auto"/>
        <w:bottom w:val="none" w:sz="0" w:space="0" w:color="auto"/>
        <w:right w:val="none" w:sz="0" w:space="0" w:color="auto"/>
      </w:divBdr>
    </w:div>
    <w:div w:id="1134062528">
      <w:marLeft w:val="480"/>
      <w:marRight w:val="0"/>
      <w:marTop w:val="0"/>
      <w:marBottom w:val="0"/>
      <w:divBdr>
        <w:top w:val="none" w:sz="0" w:space="0" w:color="auto"/>
        <w:left w:val="none" w:sz="0" w:space="0" w:color="auto"/>
        <w:bottom w:val="none" w:sz="0" w:space="0" w:color="auto"/>
        <w:right w:val="none" w:sz="0" w:space="0" w:color="auto"/>
      </w:divBdr>
    </w:div>
    <w:div w:id="1140001950">
      <w:marLeft w:val="480"/>
      <w:marRight w:val="0"/>
      <w:marTop w:val="0"/>
      <w:marBottom w:val="0"/>
      <w:divBdr>
        <w:top w:val="none" w:sz="0" w:space="0" w:color="auto"/>
        <w:left w:val="none" w:sz="0" w:space="0" w:color="auto"/>
        <w:bottom w:val="none" w:sz="0" w:space="0" w:color="auto"/>
        <w:right w:val="none" w:sz="0" w:space="0" w:color="auto"/>
      </w:divBdr>
    </w:div>
    <w:div w:id="1141389345">
      <w:marLeft w:val="480"/>
      <w:marRight w:val="0"/>
      <w:marTop w:val="0"/>
      <w:marBottom w:val="0"/>
      <w:divBdr>
        <w:top w:val="none" w:sz="0" w:space="0" w:color="auto"/>
        <w:left w:val="none" w:sz="0" w:space="0" w:color="auto"/>
        <w:bottom w:val="none" w:sz="0" w:space="0" w:color="auto"/>
        <w:right w:val="none" w:sz="0" w:space="0" w:color="auto"/>
      </w:divBdr>
    </w:div>
    <w:div w:id="1166675786">
      <w:marLeft w:val="480"/>
      <w:marRight w:val="0"/>
      <w:marTop w:val="0"/>
      <w:marBottom w:val="0"/>
      <w:divBdr>
        <w:top w:val="none" w:sz="0" w:space="0" w:color="auto"/>
        <w:left w:val="none" w:sz="0" w:space="0" w:color="auto"/>
        <w:bottom w:val="none" w:sz="0" w:space="0" w:color="auto"/>
        <w:right w:val="none" w:sz="0" w:space="0" w:color="auto"/>
      </w:divBdr>
    </w:div>
    <w:div w:id="1169174703">
      <w:marLeft w:val="480"/>
      <w:marRight w:val="0"/>
      <w:marTop w:val="0"/>
      <w:marBottom w:val="0"/>
      <w:divBdr>
        <w:top w:val="none" w:sz="0" w:space="0" w:color="auto"/>
        <w:left w:val="none" w:sz="0" w:space="0" w:color="auto"/>
        <w:bottom w:val="none" w:sz="0" w:space="0" w:color="auto"/>
        <w:right w:val="none" w:sz="0" w:space="0" w:color="auto"/>
      </w:divBdr>
    </w:div>
    <w:div w:id="1172261001">
      <w:marLeft w:val="480"/>
      <w:marRight w:val="0"/>
      <w:marTop w:val="0"/>
      <w:marBottom w:val="0"/>
      <w:divBdr>
        <w:top w:val="none" w:sz="0" w:space="0" w:color="auto"/>
        <w:left w:val="none" w:sz="0" w:space="0" w:color="auto"/>
        <w:bottom w:val="none" w:sz="0" w:space="0" w:color="auto"/>
        <w:right w:val="none" w:sz="0" w:space="0" w:color="auto"/>
      </w:divBdr>
    </w:div>
    <w:div w:id="1192036234">
      <w:marLeft w:val="480"/>
      <w:marRight w:val="0"/>
      <w:marTop w:val="0"/>
      <w:marBottom w:val="0"/>
      <w:divBdr>
        <w:top w:val="none" w:sz="0" w:space="0" w:color="auto"/>
        <w:left w:val="none" w:sz="0" w:space="0" w:color="auto"/>
        <w:bottom w:val="none" w:sz="0" w:space="0" w:color="auto"/>
        <w:right w:val="none" w:sz="0" w:space="0" w:color="auto"/>
      </w:divBdr>
    </w:div>
    <w:div w:id="1200704973">
      <w:marLeft w:val="480"/>
      <w:marRight w:val="0"/>
      <w:marTop w:val="0"/>
      <w:marBottom w:val="0"/>
      <w:divBdr>
        <w:top w:val="none" w:sz="0" w:space="0" w:color="auto"/>
        <w:left w:val="none" w:sz="0" w:space="0" w:color="auto"/>
        <w:bottom w:val="none" w:sz="0" w:space="0" w:color="auto"/>
        <w:right w:val="none" w:sz="0" w:space="0" w:color="auto"/>
      </w:divBdr>
    </w:div>
    <w:div w:id="1223098407">
      <w:marLeft w:val="480"/>
      <w:marRight w:val="0"/>
      <w:marTop w:val="0"/>
      <w:marBottom w:val="0"/>
      <w:divBdr>
        <w:top w:val="none" w:sz="0" w:space="0" w:color="auto"/>
        <w:left w:val="none" w:sz="0" w:space="0" w:color="auto"/>
        <w:bottom w:val="none" w:sz="0" w:space="0" w:color="auto"/>
        <w:right w:val="none" w:sz="0" w:space="0" w:color="auto"/>
      </w:divBdr>
    </w:div>
    <w:div w:id="1240169828">
      <w:marLeft w:val="480"/>
      <w:marRight w:val="0"/>
      <w:marTop w:val="0"/>
      <w:marBottom w:val="0"/>
      <w:divBdr>
        <w:top w:val="none" w:sz="0" w:space="0" w:color="auto"/>
        <w:left w:val="none" w:sz="0" w:space="0" w:color="auto"/>
        <w:bottom w:val="none" w:sz="0" w:space="0" w:color="auto"/>
        <w:right w:val="none" w:sz="0" w:space="0" w:color="auto"/>
      </w:divBdr>
    </w:div>
    <w:div w:id="1242567519">
      <w:marLeft w:val="480"/>
      <w:marRight w:val="0"/>
      <w:marTop w:val="0"/>
      <w:marBottom w:val="0"/>
      <w:divBdr>
        <w:top w:val="none" w:sz="0" w:space="0" w:color="auto"/>
        <w:left w:val="none" w:sz="0" w:space="0" w:color="auto"/>
        <w:bottom w:val="none" w:sz="0" w:space="0" w:color="auto"/>
        <w:right w:val="none" w:sz="0" w:space="0" w:color="auto"/>
      </w:divBdr>
    </w:div>
    <w:div w:id="1246374654">
      <w:marLeft w:val="480"/>
      <w:marRight w:val="0"/>
      <w:marTop w:val="0"/>
      <w:marBottom w:val="0"/>
      <w:divBdr>
        <w:top w:val="none" w:sz="0" w:space="0" w:color="auto"/>
        <w:left w:val="none" w:sz="0" w:space="0" w:color="auto"/>
        <w:bottom w:val="none" w:sz="0" w:space="0" w:color="auto"/>
        <w:right w:val="none" w:sz="0" w:space="0" w:color="auto"/>
      </w:divBdr>
    </w:div>
    <w:div w:id="1251502493">
      <w:marLeft w:val="480"/>
      <w:marRight w:val="0"/>
      <w:marTop w:val="0"/>
      <w:marBottom w:val="0"/>
      <w:divBdr>
        <w:top w:val="none" w:sz="0" w:space="0" w:color="auto"/>
        <w:left w:val="none" w:sz="0" w:space="0" w:color="auto"/>
        <w:bottom w:val="none" w:sz="0" w:space="0" w:color="auto"/>
        <w:right w:val="none" w:sz="0" w:space="0" w:color="auto"/>
      </w:divBdr>
    </w:div>
    <w:div w:id="1255089988">
      <w:marLeft w:val="480"/>
      <w:marRight w:val="0"/>
      <w:marTop w:val="0"/>
      <w:marBottom w:val="0"/>
      <w:divBdr>
        <w:top w:val="none" w:sz="0" w:space="0" w:color="auto"/>
        <w:left w:val="none" w:sz="0" w:space="0" w:color="auto"/>
        <w:bottom w:val="none" w:sz="0" w:space="0" w:color="auto"/>
        <w:right w:val="none" w:sz="0" w:space="0" w:color="auto"/>
      </w:divBdr>
    </w:div>
    <w:div w:id="1256549002">
      <w:marLeft w:val="480"/>
      <w:marRight w:val="0"/>
      <w:marTop w:val="0"/>
      <w:marBottom w:val="0"/>
      <w:divBdr>
        <w:top w:val="none" w:sz="0" w:space="0" w:color="auto"/>
        <w:left w:val="none" w:sz="0" w:space="0" w:color="auto"/>
        <w:bottom w:val="none" w:sz="0" w:space="0" w:color="auto"/>
        <w:right w:val="none" w:sz="0" w:space="0" w:color="auto"/>
      </w:divBdr>
    </w:div>
    <w:div w:id="1268922920">
      <w:marLeft w:val="480"/>
      <w:marRight w:val="0"/>
      <w:marTop w:val="0"/>
      <w:marBottom w:val="0"/>
      <w:divBdr>
        <w:top w:val="none" w:sz="0" w:space="0" w:color="auto"/>
        <w:left w:val="none" w:sz="0" w:space="0" w:color="auto"/>
        <w:bottom w:val="none" w:sz="0" w:space="0" w:color="auto"/>
        <w:right w:val="none" w:sz="0" w:space="0" w:color="auto"/>
      </w:divBdr>
    </w:div>
    <w:div w:id="1275406687">
      <w:marLeft w:val="480"/>
      <w:marRight w:val="0"/>
      <w:marTop w:val="0"/>
      <w:marBottom w:val="0"/>
      <w:divBdr>
        <w:top w:val="none" w:sz="0" w:space="0" w:color="auto"/>
        <w:left w:val="none" w:sz="0" w:space="0" w:color="auto"/>
        <w:bottom w:val="none" w:sz="0" w:space="0" w:color="auto"/>
        <w:right w:val="none" w:sz="0" w:space="0" w:color="auto"/>
      </w:divBdr>
    </w:div>
    <w:div w:id="1283222173">
      <w:marLeft w:val="480"/>
      <w:marRight w:val="0"/>
      <w:marTop w:val="0"/>
      <w:marBottom w:val="0"/>
      <w:divBdr>
        <w:top w:val="none" w:sz="0" w:space="0" w:color="auto"/>
        <w:left w:val="none" w:sz="0" w:space="0" w:color="auto"/>
        <w:bottom w:val="none" w:sz="0" w:space="0" w:color="auto"/>
        <w:right w:val="none" w:sz="0" w:space="0" w:color="auto"/>
      </w:divBdr>
    </w:div>
    <w:div w:id="1306541953">
      <w:marLeft w:val="480"/>
      <w:marRight w:val="0"/>
      <w:marTop w:val="0"/>
      <w:marBottom w:val="0"/>
      <w:divBdr>
        <w:top w:val="none" w:sz="0" w:space="0" w:color="auto"/>
        <w:left w:val="none" w:sz="0" w:space="0" w:color="auto"/>
        <w:bottom w:val="none" w:sz="0" w:space="0" w:color="auto"/>
        <w:right w:val="none" w:sz="0" w:space="0" w:color="auto"/>
      </w:divBdr>
    </w:div>
    <w:div w:id="1319267279">
      <w:marLeft w:val="480"/>
      <w:marRight w:val="0"/>
      <w:marTop w:val="0"/>
      <w:marBottom w:val="0"/>
      <w:divBdr>
        <w:top w:val="none" w:sz="0" w:space="0" w:color="auto"/>
        <w:left w:val="none" w:sz="0" w:space="0" w:color="auto"/>
        <w:bottom w:val="none" w:sz="0" w:space="0" w:color="auto"/>
        <w:right w:val="none" w:sz="0" w:space="0" w:color="auto"/>
      </w:divBdr>
    </w:div>
    <w:div w:id="1322391232">
      <w:marLeft w:val="48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335915177">
      <w:marLeft w:val="480"/>
      <w:marRight w:val="0"/>
      <w:marTop w:val="0"/>
      <w:marBottom w:val="0"/>
      <w:divBdr>
        <w:top w:val="none" w:sz="0" w:space="0" w:color="auto"/>
        <w:left w:val="none" w:sz="0" w:space="0" w:color="auto"/>
        <w:bottom w:val="none" w:sz="0" w:space="0" w:color="auto"/>
        <w:right w:val="none" w:sz="0" w:space="0" w:color="auto"/>
      </w:divBdr>
    </w:div>
    <w:div w:id="1344866731">
      <w:marLeft w:val="480"/>
      <w:marRight w:val="0"/>
      <w:marTop w:val="0"/>
      <w:marBottom w:val="0"/>
      <w:divBdr>
        <w:top w:val="none" w:sz="0" w:space="0" w:color="auto"/>
        <w:left w:val="none" w:sz="0" w:space="0" w:color="auto"/>
        <w:bottom w:val="none" w:sz="0" w:space="0" w:color="auto"/>
        <w:right w:val="none" w:sz="0" w:space="0" w:color="auto"/>
      </w:divBdr>
    </w:div>
    <w:div w:id="1346520575">
      <w:marLeft w:val="480"/>
      <w:marRight w:val="0"/>
      <w:marTop w:val="0"/>
      <w:marBottom w:val="0"/>
      <w:divBdr>
        <w:top w:val="none" w:sz="0" w:space="0" w:color="auto"/>
        <w:left w:val="none" w:sz="0" w:space="0" w:color="auto"/>
        <w:bottom w:val="none" w:sz="0" w:space="0" w:color="auto"/>
        <w:right w:val="none" w:sz="0" w:space="0" w:color="auto"/>
      </w:divBdr>
    </w:div>
    <w:div w:id="1352607253">
      <w:marLeft w:val="480"/>
      <w:marRight w:val="0"/>
      <w:marTop w:val="0"/>
      <w:marBottom w:val="0"/>
      <w:divBdr>
        <w:top w:val="none" w:sz="0" w:space="0" w:color="auto"/>
        <w:left w:val="none" w:sz="0" w:space="0" w:color="auto"/>
        <w:bottom w:val="none" w:sz="0" w:space="0" w:color="auto"/>
        <w:right w:val="none" w:sz="0" w:space="0" w:color="auto"/>
      </w:divBdr>
    </w:div>
    <w:div w:id="1370372835">
      <w:marLeft w:val="480"/>
      <w:marRight w:val="0"/>
      <w:marTop w:val="0"/>
      <w:marBottom w:val="0"/>
      <w:divBdr>
        <w:top w:val="none" w:sz="0" w:space="0" w:color="auto"/>
        <w:left w:val="none" w:sz="0" w:space="0" w:color="auto"/>
        <w:bottom w:val="none" w:sz="0" w:space="0" w:color="auto"/>
        <w:right w:val="none" w:sz="0" w:space="0" w:color="auto"/>
      </w:divBdr>
    </w:div>
    <w:div w:id="1395465039">
      <w:marLeft w:val="480"/>
      <w:marRight w:val="0"/>
      <w:marTop w:val="0"/>
      <w:marBottom w:val="0"/>
      <w:divBdr>
        <w:top w:val="none" w:sz="0" w:space="0" w:color="auto"/>
        <w:left w:val="none" w:sz="0" w:space="0" w:color="auto"/>
        <w:bottom w:val="none" w:sz="0" w:space="0" w:color="auto"/>
        <w:right w:val="none" w:sz="0" w:space="0" w:color="auto"/>
      </w:divBdr>
    </w:div>
    <w:div w:id="1398552268">
      <w:marLeft w:val="480"/>
      <w:marRight w:val="0"/>
      <w:marTop w:val="0"/>
      <w:marBottom w:val="0"/>
      <w:divBdr>
        <w:top w:val="none" w:sz="0" w:space="0" w:color="auto"/>
        <w:left w:val="none" w:sz="0" w:space="0" w:color="auto"/>
        <w:bottom w:val="none" w:sz="0" w:space="0" w:color="auto"/>
        <w:right w:val="none" w:sz="0" w:space="0" w:color="auto"/>
      </w:divBdr>
    </w:div>
    <w:div w:id="1408916759">
      <w:marLeft w:val="48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2531981">
      <w:marLeft w:val="480"/>
      <w:marRight w:val="0"/>
      <w:marTop w:val="0"/>
      <w:marBottom w:val="0"/>
      <w:divBdr>
        <w:top w:val="none" w:sz="0" w:space="0" w:color="auto"/>
        <w:left w:val="none" w:sz="0" w:space="0" w:color="auto"/>
        <w:bottom w:val="none" w:sz="0" w:space="0" w:color="auto"/>
        <w:right w:val="none" w:sz="0" w:space="0" w:color="auto"/>
      </w:divBdr>
    </w:div>
    <w:div w:id="1442799033">
      <w:marLeft w:val="480"/>
      <w:marRight w:val="0"/>
      <w:marTop w:val="0"/>
      <w:marBottom w:val="0"/>
      <w:divBdr>
        <w:top w:val="none" w:sz="0" w:space="0" w:color="auto"/>
        <w:left w:val="none" w:sz="0" w:space="0" w:color="auto"/>
        <w:bottom w:val="none" w:sz="0" w:space="0" w:color="auto"/>
        <w:right w:val="none" w:sz="0" w:space="0" w:color="auto"/>
      </w:divBdr>
    </w:div>
    <w:div w:id="1464621188">
      <w:marLeft w:val="480"/>
      <w:marRight w:val="0"/>
      <w:marTop w:val="0"/>
      <w:marBottom w:val="0"/>
      <w:divBdr>
        <w:top w:val="none" w:sz="0" w:space="0" w:color="auto"/>
        <w:left w:val="none" w:sz="0" w:space="0" w:color="auto"/>
        <w:bottom w:val="none" w:sz="0" w:space="0" w:color="auto"/>
        <w:right w:val="none" w:sz="0" w:space="0" w:color="auto"/>
      </w:divBdr>
    </w:div>
    <w:div w:id="1469012899">
      <w:marLeft w:val="480"/>
      <w:marRight w:val="0"/>
      <w:marTop w:val="0"/>
      <w:marBottom w:val="0"/>
      <w:divBdr>
        <w:top w:val="none" w:sz="0" w:space="0" w:color="auto"/>
        <w:left w:val="none" w:sz="0" w:space="0" w:color="auto"/>
        <w:bottom w:val="none" w:sz="0" w:space="0" w:color="auto"/>
        <w:right w:val="none" w:sz="0" w:space="0" w:color="auto"/>
      </w:divBdr>
    </w:div>
    <w:div w:id="1480002414">
      <w:marLeft w:val="48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0175789">
      <w:marLeft w:val="480"/>
      <w:marRight w:val="0"/>
      <w:marTop w:val="0"/>
      <w:marBottom w:val="0"/>
      <w:divBdr>
        <w:top w:val="none" w:sz="0" w:space="0" w:color="auto"/>
        <w:left w:val="none" w:sz="0" w:space="0" w:color="auto"/>
        <w:bottom w:val="none" w:sz="0" w:space="0" w:color="auto"/>
        <w:right w:val="none" w:sz="0" w:space="0" w:color="auto"/>
      </w:divBdr>
    </w:div>
    <w:div w:id="1508591742">
      <w:marLeft w:val="480"/>
      <w:marRight w:val="0"/>
      <w:marTop w:val="0"/>
      <w:marBottom w:val="0"/>
      <w:divBdr>
        <w:top w:val="none" w:sz="0" w:space="0" w:color="auto"/>
        <w:left w:val="none" w:sz="0" w:space="0" w:color="auto"/>
        <w:bottom w:val="none" w:sz="0" w:space="0" w:color="auto"/>
        <w:right w:val="none" w:sz="0" w:space="0" w:color="auto"/>
      </w:divBdr>
    </w:div>
    <w:div w:id="1520465020">
      <w:marLeft w:val="480"/>
      <w:marRight w:val="0"/>
      <w:marTop w:val="0"/>
      <w:marBottom w:val="0"/>
      <w:divBdr>
        <w:top w:val="none" w:sz="0" w:space="0" w:color="auto"/>
        <w:left w:val="none" w:sz="0" w:space="0" w:color="auto"/>
        <w:bottom w:val="none" w:sz="0" w:space="0" w:color="auto"/>
        <w:right w:val="none" w:sz="0" w:space="0" w:color="auto"/>
      </w:divBdr>
    </w:div>
    <w:div w:id="1524975236">
      <w:marLeft w:val="480"/>
      <w:marRight w:val="0"/>
      <w:marTop w:val="0"/>
      <w:marBottom w:val="0"/>
      <w:divBdr>
        <w:top w:val="none" w:sz="0" w:space="0" w:color="auto"/>
        <w:left w:val="none" w:sz="0" w:space="0" w:color="auto"/>
        <w:bottom w:val="none" w:sz="0" w:space="0" w:color="auto"/>
        <w:right w:val="none" w:sz="0" w:space="0" w:color="auto"/>
      </w:divBdr>
    </w:div>
    <w:div w:id="1585990202">
      <w:marLeft w:val="480"/>
      <w:marRight w:val="0"/>
      <w:marTop w:val="0"/>
      <w:marBottom w:val="0"/>
      <w:divBdr>
        <w:top w:val="none" w:sz="0" w:space="0" w:color="auto"/>
        <w:left w:val="none" w:sz="0" w:space="0" w:color="auto"/>
        <w:bottom w:val="none" w:sz="0" w:space="0" w:color="auto"/>
        <w:right w:val="none" w:sz="0" w:space="0" w:color="auto"/>
      </w:divBdr>
    </w:div>
    <w:div w:id="1591550079">
      <w:marLeft w:val="480"/>
      <w:marRight w:val="0"/>
      <w:marTop w:val="0"/>
      <w:marBottom w:val="0"/>
      <w:divBdr>
        <w:top w:val="none" w:sz="0" w:space="0" w:color="auto"/>
        <w:left w:val="none" w:sz="0" w:space="0" w:color="auto"/>
        <w:bottom w:val="none" w:sz="0" w:space="0" w:color="auto"/>
        <w:right w:val="none" w:sz="0" w:space="0" w:color="auto"/>
      </w:divBdr>
    </w:div>
    <w:div w:id="1593852735">
      <w:marLeft w:val="480"/>
      <w:marRight w:val="0"/>
      <w:marTop w:val="0"/>
      <w:marBottom w:val="0"/>
      <w:divBdr>
        <w:top w:val="none" w:sz="0" w:space="0" w:color="auto"/>
        <w:left w:val="none" w:sz="0" w:space="0" w:color="auto"/>
        <w:bottom w:val="none" w:sz="0" w:space="0" w:color="auto"/>
        <w:right w:val="none" w:sz="0" w:space="0" w:color="auto"/>
      </w:divBdr>
    </w:div>
    <w:div w:id="1601378099">
      <w:marLeft w:val="480"/>
      <w:marRight w:val="0"/>
      <w:marTop w:val="0"/>
      <w:marBottom w:val="0"/>
      <w:divBdr>
        <w:top w:val="none" w:sz="0" w:space="0" w:color="auto"/>
        <w:left w:val="none" w:sz="0" w:space="0" w:color="auto"/>
        <w:bottom w:val="none" w:sz="0" w:space="0" w:color="auto"/>
        <w:right w:val="none" w:sz="0" w:space="0" w:color="auto"/>
      </w:divBdr>
    </w:div>
    <w:div w:id="1601796551">
      <w:marLeft w:val="480"/>
      <w:marRight w:val="0"/>
      <w:marTop w:val="0"/>
      <w:marBottom w:val="0"/>
      <w:divBdr>
        <w:top w:val="none" w:sz="0" w:space="0" w:color="auto"/>
        <w:left w:val="none" w:sz="0" w:space="0" w:color="auto"/>
        <w:bottom w:val="none" w:sz="0" w:space="0" w:color="auto"/>
        <w:right w:val="none" w:sz="0" w:space="0" w:color="auto"/>
      </w:divBdr>
    </w:div>
    <w:div w:id="1612081353">
      <w:marLeft w:val="480"/>
      <w:marRight w:val="0"/>
      <w:marTop w:val="0"/>
      <w:marBottom w:val="0"/>
      <w:divBdr>
        <w:top w:val="none" w:sz="0" w:space="0" w:color="auto"/>
        <w:left w:val="none" w:sz="0" w:space="0" w:color="auto"/>
        <w:bottom w:val="none" w:sz="0" w:space="0" w:color="auto"/>
        <w:right w:val="none" w:sz="0" w:space="0" w:color="auto"/>
      </w:divBdr>
    </w:div>
    <w:div w:id="1622422970">
      <w:marLeft w:val="480"/>
      <w:marRight w:val="0"/>
      <w:marTop w:val="0"/>
      <w:marBottom w:val="0"/>
      <w:divBdr>
        <w:top w:val="none" w:sz="0" w:space="0" w:color="auto"/>
        <w:left w:val="none" w:sz="0" w:space="0" w:color="auto"/>
        <w:bottom w:val="none" w:sz="0" w:space="0" w:color="auto"/>
        <w:right w:val="none" w:sz="0" w:space="0" w:color="auto"/>
      </w:divBdr>
    </w:div>
    <w:div w:id="1630740289">
      <w:marLeft w:val="480"/>
      <w:marRight w:val="0"/>
      <w:marTop w:val="0"/>
      <w:marBottom w:val="0"/>
      <w:divBdr>
        <w:top w:val="none" w:sz="0" w:space="0" w:color="auto"/>
        <w:left w:val="none" w:sz="0" w:space="0" w:color="auto"/>
        <w:bottom w:val="none" w:sz="0" w:space="0" w:color="auto"/>
        <w:right w:val="none" w:sz="0" w:space="0" w:color="auto"/>
      </w:divBdr>
    </w:div>
    <w:div w:id="1646277595">
      <w:marLeft w:val="480"/>
      <w:marRight w:val="0"/>
      <w:marTop w:val="0"/>
      <w:marBottom w:val="0"/>
      <w:divBdr>
        <w:top w:val="none" w:sz="0" w:space="0" w:color="auto"/>
        <w:left w:val="none" w:sz="0" w:space="0" w:color="auto"/>
        <w:bottom w:val="none" w:sz="0" w:space="0" w:color="auto"/>
        <w:right w:val="none" w:sz="0" w:space="0" w:color="auto"/>
      </w:divBdr>
    </w:div>
    <w:div w:id="1656296225">
      <w:marLeft w:val="480"/>
      <w:marRight w:val="0"/>
      <w:marTop w:val="0"/>
      <w:marBottom w:val="0"/>
      <w:divBdr>
        <w:top w:val="none" w:sz="0" w:space="0" w:color="auto"/>
        <w:left w:val="none" w:sz="0" w:space="0" w:color="auto"/>
        <w:bottom w:val="none" w:sz="0" w:space="0" w:color="auto"/>
        <w:right w:val="none" w:sz="0" w:space="0" w:color="auto"/>
      </w:divBdr>
    </w:div>
    <w:div w:id="1656765102">
      <w:marLeft w:val="48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11377">
      <w:marLeft w:val="480"/>
      <w:marRight w:val="0"/>
      <w:marTop w:val="0"/>
      <w:marBottom w:val="0"/>
      <w:divBdr>
        <w:top w:val="none" w:sz="0" w:space="0" w:color="auto"/>
        <w:left w:val="none" w:sz="0" w:space="0" w:color="auto"/>
        <w:bottom w:val="none" w:sz="0" w:space="0" w:color="auto"/>
        <w:right w:val="none" w:sz="0" w:space="0" w:color="auto"/>
      </w:divBdr>
    </w:div>
    <w:div w:id="1689326478">
      <w:marLeft w:val="480"/>
      <w:marRight w:val="0"/>
      <w:marTop w:val="0"/>
      <w:marBottom w:val="0"/>
      <w:divBdr>
        <w:top w:val="none" w:sz="0" w:space="0" w:color="auto"/>
        <w:left w:val="none" w:sz="0" w:space="0" w:color="auto"/>
        <w:bottom w:val="none" w:sz="0" w:space="0" w:color="auto"/>
        <w:right w:val="none" w:sz="0" w:space="0" w:color="auto"/>
      </w:divBdr>
    </w:div>
    <w:div w:id="1698307308">
      <w:marLeft w:val="480"/>
      <w:marRight w:val="0"/>
      <w:marTop w:val="0"/>
      <w:marBottom w:val="0"/>
      <w:divBdr>
        <w:top w:val="none" w:sz="0" w:space="0" w:color="auto"/>
        <w:left w:val="none" w:sz="0" w:space="0" w:color="auto"/>
        <w:bottom w:val="none" w:sz="0" w:space="0" w:color="auto"/>
        <w:right w:val="none" w:sz="0" w:space="0" w:color="auto"/>
      </w:divBdr>
    </w:div>
    <w:div w:id="1718158652">
      <w:marLeft w:val="480"/>
      <w:marRight w:val="0"/>
      <w:marTop w:val="0"/>
      <w:marBottom w:val="0"/>
      <w:divBdr>
        <w:top w:val="none" w:sz="0" w:space="0" w:color="auto"/>
        <w:left w:val="none" w:sz="0" w:space="0" w:color="auto"/>
        <w:bottom w:val="none" w:sz="0" w:space="0" w:color="auto"/>
        <w:right w:val="none" w:sz="0" w:space="0" w:color="auto"/>
      </w:divBdr>
    </w:div>
    <w:div w:id="1720203852">
      <w:marLeft w:val="480"/>
      <w:marRight w:val="0"/>
      <w:marTop w:val="0"/>
      <w:marBottom w:val="0"/>
      <w:divBdr>
        <w:top w:val="none" w:sz="0" w:space="0" w:color="auto"/>
        <w:left w:val="none" w:sz="0" w:space="0" w:color="auto"/>
        <w:bottom w:val="none" w:sz="0" w:space="0" w:color="auto"/>
        <w:right w:val="none" w:sz="0" w:space="0" w:color="auto"/>
      </w:divBdr>
    </w:div>
    <w:div w:id="1729717767">
      <w:marLeft w:val="480"/>
      <w:marRight w:val="0"/>
      <w:marTop w:val="0"/>
      <w:marBottom w:val="0"/>
      <w:divBdr>
        <w:top w:val="none" w:sz="0" w:space="0" w:color="auto"/>
        <w:left w:val="none" w:sz="0" w:space="0" w:color="auto"/>
        <w:bottom w:val="none" w:sz="0" w:space="0" w:color="auto"/>
        <w:right w:val="none" w:sz="0" w:space="0" w:color="auto"/>
      </w:divBdr>
    </w:div>
    <w:div w:id="1734934566">
      <w:marLeft w:val="480"/>
      <w:marRight w:val="0"/>
      <w:marTop w:val="0"/>
      <w:marBottom w:val="0"/>
      <w:divBdr>
        <w:top w:val="none" w:sz="0" w:space="0" w:color="auto"/>
        <w:left w:val="none" w:sz="0" w:space="0" w:color="auto"/>
        <w:bottom w:val="none" w:sz="0" w:space="0" w:color="auto"/>
        <w:right w:val="none" w:sz="0" w:space="0" w:color="auto"/>
      </w:divBdr>
    </w:div>
    <w:div w:id="1737434166">
      <w:marLeft w:val="480"/>
      <w:marRight w:val="0"/>
      <w:marTop w:val="0"/>
      <w:marBottom w:val="0"/>
      <w:divBdr>
        <w:top w:val="none" w:sz="0" w:space="0" w:color="auto"/>
        <w:left w:val="none" w:sz="0" w:space="0" w:color="auto"/>
        <w:bottom w:val="none" w:sz="0" w:space="0" w:color="auto"/>
        <w:right w:val="none" w:sz="0" w:space="0" w:color="auto"/>
      </w:divBdr>
    </w:div>
    <w:div w:id="1752777498">
      <w:marLeft w:val="480"/>
      <w:marRight w:val="0"/>
      <w:marTop w:val="0"/>
      <w:marBottom w:val="0"/>
      <w:divBdr>
        <w:top w:val="none" w:sz="0" w:space="0" w:color="auto"/>
        <w:left w:val="none" w:sz="0" w:space="0" w:color="auto"/>
        <w:bottom w:val="none" w:sz="0" w:space="0" w:color="auto"/>
        <w:right w:val="none" w:sz="0" w:space="0" w:color="auto"/>
      </w:divBdr>
    </w:div>
    <w:div w:id="1761293387">
      <w:marLeft w:val="480"/>
      <w:marRight w:val="0"/>
      <w:marTop w:val="0"/>
      <w:marBottom w:val="0"/>
      <w:divBdr>
        <w:top w:val="none" w:sz="0" w:space="0" w:color="auto"/>
        <w:left w:val="none" w:sz="0" w:space="0" w:color="auto"/>
        <w:bottom w:val="none" w:sz="0" w:space="0" w:color="auto"/>
        <w:right w:val="none" w:sz="0" w:space="0" w:color="auto"/>
      </w:divBdr>
    </w:div>
    <w:div w:id="1764565233">
      <w:marLeft w:val="480"/>
      <w:marRight w:val="0"/>
      <w:marTop w:val="0"/>
      <w:marBottom w:val="0"/>
      <w:divBdr>
        <w:top w:val="none" w:sz="0" w:space="0" w:color="auto"/>
        <w:left w:val="none" w:sz="0" w:space="0" w:color="auto"/>
        <w:bottom w:val="none" w:sz="0" w:space="0" w:color="auto"/>
        <w:right w:val="none" w:sz="0" w:space="0" w:color="auto"/>
      </w:divBdr>
    </w:div>
    <w:div w:id="1766074852">
      <w:marLeft w:val="480"/>
      <w:marRight w:val="0"/>
      <w:marTop w:val="0"/>
      <w:marBottom w:val="0"/>
      <w:divBdr>
        <w:top w:val="none" w:sz="0" w:space="0" w:color="auto"/>
        <w:left w:val="none" w:sz="0" w:space="0" w:color="auto"/>
        <w:bottom w:val="none" w:sz="0" w:space="0" w:color="auto"/>
        <w:right w:val="none" w:sz="0" w:space="0" w:color="auto"/>
      </w:divBdr>
    </w:div>
    <w:div w:id="1779908537">
      <w:marLeft w:val="480"/>
      <w:marRight w:val="0"/>
      <w:marTop w:val="0"/>
      <w:marBottom w:val="0"/>
      <w:divBdr>
        <w:top w:val="none" w:sz="0" w:space="0" w:color="auto"/>
        <w:left w:val="none" w:sz="0" w:space="0" w:color="auto"/>
        <w:bottom w:val="none" w:sz="0" w:space="0" w:color="auto"/>
        <w:right w:val="none" w:sz="0" w:space="0" w:color="auto"/>
      </w:divBdr>
    </w:div>
    <w:div w:id="1802723741">
      <w:marLeft w:val="480"/>
      <w:marRight w:val="0"/>
      <w:marTop w:val="0"/>
      <w:marBottom w:val="0"/>
      <w:divBdr>
        <w:top w:val="none" w:sz="0" w:space="0" w:color="auto"/>
        <w:left w:val="none" w:sz="0" w:space="0" w:color="auto"/>
        <w:bottom w:val="none" w:sz="0" w:space="0" w:color="auto"/>
        <w:right w:val="none" w:sz="0" w:space="0" w:color="auto"/>
      </w:divBdr>
    </w:div>
    <w:div w:id="1824200738">
      <w:marLeft w:val="480"/>
      <w:marRight w:val="0"/>
      <w:marTop w:val="0"/>
      <w:marBottom w:val="0"/>
      <w:divBdr>
        <w:top w:val="none" w:sz="0" w:space="0" w:color="auto"/>
        <w:left w:val="none" w:sz="0" w:space="0" w:color="auto"/>
        <w:bottom w:val="none" w:sz="0" w:space="0" w:color="auto"/>
        <w:right w:val="none" w:sz="0" w:space="0" w:color="auto"/>
      </w:divBdr>
    </w:div>
    <w:div w:id="1839616384">
      <w:marLeft w:val="480"/>
      <w:marRight w:val="0"/>
      <w:marTop w:val="0"/>
      <w:marBottom w:val="0"/>
      <w:divBdr>
        <w:top w:val="none" w:sz="0" w:space="0" w:color="auto"/>
        <w:left w:val="none" w:sz="0" w:space="0" w:color="auto"/>
        <w:bottom w:val="none" w:sz="0" w:space="0" w:color="auto"/>
        <w:right w:val="none" w:sz="0" w:space="0" w:color="auto"/>
      </w:divBdr>
    </w:div>
    <w:div w:id="1849631831">
      <w:marLeft w:val="480"/>
      <w:marRight w:val="0"/>
      <w:marTop w:val="0"/>
      <w:marBottom w:val="0"/>
      <w:divBdr>
        <w:top w:val="none" w:sz="0" w:space="0" w:color="auto"/>
        <w:left w:val="none" w:sz="0" w:space="0" w:color="auto"/>
        <w:bottom w:val="none" w:sz="0" w:space="0" w:color="auto"/>
        <w:right w:val="none" w:sz="0" w:space="0" w:color="auto"/>
      </w:divBdr>
    </w:div>
    <w:div w:id="1852910788">
      <w:marLeft w:val="480"/>
      <w:marRight w:val="0"/>
      <w:marTop w:val="0"/>
      <w:marBottom w:val="0"/>
      <w:divBdr>
        <w:top w:val="none" w:sz="0" w:space="0" w:color="auto"/>
        <w:left w:val="none" w:sz="0" w:space="0" w:color="auto"/>
        <w:bottom w:val="none" w:sz="0" w:space="0" w:color="auto"/>
        <w:right w:val="none" w:sz="0" w:space="0" w:color="auto"/>
      </w:divBdr>
    </w:div>
    <w:div w:id="1854761217">
      <w:marLeft w:val="480"/>
      <w:marRight w:val="0"/>
      <w:marTop w:val="0"/>
      <w:marBottom w:val="0"/>
      <w:divBdr>
        <w:top w:val="none" w:sz="0" w:space="0" w:color="auto"/>
        <w:left w:val="none" w:sz="0" w:space="0" w:color="auto"/>
        <w:bottom w:val="none" w:sz="0" w:space="0" w:color="auto"/>
        <w:right w:val="none" w:sz="0" w:space="0" w:color="auto"/>
      </w:divBdr>
    </w:div>
    <w:div w:id="1859856930">
      <w:marLeft w:val="480"/>
      <w:marRight w:val="0"/>
      <w:marTop w:val="0"/>
      <w:marBottom w:val="0"/>
      <w:divBdr>
        <w:top w:val="none" w:sz="0" w:space="0" w:color="auto"/>
        <w:left w:val="none" w:sz="0" w:space="0" w:color="auto"/>
        <w:bottom w:val="none" w:sz="0" w:space="0" w:color="auto"/>
        <w:right w:val="none" w:sz="0" w:space="0" w:color="auto"/>
      </w:divBdr>
    </w:div>
    <w:div w:id="1871213578">
      <w:marLeft w:val="480"/>
      <w:marRight w:val="0"/>
      <w:marTop w:val="0"/>
      <w:marBottom w:val="0"/>
      <w:divBdr>
        <w:top w:val="none" w:sz="0" w:space="0" w:color="auto"/>
        <w:left w:val="none" w:sz="0" w:space="0" w:color="auto"/>
        <w:bottom w:val="none" w:sz="0" w:space="0" w:color="auto"/>
        <w:right w:val="none" w:sz="0" w:space="0" w:color="auto"/>
      </w:divBdr>
    </w:div>
    <w:div w:id="1881015523">
      <w:marLeft w:val="480"/>
      <w:marRight w:val="0"/>
      <w:marTop w:val="0"/>
      <w:marBottom w:val="0"/>
      <w:divBdr>
        <w:top w:val="none" w:sz="0" w:space="0" w:color="auto"/>
        <w:left w:val="none" w:sz="0" w:space="0" w:color="auto"/>
        <w:bottom w:val="none" w:sz="0" w:space="0" w:color="auto"/>
        <w:right w:val="none" w:sz="0" w:space="0" w:color="auto"/>
      </w:divBdr>
    </w:div>
    <w:div w:id="1929920858">
      <w:marLeft w:val="480"/>
      <w:marRight w:val="0"/>
      <w:marTop w:val="0"/>
      <w:marBottom w:val="0"/>
      <w:divBdr>
        <w:top w:val="none" w:sz="0" w:space="0" w:color="auto"/>
        <w:left w:val="none" w:sz="0" w:space="0" w:color="auto"/>
        <w:bottom w:val="none" w:sz="0" w:space="0" w:color="auto"/>
        <w:right w:val="none" w:sz="0" w:space="0" w:color="auto"/>
      </w:divBdr>
    </w:div>
    <w:div w:id="1942176545">
      <w:marLeft w:val="480"/>
      <w:marRight w:val="0"/>
      <w:marTop w:val="0"/>
      <w:marBottom w:val="0"/>
      <w:divBdr>
        <w:top w:val="none" w:sz="0" w:space="0" w:color="auto"/>
        <w:left w:val="none" w:sz="0" w:space="0" w:color="auto"/>
        <w:bottom w:val="none" w:sz="0" w:space="0" w:color="auto"/>
        <w:right w:val="none" w:sz="0" w:space="0" w:color="auto"/>
      </w:divBdr>
    </w:div>
    <w:div w:id="1943955254">
      <w:marLeft w:val="480"/>
      <w:marRight w:val="0"/>
      <w:marTop w:val="0"/>
      <w:marBottom w:val="0"/>
      <w:divBdr>
        <w:top w:val="none" w:sz="0" w:space="0" w:color="auto"/>
        <w:left w:val="none" w:sz="0" w:space="0" w:color="auto"/>
        <w:bottom w:val="none" w:sz="0" w:space="0" w:color="auto"/>
        <w:right w:val="none" w:sz="0" w:space="0" w:color="auto"/>
      </w:divBdr>
    </w:div>
    <w:div w:id="1951235277">
      <w:marLeft w:val="480"/>
      <w:marRight w:val="0"/>
      <w:marTop w:val="0"/>
      <w:marBottom w:val="0"/>
      <w:divBdr>
        <w:top w:val="none" w:sz="0" w:space="0" w:color="auto"/>
        <w:left w:val="none" w:sz="0" w:space="0" w:color="auto"/>
        <w:bottom w:val="none" w:sz="0" w:space="0" w:color="auto"/>
        <w:right w:val="none" w:sz="0" w:space="0" w:color="auto"/>
      </w:divBdr>
    </w:div>
    <w:div w:id="1962610048">
      <w:marLeft w:val="480"/>
      <w:marRight w:val="0"/>
      <w:marTop w:val="0"/>
      <w:marBottom w:val="0"/>
      <w:divBdr>
        <w:top w:val="none" w:sz="0" w:space="0" w:color="auto"/>
        <w:left w:val="none" w:sz="0" w:space="0" w:color="auto"/>
        <w:bottom w:val="none" w:sz="0" w:space="0" w:color="auto"/>
        <w:right w:val="none" w:sz="0" w:space="0" w:color="auto"/>
      </w:divBdr>
    </w:div>
    <w:div w:id="1967736149">
      <w:marLeft w:val="480"/>
      <w:marRight w:val="0"/>
      <w:marTop w:val="0"/>
      <w:marBottom w:val="0"/>
      <w:divBdr>
        <w:top w:val="none" w:sz="0" w:space="0" w:color="auto"/>
        <w:left w:val="none" w:sz="0" w:space="0" w:color="auto"/>
        <w:bottom w:val="none" w:sz="0" w:space="0" w:color="auto"/>
        <w:right w:val="none" w:sz="0" w:space="0" w:color="auto"/>
      </w:divBdr>
    </w:div>
    <w:div w:id="1974940721">
      <w:marLeft w:val="480"/>
      <w:marRight w:val="0"/>
      <w:marTop w:val="0"/>
      <w:marBottom w:val="0"/>
      <w:divBdr>
        <w:top w:val="none" w:sz="0" w:space="0" w:color="auto"/>
        <w:left w:val="none" w:sz="0" w:space="0" w:color="auto"/>
        <w:bottom w:val="none" w:sz="0" w:space="0" w:color="auto"/>
        <w:right w:val="none" w:sz="0" w:space="0" w:color="auto"/>
      </w:divBdr>
    </w:div>
    <w:div w:id="1989161323">
      <w:marLeft w:val="480"/>
      <w:marRight w:val="0"/>
      <w:marTop w:val="0"/>
      <w:marBottom w:val="0"/>
      <w:divBdr>
        <w:top w:val="none" w:sz="0" w:space="0" w:color="auto"/>
        <w:left w:val="none" w:sz="0" w:space="0" w:color="auto"/>
        <w:bottom w:val="none" w:sz="0" w:space="0" w:color="auto"/>
        <w:right w:val="none" w:sz="0" w:space="0" w:color="auto"/>
      </w:divBdr>
    </w:div>
    <w:div w:id="2014913464">
      <w:marLeft w:val="480"/>
      <w:marRight w:val="0"/>
      <w:marTop w:val="0"/>
      <w:marBottom w:val="0"/>
      <w:divBdr>
        <w:top w:val="none" w:sz="0" w:space="0" w:color="auto"/>
        <w:left w:val="none" w:sz="0" w:space="0" w:color="auto"/>
        <w:bottom w:val="none" w:sz="0" w:space="0" w:color="auto"/>
        <w:right w:val="none" w:sz="0" w:space="0" w:color="auto"/>
      </w:divBdr>
    </w:div>
    <w:div w:id="2017263669">
      <w:marLeft w:val="480"/>
      <w:marRight w:val="0"/>
      <w:marTop w:val="0"/>
      <w:marBottom w:val="0"/>
      <w:divBdr>
        <w:top w:val="none" w:sz="0" w:space="0" w:color="auto"/>
        <w:left w:val="none" w:sz="0" w:space="0" w:color="auto"/>
        <w:bottom w:val="none" w:sz="0" w:space="0" w:color="auto"/>
        <w:right w:val="none" w:sz="0" w:space="0" w:color="auto"/>
      </w:divBdr>
    </w:div>
    <w:div w:id="2039892500">
      <w:marLeft w:val="480"/>
      <w:marRight w:val="0"/>
      <w:marTop w:val="0"/>
      <w:marBottom w:val="0"/>
      <w:divBdr>
        <w:top w:val="none" w:sz="0" w:space="0" w:color="auto"/>
        <w:left w:val="none" w:sz="0" w:space="0" w:color="auto"/>
        <w:bottom w:val="none" w:sz="0" w:space="0" w:color="auto"/>
        <w:right w:val="none" w:sz="0" w:space="0" w:color="auto"/>
      </w:divBdr>
    </w:div>
    <w:div w:id="2111653907">
      <w:marLeft w:val="480"/>
      <w:marRight w:val="0"/>
      <w:marTop w:val="0"/>
      <w:marBottom w:val="0"/>
      <w:divBdr>
        <w:top w:val="none" w:sz="0" w:space="0" w:color="auto"/>
        <w:left w:val="none" w:sz="0" w:space="0" w:color="auto"/>
        <w:bottom w:val="none" w:sz="0" w:space="0" w:color="auto"/>
        <w:right w:val="none" w:sz="0" w:space="0" w:color="auto"/>
      </w:divBdr>
    </w:div>
    <w:div w:id="2117939019">
      <w:marLeft w:val="480"/>
      <w:marRight w:val="0"/>
      <w:marTop w:val="0"/>
      <w:marBottom w:val="0"/>
      <w:divBdr>
        <w:top w:val="none" w:sz="0" w:space="0" w:color="auto"/>
        <w:left w:val="none" w:sz="0" w:space="0" w:color="auto"/>
        <w:bottom w:val="none" w:sz="0" w:space="0" w:color="auto"/>
        <w:right w:val="none" w:sz="0" w:space="0" w:color="auto"/>
      </w:divBdr>
    </w:div>
    <w:div w:id="2124612244">
      <w:marLeft w:val="48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2429578">
      <w:marLeft w:val="480"/>
      <w:marRight w:val="0"/>
      <w:marTop w:val="0"/>
      <w:marBottom w:val="0"/>
      <w:divBdr>
        <w:top w:val="none" w:sz="0" w:space="0" w:color="auto"/>
        <w:left w:val="none" w:sz="0" w:space="0" w:color="auto"/>
        <w:bottom w:val="none" w:sz="0" w:space="0" w:color="auto"/>
        <w:right w:val="none" w:sz="0" w:space="0" w:color="auto"/>
      </w:divBdr>
    </w:div>
    <w:div w:id="2133355560">
      <w:marLeft w:val="480"/>
      <w:marRight w:val="0"/>
      <w:marTop w:val="0"/>
      <w:marBottom w:val="0"/>
      <w:divBdr>
        <w:top w:val="none" w:sz="0" w:space="0" w:color="auto"/>
        <w:left w:val="none" w:sz="0" w:space="0" w:color="auto"/>
        <w:bottom w:val="none" w:sz="0" w:space="0" w:color="auto"/>
        <w:right w:val="none" w:sz="0" w:space="0" w:color="auto"/>
      </w:divBdr>
    </w:div>
    <w:div w:id="2135441115">
      <w:marLeft w:val="480"/>
      <w:marRight w:val="0"/>
      <w:marTop w:val="0"/>
      <w:marBottom w:val="0"/>
      <w:divBdr>
        <w:top w:val="none" w:sz="0" w:space="0" w:color="auto"/>
        <w:left w:val="none" w:sz="0" w:space="0" w:color="auto"/>
        <w:bottom w:val="none" w:sz="0" w:space="0" w:color="auto"/>
        <w:right w:val="none" w:sz="0" w:space="0" w:color="auto"/>
      </w:divBdr>
    </w:div>
    <w:div w:id="2137525770">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eonardo.pattaro@phd.unipd.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671D9C2-DF41-495A-8332-E1A6E751C8B0}"/>
      </w:docPartPr>
      <w:docPartBody>
        <w:p w:rsidR="00003D7A" w:rsidRDefault="00003D7A">
          <w:r w:rsidRPr="00F7384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7A"/>
    <w:rsid w:val="00003D7A"/>
    <w:rsid w:val="000A2324"/>
    <w:rsid w:val="000D7F7F"/>
    <w:rsid w:val="00110634"/>
    <w:rsid w:val="00132BE7"/>
    <w:rsid w:val="001D4744"/>
    <w:rsid w:val="0032291A"/>
    <w:rsid w:val="005D31B5"/>
    <w:rsid w:val="005E7C5D"/>
    <w:rsid w:val="00607A30"/>
    <w:rsid w:val="0064063D"/>
    <w:rsid w:val="006C6862"/>
    <w:rsid w:val="006E65A7"/>
    <w:rsid w:val="007046DF"/>
    <w:rsid w:val="00711795"/>
    <w:rsid w:val="007E0A32"/>
    <w:rsid w:val="007E36FE"/>
    <w:rsid w:val="0081337B"/>
    <w:rsid w:val="00830BB1"/>
    <w:rsid w:val="009E60B2"/>
    <w:rsid w:val="00AF7ED2"/>
    <w:rsid w:val="00C60951"/>
    <w:rsid w:val="00C91D2D"/>
    <w:rsid w:val="00C9660D"/>
    <w:rsid w:val="00CD0F39"/>
    <w:rsid w:val="00D014E4"/>
    <w:rsid w:val="00D80431"/>
    <w:rsid w:val="00D91D2E"/>
    <w:rsid w:val="00E201FB"/>
    <w:rsid w:val="00EA1349"/>
    <w:rsid w:val="00F46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74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D9743E7-AD02-4343-94A8-81B4EE391FC8}">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74344476606"/>
    <we:property name="MENDELEY_CITATIONS" value="[{&quot;citationID&quot;:&quot;MENDELEY_CITATION_41891ddf-c740-4062-a6e0-0ea1857c5e58&quot;,&quot;properties&quot;:{&quot;noteIndex&quot;:0},&quot;isEdited&quot;:false,&quot;manualOverride&quot;:{&quot;isManuallyOverridden&quot;:false,&quot;citeprocText&quot;:&quot;(Craggs et al., 2012)&quot;,&quot;manualOverrideText&quot;:&quot;&quot;},&quot;citationTag&quot;:&quot;MENDELEY_CITATION_v3_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&quot;,&quot;citationItems&quot;:[{&quot;id&quot;:&quot;6844b6a5-f85a-3c36-b546-c9b8db16153f&quot;,&quot;itemData&quot;:{&quot;type&quot;:&quot;article-journal&quot;,&quot;id&quot;:&quot;6844b6a5-f85a-3c36-b546-c9b8db16153f&quot;,&quot;title&quot;:&quot;Hectare-scale demonstration of high rate algal ponds for enhanced wastewater treatment and biofuel production&quot;,&quot;author&quot;:[{&quot;family&quot;:&quot;Craggs&quot;,&quot;given&quot;:&quot;Rupert&quot;,&quot;parse-names&quot;:false,&quot;dropping-particle&quot;:&quot;&quot;,&quot;non-dropping-particle&quot;:&quot;&quot;},{&quot;family&quot;:&quot;Sutherland&quot;,&quot;given&quot;:&quot;Donna&quot;,&quot;parse-names&quot;:false,&quot;dropping-particle&quot;:&quot;&quot;,&quot;non-dropping-particle&quot;:&quot;&quot;},{&quot;family&quot;:&quot;Campbell&quot;,&quot;given&quot;:&quot;Helena&quot;,&quot;parse-names&quot;:false,&quot;dropping-particle&quot;:&quot;&quot;,&quot;non-dropping-particle&quot;:&quot;&quot;}],&quot;container-title&quot;:&quot;Journal of Applied Phycology 2012 24:3&quot;,&quot;accessed&quot;:{&quot;date-parts&quot;:[[2025,11,26]]},&quot;DOI&quot;:&quot;10.1007/S10811-012-9810-8&quot;,&quot;ISSN&quot;:&quot;1573-5176&quot;,&quot;URL&quot;:&quot;https://link.springer.com/article/10.1007/s10811-012-9810-8&quot;,&quot;issued&quot;:{&quot;date-parts&quot;:[[2012,2,22]]},&quot;page&quot;:&quot;329-337&quot;,&quot;abstract&quot;:&quot;High rate algal ponds (HRAPs) are shallow, paddlewheel-mixed open raceway ponds that are an efficient and cost-effective upgrade for the conventional wastewater treatment ponds used by communities and farms the world over. HRAPs provide improved natural disinfection and nutrient removal and can be further enhanced by carbon dioxide (CO2) addition to promote algal growth which is often carbon limited. This paper discusses the construction and operation of a 5-ha demonstration HRAP system treating primary settled wastewater at the Christchurch wastewater treatment plant, New Zealand. The system consisted of four 1.25-ha HRAPs that were constructed from an existing conventional pond. Algae were harvested from the HRAP effluent in specially designed settlers, which concentrated the algal/bacterial biomass to 1–2% organic solids for conversion to bio-crude oil following dewatering. Performance data from the first 15&amp;nbsp;months of HRAP operation (without CO2 addition) are presented. The four demonstration HRAPs had reasonable replication of both treatment performance and algal/bacterial productivity with similar annual average wastewater treatment efficiency (~50% removal of BOD5, ~87% removal of fBOD5, ~65% removal of ammoniacal-N, ~19% removal of dissolved reactive phosphorus and ~2 log removal of Escherichia coli), algal species composition and algal/bacterial biomass production (~8&amp;nbsp;g m−2&amp;nbsp;day −1 volatile suspended solids). These results were in good agreement with the results for pilot-scale HRAP without CO2 addition in New Zealand. This study provides further indication of the potential for energy efficient and effective wastewater treatment using HRAP, while biofuel conversion of the harvested algal bacterial biomass could provide a valuable niche distributed energy source for local communities.&quot;,&quot;publisher&quot;:&quot;Springer&quot;,&quot;issue&quot;:&quot;3&quot;,&quot;volume&quot;:&quot;24&quot;,&quot;container-title-short&quot;:&quot;&quot;},&quot;isTemporary&quot;:false}]},{&quot;citationID&quot;:&quot;MENDELEY_CITATION_f6e1e316-bcc8-4266-9963-9e285d363689&quot;,&quot;properties&quot;:{&quot;noteIndex&quot;:0},&quot;isEdited&quot;:false,&quot;manualOverride&quot;:{&quot;isManuallyOverridden&quot;:false,&quot;citeprocText&quot;:&quot;(Perez-Garcia et al., 2011)&quot;,&quot;manualOverrideText&quot;:&quot;&quot;},&quot;citationTag&quot;:&quot;MENDELEY_CITATION_v3_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&quot;,&quot;citationItems&quot;:[{&quot;id&quot;:&quot;8dd9b7cb-d174-3042-ac47-5f31b38e8d9a&quot;,&quot;itemData&quot;:{&quot;type&quot;:&quot;article-journal&quot;,&quot;id&quot;:&quot;8dd9b7cb-d174-3042-ac47-5f31b38e8d9a&quot;,&quot;title&quot;:&quot;Heterotrophic cultures of microalgae: metabolism and potential products&quot;,&quot;author&quot;:[{&quot;family&quot;:&quot;Perez-Garcia&quot;,&quot;given&quot;:&quot;Octavio&quot;,&quot;parse-names&quot;:false,&quot;dropping-particle&quot;:&quot;&quot;,&quot;non-dropping-particle&quot;:&quot;&quot;},{&quot;family&quot;:&quot;Escalante&quot;,&quot;given&quot;:&quot;Froylan M.E.&quot;,&quot;parse-names&quot;:false,&quot;dropping-particle&quot;:&quot;&quot;,&quot;non-dropping-particle&quot;:&quot;&quot;},{&quot;family&quot;:&quot;de-Bashan&quot;,&quot;given&quot;:&quot;Luz E.&quot;,&quot;parse-names&quot;:false,&quot;dropping-particle&quot;:&quot;&quot;,&quot;non-dropping-particle&quot;:&quot;&quot;},{&quot;family&quot;:&quot;Bashan&quot;,&quot;given&quot;:&quot;Yoav&quot;,&quot;parse-names&quot;:false,&quot;dropping-particle&quot;:&quot;&quot;,&quot;non-dropping-particle&quot;:&quot;&quot;}],&quot;container-title&quot;:&quot;Water research&quot;,&quot;container-title-short&quot;:&quot;Water Res.&quot;,&quot;accessed&quot;:{&quot;date-parts&quot;:[[2024,12,5]]},&quot;DOI&quot;:&quot;10.1016/J.WATRES.2010.08.037&quot;,&quot;ISSN&quot;:&quot;1879-2448&quot;,&quot;PMID&quot;:&quot;20970155&quot;,&quot;URL&quot;:&quot;https://pubmed.ncbi.nlm.nih.gov/20970155/&quot;,&quot;issued&quot;:{&quot;date-parts&quot;:[[2011]]},&quot;page&quot;:&quot;11-36&quot;,&quot;abstract&quot;:&quot;This review analyzes the current state of a specific niche of microalgae cultivation; heterotrophic growth in the dark supported by a carbon source replacing the traditional support of light energy. This unique ability of essentially photosynthetic microorganisms is shared by several species of microalgae. Where possible, heterotrophic growth overcomes major limitations of producing useful products from microalgae: dependency on light which significantly complicates the process, increase costs, and reduced production of potentially useful products. As a general role, and in most cases, heterotrophic cultivation is far cheaper, simpler to construct facilities, and easier than autotrophic cultivation to maintain on a large scale. This capacity allows expansion of useful applications from diverse species that is now very limited as a result of elevated costs of autotrophy; consequently, exploitation of microalgae is restricted to small volume of high-value products. Heterotrophic cultivation may allow large volume applications such as wastewater treatment combined, or separated, with production of biofuels. In this review, we present a general perspective of the field, describing the specific cellular metabolisms involved and the best-known examples from the literature and analyze the prospect of potential products from heterotrophic cultures. © 2010 Elsevier Ltd.&quot;,&quot;publisher&quot;:&quot;Water Res&quot;,&quot;issue&quot;:&quot;1&quot;,&quot;volume&quot;:&quot;45&quot;},&quot;isTemporary&quot;:false}]},{&quot;citationID&quot;:&quot;MENDELEY_CITATION_6372113d-f985-4a2b-a7c3-c9444d28354e&quot;,&quot;properties&quot;:{&quot;noteIndex&quot;:0},&quot;isEdited&quot;:false,&quot;manualOverride&quot;:{&quot;isManuallyOverridden&quot;:false,&quot;citeprocText&quot;:&quot;(Becker, 2007)&quot;,&quot;manualOverrideText&quot;:&quot;&quot;},&quot;citationTag&quot;:&quot;MENDELEY_CITATION_v3_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&quot;,&quot;citationItems&quot;:[{&quot;id&quot;:&quot;664e8ab1-fbcf-395d-bdeb-a4ac041675d4&quot;,&quot;itemData&quot;:{&quot;type&quot;:&quot;article-journal&quot;,&quot;id&quot;:&quot;664e8ab1-fbcf-395d-bdeb-a4ac041675d4&quot;,&quot;title&quot;:&quot;Micro-algae as a source of protein&quot;,&quot;author&quot;:[{&quot;family&quot;:&quot;Becker&quot;,&quot;given&quot;:&quot;E. W.&quot;,&quot;parse-names&quot;:false,&quot;dropping-particle&quot;:&quot;&quot;,&quot;non-dropping-particle&quot;:&quot;&quot;}],&quot;container-title&quot;:&quot;Biotechnology Advances&quot;,&quot;container-title-short&quot;:&quot;Biotechnol. Adv.&quot;,&quot;accessed&quot;:{&quot;date-parts&quot;:[[2026,2,10]]},&quot;DOI&quot;:&quot;10.1016/j.biotechadv.2006.11.002&quot;,&quot;ISSN&quot;:&quot;07349750&quot;,&quot;PMID&quot;:&quot;17196357&quot;,&quot;URL&quot;:&quot;https://www.sciencedirect.com/science/article/pii/S073497500600139X?via%3Dihub&quot;,&quot;issued&quot;:{&quot;date-parts&quot;:[[2007,3,1]]},&quot;page&quot;:&quot;207-210&quot;,&quot;abstract&quot;:&quot;About five decades ago, the mass production of certain protein-rich micro-algae was considered as a possibility to close the predicted so called \&quot;protein gap\&quot;. Comprehensive analyses and nutritional studies have demonstrated that these algal proteins are of high quality and comparable to conventional vegetable proteins. However, due to high production costs as well as technical difficulties to incorporate the algal material into palatable food preparations, the propagation of algal protein is still in its infancy. To date, the majority of micro-algal preparations are marketed as health food, as cosmetics or as animal feed. © 2006 Elsevier Inc. All rights reserved.&quot;,&quot;publisher&quot;:&quot;Elsevier&quot;,&quot;issue&quot;:&quot;2&quot;,&quot;volume&quot;:&quot;25&quot;},&quot;isTemporary&quot;:false}]},{&quot;citationID&quot;:&quot;MENDELEY_CITATION_f29c6795-6eb3-4a7a-a20b-4192c5ba6b42&quot;,&quot;properties&quot;:{&quot;noteIndex&quot;:0},&quot;isEdited&quot;:false,&quot;manualOverride&quot;:{&quot;isManuallyOverridden&quot;:false,&quot;citeprocText&quot;:&quot;(Day et al., 2017)&quot;,&quot;manualOverrideText&quot;:&quot;&quot;},&quot;citationTag&quot;:&quot;MENDELEY_CITATION_v3_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&quot;,&quot;citationItems&quot;:[{&quot;id&quot;:&quot;aabf3678-3f01-3530-8559-705591911a62&quot;,&quot;itemData&quot;:{&quot;type&quot;:&quot;article-journal&quot;,&quot;id&quot;:&quot;aabf3678-3f01-3530-8559-705591911a62&quot;,&quot;title&quot;:&quot;Microzooplanktonic grazers – A potentially devastating threat to the commercial success of microalgal mass culture&quot;,&quot;author&quot;:[{&quot;family&quot;:&quot;Day&quot;,&quot;given&quot;:&quot;John G.&quot;,&quot;parse-names&quot;:false,&quot;dropping-particle&quot;:&quot;&quot;,&quot;non-dropping-particle&quot;:&quot;&quot;},{&quot;family&quot;:&quot;Gong&quot;,&quot;given&quot;:&quot;Yingchun&quot;,&quot;parse-names&quot;:false,&quot;dropping-particle&quot;:&quot;&quot;,&quot;non-dropping-particle&quot;:&quot;&quot;},{&quot;family&quot;:&quot;Hu&quot;,&quot;given&quot;:&quot;Qiang&quot;,&quot;parse-names&quot;:false,&quot;dropping-particle&quot;:&quot;&quot;,&quot;non-dropping-particle&quot;:&quot;&quot;}],&quot;container-title&quot;:&quot;Algal Research&quot;,&quot;container-title-short&quot;:&quot;Algal Res.&quot;,&quot;accessed&quot;:{&quot;date-parts&quot;:[[2025,11,28]]},&quot;DOI&quot;:&quot;10.1016/J.ALGAL.2017.08.024&quot;,&quot;ISSN&quot;:&quot;2211-9264&quot;,&quot;URL&quot;:&quot;https://www.sciencedirect.com/science/article/pii/S2211926417303570?via%3Dihub&quot;,&quot;issued&quot;:{&quot;date-parts&quot;:[[2017,11,1]]},&quot;page&quot;:&quot;356-365&quot;,&quot;abstract&quot;:&quot;Eukaryotic microalgae and prokaryotic cyanobacteria are globally the most important primary producers, forming the base of food web in aquatic ecosystems. As such, they are eaten by a huge diversity of protistan taxa (e.g., amoeba, flagellates and ciliates), as well as zooplanktonic and larger metazoan grazers. As in terrestrial agriculture, grazing has the potential to devastate the microalgal “crop” and this has obvious implications to the commercial success of the developing microalgal industry. Whilst in conventional agriculture thousands of years of exploitation of a relatively small number of crop plants, has resulted in tools, knowledge and strategies that can manage this issue, in the case of microalgal mass culture this is relatively undeveloped. This review explores our current understanding of the issue and where further research is needed, focusing on the diversity of grazers and how microalgae under various environmental regimes and culture conditions avoid being annihilated. In addition, the implications of algal mass culture, where the objective is to maintain a virtual monoculture, are discussed in the context of how infection could be prevented/minimised and if infection occurs, how this may be managed to prevent excessive losses in productivity or quality of the algal crop. The ultimate objective would be the development of robust methodologies for the early detection of “infection” of microalgal mass-cultures. This would allow the timely implementation of best management practices to prevent/reduce, damage caused by grazing. In reality, whilst there will be areas of commonality, as in terrestrial agricultural crops, methods will be need to be specifically tailored for each algal taxon, cultivation system and location.&quot;,&quot;publisher&quot;:&quot;Elsevier&quot;,&quot;volume&quot;:&quot;27&quot;},&quot;isTemporary&quot;:false}]},{&quot;citationID&quot;:&quot;MENDELEY_CITATION_d5bc1ba4-5fa7-4526-afbe-8076a5989ab4&quot;,&quot;properties&quot;:{&quot;noteIndex&quot;:0},&quot;isEdited&quot;:false,&quot;manualOverride&quot;:{&quot;isManuallyOverridden&quot;:false,&quot;citeprocText&quot;:&quot;(Pleissner et al., 2025)&quot;,&quot;manualOverrideText&quot;:&quot;&quot;},&quot;citationTag&quot;:&quot;MENDELEY_CITATION_v3_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&quot;,&quot;citationItems&quot;:[{&quot;id&quot;:&quot;4ba4193f-237b-3e20-b848-48ecb3af3fb5&quot;,&quot;itemData&quot;:{&quot;type&quot;:&quot;article-journal&quot;,&quot;id&quot;:&quot;4ba4193f-237b-3e20-b848-48ecb3af3fb5&quot;,&quot;title&quot;:&quot;Long-term heterotrophic cultivation of Galdieria sulphuraria at technical scale under non-sterile conditions&quot;,&quot;author&quot;:[{&quot;family&quot;:&quot;Pleissner&quot;,&quot;given&quot;:&quot;Daniel&quot;,&quot;parse-names&quot;:false,&quot;dropping-particle&quot;:&quot;&quot;,&quot;non-dropping-particle&quot;:&quot;&quot;},{&quot;family&quot;:&quot;Händel&quot;,&quot;given&quot;:&quot;Nicole&quot;,&quot;parse-names&quot;:false,&quot;dropping-particle&quot;:&quot;&quot;,&quot;non-dropping-particle&quot;:&quot;&quot;},{&quot;family&quot;:&quot;Schönfelder&quot;,&quot;given&quot;:&quot;Stephanie&quot;,&quot;parse-names&quot;:false,&quot;dropping-particle&quot;:&quot;&quot;,&quot;non-dropping-particle&quot;:&quot;&quot;},{&quot;family&quot;:&quot;Petrusan&quot;,&quot;given&quot;:&quot;Janos Istvan&quot;,&quot;parse-names&quot;:false,&quot;dropping-particle&quot;:&quot;&quot;,&quot;non-dropping-particle&quot;:&quot;&quot;},{&quot;family&quot;:&quot;Queiroz Silva&quot;,&quot;given&quot;:&quot;Beatriz&quot;,&quot;parse-names&quot;:false,&quot;dropping-particle&quot;:&quot;&quot;,&quot;non-dropping-particle&quot;:&quot;&quot;},{&quot;family&quot;:&quot;Schröder&quot;,&quot;given&quot;:&quot;Jens&quot;,&quot;parse-names&quot;:false,&quot;dropping-particle&quot;:&quot;&quot;,&quot;non-dropping-particle&quot;:&quot;&quot;},{&quot;family&quot;:&quot;Müller&quot;,&quot;given&quot;:&quot;Josef&quot;,&quot;parse-names&quot;:false,&quot;dropping-particle&quot;:&quot;&quot;,&quot;non-dropping-particle&quot;:&quot;&quot;},{&quot;family&quot;:&quot;Cowan&quot;,&quot;given&quot;:&quot;Keith&quot;,&quot;parse-names&quot;:false,&quot;dropping-particle&quot;:&quot;&quot;,&quot;non-dropping-particle&quot;:&quot;&quot;},{&quot;family&quot;:&quot;Smetana&quot;,&quot;given&quot;:&quot;Sergiy&quot;,&quot;parse-names&quot;:false,&quot;dropping-particle&quot;:&quot;&quot;,&quot;non-dropping-particle&quot;:&quot;&quot;}],&quot;container-title&quot;:&quot;Sustainable Chemistry One World&quot;,&quot;accessed&quot;:{&quot;date-parts&quot;:[[2025,11,28]]},&quot;DOI&quot;:&quot;10.1016/J.SCOWO.2025.100116&quot;,&quot;ISSN&quot;:&quot;2950-3574&quot;,&quot;URL&quot;:&quot;https://www.sciencedirect.com/science/article/pii/S2950357425000733?via%3Dihub&quot;,&quot;issued&quot;:{&quot;date-parts&quot;:[[2025,12,1]]},&quot;page&quot;:&quot;100116&quot;,&quot;abstract&quot;:&quot;The transition to a sustainable bioeconomy relies on efficient conversion of biomass and industrial side-streams into value-added products. This study evaluates the heterotrophic cultivation of the extremophilic microalga Galdieria sulphuraria using a decentralized, 200 L-scale bioreactor system, testing alternative nutrient sources including glycerol, molasses, and hydrolysates from brewer's spent grains. The growth performance, yield, and compositional robustness under these complex substrates were compared with a defined medium containing glucose, ammonium, and phosphate. G. sulphuraria demonstrated robust growth across all tested substrates, reaching biomass concentrations between 10 and 26 g L−1 in semi-continuous operation for over 40 days under acidic and thermophilic conditions. While defined medium supported higher productivity (0.4 kg day−1) and consistent nutrient supply, complex substrates derived from agro-industrial residues enabled substantial biomass formation (0.1–0.2 kg day−1) but required careful management of nutrient balance and potential inhibitory by-products such as acetic and lactic acids from molasses. Biomass analysis revealed variable macromolecular content depending on the substrate, with protein levels between 25 % and 42 % (w/w) and carbohydrates and lipids ranging broadly. The findings highlight the technical feasibility and adaptability of G. sulphuraria for decentralized conversion of waste streams, supporting more resilient and distributed models of resource valorization within the bioeconomy. Further optimization of substrate processing and system integration is recommended to improve productivity and scalability.&quot;,&quot;publisher&quot;:&quot;Elsevier&quot;,&quot;volume&quot;:&quot;8&quot;,&quot;container-title-short&quot;:&quot;&quot;},&quot;isTemporary&quot;:false}]},{&quot;citationID&quot;:&quot;MENDELEY_CITATION_543c0d6c-b32f-4a07-96ad-26132e7ebe31&quot;,&quot;properties&quot;:{&quot;noteIndex&quot;:0},&quot;isEdited&quot;:false,&quot;manualOverride&quot;:{&quot;isManuallyOverridden&quot;:false,&quot;citeprocText&quot;:&quot;(Bertucco et al., 2014)&quot;,&quot;manualOverrideText&quot;:&quot;&quot;},&quot;citationTag&quot;:&quot;MENDELEY_CITATION_v3_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&quot;,&quot;citationItems&quot;:[{&quot;id&quot;:&quot;079fd246-6d8e-33bb-9372-c02e4562436d&quot;,&quot;itemData&quot;:{&quot;type&quot;:&quot;article-journal&quot;,&quot;id&quot;:&quot;079fd246-6d8e-33bb-9372-c02e4562436d&quot;,&quot;title&quot;:&quot;Continuous microalgal cultivation in a laboratory-scale photobioreactor under seasonal day-night irradiation: Experiments and simulation&quot;,&quot;author&quot;:[{&quot;family&quot;:&quot;Bertucco&quot;,&quot;given&quot;:&quot;Alberto&quot;,&quot;parse-names&quot;:false,&quot;dropping-particle&quot;:&quot;&quot;,&quot;non-dropping-particle&quot;:&quot;&quot;},{&quot;family&quot;:&quot;Beraldi&quot;,&quot;given&quot;:&quot;Mariaelena&quot;,&quot;parse-names&quot;:false,&quot;dropping-particle&quot;:&quot;&quot;,&quot;non-dropping-particle&quot;:&quot;&quot;},{&quot;family&quot;:&quot;Sforza&quot;,&quot;given&quot;:&quot;Eleonora&quot;,&quot;parse-names&quot;:false,&quot;dropping-particle&quot;:&quot;&quot;,&quot;non-dropping-particle&quot;:&quot;&quot;}],&quot;container-title&quot;:&quot;Bioprocess and Biosystems Engineering&quot;,&quot;container-title-short&quot;:&quot;Bioprocess Biosyst. Eng.&quot;,&quot;accessed&quot;:{&quot;date-parts&quot;:[[2024,1,24]]},&quot;DOI&quot;:&quot;10.1007/S00449-014-1125-5/TABLES/4&quot;,&quot;ISSN&quot;:&quot;16157605&quot;,&quot;PMID&quot;:&quot;24477881&quot;,&quot;URL&quot;:&quot;https://link.springer.com/article/10.1007/s00449-014-1125-5&quot;,&quot;issued&quot;:{&quot;date-parts&quot;:[[2014,8,1]]},&quot;page&quot;:&quot;1535-1542&quot;,&quot;abstract&quot;:&quot;In this work, the production of Scenedesmus obliquus in a continuous flat-plate laboratory-scale photobioreactor (PBR) under alternated day-night cycles was tested both experimentally and theoretically. Variation of light intensity according to the four seasons of the year were simulated experimentally by a tunable LED lamp, and effects on microalgal growth and productivity were measured to evaluate the conversion efficiency of light energy into biomass during the different seasons. These results were used to validate a mathematical model for algae growth that can be applied to simulate a large-scale production unit, carried out in a flat-plate PBR of similar geometry. The cellular concentration in the PBR was calculated in both steady-state and transient conditions, and the value of the maintenance kinetic term was correlated to experimental profiles. The relevance of this parameter was finally outlined.&quot;,&quot;publisher&quot;:&quot;Springer Verlag&quot;,&quot;issue&quot;:&quot;8&quot;,&quot;volume&quot;:&quot;37&quot;},&quot;isTemporary&quot;:false}]},{&quot;citationID&quot;:&quot;MENDELEY_CITATION_fcc61842-b8dc-43f6-b82f-9452097200d5&quot;,&quot;properties&quot;:{&quot;noteIndex&quot;:0},&quot;isEdited&quot;:false,&quot;manualOverride&quot;:{&quot;isManuallyOverridden&quot;:false,&quot;citeprocText&quot;:&quot;(Sloth et al., 2006)&quot;,&quot;manualOverrideText&quot;:&quot;&quot;},&quot;citationTag&quot;:&quot;MENDELEY_CITATION_v3_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&quot;,&quot;citationItems&quot;:[{&quot;id&quot;:&quot;d010b5e7-e919-3348-94b9-ef493b73fa4f&quot;,&quot;itemData&quot;:{&quot;type&quot;:&quot;article-journal&quot;,&quot;id&quot;:&quot;d010b5e7-e919-3348-94b9-ef493b73fa4f&quot;,&quot;title&quot;:&quot;Accumulation of phycocyanin in heterotrophic and mixotrophic cultures of the acidophilic red alga Galdieria sulphuraria&quot;,&quot;author&quot;:[{&quot;family&quot;:&quot;Sloth&quot;,&quot;given&quot;:&quot;Jenni K.&quot;,&quot;parse-names&quot;:false,&quot;dropping-particle&quot;:&quot;&quot;,&quot;non-dropping-particle&quot;:&quot;&quot;},{&quot;family&quot;:&quot;Wiebe&quot;,&quot;given&quot;:&quot;Marilyn G.&quot;,&quot;parse-names&quot;:false,&quot;dropping-particle&quot;:&quot;&quot;,&quot;non-dropping-particle&quot;:&quot;&quot;},{&quot;family&quot;:&quot;Eriksen&quot;,&quot;given&quot;:&quot;Niels T.&quot;,&quot;parse-names&quot;:false,&quot;dropping-particle&quot;:&quot;&quot;,&quot;non-dropping-particle&quot;:&quot;&quot;}],&quot;container-title&quot;:&quot;Enzyme and Microbial Technology&quot;,&quot;container-title-short&quot;:&quot;Enzyme Microb. Technol.&quot;,&quot;accessed&quot;:{&quot;date-parts&quot;:[[2025,12,12]]},&quot;DOI&quot;:&quot;10.1016/J.ENZMICTEC.2005.05.010&quot;,&quot;ISSN&quot;:&quot;0141-0229&quot;,&quot;URL&quot;:&quot;https://www.sciencedirect.com/science/article/pii/S0141022905002309&quot;,&quot;issued&quot;:{&quot;date-parts&quot;:[[2006,1,3]]},&quot;page&quot;:&quot;168-175&quot;,&quot;abstract&quot;:&quot;The relationship between light intensity, nitrogen availability and pigmentation was investigated in mixotrophic and heterotrophic cultures of the unicellular red alga Galdieria sulphuraria 074G, a potential host for production of the blue pigment, phycocyanin (PC). During the exponential growth phase of batch cultures, G. sulphuraria 074G contained 2-4 mg phycocyanin per g dry weight. In carbon-limited and nitrogen-sufficient batch cultures grown in darkness, this value increased to 8-12 mg g-1 dry weight during the stationary phase, whereas the phycocyanin content in nitrogen-deficient cells decreased to values below 1 mg g-1 dry weight during stationary phase. Light intensities between 0 and 100 μmol photons m-2 s -1 had no influence on phycocyanin accumulation in mixotrophic cultures grown on glucose or fructose, while light stimulated phycocyanin synthesis in cultures grown on glycerol, in which the phycocyanin content in stationary phase was increased from 10 mg g-1 dry weight in darkness to 20 mg g-1 dry weight at a light intensity of 80 μmol photons m-2 s-1. At higher light intensities, less phycocyanin accumulated than at lower intensities, irrespective of the carbon substrate used. In carbon-limited continuous flow cultures grown on glucose or glycerol at a dilution rate of 0.63 day-1, corresponding to 50% of the maximum specific growth rate, the highest steady-state phycocyanin content of 15-28 mg g-1 dry weight was found at 65 μmol photons m-2 s -1. In contrast to the apparent glucose repression of light-induced PC synthesis observed in batch cultures, no glucose repression of the light stimulation was observed in continuous flow cultures because the glucose concentration in the culture supernatant always remained at limiting levels. Despite the fact that G. sulphuraria 074G contains less phycocyanin than some other microalgae and cyanobacteria, the ability of G. sulphuraria 074G to grow and synthesize phycocyanin in heterotrophic or mixotrophic cultures makes it an interesting alternative to the cyanobacterium, Spirulina platensis presently used for synthesis of phycocyanin. © 2005 Elsevier Inc. All rights reserved.&quot;,&quot;publisher&quot;:&quot;Elsevier&quot;,&quot;issue&quot;:&quot;1-2&quot;,&quot;volume&quot;:&quot;38&quot;},&quot;isTemporary&quot;:false}]},{&quot;citationID&quot;:&quot;MENDELEY_CITATION_7d792791-1780-4374-8d22-541455ad09de&quot;,&quot;properties&quot;:{&quot;noteIndex&quot;:0,&quot;mode&quot;:&quot;composite&quot;},&quot;isEdited&quot;:false,&quot;manualOverride&quot;:{&quot;isManuallyOverridden&quot;:false,&quot;citeprocText&quot;:&quot;Sloth et al. (2006)&quot;,&quot;manualOverrideText&quot;:&quot;&quot;},&quot;citationTag&quot;:&quot;MENDELEY_CITATION_v3_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&quot;,&quot;citationItems&quot;:[{&quot;displayAs&quot;:&quot;composite&quot;,&quot;label&quot;:&quot;page&quot;,&quot;id&quot;:&quot;d010b5e7-e919-3348-94b9-ef493b73fa4f&quot;,&quot;itemData&quot;:{&quot;type&quot;:&quot;article-journal&quot;,&quot;id&quot;:&quot;d010b5e7-e919-3348-94b9-ef493b73fa4f&quot;,&quot;title&quot;:&quot;Accumulation of phycocyanin in heterotrophic and mixotrophic cultures of the acidophilic red alga Galdieria sulphuraria&quot;,&quot;author&quot;:[{&quot;family&quot;:&quot;Sloth&quot;,&quot;given&quot;:&quot;Jenni K.&quot;,&quot;parse-names&quot;:false,&quot;dropping-particle&quot;:&quot;&quot;,&quot;non-dropping-particle&quot;:&quot;&quot;},{&quot;family&quot;:&quot;Wiebe&quot;,&quot;given&quot;:&quot;Marilyn G.&quot;,&quot;parse-names&quot;:false,&quot;dropping-particle&quot;:&quot;&quot;,&quot;non-dropping-particle&quot;:&quot;&quot;},{&quot;family&quot;:&quot;Eriksen&quot;,&quot;given&quot;:&quot;Niels T.&quot;,&quot;parse-names&quot;:false,&quot;dropping-particle&quot;:&quot;&quot;,&quot;non-dropping-particle&quot;:&quot;&quot;}],&quot;container-title&quot;:&quot;Enzyme and Microbial Technology&quot;,&quot;container-title-short&quot;:&quot;Enzyme Microb. Technol.&quot;,&quot;accessed&quot;:{&quot;date-parts&quot;:[[2025,12,12]]},&quot;DOI&quot;:&quot;10.1016/J.ENZMICTEC.2005.05.010&quot;,&quot;ISSN&quot;:&quot;0141-0229&quot;,&quot;URL&quot;:&quot;https://www.sciencedirect.com/science/article/pii/S0141022905002309&quot;,&quot;issued&quot;:{&quot;date-parts&quot;:[[2006,1,3]]},&quot;page&quot;:&quot;168-175&quot;,&quot;abstract&quot;:&quot;The relationship between light intensity, nitrogen availability and pigmentation was investigated in mixotrophic and heterotrophic cultures of the unicellular red alga Galdieria sulphuraria 074G, a potential host for production of the blue pigment, phycocyanin (PC). During the exponential growth phase of batch cultures, G. sulphuraria 074G contained 2-4 mg phycocyanin per g dry weight. In carbon-limited and nitrogen-sufficient batch cultures grown in darkness, this value increased to 8-12 mg g-1 dry weight during the stationary phase, whereas the phycocyanin content in nitrogen-deficient cells decreased to values below 1 mg g-1 dry weight during stationary phase. Light intensities between 0 and 100 μmol photons m-2 s -1 had no influence on phycocyanin accumulation in mixotrophic cultures grown on glucose or fructose, while light stimulated phycocyanin synthesis in cultures grown on glycerol, in which the phycocyanin content in stationary phase was increased from 10 mg g-1 dry weight in darkness to 20 mg g-1 dry weight at a light intensity of 80 μmol photons m-2 s-1. At higher light intensities, less phycocyanin accumulated than at lower intensities, irrespective of the carbon substrate used. In carbon-limited continuous flow cultures grown on glucose or glycerol at a dilution rate of 0.63 day-1, corresponding to 50% of the maximum specific growth rate, the highest steady-state phycocyanin content of 15-28 mg g-1 dry weight was found at 65 μmol photons m-2 s -1. In contrast to the apparent glucose repression of light-induced PC synthesis observed in batch cultures, no glucose repression of the light stimulation was observed in continuous flow cultures because the glucose concentration in the culture supernatant always remained at limiting levels. Despite the fact that G. sulphuraria 074G contains less phycocyanin than some other microalgae and cyanobacteria, the ability of G. sulphuraria 074G to grow and synthesize phycocyanin in heterotrophic or mixotrophic cultures makes it an interesting alternative to the cyanobacterium, Spirulina platensis presently used for synthesis of phycocyanin. © 2005 Elsevier Inc. All rights reserved.&quot;,&quot;publisher&quot;:&quot;Elsevier&quot;,&quot;issue&quot;:&quot;1-2&quot;,&quot;volume&quot;:&quot;38&quot;},&quot;isTemporary&quot;:false,&quot;suppress-author&quot;:false,&quot;composite&quot;:true,&quot;author-only&quot;:false}]},{&quot;citationID&quot;:&quot;MENDELEY_CITATION_37977673-8455-4284-881c-e23749b7ffab&quot;,&quot;properties&quot;:{&quot;noteIndex&quot;:0,&quot;mode&quot;:&quot;composite&quot;},&quot;isEdited&quot;:false,&quot;manualOverride&quot;:{&quot;isManuallyOverridden&quot;:false,&quot;citeprocText&quot;:&quot;Perez-Garcia et al. (2011)&quot;,&quot;manualOverrideText&quot;:&quot;&quot;},&quot;citationTag&quot;:&quot;MENDELEY_CITATION_v3_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&quot;,&quot;citationItems&quot;:[{&quot;displayAs&quot;:&quot;composite&quot;,&quot;label&quot;:&quot;page&quot;,&quot;id&quot;:&quot;8dd9b7cb-d174-3042-ac47-5f31b38e8d9a&quot;,&quot;itemData&quot;:{&quot;type&quot;:&quot;article-journal&quot;,&quot;id&quot;:&quot;8dd9b7cb-d174-3042-ac47-5f31b38e8d9a&quot;,&quot;title&quot;:&quot;Heterotrophic cultures of microalgae: metabolism and potential products&quot;,&quot;author&quot;:[{&quot;family&quot;:&quot;Perez-Garcia&quot;,&quot;given&quot;:&quot;Octavio&quot;,&quot;parse-names&quot;:false,&quot;dropping-particle&quot;:&quot;&quot;,&quot;non-dropping-particle&quot;:&quot;&quot;},{&quot;family&quot;:&quot;Escalante&quot;,&quot;given&quot;:&quot;Froylan M.E.&quot;,&quot;parse-names&quot;:false,&quot;dropping-particle&quot;:&quot;&quot;,&quot;non-dropping-particle&quot;:&quot;&quot;},{&quot;family&quot;:&quot;de-Bashan&quot;,&quot;given&quot;:&quot;Luz E.&quot;,&quot;parse-names&quot;:false,&quot;dropping-particle&quot;:&quot;&quot;,&quot;non-dropping-particle&quot;:&quot;&quot;},{&quot;family&quot;:&quot;Bashan&quot;,&quot;given&quot;:&quot;Yoav&quot;,&quot;parse-names&quot;:false,&quot;dropping-particle&quot;:&quot;&quot;,&quot;non-dropping-particle&quot;:&quot;&quot;}],&quot;container-title&quot;:&quot;Water research&quot;,&quot;container-title-short&quot;:&quot;Water Res.&quot;,&quot;accessed&quot;:{&quot;date-parts&quot;:[[2024,12,5]]},&quot;DOI&quot;:&quot;10.1016/J.WATRES.2010.08.037&quot;,&quot;ISSN&quot;:&quot;1879-2448&quot;,&quot;PMID&quot;:&quot;20970155&quot;,&quot;URL&quot;:&quot;https://pubmed.ncbi.nlm.nih.gov/20970155/&quot;,&quot;issued&quot;:{&quot;date-parts&quot;:[[2011]]},&quot;page&quot;:&quot;11-36&quot;,&quot;abstract&quot;:&quot;This review analyzes the current state of a specific niche of microalgae cultivation; heterotrophic growth in the dark supported by a carbon source replacing the traditional support of light energy. This unique ability of essentially photosynthetic microorganisms is shared by several species of microalgae. Where possible, heterotrophic growth overcomes major limitations of producing useful products from microalgae: dependency on light which significantly complicates the process, increase costs, and reduced production of potentially useful products. As a general role, and in most cases, heterotrophic cultivation is far cheaper, simpler to construct facilities, and easier than autotrophic cultivation to maintain on a large scale. This capacity allows expansion of useful applications from diverse species that is now very limited as a result of elevated costs of autotrophy; consequently, exploitation of microalgae is restricted to small volume of high-value products. Heterotrophic cultivation may allow large volume applications such as wastewater treatment combined, or separated, with production of biofuels. In this review, we present a general perspective of the field, describing the specific cellular metabolisms involved and the best-known examples from the literature and analyze the prospect of potential products from heterotrophic cultures. © 2010 Elsevier Ltd.&quot;,&quot;publisher&quot;:&quot;Water Res&quot;,&quot;issue&quot;:&quot;1&quot;,&quot;volume&quot;:&quot;45&quot;},&quot;isTemporary&quot;:false,&quot;suppress-author&quot;:false,&quot;composite&quot;:true,&quot;author-only&quot;:false}]},{&quot;citationID&quot;:&quot;MENDELEY_CITATION_7e5dd66d-a6c3-4fe9-85d3-cf7d7bef00e3&quot;,&quot;properties&quot;:{&quot;noteIndex&quot;:0,&quot;mode&quot;:&quot;composite&quot;},&quot;isEdited&quot;:false,&quot;manualOverride&quot;:{&quot;isManuallyOverridden&quot;:false,&quot;citeprocText&quot;:&quot;Zeebe and Wolf-Gladrow (2001)&quot;,&quot;manualOverrideText&quot;:&quot;&quot;},&quot;citationTag&quot;:&quot;MENDELEY_CITATION_v3_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&quot;,&quot;citationItems&quot;:[{&quot;displayAs&quot;:&quot;composite&quot;,&quot;label&quot;:&quot;page&quot;,&quot;id&quot;:&quot;580323bf-a023-34e6-bd95-bcbcdd59c5c0&quot;,&quot;itemData&quot;:{&quot;type&quot;:&quot;article-journal&quot;,&quot;id&quot;:&quot;580323bf-a023-34e6-bd95-bcbcdd59c5c0&quot;,&quot;title&quot;:&quot;CO2 in Seawater: Equilibrium, Kinetics, Isotopes - R.E. Zeebe, D. Wolf-Gladrow - Google Livros&quot;,&quot;author&quot;:[{&quot;family&quot;:&quot;Zeebe&quot;,&quot;given&quot;:&quot;R.E.&quot;,&quot;parse-names&quot;:false,&quot;dropping-particle&quot;:&quot;&quot;,&quot;non-dropping-particle&quot;:&quot;&quot;},{&quot;family&quot;:&quot;Wolf-Gladrow&quot;,&quot;given&quot;:&quot;D.&quot;,&quot;parse-names&quot;:false,&quot;dropping-particle&quot;:&quot;&quot;,&quot;non-dropping-particle&quot;:&quot;&quot;}],&quot;accessed&quot;:{&quot;date-parts&quot;:[[2025,12,12]]},&quot;ISBN&quot;:&quot;9780444509468&quot;,&quot;issued&quot;:{&quot;date-parts&quot;:[[2001]]},&quot;page&quot;:&quot;360&quot;,&quot;publisher&quot;:&quot;Elsevier Science &quot;,&quot;volume&quot;:&quot;65&quot;,&quot;container-title-short&quot;:&quot;&quot;},&quot;isTemporary&quot;:false,&quot;suppress-author&quot;:false,&quot;composite&quot;:true,&quot;author-only&quot;:false}]},{&quot;citationID&quot;:&quot;MENDELEY_CITATION_09156ca8-2792-4149-ad35-22adc47bf276&quot;,&quot;properties&quot;:{&quot;noteIndex&quot;:0},&quot;isEdited&quot;:false,&quot;manualOverride&quot;:{&quot;isManuallyOverridden&quot;:false,&quot;citeprocText&quot;:&quot;(Hata et al., 2001)&quot;,&quot;manualOverrideText&quot;:&quot;&quot;},&quot;citationTag&quot;:&quot;MENDELEY_CITATION_v3_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&quot;,&quot;citationItems&quot;:[{&quot;id&quot;:&quot;6c351c7b-2f76-3e2f-814d-c1ddc1e7aeda&quot;,&quot;itemData&quot;:{&quot;type&quot;:&quot;article-journal&quot;,&quot;id&quot;:&quot;6c351c7b-2f76-3e2f-814d-c1ddc1e7aeda&quot;,&quot;title&quot;:&quot;Production of astaxanthin by Haematococcus pluvialis in a sequential heterotrophic-photoautotrophic culture&quot;,&quot;author&quot;:[{&quot;family&quot;:&quot;Hata&quot;,&quot;given&quot;:&quot;Norihiko&quot;,&quot;parse-names&quot;:false,&quot;dropping-particle&quot;:&quot;&quot;,&quot;non-dropping-particle&quot;:&quot;&quot;},{&quot;family&quot;:&quot;Ogbonna&quot;,&quot;given&quot;:&quot;James C.&quot;,&quot;parse-names&quot;:false,&quot;dropping-particle&quot;:&quot;&quot;,&quot;non-dropping-particle&quot;:&quot;&quot;},{&quot;family&quot;:&quot;Hasegawa&quot;,&quot;given&quot;:&quot;Yutaka&quot;,&quot;parse-names&quot;:false,&quot;dropping-particle&quot;:&quot;&quot;,&quot;non-dropping-particle&quot;:&quot;&quot;},{&quot;family&quot;:&quot;Taroda&quot;,&quot;given&quot;:&quot;Hiroyuki&quot;,&quot;parse-names&quot;:false,&quot;dropping-particle&quot;:&quot;&quot;,&quot;non-dropping-particle&quot;:&quot;&quot;},{&quot;family&quot;:&quot;Tanaka&quot;,&quot;given&quot;:&quot;Hideo&quot;,&quot;parse-names&quot;:false,&quot;dropping-particle&quot;:&quot;&quot;,&quot;non-dropping-particle&quot;:&quot;&quot;}],&quot;container-title&quot;:&quot;Journal of Applied Phycology&quot;,&quot;container-title-short&quot;:&quot;J. Appl. Phycol.&quot;,&quot;accessed&quot;:{&quot;date-parts&quot;:[[2025,12,11]]},&quot;DOI&quot;:&quot;10.1023/A:1011921329568/METRICS&quot;,&quot;ISSN&quot;:&quot;09218971&quot;,&quot;URL&quot;:&quot;https://link.springer.com/article/10.1023/A:1011921329568&quot;,&quot;issued&quot;:{&quot;date-parts&quot;:[[2001]]},&quot;page&quot;:&quot;395-402&quot;,&quot;abstract&quot;:&quot;Production of astaxanthin by sequential heterotrophic-photoautotrophic cultivation of a green alga, Haematococcus pluvialis was investigated. This involved cultivating the cells heterotrophically to high cell concentration, followed by illumination of the culture for astaxanthin accumulation. The optimum pH and temperature for heterotrophic biomass production were 8 and 25 °C, respectively. There was no significant difference in the specific growth rate of the cells when acetate concentration was varied between 10 mM and 30 mM. However, cell growth was inhibited at higher acetate concentrations. A pH stat method was then used for fed-batch heterotrophic culture, using acetate as the organic carbon source. A cell concentration of 7 g L-1 was obtained. Higher cell concentration could not be obtained because the cells changed from vegetative to cyst forms during the heterotrophic cultivation. However, by using repeated fed-batch processes, the cells could be maintained in the vegetative form, leading to more than two times increase in cell number output rate. When the vegetative cells were transferred to photoautotrophic phase, there was a sharp decrease in the cell number and only very few cells encysted and accumulated astaxanthin. On the other hand, when the shift from heterotrophic to photoautotrophic condition was done when most of the cells had encysted, there was still a decrease in cell number but astaxanthin accumulation was very high. The astaxanthin concentration (114 mg L-1) and productivity (4.4 mg L-1 d-1) obtained by this sequential heterotrophic-photoautotrophic cultivation method are very high compared to the data in the literature.&quot;,&quot;publisher&quot;:&quot;Springer&quot;,&quot;issue&quot;:&quot;5&quot;,&quot;volume&quot;:&quot;13&quot;},&quot;isTemporary&quot;:false}]},{&quot;citationID&quot;:&quot;MENDELEY_CITATION_22c32bc2-9910-445e-930d-02d7b6b78691&quot;,&quot;properties&quot;:{&quot;noteIndex&quot;:0},&quot;isEdited&quot;:false,&quot;manualOverride&quot;:{&quot;isManuallyOverridden&quot;:false,&quot;citeprocText&quot;:&quot;(Lage and Gentili, 2023)&quot;,&quot;manualOverrideText&quot;:&quot;&quot;},&quot;citationTag&quot;:&quot;MENDELEY_CITATION_v3_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&quot;,&quot;citationItems&quot;:[{&quot;id&quot;:&quot;7fd12159-939d-3354-9156-21d18f635913&quot;,&quot;itemData&quot;:{&quot;type&quot;:&quot;article-journal&quot;,&quot;id&quot;:&quot;7fd12159-939d-3354-9156-21d18f635913&quot;,&quot;title&quot;:&quot;Chemical composition and species identification of microalgal biomass grown at pilot-scale with municipal wastewater and CO2 from flue gases&quot;,&quot;author&quot;:[{&quot;family&quot;:&quot;Lage&quot;,&quot;given&quot;:&quot;Sandra&quot;,&quot;parse-names&quot;:false,&quot;dropping-particle&quot;:&quot;&quot;,&quot;non-dropping-particle&quot;:&quot;&quot;},{&quot;family&quot;:&quot;Gentili&quot;,&quot;given&quot;:&quot;Francesco G.&quot;,&quot;parse-names&quot;:false,&quot;dropping-particle&quot;:&quot;&quot;,&quot;non-dropping-particle&quot;:&quot;&quot;}],&quot;container-title&quot;:&quot;Chemosphere&quot;,&quot;container-title-short&quot;:&quot;Chemosphere&quot;,&quot;accessed&quot;:{&quot;date-parts&quot;:[[2025,12,12]]},&quot;DOI&quot;:&quot;10.1016/J.CHEMOSPHERE.2022.137344&quot;,&quot;ISSN&quot;:&quot;0045-6535&quot;,&quot;PMID&quot;:&quot;36457266&quot;,&quot;URL&quot;:&quot;https://www.sciencedirect.com/science/article/pii/S0045653522038371&quot;,&quot;issued&quot;:{&quot;date-parts&quot;:[[2023,2,1]]},&quot;page&quot;:&quot;137344&quot;,&quot;abstract&quot;:&quot;The production potential of a locally isolated Chlorella vulgaris strain and a local green-algae consortium, used in municipal wastewater treatment combined with CO2 sequestration from flue gases, was evaluated for the first time by comparing the elemental and biochemical composition and heating value of the biomass produced. The microalgae were grown in outdoor pilot-scale ponds under subarctic summer conditions. The impact of cultivation in a greenhouse climate was also tested for the green-algae consortium; additionally, the variation in species composition over time in the three ponds was investigated. Our results showed that the biomass produced in the consortium/outdoor pond had the greatest potential for bioenergy production because both its carbohydrates and lipids contents were significantly higher than the biomasses from the consortium/greenhouse and C. vulgaris/outdoor ponds. Although greenhouse conditions significantly increased the consortium biomass's monounsaturated fatty acid content, which is ideal for biodiesel production, an undesirable increase in ash and chemical elements, as well as a reduction in heating value, were also observed. Thus, the placement of the pond inside a greenhouse did not improve the production potential of the green-algae consortium biomass in the current study infrastructure and climate conditions.&quot;,&quot;publisher&quot;:&quot;Pergamon&quot;,&quot;volume&quot;:&quot;313&quot;},&quot;isTemporary&quot;:false}]},{&quot;citationID&quot;:&quot;MENDELEY_CITATION_c9fe05c2-64c9-4952-a4eb-7b985ffb9573&quot;,&quot;properties&quot;:{&quot;noteIndex&quot;:0},&quot;isEdited&quot;:false,&quot;manualOverride&quot;:{&quot;isManuallyOverridden&quot;:false,&quot;citeprocText&quot;:&quot;(Van Bodegom, 2007)&quot;,&quot;manualOverrideText&quot;:&quot;&quot;},&quot;citationTag&quot;:&quot;MENDELEY_CITATION_v3_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&quot;,&quot;citationItems&quot;:[{&quot;id&quot;:&quot;687c70c1-d584-33f8-aac3-ea73ce6fcd48&quot;,&quot;itemData&quot;:{&quot;type&quot;:&quot;article-journal&quot;,&quot;id&quot;:&quot;687c70c1-d584-33f8-aac3-ea73ce6fcd48&quot;,&quot;title&quot;:&quot;Microbial Maintenance: A Critical Review on Its Quantification&quot;,&quot;author&quot;:[{&quot;family&quot;:&quot;Bodegom&quot;,&quot;given&quot;:&quot;Peter&quot;,&quot;parse-names&quot;:false,&quot;dropping-particle&quot;:&quot;&quot;,&quot;non-dropping-particle&quot;:&quot;Van&quot;}],&quot;container-title&quot;:&quot;Microbial Ecology&quot;,&quot;container-title-short&quot;:&quot;Microb. Ecol.&quot;,&quot;accessed&quot;:{&quot;date-parts&quot;:[[2026,2,10]]},&quot;DOI&quot;:&quot;10.1007/s00248-006-9049-5&quot;,&quot;ISSN&quot;:&quot;00953628&quot;,&quot;PMID&quot;:&quot;17333428&quot;,&quot;URL&quot;:&quot;https://pmc.ncbi.nlm.nih.gov/articles/PMC1915598/&quot;,&quot;issued&quot;:{&quot;date-parts&quot;:[[2007,5]]},&quot;page&quot;:&quot;513&quot;,&quot;abstract&quot;:&quot;Microbial maintenance is an important concept in microbiology. Its quantification, however, is a subject of continuous debate, which seems to be caused by (1) its definition, which includes nongrowth components other than maintenance; (2) the existence of partly overlapping concepts; (3) the evolution of variables as constants; and (4) the neglect of cell death in microbial dynamics. The two historically most important parameters describing maintenance, the specific maintenance rate and the maintenance coefficient, are based on partly different nongrowth components. There is thus no constant relation between these parameters and previous equations on this subject are wrong. In addition, the partial overlap between these parameters does not allow the use of a simple combination of these parameters. This also applies for combinations of a threshold concentration with one of the other estimates of maintenance. Maintenance estimates should ideally explicitly describe each nongrowth component. A conceptual model is introduced that describes their relative importance and reconciles the various concepts and definitions. The sensitivity of maintenance on underlying components was analyzed and indicated that overall maintenance depends nonlinearly on relative death rates, relative growth rates, growth yield, and endogenous metabolism. This quantitative sensitivity analysis explains the felt need to develop growth-dependent adaptations of existing maintenance parameters, and indicates the importance of distinguishing the various nongrowth components. Future experiments should verify the sensitivity of maintenance components under cellular and environmental conditions. © 2007 Springer Science+Business Media, Inc.&quot;,&quot;issue&quot;:&quot;4&quot;,&quot;volume&quot;:&quot;53&quot;},&quot;isTemporary&quot;:false}]}]"/>
    <we:property name="MENDELEY_CITATIONS_LOCALE_CODE" value="&quot;en-US&quot;"/>
    <we:property name="MENDELEY_CITATIONS_STYLE" value="{&quot;id&quot;:&quot;https://www.zotero.org/styles/elsevier-harvard&quot;,&quot;title&quot;:&quot;Elsevier (author-date/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Pages>
  <Words>3449</Words>
  <Characters>19660</Characters>
  <Application>Microsoft Office Word</Application>
  <DocSecurity>0</DocSecurity>
  <Lines>163</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Leonardo Pattaro</cp:lastModifiedBy>
  <cp:revision>25</cp:revision>
  <cp:lastPrinted>2026-03-24T08:20:00Z</cp:lastPrinted>
  <dcterms:created xsi:type="dcterms:W3CDTF">2026-03-30T09:34:00Z</dcterms:created>
  <dcterms:modified xsi:type="dcterms:W3CDTF">2026-03-30T12:39:00Z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