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02589">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en-US"/>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020238F8" w:rsidR="000A03B2" w:rsidRPr="00B57B36" w:rsidRDefault="005921AD"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Pr>
                <w:rFonts w:cs="Arial"/>
                <w:b/>
                <w:bCs/>
                <w:i/>
                <w:iCs/>
                <w:color w:val="000066"/>
                <w:sz w:val="22"/>
                <w:szCs w:val="22"/>
                <w:lang w:eastAsia="it-IT"/>
              </w:rPr>
              <w:t xml:space="preserve"> xxx, 2026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en-US"/>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02589">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02589">
        <w:trPr>
          <w:trHeight w:val="68"/>
          <w:jc w:val="center"/>
        </w:trPr>
        <w:tc>
          <w:tcPr>
            <w:tcW w:w="8782" w:type="dxa"/>
            <w:gridSpan w:val="2"/>
          </w:tcPr>
          <w:p w14:paraId="6447E2A0" w14:textId="77777777" w:rsidR="00176C97" w:rsidRPr="00EA3EF9" w:rsidRDefault="00176C97" w:rsidP="00176C9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Leonardo Tognotti, </w:t>
            </w:r>
            <w:r w:rsidRPr="00EA3EF9">
              <w:rPr>
                <w:rFonts w:ascii="Tahoma" w:hAnsi="Tahoma" w:cs="Tahoma"/>
                <w:color w:val="000000"/>
                <w:sz w:val="14"/>
                <w:szCs w:val="14"/>
                <w:lang w:val="it-IT"/>
              </w:rPr>
              <w:t>Rubens Maciel Filho</w:t>
            </w:r>
            <w:r w:rsidRPr="00EA3EF9">
              <w:rPr>
                <w:rFonts w:ascii="Tahoma" w:hAnsi="Tahoma" w:cs="Tahoma"/>
                <w:color w:val="000000"/>
                <w:sz w:val="14"/>
                <w:szCs w:val="14"/>
                <w:shd w:val="clear" w:color="auto" w:fill="FFFFFF"/>
                <w:lang w:val="it-IT"/>
              </w:rPr>
              <w:t xml:space="preserve">, </w:t>
            </w:r>
            <w:r w:rsidRPr="00EA3EF9">
              <w:rPr>
                <w:rFonts w:ascii="Tahoma" w:hAnsi="Tahoma" w:cs="Tahoma"/>
                <w:color w:val="000000"/>
                <w:sz w:val="14"/>
                <w:szCs w:val="14"/>
                <w:lang w:val="it-IT"/>
              </w:rPr>
              <w:t>Viatcheslav Kafarov</w:t>
            </w:r>
          </w:p>
          <w:p w14:paraId="1B0F1814" w14:textId="34CE0D6F" w:rsidR="000A03B2" w:rsidRPr="00B57B36" w:rsidRDefault="00176C97" w:rsidP="00176C97">
            <w:pPr>
              <w:tabs>
                <w:tab w:val="left" w:pos="-108"/>
              </w:tabs>
              <w:spacing w:line="140" w:lineRule="atLeast"/>
              <w:ind w:left="-107"/>
              <w:jc w:val="left"/>
            </w:pPr>
            <w:r>
              <w:rPr>
                <w:rFonts w:ascii="Tahoma" w:hAnsi="Tahoma" w:cs="Tahoma"/>
                <w:iCs/>
                <w:color w:val="333333"/>
                <w:sz w:val="14"/>
                <w:szCs w:val="14"/>
                <w:lang w:eastAsia="it-IT"/>
              </w:rPr>
              <w:t>Copyright © 2026</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9</w:t>
            </w:r>
            <w:r w:rsidRPr="000562A9">
              <w:rPr>
                <w:rFonts w:ascii="Tahoma" w:hAnsi="Tahoma" w:cs="Tahoma"/>
                <w:sz w:val="14"/>
                <w:szCs w:val="14"/>
              </w:rPr>
              <w:t>-</w:t>
            </w:r>
            <w:r>
              <w:rPr>
                <w:rFonts w:ascii="Tahoma" w:hAnsi="Tahoma" w:cs="Tahoma"/>
                <w:sz w:val="14"/>
                <w:szCs w:val="14"/>
              </w:rPr>
              <w:t>12</w:t>
            </w:r>
            <w:r w:rsidRPr="000562A9">
              <w:rPr>
                <w:rFonts w:ascii="Tahoma" w:hAnsi="Tahoma" w:cs="Tahoma"/>
                <w:sz w:val="14"/>
                <w:szCs w:val="14"/>
              </w:rPr>
              <w:t>-</w:t>
            </w:r>
            <w:r>
              <w:rPr>
                <w:rFonts w:ascii="Tahoma" w:hAnsi="Tahoma" w:cs="Tahoma"/>
                <w:sz w:val="14"/>
                <w:szCs w:val="14"/>
              </w:rPr>
              <w:t>81206-xx-x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6592DEBE" w:rsidR="00E978D0" w:rsidRPr="007A261E" w:rsidRDefault="00477F26" w:rsidP="00E978D0">
      <w:pPr>
        <w:pStyle w:val="CETTitle"/>
      </w:pPr>
      <w:r w:rsidRPr="007A261E">
        <w:t>Ex situ bioremediatio</w:t>
      </w:r>
      <w:r w:rsidR="00D02589" w:rsidRPr="007A261E">
        <w:t xml:space="preserve">n </w:t>
      </w:r>
      <w:r w:rsidRPr="007A261E">
        <w:rPr>
          <w:iCs/>
        </w:rPr>
        <w:t>of</w:t>
      </w:r>
      <w:r w:rsidRPr="007A261E">
        <w:rPr>
          <w:i/>
          <w:iCs/>
        </w:rPr>
        <w:t xml:space="preserve"> </w:t>
      </w:r>
      <w:r w:rsidRPr="007A261E">
        <w:rPr>
          <w:iCs/>
        </w:rPr>
        <w:t>PCB</w:t>
      </w:r>
      <w:r w:rsidR="00896872" w:rsidRPr="007A261E">
        <w:rPr>
          <w:iCs/>
        </w:rPr>
        <w:t>s</w:t>
      </w:r>
      <w:r w:rsidRPr="007A261E">
        <w:rPr>
          <w:iCs/>
        </w:rPr>
        <w:t>-contaminated soils</w:t>
      </w:r>
      <w:r w:rsidRPr="007A261E">
        <w:rPr>
          <w:i/>
          <w:iCs/>
        </w:rPr>
        <w:t xml:space="preserve"> </w:t>
      </w:r>
      <w:r w:rsidRPr="007A261E">
        <w:t xml:space="preserve">through </w:t>
      </w:r>
      <w:r w:rsidR="00654F0D" w:rsidRPr="007A261E">
        <w:t>microbial immobilization on coconut fiber</w:t>
      </w:r>
    </w:p>
    <w:p w14:paraId="0488FED2" w14:textId="53145463" w:rsidR="00B57E6F" w:rsidRPr="007A261E" w:rsidRDefault="00893055" w:rsidP="00B57E6F">
      <w:pPr>
        <w:pStyle w:val="CETAuthors"/>
        <w:rPr>
          <w:lang w:val="es-MX"/>
        </w:rPr>
      </w:pPr>
      <w:r w:rsidRPr="007A261E">
        <w:rPr>
          <w:lang w:val="es-MX"/>
        </w:rPr>
        <w:t>Juliana P.</w:t>
      </w:r>
      <w:r w:rsidR="00293824" w:rsidRPr="007A261E">
        <w:rPr>
          <w:lang w:val="es-MX"/>
        </w:rPr>
        <w:t xml:space="preserve"> Quintero-Pérez</w:t>
      </w:r>
      <w:r w:rsidR="00B57E6F" w:rsidRPr="007A261E">
        <w:rPr>
          <w:vertAlign w:val="superscript"/>
          <w:lang w:val="es-MX"/>
        </w:rPr>
        <w:t>a</w:t>
      </w:r>
      <w:r w:rsidR="00F577A2" w:rsidRPr="007A261E">
        <w:rPr>
          <w:vertAlign w:val="superscript"/>
          <w:lang w:val="es-MX"/>
        </w:rPr>
        <w:t>*</w:t>
      </w:r>
      <w:r w:rsidR="00B57E6F" w:rsidRPr="007A261E">
        <w:rPr>
          <w:lang w:val="es-MX"/>
        </w:rPr>
        <w:t xml:space="preserve">, </w:t>
      </w:r>
      <w:r w:rsidR="00293824" w:rsidRPr="007A261E">
        <w:rPr>
          <w:lang w:val="es-MX"/>
        </w:rPr>
        <w:t xml:space="preserve">Álvaro E. </w:t>
      </w:r>
      <w:r w:rsidR="00405C78" w:rsidRPr="007A261E">
        <w:rPr>
          <w:lang w:val="es-MX"/>
        </w:rPr>
        <w:t>Villamizar-Villamizar</w:t>
      </w:r>
      <w:r w:rsidR="00405C78" w:rsidRPr="007A261E">
        <w:rPr>
          <w:vertAlign w:val="superscript"/>
          <w:lang w:val="es-MX"/>
        </w:rPr>
        <w:t>a</w:t>
      </w:r>
      <w:r w:rsidR="00405C78" w:rsidRPr="007A261E">
        <w:rPr>
          <w:lang w:val="es-MX"/>
        </w:rPr>
        <w:t>,</w:t>
      </w:r>
      <w:r w:rsidR="00B57E6F" w:rsidRPr="007A261E">
        <w:rPr>
          <w:lang w:val="es-MX"/>
        </w:rPr>
        <w:t xml:space="preserve"> </w:t>
      </w:r>
      <w:r w:rsidR="00405C78" w:rsidRPr="007A261E">
        <w:rPr>
          <w:lang w:val="es-MX"/>
        </w:rPr>
        <w:t>Ángela M. Cajiao-Pedraza</w:t>
      </w:r>
      <w:r w:rsidR="00B57E6F" w:rsidRPr="007A261E">
        <w:rPr>
          <w:vertAlign w:val="superscript"/>
          <w:lang w:val="es-MX"/>
        </w:rPr>
        <w:t>b</w:t>
      </w:r>
    </w:p>
    <w:p w14:paraId="6B2D21B3" w14:textId="3DE0EDF6" w:rsidR="00B57E6F" w:rsidRPr="007A261E" w:rsidRDefault="00B57E6F" w:rsidP="00B57E6F">
      <w:pPr>
        <w:pStyle w:val="CETAddress"/>
        <w:rPr>
          <w:lang w:val="es-MX"/>
        </w:rPr>
      </w:pPr>
      <w:r w:rsidRPr="007A261E">
        <w:rPr>
          <w:vertAlign w:val="superscript"/>
          <w:lang w:val="es-MX"/>
        </w:rPr>
        <w:t>a</w:t>
      </w:r>
      <w:r w:rsidR="00405C78" w:rsidRPr="007A261E">
        <w:rPr>
          <w:lang w:val="es-MX"/>
        </w:rPr>
        <w:t>Chemical Engineering Program, Universidad de Pamplona, km 1 vía Bucaramanga; Pamplona-Colombia</w:t>
      </w:r>
      <w:r w:rsidRPr="007A261E">
        <w:rPr>
          <w:lang w:val="es-MX"/>
        </w:rPr>
        <w:t xml:space="preserve"> </w:t>
      </w:r>
    </w:p>
    <w:p w14:paraId="325C1225" w14:textId="5CEDB3CA" w:rsidR="00681460" w:rsidRPr="007A261E" w:rsidRDefault="00B57E6F" w:rsidP="00405C78">
      <w:pPr>
        <w:pStyle w:val="CETAddress"/>
        <w:rPr>
          <w:lang w:val="es-MX"/>
        </w:rPr>
      </w:pPr>
      <w:r w:rsidRPr="007A261E">
        <w:rPr>
          <w:vertAlign w:val="superscript"/>
          <w:lang w:val="es-MX"/>
        </w:rPr>
        <w:t>b</w:t>
      </w:r>
      <w:r w:rsidR="00405C78" w:rsidRPr="007A261E">
        <w:rPr>
          <w:lang w:val="es-MX"/>
        </w:rPr>
        <w:t xml:space="preserve">Microbiology Program, Universidad de Pamplona, km 1 vía Bucaramanga; Pamplona-Colombia </w:t>
      </w:r>
      <w:r w:rsidR="007A261E">
        <w:rPr>
          <w:lang w:val="es-MX"/>
        </w:rPr>
        <w:t>*</w:t>
      </w:r>
      <w:hyperlink r:id="rId10" w:history="1">
        <w:r w:rsidR="005E3063" w:rsidRPr="007A261E">
          <w:rPr>
            <w:lang w:val="es-MX"/>
          </w:rPr>
          <w:t>juliana.quinterojul@unipamplona.edu.co</w:t>
        </w:r>
      </w:hyperlink>
    </w:p>
    <w:p w14:paraId="258F2775" w14:textId="77777777" w:rsidR="005E3063" w:rsidRPr="002D6014" w:rsidRDefault="005E3063" w:rsidP="007A261E">
      <w:pPr>
        <w:rPr>
          <w:lang w:val="es-MX"/>
        </w:rPr>
      </w:pPr>
    </w:p>
    <w:p w14:paraId="142BCD6D" w14:textId="07EEDB99" w:rsidR="00654F0D" w:rsidRPr="004566A7" w:rsidRDefault="00654F0D" w:rsidP="00654F0D">
      <w:pPr>
        <w:pStyle w:val="CETBodytext"/>
      </w:pPr>
      <w:r w:rsidRPr="004566A7">
        <w:t xml:space="preserve">This study addresses the environmental and health risks arising from soil contamination with polychlorinated biphenyls (PCBs) from dielectric oils associated with abandoned electrical transformers. An </w:t>
      </w:r>
      <w:r w:rsidR="0052258A" w:rsidRPr="004566A7">
        <w:t>ex-situ</w:t>
      </w:r>
      <w:r w:rsidRPr="004566A7">
        <w:t xml:space="preserve"> bioremediation strategy was implemented based on the immobilization of microorganisms on coconut fiber, conceived as an environmentally sustainable alternative. To this end, indigenous microorganisms capable of metabolizing dielectric oil as their sole carbon source were isolated, and two biological pathways were compared: </w:t>
      </w:r>
      <w:r w:rsidRPr="004566A7">
        <w:rPr>
          <w:i/>
        </w:rPr>
        <w:t xml:space="preserve">Pseudomonas </w:t>
      </w:r>
      <w:r w:rsidRPr="007A261E">
        <w:rPr>
          <w:iCs/>
        </w:rPr>
        <w:t>spp</w:t>
      </w:r>
      <w:r w:rsidRPr="004566A7">
        <w:rPr>
          <w:i/>
        </w:rPr>
        <w:t>.</w:t>
      </w:r>
      <w:r w:rsidRPr="004566A7">
        <w:t xml:space="preserve"> and a native microbial consortium. The coconut fiber was previously characterized and used as an organic support to promote cell stability and enhance metabolic activity. The </w:t>
      </w:r>
      <w:r w:rsidR="00EE4B8A" w:rsidRPr="004566A7">
        <w:t>experiments</w:t>
      </w:r>
      <w:r w:rsidRPr="004566A7">
        <w:t xml:space="preserve"> were carried out under controlled conditions, evaluating the process using respirometry, enzyme activity determination, and gas chromatography with electron capture detection (GC-</w:t>
      </w:r>
      <w:proofErr w:type="spellStart"/>
      <w:r w:rsidRPr="004566A7">
        <w:t>ECD</w:t>
      </w:r>
      <w:proofErr w:type="spellEnd"/>
      <w:r w:rsidRPr="004566A7">
        <w:t>) for PCB</w:t>
      </w:r>
      <w:r w:rsidR="000350A1" w:rsidRPr="004566A7">
        <w:t>s</w:t>
      </w:r>
      <w:r w:rsidRPr="004566A7">
        <w:t xml:space="preserve"> quantification. The results showed a decrease in the contaminant, with removal efficiencies of 32.20% and 27.96% for </w:t>
      </w:r>
      <w:r w:rsidRPr="004566A7">
        <w:rPr>
          <w:i/>
        </w:rPr>
        <w:t xml:space="preserve">Pseudomonas </w:t>
      </w:r>
      <w:r w:rsidRPr="007A261E">
        <w:rPr>
          <w:iCs/>
        </w:rPr>
        <w:t>spp</w:t>
      </w:r>
      <w:r w:rsidRPr="004566A7">
        <w:rPr>
          <w:i/>
        </w:rPr>
        <w:t>.</w:t>
      </w:r>
      <w:r w:rsidRPr="004566A7">
        <w:t xml:space="preserve"> and the microbial consortium, respectively, with no statistically significant differences between the two routes. Likewise, partial improvements were recorded in some soil properties, suggesting functional recovery and confirming the technical and environmental viability of microbial i</w:t>
      </w:r>
      <w:r w:rsidR="00AD3463" w:rsidRPr="004566A7">
        <w:t>mmobilization on coconut fiber.</w:t>
      </w:r>
    </w:p>
    <w:p w14:paraId="476B2F2E" w14:textId="2FC4C4A5" w:rsidR="00600535" w:rsidRPr="004566A7" w:rsidRDefault="00600535" w:rsidP="00600535">
      <w:pPr>
        <w:pStyle w:val="CETHeading1"/>
      </w:pPr>
      <w:r w:rsidRPr="004566A7">
        <w:t>Introduc</w:t>
      </w:r>
      <w:r w:rsidR="003E6E8C" w:rsidRPr="004566A7">
        <w:t>tion</w:t>
      </w:r>
    </w:p>
    <w:p w14:paraId="2E778166" w14:textId="25618FAF" w:rsidR="00CE2B18" w:rsidRPr="004566A7" w:rsidRDefault="003E6E8C" w:rsidP="003E6E8C">
      <w:pPr>
        <w:pStyle w:val="CETBodytext"/>
      </w:pPr>
      <w:r w:rsidRPr="004566A7">
        <w:t>Soil plays a central role in terrestrial ecosystems as the physical substrate for vegetation, a strategic reservoir of organic</w:t>
      </w:r>
      <w:r w:rsidR="002A2E71" w:rsidRPr="004566A7">
        <w:t xml:space="preserve"> matter, and the medium where</w:t>
      </w:r>
      <w:r w:rsidRPr="004566A7">
        <w:t xml:space="preserve"> biogeochemical processes essential to the balance of the biosphere take place. Through the regulation of hydrological, carbon, and nutrient cycles, and its capacity to sustain diverse biological communities, soil ensures essential ecological functions such as fertility, environmental stability, and water regulation. However, this functional complexity makes it a system that is particularly susceptible to alterations caused by human activ</w:t>
      </w:r>
      <w:r w:rsidR="002A2E71" w:rsidRPr="004566A7">
        <w:t>ity, which introduces contaminants</w:t>
      </w:r>
      <w:r w:rsidRPr="004566A7">
        <w:t xml:space="preserve"> capable of modifying its physicochemical properties, reducing biodiversity, and generating environmental and health risks. </w:t>
      </w:r>
      <w:r w:rsidR="006A7D26" w:rsidRPr="004566A7">
        <w:t>In this context, industrial expansion drove the use of dielectric oils in electrical equipment, many of which, especially those manufactured before strict regulations were introduced, incorporated polychlorinated biphenyls (PCBs) to improve their thermal and dielectric performance.</w:t>
      </w:r>
      <w:r w:rsidR="00A67B03" w:rsidRPr="004566A7">
        <w:t xml:space="preserve"> </w:t>
      </w:r>
      <w:r w:rsidR="006A7D26" w:rsidRPr="004566A7">
        <w:t xml:space="preserve">The abandonment of transformers and systems containing these oils </w:t>
      </w:r>
      <w:r w:rsidR="00657D7B" w:rsidRPr="004566A7">
        <w:t>promotes</w:t>
      </w:r>
      <w:r w:rsidR="001172F8" w:rsidRPr="004566A7">
        <w:t xml:space="preserve"> leaks and spills which may result in</w:t>
      </w:r>
      <w:r w:rsidR="006A7D26" w:rsidRPr="004566A7">
        <w:t xml:space="preserve"> the direct transfer of PCBs to the soil and their subsequent dispersion into the environment. </w:t>
      </w:r>
      <w:r w:rsidR="00AD3463" w:rsidRPr="004566A7">
        <w:t>As persistent organic contaminants, PCBs possess high chemical stability</w:t>
      </w:r>
      <w:r w:rsidR="006A7D26" w:rsidRPr="004566A7">
        <w:t>, have an affinity for lipids, are resistant to degradation, and are capable of bioaccumulation and biomagnification, as well as long-range transport, which intensifies their impact on ecosystems and human health (Unit</w:t>
      </w:r>
      <w:r w:rsidR="00EE4B8A" w:rsidRPr="004566A7">
        <w:t>ed Nations Environment Program</w:t>
      </w:r>
      <w:r w:rsidR="006A7D26" w:rsidRPr="004566A7">
        <w:t>, 2022). These characteristics prompted the Stockholm Convention to establish their global phase-out, recognizing the risk they pose to natural systems and exposed populations.</w:t>
      </w:r>
    </w:p>
    <w:p w14:paraId="089D744A" w14:textId="7A1E7680" w:rsidR="00B44E97" w:rsidRPr="000C6E6C" w:rsidRDefault="001172F8" w:rsidP="00B44E97">
      <w:pPr>
        <w:pStyle w:val="CETBodytext"/>
        <w:rPr>
          <w:b/>
          <w:bCs/>
        </w:rPr>
      </w:pPr>
      <w:r w:rsidRPr="004566A7">
        <w:t xml:space="preserve">To address this problem, conventional remediation methods have been used that have proven highly effective in eliminating persistent organic contaminants; however, their application often involves high energy consumption, irreversible alterations to the physicochemical properties of the soil, and the generation of secondary waste, which limits the ecological recovery of the treated areas. These restrictions have driven the </w:t>
      </w:r>
      <w:r w:rsidRPr="004566A7">
        <w:lastRenderedPageBreak/>
        <w:t>development of more sustainable strategies aimed at reducing the contaminant load without compromising soil functionality or biodiversity.</w:t>
      </w:r>
      <w:r w:rsidR="00856018" w:rsidRPr="004566A7">
        <w:t xml:space="preserve"> </w:t>
      </w:r>
      <w:r w:rsidRPr="004566A7">
        <w:t>In</w:t>
      </w:r>
      <w:r w:rsidR="00354F1C" w:rsidRPr="004566A7">
        <w:t xml:space="preserve"> this regard</w:t>
      </w:r>
      <w:r w:rsidR="00A34F2A" w:rsidRPr="004566A7">
        <w:t>, bioremediation has become</w:t>
      </w:r>
      <w:r w:rsidRPr="004566A7">
        <w:t xml:space="preserve"> an </w:t>
      </w:r>
      <w:r w:rsidR="00A34F2A" w:rsidRPr="004566A7">
        <w:t xml:space="preserve">environmentally compatible </w:t>
      </w:r>
      <w:r w:rsidRPr="004566A7">
        <w:t xml:space="preserve">alternative </w:t>
      </w:r>
      <w:r w:rsidR="00A34F2A" w:rsidRPr="004566A7">
        <w:t>by taking advantage of the metabolic capacity of microorganisms to transform persistent contaminants, although its efficiency may be affected by the low bioavailability of compounds and unfavorable edaphic conditions. Recent studies show that integrating biological processes with advanced materials, particularly carbonaceous supports derived from residual biomass such as biochar, improves hydrocarbon retention and optimizes soil parameters such as pH, organic matter and nutrient availability</w:t>
      </w:r>
      <w:r w:rsidR="00150ACE" w:rsidRPr="004566A7">
        <w:t>, promoting</w:t>
      </w:r>
      <w:r w:rsidR="00A34F2A" w:rsidRPr="004566A7">
        <w:t xml:space="preserve"> microbial activity</w:t>
      </w:r>
      <w:r w:rsidR="00856018" w:rsidRPr="004566A7">
        <w:t xml:space="preserve"> (Díaz Agüero et al., 2025). </w:t>
      </w:r>
      <w:r w:rsidR="00354F1C" w:rsidRPr="004566A7">
        <w:t>Similarly, the functionalization of organic materials with inorganic nanoparticles increases porosity, active sites, and the adsorption of persistent compounds, highlighting the importance of a microporous structure and surface of the functional groups in removal processes</w:t>
      </w:r>
      <w:r w:rsidR="00856018" w:rsidRPr="004566A7">
        <w:t xml:space="preserve"> (León-</w:t>
      </w:r>
      <w:proofErr w:type="spellStart"/>
      <w:r w:rsidR="00856018" w:rsidRPr="004566A7">
        <w:t>Bermúdez</w:t>
      </w:r>
      <w:proofErr w:type="spellEnd"/>
      <w:r w:rsidR="00856018" w:rsidRPr="004566A7">
        <w:t xml:space="preserve"> et al., 2025).</w:t>
      </w:r>
      <w:r w:rsidR="0027052B" w:rsidRPr="004566A7">
        <w:t xml:space="preserve"> </w:t>
      </w:r>
      <w:r w:rsidR="00A67B03" w:rsidRPr="004566A7">
        <w:t>Nevertheless</w:t>
      </w:r>
      <w:r w:rsidR="00B44E97" w:rsidRPr="004566A7">
        <w:t>, despite advances in PCB</w:t>
      </w:r>
      <w:r w:rsidR="00A67B03" w:rsidRPr="004566A7">
        <w:t>s</w:t>
      </w:r>
      <w:r w:rsidR="00B44E97" w:rsidRPr="004566A7">
        <w:t xml:space="preserve"> bioremediation, limitations in removal efficiency remain, and there is still a need to evaluate strategies that improve the stability and degradative activity of microorganisms, as well as to compare the performance of individual strains and microbial consortia. For this reason, the present study evaluates an ex</w:t>
      </w:r>
      <w:r w:rsidR="005503F6" w:rsidRPr="004566A7">
        <w:t>-</w:t>
      </w:r>
      <w:r w:rsidR="00B44E97" w:rsidRPr="004566A7">
        <w:t>situ bioremediation strategy through the immobilization of native microorganisms on coconut fiber, comparing the PCB</w:t>
      </w:r>
      <w:r w:rsidR="00A67B03" w:rsidRPr="004566A7">
        <w:t>s</w:t>
      </w:r>
      <w:r w:rsidR="00B44E97" w:rsidRPr="004566A7">
        <w:t xml:space="preserve"> removal capacity of </w:t>
      </w:r>
      <w:r w:rsidR="00B44E97" w:rsidRPr="004566A7">
        <w:rPr>
          <w:i/>
          <w:iCs/>
        </w:rPr>
        <w:t xml:space="preserve">Pseudomonas </w:t>
      </w:r>
      <w:r w:rsidR="00B44E97" w:rsidRPr="00571DC1">
        <w:t>spp</w:t>
      </w:r>
      <w:r w:rsidR="00B44E97" w:rsidRPr="004566A7">
        <w:rPr>
          <w:i/>
          <w:iCs/>
        </w:rPr>
        <w:t>.</w:t>
      </w:r>
      <w:r w:rsidR="00B44E97" w:rsidRPr="004566A7">
        <w:t xml:space="preserve"> against a microbial consortium, with the aim of providing experimental evidence on the potential of microbial immobilization as a sustainable alternative for the remediation of contaminated soils.</w:t>
      </w:r>
    </w:p>
    <w:p w14:paraId="5741900F" w14:textId="3E490E18" w:rsidR="00453E24" w:rsidRPr="004566A7" w:rsidRDefault="001358BB" w:rsidP="00453E24">
      <w:pPr>
        <w:pStyle w:val="CETHeading1"/>
      </w:pPr>
      <w:r w:rsidRPr="004566A7">
        <w:t>Methodolog</w:t>
      </w:r>
      <w:r w:rsidR="0016276B" w:rsidRPr="004566A7">
        <w:t>y</w:t>
      </w:r>
    </w:p>
    <w:p w14:paraId="5C86AF5E" w14:textId="38BABA23" w:rsidR="0016276B" w:rsidRPr="004566A7" w:rsidRDefault="0016276B" w:rsidP="00654018">
      <w:pPr>
        <w:pStyle w:val="CETBodytext"/>
      </w:pPr>
      <w:r w:rsidRPr="004566A7">
        <w:t xml:space="preserve">The research was carried out using an </w:t>
      </w:r>
      <w:r w:rsidR="0052258A" w:rsidRPr="004566A7">
        <w:t>ex-situ</w:t>
      </w:r>
      <w:r w:rsidRPr="004566A7">
        <w:t xml:space="preserve"> bioremediation process, employing soil artificially contaminated with dielectric oil containing PCBs and microorganisms immobilized on coconut fiber </w:t>
      </w:r>
      <w:r w:rsidR="00150ACE" w:rsidRPr="004566A7">
        <w:t>as an organic support. The experiments</w:t>
      </w:r>
      <w:r w:rsidRPr="004566A7">
        <w:t xml:space="preserve"> were conducted under controlled laboratory conditions to ensure the reproducibility of the system. The experimental design included two biological pathways, one based on </w:t>
      </w:r>
      <w:r w:rsidRPr="004566A7">
        <w:rPr>
          <w:i/>
        </w:rPr>
        <w:t xml:space="preserve">Pseudomonas </w:t>
      </w:r>
      <w:r w:rsidRPr="00571DC1">
        <w:rPr>
          <w:iCs/>
        </w:rPr>
        <w:t>spp</w:t>
      </w:r>
      <w:r w:rsidRPr="004566A7">
        <w:rPr>
          <w:i/>
        </w:rPr>
        <w:t>.</w:t>
      </w:r>
      <w:r w:rsidRPr="004566A7">
        <w:t xml:space="preserve"> and the other on a native microbial consortium, both evaluated in triplicate. The initial concentration of the contaminant was defined by applying the principle of mass conservation, establishing an </w:t>
      </w:r>
      <w:r w:rsidR="00983EF9" w:rsidRPr="004566A7">
        <w:t xml:space="preserve">initial </w:t>
      </w:r>
      <w:r w:rsidRPr="004566A7">
        <w:t>oil content of 10.5% (w/w) in the soil and through a mass balance,</w:t>
      </w:r>
      <w:r w:rsidR="00983EF9" w:rsidRPr="004566A7">
        <w:t xml:space="preserve"> the weight increase </w:t>
      </w:r>
      <w:r w:rsidRPr="004566A7">
        <w:t>corresponded only to the added oil. During the process, variables such as soil mass, moisture, temperature, incubation time, and microbial composition were kept under control, while the response variables considered were microbial metabolic activity and the decrease in PCB</w:t>
      </w:r>
      <w:r w:rsidR="00150ACE" w:rsidRPr="004566A7">
        <w:t>s</w:t>
      </w:r>
      <w:r w:rsidRPr="004566A7">
        <w:t xml:space="preserve"> concentration.</w:t>
      </w:r>
    </w:p>
    <w:p w14:paraId="0636B784" w14:textId="45045264" w:rsidR="00453E24" w:rsidRPr="004566A7" w:rsidRDefault="00983EF9" w:rsidP="00453E24">
      <w:pPr>
        <w:pStyle w:val="CETheadingx"/>
      </w:pPr>
      <w:r w:rsidRPr="004566A7">
        <w:t>Soil characterization</w:t>
      </w:r>
    </w:p>
    <w:p w14:paraId="7C2B0064" w14:textId="01C13338" w:rsidR="00453E24" w:rsidRPr="004566A7" w:rsidRDefault="00983EF9" w:rsidP="00453E24">
      <w:pPr>
        <w:pStyle w:val="CETBodytext"/>
      </w:pPr>
      <w:r w:rsidRPr="004566A7">
        <w:t xml:space="preserve">Prior to the </w:t>
      </w:r>
      <w:r w:rsidR="00A87CF9" w:rsidRPr="004566A7">
        <w:t>bio</w:t>
      </w:r>
      <w:r w:rsidR="00EE4B8A" w:rsidRPr="004566A7">
        <w:t>remediation experiments</w:t>
      </w:r>
      <w:r w:rsidR="00A87CF9" w:rsidRPr="004566A7">
        <w:t xml:space="preserve">, </w:t>
      </w:r>
      <w:r w:rsidRPr="004566A7">
        <w:t>the contaminated soil was subject</w:t>
      </w:r>
      <w:r w:rsidR="008577F6" w:rsidRPr="004566A7">
        <w:t>ed</w:t>
      </w:r>
      <w:r w:rsidRPr="004566A7">
        <w:t xml:space="preserve"> to characterization in order to establish its initial conditions and evaluate its influence on microbial activity</w:t>
      </w:r>
      <w:r w:rsidR="008577F6" w:rsidRPr="004566A7">
        <w:t>. Characterization parameters are presented in Figures 1 and 2.</w:t>
      </w:r>
    </w:p>
    <w:p w14:paraId="12ED60CB" w14:textId="77777777" w:rsidR="00544970" w:rsidRPr="004566A7" w:rsidRDefault="00544970" w:rsidP="00453E24">
      <w:pPr>
        <w:pStyle w:val="CETBodytext"/>
      </w:pPr>
    </w:p>
    <w:p w14:paraId="4E4D61EA" w14:textId="77777777" w:rsidR="00544970" w:rsidRPr="004566A7" w:rsidRDefault="00544970" w:rsidP="00453E24">
      <w:pPr>
        <w:pStyle w:val="CETBodytext"/>
      </w:pPr>
      <w:r w:rsidRPr="004566A7">
        <w:rPr>
          <w:noProof/>
        </w:rPr>
        <w:drawing>
          <wp:inline distT="0" distB="0" distL="0" distR="0" wp14:anchorId="607B7E71" wp14:editId="068AD55C">
            <wp:extent cx="5302250" cy="273050"/>
            <wp:effectExtent l="19050" t="0" r="12700" b="1270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329F949" w14:textId="5371F3EE" w:rsidR="00766074" w:rsidRPr="004566A7" w:rsidRDefault="008577F6" w:rsidP="00571DC1">
      <w:pPr>
        <w:pStyle w:val="CETCaption"/>
        <w:rPr>
          <w:rStyle w:val="CETCaptionCarattere"/>
          <w:lang w:val="en-US"/>
        </w:rPr>
      </w:pPr>
      <w:r w:rsidRPr="004566A7">
        <w:rPr>
          <w:rStyle w:val="CETCaptionCarattere"/>
          <w:lang w:val="en-US"/>
        </w:rPr>
        <w:t>Figure</w:t>
      </w:r>
      <w:r w:rsidR="00544970" w:rsidRPr="004566A7">
        <w:rPr>
          <w:rStyle w:val="CETCaptionCarattere"/>
          <w:lang w:val="en-US"/>
        </w:rPr>
        <w:t xml:space="preserve"> 1: </w:t>
      </w:r>
      <w:r w:rsidRPr="004566A7">
        <w:t>Parameters of soil size distribution and physical properties</w:t>
      </w:r>
      <w:r w:rsidR="00766074" w:rsidRPr="004566A7">
        <w:t>.</w:t>
      </w:r>
    </w:p>
    <w:p w14:paraId="129F3F17" w14:textId="429E1AC9" w:rsidR="00544970" w:rsidRPr="004566A7" w:rsidRDefault="00AF1055" w:rsidP="00453E24">
      <w:pPr>
        <w:pStyle w:val="CETBodytext"/>
        <w:rPr>
          <w:rStyle w:val="CETCaptionCarattere"/>
          <w:lang w:val="en-US"/>
        </w:rPr>
      </w:pPr>
      <w:r w:rsidRPr="004566A7">
        <w:rPr>
          <w:noProof/>
        </w:rPr>
        <w:drawing>
          <wp:inline distT="0" distB="0" distL="0" distR="0" wp14:anchorId="3BF05686" wp14:editId="1E6D6A90">
            <wp:extent cx="5334000" cy="260350"/>
            <wp:effectExtent l="19050" t="19050" r="19050" b="4445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48C115BC" w14:textId="57BC8917" w:rsidR="00544970" w:rsidRPr="00571DC1" w:rsidRDefault="008577F6" w:rsidP="00571DC1">
      <w:pPr>
        <w:pStyle w:val="CETCaption"/>
        <w:rPr>
          <w:rStyle w:val="CETCaptionCarattere"/>
          <w:i/>
        </w:rPr>
      </w:pPr>
      <w:r w:rsidRPr="00571DC1">
        <w:rPr>
          <w:rStyle w:val="CETCaptionCarattere"/>
          <w:i/>
        </w:rPr>
        <w:t>Figure</w:t>
      </w:r>
      <w:r w:rsidR="00544970" w:rsidRPr="00571DC1">
        <w:rPr>
          <w:rStyle w:val="CETCaptionCarattere"/>
          <w:i/>
        </w:rPr>
        <w:t xml:space="preserve"> 2: </w:t>
      </w:r>
      <w:r w:rsidRPr="00571DC1">
        <w:rPr>
          <w:rStyle w:val="CETCaptionCarattere"/>
          <w:i/>
        </w:rPr>
        <w:t>Parameters of soil physicochemical characterization.</w:t>
      </w:r>
    </w:p>
    <w:p w14:paraId="18BAFA6F" w14:textId="076DF13B" w:rsidR="00453E24" w:rsidRPr="004566A7" w:rsidRDefault="008577F6" w:rsidP="00453E24">
      <w:pPr>
        <w:pStyle w:val="CETheadingx"/>
      </w:pPr>
      <w:r w:rsidRPr="004566A7">
        <w:t>Microorganism selection and identification</w:t>
      </w:r>
    </w:p>
    <w:p w14:paraId="2D21EAE4" w14:textId="4A85EF35" w:rsidR="006352B1" w:rsidRPr="004566A7" w:rsidRDefault="006352B1" w:rsidP="00654018">
      <w:pPr>
        <w:pStyle w:val="CETBodytext"/>
      </w:pPr>
      <w:r w:rsidRPr="004566A7">
        <w:t xml:space="preserve">The microorganisms used were isolated from contaminated soil, prioritizing those previously adapted to the presence of dielectric oil. Isolation was carried out from soil extracts and serial dilutions using general, selective, and differential media. Strains were selected based on their ability to grow in minimal media using dielectric oil as the sole carbon source, evaluating their tolerance to increasing concentrations of the contaminant. Presumptive identification was performed by Gram staining, growth in selective media, and biochemical tests, which allowed the selection of strains compatible with </w:t>
      </w:r>
      <w:r w:rsidRPr="004566A7">
        <w:rPr>
          <w:i/>
        </w:rPr>
        <w:t xml:space="preserve">Pseudomonas </w:t>
      </w:r>
      <w:r w:rsidRPr="00571DC1">
        <w:rPr>
          <w:iCs/>
        </w:rPr>
        <w:t>spp</w:t>
      </w:r>
      <w:r w:rsidRPr="004566A7">
        <w:rPr>
          <w:i/>
        </w:rPr>
        <w:t>.</w:t>
      </w:r>
      <w:r w:rsidRPr="004566A7">
        <w:t xml:space="preserve"> and the formation of a microbial consortium composed mainly of </w:t>
      </w:r>
      <w:r w:rsidRPr="004566A7">
        <w:rPr>
          <w:i/>
        </w:rPr>
        <w:t xml:space="preserve">Pseudomonas </w:t>
      </w:r>
      <w:r w:rsidRPr="00571DC1">
        <w:rPr>
          <w:iCs/>
        </w:rPr>
        <w:t>spp</w:t>
      </w:r>
      <w:r w:rsidRPr="004566A7">
        <w:rPr>
          <w:i/>
        </w:rPr>
        <w:t>.</w:t>
      </w:r>
      <w:r w:rsidRPr="004566A7">
        <w:t xml:space="preserve">, </w:t>
      </w:r>
      <w:r w:rsidRPr="004566A7">
        <w:rPr>
          <w:i/>
        </w:rPr>
        <w:t xml:space="preserve">Bacillus </w:t>
      </w:r>
      <w:r w:rsidRPr="00571DC1">
        <w:rPr>
          <w:iCs/>
        </w:rPr>
        <w:t>spp</w:t>
      </w:r>
      <w:r w:rsidRPr="004566A7">
        <w:rPr>
          <w:i/>
        </w:rPr>
        <w:t>.</w:t>
      </w:r>
      <w:r w:rsidRPr="004566A7">
        <w:t>, and enterobacteria.</w:t>
      </w:r>
    </w:p>
    <w:p w14:paraId="04963A06" w14:textId="7AEE9B1A" w:rsidR="00600535" w:rsidRPr="004566A7" w:rsidRDefault="006352B1" w:rsidP="00FA5F5F">
      <w:pPr>
        <w:pStyle w:val="CETheadingx"/>
      </w:pPr>
      <w:r w:rsidRPr="004566A7">
        <w:t>Characterization of coconut fiber as an immobilization support</w:t>
      </w:r>
    </w:p>
    <w:p w14:paraId="123CB7DF" w14:textId="41641659" w:rsidR="00600535" w:rsidRPr="004566A7" w:rsidRDefault="006352B1" w:rsidP="00600535">
      <w:pPr>
        <w:pStyle w:val="CETBodytext"/>
      </w:pPr>
      <w:r w:rsidRPr="004566A7">
        <w:t xml:space="preserve">Coconut fiber was used as an organic support for microbial immobilization due to its lignocellulosic nature and high porosity. Its characterization included the evaluation of </w:t>
      </w:r>
      <w:r w:rsidR="0078131A" w:rsidRPr="004566A7">
        <w:t>functional</w:t>
      </w:r>
      <w:r w:rsidRPr="004566A7">
        <w:t xml:space="preserve"> properties such as water absorption and </w:t>
      </w:r>
      <w:r w:rsidRPr="004566A7">
        <w:lastRenderedPageBreak/>
        <w:t>retention capacity, oil absorption capacity</w:t>
      </w:r>
      <w:r w:rsidR="0078131A" w:rsidRPr="004566A7">
        <w:t>,</w:t>
      </w:r>
      <w:r w:rsidRPr="004566A7">
        <w:t xml:space="preserve"> and ion adsorption ca</w:t>
      </w:r>
      <w:r w:rsidR="0078131A" w:rsidRPr="004566A7">
        <w:t>pacity, which are parameters related to the availability of active sites and the interactions between the support and microorganisms. Additionally, basic chemical characterization was performed using proximate analysis, determining moisture, ash, protein, ether extract, and crude fiber content, in order to assess the material structural stability and its compatibility with microbial activity</w:t>
      </w:r>
      <w:r w:rsidR="00A87CF9" w:rsidRPr="004566A7">
        <w:t xml:space="preserve"> </w:t>
      </w:r>
      <w:r w:rsidR="000C5DFC" w:rsidRPr="004566A7">
        <w:t>(</w:t>
      </w:r>
      <w:proofErr w:type="spellStart"/>
      <w:r w:rsidR="000C5DFC" w:rsidRPr="004566A7">
        <w:t>AOAC</w:t>
      </w:r>
      <w:proofErr w:type="spellEnd"/>
      <w:r w:rsidR="000C5DFC" w:rsidRPr="004566A7">
        <w:t>, 1990)</w:t>
      </w:r>
      <w:r w:rsidR="00654018" w:rsidRPr="004566A7">
        <w:t>.</w:t>
      </w:r>
      <w:r w:rsidR="00600535" w:rsidRPr="004566A7">
        <w:t xml:space="preserve"> </w:t>
      </w:r>
    </w:p>
    <w:p w14:paraId="1F96CA21" w14:textId="369B3BA2" w:rsidR="00600535" w:rsidRPr="004566A7" w:rsidRDefault="00EE4B8A" w:rsidP="006E0AD4">
      <w:pPr>
        <w:pStyle w:val="CETheadingx"/>
        <w:ind w:left="708" w:hanging="708"/>
      </w:pPr>
      <w:r w:rsidRPr="004566A7">
        <w:t>Bioremediation experiments and analyses</w:t>
      </w:r>
    </w:p>
    <w:p w14:paraId="7A6019D6" w14:textId="1049C1C3" w:rsidR="00673910" w:rsidRPr="004566A7" w:rsidRDefault="00176629" w:rsidP="00112633">
      <w:pPr>
        <w:pStyle w:val="CETBodytext"/>
      </w:pPr>
      <w:r w:rsidRPr="004566A7">
        <w:t xml:space="preserve">Bioremediation experiments </w:t>
      </w:r>
      <w:r w:rsidR="00EE4B8A" w:rsidRPr="004566A7">
        <w:t>were carried out using contaminated soil, coconut fiber as a support, and microbial suspensions standardized a</w:t>
      </w:r>
      <w:r w:rsidRPr="004566A7">
        <w:t>ccording to the McFarland scale. I</w:t>
      </w:r>
      <w:r w:rsidR="00EE4B8A" w:rsidRPr="004566A7">
        <w:t xml:space="preserve">mmobilization </w:t>
      </w:r>
      <w:r w:rsidRPr="004566A7">
        <w:t xml:space="preserve">was implemented </w:t>
      </w:r>
      <w:r w:rsidR="00EE4B8A" w:rsidRPr="004566A7">
        <w:t xml:space="preserve">by impregnating the support with the inoculum and mixing it homogeneously with the soil to promote adsorption and microbe-contaminant contact. Metabolic activity was evaluated by respirometry, </w:t>
      </w:r>
      <w:r w:rsidR="00EE4B8A" w:rsidRPr="00891B49">
        <w:rPr>
          <w:rFonts w:cs="Arial"/>
        </w:rPr>
        <w:t>quantifying the CO</w:t>
      </w:r>
      <w:r w:rsidR="00891B49">
        <w:rPr>
          <w:rFonts w:cs="Arial"/>
          <w:vertAlign w:val="subscript"/>
        </w:rPr>
        <w:t xml:space="preserve">2 </w:t>
      </w:r>
      <w:r w:rsidR="00891B49">
        <w:rPr>
          <w:rFonts w:cs="Arial"/>
        </w:rPr>
        <w:t>ge</w:t>
      </w:r>
      <w:r w:rsidR="00EE4B8A" w:rsidRPr="00891B49">
        <w:rPr>
          <w:rFonts w:cs="Arial"/>
        </w:rPr>
        <w:t>nerated</w:t>
      </w:r>
      <w:r w:rsidR="00EE4B8A" w:rsidRPr="004566A7">
        <w:t xml:space="preserve"> and de</w:t>
      </w:r>
      <w:r w:rsidR="00150ACE" w:rsidRPr="004566A7">
        <w:t xml:space="preserve">termined by acid-base titration. On the other hand, </w:t>
      </w:r>
      <w:r w:rsidR="00EE4B8A" w:rsidRPr="004566A7">
        <w:t xml:space="preserve">the enzymatic activities of catalase, dehydrogenase, and peroxidase were measured as indicators of metabolic status using volumetric and spectrophotometric methods. </w:t>
      </w:r>
      <w:r w:rsidR="00112633" w:rsidRPr="004566A7">
        <w:t>The PCB</w:t>
      </w:r>
      <w:r w:rsidR="00150ACE" w:rsidRPr="004566A7">
        <w:t>s</w:t>
      </w:r>
      <w:r w:rsidR="00112633" w:rsidRPr="004566A7">
        <w:t xml:space="preserve"> concentration was determined by gas chromatography with an electron capture detector (GC-</w:t>
      </w:r>
      <w:proofErr w:type="spellStart"/>
      <w:r w:rsidR="00112633" w:rsidRPr="004566A7">
        <w:t>ECD</w:t>
      </w:r>
      <w:proofErr w:type="spellEnd"/>
      <w:r w:rsidR="00112633" w:rsidRPr="004566A7">
        <w:t>), estimating the final concentration (</w:t>
      </w:r>
      <w:proofErr w:type="spellStart"/>
      <w:r w:rsidR="00112633" w:rsidRPr="004566A7">
        <w:t>Bernabé</w:t>
      </w:r>
      <w:proofErr w:type="spellEnd"/>
      <w:r w:rsidR="00112633" w:rsidRPr="004566A7">
        <w:t xml:space="preserve"> et al., 2025) and the initial concentration based on the known concentration of the contaminating oil and the mass balance applied. For the statistical analysis of the respirometry and enzyme activity data, ANOVA or nonparametric tests were applied as appropriate, supplemented with box plots with notches and principal component analysis (</w:t>
      </w:r>
      <w:proofErr w:type="spellStart"/>
      <w:r w:rsidR="00112633" w:rsidRPr="004566A7">
        <w:t>PCA</w:t>
      </w:r>
      <w:proofErr w:type="spellEnd"/>
      <w:r w:rsidR="00112633" w:rsidRPr="004566A7">
        <w:t>), in order to identify significant differences between replicates and treatments and determine the most favorable evolution, all processed using Python.</w:t>
      </w:r>
    </w:p>
    <w:p w14:paraId="64779212" w14:textId="45E41294" w:rsidR="00673910" w:rsidRPr="004566A7" w:rsidRDefault="00673910" w:rsidP="00673910">
      <w:pPr>
        <w:pStyle w:val="CETHeading1"/>
      </w:pPr>
      <w:r w:rsidRPr="004566A7">
        <w:t>Results and discussion</w:t>
      </w:r>
    </w:p>
    <w:p w14:paraId="588C146B" w14:textId="1B5ACC6B" w:rsidR="00673910" w:rsidRPr="004566A7" w:rsidRDefault="00673910" w:rsidP="00112633">
      <w:pPr>
        <w:pStyle w:val="CETBodytext"/>
      </w:pPr>
      <w:r w:rsidRPr="004566A7">
        <w:t xml:space="preserve">This section presents and discusses the obtained results during the research phases. </w:t>
      </w:r>
    </w:p>
    <w:p w14:paraId="394575CC" w14:textId="30EA0B19" w:rsidR="0025489C" w:rsidRPr="004566A7" w:rsidRDefault="00673910" w:rsidP="0025489C">
      <w:pPr>
        <w:pStyle w:val="CETheadingx"/>
      </w:pPr>
      <w:r w:rsidRPr="004566A7">
        <w:t>Soil physicochemical characterization</w:t>
      </w:r>
      <w:r w:rsidR="00636FF4" w:rsidRPr="004566A7">
        <w:t xml:space="preserve"> </w:t>
      </w:r>
    </w:p>
    <w:p w14:paraId="35C896B9" w14:textId="020C0341" w:rsidR="0025489C" w:rsidRPr="004566A7" w:rsidRDefault="00042C4F" w:rsidP="00636FF4">
      <w:pPr>
        <w:pStyle w:val="CETBodytext"/>
      </w:pPr>
      <w:r w:rsidRPr="004566A7">
        <w:t>P</w:t>
      </w:r>
      <w:r w:rsidR="00673910" w:rsidRPr="004566A7">
        <w:t>hysicochemical analysis of the soil carried out before, during, and after contamination,</w:t>
      </w:r>
      <w:r w:rsidR="00150ACE" w:rsidRPr="004566A7">
        <w:t xml:space="preserve"> summarized in Table 1, evidenced</w:t>
      </w:r>
      <w:r w:rsidR="00673910" w:rsidRPr="004566A7">
        <w:t xml:space="preserve"> changes attributable to both the incorporation of dielectric oil and the bioremediation process, suggesting a partial recovery of its properties after tre</w:t>
      </w:r>
      <w:r w:rsidRPr="004566A7">
        <w:t>atment. P</w:t>
      </w:r>
      <w:r w:rsidR="00673910" w:rsidRPr="004566A7">
        <w:t xml:space="preserve">article-size analysis indicated a predominantly sandy texture, with a predominance of fine to very fine sand and </w:t>
      </w:r>
      <w:r w:rsidR="00A0784C" w:rsidRPr="004566A7">
        <w:t xml:space="preserve">a gravel fraction of around 28%. This confirmed </w:t>
      </w:r>
      <w:r w:rsidR="00673910" w:rsidRPr="004566A7">
        <w:t xml:space="preserve">a </w:t>
      </w:r>
      <w:proofErr w:type="spellStart"/>
      <w:r w:rsidR="00673910" w:rsidRPr="004566A7">
        <w:t>macroporous</w:t>
      </w:r>
      <w:proofErr w:type="spellEnd"/>
      <w:r w:rsidR="00673910" w:rsidRPr="004566A7">
        <w:t xml:space="preserve"> structure which, together with low bulk density values </w:t>
      </w:r>
      <w:r w:rsidR="00351E8B" w:rsidRPr="004566A7">
        <w:t>and a high void fraction, promote</w:t>
      </w:r>
      <w:r w:rsidR="00673910" w:rsidRPr="004566A7">
        <w:t xml:space="preserve"> the permeability and mobility of hydrophobic compounds, although it increases susceptibility to moisture loss </w:t>
      </w:r>
      <w:r w:rsidR="00553FA8" w:rsidRPr="004566A7">
        <w:t xml:space="preserve">(Weil y Brady, 2016). </w:t>
      </w:r>
      <w:r w:rsidR="00555988" w:rsidRPr="004566A7">
        <w:t xml:space="preserve">From a chemical point of view, the soil initially had an acidic pH, which decreased after contamination, probably due to the coating of active sites with hydrophobic compounds that limit ion exchange. Subsequently, the pH increased after bioremediation, associated with biological activity and the mineralization of organic compounds, indicating a progressive improvement in the system </w:t>
      </w:r>
      <w:r w:rsidR="00553FA8" w:rsidRPr="004566A7">
        <w:t xml:space="preserve">(Ghosal et al., 2016). </w:t>
      </w:r>
      <w:r w:rsidRPr="004566A7">
        <w:t>M</w:t>
      </w:r>
      <w:r w:rsidR="00555988" w:rsidRPr="004566A7">
        <w:t>oisture content decreased after contamination due to the hydrophobic nature of the oil, but increased after treatment, suggesting a recovery of water rete</w:t>
      </w:r>
      <w:r w:rsidRPr="004566A7">
        <w:t>ntion capacity. Similarly, o</w:t>
      </w:r>
      <w:r w:rsidR="00555988" w:rsidRPr="004566A7">
        <w:t xml:space="preserve">rganic matter content showed an apparent increase during contamination due to analytical interference from the oil, followed by a </w:t>
      </w:r>
      <w:r w:rsidR="00351E8B" w:rsidRPr="004566A7">
        <w:t>moderate decrease, indicating a</w:t>
      </w:r>
      <w:r w:rsidR="00555988" w:rsidRPr="004566A7">
        <w:t xml:space="preserve"> partial removal of the contaminant. </w:t>
      </w:r>
      <w:r w:rsidR="001426C4" w:rsidRPr="004566A7">
        <w:t>Finally</w:t>
      </w:r>
      <w:r w:rsidR="00553FA8" w:rsidRPr="004566A7">
        <w:t xml:space="preserve">, </w:t>
      </w:r>
      <w:r w:rsidR="001426C4" w:rsidRPr="004566A7">
        <w:t>electrical conductivity remained low at all stages, classifying the soil as non-saline</w:t>
      </w:r>
      <w:r w:rsidR="00553FA8" w:rsidRPr="004566A7">
        <w:t>,</w:t>
      </w:r>
      <w:r w:rsidR="001426C4" w:rsidRPr="004566A7">
        <w:t xml:space="preserve"> while phosphorus concentration was in moderate range, compatible with microbial development and without significant nutritional limitations for bioremediation.</w:t>
      </w:r>
      <w:r w:rsidR="00636FF4" w:rsidRPr="004566A7">
        <w:t xml:space="preserve"> </w:t>
      </w:r>
    </w:p>
    <w:p w14:paraId="0CC30EC5" w14:textId="70552249" w:rsidR="0025489C" w:rsidRPr="004566A7" w:rsidRDefault="0025489C" w:rsidP="00891B49">
      <w:pPr>
        <w:pStyle w:val="CETTabletitle"/>
        <w:rPr>
          <w:lang w:val="en-US"/>
        </w:rPr>
      </w:pPr>
      <w:r w:rsidRPr="004566A7">
        <w:rPr>
          <w:lang w:val="en-US"/>
        </w:rPr>
        <w:t>Tabl</w:t>
      </w:r>
      <w:r w:rsidR="001426C4" w:rsidRPr="004566A7">
        <w:rPr>
          <w:lang w:val="en-US"/>
        </w:rPr>
        <w:t>e</w:t>
      </w:r>
      <w:r w:rsidRPr="004566A7">
        <w:rPr>
          <w:lang w:val="en-US"/>
        </w:rPr>
        <w:t xml:space="preserve"> 1: </w:t>
      </w:r>
      <w:r w:rsidR="001426C4" w:rsidRPr="004566A7">
        <w:rPr>
          <w:lang w:val="en-US"/>
        </w:rPr>
        <w:t>Soil physicochemical properties before, during and after contamination with dielectric oil.</w:t>
      </w:r>
    </w:p>
    <w:tbl>
      <w:tblPr>
        <w:tblW w:w="8744"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01"/>
        <w:gridCol w:w="1418"/>
        <w:gridCol w:w="1559"/>
        <w:gridCol w:w="2033"/>
        <w:gridCol w:w="2033"/>
      </w:tblGrid>
      <w:tr w:rsidR="000350A1" w:rsidRPr="004566A7" w14:paraId="0C1CA135" w14:textId="77777777" w:rsidTr="00BD0A3F">
        <w:trPr>
          <w:trHeight w:val="218"/>
        </w:trPr>
        <w:tc>
          <w:tcPr>
            <w:tcW w:w="1701" w:type="dxa"/>
            <w:tcBorders>
              <w:top w:val="single" w:sz="12" w:space="0" w:color="008000"/>
              <w:bottom w:val="single" w:sz="6" w:space="0" w:color="008000"/>
            </w:tcBorders>
            <w:shd w:val="clear" w:color="auto" w:fill="FFFFFF"/>
          </w:tcPr>
          <w:p w14:paraId="321A60A7" w14:textId="233EA049" w:rsidR="00636FF4" w:rsidRPr="004566A7" w:rsidRDefault="00636FF4" w:rsidP="00636FF4">
            <w:pPr>
              <w:pStyle w:val="CETBodytext"/>
              <w:jc w:val="center"/>
            </w:pPr>
            <w:r w:rsidRPr="004566A7">
              <w:t>Pa</w:t>
            </w:r>
            <w:r w:rsidR="001426C4" w:rsidRPr="004566A7">
              <w:t>rameter</w:t>
            </w:r>
          </w:p>
        </w:tc>
        <w:tc>
          <w:tcPr>
            <w:tcW w:w="1418" w:type="dxa"/>
            <w:tcBorders>
              <w:top w:val="single" w:sz="12" w:space="0" w:color="008000"/>
              <w:bottom w:val="single" w:sz="6" w:space="0" w:color="008000"/>
            </w:tcBorders>
            <w:shd w:val="clear" w:color="auto" w:fill="FFFFFF"/>
          </w:tcPr>
          <w:p w14:paraId="38FAAC47" w14:textId="20B45B9D" w:rsidR="00636FF4" w:rsidRPr="004566A7" w:rsidRDefault="001C1621" w:rsidP="00636FF4">
            <w:pPr>
              <w:pStyle w:val="CETBodytext"/>
              <w:jc w:val="center"/>
            </w:pPr>
            <w:r w:rsidRPr="004566A7">
              <w:t>B</w:t>
            </w:r>
            <w:r w:rsidR="001426C4" w:rsidRPr="004566A7">
              <w:t>efore contamination</w:t>
            </w:r>
          </w:p>
        </w:tc>
        <w:tc>
          <w:tcPr>
            <w:tcW w:w="1559" w:type="dxa"/>
            <w:tcBorders>
              <w:top w:val="single" w:sz="12" w:space="0" w:color="008000"/>
              <w:bottom w:val="single" w:sz="6" w:space="0" w:color="008000"/>
            </w:tcBorders>
            <w:shd w:val="clear" w:color="auto" w:fill="FFFFFF"/>
          </w:tcPr>
          <w:p w14:paraId="03AFEFD2" w14:textId="75C925CE" w:rsidR="00636FF4" w:rsidRPr="004566A7" w:rsidRDefault="001426C4" w:rsidP="00636FF4">
            <w:pPr>
              <w:pStyle w:val="CETBodytext"/>
              <w:jc w:val="center"/>
            </w:pPr>
            <w:r w:rsidRPr="004566A7">
              <w:t>Contaminated soil</w:t>
            </w:r>
          </w:p>
        </w:tc>
        <w:tc>
          <w:tcPr>
            <w:tcW w:w="2033" w:type="dxa"/>
            <w:tcBorders>
              <w:top w:val="single" w:sz="12" w:space="0" w:color="008000"/>
              <w:bottom w:val="single" w:sz="6" w:space="0" w:color="008000"/>
            </w:tcBorders>
            <w:shd w:val="clear" w:color="auto" w:fill="FFFFFF"/>
          </w:tcPr>
          <w:p w14:paraId="0EE1798D" w14:textId="25D575DE" w:rsidR="00636FF4" w:rsidRPr="004566A7" w:rsidRDefault="001426C4" w:rsidP="00636FF4">
            <w:pPr>
              <w:pStyle w:val="CETBodytext"/>
              <w:ind w:right="-1"/>
              <w:jc w:val="center"/>
            </w:pPr>
            <w:r w:rsidRPr="004566A7">
              <w:t xml:space="preserve">Post-bioremediation </w:t>
            </w:r>
            <w:r w:rsidR="001C1621" w:rsidRPr="004566A7">
              <w:t>with</w:t>
            </w:r>
            <w:r w:rsidR="00636FF4" w:rsidRPr="004566A7">
              <w:t xml:space="preserve"> </w:t>
            </w:r>
            <w:r w:rsidR="00636FF4" w:rsidRPr="004566A7">
              <w:rPr>
                <w:i/>
              </w:rPr>
              <w:t xml:space="preserve">Pseudomonas </w:t>
            </w:r>
            <w:r w:rsidR="00636FF4" w:rsidRPr="00891B49">
              <w:rPr>
                <w:iCs/>
              </w:rPr>
              <w:t>spp</w:t>
            </w:r>
            <w:r w:rsidR="00636FF4" w:rsidRPr="004566A7">
              <w:rPr>
                <w:i/>
              </w:rPr>
              <w:t>.</w:t>
            </w:r>
          </w:p>
        </w:tc>
        <w:tc>
          <w:tcPr>
            <w:tcW w:w="2033" w:type="dxa"/>
            <w:tcBorders>
              <w:top w:val="single" w:sz="12" w:space="0" w:color="008000"/>
              <w:bottom w:val="single" w:sz="6" w:space="0" w:color="008000"/>
            </w:tcBorders>
            <w:shd w:val="clear" w:color="auto" w:fill="FFFFFF"/>
          </w:tcPr>
          <w:p w14:paraId="0F8FFE78" w14:textId="4CFB27CA" w:rsidR="00636FF4" w:rsidRPr="004566A7" w:rsidRDefault="001426C4" w:rsidP="00636FF4">
            <w:pPr>
              <w:pStyle w:val="CETBodytext"/>
              <w:ind w:right="-1"/>
              <w:jc w:val="center"/>
            </w:pPr>
            <w:r w:rsidRPr="004566A7">
              <w:t>Post-bioremediatio</w:t>
            </w:r>
            <w:r w:rsidR="00E41C64" w:rsidRPr="004566A7">
              <w:t>n with consortium</w:t>
            </w:r>
          </w:p>
        </w:tc>
      </w:tr>
      <w:tr w:rsidR="000350A1" w:rsidRPr="004566A7" w14:paraId="233FC680" w14:textId="77777777" w:rsidTr="00975195">
        <w:trPr>
          <w:trHeight w:val="218"/>
        </w:trPr>
        <w:tc>
          <w:tcPr>
            <w:tcW w:w="1701" w:type="dxa"/>
            <w:shd w:val="clear" w:color="auto" w:fill="FFFFFF"/>
          </w:tcPr>
          <w:p w14:paraId="4161149E" w14:textId="0B065A2F" w:rsidR="00975195" w:rsidRPr="004566A7" w:rsidRDefault="00975195" w:rsidP="00763504">
            <w:pPr>
              <w:pStyle w:val="CETBodytext"/>
              <w:jc w:val="left"/>
            </w:pPr>
            <w:r w:rsidRPr="004566A7">
              <w:t>Temperatur</w:t>
            </w:r>
            <w:r w:rsidR="00E41C64" w:rsidRPr="004566A7">
              <w:t>e</w:t>
            </w:r>
            <w:r w:rsidRPr="004566A7">
              <w:t xml:space="preserve"> (°C)</w:t>
            </w:r>
          </w:p>
        </w:tc>
        <w:tc>
          <w:tcPr>
            <w:tcW w:w="1418" w:type="dxa"/>
            <w:shd w:val="clear" w:color="auto" w:fill="FFFFFF"/>
          </w:tcPr>
          <w:p w14:paraId="4460CB3D" w14:textId="0FBAD6D0" w:rsidR="00975195" w:rsidRPr="004566A7" w:rsidRDefault="00975195" w:rsidP="00975195">
            <w:pPr>
              <w:pStyle w:val="CETBodytext"/>
              <w:jc w:val="center"/>
            </w:pPr>
            <w:r w:rsidRPr="004566A7">
              <w:t>19</w:t>
            </w:r>
          </w:p>
        </w:tc>
        <w:tc>
          <w:tcPr>
            <w:tcW w:w="1559" w:type="dxa"/>
            <w:shd w:val="clear" w:color="auto" w:fill="FFFFFF"/>
          </w:tcPr>
          <w:p w14:paraId="5061B4D5" w14:textId="0DCFB4F2" w:rsidR="00975195" w:rsidRPr="004566A7" w:rsidRDefault="00975195" w:rsidP="00975195">
            <w:pPr>
              <w:pStyle w:val="CETBodytext"/>
              <w:jc w:val="center"/>
            </w:pPr>
            <w:r w:rsidRPr="004566A7">
              <w:t>19</w:t>
            </w:r>
          </w:p>
        </w:tc>
        <w:tc>
          <w:tcPr>
            <w:tcW w:w="2033" w:type="dxa"/>
            <w:shd w:val="clear" w:color="auto" w:fill="FFFFFF"/>
          </w:tcPr>
          <w:p w14:paraId="25B1F657" w14:textId="6E90D901" w:rsidR="00975195" w:rsidRPr="004566A7" w:rsidRDefault="00975195" w:rsidP="00975195">
            <w:pPr>
              <w:pStyle w:val="CETBodytext"/>
              <w:ind w:right="-1"/>
              <w:jc w:val="center"/>
            </w:pPr>
            <w:r w:rsidRPr="004566A7">
              <w:t xml:space="preserve">19 </w:t>
            </w:r>
          </w:p>
        </w:tc>
        <w:tc>
          <w:tcPr>
            <w:tcW w:w="2033" w:type="dxa"/>
            <w:shd w:val="clear" w:color="auto" w:fill="FFFFFF"/>
          </w:tcPr>
          <w:p w14:paraId="4F6328C5" w14:textId="388A4519" w:rsidR="00975195" w:rsidRPr="004566A7" w:rsidRDefault="00975195" w:rsidP="00975195">
            <w:pPr>
              <w:pStyle w:val="CETBodytext"/>
              <w:ind w:right="-1"/>
              <w:jc w:val="center"/>
            </w:pPr>
            <w:r w:rsidRPr="004566A7">
              <w:t xml:space="preserve">19 </w:t>
            </w:r>
          </w:p>
        </w:tc>
      </w:tr>
      <w:tr w:rsidR="000350A1" w:rsidRPr="004566A7" w14:paraId="10798DDC" w14:textId="77777777" w:rsidTr="002C275B">
        <w:trPr>
          <w:trHeight w:val="207"/>
        </w:trPr>
        <w:tc>
          <w:tcPr>
            <w:tcW w:w="1701" w:type="dxa"/>
            <w:shd w:val="clear" w:color="auto" w:fill="FFFFFF"/>
          </w:tcPr>
          <w:p w14:paraId="60AEE87A" w14:textId="3AFB2ED9" w:rsidR="00975195" w:rsidRPr="004566A7" w:rsidRDefault="00975195" w:rsidP="00763504">
            <w:pPr>
              <w:pStyle w:val="CETBodytext"/>
              <w:ind w:right="-1"/>
              <w:jc w:val="left"/>
              <w:rPr>
                <w:rFonts w:cs="Arial"/>
                <w:szCs w:val="18"/>
              </w:rPr>
            </w:pPr>
            <w:r w:rsidRPr="004566A7">
              <w:t>pH</w:t>
            </w:r>
          </w:p>
        </w:tc>
        <w:tc>
          <w:tcPr>
            <w:tcW w:w="1418" w:type="dxa"/>
            <w:shd w:val="clear" w:color="auto" w:fill="FFFFFF"/>
          </w:tcPr>
          <w:p w14:paraId="31197134" w14:textId="5ABB61ED" w:rsidR="00975195" w:rsidRPr="004566A7" w:rsidRDefault="00975195" w:rsidP="00975195">
            <w:pPr>
              <w:pStyle w:val="CETBodytext"/>
              <w:ind w:right="-1"/>
              <w:jc w:val="center"/>
              <w:rPr>
                <w:rFonts w:cs="Arial"/>
                <w:szCs w:val="18"/>
              </w:rPr>
            </w:pPr>
            <w:r w:rsidRPr="004566A7">
              <w:t>5.05</w:t>
            </w:r>
          </w:p>
        </w:tc>
        <w:tc>
          <w:tcPr>
            <w:tcW w:w="1559" w:type="dxa"/>
            <w:shd w:val="clear" w:color="auto" w:fill="FFFFFF"/>
          </w:tcPr>
          <w:p w14:paraId="3818AC69" w14:textId="30DA34A1" w:rsidR="00975195" w:rsidRPr="004566A7" w:rsidRDefault="00975195" w:rsidP="00975195">
            <w:pPr>
              <w:pStyle w:val="CETBodytext"/>
              <w:ind w:right="-1"/>
              <w:jc w:val="center"/>
              <w:rPr>
                <w:rFonts w:cs="Arial"/>
                <w:szCs w:val="18"/>
              </w:rPr>
            </w:pPr>
            <w:r w:rsidRPr="004566A7">
              <w:t>4.</w:t>
            </w:r>
            <w:r w:rsidR="009C6DFA" w:rsidRPr="004566A7">
              <w:t>83</w:t>
            </w:r>
          </w:p>
        </w:tc>
        <w:tc>
          <w:tcPr>
            <w:tcW w:w="2033" w:type="dxa"/>
            <w:shd w:val="clear" w:color="auto" w:fill="FFFFFF"/>
          </w:tcPr>
          <w:p w14:paraId="30A8E9BF" w14:textId="45E1F592" w:rsidR="00975195" w:rsidRPr="004566A7" w:rsidRDefault="00975195" w:rsidP="00975195">
            <w:pPr>
              <w:pStyle w:val="CETBodytext"/>
              <w:ind w:right="-1"/>
              <w:jc w:val="center"/>
              <w:rPr>
                <w:rFonts w:cs="Arial"/>
                <w:szCs w:val="18"/>
              </w:rPr>
            </w:pPr>
            <w:r w:rsidRPr="004566A7">
              <w:t xml:space="preserve">6.93 </w:t>
            </w:r>
          </w:p>
        </w:tc>
        <w:tc>
          <w:tcPr>
            <w:tcW w:w="2033" w:type="dxa"/>
            <w:shd w:val="clear" w:color="auto" w:fill="FFFFFF"/>
          </w:tcPr>
          <w:p w14:paraId="259B0DCA" w14:textId="640CC8A0" w:rsidR="00975195" w:rsidRPr="004566A7" w:rsidRDefault="00975195" w:rsidP="00975195">
            <w:pPr>
              <w:pStyle w:val="CETBodytext"/>
              <w:ind w:right="-1"/>
              <w:jc w:val="center"/>
              <w:rPr>
                <w:rFonts w:cs="Arial"/>
                <w:szCs w:val="18"/>
              </w:rPr>
            </w:pPr>
            <w:r w:rsidRPr="004566A7">
              <w:t xml:space="preserve">7.46 </w:t>
            </w:r>
          </w:p>
        </w:tc>
      </w:tr>
      <w:tr w:rsidR="000350A1" w:rsidRPr="004566A7" w14:paraId="7FC434A0" w14:textId="77777777" w:rsidTr="00975195">
        <w:trPr>
          <w:trHeight w:val="207"/>
        </w:trPr>
        <w:tc>
          <w:tcPr>
            <w:tcW w:w="1701" w:type="dxa"/>
            <w:shd w:val="clear" w:color="auto" w:fill="FFFFFF"/>
          </w:tcPr>
          <w:p w14:paraId="4CB770DB" w14:textId="1FE8EF07" w:rsidR="00975195" w:rsidRPr="004566A7" w:rsidRDefault="00E41C64" w:rsidP="00763504">
            <w:pPr>
              <w:pStyle w:val="CETBodytext"/>
              <w:ind w:right="-1"/>
              <w:jc w:val="left"/>
              <w:rPr>
                <w:rFonts w:cs="Arial"/>
                <w:szCs w:val="18"/>
              </w:rPr>
            </w:pPr>
            <w:r w:rsidRPr="004566A7">
              <w:t>Electrical conductivity</w:t>
            </w:r>
            <w:r w:rsidR="00975195" w:rsidRPr="004566A7">
              <w:t xml:space="preserve"> (</w:t>
            </w:r>
            <w:proofErr w:type="spellStart"/>
            <w:r w:rsidR="00975195" w:rsidRPr="004566A7">
              <w:t>μS</w:t>
            </w:r>
            <w:proofErr w:type="spellEnd"/>
            <w:r w:rsidR="00975195" w:rsidRPr="004566A7">
              <w:t>/cm)</w:t>
            </w:r>
          </w:p>
        </w:tc>
        <w:tc>
          <w:tcPr>
            <w:tcW w:w="1418" w:type="dxa"/>
            <w:shd w:val="clear" w:color="auto" w:fill="FFFFFF"/>
            <w:vAlign w:val="center"/>
          </w:tcPr>
          <w:p w14:paraId="34714F8F" w14:textId="2D376F4F" w:rsidR="00975195" w:rsidRPr="004566A7" w:rsidRDefault="00975195" w:rsidP="00975195">
            <w:pPr>
              <w:pStyle w:val="CETBodytext"/>
              <w:ind w:right="-1"/>
              <w:jc w:val="center"/>
              <w:rPr>
                <w:rFonts w:cs="Arial"/>
                <w:szCs w:val="18"/>
              </w:rPr>
            </w:pPr>
            <w:r w:rsidRPr="004566A7">
              <w:t>52</w:t>
            </w:r>
          </w:p>
        </w:tc>
        <w:tc>
          <w:tcPr>
            <w:tcW w:w="1559" w:type="dxa"/>
            <w:shd w:val="clear" w:color="auto" w:fill="FFFFFF"/>
            <w:vAlign w:val="center"/>
          </w:tcPr>
          <w:p w14:paraId="7A05FE28" w14:textId="74595138" w:rsidR="00975195" w:rsidRPr="004566A7" w:rsidRDefault="00975195" w:rsidP="00975195">
            <w:pPr>
              <w:pStyle w:val="CETBodytext"/>
              <w:ind w:right="-1"/>
              <w:jc w:val="center"/>
              <w:rPr>
                <w:rFonts w:cs="Arial"/>
                <w:szCs w:val="18"/>
              </w:rPr>
            </w:pPr>
            <w:r w:rsidRPr="004566A7">
              <w:t>45</w:t>
            </w:r>
          </w:p>
        </w:tc>
        <w:tc>
          <w:tcPr>
            <w:tcW w:w="2033" w:type="dxa"/>
            <w:shd w:val="clear" w:color="auto" w:fill="FFFFFF"/>
            <w:vAlign w:val="center"/>
          </w:tcPr>
          <w:p w14:paraId="6938C8D5" w14:textId="0896C5C6" w:rsidR="00975195" w:rsidRPr="004566A7" w:rsidRDefault="00975195" w:rsidP="00975195">
            <w:pPr>
              <w:pStyle w:val="CETBodytext"/>
              <w:ind w:right="-1"/>
              <w:jc w:val="center"/>
              <w:rPr>
                <w:rFonts w:cs="Arial"/>
                <w:szCs w:val="18"/>
              </w:rPr>
            </w:pPr>
            <w:r w:rsidRPr="004566A7">
              <w:t xml:space="preserve">47 </w:t>
            </w:r>
          </w:p>
        </w:tc>
        <w:tc>
          <w:tcPr>
            <w:tcW w:w="2033" w:type="dxa"/>
            <w:shd w:val="clear" w:color="auto" w:fill="FFFFFF"/>
            <w:vAlign w:val="center"/>
          </w:tcPr>
          <w:p w14:paraId="52F4433C" w14:textId="59CA459B" w:rsidR="00975195" w:rsidRPr="004566A7" w:rsidRDefault="00975195" w:rsidP="00975195">
            <w:pPr>
              <w:pStyle w:val="CETBodytext"/>
              <w:ind w:right="-1"/>
              <w:jc w:val="center"/>
              <w:rPr>
                <w:rFonts w:cs="Arial"/>
                <w:szCs w:val="18"/>
              </w:rPr>
            </w:pPr>
            <w:r w:rsidRPr="004566A7">
              <w:t xml:space="preserve">47 </w:t>
            </w:r>
          </w:p>
        </w:tc>
      </w:tr>
      <w:tr w:rsidR="000350A1" w:rsidRPr="004566A7" w14:paraId="73E10E6E" w14:textId="77777777" w:rsidTr="00B43086">
        <w:trPr>
          <w:trHeight w:val="207"/>
        </w:trPr>
        <w:tc>
          <w:tcPr>
            <w:tcW w:w="1701" w:type="dxa"/>
            <w:shd w:val="clear" w:color="auto" w:fill="FFFFFF"/>
          </w:tcPr>
          <w:p w14:paraId="4F99A2CB" w14:textId="69158E60" w:rsidR="00975195" w:rsidRPr="004566A7" w:rsidRDefault="00E41C64" w:rsidP="00763504">
            <w:pPr>
              <w:pStyle w:val="CETBodytext"/>
              <w:ind w:right="-1"/>
              <w:jc w:val="left"/>
              <w:rPr>
                <w:rFonts w:cs="Arial"/>
                <w:szCs w:val="18"/>
              </w:rPr>
            </w:pPr>
            <w:r w:rsidRPr="004566A7">
              <w:t>Moisture content</w:t>
            </w:r>
            <w:r w:rsidR="00975195" w:rsidRPr="004566A7">
              <w:t xml:space="preserve"> (%)</w:t>
            </w:r>
          </w:p>
        </w:tc>
        <w:tc>
          <w:tcPr>
            <w:tcW w:w="1418" w:type="dxa"/>
            <w:shd w:val="clear" w:color="auto" w:fill="FFFFFF"/>
          </w:tcPr>
          <w:p w14:paraId="54072D39" w14:textId="526297E0" w:rsidR="00975195" w:rsidRPr="004566A7" w:rsidRDefault="00975195" w:rsidP="00975195">
            <w:pPr>
              <w:pStyle w:val="CETBodytext"/>
              <w:ind w:right="-1"/>
              <w:jc w:val="center"/>
              <w:rPr>
                <w:rFonts w:cs="Arial"/>
                <w:szCs w:val="18"/>
              </w:rPr>
            </w:pPr>
            <w:r w:rsidRPr="004566A7">
              <w:t>13.54</w:t>
            </w:r>
          </w:p>
        </w:tc>
        <w:tc>
          <w:tcPr>
            <w:tcW w:w="1559" w:type="dxa"/>
            <w:shd w:val="clear" w:color="auto" w:fill="FFFFFF"/>
          </w:tcPr>
          <w:p w14:paraId="325EB7A1" w14:textId="2B6948EA" w:rsidR="00975195" w:rsidRPr="004566A7" w:rsidRDefault="00975195" w:rsidP="00975195">
            <w:pPr>
              <w:pStyle w:val="CETBodytext"/>
              <w:ind w:right="-1"/>
              <w:jc w:val="center"/>
              <w:rPr>
                <w:rFonts w:cs="Arial"/>
                <w:szCs w:val="18"/>
              </w:rPr>
            </w:pPr>
            <w:r w:rsidRPr="004566A7">
              <w:t>10.53</w:t>
            </w:r>
          </w:p>
        </w:tc>
        <w:tc>
          <w:tcPr>
            <w:tcW w:w="2033" w:type="dxa"/>
            <w:shd w:val="clear" w:color="auto" w:fill="FFFFFF"/>
          </w:tcPr>
          <w:p w14:paraId="1F4422E9" w14:textId="1B2DE757" w:rsidR="00975195" w:rsidRPr="004566A7" w:rsidRDefault="00975195" w:rsidP="00975195">
            <w:pPr>
              <w:pStyle w:val="CETBodytext"/>
              <w:ind w:right="-1"/>
              <w:jc w:val="center"/>
              <w:rPr>
                <w:rFonts w:cs="Arial"/>
                <w:szCs w:val="18"/>
              </w:rPr>
            </w:pPr>
            <w:r w:rsidRPr="004566A7">
              <w:t xml:space="preserve">16.57 </w:t>
            </w:r>
          </w:p>
        </w:tc>
        <w:tc>
          <w:tcPr>
            <w:tcW w:w="2033" w:type="dxa"/>
            <w:shd w:val="clear" w:color="auto" w:fill="FFFFFF"/>
          </w:tcPr>
          <w:p w14:paraId="76B75FBF" w14:textId="627EEE97" w:rsidR="00975195" w:rsidRPr="004566A7" w:rsidRDefault="00975195" w:rsidP="00975195">
            <w:pPr>
              <w:pStyle w:val="CETBodytext"/>
              <w:ind w:right="-1"/>
              <w:jc w:val="center"/>
              <w:rPr>
                <w:rFonts w:cs="Arial"/>
                <w:szCs w:val="18"/>
              </w:rPr>
            </w:pPr>
            <w:r w:rsidRPr="004566A7">
              <w:t xml:space="preserve">15.91 </w:t>
            </w:r>
          </w:p>
        </w:tc>
      </w:tr>
      <w:tr w:rsidR="000350A1" w:rsidRPr="004566A7" w14:paraId="1CBD11DA" w14:textId="77777777" w:rsidTr="009D108B">
        <w:trPr>
          <w:trHeight w:val="207"/>
        </w:trPr>
        <w:tc>
          <w:tcPr>
            <w:tcW w:w="1701" w:type="dxa"/>
            <w:shd w:val="clear" w:color="auto" w:fill="FFFFFF"/>
          </w:tcPr>
          <w:p w14:paraId="74981E91" w14:textId="18F77A1E" w:rsidR="00975195" w:rsidRPr="004566A7" w:rsidRDefault="00E41C64" w:rsidP="00763504">
            <w:pPr>
              <w:pStyle w:val="CETBodytext"/>
              <w:ind w:right="-1"/>
              <w:jc w:val="left"/>
              <w:rPr>
                <w:rFonts w:cs="Arial"/>
                <w:szCs w:val="18"/>
              </w:rPr>
            </w:pPr>
            <w:r w:rsidRPr="004566A7">
              <w:t>Organic matter</w:t>
            </w:r>
            <w:r w:rsidR="00975195" w:rsidRPr="004566A7">
              <w:t xml:space="preserve"> (%)</w:t>
            </w:r>
          </w:p>
        </w:tc>
        <w:tc>
          <w:tcPr>
            <w:tcW w:w="1418" w:type="dxa"/>
            <w:shd w:val="clear" w:color="auto" w:fill="FFFFFF"/>
          </w:tcPr>
          <w:p w14:paraId="0AD9950B" w14:textId="5826D9F9" w:rsidR="00975195" w:rsidRPr="004566A7" w:rsidRDefault="00975195" w:rsidP="00975195">
            <w:pPr>
              <w:pStyle w:val="CETBodytext"/>
              <w:ind w:right="-1"/>
              <w:jc w:val="center"/>
              <w:rPr>
                <w:rFonts w:cs="Arial"/>
                <w:szCs w:val="18"/>
              </w:rPr>
            </w:pPr>
            <w:r w:rsidRPr="004566A7">
              <w:t>15.28</w:t>
            </w:r>
          </w:p>
        </w:tc>
        <w:tc>
          <w:tcPr>
            <w:tcW w:w="1559" w:type="dxa"/>
            <w:shd w:val="clear" w:color="auto" w:fill="FFFFFF"/>
          </w:tcPr>
          <w:p w14:paraId="58377DEB" w14:textId="65851762" w:rsidR="00975195" w:rsidRPr="004566A7" w:rsidRDefault="00975195" w:rsidP="00975195">
            <w:pPr>
              <w:pStyle w:val="CETBodytext"/>
              <w:ind w:right="-1"/>
              <w:jc w:val="center"/>
              <w:rPr>
                <w:rFonts w:cs="Arial"/>
                <w:szCs w:val="18"/>
              </w:rPr>
            </w:pPr>
            <w:r w:rsidRPr="004566A7">
              <w:t>17.20</w:t>
            </w:r>
          </w:p>
        </w:tc>
        <w:tc>
          <w:tcPr>
            <w:tcW w:w="2033" w:type="dxa"/>
            <w:shd w:val="clear" w:color="auto" w:fill="FFFFFF"/>
          </w:tcPr>
          <w:p w14:paraId="61C8E438" w14:textId="4B10C71A" w:rsidR="00975195" w:rsidRPr="004566A7" w:rsidRDefault="00975195" w:rsidP="00975195">
            <w:pPr>
              <w:pStyle w:val="CETBodytext"/>
              <w:ind w:right="-1"/>
              <w:jc w:val="center"/>
              <w:rPr>
                <w:rFonts w:cs="Arial"/>
                <w:szCs w:val="18"/>
              </w:rPr>
            </w:pPr>
            <w:r w:rsidRPr="004566A7">
              <w:t xml:space="preserve">11.15 </w:t>
            </w:r>
          </w:p>
        </w:tc>
        <w:tc>
          <w:tcPr>
            <w:tcW w:w="2033" w:type="dxa"/>
            <w:shd w:val="clear" w:color="auto" w:fill="FFFFFF"/>
          </w:tcPr>
          <w:p w14:paraId="63E67FAE" w14:textId="1E9B7B1E" w:rsidR="00975195" w:rsidRPr="004566A7" w:rsidRDefault="00975195" w:rsidP="00975195">
            <w:pPr>
              <w:pStyle w:val="CETBodytext"/>
              <w:ind w:right="-1"/>
              <w:jc w:val="center"/>
              <w:rPr>
                <w:rFonts w:cs="Arial"/>
                <w:szCs w:val="18"/>
              </w:rPr>
            </w:pPr>
            <w:r w:rsidRPr="004566A7">
              <w:t xml:space="preserve">11.23 </w:t>
            </w:r>
          </w:p>
        </w:tc>
      </w:tr>
    </w:tbl>
    <w:p w14:paraId="468A5842" w14:textId="00D64D77" w:rsidR="009C6DFA" w:rsidRPr="004566A7" w:rsidRDefault="00E41C64" w:rsidP="009C6DFA">
      <w:pPr>
        <w:pStyle w:val="CETheadingx"/>
      </w:pPr>
      <w:r w:rsidRPr="004566A7">
        <w:t>Selection and presumptive identification of microorganisms</w:t>
      </w:r>
    </w:p>
    <w:p w14:paraId="5B7354B7" w14:textId="46D9F164" w:rsidR="008967AF" w:rsidRPr="004566A7" w:rsidRDefault="00C71407" w:rsidP="00636FF4">
      <w:pPr>
        <w:pStyle w:val="CETBodytext"/>
      </w:pPr>
      <w:r w:rsidRPr="004566A7">
        <w:t>The evaluation of native soil microbiota revealed marked differences in the ability of microorganisms to tolerate and metabolize dielectric oil as a carbon source. While fungal isolates showed no growth at any concentration, indicating limited metabolic affinity for hydrophobic and recalcitrant compounds, several bacterial strains exhibited growth even at the highest concentration evaluated (2</w:t>
      </w:r>
      <w:r w:rsidR="008173AC" w:rsidRPr="004566A7">
        <w:t>0.88</w:t>
      </w:r>
      <w:r w:rsidRPr="004566A7">
        <w:t xml:space="preserve">% </w:t>
      </w:r>
      <w:r w:rsidR="008173AC" w:rsidRPr="004566A7">
        <w:t>w</w:t>
      </w:r>
      <w:r w:rsidRPr="004566A7">
        <w:t>/</w:t>
      </w:r>
      <w:r w:rsidR="008173AC" w:rsidRPr="004566A7">
        <w:t>w</w:t>
      </w:r>
      <w:r w:rsidRPr="004566A7">
        <w:t xml:space="preserve">). The phenotypic characterization </w:t>
      </w:r>
      <w:r w:rsidRPr="004566A7">
        <w:lastRenderedPageBreak/>
        <w:t xml:space="preserve">revealed a diverse community of Gram-positive and Gram-negative bacilli, reflecting different structural and metabolic mechanisms associated with tolerance to organic contaminants. Through differential growth in selective media, the isolates were related to bacterial groups relevant to hydrocarbon degradation, including </w:t>
      </w:r>
      <w:r w:rsidRPr="004566A7">
        <w:rPr>
          <w:i/>
        </w:rPr>
        <w:t xml:space="preserve">Bacillus </w:t>
      </w:r>
      <w:r w:rsidRPr="00891B49">
        <w:rPr>
          <w:iCs/>
        </w:rPr>
        <w:t>spp</w:t>
      </w:r>
      <w:r w:rsidRPr="004566A7">
        <w:rPr>
          <w:i/>
        </w:rPr>
        <w:t>.</w:t>
      </w:r>
      <w:r w:rsidRPr="004566A7">
        <w:t xml:space="preserve">, enterobacteria, and </w:t>
      </w:r>
      <w:r w:rsidRPr="004566A7">
        <w:rPr>
          <w:i/>
        </w:rPr>
        <w:t xml:space="preserve">Pseudomonas </w:t>
      </w:r>
      <w:r w:rsidRPr="00891B49">
        <w:rPr>
          <w:iCs/>
        </w:rPr>
        <w:t>spp</w:t>
      </w:r>
      <w:r w:rsidRPr="004566A7">
        <w:rPr>
          <w:i/>
        </w:rPr>
        <w:t>.</w:t>
      </w:r>
      <w:r w:rsidRPr="004566A7">
        <w:t xml:space="preserve"> Presumptive identification, based on biochemical tests and carbohydrate fermentation, suggested that the bacterial consortium included possible strains of </w:t>
      </w:r>
      <w:r w:rsidRPr="004566A7">
        <w:rPr>
          <w:i/>
        </w:rPr>
        <w:t xml:space="preserve">Klebsiella </w:t>
      </w:r>
      <w:r w:rsidRPr="00891B49">
        <w:rPr>
          <w:iCs/>
        </w:rPr>
        <w:t>spp</w:t>
      </w:r>
      <w:r w:rsidRPr="004566A7">
        <w:rPr>
          <w:i/>
        </w:rPr>
        <w:t>.</w:t>
      </w:r>
      <w:r w:rsidRPr="004566A7">
        <w:t xml:space="preserve">, </w:t>
      </w:r>
      <w:r w:rsidRPr="004566A7">
        <w:rPr>
          <w:i/>
        </w:rPr>
        <w:t xml:space="preserve">Proteus </w:t>
      </w:r>
      <w:r w:rsidRPr="00891B49">
        <w:rPr>
          <w:iCs/>
        </w:rPr>
        <w:t>spp</w:t>
      </w:r>
      <w:r w:rsidRPr="004566A7">
        <w:rPr>
          <w:i/>
        </w:rPr>
        <w:t>.</w:t>
      </w:r>
      <w:r w:rsidRPr="004566A7">
        <w:t xml:space="preserve">, </w:t>
      </w:r>
      <w:r w:rsidRPr="004566A7">
        <w:rPr>
          <w:i/>
        </w:rPr>
        <w:t xml:space="preserve">Salmonella </w:t>
      </w:r>
      <w:r w:rsidRPr="00891B49">
        <w:rPr>
          <w:iCs/>
        </w:rPr>
        <w:t>spp</w:t>
      </w:r>
      <w:r w:rsidRPr="004566A7">
        <w:rPr>
          <w:i/>
        </w:rPr>
        <w:t>.</w:t>
      </w:r>
      <w:r w:rsidRPr="004566A7">
        <w:t xml:space="preserve">, </w:t>
      </w:r>
      <w:r w:rsidRPr="004566A7">
        <w:rPr>
          <w:i/>
        </w:rPr>
        <w:t>Escherichia coli</w:t>
      </w:r>
      <w:r w:rsidRPr="004566A7">
        <w:t xml:space="preserve">, </w:t>
      </w:r>
      <w:r w:rsidRPr="004566A7">
        <w:rPr>
          <w:i/>
        </w:rPr>
        <w:t xml:space="preserve">Bacillus </w:t>
      </w:r>
      <w:proofErr w:type="spellStart"/>
      <w:r w:rsidRPr="004566A7">
        <w:rPr>
          <w:i/>
        </w:rPr>
        <w:t>coagulans</w:t>
      </w:r>
      <w:proofErr w:type="spellEnd"/>
      <w:r w:rsidRPr="004566A7">
        <w:t xml:space="preserve">, and </w:t>
      </w:r>
      <w:r w:rsidRPr="004566A7">
        <w:rPr>
          <w:i/>
        </w:rPr>
        <w:t>Bacillus cereus</w:t>
      </w:r>
      <w:r w:rsidRPr="004566A7">
        <w:t xml:space="preserve">, while the specific pathway was dominated by </w:t>
      </w:r>
      <w:r w:rsidRPr="004566A7">
        <w:rPr>
          <w:i/>
        </w:rPr>
        <w:t>Pseudomonas putida</w:t>
      </w:r>
      <w:r w:rsidRPr="004566A7">
        <w:t xml:space="preserve"> </w:t>
      </w:r>
      <w:r w:rsidR="007B4188" w:rsidRPr="004566A7">
        <w:t>(</w:t>
      </w:r>
      <w:proofErr w:type="spellStart"/>
      <w:r w:rsidR="007B4188" w:rsidRPr="004566A7">
        <w:t>Koneman</w:t>
      </w:r>
      <w:proofErr w:type="spellEnd"/>
      <w:r w:rsidR="007B4188" w:rsidRPr="004566A7">
        <w:t xml:space="preserve"> et al., 2017).</w:t>
      </w:r>
    </w:p>
    <w:p w14:paraId="2E3FCC76" w14:textId="35B8F4DF" w:rsidR="007D5D35" w:rsidRPr="004566A7" w:rsidRDefault="00426496" w:rsidP="00426496">
      <w:pPr>
        <w:pStyle w:val="CETheadingx"/>
      </w:pPr>
      <w:r w:rsidRPr="004566A7">
        <w:t>Characterization of coconut fiber as an immobilization support</w:t>
      </w:r>
    </w:p>
    <w:p w14:paraId="151D20CE" w14:textId="4A1915EC" w:rsidR="002805B5" w:rsidRPr="004566A7" w:rsidRDefault="00426496" w:rsidP="00230B23">
      <w:pPr>
        <w:pStyle w:val="CETBodytext"/>
      </w:pPr>
      <w:r w:rsidRPr="004566A7">
        <w:t xml:space="preserve">The results of the functional and chemical characterization demonstrated that coconut fiber is a suitable support for microbial immobilization in bioremediation processes. Its highly porous structure and </w:t>
      </w:r>
      <w:r w:rsidR="005503F6" w:rsidRPr="004566A7">
        <w:t>high-water</w:t>
      </w:r>
      <w:r w:rsidRPr="004566A7">
        <w:t xml:space="preserve"> retention capacity promote microenvironment stability, ensuring adequate moisture and aeration conditions for the metabolic activity of immobilized microorganisms. </w:t>
      </w:r>
      <w:r w:rsidR="004F3E13" w:rsidRPr="004566A7">
        <w:t>Furthermore, its lignocellulosic composition and the presence of active surfaces promote cell adhesion and reduce microbial desorption, ensuring the retention of microorganisms during tr</w:t>
      </w:r>
      <w:r w:rsidR="00763504" w:rsidRPr="004566A7">
        <w:t>eatment. These properties, together</w:t>
      </w:r>
      <w:r w:rsidR="004F3E13" w:rsidRPr="004566A7">
        <w:t xml:space="preserve"> with a natural affinity for hydr</w:t>
      </w:r>
      <w:r w:rsidR="00351E8B" w:rsidRPr="004566A7">
        <w:t>ophobic organic compounds, enable</w:t>
      </w:r>
      <w:r w:rsidR="004F3E13" w:rsidRPr="004566A7">
        <w:t xml:space="preserve"> for greater availability of the contaminant on the support, thus improving the efficiency of the biodegradation process.</w:t>
      </w:r>
    </w:p>
    <w:p w14:paraId="3429A001" w14:textId="431E07EA" w:rsidR="002805B5" w:rsidRPr="004566A7" w:rsidRDefault="00763504" w:rsidP="002805B5">
      <w:pPr>
        <w:pStyle w:val="CETheadingx"/>
      </w:pPr>
      <w:r w:rsidRPr="004566A7">
        <w:t>Bioremediation performance</w:t>
      </w:r>
    </w:p>
    <w:p w14:paraId="6AAE192B" w14:textId="58B90501" w:rsidR="00D96371" w:rsidRPr="004566A7" w:rsidRDefault="00763504" w:rsidP="00AF7A3B">
      <w:pPr>
        <w:pStyle w:val="CETBodytext"/>
        <w:rPr>
          <w:i/>
        </w:rPr>
      </w:pPr>
      <w:r w:rsidRPr="004566A7">
        <w:t xml:space="preserve">The bioremediation results showed similar metabolic behaviors among the replicates of the treatment with </w:t>
      </w:r>
      <w:r w:rsidRPr="004566A7">
        <w:rPr>
          <w:i/>
          <w:iCs/>
        </w:rPr>
        <w:t>Pseudomonas</w:t>
      </w:r>
      <w:r w:rsidRPr="004566A7">
        <w:t xml:space="preserve"> spp. (M1, M3, and M5) and those of the microbial consortium (M2, M4, and M6). This reflected an active and sustained intracellular metabolism, as indicated by dehydrogenase activity, which is related to the respiratory processes involved in contaminant transformation. </w:t>
      </w:r>
      <w:r w:rsidR="00042C4F" w:rsidRPr="004566A7">
        <w:t>C</w:t>
      </w:r>
      <w:r w:rsidRPr="004566A7">
        <w:t>atalase activity remained low and comparable in both treatments, indicating the presence of oxidative stress derived from the metabolization of dielectric oil. Complementarily, peroxidase activity was significantly activated in both systems, demonstrating the oxidative capacity necessary for the initial degradation of the biphenyl rings present in PCBs and the progressive decomposition of these recalcitrant compounds.</w:t>
      </w:r>
    </w:p>
    <w:p w14:paraId="67950DB1" w14:textId="1C5E59F7" w:rsidR="00955BB6" w:rsidRPr="004566A7" w:rsidRDefault="00654C1F" w:rsidP="00230B23">
      <w:pPr>
        <w:pStyle w:val="CETCaption"/>
        <w:rPr>
          <w:rStyle w:val="CETCaptionCarattere"/>
          <w:i/>
          <w:lang w:val="en-US"/>
        </w:rPr>
      </w:pPr>
      <w:r w:rsidRPr="004566A7">
        <w:rPr>
          <w:rStyle w:val="CETCaptionCarattere"/>
          <w:i/>
          <w:noProof/>
          <w:lang w:val="en-US"/>
        </w:rPr>
        <w:drawing>
          <wp:inline distT="0" distB="0" distL="0" distR="0" wp14:anchorId="6E78EE39" wp14:editId="5238B9E0">
            <wp:extent cx="4889500" cy="1423873"/>
            <wp:effectExtent l="0" t="0" r="635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112"/>
                    <a:stretch/>
                  </pic:blipFill>
                  <pic:spPr bwMode="auto">
                    <a:xfrm>
                      <a:off x="0" y="0"/>
                      <a:ext cx="4935827" cy="1437364"/>
                    </a:xfrm>
                    <a:prstGeom prst="rect">
                      <a:avLst/>
                    </a:prstGeom>
                    <a:ln>
                      <a:noFill/>
                    </a:ln>
                    <a:extLst>
                      <a:ext uri="{53640926-AAD7-44D8-BBD7-CCE9431645EC}">
                        <a14:shadowObscured xmlns:a14="http://schemas.microsoft.com/office/drawing/2010/main"/>
                      </a:ext>
                    </a:extLst>
                  </pic:spPr>
                </pic:pic>
              </a:graphicData>
            </a:graphic>
          </wp:inline>
        </w:drawing>
      </w:r>
    </w:p>
    <w:p w14:paraId="5C3B1B29" w14:textId="1EFD57D3" w:rsidR="00955BB6" w:rsidRPr="00DF2F63" w:rsidRDefault="00042C4F" w:rsidP="00DF2F63">
      <w:pPr>
        <w:pStyle w:val="CETCaption"/>
      </w:pPr>
      <w:r w:rsidRPr="00DF2F63">
        <w:rPr>
          <w:rStyle w:val="CETCaptionCarattere"/>
          <w:i/>
        </w:rPr>
        <w:t>Figure</w:t>
      </w:r>
      <w:r w:rsidR="00230B23" w:rsidRPr="00DF2F63">
        <w:rPr>
          <w:rStyle w:val="CETCaptionCarattere"/>
          <w:i/>
        </w:rPr>
        <w:t xml:space="preserve"> </w:t>
      </w:r>
      <w:r w:rsidR="00FE314E" w:rsidRPr="00DF2F63">
        <w:rPr>
          <w:rStyle w:val="CETCaptionCarattere"/>
          <w:i/>
        </w:rPr>
        <w:t>3</w:t>
      </w:r>
      <w:r w:rsidRPr="00DF2F63">
        <w:rPr>
          <w:rStyle w:val="CETCaptionCarattere"/>
          <w:i/>
        </w:rPr>
        <w:t xml:space="preserve">: Statistical comparison of enzymatic activity between Pseudomonas </w:t>
      </w:r>
      <w:r w:rsidRPr="00DF2F63">
        <w:rPr>
          <w:rStyle w:val="CETCaptionCarattere"/>
          <w:iCs/>
        </w:rPr>
        <w:t>spp</w:t>
      </w:r>
      <w:r w:rsidR="00230B23" w:rsidRPr="00DF2F63">
        <w:rPr>
          <w:rStyle w:val="CETCaptionCarattere"/>
          <w:i/>
        </w:rPr>
        <w:t>.</w:t>
      </w:r>
      <w:r w:rsidRPr="00DF2F63">
        <w:rPr>
          <w:rStyle w:val="CETCaptionCarattere"/>
          <w:i/>
        </w:rPr>
        <w:t xml:space="preserve"> and the microbial consortium.</w:t>
      </w:r>
    </w:p>
    <w:p w14:paraId="52D2B1A3" w14:textId="51959595" w:rsidR="005503F6" w:rsidRPr="004566A7" w:rsidRDefault="00042C4F" w:rsidP="005503F6">
      <w:pPr>
        <w:rPr>
          <w:lang w:val="en-US"/>
        </w:rPr>
      </w:pPr>
      <w:r w:rsidRPr="004566A7">
        <w:rPr>
          <w:lang w:val="en-US"/>
        </w:rPr>
        <w:t>The comparison of enzyme activity between treatments is presented in Figure 3 using box plots with notches for catalase (a), dehydrogenase (b), and peroxidase (c). For all three indicators, data dispersion is observed between treatments and replicates; however, the medians and confidence intervals overlap widely, indicating similar central values between Pseudomonas spp. and the microbial consortium. This behavior was supported by the ANOVA performed, where both parametric and nonparametric tests confirmed the absence of significant differences between treatments and between replicates (p &gt; 0.05).</w:t>
      </w:r>
      <w:r w:rsidR="00AF7A3B" w:rsidRPr="004566A7">
        <w:rPr>
          <w:lang w:val="en-US"/>
        </w:rPr>
        <w:t xml:space="preserve"> </w:t>
      </w:r>
      <w:r w:rsidR="005503F6" w:rsidRPr="004566A7">
        <w:rPr>
          <w:lang w:val="en-US"/>
        </w:rPr>
        <w:t>This finding was supported by a one-way ANOVA, which revealed no significant differences in metabolic indicators between treatments for catalase (F ≈ 0; p = 1.000), dehydrogenase (F = 0.026; p = 0.872), or peroxidase (F = 0.520; p = 0.476). Shapiro–Wilk tests revealed deviations from normality in some cases, while the homogeneity of variances was maintained (</w:t>
      </w:r>
      <w:proofErr w:type="spellStart"/>
      <w:r w:rsidR="005503F6" w:rsidRPr="004566A7">
        <w:rPr>
          <w:lang w:val="en-US"/>
        </w:rPr>
        <w:t>Levene</w:t>
      </w:r>
      <w:proofErr w:type="spellEnd"/>
      <w:r w:rsidR="005503F6" w:rsidRPr="004566A7">
        <w:rPr>
          <w:lang w:val="en-US"/>
        </w:rPr>
        <w:t>, p &gt; 0.05). Therefore, the nonparametric Kruskal–Wallis test was applied, which also confirmed the absence of significant differences between Pseudomonas spp. and the microbial consortium (p &gt; 0.05). This indicated that both treatments maintained similar levels of enzymatic activity during the degradation process.</w:t>
      </w:r>
    </w:p>
    <w:p w14:paraId="58A06F7A" w14:textId="72984DFE" w:rsidR="00955BB6" w:rsidRPr="004566A7" w:rsidRDefault="00654C1F" w:rsidP="00955BB6">
      <w:pPr>
        <w:pStyle w:val="CETCaption"/>
        <w:rPr>
          <w:rStyle w:val="CETCaptionCarattere"/>
          <w:i/>
          <w:lang w:val="en-US"/>
        </w:rPr>
      </w:pPr>
      <w:r w:rsidRPr="004566A7">
        <w:rPr>
          <w:rStyle w:val="CETCaptionCarattere"/>
          <w:i/>
          <w:noProof/>
          <w:lang w:val="en-US"/>
        </w:rPr>
        <w:lastRenderedPageBreak/>
        <w:drawing>
          <wp:inline distT="0" distB="0" distL="0" distR="0" wp14:anchorId="5B376020" wp14:editId="1AE25D76">
            <wp:extent cx="4406900" cy="135562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34475" cy="1364104"/>
                    </a:xfrm>
                    <a:prstGeom prst="rect">
                      <a:avLst/>
                    </a:prstGeom>
                  </pic:spPr>
                </pic:pic>
              </a:graphicData>
            </a:graphic>
          </wp:inline>
        </w:drawing>
      </w:r>
    </w:p>
    <w:p w14:paraId="1DE17889" w14:textId="2255C957" w:rsidR="00955BB6" w:rsidRPr="00DF2F63" w:rsidRDefault="00955BB6" w:rsidP="00DF2F63">
      <w:pPr>
        <w:pStyle w:val="CETCaption"/>
      </w:pPr>
      <w:r w:rsidRPr="00DF2F63">
        <w:rPr>
          <w:rStyle w:val="CETCaptionCarattere"/>
          <w:i/>
        </w:rPr>
        <w:t>Figur</w:t>
      </w:r>
      <w:r w:rsidR="00C30BF0" w:rsidRPr="00DF2F63">
        <w:rPr>
          <w:rStyle w:val="CETCaptionCarattere"/>
          <w:i/>
        </w:rPr>
        <w:t>e</w:t>
      </w:r>
      <w:r w:rsidRPr="00DF2F63">
        <w:rPr>
          <w:rStyle w:val="CETCaptionCarattere"/>
          <w:i/>
        </w:rPr>
        <w:t xml:space="preserve"> </w:t>
      </w:r>
      <w:r w:rsidR="00FE314E" w:rsidRPr="00DF2F63">
        <w:rPr>
          <w:rStyle w:val="CETCaptionCarattere"/>
          <w:i/>
        </w:rPr>
        <w:t>4</w:t>
      </w:r>
      <w:r w:rsidRPr="00DF2F63">
        <w:rPr>
          <w:rStyle w:val="CETCaptionCarattere"/>
          <w:i/>
        </w:rPr>
        <w:t xml:space="preserve">: </w:t>
      </w:r>
      <w:proofErr w:type="spellStart"/>
      <w:r w:rsidR="00C30BF0" w:rsidRPr="00DF2F63">
        <w:t>Respirometric</w:t>
      </w:r>
      <w:proofErr w:type="spellEnd"/>
      <w:r w:rsidR="00C30BF0" w:rsidRPr="00DF2F63">
        <w:t xml:space="preserve"> evolution of treatments with </w:t>
      </w:r>
      <w:r w:rsidR="00230B23" w:rsidRPr="00DF2F63">
        <w:rPr>
          <w:rStyle w:val="nfasis"/>
          <w:i/>
          <w:iCs w:val="0"/>
        </w:rPr>
        <w:t>Pseudomonas</w:t>
      </w:r>
      <w:r w:rsidR="00C30BF0" w:rsidRPr="00DF2F63">
        <w:t xml:space="preserve"> </w:t>
      </w:r>
      <w:r w:rsidR="00C30BF0" w:rsidRPr="00DF2F63">
        <w:rPr>
          <w:i w:val="0"/>
          <w:iCs/>
        </w:rPr>
        <w:t>spp</w:t>
      </w:r>
      <w:r w:rsidR="00C30BF0" w:rsidRPr="00DF2F63">
        <w:t>. and the microbial consortium.</w:t>
      </w:r>
      <w:r w:rsidR="00230B23" w:rsidRPr="00DF2F63">
        <w:t xml:space="preserve"> </w:t>
      </w:r>
    </w:p>
    <w:p w14:paraId="64828EDD" w14:textId="72CC4F56" w:rsidR="00955BB6" w:rsidRPr="004566A7" w:rsidRDefault="00C30BF0" w:rsidP="004A42CC">
      <w:pPr>
        <w:pStyle w:val="CETBodytext"/>
      </w:pPr>
      <w:r w:rsidRPr="004566A7">
        <w:t xml:space="preserve">The </w:t>
      </w:r>
      <w:proofErr w:type="spellStart"/>
      <w:r w:rsidRPr="004566A7">
        <w:t>respirom</w:t>
      </w:r>
      <w:r w:rsidR="009A4307" w:rsidRPr="004566A7">
        <w:t>etric</w:t>
      </w:r>
      <w:proofErr w:type="spellEnd"/>
      <w:r w:rsidR="009A4307" w:rsidRPr="004566A7">
        <w:t xml:space="preserve"> evolution of both treatment</w:t>
      </w:r>
      <w:r w:rsidR="00351E8B" w:rsidRPr="004566A7">
        <w:t>s</w:t>
      </w:r>
      <w:r w:rsidRPr="004566A7">
        <w:t xml:space="preserve"> presented in</w:t>
      </w:r>
      <w:r w:rsidR="009A4307" w:rsidRPr="004566A7">
        <w:t xml:space="preserve"> Figure</w:t>
      </w:r>
      <w:r w:rsidR="00230B23" w:rsidRPr="004566A7">
        <w:t xml:space="preserve"> </w:t>
      </w:r>
      <w:r w:rsidR="00FE314E" w:rsidRPr="004566A7">
        <w:t>4</w:t>
      </w:r>
      <w:r w:rsidR="00230B23" w:rsidRPr="004566A7">
        <w:t xml:space="preserve">, </w:t>
      </w:r>
      <w:r w:rsidRPr="004566A7">
        <w:t>show</w:t>
      </w:r>
      <w:r w:rsidR="00351E8B" w:rsidRPr="004566A7">
        <w:t>s</w:t>
      </w:r>
      <w:r w:rsidRPr="004566A7">
        <w:t xml:space="preserve"> the temporal behavior of</w:t>
      </w:r>
      <w:r w:rsidR="00230B23" w:rsidRPr="004566A7">
        <w:t xml:space="preserve"> C</w:t>
      </w:r>
      <w:r w:rsidR="007F46BA" w:rsidRPr="004566A7">
        <w:t>O</w:t>
      </w:r>
      <w:r w:rsidR="007F46BA" w:rsidRPr="004566A7">
        <w:rPr>
          <w:vertAlign w:val="subscript"/>
        </w:rPr>
        <w:t>2</w:t>
      </w:r>
      <w:r w:rsidR="00230B23" w:rsidRPr="004566A7">
        <w:t xml:space="preserve"> </w:t>
      </w:r>
      <w:r w:rsidRPr="004566A7">
        <w:t>for</w:t>
      </w:r>
      <w:r w:rsidR="00230B23" w:rsidRPr="004566A7">
        <w:t xml:space="preserve"> </w:t>
      </w:r>
      <w:r w:rsidR="00230B23" w:rsidRPr="004566A7">
        <w:rPr>
          <w:i/>
          <w:iCs/>
        </w:rPr>
        <w:t>Pseudomonas</w:t>
      </w:r>
      <w:r w:rsidR="00230B23" w:rsidRPr="004566A7">
        <w:t xml:space="preserve"> spp. </w:t>
      </w:r>
      <w:r w:rsidR="009A4307" w:rsidRPr="004566A7">
        <w:t>(a) and the microbial consortium</w:t>
      </w:r>
      <w:r w:rsidR="00230B23" w:rsidRPr="004566A7">
        <w:t xml:space="preserve"> (b). </w:t>
      </w:r>
      <w:r w:rsidR="009A4307" w:rsidRPr="004566A7">
        <w:t>In both cases, the curves show similar patterns between replicates, characterized by phases of adaptation, sustained respiratory activity, and recovery after a disturbance, with no marked differences between treatments, which demonstrates an active mineralization of the contaminant.</w:t>
      </w:r>
      <w:r w:rsidR="00AF7A3B" w:rsidRPr="004566A7">
        <w:t xml:space="preserve"> </w:t>
      </w:r>
      <w:r w:rsidR="004A42CC" w:rsidRPr="004566A7">
        <w:t>Similarly, the respirometry analysis also showed no significant differences between treatments (ANOVA: F = 0.003; p = 0.956). Although Shapiro–Wilk tests indicated deviations from normality in both treatments, the homogeneity of variances was maintained (</w:t>
      </w:r>
      <w:proofErr w:type="spellStart"/>
      <w:r w:rsidR="004A42CC" w:rsidRPr="004566A7">
        <w:t>Levene</w:t>
      </w:r>
      <w:proofErr w:type="spellEnd"/>
      <w:r w:rsidR="004A42CC" w:rsidRPr="004566A7">
        <w:t>, p = 0.830)</w:t>
      </w:r>
      <w:r w:rsidR="008C502C" w:rsidRPr="004566A7">
        <w:t>. Consequently,</w:t>
      </w:r>
      <w:r w:rsidR="004A42CC" w:rsidRPr="004566A7">
        <w:t xml:space="preserve"> the Kruskal–Wallis test confirmed the absence of significant differences (p = 0.972)</w:t>
      </w:r>
      <w:r w:rsidR="008C502C" w:rsidRPr="004566A7">
        <w:t>,</w:t>
      </w:r>
      <w:r w:rsidR="004A42CC" w:rsidRPr="004566A7">
        <w:t xml:space="preserve"> </w:t>
      </w:r>
      <w:r w:rsidR="008C502C" w:rsidRPr="004566A7">
        <w:t>suggesting</w:t>
      </w:r>
      <w:r w:rsidR="004A42CC" w:rsidRPr="004566A7">
        <w:t xml:space="preserve"> similar metabolic activity in both systems during bioremediation. </w:t>
      </w:r>
      <w:proofErr w:type="spellStart"/>
      <w:r w:rsidR="009A4307" w:rsidRPr="004566A7">
        <w:t>PCA</w:t>
      </w:r>
      <w:proofErr w:type="spellEnd"/>
      <w:r w:rsidR="009A4307" w:rsidRPr="004566A7">
        <w:t xml:space="preserve"> presented in Figure 5, enabled for the integration of metabolic indicators and the evaluation of functional similarity between replicates. </w:t>
      </w:r>
      <w:r w:rsidR="00841488" w:rsidRPr="004566A7">
        <w:t>PC2</w:t>
      </w:r>
      <w:r w:rsidR="00A30DD8" w:rsidRPr="004566A7">
        <w:t xml:space="preserve"> </w:t>
      </w:r>
      <w:r w:rsidR="009A4307" w:rsidRPr="004566A7">
        <w:t xml:space="preserve">grouped the replicates of each treatment in the same direction, </w:t>
      </w:r>
      <w:r w:rsidR="00A30DD8" w:rsidRPr="004566A7">
        <w:t>evidencing</w:t>
      </w:r>
      <w:r w:rsidR="009A4307" w:rsidRPr="004566A7">
        <w:t xml:space="preserve"> similar metabolic signatures for both </w:t>
      </w:r>
      <w:r w:rsidR="009A4307" w:rsidRPr="004566A7">
        <w:rPr>
          <w:i/>
        </w:rPr>
        <w:t xml:space="preserve">Pseudomonas </w:t>
      </w:r>
      <w:r w:rsidR="009A4307" w:rsidRPr="00DF2F63">
        <w:rPr>
          <w:iCs/>
        </w:rPr>
        <w:t>spp</w:t>
      </w:r>
      <w:r w:rsidR="009A4307" w:rsidRPr="004566A7">
        <w:t xml:space="preserve">. and the microbial consortium. </w:t>
      </w:r>
      <w:r w:rsidR="00841488" w:rsidRPr="004566A7">
        <w:t>PC1</w:t>
      </w:r>
      <w:r w:rsidR="009A4307" w:rsidRPr="004566A7">
        <w:t xml:space="preserve"> reflected differences in the relative contribution of enzymatic activities, where samples M3 and M6 shifted toward the axis associated with greater peroxidase </w:t>
      </w:r>
      <w:r w:rsidR="00841488" w:rsidRPr="004566A7">
        <w:t>activation, indicating a stronger</w:t>
      </w:r>
      <w:r w:rsidR="009A4307" w:rsidRPr="004566A7">
        <w:t xml:space="preserve"> orientation toward oxidative processes of persistent aromatic compounds. This behavior supported their selection as representative samples for chromatographic analysis.</w:t>
      </w:r>
    </w:p>
    <w:p w14:paraId="6C74B3A3" w14:textId="188FEB07" w:rsidR="005E38ED" w:rsidRPr="004566A7" w:rsidRDefault="00654C1F" w:rsidP="005E38ED">
      <w:pPr>
        <w:pStyle w:val="CETBodytext"/>
        <w:rPr>
          <w:rStyle w:val="CETCaptionCarattere"/>
          <w:lang w:val="en-US"/>
        </w:rPr>
      </w:pPr>
      <w:r w:rsidRPr="004566A7">
        <w:rPr>
          <w:rStyle w:val="CETCaptionCarattere"/>
          <w:noProof/>
          <w:lang w:val="en-US"/>
        </w:rPr>
        <w:drawing>
          <wp:inline distT="0" distB="0" distL="0" distR="0" wp14:anchorId="64382D8E" wp14:editId="6584D427">
            <wp:extent cx="2127250" cy="2095293"/>
            <wp:effectExtent l="0" t="0" r="635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55300" cy="2122922"/>
                    </a:xfrm>
                    <a:prstGeom prst="rect">
                      <a:avLst/>
                    </a:prstGeom>
                  </pic:spPr>
                </pic:pic>
              </a:graphicData>
            </a:graphic>
          </wp:inline>
        </w:drawing>
      </w:r>
    </w:p>
    <w:p w14:paraId="7FAF9B9C" w14:textId="04DD6017" w:rsidR="00955BB6" w:rsidRPr="004566A7" w:rsidRDefault="00955BB6" w:rsidP="00DF2F63">
      <w:pPr>
        <w:pStyle w:val="CETCaption"/>
      </w:pPr>
      <w:r w:rsidRPr="004566A7">
        <w:rPr>
          <w:rStyle w:val="CETCaptionCarattere"/>
          <w:lang w:val="en-US"/>
        </w:rPr>
        <w:t>Figu</w:t>
      </w:r>
      <w:r w:rsidR="00841488" w:rsidRPr="004566A7">
        <w:rPr>
          <w:rStyle w:val="CETCaptionCarattere"/>
          <w:lang w:val="en-US"/>
        </w:rPr>
        <w:t>re</w:t>
      </w:r>
      <w:r w:rsidRPr="004566A7">
        <w:rPr>
          <w:rStyle w:val="CETCaptionCarattere"/>
          <w:lang w:val="en-US"/>
        </w:rPr>
        <w:t xml:space="preserve"> </w:t>
      </w:r>
      <w:r w:rsidR="00FE314E" w:rsidRPr="004566A7">
        <w:rPr>
          <w:rStyle w:val="CETCaptionCarattere"/>
          <w:lang w:val="en-US"/>
        </w:rPr>
        <w:t>5</w:t>
      </w:r>
      <w:r w:rsidRPr="004566A7">
        <w:rPr>
          <w:rStyle w:val="CETCaptionCarattere"/>
          <w:lang w:val="en-US"/>
        </w:rPr>
        <w:t xml:space="preserve">: </w:t>
      </w:r>
      <w:proofErr w:type="spellStart"/>
      <w:r w:rsidR="00841488" w:rsidRPr="004566A7">
        <w:t>PCA</w:t>
      </w:r>
      <w:proofErr w:type="spellEnd"/>
      <w:r w:rsidR="00841488" w:rsidRPr="004566A7">
        <w:t xml:space="preserve"> of metabolic indicators</w:t>
      </w:r>
      <w:r w:rsidR="00580B30" w:rsidRPr="004566A7">
        <w:t>.</w:t>
      </w:r>
    </w:p>
    <w:p w14:paraId="16DC4034" w14:textId="0B954550" w:rsidR="009A2072" w:rsidRPr="004566A7" w:rsidRDefault="00841488" w:rsidP="00DF2F63">
      <w:pPr>
        <w:pStyle w:val="CETBodytext"/>
      </w:pPr>
      <w:r w:rsidRPr="004566A7">
        <w:t>The initial concentration of PCBs in the untreated soil was 4.72 mg of PCBs/kg of soil. After the bioremediation, the chromatographic results (Figure 6) showed clear differences in removal efficiency between the routes evaluated. Sample M3 (a), corresponding to the treatment with Pseudomonas spp. immobilized on coconut fiber, reached a final concentration of approximately 3.2 mg of PCBs/kg, indicating a removal of 32.20%. In contrast, sample M6 (b) had a final concentration of 3.4 mg of PCBs/kg, equivalent to a removal of 27.96%, showing a slightly lower elimination of the contaminant.</w:t>
      </w:r>
      <w:r w:rsidR="00230B23" w:rsidRPr="004566A7">
        <w:t xml:space="preserve"> </w:t>
      </w:r>
      <w:r w:rsidR="009A2072" w:rsidRPr="004566A7">
        <w:t>These values fall within the ranges reported for PCBs bioremediation processes, where previous studies have documented efficiencies of approximately 23–34% in bacterial treatments lasting around 60 days, while other studies have reported up to 47% for microbial consortia and 54% for individual external strains over periods of 8 to 9 weeks. Therefore, the present study demonstrates significant potential for optimization by achieving these removal levels in just six weeks through the use of immobilized indigenous microorganisms, whose protection and adaptation to the contaminated environment promote their stability and efficacy throughout the process.</w:t>
      </w:r>
    </w:p>
    <w:p w14:paraId="286FE9CF" w14:textId="686968E9" w:rsidR="00564270" w:rsidRPr="004566A7" w:rsidRDefault="00564270" w:rsidP="00564270">
      <w:pPr>
        <w:pStyle w:val="CETBodytext"/>
        <w:rPr>
          <w:rStyle w:val="CETCaptionCarattere"/>
          <w:lang w:val="en-US"/>
        </w:rPr>
      </w:pPr>
    </w:p>
    <w:p w14:paraId="2EEAB41F" w14:textId="541C5E8A" w:rsidR="00564270" w:rsidRPr="004566A7" w:rsidRDefault="005E38ED" w:rsidP="00564270">
      <w:pPr>
        <w:pStyle w:val="CETBodytext"/>
      </w:pPr>
      <w:r w:rsidRPr="004566A7">
        <w:rPr>
          <w:noProof/>
        </w:rPr>
        <w:lastRenderedPageBreak/>
        <w:drawing>
          <wp:inline distT="0" distB="0" distL="0" distR="0" wp14:anchorId="5F63A461" wp14:editId="75458BE8">
            <wp:extent cx="3841750" cy="1909289"/>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71394" cy="1924022"/>
                    </a:xfrm>
                    <a:prstGeom prst="rect">
                      <a:avLst/>
                    </a:prstGeom>
                  </pic:spPr>
                </pic:pic>
              </a:graphicData>
            </a:graphic>
          </wp:inline>
        </w:drawing>
      </w:r>
    </w:p>
    <w:p w14:paraId="1903A1C8" w14:textId="7C1F58C5" w:rsidR="00564270" w:rsidRPr="004566A7" w:rsidRDefault="00564270" w:rsidP="00DF2F63">
      <w:pPr>
        <w:pStyle w:val="CETCaption"/>
        <w:rPr>
          <w:rStyle w:val="CETCaptionCarattere"/>
          <w:lang w:val="en-US"/>
        </w:rPr>
      </w:pPr>
      <w:r w:rsidRPr="004566A7">
        <w:rPr>
          <w:rStyle w:val="CETCaptionCarattere"/>
          <w:lang w:val="en-US"/>
        </w:rPr>
        <w:t>Figur</w:t>
      </w:r>
      <w:r w:rsidR="00841488" w:rsidRPr="004566A7">
        <w:rPr>
          <w:rStyle w:val="CETCaptionCarattere"/>
          <w:lang w:val="en-US"/>
        </w:rPr>
        <w:t>e</w:t>
      </w:r>
      <w:r w:rsidRPr="004566A7">
        <w:rPr>
          <w:rStyle w:val="CETCaptionCarattere"/>
          <w:lang w:val="en-US"/>
        </w:rPr>
        <w:t xml:space="preserve"> </w:t>
      </w:r>
      <w:r w:rsidR="00FE314E" w:rsidRPr="004566A7">
        <w:rPr>
          <w:rStyle w:val="CETCaptionCarattere"/>
          <w:lang w:val="en-US"/>
        </w:rPr>
        <w:t>6</w:t>
      </w:r>
      <w:r w:rsidR="00841488" w:rsidRPr="004566A7">
        <w:rPr>
          <w:rStyle w:val="CETCaptionCarattere"/>
          <w:lang w:val="en-US"/>
        </w:rPr>
        <w:t xml:space="preserve">: </w:t>
      </w:r>
      <w:r w:rsidR="00230B23" w:rsidRPr="004566A7">
        <w:rPr>
          <w:rStyle w:val="CETCaptionCarattere"/>
          <w:lang w:val="en-US"/>
        </w:rPr>
        <w:t>PCB</w:t>
      </w:r>
      <w:r w:rsidR="00841488" w:rsidRPr="004566A7">
        <w:rPr>
          <w:rStyle w:val="CETCaptionCarattere"/>
          <w:lang w:val="en-US"/>
        </w:rPr>
        <w:t>s chromatograms for samples M3 and</w:t>
      </w:r>
      <w:r w:rsidR="00230B23" w:rsidRPr="004566A7">
        <w:rPr>
          <w:rStyle w:val="CETCaptionCarattere"/>
          <w:lang w:val="en-US"/>
        </w:rPr>
        <w:t xml:space="preserve"> M6.</w:t>
      </w:r>
    </w:p>
    <w:p w14:paraId="2243EA2B" w14:textId="06CFA445" w:rsidR="0025489C" w:rsidRPr="004566A7" w:rsidRDefault="0025489C" w:rsidP="0025489C">
      <w:pPr>
        <w:pStyle w:val="CETHeading1"/>
      </w:pPr>
      <w:r w:rsidRPr="004566A7">
        <w:t>Conclusions</w:t>
      </w:r>
    </w:p>
    <w:p w14:paraId="37AC8901" w14:textId="134655C9" w:rsidR="004566A7" w:rsidRPr="004566A7" w:rsidRDefault="00841488" w:rsidP="004566A7">
      <w:pPr>
        <w:pStyle w:val="CETBodytext"/>
        <w:rPr>
          <w:b/>
          <w:bCs/>
        </w:rPr>
      </w:pPr>
      <w:r w:rsidRPr="004566A7">
        <w:t>Bioremediation using immobilized microorganisms proved effective in reducing PCBs in contaminated soils, allowing adequate metabolic activity despite unfavorable initial physicochemical conditions and promoting improvements in soil properties such as pH, moisture, and organic matter content.</w:t>
      </w:r>
      <w:r w:rsidR="001151EC" w:rsidRPr="004566A7">
        <w:t xml:space="preserve"> </w:t>
      </w:r>
      <w:r w:rsidR="004566A7" w:rsidRPr="004566A7">
        <w:t>Immobilization on coconut fiber promoted the adaptation and stability of the microbial biomass, helping to protect the strains from oxidative stress and ensuring the continuity of their degradation activity.</w:t>
      </w:r>
      <w:r w:rsidR="004566A7">
        <w:t xml:space="preserve"> </w:t>
      </w:r>
      <w:r w:rsidR="004566A7" w:rsidRPr="004566A7">
        <w:t>The use of indigenous microorganisms allowed for removal rates comparable to those reported in the literature without requiring the introduction of external strains</w:t>
      </w:r>
      <w:r w:rsidR="004566A7">
        <w:t>. This</w:t>
      </w:r>
      <w:r w:rsidR="004566A7" w:rsidRPr="004566A7">
        <w:t xml:space="preserve"> represent</w:t>
      </w:r>
      <w:r w:rsidR="004566A7">
        <w:t>s</w:t>
      </w:r>
      <w:r w:rsidR="004566A7" w:rsidRPr="004566A7">
        <w:t xml:space="preserve"> a potentially more sustainable and viable alternative for field applications. Under the evaluated conditions, </w:t>
      </w:r>
      <w:r w:rsidR="004566A7" w:rsidRPr="004566A7">
        <w:rPr>
          <w:i/>
          <w:iCs/>
        </w:rPr>
        <w:t xml:space="preserve">Pseudomonas </w:t>
      </w:r>
      <w:r w:rsidR="004566A7" w:rsidRPr="00DF2F63">
        <w:t>spp</w:t>
      </w:r>
      <w:r w:rsidR="004566A7" w:rsidRPr="004566A7">
        <w:rPr>
          <w:i/>
          <w:iCs/>
        </w:rPr>
        <w:t>.</w:t>
      </w:r>
      <w:r w:rsidR="004566A7" w:rsidRPr="004566A7">
        <w:t xml:space="preserve"> achieved the highest PCB</w:t>
      </w:r>
      <w:r w:rsidR="004566A7">
        <w:t>s</w:t>
      </w:r>
      <w:r w:rsidR="004566A7" w:rsidRPr="004566A7">
        <w:t xml:space="preserve"> removal rate at 32.20%, while the microbial consortium achieved 27.96%, suggesting a greater degradation capacity of the individual strain compared to the evaluated consortium.</w:t>
      </w:r>
    </w:p>
    <w:p w14:paraId="2C056695" w14:textId="77777777" w:rsidR="004566A7" w:rsidRPr="004566A7" w:rsidRDefault="004566A7" w:rsidP="00D1113F">
      <w:pPr>
        <w:pStyle w:val="CETBodytext"/>
        <w:rPr>
          <w:b/>
          <w:bCs/>
        </w:rPr>
      </w:pPr>
    </w:p>
    <w:p w14:paraId="1737E0C9" w14:textId="77777777" w:rsidR="000350A1" w:rsidRPr="002D6014" w:rsidRDefault="000350A1" w:rsidP="002D6014">
      <w:pPr>
        <w:pStyle w:val="CETAcknowledgementstitle"/>
      </w:pPr>
      <w:r w:rsidRPr="002D6014">
        <w:t>Acknowledgments</w:t>
      </w:r>
    </w:p>
    <w:p w14:paraId="13C5A2EE" w14:textId="58569A5F" w:rsidR="00856018" w:rsidRPr="004566A7" w:rsidRDefault="00856018" w:rsidP="007F34F5">
      <w:pPr>
        <w:tabs>
          <w:tab w:val="clear" w:pos="7100"/>
        </w:tabs>
        <w:spacing w:before="200" w:after="120" w:line="276" w:lineRule="auto"/>
        <w:jc w:val="left"/>
        <w:rPr>
          <w:bCs/>
          <w:lang w:val="en-US"/>
        </w:rPr>
      </w:pPr>
      <w:r w:rsidRPr="004566A7">
        <w:rPr>
          <w:bCs/>
          <w:lang w:val="en-US"/>
        </w:rPr>
        <w:t>The authors would like to thank the University of Pamplona, for their support.</w:t>
      </w:r>
    </w:p>
    <w:p w14:paraId="4F1327F8" w14:textId="77777777" w:rsidR="00600535" w:rsidRPr="004566A7" w:rsidRDefault="00600535" w:rsidP="00600535">
      <w:pPr>
        <w:pStyle w:val="CETReference"/>
        <w:rPr>
          <w:lang w:val="en-US"/>
        </w:rPr>
      </w:pPr>
      <w:r w:rsidRPr="004566A7">
        <w:rPr>
          <w:lang w:val="en-US"/>
        </w:rPr>
        <w:t>References</w:t>
      </w:r>
    </w:p>
    <w:p w14:paraId="556FF0ED" w14:textId="77777777" w:rsidR="0076537D" w:rsidRPr="007A261E" w:rsidRDefault="0076537D" w:rsidP="00BD54AE">
      <w:pPr>
        <w:pStyle w:val="CETReferencetext"/>
        <w:rPr>
          <w:lang w:val="es-MX"/>
        </w:rPr>
      </w:pPr>
      <w:r w:rsidRPr="004566A7">
        <w:rPr>
          <w:rStyle w:val="Textoennegrita"/>
          <w:b w:val="0"/>
          <w:lang w:val="en-US"/>
        </w:rPr>
        <w:t>Association of Official Analytical Chemists (</w:t>
      </w:r>
      <w:proofErr w:type="spellStart"/>
      <w:r w:rsidRPr="004566A7">
        <w:rPr>
          <w:rStyle w:val="Textoennegrita"/>
          <w:b w:val="0"/>
          <w:lang w:val="en-US"/>
        </w:rPr>
        <w:t>AOAC</w:t>
      </w:r>
      <w:proofErr w:type="spellEnd"/>
      <w:r w:rsidRPr="004566A7">
        <w:rPr>
          <w:rStyle w:val="Textoennegrita"/>
          <w:b w:val="0"/>
          <w:lang w:val="en-US"/>
        </w:rPr>
        <w:t>).</w:t>
      </w:r>
      <w:r w:rsidRPr="004566A7">
        <w:rPr>
          <w:lang w:val="en-US"/>
        </w:rPr>
        <w:t xml:space="preserve"> (1990). </w:t>
      </w:r>
      <w:r w:rsidRPr="004566A7">
        <w:rPr>
          <w:rStyle w:val="nfasis"/>
          <w:bCs/>
          <w:lang w:val="en-US"/>
        </w:rPr>
        <w:t>Official methods of analysis</w:t>
      </w:r>
      <w:r w:rsidRPr="004566A7">
        <w:rPr>
          <w:lang w:val="en-US"/>
        </w:rPr>
        <w:t xml:space="preserve"> (15th ed., Vol. 1). </w:t>
      </w:r>
      <w:proofErr w:type="spellStart"/>
      <w:r w:rsidRPr="007A261E">
        <w:rPr>
          <w:lang w:val="es-MX"/>
        </w:rPr>
        <w:t>AOAC</w:t>
      </w:r>
      <w:proofErr w:type="spellEnd"/>
      <w:r w:rsidRPr="007A261E">
        <w:rPr>
          <w:lang w:val="es-MX"/>
        </w:rPr>
        <w:t>.</w:t>
      </w:r>
    </w:p>
    <w:p w14:paraId="7295A281" w14:textId="77777777" w:rsidR="0076537D" w:rsidRPr="007A261E" w:rsidRDefault="0076537D" w:rsidP="00BD54AE">
      <w:pPr>
        <w:pStyle w:val="CETReferencetext"/>
        <w:rPr>
          <w:lang w:val="es-MX"/>
        </w:rPr>
      </w:pPr>
      <w:r w:rsidRPr="007A261E">
        <w:rPr>
          <w:rStyle w:val="Textoennegrita"/>
          <w:b w:val="0"/>
          <w:lang w:val="es-MX"/>
        </w:rPr>
        <w:t xml:space="preserve">Bernabé, M. W., Rodríguez, L. R., López, R. D., </w:t>
      </w:r>
      <w:proofErr w:type="spellStart"/>
      <w:r w:rsidRPr="007A261E">
        <w:rPr>
          <w:rStyle w:val="Textoennegrita"/>
          <w:b w:val="0"/>
          <w:lang w:val="es-MX"/>
        </w:rPr>
        <w:t>Egúzquiza</w:t>
      </w:r>
      <w:proofErr w:type="spellEnd"/>
      <w:r w:rsidRPr="007A261E">
        <w:rPr>
          <w:rStyle w:val="Textoennegrita"/>
          <w:b w:val="0"/>
          <w:lang w:val="es-MX"/>
        </w:rPr>
        <w:t>, M. J., Luján, R. O., &amp; León, M. A.</w:t>
      </w:r>
      <w:r w:rsidRPr="007A261E">
        <w:rPr>
          <w:lang w:val="es-MX"/>
        </w:rPr>
        <w:t xml:space="preserve"> (2025). </w:t>
      </w:r>
      <w:r w:rsidRPr="004566A7">
        <w:rPr>
          <w:lang w:val="en-US"/>
        </w:rPr>
        <w:t xml:space="preserve">PCB contaminated </w:t>
      </w:r>
      <w:proofErr w:type="spellStart"/>
      <w:r w:rsidRPr="004566A7">
        <w:rPr>
          <w:lang w:val="en-US"/>
        </w:rPr>
        <w:t>oils</w:t>
      </w:r>
      <w:proofErr w:type="spellEnd"/>
      <w:r w:rsidRPr="004566A7">
        <w:rPr>
          <w:lang w:val="en-US"/>
        </w:rPr>
        <w:t xml:space="preserve"> and the detection of transformer aging, according to IEEE STD C57.104-2019. </w:t>
      </w:r>
      <w:r w:rsidRPr="007A261E">
        <w:rPr>
          <w:rStyle w:val="nfasis"/>
          <w:bCs/>
          <w:lang w:val="es-MX"/>
        </w:rPr>
        <w:t xml:space="preserve">Chemical </w:t>
      </w:r>
      <w:proofErr w:type="spellStart"/>
      <w:r w:rsidRPr="007A261E">
        <w:rPr>
          <w:rStyle w:val="nfasis"/>
          <w:bCs/>
          <w:lang w:val="es-MX"/>
        </w:rPr>
        <w:t>Engineering</w:t>
      </w:r>
      <w:proofErr w:type="spellEnd"/>
      <w:r w:rsidRPr="007A261E">
        <w:rPr>
          <w:rStyle w:val="nfasis"/>
          <w:bCs/>
          <w:lang w:val="es-MX"/>
        </w:rPr>
        <w:t xml:space="preserve"> </w:t>
      </w:r>
      <w:proofErr w:type="spellStart"/>
      <w:r w:rsidRPr="007A261E">
        <w:rPr>
          <w:rStyle w:val="nfasis"/>
          <w:bCs/>
          <w:lang w:val="es-MX"/>
        </w:rPr>
        <w:t>Transactions</w:t>
      </w:r>
      <w:proofErr w:type="spellEnd"/>
      <w:r w:rsidRPr="007A261E">
        <w:rPr>
          <w:rStyle w:val="nfasis"/>
          <w:bCs/>
          <w:lang w:val="es-MX"/>
        </w:rPr>
        <w:t>, 118</w:t>
      </w:r>
      <w:r w:rsidRPr="007A261E">
        <w:rPr>
          <w:lang w:val="es-MX"/>
        </w:rPr>
        <w:t>, 385–390. https://doi.org/10.3303/CET25118068</w:t>
      </w:r>
    </w:p>
    <w:p w14:paraId="0DC7F047" w14:textId="77777777" w:rsidR="0076537D" w:rsidRPr="004566A7" w:rsidRDefault="0076537D" w:rsidP="00BD54AE">
      <w:pPr>
        <w:pStyle w:val="CETReferencetext"/>
        <w:rPr>
          <w:lang w:val="en-US"/>
        </w:rPr>
      </w:pPr>
      <w:r w:rsidRPr="007A261E">
        <w:rPr>
          <w:rStyle w:val="Textoennegrita"/>
          <w:b w:val="0"/>
          <w:lang w:val="es-MX"/>
        </w:rPr>
        <w:t xml:space="preserve">Díaz Agüero, J. A., Pérez </w:t>
      </w:r>
      <w:proofErr w:type="spellStart"/>
      <w:r w:rsidRPr="007A261E">
        <w:rPr>
          <w:rStyle w:val="Textoennegrita"/>
          <w:b w:val="0"/>
          <w:lang w:val="es-MX"/>
        </w:rPr>
        <w:t>Pérez</w:t>
      </w:r>
      <w:proofErr w:type="spellEnd"/>
      <w:r w:rsidRPr="007A261E">
        <w:rPr>
          <w:rStyle w:val="Textoennegrita"/>
          <w:b w:val="0"/>
          <w:lang w:val="es-MX"/>
        </w:rPr>
        <w:t xml:space="preserve">, M. A., Lizarzaburu-Aguinaga, D., Benites-Alfaro, E., Cabrera Carranza, C., Jave </w:t>
      </w:r>
      <w:proofErr w:type="spellStart"/>
      <w:r w:rsidRPr="007A261E">
        <w:rPr>
          <w:rStyle w:val="Textoennegrita"/>
          <w:b w:val="0"/>
          <w:lang w:val="es-MX"/>
        </w:rPr>
        <w:t>Nakayo</w:t>
      </w:r>
      <w:proofErr w:type="spellEnd"/>
      <w:r w:rsidRPr="007A261E">
        <w:rPr>
          <w:rStyle w:val="Textoennegrita"/>
          <w:b w:val="0"/>
          <w:lang w:val="es-MX"/>
        </w:rPr>
        <w:t>, J., &amp; Suca-Apaza, G. R.</w:t>
      </w:r>
      <w:r w:rsidRPr="007A261E">
        <w:rPr>
          <w:lang w:val="es-MX"/>
        </w:rPr>
        <w:t xml:space="preserve"> (2025). </w:t>
      </w:r>
      <w:r w:rsidRPr="004566A7">
        <w:rPr>
          <w:lang w:val="en-US"/>
        </w:rPr>
        <w:t xml:space="preserve">Biochar from wastewater treatment plant sludge: Efficiency in the removal of hydrocarbons from contaminated soil. </w:t>
      </w:r>
      <w:r w:rsidRPr="004566A7">
        <w:rPr>
          <w:rStyle w:val="nfasis"/>
          <w:bCs/>
          <w:lang w:val="en-US"/>
        </w:rPr>
        <w:t>Chemical Engineering Transactions, 117</w:t>
      </w:r>
      <w:r w:rsidRPr="004566A7">
        <w:rPr>
          <w:lang w:val="en-US"/>
        </w:rPr>
        <w:t>, 133–138. https://doi.org/10.3303/CET25117022</w:t>
      </w:r>
    </w:p>
    <w:p w14:paraId="13C8D1AF" w14:textId="77777777" w:rsidR="0076537D" w:rsidRPr="004566A7" w:rsidRDefault="0076537D" w:rsidP="00BD54AE">
      <w:pPr>
        <w:pStyle w:val="CETReferencetext"/>
        <w:rPr>
          <w:lang w:val="en-US"/>
        </w:rPr>
      </w:pPr>
      <w:r w:rsidRPr="004566A7">
        <w:rPr>
          <w:rStyle w:val="Textoennegrita"/>
          <w:b w:val="0"/>
          <w:lang w:val="en-US"/>
        </w:rPr>
        <w:t xml:space="preserve">Ghosal, D., Ghosh, S., Dutta, T. K., &amp; </w:t>
      </w:r>
      <w:proofErr w:type="spellStart"/>
      <w:r w:rsidRPr="004566A7">
        <w:rPr>
          <w:rStyle w:val="Textoennegrita"/>
          <w:b w:val="0"/>
          <w:lang w:val="en-US"/>
        </w:rPr>
        <w:t>Ahn</w:t>
      </w:r>
      <w:proofErr w:type="spellEnd"/>
      <w:r w:rsidRPr="004566A7">
        <w:rPr>
          <w:rStyle w:val="Textoennegrita"/>
          <w:b w:val="0"/>
          <w:lang w:val="en-US"/>
        </w:rPr>
        <w:t>, Y</w:t>
      </w:r>
      <w:r w:rsidRPr="004566A7">
        <w:rPr>
          <w:rStyle w:val="Textoennegrita"/>
          <w:bCs w:val="0"/>
          <w:lang w:val="en-US"/>
        </w:rPr>
        <w:t>.</w:t>
      </w:r>
      <w:r w:rsidRPr="004566A7">
        <w:rPr>
          <w:lang w:val="en-US"/>
        </w:rPr>
        <w:t xml:space="preserve"> (2016). Current state of knowledge in microbial degradation of polycyclic aromatic hydrocarbons (PAHs): A review. </w:t>
      </w:r>
      <w:r w:rsidRPr="004566A7">
        <w:rPr>
          <w:rStyle w:val="nfasis"/>
          <w:bCs/>
          <w:lang w:val="en-US"/>
        </w:rPr>
        <w:t>Frontiers in Microbiology, 7</w:t>
      </w:r>
      <w:r w:rsidRPr="004566A7">
        <w:rPr>
          <w:lang w:val="en-US"/>
        </w:rPr>
        <w:t xml:space="preserve">, 1369. </w:t>
      </w:r>
      <w:hyperlink r:id="rId25" w:tgtFrame="_new" w:history="1">
        <w:r w:rsidRPr="004566A7">
          <w:rPr>
            <w:rStyle w:val="Hipervnculo"/>
            <w:bCs/>
            <w:color w:val="auto"/>
            <w:lang w:val="en-US"/>
          </w:rPr>
          <w:t>https://doi.org/10.3389/fmicb.2016.01369</w:t>
        </w:r>
      </w:hyperlink>
    </w:p>
    <w:p w14:paraId="5676FD73" w14:textId="77777777" w:rsidR="0076537D" w:rsidRPr="004566A7" w:rsidRDefault="0076537D" w:rsidP="00BD54AE">
      <w:pPr>
        <w:pStyle w:val="CETReferencetext"/>
        <w:rPr>
          <w:lang w:val="en-US"/>
        </w:rPr>
      </w:pPr>
      <w:proofErr w:type="spellStart"/>
      <w:r w:rsidRPr="004566A7">
        <w:rPr>
          <w:rStyle w:val="Textoennegrita"/>
          <w:b w:val="0"/>
          <w:lang w:val="en-US"/>
        </w:rPr>
        <w:t>Koneman</w:t>
      </w:r>
      <w:proofErr w:type="spellEnd"/>
      <w:r w:rsidRPr="004566A7">
        <w:rPr>
          <w:rStyle w:val="Textoennegrita"/>
          <w:b w:val="0"/>
          <w:lang w:val="en-US"/>
        </w:rPr>
        <w:t xml:space="preserve">, E. W., Allen, S. D., </w:t>
      </w:r>
      <w:proofErr w:type="spellStart"/>
      <w:r w:rsidRPr="004566A7">
        <w:rPr>
          <w:rStyle w:val="Textoennegrita"/>
          <w:b w:val="0"/>
          <w:lang w:val="en-US"/>
        </w:rPr>
        <w:t>Janda</w:t>
      </w:r>
      <w:proofErr w:type="spellEnd"/>
      <w:r w:rsidRPr="004566A7">
        <w:rPr>
          <w:rStyle w:val="Textoennegrita"/>
          <w:b w:val="0"/>
          <w:lang w:val="en-US"/>
        </w:rPr>
        <w:t xml:space="preserve">, W. M., </w:t>
      </w:r>
      <w:proofErr w:type="spellStart"/>
      <w:r w:rsidRPr="004566A7">
        <w:rPr>
          <w:rStyle w:val="Textoennegrita"/>
          <w:b w:val="0"/>
          <w:lang w:val="en-US"/>
        </w:rPr>
        <w:t>Schreckenberger</w:t>
      </w:r>
      <w:proofErr w:type="spellEnd"/>
      <w:r w:rsidRPr="004566A7">
        <w:rPr>
          <w:rStyle w:val="Textoennegrita"/>
          <w:b w:val="0"/>
          <w:lang w:val="en-US"/>
        </w:rPr>
        <w:t>, P. C., &amp; Winn, W. C</w:t>
      </w:r>
      <w:r w:rsidRPr="004566A7">
        <w:rPr>
          <w:rStyle w:val="Textoennegrita"/>
          <w:bCs w:val="0"/>
          <w:lang w:val="en-US"/>
        </w:rPr>
        <w:t>.</w:t>
      </w:r>
      <w:r w:rsidRPr="004566A7">
        <w:rPr>
          <w:lang w:val="en-US"/>
        </w:rPr>
        <w:t xml:space="preserve"> (2017). </w:t>
      </w:r>
      <w:r w:rsidRPr="004566A7">
        <w:rPr>
          <w:rStyle w:val="nfasis"/>
          <w:bCs/>
          <w:lang w:val="en-US"/>
        </w:rPr>
        <w:t>Color atlas and textbook of diagnostic microbiology</w:t>
      </w:r>
      <w:r w:rsidRPr="004566A7">
        <w:rPr>
          <w:lang w:val="en-US"/>
        </w:rPr>
        <w:t xml:space="preserve"> (7th ed.). Wolters Kluwer.</w:t>
      </w:r>
    </w:p>
    <w:p w14:paraId="2DE604FD" w14:textId="77777777" w:rsidR="0076537D" w:rsidRPr="004566A7" w:rsidRDefault="0076537D" w:rsidP="00BD54AE">
      <w:pPr>
        <w:pStyle w:val="CETReferencetext"/>
        <w:rPr>
          <w:lang w:val="en-US"/>
        </w:rPr>
      </w:pPr>
      <w:r w:rsidRPr="007A261E">
        <w:rPr>
          <w:rStyle w:val="Textoennegrita"/>
          <w:b w:val="0"/>
          <w:lang w:val="es-MX"/>
        </w:rPr>
        <w:t>León-Bermúdez, A. Y., Jiménez-Caballero, M. A., Castellanos-Amador, S. F., Peña-Ballesteros, D. Y., &amp; Salas-Rondón, M. H.</w:t>
      </w:r>
      <w:r w:rsidRPr="007A261E">
        <w:rPr>
          <w:lang w:val="es-MX"/>
        </w:rPr>
        <w:t xml:space="preserve"> (2025). </w:t>
      </w:r>
      <w:r w:rsidRPr="004566A7">
        <w:rPr>
          <w:lang w:val="en-US"/>
        </w:rPr>
        <w:t xml:space="preserve">Use of activated carbon from vegetable residual biomass with </w:t>
      </w:r>
      <w:proofErr w:type="spellStart"/>
      <w:r w:rsidRPr="004566A7">
        <w:rPr>
          <w:lang w:val="en-US"/>
        </w:rPr>
        <w:t>SiO</w:t>
      </w:r>
      <w:proofErr w:type="spellEnd"/>
      <w:r w:rsidRPr="004566A7">
        <w:rPr>
          <w:rFonts w:ascii="Cambria Math" w:hAnsi="Cambria Math" w:cs="Cambria Math"/>
          <w:lang w:val="en-US"/>
        </w:rPr>
        <w:t>₂</w:t>
      </w:r>
      <w:r w:rsidRPr="004566A7">
        <w:rPr>
          <w:lang w:val="en-US"/>
        </w:rPr>
        <w:t xml:space="preserve"> nanoparticles for the removal of organic compounds in wastewater from the hydrocarbon sector. </w:t>
      </w:r>
      <w:r w:rsidRPr="004566A7">
        <w:rPr>
          <w:rStyle w:val="nfasis"/>
          <w:bCs/>
          <w:lang w:val="en-US"/>
        </w:rPr>
        <w:t>Chemical Engineering Transactions, 117</w:t>
      </w:r>
      <w:r w:rsidRPr="004566A7">
        <w:rPr>
          <w:lang w:val="en-US"/>
        </w:rPr>
        <w:t>, 199–204. https://doi.org/10.3303/CET25117029</w:t>
      </w:r>
    </w:p>
    <w:p w14:paraId="42125CD7" w14:textId="77777777" w:rsidR="0076537D" w:rsidRPr="004566A7" w:rsidRDefault="0076537D" w:rsidP="00BD54AE">
      <w:pPr>
        <w:pStyle w:val="CETReferencetext"/>
        <w:rPr>
          <w:lang w:val="en-US"/>
        </w:rPr>
      </w:pPr>
      <w:r w:rsidRPr="004566A7">
        <w:rPr>
          <w:rStyle w:val="Textoennegrita"/>
          <w:b w:val="0"/>
          <w:lang w:val="en-US"/>
        </w:rPr>
        <w:t xml:space="preserve">United Nations Environment </w:t>
      </w:r>
      <w:proofErr w:type="spellStart"/>
      <w:r w:rsidRPr="004566A7">
        <w:rPr>
          <w:rStyle w:val="Textoennegrita"/>
          <w:b w:val="0"/>
          <w:lang w:val="en-US"/>
        </w:rPr>
        <w:t>Programme</w:t>
      </w:r>
      <w:proofErr w:type="spellEnd"/>
      <w:r w:rsidRPr="004566A7">
        <w:rPr>
          <w:rStyle w:val="Textoennegrita"/>
          <w:b w:val="0"/>
          <w:lang w:val="en-US"/>
        </w:rPr>
        <w:t xml:space="preserve"> (UNEP).</w:t>
      </w:r>
      <w:r w:rsidRPr="004566A7">
        <w:rPr>
          <w:b/>
          <w:lang w:val="en-US"/>
        </w:rPr>
        <w:t xml:space="preserve"> </w:t>
      </w:r>
      <w:r w:rsidRPr="004566A7">
        <w:rPr>
          <w:lang w:val="en-US"/>
        </w:rPr>
        <w:t xml:space="preserve">(2022). </w:t>
      </w:r>
      <w:r w:rsidRPr="004566A7">
        <w:rPr>
          <w:rStyle w:val="nfasis"/>
          <w:bCs/>
          <w:lang w:val="en-US"/>
        </w:rPr>
        <w:t>Guidance on the management and elimination of polychlorinated biphenyls</w:t>
      </w:r>
      <w:r w:rsidRPr="004566A7">
        <w:rPr>
          <w:lang w:val="en-US"/>
        </w:rPr>
        <w:t>. UNEP.</w:t>
      </w:r>
    </w:p>
    <w:p w14:paraId="19C4FC68" w14:textId="453EC4C0" w:rsidR="004628D2" w:rsidRPr="004566A7" w:rsidRDefault="0076537D" w:rsidP="00BD54AE">
      <w:pPr>
        <w:pStyle w:val="CETReferencetext"/>
        <w:rPr>
          <w:lang w:val="en-US"/>
        </w:rPr>
      </w:pPr>
      <w:r w:rsidRPr="004566A7">
        <w:rPr>
          <w:rStyle w:val="Textoennegrita"/>
          <w:b w:val="0"/>
          <w:lang w:val="en-US"/>
        </w:rPr>
        <w:t>Weil, R. R., &amp; Brady, N. C.</w:t>
      </w:r>
      <w:r w:rsidRPr="004566A7">
        <w:rPr>
          <w:lang w:val="en-US"/>
        </w:rPr>
        <w:t xml:space="preserve"> (2016). </w:t>
      </w:r>
      <w:r w:rsidRPr="004566A7">
        <w:rPr>
          <w:rStyle w:val="nfasis"/>
          <w:bCs/>
          <w:lang w:val="en-US"/>
        </w:rPr>
        <w:t>The nature and properties of soils</w:t>
      </w:r>
      <w:r w:rsidRPr="004566A7">
        <w:rPr>
          <w:lang w:val="en-US"/>
        </w:rPr>
        <w:t xml:space="preserve"> (15th ed.). Pearson.</w:t>
      </w:r>
    </w:p>
    <w:sectPr w:rsidR="004628D2" w:rsidRPr="004566A7"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FAD8" w14:textId="77777777" w:rsidR="00B47029" w:rsidRDefault="00B47029" w:rsidP="004F5E36">
      <w:r>
        <w:separator/>
      </w:r>
    </w:p>
  </w:endnote>
  <w:endnote w:type="continuationSeparator" w:id="0">
    <w:p w14:paraId="4D6B6A72" w14:textId="77777777" w:rsidR="00B47029" w:rsidRDefault="00B47029"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BF98" w14:textId="77777777" w:rsidR="00B47029" w:rsidRDefault="00B47029" w:rsidP="004F5E36">
      <w:r>
        <w:separator/>
      </w:r>
    </w:p>
  </w:footnote>
  <w:footnote w:type="continuationSeparator" w:id="0">
    <w:p w14:paraId="64EE3643" w14:textId="77777777" w:rsidR="00B47029" w:rsidRDefault="00B47029"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C9D6ED1"/>
    <w:multiLevelType w:val="hybridMultilevel"/>
    <w:tmpl w:val="47923BF8"/>
    <w:lvl w:ilvl="0" w:tplc="10B8B738">
      <w:start w:val="1"/>
      <w:numFmt w:val="bullet"/>
      <w:lvlText w:val="•"/>
      <w:lvlJc w:val="left"/>
      <w:pPr>
        <w:tabs>
          <w:tab w:val="num" w:pos="720"/>
        </w:tabs>
        <w:ind w:left="720" w:hanging="360"/>
      </w:pPr>
      <w:rPr>
        <w:rFonts w:ascii="Times New Roman" w:hAnsi="Times New Roman" w:hint="default"/>
      </w:rPr>
    </w:lvl>
    <w:lvl w:ilvl="1" w:tplc="7F9E7900" w:tentative="1">
      <w:start w:val="1"/>
      <w:numFmt w:val="bullet"/>
      <w:lvlText w:val="•"/>
      <w:lvlJc w:val="left"/>
      <w:pPr>
        <w:tabs>
          <w:tab w:val="num" w:pos="1440"/>
        </w:tabs>
        <w:ind w:left="1440" w:hanging="360"/>
      </w:pPr>
      <w:rPr>
        <w:rFonts w:ascii="Times New Roman" w:hAnsi="Times New Roman" w:hint="default"/>
      </w:rPr>
    </w:lvl>
    <w:lvl w:ilvl="2" w:tplc="6F0CAD72" w:tentative="1">
      <w:start w:val="1"/>
      <w:numFmt w:val="bullet"/>
      <w:lvlText w:val="•"/>
      <w:lvlJc w:val="left"/>
      <w:pPr>
        <w:tabs>
          <w:tab w:val="num" w:pos="2160"/>
        </w:tabs>
        <w:ind w:left="2160" w:hanging="360"/>
      </w:pPr>
      <w:rPr>
        <w:rFonts w:ascii="Times New Roman" w:hAnsi="Times New Roman" w:hint="default"/>
      </w:rPr>
    </w:lvl>
    <w:lvl w:ilvl="3" w:tplc="99AE1D0E" w:tentative="1">
      <w:start w:val="1"/>
      <w:numFmt w:val="bullet"/>
      <w:lvlText w:val="•"/>
      <w:lvlJc w:val="left"/>
      <w:pPr>
        <w:tabs>
          <w:tab w:val="num" w:pos="2880"/>
        </w:tabs>
        <w:ind w:left="2880" w:hanging="360"/>
      </w:pPr>
      <w:rPr>
        <w:rFonts w:ascii="Times New Roman" w:hAnsi="Times New Roman" w:hint="default"/>
      </w:rPr>
    </w:lvl>
    <w:lvl w:ilvl="4" w:tplc="2AA0C200" w:tentative="1">
      <w:start w:val="1"/>
      <w:numFmt w:val="bullet"/>
      <w:lvlText w:val="•"/>
      <w:lvlJc w:val="left"/>
      <w:pPr>
        <w:tabs>
          <w:tab w:val="num" w:pos="3600"/>
        </w:tabs>
        <w:ind w:left="3600" w:hanging="360"/>
      </w:pPr>
      <w:rPr>
        <w:rFonts w:ascii="Times New Roman" w:hAnsi="Times New Roman" w:hint="default"/>
      </w:rPr>
    </w:lvl>
    <w:lvl w:ilvl="5" w:tplc="22765DD0" w:tentative="1">
      <w:start w:val="1"/>
      <w:numFmt w:val="bullet"/>
      <w:lvlText w:val="•"/>
      <w:lvlJc w:val="left"/>
      <w:pPr>
        <w:tabs>
          <w:tab w:val="num" w:pos="4320"/>
        </w:tabs>
        <w:ind w:left="4320" w:hanging="360"/>
      </w:pPr>
      <w:rPr>
        <w:rFonts w:ascii="Times New Roman" w:hAnsi="Times New Roman" w:hint="default"/>
      </w:rPr>
    </w:lvl>
    <w:lvl w:ilvl="6" w:tplc="71960D38" w:tentative="1">
      <w:start w:val="1"/>
      <w:numFmt w:val="bullet"/>
      <w:lvlText w:val="•"/>
      <w:lvlJc w:val="left"/>
      <w:pPr>
        <w:tabs>
          <w:tab w:val="num" w:pos="5040"/>
        </w:tabs>
        <w:ind w:left="5040" w:hanging="360"/>
      </w:pPr>
      <w:rPr>
        <w:rFonts w:ascii="Times New Roman" w:hAnsi="Times New Roman" w:hint="default"/>
      </w:rPr>
    </w:lvl>
    <w:lvl w:ilvl="7" w:tplc="5BF8C1CC" w:tentative="1">
      <w:start w:val="1"/>
      <w:numFmt w:val="bullet"/>
      <w:lvlText w:val="•"/>
      <w:lvlJc w:val="left"/>
      <w:pPr>
        <w:tabs>
          <w:tab w:val="num" w:pos="5760"/>
        </w:tabs>
        <w:ind w:left="5760" w:hanging="360"/>
      </w:pPr>
      <w:rPr>
        <w:rFonts w:ascii="Times New Roman" w:hAnsi="Times New Roman" w:hint="default"/>
      </w:rPr>
    </w:lvl>
    <w:lvl w:ilvl="8" w:tplc="4A60D25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2"/>
  </w:num>
  <w:num w:numId="14">
    <w:abstractNumId w:val="19"/>
  </w:num>
  <w:num w:numId="15">
    <w:abstractNumId w:val="21"/>
  </w:num>
  <w:num w:numId="16">
    <w:abstractNumId w:val="20"/>
  </w:num>
  <w:num w:numId="17">
    <w:abstractNumId w:val="11"/>
  </w:num>
  <w:num w:numId="18">
    <w:abstractNumId w:val="12"/>
    <w:lvlOverride w:ilvl="0">
      <w:startOverride w:val="1"/>
    </w:lvlOverride>
  </w:num>
  <w:num w:numId="19">
    <w:abstractNumId w:val="17"/>
  </w:num>
  <w:num w:numId="20">
    <w:abstractNumId w:val="16"/>
  </w:num>
  <w:num w:numId="21">
    <w:abstractNumId w:val="14"/>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3148D"/>
    <w:rsid w:val="00031EEC"/>
    <w:rsid w:val="000350A1"/>
    <w:rsid w:val="00042C4F"/>
    <w:rsid w:val="00042D73"/>
    <w:rsid w:val="00051566"/>
    <w:rsid w:val="00054288"/>
    <w:rsid w:val="000562A9"/>
    <w:rsid w:val="00062A9A"/>
    <w:rsid w:val="00065058"/>
    <w:rsid w:val="00075B2D"/>
    <w:rsid w:val="00086C39"/>
    <w:rsid w:val="000A03B2"/>
    <w:rsid w:val="000B3816"/>
    <w:rsid w:val="000C33F3"/>
    <w:rsid w:val="000C5DFC"/>
    <w:rsid w:val="000C6E6C"/>
    <w:rsid w:val="000D0268"/>
    <w:rsid w:val="000D34BE"/>
    <w:rsid w:val="000D5BFE"/>
    <w:rsid w:val="000E102F"/>
    <w:rsid w:val="000E36F1"/>
    <w:rsid w:val="000E3A73"/>
    <w:rsid w:val="000E414A"/>
    <w:rsid w:val="000F05F6"/>
    <w:rsid w:val="000F093C"/>
    <w:rsid w:val="000F787B"/>
    <w:rsid w:val="00112633"/>
    <w:rsid w:val="001151EC"/>
    <w:rsid w:val="001172F8"/>
    <w:rsid w:val="0012091F"/>
    <w:rsid w:val="00126BC2"/>
    <w:rsid w:val="001308B6"/>
    <w:rsid w:val="0013121F"/>
    <w:rsid w:val="00131FE6"/>
    <w:rsid w:val="0013263F"/>
    <w:rsid w:val="001331DF"/>
    <w:rsid w:val="00134DE4"/>
    <w:rsid w:val="001358BB"/>
    <w:rsid w:val="0014034D"/>
    <w:rsid w:val="001426C4"/>
    <w:rsid w:val="00144D16"/>
    <w:rsid w:val="00150ACE"/>
    <w:rsid w:val="00150E59"/>
    <w:rsid w:val="00152DE3"/>
    <w:rsid w:val="0016276B"/>
    <w:rsid w:val="00164CF9"/>
    <w:rsid w:val="001667A6"/>
    <w:rsid w:val="00176629"/>
    <w:rsid w:val="00176C97"/>
    <w:rsid w:val="00184AD6"/>
    <w:rsid w:val="00196F4D"/>
    <w:rsid w:val="001A4AF7"/>
    <w:rsid w:val="001B0349"/>
    <w:rsid w:val="001B1E93"/>
    <w:rsid w:val="001B65C1"/>
    <w:rsid w:val="001C1621"/>
    <w:rsid w:val="001C529D"/>
    <w:rsid w:val="001C684B"/>
    <w:rsid w:val="001D0CFB"/>
    <w:rsid w:val="001D1C3A"/>
    <w:rsid w:val="001D21AF"/>
    <w:rsid w:val="001D53FC"/>
    <w:rsid w:val="001F42A5"/>
    <w:rsid w:val="001F60E5"/>
    <w:rsid w:val="001F7B9D"/>
    <w:rsid w:val="001F7F35"/>
    <w:rsid w:val="00201C93"/>
    <w:rsid w:val="002224B4"/>
    <w:rsid w:val="00230B23"/>
    <w:rsid w:val="002447EF"/>
    <w:rsid w:val="00251550"/>
    <w:rsid w:val="0025489C"/>
    <w:rsid w:val="00263B05"/>
    <w:rsid w:val="0027052B"/>
    <w:rsid w:val="0027221A"/>
    <w:rsid w:val="00275B61"/>
    <w:rsid w:val="002805B5"/>
    <w:rsid w:val="00280FAF"/>
    <w:rsid w:val="00282656"/>
    <w:rsid w:val="00293824"/>
    <w:rsid w:val="00296B83"/>
    <w:rsid w:val="002A2E71"/>
    <w:rsid w:val="002B4015"/>
    <w:rsid w:val="002B4E8C"/>
    <w:rsid w:val="002B78CE"/>
    <w:rsid w:val="002C2FB6"/>
    <w:rsid w:val="002D56F2"/>
    <w:rsid w:val="002D6014"/>
    <w:rsid w:val="002E5FA7"/>
    <w:rsid w:val="002F3309"/>
    <w:rsid w:val="003008CE"/>
    <w:rsid w:val="003009B7"/>
    <w:rsid w:val="00300E56"/>
    <w:rsid w:val="0030152C"/>
    <w:rsid w:val="0030469C"/>
    <w:rsid w:val="00321CA6"/>
    <w:rsid w:val="00323763"/>
    <w:rsid w:val="00323C5F"/>
    <w:rsid w:val="00334C09"/>
    <w:rsid w:val="0034411B"/>
    <w:rsid w:val="003469B5"/>
    <w:rsid w:val="00351E8B"/>
    <w:rsid w:val="00354F1C"/>
    <w:rsid w:val="003723D4"/>
    <w:rsid w:val="00374F0E"/>
    <w:rsid w:val="00381905"/>
    <w:rsid w:val="00384CC8"/>
    <w:rsid w:val="003871FD"/>
    <w:rsid w:val="003A012F"/>
    <w:rsid w:val="003A1E30"/>
    <w:rsid w:val="003A2829"/>
    <w:rsid w:val="003A7D1C"/>
    <w:rsid w:val="003B304B"/>
    <w:rsid w:val="003B3146"/>
    <w:rsid w:val="003E6E8C"/>
    <w:rsid w:val="003F015E"/>
    <w:rsid w:val="00400414"/>
    <w:rsid w:val="00405C78"/>
    <w:rsid w:val="00412A23"/>
    <w:rsid w:val="0041446B"/>
    <w:rsid w:val="00426496"/>
    <w:rsid w:val="0042783D"/>
    <w:rsid w:val="00431D67"/>
    <w:rsid w:val="004369A0"/>
    <w:rsid w:val="00437268"/>
    <w:rsid w:val="0044071E"/>
    <w:rsid w:val="0044329C"/>
    <w:rsid w:val="00453C4F"/>
    <w:rsid w:val="00453E24"/>
    <w:rsid w:val="004566A7"/>
    <w:rsid w:val="00457456"/>
    <w:rsid w:val="004577FE"/>
    <w:rsid w:val="00457B9C"/>
    <w:rsid w:val="0046164A"/>
    <w:rsid w:val="004628D2"/>
    <w:rsid w:val="00462DCD"/>
    <w:rsid w:val="004648AD"/>
    <w:rsid w:val="004703A9"/>
    <w:rsid w:val="004760DE"/>
    <w:rsid w:val="004763D7"/>
    <w:rsid w:val="00477F26"/>
    <w:rsid w:val="004A004E"/>
    <w:rsid w:val="004A24CF"/>
    <w:rsid w:val="004A42CC"/>
    <w:rsid w:val="004C3D1D"/>
    <w:rsid w:val="004C3D84"/>
    <w:rsid w:val="004C7913"/>
    <w:rsid w:val="004D482F"/>
    <w:rsid w:val="004E4DD6"/>
    <w:rsid w:val="004F3E13"/>
    <w:rsid w:val="004F5E36"/>
    <w:rsid w:val="00507B47"/>
    <w:rsid w:val="00507BEF"/>
    <w:rsid w:val="00507CC9"/>
    <w:rsid w:val="005119A5"/>
    <w:rsid w:val="0052258A"/>
    <w:rsid w:val="005278B7"/>
    <w:rsid w:val="00532016"/>
    <w:rsid w:val="005346C8"/>
    <w:rsid w:val="00543E7D"/>
    <w:rsid w:val="00544970"/>
    <w:rsid w:val="00547A68"/>
    <w:rsid w:val="005503F6"/>
    <w:rsid w:val="005531C9"/>
    <w:rsid w:val="00553FA8"/>
    <w:rsid w:val="00555988"/>
    <w:rsid w:val="00557E00"/>
    <w:rsid w:val="00563C20"/>
    <w:rsid w:val="00564270"/>
    <w:rsid w:val="00567FDF"/>
    <w:rsid w:val="00570C43"/>
    <w:rsid w:val="00571DC1"/>
    <w:rsid w:val="00580B30"/>
    <w:rsid w:val="005921AD"/>
    <w:rsid w:val="005B2110"/>
    <w:rsid w:val="005B61E6"/>
    <w:rsid w:val="005C1AB1"/>
    <w:rsid w:val="005C77E1"/>
    <w:rsid w:val="005D668A"/>
    <w:rsid w:val="005D6A2F"/>
    <w:rsid w:val="005E1A82"/>
    <w:rsid w:val="005E3063"/>
    <w:rsid w:val="005E38ED"/>
    <w:rsid w:val="005E794C"/>
    <w:rsid w:val="005F0A28"/>
    <w:rsid w:val="005F0E5E"/>
    <w:rsid w:val="005F3FD2"/>
    <w:rsid w:val="005F7ACD"/>
    <w:rsid w:val="00600535"/>
    <w:rsid w:val="00610CD6"/>
    <w:rsid w:val="006144C7"/>
    <w:rsid w:val="00620DEE"/>
    <w:rsid w:val="00621F92"/>
    <w:rsid w:val="0062280A"/>
    <w:rsid w:val="00625639"/>
    <w:rsid w:val="00631B33"/>
    <w:rsid w:val="006352B1"/>
    <w:rsid w:val="00636FF4"/>
    <w:rsid w:val="0064184D"/>
    <w:rsid w:val="006422CC"/>
    <w:rsid w:val="00654018"/>
    <w:rsid w:val="00654C1F"/>
    <w:rsid w:val="00654F0D"/>
    <w:rsid w:val="00657D7B"/>
    <w:rsid w:val="00660E3E"/>
    <w:rsid w:val="00662E74"/>
    <w:rsid w:val="00673910"/>
    <w:rsid w:val="00680C23"/>
    <w:rsid w:val="00681460"/>
    <w:rsid w:val="00693766"/>
    <w:rsid w:val="00697503"/>
    <w:rsid w:val="006A3281"/>
    <w:rsid w:val="006A68BE"/>
    <w:rsid w:val="006A7D26"/>
    <w:rsid w:val="006B4888"/>
    <w:rsid w:val="006C2E45"/>
    <w:rsid w:val="006C359C"/>
    <w:rsid w:val="006C5579"/>
    <w:rsid w:val="006D6E8B"/>
    <w:rsid w:val="006E0AD4"/>
    <w:rsid w:val="006E0BBD"/>
    <w:rsid w:val="006E737D"/>
    <w:rsid w:val="006F7FF2"/>
    <w:rsid w:val="00707DD1"/>
    <w:rsid w:val="00713973"/>
    <w:rsid w:val="00720A24"/>
    <w:rsid w:val="00732386"/>
    <w:rsid w:val="0073514D"/>
    <w:rsid w:val="007376FA"/>
    <w:rsid w:val="007447F3"/>
    <w:rsid w:val="0075499F"/>
    <w:rsid w:val="00756870"/>
    <w:rsid w:val="00763504"/>
    <w:rsid w:val="0076537D"/>
    <w:rsid w:val="00766074"/>
    <w:rsid w:val="007661C8"/>
    <w:rsid w:val="0077098D"/>
    <w:rsid w:val="00770AF4"/>
    <w:rsid w:val="00775CFF"/>
    <w:rsid w:val="0078131A"/>
    <w:rsid w:val="007931FA"/>
    <w:rsid w:val="007A009D"/>
    <w:rsid w:val="007A0702"/>
    <w:rsid w:val="007A261E"/>
    <w:rsid w:val="007A4861"/>
    <w:rsid w:val="007A7BBA"/>
    <w:rsid w:val="007B0C50"/>
    <w:rsid w:val="007B4188"/>
    <w:rsid w:val="007B48F9"/>
    <w:rsid w:val="007C1A43"/>
    <w:rsid w:val="007D0951"/>
    <w:rsid w:val="007D5D35"/>
    <w:rsid w:val="007F34F5"/>
    <w:rsid w:val="007F46BA"/>
    <w:rsid w:val="007F7D4D"/>
    <w:rsid w:val="0080013E"/>
    <w:rsid w:val="00813288"/>
    <w:rsid w:val="008168FC"/>
    <w:rsid w:val="008173AC"/>
    <w:rsid w:val="00830996"/>
    <w:rsid w:val="008345F1"/>
    <w:rsid w:val="00841488"/>
    <w:rsid w:val="00855AD0"/>
    <w:rsid w:val="00856018"/>
    <w:rsid w:val="008577F6"/>
    <w:rsid w:val="00865B07"/>
    <w:rsid w:val="008667EA"/>
    <w:rsid w:val="0087637F"/>
    <w:rsid w:val="00891B49"/>
    <w:rsid w:val="00892AD5"/>
    <w:rsid w:val="00893055"/>
    <w:rsid w:val="008967AF"/>
    <w:rsid w:val="00896872"/>
    <w:rsid w:val="008A1512"/>
    <w:rsid w:val="008C502C"/>
    <w:rsid w:val="008D32B9"/>
    <w:rsid w:val="008D433B"/>
    <w:rsid w:val="008D4A16"/>
    <w:rsid w:val="008E566E"/>
    <w:rsid w:val="008E58F7"/>
    <w:rsid w:val="008E78CF"/>
    <w:rsid w:val="0090161A"/>
    <w:rsid w:val="00901EB6"/>
    <w:rsid w:val="00902A05"/>
    <w:rsid w:val="00904C62"/>
    <w:rsid w:val="00922BA8"/>
    <w:rsid w:val="00924DAC"/>
    <w:rsid w:val="00927058"/>
    <w:rsid w:val="00942750"/>
    <w:rsid w:val="009450CE"/>
    <w:rsid w:val="009459BB"/>
    <w:rsid w:val="00947179"/>
    <w:rsid w:val="0095164B"/>
    <w:rsid w:val="00954090"/>
    <w:rsid w:val="00955BB6"/>
    <w:rsid w:val="009573E7"/>
    <w:rsid w:val="00963E05"/>
    <w:rsid w:val="00964A45"/>
    <w:rsid w:val="00967843"/>
    <w:rsid w:val="00967D54"/>
    <w:rsid w:val="00971028"/>
    <w:rsid w:val="00975195"/>
    <w:rsid w:val="00983EF9"/>
    <w:rsid w:val="00993B84"/>
    <w:rsid w:val="00996483"/>
    <w:rsid w:val="00996F5A"/>
    <w:rsid w:val="009A2072"/>
    <w:rsid w:val="009A4307"/>
    <w:rsid w:val="009B041A"/>
    <w:rsid w:val="009C37C3"/>
    <w:rsid w:val="009C6DFA"/>
    <w:rsid w:val="009C7C86"/>
    <w:rsid w:val="009D15D6"/>
    <w:rsid w:val="009D2FF7"/>
    <w:rsid w:val="009E5CB3"/>
    <w:rsid w:val="009E7884"/>
    <w:rsid w:val="009E788A"/>
    <w:rsid w:val="009F0E08"/>
    <w:rsid w:val="00A0784C"/>
    <w:rsid w:val="00A1763D"/>
    <w:rsid w:val="00A17CEC"/>
    <w:rsid w:val="00A27EF0"/>
    <w:rsid w:val="00A30DD8"/>
    <w:rsid w:val="00A34F2A"/>
    <w:rsid w:val="00A375B5"/>
    <w:rsid w:val="00A42361"/>
    <w:rsid w:val="00A43A26"/>
    <w:rsid w:val="00A50B20"/>
    <w:rsid w:val="00A51390"/>
    <w:rsid w:val="00A57E16"/>
    <w:rsid w:val="00A60D13"/>
    <w:rsid w:val="00A67B03"/>
    <w:rsid w:val="00A714EF"/>
    <w:rsid w:val="00A7223D"/>
    <w:rsid w:val="00A72745"/>
    <w:rsid w:val="00A76EFC"/>
    <w:rsid w:val="00A87CF9"/>
    <w:rsid w:val="00A87D50"/>
    <w:rsid w:val="00A91010"/>
    <w:rsid w:val="00A97F29"/>
    <w:rsid w:val="00AA702E"/>
    <w:rsid w:val="00AA7D26"/>
    <w:rsid w:val="00AB0964"/>
    <w:rsid w:val="00AB5011"/>
    <w:rsid w:val="00AC7368"/>
    <w:rsid w:val="00AD16B9"/>
    <w:rsid w:val="00AD3463"/>
    <w:rsid w:val="00AE2D0F"/>
    <w:rsid w:val="00AE377D"/>
    <w:rsid w:val="00AF0EBA"/>
    <w:rsid w:val="00AF1055"/>
    <w:rsid w:val="00AF46C8"/>
    <w:rsid w:val="00AF486F"/>
    <w:rsid w:val="00AF7A3B"/>
    <w:rsid w:val="00B02C8A"/>
    <w:rsid w:val="00B10CCE"/>
    <w:rsid w:val="00B17FBD"/>
    <w:rsid w:val="00B315A6"/>
    <w:rsid w:val="00B31813"/>
    <w:rsid w:val="00B33365"/>
    <w:rsid w:val="00B44E97"/>
    <w:rsid w:val="00B47029"/>
    <w:rsid w:val="00B5535B"/>
    <w:rsid w:val="00B57B36"/>
    <w:rsid w:val="00B57E6F"/>
    <w:rsid w:val="00B8686D"/>
    <w:rsid w:val="00B93F69"/>
    <w:rsid w:val="00BB1DDC"/>
    <w:rsid w:val="00BC30C9"/>
    <w:rsid w:val="00BD077D"/>
    <w:rsid w:val="00BD54AE"/>
    <w:rsid w:val="00BE3E58"/>
    <w:rsid w:val="00C01616"/>
    <w:rsid w:val="00C0162B"/>
    <w:rsid w:val="00C068ED"/>
    <w:rsid w:val="00C22E0C"/>
    <w:rsid w:val="00C24AF1"/>
    <w:rsid w:val="00C30BF0"/>
    <w:rsid w:val="00C345B1"/>
    <w:rsid w:val="00C40142"/>
    <w:rsid w:val="00C52C3C"/>
    <w:rsid w:val="00C57182"/>
    <w:rsid w:val="00C57863"/>
    <w:rsid w:val="00C640AF"/>
    <w:rsid w:val="00C655FD"/>
    <w:rsid w:val="00C71407"/>
    <w:rsid w:val="00C75407"/>
    <w:rsid w:val="00C75D8F"/>
    <w:rsid w:val="00C841C6"/>
    <w:rsid w:val="00C870A8"/>
    <w:rsid w:val="00C94434"/>
    <w:rsid w:val="00CA0145"/>
    <w:rsid w:val="00CA0D75"/>
    <w:rsid w:val="00CA1C95"/>
    <w:rsid w:val="00CA5A9C"/>
    <w:rsid w:val="00CB31A2"/>
    <w:rsid w:val="00CC4C20"/>
    <w:rsid w:val="00CC62E1"/>
    <w:rsid w:val="00CD3517"/>
    <w:rsid w:val="00CD5FE2"/>
    <w:rsid w:val="00CE2B18"/>
    <w:rsid w:val="00CE7C68"/>
    <w:rsid w:val="00D02589"/>
    <w:rsid w:val="00D02B4C"/>
    <w:rsid w:val="00D040C4"/>
    <w:rsid w:val="00D1113F"/>
    <w:rsid w:val="00D20AD1"/>
    <w:rsid w:val="00D2582C"/>
    <w:rsid w:val="00D379CA"/>
    <w:rsid w:val="00D43583"/>
    <w:rsid w:val="00D46B7E"/>
    <w:rsid w:val="00D57C84"/>
    <w:rsid w:val="00D6057D"/>
    <w:rsid w:val="00D66792"/>
    <w:rsid w:val="00D71640"/>
    <w:rsid w:val="00D71998"/>
    <w:rsid w:val="00D836C5"/>
    <w:rsid w:val="00D84576"/>
    <w:rsid w:val="00D85F5B"/>
    <w:rsid w:val="00D91316"/>
    <w:rsid w:val="00D96371"/>
    <w:rsid w:val="00DA1399"/>
    <w:rsid w:val="00DA24C6"/>
    <w:rsid w:val="00DA4D7B"/>
    <w:rsid w:val="00DB2CF6"/>
    <w:rsid w:val="00DD02B7"/>
    <w:rsid w:val="00DD271C"/>
    <w:rsid w:val="00DE264A"/>
    <w:rsid w:val="00DE37F7"/>
    <w:rsid w:val="00DF2F63"/>
    <w:rsid w:val="00DF5072"/>
    <w:rsid w:val="00E02D18"/>
    <w:rsid w:val="00E041E7"/>
    <w:rsid w:val="00E23CA1"/>
    <w:rsid w:val="00E409A8"/>
    <w:rsid w:val="00E41C64"/>
    <w:rsid w:val="00E50ADC"/>
    <w:rsid w:val="00E50C12"/>
    <w:rsid w:val="00E634DD"/>
    <w:rsid w:val="00E65B91"/>
    <w:rsid w:val="00E7209D"/>
    <w:rsid w:val="00E72EAD"/>
    <w:rsid w:val="00E72F48"/>
    <w:rsid w:val="00E77223"/>
    <w:rsid w:val="00E811AC"/>
    <w:rsid w:val="00E8528B"/>
    <w:rsid w:val="00E85B94"/>
    <w:rsid w:val="00E9221C"/>
    <w:rsid w:val="00E978D0"/>
    <w:rsid w:val="00EA4613"/>
    <w:rsid w:val="00EA7F91"/>
    <w:rsid w:val="00EB1523"/>
    <w:rsid w:val="00EC0E49"/>
    <w:rsid w:val="00EC101F"/>
    <w:rsid w:val="00EC1D9F"/>
    <w:rsid w:val="00EE0131"/>
    <w:rsid w:val="00EE17B0"/>
    <w:rsid w:val="00EE2346"/>
    <w:rsid w:val="00EE4B8A"/>
    <w:rsid w:val="00EF06D9"/>
    <w:rsid w:val="00F3049E"/>
    <w:rsid w:val="00F30C64"/>
    <w:rsid w:val="00F32BA2"/>
    <w:rsid w:val="00F32CDB"/>
    <w:rsid w:val="00F51F51"/>
    <w:rsid w:val="00F565FE"/>
    <w:rsid w:val="00F577A2"/>
    <w:rsid w:val="00F63A70"/>
    <w:rsid w:val="00F63D8C"/>
    <w:rsid w:val="00F66807"/>
    <w:rsid w:val="00F7534E"/>
    <w:rsid w:val="00F93EDF"/>
    <w:rsid w:val="00FA1802"/>
    <w:rsid w:val="00FA21D0"/>
    <w:rsid w:val="00FA5F5F"/>
    <w:rsid w:val="00FB730C"/>
    <w:rsid w:val="00FC2695"/>
    <w:rsid w:val="00FC39ED"/>
    <w:rsid w:val="00FC3E03"/>
    <w:rsid w:val="00FC3FC1"/>
    <w:rsid w:val="00FD6F37"/>
    <w:rsid w:val="00FE314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customStyle="1" w:styleId="Mencinsinresolver1">
    <w:name w:val="Mención sin resolver1"/>
    <w:basedOn w:val="Fuentedeprrafopredeter"/>
    <w:uiPriority w:val="99"/>
    <w:semiHidden/>
    <w:unhideWhenUsed/>
    <w:rsid w:val="00405C78"/>
    <w:rPr>
      <w:color w:val="605E5C"/>
      <w:shd w:val="clear" w:color="auto" w:fill="E1DFDD"/>
    </w:rPr>
  </w:style>
  <w:style w:type="character" w:styleId="nfasis">
    <w:name w:val="Emphasis"/>
    <w:basedOn w:val="Fuentedeprrafopredeter"/>
    <w:uiPriority w:val="20"/>
    <w:qFormat/>
    <w:rsid w:val="00580B30"/>
    <w:rPr>
      <w:i/>
      <w:iCs/>
    </w:rPr>
  </w:style>
  <w:style w:type="character" w:styleId="Textoennegrita">
    <w:name w:val="Strong"/>
    <w:basedOn w:val="Fuentedeprrafopredeter"/>
    <w:uiPriority w:val="22"/>
    <w:qFormat/>
    <w:rsid w:val="0076537D"/>
    <w:rPr>
      <w:b/>
      <w:bCs/>
    </w:rPr>
  </w:style>
  <w:style w:type="character" w:styleId="Hipervnculovisitado">
    <w:name w:val="FollowedHyperlink"/>
    <w:basedOn w:val="Fuentedeprrafopredeter"/>
    <w:uiPriority w:val="99"/>
    <w:semiHidden/>
    <w:unhideWhenUsed/>
    <w:rsid w:val="009E5CB3"/>
    <w:rPr>
      <w:color w:val="800080" w:themeColor="followedHyperlink"/>
      <w:u w:val="single"/>
    </w:rPr>
  </w:style>
  <w:style w:type="character" w:styleId="Mencinsinresolver">
    <w:name w:val="Unresolved Mention"/>
    <w:basedOn w:val="Fuentedeprrafopredeter"/>
    <w:uiPriority w:val="99"/>
    <w:semiHidden/>
    <w:unhideWhenUsed/>
    <w:rsid w:val="007A2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7986">
      <w:bodyDiv w:val="1"/>
      <w:marLeft w:val="0"/>
      <w:marRight w:val="0"/>
      <w:marTop w:val="0"/>
      <w:marBottom w:val="0"/>
      <w:divBdr>
        <w:top w:val="none" w:sz="0" w:space="0" w:color="auto"/>
        <w:left w:val="none" w:sz="0" w:space="0" w:color="auto"/>
        <w:bottom w:val="none" w:sz="0" w:space="0" w:color="auto"/>
        <w:right w:val="none" w:sz="0" w:space="0" w:color="auto"/>
      </w:divBdr>
    </w:div>
    <w:div w:id="212155678">
      <w:bodyDiv w:val="1"/>
      <w:marLeft w:val="0"/>
      <w:marRight w:val="0"/>
      <w:marTop w:val="0"/>
      <w:marBottom w:val="0"/>
      <w:divBdr>
        <w:top w:val="none" w:sz="0" w:space="0" w:color="auto"/>
        <w:left w:val="none" w:sz="0" w:space="0" w:color="auto"/>
        <w:bottom w:val="none" w:sz="0" w:space="0" w:color="auto"/>
        <w:right w:val="none" w:sz="0" w:space="0" w:color="auto"/>
      </w:divBdr>
    </w:div>
    <w:div w:id="237793995">
      <w:bodyDiv w:val="1"/>
      <w:marLeft w:val="0"/>
      <w:marRight w:val="0"/>
      <w:marTop w:val="0"/>
      <w:marBottom w:val="0"/>
      <w:divBdr>
        <w:top w:val="none" w:sz="0" w:space="0" w:color="auto"/>
        <w:left w:val="none" w:sz="0" w:space="0" w:color="auto"/>
        <w:bottom w:val="none" w:sz="0" w:space="0" w:color="auto"/>
        <w:right w:val="none" w:sz="0" w:space="0" w:color="auto"/>
      </w:divBdr>
    </w:div>
    <w:div w:id="379862531">
      <w:bodyDiv w:val="1"/>
      <w:marLeft w:val="0"/>
      <w:marRight w:val="0"/>
      <w:marTop w:val="0"/>
      <w:marBottom w:val="0"/>
      <w:divBdr>
        <w:top w:val="none" w:sz="0" w:space="0" w:color="auto"/>
        <w:left w:val="none" w:sz="0" w:space="0" w:color="auto"/>
        <w:bottom w:val="none" w:sz="0" w:space="0" w:color="auto"/>
        <w:right w:val="none" w:sz="0" w:space="0" w:color="auto"/>
      </w:divBdr>
    </w:div>
    <w:div w:id="441193341">
      <w:bodyDiv w:val="1"/>
      <w:marLeft w:val="0"/>
      <w:marRight w:val="0"/>
      <w:marTop w:val="0"/>
      <w:marBottom w:val="0"/>
      <w:divBdr>
        <w:top w:val="none" w:sz="0" w:space="0" w:color="auto"/>
        <w:left w:val="none" w:sz="0" w:space="0" w:color="auto"/>
        <w:bottom w:val="none" w:sz="0" w:space="0" w:color="auto"/>
        <w:right w:val="none" w:sz="0" w:space="0" w:color="auto"/>
      </w:divBdr>
    </w:div>
    <w:div w:id="460656070">
      <w:bodyDiv w:val="1"/>
      <w:marLeft w:val="0"/>
      <w:marRight w:val="0"/>
      <w:marTop w:val="0"/>
      <w:marBottom w:val="0"/>
      <w:divBdr>
        <w:top w:val="none" w:sz="0" w:space="0" w:color="auto"/>
        <w:left w:val="none" w:sz="0" w:space="0" w:color="auto"/>
        <w:bottom w:val="none" w:sz="0" w:space="0" w:color="auto"/>
        <w:right w:val="none" w:sz="0" w:space="0" w:color="auto"/>
      </w:divBdr>
    </w:div>
    <w:div w:id="475298984">
      <w:bodyDiv w:val="1"/>
      <w:marLeft w:val="0"/>
      <w:marRight w:val="0"/>
      <w:marTop w:val="0"/>
      <w:marBottom w:val="0"/>
      <w:divBdr>
        <w:top w:val="none" w:sz="0" w:space="0" w:color="auto"/>
        <w:left w:val="none" w:sz="0" w:space="0" w:color="auto"/>
        <w:bottom w:val="none" w:sz="0" w:space="0" w:color="auto"/>
        <w:right w:val="none" w:sz="0" w:space="0" w:color="auto"/>
      </w:divBdr>
    </w:div>
    <w:div w:id="666398863">
      <w:bodyDiv w:val="1"/>
      <w:marLeft w:val="0"/>
      <w:marRight w:val="0"/>
      <w:marTop w:val="0"/>
      <w:marBottom w:val="0"/>
      <w:divBdr>
        <w:top w:val="none" w:sz="0" w:space="0" w:color="auto"/>
        <w:left w:val="none" w:sz="0" w:space="0" w:color="auto"/>
        <w:bottom w:val="none" w:sz="0" w:space="0" w:color="auto"/>
        <w:right w:val="none" w:sz="0" w:space="0" w:color="auto"/>
      </w:divBdr>
    </w:div>
    <w:div w:id="719287033">
      <w:bodyDiv w:val="1"/>
      <w:marLeft w:val="0"/>
      <w:marRight w:val="0"/>
      <w:marTop w:val="0"/>
      <w:marBottom w:val="0"/>
      <w:divBdr>
        <w:top w:val="none" w:sz="0" w:space="0" w:color="auto"/>
        <w:left w:val="none" w:sz="0" w:space="0" w:color="auto"/>
        <w:bottom w:val="none" w:sz="0" w:space="0" w:color="auto"/>
        <w:right w:val="none" w:sz="0" w:space="0" w:color="auto"/>
      </w:divBdr>
    </w:div>
    <w:div w:id="778372068">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6138">
      <w:bodyDiv w:val="1"/>
      <w:marLeft w:val="0"/>
      <w:marRight w:val="0"/>
      <w:marTop w:val="0"/>
      <w:marBottom w:val="0"/>
      <w:divBdr>
        <w:top w:val="none" w:sz="0" w:space="0" w:color="auto"/>
        <w:left w:val="none" w:sz="0" w:space="0" w:color="auto"/>
        <w:bottom w:val="none" w:sz="0" w:space="0" w:color="auto"/>
        <w:right w:val="none" w:sz="0" w:space="0" w:color="auto"/>
      </w:divBdr>
    </w:div>
    <w:div w:id="822426612">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4762">
      <w:bodyDiv w:val="1"/>
      <w:marLeft w:val="0"/>
      <w:marRight w:val="0"/>
      <w:marTop w:val="0"/>
      <w:marBottom w:val="0"/>
      <w:divBdr>
        <w:top w:val="none" w:sz="0" w:space="0" w:color="auto"/>
        <w:left w:val="none" w:sz="0" w:space="0" w:color="auto"/>
        <w:bottom w:val="none" w:sz="0" w:space="0" w:color="auto"/>
        <w:right w:val="none" w:sz="0" w:space="0" w:color="auto"/>
      </w:divBdr>
    </w:div>
    <w:div w:id="965115785">
      <w:bodyDiv w:val="1"/>
      <w:marLeft w:val="0"/>
      <w:marRight w:val="0"/>
      <w:marTop w:val="0"/>
      <w:marBottom w:val="0"/>
      <w:divBdr>
        <w:top w:val="none" w:sz="0" w:space="0" w:color="auto"/>
        <w:left w:val="none" w:sz="0" w:space="0" w:color="auto"/>
        <w:bottom w:val="none" w:sz="0" w:space="0" w:color="auto"/>
        <w:right w:val="none" w:sz="0" w:space="0" w:color="auto"/>
      </w:divBdr>
    </w:div>
    <w:div w:id="989594911">
      <w:bodyDiv w:val="1"/>
      <w:marLeft w:val="0"/>
      <w:marRight w:val="0"/>
      <w:marTop w:val="0"/>
      <w:marBottom w:val="0"/>
      <w:divBdr>
        <w:top w:val="none" w:sz="0" w:space="0" w:color="auto"/>
        <w:left w:val="none" w:sz="0" w:space="0" w:color="auto"/>
        <w:bottom w:val="none" w:sz="0" w:space="0" w:color="auto"/>
        <w:right w:val="none" w:sz="0" w:space="0" w:color="auto"/>
      </w:divBdr>
    </w:div>
    <w:div w:id="995301269">
      <w:bodyDiv w:val="1"/>
      <w:marLeft w:val="0"/>
      <w:marRight w:val="0"/>
      <w:marTop w:val="0"/>
      <w:marBottom w:val="0"/>
      <w:divBdr>
        <w:top w:val="none" w:sz="0" w:space="0" w:color="auto"/>
        <w:left w:val="none" w:sz="0" w:space="0" w:color="auto"/>
        <w:bottom w:val="none" w:sz="0" w:space="0" w:color="auto"/>
        <w:right w:val="none" w:sz="0" w:space="0" w:color="auto"/>
      </w:divBdr>
    </w:div>
    <w:div w:id="1037848850">
      <w:bodyDiv w:val="1"/>
      <w:marLeft w:val="0"/>
      <w:marRight w:val="0"/>
      <w:marTop w:val="0"/>
      <w:marBottom w:val="0"/>
      <w:divBdr>
        <w:top w:val="none" w:sz="0" w:space="0" w:color="auto"/>
        <w:left w:val="none" w:sz="0" w:space="0" w:color="auto"/>
        <w:bottom w:val="none" w:sz="0" w:space="0" w:color="auto"/>
        <w:right w:val="none" w:sz="0" w:space="0" w:color="auto"/>
      </w:divBdr>
    </w:div>
    <w:div w:id="1055620293">
      <w:bodyDiv w:val="1"/>
      <w:marLeft w:val="0"/>
      <w:marRight w:val="0"/>
      <w:marTop w:val="0"/>
      <w:marBottom w:val="0"/>
      <w:divBdr>
        <w:top w:val="none" w:sz="0" w:space="0" w:color="auto"/>
        <w:left w:val="none" w:sz="0" w:space="0" w:color="auto"/>
        <w:bottom w:val="none" w:sz="0" w:space="0" w:color="auto"/>
        <w:right w:val="none" w:sz="0" w:space="0" w:color="auto"/>
      </w:divBdr>
    </w:div>
    <w:div w:id="1147622495">
      <w:bodyDiv w:val="1"/>
      <w:marLeft w:val="0"/>
      <w:marRight w:val="0"/>
      <w:marTop w:val="0"/>
      <w:marBottom w:val="0"/>
      <w:divBdr>
        <w:top w:val="none" w:sz="0" w:space="0" w:color="auto"/>
        <w:left w:val="none" w:sz="0" w:space="0" w:color="auto"/>
        <w:bottom w:val="none" w:sz="0" w:space="0" w:color="auto"/>
        <w:right w:val="none" w:sz="0" w:space="0" w:color="auto"/>
      </w:divBdr>
    </w:div>
    <w:div w:id="1150441447">
      <w:bodyDiv w:val="1"/>
      <w:marLeft w:val="0"/>
      <w:marRight w:val="0"/>
      <w:marTop w:val="0"/>
      <w:marBottom w:val="0"/>
      <w:divBdr>
        <w:top w:val="none" w:sz="0" w:space="0" w:color="auto"/>
        <w:left w:val="none" w:sz="0" w:space="0" w:color="auto"/>
        <w:bottom w:val="none" w:sz="0" w:space="0" w:color="auto"/>
        <w:right w:val="none" w:sz="0" w:space="0" w:color="auto"/>
      </w:divBdr>
      <w:divsChild>
        <w:div w:id="1904370723">
          <w:marLeft w:val="547"/>
          <w:marRight w:val="0"/>
          <w:marTop w:val="0"/>
          <w:marBottom w:val="0"/>
          <w:divBdr>
            <w:top w:val="none" w:sz="0" w:space="0" w:color="auto"/>
            <w:left w:val="none" w:sz="0" w:space="0" w:color="auto"/>
            <w:bottom w:val="none" w:sz="0" w:space="0" w:color="auto"/>
            <w:right w:val="none" w:sz="0" w:space="0" w:color="auto"/>
          </w:divBdr>
        </w:div>
        <w:div w:id="1224833456">
          <w:marLeft w:val="547"/>
          <w:marRight w:val="0"/>
          <w:marTop w:val="0"/>
          <w:marBottom w:val="0"/>
          <w:divBdr>
            <w:top w:val="none" w:sz="0" w:space="0" w:color="auto"/>
            <w:left w:val="none" w:sz="0" w:space="0" w:color="auto"/>
            <w:bottom w:val="none" w:sz="0" w:space="0" w:color="auto"/>
            <w:right w:val="none" w:sz="0" w:space="0" w:color="auto"/>
          </w:divBdr>
        </w:div>
        <w:div w:id="1186477220">
          <w:marLeft w:val="547"/>
          <w:marRight w:val="0"/>
          <w:marTop w:val="0"/>
          <w:marBottom w:val="0"/>
          <w:divBdr>
            <w:top w:val="none" w:sz="0" w:space="0" w:color="auto"/>
            <w:left w:val="none" w:sz="0" w:space="0" w:color="auto"/>
            <w:bottom w:val="none" w:sz="0" w:space="0" w:color="auto"/>
            <w:right w:val="none" w:sz="0" w:space="0" w:color="auto"/>
          </w:divBdr>
        </w:div>
        <w:div w:id="1933080953">
          <w:marLeft w:val="547"/>
          <w:marRight w:val="0"/>
          <w:marTop w:val="0"/>
          <w:marBottom w:val="0"/>
          <w:divBdr>
            <w:top w:val="none" w:sz="0" w:space="0" w:color="auto"/>
            <w:left w:val="none" w:sz="0" w:space="0" w:color="auto"/>
            <w:bottom w:val="none" w:sz="0" w:space="0" w:color="auto"/>
            <w:right w:val="none" w:sz="0" w:space="0" w:color="auto"/>
          </w:divBdr>
        </w:div>
      </w:divsChild>
    </w:div>
    <w:div w:id="1257982238">
      <w:bodyDiv w:val="1"/>
      <w:marLeft w:val="0"/>
      <w:marRight w:val="0"/>
      <w:marTop w:val="0"/>
      <w:marBottom w:val="0"/>
      <w:divBdr>
        <w:top w:val="none" w:sz="0" w:space="0" w:color="auto"/>
        <w:left w:val="none" w:sz="0" w:space="0" w:color="auto"/>
        <w:bottom w:val="none" w:sz="0" w:space="0" w:color="auto"/>
        <w:right w:val="none" w:sz="0" w:space="0" w:color="auto"/>
      </w:divBdr>
    </w:div>
    <w:div w:id="1279797938">
      <w:bodyDiv w:val="1"/>
      <w:marLeft w:val="0"/>
      <w:marRight w:val="0"/>
      <w:marTop w:val="0"/>
      <w:marBottom w:val="0"/>
      <w:divBdr>
        <w:top w:val="none" w:sz="0" w:space="0" w:color="auto"/>
        <w:left w:val="none" w:sz="0" w:space="0" w:color="auto"/>
        <w:bottom w:val="none" w:sz="0" w:space="0" w:color="auto"/>
        <w:right w:val="none" w:sz="0" w:space="0" w:color="auto"/>
      </w:divBdr>
    </w:div>
    <w:div w:id="1295022362">
      <w:bodyDiv w:val="1"/>
      <w:marLeft w:val="0"/>
      <w:marRight w:val="0"/>
      <w:marTop w:val="0"/>
      <w:marBottom w:val="0"/>
      <w:divBdr>
        <w:top w:val="none" w:sz="0" w:space="0" w:color="auto"/>
        <w:left w:val="none" w:sz="0" w:space="0" w:color="auto"/>
        <w:bottom w:val="none" w:sz="0" w:space="0" w:color="auto"/>
        <w:right w:val="none" w:sz="0" w:space="0" w:color="auto"/>
      </w:divBdr>
    </w:div>
    <w:div w:id="1378701613">
      <w:bodyDiv w:val="1"/>
      <w:marLeft w:val="0"/>
      <w:marRight w:val="0"/>
      <w:marTop w:val="0"/>
      <w:marBottom w:val="0"/>
      <w:divBdr>
        <w:top w:val="none" w:sz="0" w:space="0" w:color="auto"/>
        <w:left w:val="none" w:sz="0" w:space="0" w:color="auto"/>
        <w:bottom w:val="none" w:sz="0" w:space="0" w:color="auto"/>
        <w:right w:val="none" w:sz="0" w:space="0" w:color="auto"/>
      </w:divBdr>
    </w:div>
    <w:div w:id="1400126805">
      <w:bodyDiv w:val="1"/>
      <w:marLeft w:val="0"/>
      <w:marRight w:val="0"/>
      <w:marTop w:val="0"/>
      <w:marBottom w:val="0"/>
      <w:divBdr>
        <w:top w:val="none" w:sz="0" w:space="0" w:color="auto"/>
        <w:left w:val="none" w:sz="0" w:space="0" w:color="auto"/>
        <w:bottom w:val="none" w:sz="0" w:space="0" w:color="auto"/>
        <w:right w:val="none" w:sz="0" w:space="0" w:color="auto"/>
      </w:divBdr>
    </w:div>
    <w:div w:id="141959505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62724921">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0513435">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8526">
      <w:bodyDiv w:val="1"/>
      <w:marLeft w:val="0"/>
      <w:marRight w:val="0"/>
      <w:marTop w:val="0"/>
      <w:marBottom w:val="0"/>
      <w:divBdr>
        <w:top w:val="none" w:sz="0" w:space="0" w:color="auto"/>
        <w:left w:val="none" w:sz="0" w:space="0" w:color="auto"/>
        <w:bottom w:val="none" w:sz="0" w:space="0" w:color="auto"/>
        <w:right w:val="none" w:sz="0" w:space="0" w:color="auto"/>
      </w:divBdr>
    </w:div>
    <w:div w:id="1878393391">
      <w:bodyDiv w:val="1"/>
      <w:marLeft w:val="0"/>
      <w:marRight w:val="0"/>
      <w:marTop w:val="0"/>
      <w:marBottom w:val="0"/>
      <w:divBdr>
        <w:top w:val="none" w:sz="0" w:space="0" w:color="auto"/>
        <w:left w:val="none" w:sz="0" w:space="0" w:color="auto"/>
        <w:bottom w:val="none" w:sz="0" w:space="0" w:color="auto"/>
        <w:right w:val="none" w:sz="0" w:space="0" w:color="auto"/>
      </w:divBdr>
    </w:div>
    <w:div w:id="1888057831">
      <w:bodyDiv w:val="1"/>
      <w:marLeft w:val="0"/>
      <w:marRight w:val="0"/>
      <w:marTop w:val="0"/>
      <w:marBottom w:val="0"/>
      <w:divBdr>
        <w:top w:val="none" w:sz="0" w:space="0" w:color="auto"/>
        <w:left w:val="none" w:sz="0" w:space="0" w:color="auto"/>
        <w:bottom w:val="none" w:sz="0" w:space="0" w:color="auto"/>
        <w:right w:val="none" w:sz="0" w:space="0" w:color="auto"/>
      </w:divBdr>
    </w:div>
    <w:div w:id="2056149665">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https://doi.org/10.3389/fmicb.2016.01369" TargetMode="Externa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image" Target="media/image6.png"/><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5.png"/><Relationship Id="rId10" Type="http://schemas.openxmlformats.org/officeDocument/2006/relationships/hyperlink" Target="mailto:juliana.quinterojul@unipamplona.edu.co" TargetMode="Externa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image" Target="media/image4.pn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AEF502-65B7-4673-B559-CF4139918452}" type="doc">
      <dgm:prSet loTypeId="urn:microsoft.com/office/officeart/2005/8/layout/chevron1" loCatId="process" qsTypeId="urn:microsoft.com/office/officeart/2005/8/quickstyle/simple1" qsCatId="simple" csTypeId="urn:microsoft.com/office/officeart/2005/8/colors/accent3_2" csCatId="accent3" phldr="1"/>
      <dgm:spPr/>
    </dgm:pt>
    <dgm:pt modelId="{31C420FB-396F-4BE7-9276-2196DB829D48}">
      <dgm:prSet phldrT="[Texto]" custT="1"/>
      <dgm:spPr/>
      <dgm:t>
        <a:bodyPr/>
        <a:lstStyle/>
        <a:p>
          <a:r>
            <a:rPr lang="es-CO" sz="900">
              <a:solidFill>
                <a:sysClr val="windowText" lastClr="000000"/>
              </a:solidFill>
              <a:latin typeface="Arial" panose="020B0604020202020204" pitchFamily="34" charset="0"/>
              <a:cs typeface="Arial" panose="020B0604020202020204" pitchFamily="34" charset="0"/>
            </a:rPr>
            <a:t>Texture</a:t>
          </a:r>
        </a:p>
      </dgm:t>
    </dgm:pt>
    <dgm:pt modelId="{DE3A8FBA-6DD7-4DF1-B97C-1829ED20048E}" type="parTrans" cxnId="{C2173F73-DD76-4AF7-B104-C2A21038AE35}">
      <dgm:prSet/>
      <dgm:spPr/>
      <dgm:t>
        <a:bodyPr/>
        <a:lstStyle/>
        <a:p>
          <a:endParaRPr lang="es-CO"/>
        </a:p>
      </dgm:t>
    </dgm:pt>
    <dgm:pt modelId="{9F3359C9-F4BA-408F-9F19-AFA21664BF7A}" type="sibTrans" cxnId="{C2173F73-DD76-4AF7-B104-C2A21038AE35}">
      <dgm:prSet/>
      <dgm:spPr/>
      <dgm:t>
        <a:bodyPr/>
        <a:lstStyle/>
        <a:p>
          <a:endParaRPr lang="es-CO"/>
        </a:p>
      </dgm:t>
    </dgm:pt>
    <dgm:pt modelId="{05A28D4C-B8E9-464B-82F6-17D7B42B297C}">
      <dgm:prSet phldrT="[Texto]" custT="1"/>
      <dgm:spPr/>
      <dgm:t>
        <a:bodyPr/>
        <a:lstStyle/>
        <a:p>
          <a:r>
            <a:rPr lang="es-CO" sz="900">
              <a:solidFill>
                <a:sysClr val="windowText" lastClr="000000"/>
              </a:solidFill>
              <a:latin typeface="Arial" panose="020B0604020202020204" pitchFamily="34" charset="0"/>
              <a:cs typeface="Arial" panose="020B0604020202020204" pitchFamily="34" charset="0"/>
            </a:rPr>
            <a:t>True and apparent density</a:t>
          </a:r>
        </a:p>
      </dgm:t>
    </dgm:pt>
    <dgm:pt modelId="{F0435664-B730-41A4-86E4-DE04BFDCF720}" type="parTrans" cxnId="{02EE9EA5-C399-46B6-BB38-F26F4ACF570B}">
      <dgm:prSet/>
      <dgm:spPr/>
      <dgm:t>
        <a:bodyPr/>
        <a:lstStyle/>
        <a:p>
          <a:endParaRPr lang="es-CO"/>
        </a:p>
      </dgm:t>
    </dgm:pt>
    <dgm:pt modelId="{71F20A48-C83A-4B98-8ECC-8E9E4B9694FA}" type="sibTrans" cxnId="{02EE9EA5-C399-46B6-BB38-F26F4ACF570B}">
      <dgm:prSet/>
      <dgm:spPr/>
      <dgm:t>
        <a:bodyPr/>
        <a:lstStyle/>
        <a:p>
          <a:endParaRPr lang="es-CO"/>
        </a:p>
      </dgm:t>
    </dgm:pt>
    <dgm:pt modelId="{4799F263-B7C1-4A61-A1BA-CBF55795FB07}">
      <dgm:prSet phldrT="[Texto]" custT="1"/>
      <dgm:spPr/>
      <dgm:t>
        <a:bodyPr/>
        <a:lstStyle/>
        <a:p>
          <a:r>
            <a:rPr lang="es-CO" sz="900">
              <a:solidFill>
                <a:sysClr val="windowText" lastClr="000000"/>
              </a:solidFill>
              <a:latin typeface="Arial" panose="020B0604020202020204" pitchFamily="34" charset="0"/>
              <a:cs typeface="Arial" panose="020B0604020202020204" pitchFamily="34" charset="0"/>
            </a:rPr>
            <a:t>Void fraction</a:t>
          </a:r>
        </a:p>
      </dgm:t>
    </dgm:pt>
    <dgm:pt modelId="{E071B695-8015-43D0-ABE2-16748AB5F4BD}" type="parTrans" cxnId="{E87480DC-C00C-469D-9D48-E1C9C0B2204A}">
      <dgm:prSet/>
      <dgm:spPr/>
      <dgm:t>
        <a:bodyPr/>
        <a:lstStyle/>
        <a:p>
          <a:endParaRPr lang="es-CO"/>
        </a:p>
      </dgm:t>
    </dgm:pt>
    <dgm:pt modelId="{FB721642-7D6C-448C-B764-5873A5660A91}" type="sibTrans" cxnId="{E87480DC-C00C-469D-9D48-E1C9C0B2204A}">
      <dgm:prSet/>
      <dgm:spPr/>
      <dgm:t>
        <a:bodyPr/>
        <a:lstStyle/>
        <a:p>
          <a:endParaRPr lang="es-CO"/>
        </a:p>
      </dgm:t>
    </dgm:pt>
    <dgm:pt modelId="{8EC87B40-B70A-47F8-A59E-CBE0C1E53C7E}" type="pres">
      <dgm:prSet presAssocID="{4EAEF502-65B7-4673-B559-CF4139918452}" presName="Name0" presStyleCnt="0">
        <dgm:presLayoutVars>
          <dgm:dir/>
          <dgm:animLvl val="lvl"/>
          <dgm:resizeHandles val="exact"/>
        </dgm:presLayoutVars>
      </dgm:prSet>
      <dgm:spPr/>
    </dgm:pt>
    <dgm:pt modelId="{F380D7FE-D641-43C7-A9CB-764C283941FF}" type="pres">
      <dgm:prSet presAssocID="{31C420FB-396F-4BE7-9276-2196DB829D48}" presName="parTxOnly" presStyleLbl="node1" presStyleIdx="0" presStyleCnt="3" custScaleX="62103">
        <dgm:presLayoutVars>
          <dgm:chMax val="0"/>
          <dgm:chPref val="0"/>
          <dgm:bulletEnabled val="1"/>
        </dgm:presLayoutVars>
      </dgm:prSet>
      <dgm:spPr/>
    </dgm:pt>
    <dgm:pt modelId="{BCFC6787-E8D5-40CE-977C-B41D0D4BF2A5}" type="pres">
      <dgm:prSet presAssocID="{9F3359C9-F4BA-408F-9F19-AFA21664BF7A}" presName="parTxOnlySpace" presStyleCnt="0"/>
      <dgm:spPr/>
    </dgm:pt>
    <dgm:pt modelId="{AA3907FB-C428-4762-8243-64AD89A02C9B}" type="pres">
      <dgm:prSet presAssocID="{05A28D4C-B8E9-464B-82F6-17D7B42B297C}" presName="parTxOnly" presStyleLbl="node1" presStyleIdx="1" presStyleCnt="3" custScaleX="56908">
        <dgm:presLayoutVars>
          <dgm:chMax val="0"/>
          <dgm:chPref val="0"/>
          <dgm:bulletEnabled val="1"/>
        </dgm:presLayoutVars>
      </dgm:prSet>
      <dgm:spPr/>
    </dgm:pt>
    <dgm:pt modelId="{1F31EAC6-4E0A-4102-829C-BA8F5DC0C768}" type="pres">
      <dgm:prSet presAssocID="{71F20A48-C83A-4B98-8ECC-8E9E4B9694FA}" presName="parTxOnlySpace" presStyleCnt="0"/>
      <dgm:spPr/>
    </dgm:pt>
    <dgm:pt modelId="{30B4B3A8-BB1E-454B-9F48-162F1C397E57}" type="pres">
      <dgm:prSet presAssocID="{4799F263-B7C1-4A61-A1BA-CBF55795FB07}" presName="parTxOnly" presStyleLbl="node1" presStyleIdx="2" presStyleCnt="3" custScaleX="50392">
        <dgm:presLayoutVars>
          <dgm:chMax val="0"/>
          <dgm:chPref val="0"/>
          <dgm:bulletEnabled val="1"/>
        </dgm:presLayoutVars>
      </dgm:prSet>
      <dgm:spPr/>
    </dgm:pt>
  </dgm:ptLst>
  <dgm:cxnLst>
    <dgm:cxn modelId="{0B820A48-4A6E-45DD-B5F4-067CB19B7240}" type="presOf" srcId="{4799F263-B7C1-4A61-A1BA-CBF55795FB07}" destId="{30B4B3A8-BB1E-454B-9F48-162F1C397E57}" srcOrd="0" destOrd="0" presId="urn:microsoft.com/office/officeart/2005/8/layout/chevron1"/>
    <dgm:cxn modelId="{BB5DC068-ACD4-4E51-857B-323043B280FA}" type="presOf" srcId="{4EAEF502-65B7-4673-B559-CF4139918452}" destId="{8EC87B40-B70A-47F8-A59E-CBE0C1E53C7E}" srcOrd="0" destOrd="0" presId="urn:microsoft.com/office/officeart/2005/8/layout/chevron1"/>
    <dgm:cxn modelId="{C2173F73-DD76-4AF7-B104-C2A21038AE35}" srcId="{4EAEF502-65B7-4673-B559-CF4139918452}" destId="{31C420FB-396F-4BE7-9276-2196DB829D48}" srcOrd="0" destOrd="0" parTransId="{DE3A8FBA-6DD7-4DF1-B97C-1829ED20048E}" sibTransId="{9F3359C9-F4BA-408F-9F19-AFA21664BF7A}"/>
    <dgm:cxn modelId="{02EE9EA5-C399-46B6-BB38-F26F4ACF570B}" srcId="{4EAEF502-65B7-4673-B559-CF4139918452}" destId="{05A28D4C-B8E9-464B-82F6-17D7B42B297C}" srcOrd="1" destOrd="0" parTransId="{F0435664-B730-41A4-86E4-DE04BFDCF720}" sibTransId="{71F20A48-C83A-4B98-8ECC-8E9E4B9694FA}"/>
    <dgm:cxn modelId="{61789EAC-AFA6-4BBD-BB43-A99DA7D7E6A9}" type="presOf" srcId="{31C420FB-396F-4BE7-9276-2196DB829D48}" destId="{F380D7FE-D641-43C7-A9CB-764C283941FF}" srcOrd="0" destOrd="0" presId="urn:microsoft.com/office/officeart/2005/8/layout/chevron1"/>
    <dgm:cxn modelId="{D7C82BC8-60F4-49D0-9431-D99E84179545}" type="presOf" srcId="{05A28D4C-B8E9-464B-82F6-17D7B42B297C}" destId="{AA3907FB-C428-4762-8243-64AD89A02C9B}" srcOrd="0" destOrd="0" presId="urn:microsoft.com/office/officeart/2005/8/layout/chevron1"/>
    <dgm:cxn modelId="{E87480DC-C00C-469D-9D48-E1C9C0B2204A}" srcId="{4EAEF502-65B7-4673-B559-CF4139918452}" destId="{4799F263-B7C1-4A61-A1BA-CBF55795FB07}" srcOrd="2" destOrd="0" parTransId="{E071B695-8015-43D0-ABE2-16748AB5F4BD}" sibTransId="{FB721642-7D6C-448C-B764-5873A5660A91}"/>
    <dgm:cxn modelId="{1E019EE6-4B9B-4DEC-A3A4-F1A4968A9CE5}" type="presParOf" srcId="{8EC87B40-B70A-47F8-A59E-CBE0C1E53C7E}" destId="{F380D7FE-D641-43C7-A9CB-764C283941FF}" srcOrd="0" destOrd="0" presId="urn:microsoft.com/office/officeart/2005/8/layout/chevron1"/>
    <dgm:cxn modelId="{AC6507CD-7482-4404-A196-4118F8E74335}" type="presParOf" srcId="{8EC87B40-B70A-47F8-A59E-CBE0C1E53C7E}" destId="{BCFC6787-E8D5-40CE-977C-B41D0D4BF2A5}" srcOrd="1" destOrd="0" presId="urn:microsoft.com/office/officeart/2005/8/layout/chevron1"/>
    <dgm:cxn modelId="{127AF47B-169D-488F-992A-FC3E61F163C3}" type="presParOf" srcId="{8EC87B40-B70A-47F8-A59E-CBE0C1E53C7E}" destId="{AA3907FB-C428-4762-8243-64AD89A02C9B}" srcOrd="2" destOrd="0" presId="urn:microsoft.com/office/officeart/2005/8/layout/chevron1"/>
    <dgm:cxn modelId="{C59CFF60-59A1-4EBB-8C09-D851D889445A}" type="presParOf" srcId="{8EC87B40-B70A-47F8-A59E-CBE0C1E53C7E}" destId="{1F31EAC6-4E0A-4102-829C-BA8F5DC0C768}" srcOrd="3" destOrd="0" presId="urn:microsoft.com/office/officeart/2005/8/layout/chevron1"/>
    <dgm:cxn modelId="{DF6DBA2A-BC9A-4765-9875-392A912BC069}" type="presParOf" srcId="{8EC87B40-B70A-47F8-A59E-CBE0C1E53C7E}" destId="{30B4B3A8-BB1E-454B-9F48-162F1C397E57}" srcOrd="4"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EAEF502-65B7-4673-B559-CF4139918452}" type="doc">
      <dgm:prSet loTypeId="urn:microsoft.com/office/officeart/2005/8/layout/chevron1" loCatId="process" qsTypeId="urn:microsoft.com/office/officeart/2005/8/quickstyle/simple1" qsCatId="simple" csTypeId="urn:microsoft.com/office/officeart/2005/8/colors/accent3_2" csCatId="accent3" phldr="1"/>
      <dgm:spPr/>
    </dgm:pt>
    <dgm:pt modelId="{31C420FB-396F-4BE7-9276-2196DB829D48}">
      <dgm:prSet phldrT="[Texto]" custT="1"/>
      <dgm:spPr/>
      <dgm:t>
        <a:bodyPr/>
        <a:lstStyle/>
        <a:p>
          <a:r>
            <a:rPr lang="es-CO" sz="900">
              <a:solidFill>
                <a:sysClr val="windowText" lastClr="000000"/>
              </a:solidFill>
              <a:latin typeface="Arial" panose="020B0604020202020204" pitchFamily="34" charset="0"/>
              <a:cs typeface="Arial" panose="020B0604020202020204" pitchFamily="34" charset="0"/>
            </a:rPr>
            <a:t>Moisture</a:t>
          </a:r>
        </a:p>
      </dgm:t>
    </dgm:pt>
    <dgm:pt modelId="{DE3A8FBA-6DD7-4DF1-B97C-1829ED20048E}" type="parTrans" cxnId="{C2173F73-DD76-4AF7-B104-C2A21038AE35}">
      <dgm:prSet/>
      <dgm:spPr/>
      <dgm:t>
        <a:bodyPr/>
        <a:lstStyle/>
        <a:p>
          <a:endParaRPr lang="es-CO"/>
        </a:p>
      </dgm:t>
    </dgm:pt>
    <dgm:pt modelId="{9F3359C9-F4BA-408F-9F19-AFA21664BF7A}" type="sibTrans" cxnId="{C2173F73-DD76-4AF7-B104-C2A21038AE35}">
      <dgm:prSet/>
      <dgm:spPr/>
      <dgm:t>
        <a:bodyPr/>
        <a:lstStyle/>
        <a:p>
          <a:endParaRPr lang="es-CO"/>
        </a:p>
      </dgm:t>
    </dgm:pt>
    <dgm:pt modelId="{0EE7BEB7-AFD5-48D7-AD88-60E583CC9428}">
      <dgm:prSet phldrT="[Texto]" custT="1"/>
      <dgm:spPr/>
      <dgm:t>
        <a:bodyPr/>
        <a:lstStyle/>
        <a:p>
          <a:r>
            <a:rPr lang="es-CO" sz="900">
              <a:solidFill>
                <a:sysClr val="windowText" lastClr="000000"/>
              </a:solidFill>
              <a:latin typeface="Arial" panose="020B0604020202020204" pitchFamily="34" charset="0"/>
              <a:cs typeface="Arial" panose="020B0604020202020204" pitchFamily="34" charset="0"/>
            </a:rPr>
            <a:t>Oranic matter</a:t>
          </a:r>
        </a:p>
      </dgm:t>
    </dgm:pt>
    <dgm:pt modelId="{D785FAE0-9B29-4A96-BA48-92BBF8DFC8BA}" type="parTrans" cxnId="{09FBE44A-0001-4FD2-8C2D-9A834A3063B9}">
      <dgm:prSet/>
      <dgm:spPr/>
      <dgm:t>
        <a:bodyPr/>
        <a:lstStyle/>
        <a:p>
          <a:endParaRPr lang="es-CO"/>
        </a:p>
      </dgm:t>
    </dgm:pt>
    <dgm:pt modelId="{E872A106-6800-428B-9A79-2CA31597B703}" type="sibTrans" cxnId="{09FBE44A-0001-4FD2-8C2D-9A834A3063B9}">
      <dgm:prSet/>
      <dgm:spPr/>
      <dgm:t>
        <a:bodyPr/>
        <a:lstStyle/>
        <a:p>
          <a:endParaRPr lang="es-CO"/>
        </a:p>
      </dgm:t>
    </dgm:pt>
    <dgm:pt modelId="{4799F263-B7C1-4A61-A1BA-CBF55795FB07}">
      <dgm:prSet phldrT="[Texto]" custT="1"/>
      <dgm:spPr/>
      <dgm:t>
        <a:bodyPr/>
        <a:lstStyle/>
        <a:p>
          <a:r>
            <a:rPr lang="es-CO" sz="900">
              <a:solidFill>
                <a:sysClr val="windowText" lastClr="000000"/>
              </a:solidFill>
              <a:latin typeface="Arial" panose="020B0604020202020204" pitchFamily="34" charset="0"/>
              <a:cs typeface="Arial" panose="020B0604020202020204" pitchFamily="34" charset="0"/>
            </a:rPr>
            <a:t>Electrical conductivity</a:t>
          </a:r>
        </a:p>
      </dgm:t>
    </dgm:pt>
    <dgm:pt modelId="{E071B695-8015-43D0-ABE2-16748AB5F4BD}" type="parTrans" cxnId="{E87480DC-C00C-469D-9D48-E1C9C0B2204A}">
      <dgm:prSet/>
      <dgm:spPr/>
      <dgm:t>
        <a:bodyPr/>
        <a:lstStyle/>
        <a:p>
          <a:endParaRPr lang="es-CO"/>
        </a:p>
      </dgm:t>
    </dgm:pt>
    <dgm:pt modelId="{FB721642-7D6C-448C-B764-5873A5660A91}" type="sibTrans" cxnId="{E87480DC-C00C-469D-9D48-E1C9C0B2204A}">
      <dgm:prSet/>
      <dgm:spPr/>
      <dgm:t>
        <a:bodyPr/>
        <a:lstStyle/>
        <a:p>
          <a:endParaRPr lang="es-CO"/>
        </a:p>
      </dgm:t>
    </dgm:pt>
    <dgm:pt modelId="{778D0179-3B75-4A0C-BDBA-5B832FEE8A5A}">
      <dgm:prSet phldrT="[Texto]" custT="1"/>
      <dgm:spPr/>
      <dgm:t>
        <a:bodyPr/>
        <a:lstStyle/>
        <a:p>
          <a:r>
            <a:rPr lang="es-CO" sz="900">
              <a:solidFill>
                <a:sysClr val="windowText" lastClr="000000"/>
              </a:solidFill>
              <a:latin typeface="Arial" panose="020B0604020202020204" pitchFamily="34" charset="0"/>
              <a:cs typeface="Arial" panose="020B0604020202020204" pitchFamily="34" charset="0"/>
            </a:rPr>
            <a:t>Phosphorus</a:t>
          </a:r>
        </a:p>
      </dgm:t>
    </dgm:pt>
    <dgm:pt modelId="{4F8F5BB7-66E4-4ECB-BA11-63150C065DB0}" type="parTrans" cxnId="{574FBE56-E5A0-4655-AE12-57D258151F0C}">
      <dgm:prSet/>
      <dgm:spPr/>
      <dgm:t>
        <a:bodyPr/>
        <a:lstStyle/>
        <a:p>
          <a:endParaRPr lang="es-CO"/>
        </a:p>
      </dgm:t>
    </dgm:pt>
    <dgm:pt modelId="{EA705BB3-10EC-46BA-8AA7-D253683CF93A}" type="sibTrans" cxnId="{574FBE56-E5A0-4655-AE12-57D258151F0C}">
      <dgm:prSet/>
      <dgm:spPr/>
      <dgm:t>
        <a:bodyPr/>
        <a:lstStyle/>
        <a:p>
          <a:endParaRPr lang="es-CO"/>
        </a:p>
      </dgm:t>
    </dgm:pt>
    <dgm:pt modelId="{788EF6DC-DE98-4122-B78E-60925405924C}">
      <dgm:prSet phldrT="[Texto]" custT="1"/>
      <dgm:spPr/>
      <dgm:t>
        <a:bodyPr/>
        <a:lstStyle/>
        <a:p>
          <a:r>
            <a:rPr lang="es-CO" sz="900">
              <a:solidFill>
                <a:sysClr val="windowText" lastClr="000000"/>
              </a:solidFill>
              <a:latin typeface="Arial" panose="020B0604020202020204" pitchFamily="34" charset="0"/>
              <a:cs typeface="Arial" panose="020B0604020202020204" pitchFamily="34" charset="0"/>
            </a:rPr>
            <a:t>pH</a:t>
          </a:r>
        </a:p>
      </dgm:t>
    </dgm:pt>
    <dgm:pt modelId="{FEBB7DC8-3CC8-4F94-9ADD-997DE8ED06AC}" type="parTrans" cxnId="{C69132BD-ABB2-40BF-BDF6-43801F550A69}">
      <dgm:prSet/>
      <dgm:spPr/>
      <dgm:t>
        <a:bodyPr/>
        <a:lstStyle/>
        <a:p>
          <a:endParaRPr lang="es-CO"/>
        </a:p>
      </dgm:t>
    </dgm:pt>
    <dgm:pt modelId="{8633B90C-4822-4C03-A865-1F8F3B47DC79}" type="sibTrans" cxnId="{C69132BD-ABB2-40BF-BDF6-43801F550A69}">
      <dgm:prSet/>
      <dgm:spPr/>
      <dgm:t>
        <a:bodyPr/>
        <a:lstStyle/>
        <a:p>
          <a:endParaRPr lang="es-CO"/>
        </a:p>
      </dgm:t>
    </dgm:pt>
    <dgm:pt modelId="{8EC87B40-B70A-47F8-A59E-CBE0C1E53C7E}" type="pres">
      <dgm:prSet presAssocID="{4EAEF502-65B7-4673-B559-CF4139918452}" presName="Name0" presStyleCnt="0">
        <dgm:presLayoutVars>
          <dgm:dir/>
          <dgm:animLvl val="lvl"/>
          <dgm:resizeHandles val="exact"/>
        </dgm:presLayoutVars>
      </dgm:prSet>
      <dgm:spPr/>
    </dgm:pt>
    <dgm:pt modelId="{05F3B195-B33D-4F39-A5DD-DCC1BBD538E3}" type="pres">
      <dgm:prSet presAssocID="{788EF6DC-DE98-4122-B78E-60925405924C}" presName="parTxOnly" presStyleLbl="node1" presStyleIdx="0" presStyleCnt="5">
        <dgm:presLayoutVars>
          <dgm:chMax val="0"/>
          <dgm:chPref val="0"/>
          <dgm:bulletEnabled val="1"/>
        </dgm:presLayoutVars>
      </dgm:prSet>
      <dgm:spPr/>
    </dgm:pt>
    <dgm:pt modelId="{D4342A29-A816-4D9E-ABB0-5BA9F470557A}" type="pres">
      <dgm:prSet presAssocID="{8633B90C-4822-4C03-A865-1F8F3B47DC79}" presName="parTxOnlySpace" presStyleCnt="0"/>
      <dgm:spPr/>
    </dgm:pt>
    <dgm:pt modelId="{F380D7FE-D641-43C7-A9CB-764C283941FF}" type="pres">
      <dgm:prSet presAssocID="{31C420FB-396F-4BE7-9276-2196DB829D48}" presName="parTxOnly" presStyleLbl="node1" presStyleIdx="1" presStyleCnt="5">
        <dgm:presLayoutVars>
          <dgm:chMax val="0"/>
          <dgm:chPref val="0"/>
          <dgm:bulletEnabled val="1"/>
        </dgm:presLayoutVars>
      </dgm:prSet>
      <dgm:spPr/>
    </dgm:pt>
    <dgm:pt modelId="{BCFC6787-E8D5-40CE-977C-B41D0D4BF2A5}" type="pres">
      <dgm:prSet presAssocID="{9F3359C9-F4BA-408F-9F19-AFA21664BF7A}" presName="parTxOnlySpace" presStyleCnt="0"/>
      <dgm:spPr/>
    </dgm:pt>
    <dgm:pt modelId="{237F876F-8A6E-477C-A75E-65E8DCC7F34C}" type="pres">
      <dgm:prSet presAssocID="{0EE7BEB7-AFD5-48D7-AD88-60E583CC9428}" presName="parTxOnly" presStyleLbl="node1" presStyleIdx="2" presStyleCnt="5">
        <dgm:presLayoutVars>
          <dgm:chMax val="0"/>
          <dgm:chPref val="0"/>
          <dgm:bulletEnabled val="1"/>
        </dgm:presLayoutVars>
      </dgm:prSet>
      <dgm:spPr/>
    </dgm:pt>
    <dgm:pt modelId="{740F7D76-2188-4805-9897-B3ECDAEFDA81}" type="pres">
      <dgm:prSet presAssocID="{E872A106-6800-428B-9A79-2CA31597B703}" presName="parTxOnlySpace" presStyleCnt="0"/>
      <dgm:spPr/>
    </dgm:pt>
    <dgm:pt modelId="{30B4B3A8-BB1E-454B-9F48-162F1C397E57}" type="pres">
      <dgm:prSet presAssocID="{4799F263-B7C1-4A61-A1BA-CBF55795FB07}" presName="parTxOnly" presStyleLbl="node1" presStyleIdx="3" presStyleCnt="5">
        <dgm:presLayoutVars>
          <dgm:chMax val="0"/>
          <dgm:chPref val="0"/>
          <dgm:bulletEnabled val="1"/>
        </dgm:presLayoutVars>
      </dgm:prSet>
      <dgm:spPr/>
    </dgm:pt>
    <dgm:pt modelId="{88988628-D3FB-4AB8-B067-E0FBC6BCF296}" type="pres">
      <dgm:prSet presAssocID="{FB721642-7D6C-448C-B764-5873A5660A91}" presName="parTxOnlySpace" presStyleCnt="0"/>
      <dgm:spPr/>
    </dgm:pt>
    <dgm:pt modelId="{47E94DD5-7230-492D-8D2A-0D4C997677AF}" type="pres">
      <dgm:prSet presAssocID="{778D0179-3B75-4A0C-BDBA-5B832FEE8A5A}" presName="parTxOnly" presStyleLbl="node1" presStyleIdx="4" presStyleCnt="5">
        <dgm:presLayoutVars>
          <dgm:chMax val="0"/>
          <dgm:chPref val="0"/>
          <dgm:bulletEnabled val="1"/>
        </dgm:presLayoutVars>
      </dgm:prSet>
      <dgm:spPr/>
    </dgm:pt>
  </dgm:ptLst>
  <dgm:cxnLst>
    <dgm:cxn modelId="{F5ABC430-B4DD-4E2B-8B48-EE3697E013B2}" type="presOf" srcId="{788EF6DC-DE98-4122-B78E-60925405924C}" destId="{05F3B195-B33D-4F39-A5DD-DCC1BBD538E3}" srcOrd="0" destOrd="0" presId="urn:microsoft.com/office/officeart/2005/8/layout/chevron1"/>
    <dgm:cxn modelId="{0B820A48-4A6E-45DD-B5F4-067CB19B7240}" type="presOf" srcId="{4799F263-B7C1-4A61-A1BA-CBF55795FB07}" destId="{30B4B3A8-BB1E-454B-9F48-162F1C397E57}" srcOrd="0" destOrd="0" presId="urn:microsoft.com/office/officeart/2005/8/layout/chevron1"/>
    <dgm:cxn modelId="{BB5DC068-ACD4-4E51-857B-323043B280FA}" type="presOf" srcId="{4EAEF502-65B7-4673-B559-CF4139918452}" destId="{8EC87B40-B70A-47F8-A59E-CBE0C1E53C7E}" srcOrd="0" destOrd="0" presId="urn:microsoft.com/office/officeart/2005/8/layout/chevron1"/>
    <dgm:cxn modelId="{C394124A-A41C-4F27-81E3-E0A62E457BE5}" type="presOf" srcId="{778D0179-3B75-4A0C-BDBA-5B832FEE8A5A}" destId="{47E94DD5-7230-492D-8D2A-0D4C997677AF}" srcOrd="0" destOrd="0" presId="urn:microsoft.com/office/officeart/2005/8/layout/chevron1"/>
    <dgm:cxn modelId="{09FBE44A-0001-4FD2-8C2D-9A834A3063B9}" srcId="{4EAEF502-65B7-4673-B559-CF4139918452}" destId="{0EE7BEB7-AFD5-48D7-AD88-60E583CC9428}" srcOrd="2" destOrd="0" parTransId="{D785FAE0-9B29-4A96-BA48-92BBF8DFC8BA}" sibTransId="{E872A106-6800-428B-9A79-2CA31597B703}"/>
    <dgm:cxn modelId="{C2173F73-DD76-4AF7-B104-C2A21038AE35}" srcId="{4EAEF502-65B7-4673-B559-CF4139918452}" destId="{31C420FB-396F-4BE7-9276-2196DB829D48}" srcOrd="1" destOrd="0" parTransId="{DE3A8FBA-6DD7-4DF1-B97C-1829ED20048E}" sibTransId="{9F3359C9-F4BA-408F-9F19-AFA21664BF7A}"/>
    <dgm:cxn modelId="{574FBE56-E5A0-4655-AE12-57D258151F0C}" srcId="{4EAEF502-65B7-4673-B559-CF4139918452}" destId="{778D0179-3B75-4A0C-BDBA-5B832FEE8A5A}" srcOrd="4" destOrd="0" parTransId="{4F8F5BB7-66E4-4ECB-BA11-63150C065DB0}" sibTransId="{EA705BB3-10EC-46BA-8AA7-D253683CF93A}"/>
    <dgm:cxn modelId="{DE990177-7FDA-4B4E-8ECD-EA604B77FC2D}" type="presOf" srcId="{0EE7BEB7-AFD5-48D7-AD88-60E583CC9428}" destId="{237F876F-8A6E-477C-A75E-65E8DCC7F34C}" srcOrd="0" destOrd="0" presId="urn:microsoft.com/office/officeart/2005/8/layout/chevron1"/>
    <dgm:cxn modelId="{61789EAC-AFA6-4BBD-BB43-A99DA7D7E6A9}" type="presOf" srcId="{31C420FB-396F-4BE7-9276-2196DB829D48}" destId="{F380D7FE-D641-43C7-A9CB-764C283941FF}" srcOrd="0" destOrd="0" presId="urn:microsoft.com/office/officeart/2005/8/layout/chevron1"/>
    <dgm:cxn modelId="{C69132BD-ABB2-40BF-BDF6-43801F550A69}" srcId="{4EAEF502-65B7-4673-B559-CF4139918452}" destId="{788EF6DC-DE98-4122-B78E-60925405924C}" srcOrd="0" destOrd="0" parTransId="{FEBB7DC8-3CC8-4F94-9ADD-997DE8ED06AC}" sibTransId="{8633B90C-4822-4C03-A865-1F8F3B47DC79}"/>
    <dgm:cxn modelId="{E87480DC-C00C-469D-9D48-E1C9C0B2204A}" srcId="{4EAEF502-65B7-4673-B559-CF4139918452}" destId="{4799F263-B7C1-4A61-A1BA-CBF55795FB07}" srcOrd="3" destOrd="0" parTransId="{E071B695-8015-43D0-ABE2-16748AB5F4BD}" sibTransId="{FB721642-7D6C-448C-B764-5873A5660A91}"/>
    <dgm:cxn modelId="{E213EFB2-D198-4EF5-8BAF-E0F22EFC84C9}" type="presParOf" srcId="{8EC87B40-B70A-47F8-A59E-CBE0C1E53C7E}" destId="{05F3B195-B33D-4F39-A5DD-DCC1BBD538E3}" srcOrd="0" destOrd="0" presId="urn:microsoft.com/office/officeart/2005/8/layout/chevron1"/>
    <dgm:cxn modelId="{6F99FF8B-F322-4459-A47B-CEF9EF6D99AF}" type="presParOf" srcId="{8EC87B40-B70A-47F8-A59E-CBE0C1E53C7E}" destId="{D4342A29-A816-4D9E-ABB0-5BA9F470557A}" srcOrd="1" destOrd="0" presId="urn:microsoft.com/office/officeart/2005/8/layout/chevron1"/>
    <dgm:cxn modelId="{1E019EE6-4B9B-4DEC-A3A4-F1A4968A9CE5}" type="presParOf" srcId="{8EC87B40-B70A-47F8-A59E-CBE0C1E53C7E}" destId="{F380D7FE-D641-43C7-A9CB-764C283941FF}" srcOrd="2" destOrd="0" presId="urn:microsoft.com/office/officeart/2005/8/layout/chevron1"/>
    <dgm:cxn modelId="{AC6507CD-7482-4404-A196-4118F8E74335}" type="presParOf" srcId="{8EC87B40-B70A-47F8-A59E-CBE0C1E53C7E}" destId="{BCFC6787-E8D5-40CE-977C-B41D0D4BF2A5}" srcOrd="3" destOrd="0" presId="urn:microsoft.com/office/officeart/2005/8/layout/chevron1"/>
    <dgm:cxn modelId="{F847C604-29EE-4B71-BB11-A4325C9EE24A}" type="presParOf" srcId="{8EC87B40-B70A-47F8-A59E-CBE0C1E53C7E}" destId="{237F876F-8A6E-477C-A75E-65E8DCC7F34C}" srcOrd="4" destOrd="0" presId="urn:microsoft.com/office/officeart/2005/8/layout/chevron1"/>
    <dgm:cxn modelId="{11B45BDE-2F38-40B7-99E4-5A4E44A52C08}" type="presParOf" srcId="{8EC87B40-B70A-47F8-A59E-CBE0C1E53C7E}" destId="{740F7D76-2188-4805-9897-B3ECDAEFDA81}" srcOrd="5" destOrd="0" presId="urn:microsoft.com/office/officeart/2005/8/layout/chevron1"/>
    <dgm:cxn modelId="{DF6DBA2A-BC9A-4765-9875-392A912BC069}" type="presParOf" srcId="{8EC87B40-B70A-47F8-A59E-CBE0C1E53C7E}" destId="{30B4B3A8-BB1E-454B-9F48-162F1C397E57}" srcOrd="6" destOrd="0" presId="urn:microsoft.com/office/officeart/2005/8/layout/chevron1"/>
    <dgm:cxn modelId="{5F23BE5F-2D56-452A-AD02-464C9CA2A348}" type="presParOf" srcId="{8EC87B40-B70A-47F8-A59E-CBE0C1E53C7E}" destId="{88988628-D3FB-4AB8-B067-E0FBC6BCF296}" srcOrd="7" destOrd="0" presId="urn:microsoft.com/office/officeart/2005/8/layout/chevron1"/>
    <dgm:cxn modelId="{4724A330-CCF1-43F4-8779-DF7B3DEC1427}" type="presParOf" srcId="{8EC87B40-B70A-47F8-A59E-CBE0C1E53C7E}" destId="{47E94DD5-7230-492D-8D2A-0D4C997677AF}" srcOrd="8"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80D7FE-D641-43C7-A9CB-764C283941FF}">
      <dsp:nvSpPr>
        <dsp:cNvPr id="0" name=""/>
        <dsp:cNvSpPr/>
      </dsp:nvSpPr>
      <dsp:spPr>
        <a:xfrm>
          <a:off x="1526" y="0"/>
          <a:ext cx="2202740" cy="27305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s-CO" sz="900" kern="1200">
              <a:solidFill>
                <a:sysClr val="windowText" lastClr="000000"/>
              </a:solidFill>
              <a:latin typeface="Arial" panose="020B0604020202020204" pitchFamily="34" charset="0"/>
              <a:cs typeface="Arial" panose="020B0604020202020204" pitchFamily="34" charset="0"/>
            </a:rPr>
            <a:t>Texture</a:t>
          </a:r>
        </a:p>
      </dsp:txBody>
      <dsp:txXfrm>
        <a:off x="138051" y="0"/>
        <a:ext cx="1929690" cy="273050"/>
      </dsp:txXfrm>
    </dsp:sp>
    <dsp:sp modelId="{AA3907FB-C428-4762-8243-64AD89A02C9B}">
      <dsp:nvSpPr>
        <dsp:cNvPr id="0" name=""/>
        <dsp:cNvSpPr/>
      </dsp:nvSpPr>
      <dsp:spPr>
        <a:xfrm>
          <a:off x="1849575" y="0"/>
          <a:ext cx="2018478" cy="27305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s-CO" sz="900" kern="1200">
              <a:solidFill>
                <a:sysClr val="windowText" lastClr="000000"/>
              </a:solidFill>
              <a:latin typeface="Arial" panose="020B0604020202020204" pitchFamily="34" charset="0"/>
              <a:cs typeface="Arial" panose="020B0604020202020204" pitchFamily="34" charset="0"/>
            </a:rPr>
            <a:t>True and apparent density</a:t>
          </a:r>
        </a:p>
      </dsp:txBody>
      <dsp:txXfrm>
        <a:off x="1986100" y="0"/>
        <a:ext cx="1745428" cy="273050"/>
      </dsp:txXfrm>
    </dsp:sp>
    <dsp:sp modelId="{30B4B3A8-BB1E-454B-9F48-162F1C397E57}">
      <dsp:nvSpPr>
        <dsp:cNvPr id="0" name=""/>
        <dsp:cNvSpPr/>
      </dsp:nvSpPr>
      <dsp:spPr>
        <a:xfrm>
          <a:off x="3513362" y="0"/>
          <a:ext cx="1787361" cy="27305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s-CO" sz="900" kern="1200">
              <a:solidFill>
                <a:sysClr val="windowText" lastClr="000000"/>
              </a:solidFill>
              <a:latin typeface="Arial" panose="020B0604020202020204" pitchFamily="34" charset="0"/>
              <a:cs typeface="Arial" panose="020B0604020202020204" pitchFamily="34" charset="0"/>
            </a:rPr>
            <a:t>Void fraction</a:t>
          </a:r>
        </a:p>
      </dsp:txBody>
      <dsp:txXfrm>
        <a:off x="3649887" y="0"/>
        <a:ext cx="1514311" cy="2730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F3B195-B33D-4F39-A5DD-DCC1BBD538E3}">
      <dsp:nvSpPr>
        <dsp:cNvPr id="0" name=""/>
        <dsp:cNvSpPr/>
      </dsp:nvSpPr>
      <dsp:spPr>
        <a:xfrm>
          <a:off x="1302" y="0"/>
          <a:ext cx="1158999" cy="26035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s-CO" sz="900" kern="1200">
              <a:solidFill>
                <a:sysClr val="windowText" lastClr="000000"/>
              </a:solidFill>
              <a:latin typeface="Arial" panose="020B0604020202020204" pitchFamily="34" charset="0"/>
              <a:cs typeface="Arial" panose="020B0604020202020204" pitchFamily="34" charset="0"/>
            </a:rPr>
            <a:t>pH</a:t>
          </a:r>
        </a:p>
      </dsp:txBody>
      <dsp:txXfrm>
        <a:off x="131477" y="0"/>
        <a:ext cx="898649" cy="260350"/>
      </dsp:txXfrm>
    </dsp:sp>
    <dsp:sp modelId="{F380D7FE-D641-43C7-A9CB-764C283941FF}">
      <dsp:nvSpPr>
        <dsp:cNvPr id="0" name=""/>
        <dsp:cNvSpPr/>
      </dsp:nvSpPr>
      <dsp:spPr>
        <a:xfrm>
          <a:off x="1044401" y="0"/>
          <a:ext cx="1158999" cy="26035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s-CO" sz="900" kern="1200">
              <a:solidFill>
                <a:sysClr val="windowText" lastClr="000000"/>
              </a:solidFill>
              <a:latin typeface="Arial" panose="020B0604020202020204" pitchFamily="34" charset="0"/>
              <a:cs typeface="Arial" panose="020B0604020202020204" pitchFamily="34" charset="0"/>
            </a:rPr>
            <a:t>Moisture</a:t>
          </a:r>
        </a:p>
      </dsp:txBody>
      <dsp:txXfrm>
        <a:off x="1174576" y="0"/>
        <a:ext cx="898649" cy="260350"/>
      </dsp:txXfrm>
    </dsp:sp>
    <dsp:sp modelId="{237F876F-8A6E-477C-A75E-65E8DCC7F34C}">
      <dsp:nvSpPr>
        <dsp:cNvPr id="0" name=""/>
        <dsp:cNvSpPr/>
      </dsp:nvSpPr>
      <dsp:spPr>
        <a:xfrm>
          <a:off x="2087500" y="0"/>
          <a:ext cx="1158999" cy="26035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s-CO" sz="900" kern="1200">
              <a:solidFill>
                <a:sysClr val="windowText" lastClr="000000"/>
              </a:solidFill>
              <a:latin typeface="Arial" panose="020B0604020202020204" pitchFamily="34" charset="0"/>
              <a:cs typeface="Arial" panose="020B0604020202020204" pitchFamily="34" charset="0"/>
            </a:rPr>
            <a:t>Oranic matter</a:t>
          </a:r>
        </a:p>
      </dsp:txBody>
      <dsp:txXfrm>
        <a:off x="2217675" y="0"/>
        <a:ext cx="898649" cy="260350"/>
      </dsp:txXfrm>
    </dsp:sp>
    <dsp:sp modelId="{30B4B3A8-BB1E-454B-9F48-162F1C397E57}">
      <dsp:nvSpPr>
        <dsp:cNvPr id="0" name=""/>
        <dsp:cNvSpPr/>
      </dsp:nvSpPr>
      <dsp:spPr>
        <a:xfrm>
          <a:off x="3130599" y="0"/>
          <a:ext cx="1158999" cy="26035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s-CO" sz="900" kern="1200">
              <a:solidFill>
                <a:sysClr val="windowText" lastClr="000000"/>
              </a:solidFill>
              <a:latin typeface="Arial" panose="020B0604020202020204" pitchFamily="34" charset="0"/>
              <a:cs typeface="Arial" panose="020B0604020202020204" pitchFamily="34" charset="0"/>
            </a:rPr>
            <a:t>Electrical conductivity</a:t>
          </a:r>
        </a:p>
      </dsp:txBody>
      <dsp:txXfrm>
        <a:off x="3260774" y="0"/>
        <a:ext cx="898649" cy="260350"/>
      </dsp:txXfrm>
    </dsp:sp>
    <dsp:sp modelId="{47E94DD5-7230-492D-8D2A-0D4C997677AF}">
      <dsp:nvSpPr>
        <dsp:cNvPr id="0" name=""/>
        <dsp:cNvSpPr/>
      </dsp:nvSpPr>
      <dsp:spPr>
        <a:xfrm>
          <a:off x="4173698" y="0"/>
          <a:ext cx="1158999" cy="260350"/>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s-CO" sz="900" kern="1200">
              <a:solidFill>
                <a:sysClr val="windowText" lastClr="000000"/>
              </a:solidFill>
              <a:latin typeface="Arial" panose="020B0604020202020204" pitchFamily="34" charset="0"/>
              <a:cs typeface="Arial" panose="020B0604020202020204" pitchFamily="34" charset="0"/>
            </a:rPr>
            <a:t>Phosphorus</a:t>
          </a:r>
        </a:p>
      </dsp:txBody>
      <dsp:txXfrm>
        <a:off x="4303873" y="0"/>
        <a:ext cx="898649" cy="26035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95E89-C4FC-4608-B951-53580F83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3545</Words>
  <Characters>19499</Characters>
  <Application>Microsoft Office Word</Application>
  <DocSecurity>0</DocSecurity>
  <Lines>162</Lines>
  <Paragraphs>45</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Dipartimento CMIC - Politecnico di Milano</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Alvaro Eulalio Villamizar Villamizar</cp:lastModifiedBy>
  <cp:revision>13</cp:revision>
  <cp:lastPrinted>2015-05-12T18:31:00Z</cp:lastPrinted>
  <dcterms:created xsi:type="dcterms:W3CDTF">2026-03-12T16:26:00Z</dcterms:created>
  <dcterms:modified xsi:type="dcterms:W3CDTF">2026-03-19T01:09:00Z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