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5553E" w14:textId="11FF4D59" w:rsidR="000E414A" w:rsidRDefault="003342B2" w:rsidP="005119A5">
      <w:pPr>
        <w:pStyle w:val="CETTitle"/>
        <w:tabs>
          <w:tab w:val="left" w:pos="5812"/>
        </w:tabs>
      </w:pPr>
      <w:r>
        <w:t xml:space="preserve">Computer-Aided Exergy Assessment of a Biorefinery </w:t>
      </w:r>
      <w:r w:rsidR="00E11A4D">
        <w:t>from Avocado</w:t>
      </w:r>
      <w:r w:rsidR="00B47564">
        <w:t xml:space="preserve"> </w:t>
      </w:r>
      <w:r w:rsidR="00E861AB">
        <w:t xml:space="preserve">Hard </w:t>
      </w:r>
      <w:r w:rsidR="00F808C3">
        <w:t>Waste</w:t>
      </w:r>
    </w:p>
    <w:p w14:paraId="2963FDDF" w14:textId="76D0C5F2" w:rsidR="005346C8" w:rsidRPr="003A2393" w:rsidRDefault="003A2393" w:rsidP="005346C8">
      <w:pPr>
        <w:pStyle w:val="CETAuthors"/>
        <w:rPr>
          <w:lang w:val="es-CO"/>
        </w:rPr>
      </w:pPr>
      <w:r w:rsidRPr="003A2393">
        <w:rPr>
          <w:lang w:val="es-CO"/>
        </w:rPr>
        <w:t>Joshua H. Carmona-Sierra, Manuel A. Upegui-Hernández, Ángel Darío González-Delgado</w:t>
      </w:r>
      <w:r w:rsidR="00DA203F">
        <w:rPr>
          <w:lang w:val="es-CO"/>
        </w:rPr>
        <w:t>*</w:t>
      </w:r>
    </w:p>
    <w:p w14:paraId="6B340ED3" w14:textId="4D9E1ACB" w:rsidR="005346C8" w:rsidRPr="00243DFB" w:rsidRDefault="00243DFB" w:rsidP="00243DFB">
      <w:pPr>
        <w:pStyle w:val="CETAddress"/>
      </w:pPr>
      <w:r w:rsidRPr="00243DFB">
        <w:t xml:space="preserve">Nanomaterials and Computer Aided Process Engineering Research Group (NIPAC), Chemical Engineering Department, Faculty of Engineering, University of Cartagena, Av. del Consulado Calle 30 No. 48-152, Cartagena, Colombia. </w:t>
      </w:r>
    </w:p>
    <w:p w14:paraId="4729AA37" w14:textId="6ACF879D" w:rsidR="005346C8" w:rsidRDefault="00E87294" w:rsidP="005B635F">
      <w:pPr>
        <w:pStyle w:val="CETemail"/>
      </w:pPr>
      <w:r w:rsidRPr="000F7964">
        <w:t>agonzalezd1@unicartagena.edu.co</w:t>
      </w:r>
    </w:p>
    <w:p w14:paraId="680E6D71" w14:textId="5C22944C" w:rsidR="005346C8" w:rsidRPr="005B635F" w:rsidRDefault="00BF7828" w:rsidP="005B635F">
      <w:pPr>
        <w:pStyle w:val="CETBodytext"/>
      </w:pPr>
      <w:r w:rsidRPr="005B635F">
        <w:t>In Colombia, the rapid expansion of</w:t>
      </w:r>
      <w:r w:rsidR="0089350E" w:rsidRPr="005B635F">
        <w:t xml:space="preserve"> </w:t>
      </w:r>
      <w:r w:rsidRPr="005B635F">
        <w:t xml:space="preserve">Hass </w:t>
      </w:r>
      <w:r w:rsidR="00205712" w:rsidRPr="005B635F">
        <w:t>a</w:t>
      </w:r>
      <w:r w:rsidRPr="005B635F">
        <w:t>vocado</w:t>
      </w:r>
      <w:r w:rsidR="003D059A" w:rsidRPr="005B635F">
        <w:t xml:space="preserve"> cultivation</w:t>
      </w:r>
      <w:r w:rsidRPr="005B635F">
        <w:t xml:space="preserve"> has increased the</w:t>
      </w:r>
      <w:r w:rsidR="00DD212C" w:rsidRPr="005B635F">
        <w:t xml:space="preserve"> availability</w:t>
      </w:r>
      <w:r w:rsidR="00DB517C" w:rsidRPr="005B635F">
        <w:t xml:space="preserve"> of the fruit</w:t>
      </w:r>
      <w:r w:rsidR="00DD212C" w:rsidRPr="005B635F">
        <w:t xml:space="preserve"> across</w:t>
      </w:r>
      <w:r w:rsidRPr="005B635F">
        <w:t xml:space="preserve"> different regions. During avocado processing operations, </w:t>
      </w:r>
      <w:r w:rsidR="005B635F">
        <w:t>residues</w:t>
      </w:r>
      <w:r w:rsidR="000478B6">
        <w:t>, such</w:t>
      </w:r>
      <w:r w:rsidRPr="005B635F">
        <w:t xml:space="preserve"> as </w:t>
      </w:r>
      <w:r w:rsidR="000478B6">
        <w:t xml:space="preserve">the </w:t>
      </w:r>
      <w:r w:rsidRPr="005B635F">
        <w:t>seed</w:t>
      </w:r>
      <w:r w:rsidR="006B7AE0" w:rsidRPr="005B635F">
        <w:t xml:space="preserve"> or peel</w:t>
      </w:r>
      <w:r w:rsidR="000478B6">
        <w:t>,</w:t>
      </w:r>
      <w:r w:rsidRPr="005B635F">
        <w:t xml:space="preserve"> account for the most significant waste fraction, resulting not only in environmental challenges associated with their elimination but also a decrease in potential economic returns. </w:t>
      </w:r>
      <w:r w:rsidR="0012396D" w:rsidRPr="005B635F">
        <w:t>In this study, an exergy analysis was performed for a biorefinery based on hard avocado waste to produce high-value products comprising starch and biodegradable biofilms.</w:t>
      </w:r>
      <w:r w:rsidR="007749DE" w:rsidRPr="005B635F">
        <w:t xml:space="preserve"> </w:t>
      </w:r>
      <w:r w:rsidR="009E6A2C" w:rsidRPr="005B635F">
        <w:t xml:space="preserve">This </w:t>
      </w:r>
      <w:r w:rsidR="00FB6B72" w:rsidRPr="005B635F">
        <w:t>enabled detailed mass and energy balance calculations and the determination of</w:t>
      </w:r>
      <w:r w:rsidRPr="005B635F">
        <w:t xml:space="preserve"> thermodynamic properties for both pure compounds and mixtures. Considering this information, chemical and physical exergies were additionally obtained, and exergy parameters were quantified per stage and for the whole process. The obtained results </w:t>
      </w:r>
      <w:r w:rsidR="00DD212C" w:rsidRPr="005B635F">
        <w:t>indicate satisfactory exergy performance, with an overall exergy efficiency of 6</w:t>
      </w:r>
      <w:r w:rsidR="009069EF" w:rsidRPr="005B635F">
        <w:t>8</w:t>
      </w:r>
      <w:r w:rsidR="00DD212C" w:rsidRPr="005B635F">
        <w:t>% and a total irreversibility</w:t>
      </w:r>
      <w:r w:rsidR="00FB6B72" w:rsidRPr="005B635F">
        <w:t xml:space="preserve"> of 5453.58</w:t>
      </w:r>
      <w:r w:rsidRPr="005B635F">
        <w:t xml:space="preserve"> MJ/h.</w:t>
      </w:r>
      <w:r w:rsidR="006E2AA7" w:rsidRPr="005B635F">
        <w:t xml:space="preserve"> Exergy analysis revealed </w:t>
      </w:r>
      <w:r w:rsidR="00623EE6" w:rsidRPr="005B635F">
        <w:t>significant</w:t>
      </w:r>
      <w:r w:rsidR="006E2AA7" w:rsidRPr="005B635F">
        <w:t xml:space="preserve"> sources of exergy destruction in starch production during seed drying, and starch dr</w:t>
      </w:r>
      <w:r w:rsidR="007710D8" w:rsidRPr="005B635F">
        <w:t>ying</w:t>
      </w:r>
      <w:r w:rsidR="003E46FD" w:rsidRPr="005B635F">
        <w:t>-1</w:t>
      </w:r>
      <w:r w:rsidR="007710D8" w:rsidRPr="005B635F">
        <w:t xml:space="preserve"> and</w:t>
      </w:r>
      <w:r w:rsidR="003E46FD" w:rsidRPr="005B635F">
        <w:t xml:space="preserve"> 2</w:t>
      </w:r>
      <w:r w:rsidR="007710D8" w:rsidRPr="005B635F">
        <w:t>. These stages contribute 5% and 7.20% (each), respectively</w:t>
      </w:r>
      <w:r w:rsidR="00623EE6" w:rsidRPr="005B635F">
        <w:t>,</w:t>
      </w:r>
      <w:r w:rsidR="007710D8" w:rsidRPr="005B635F">
        <w:t xml:space="preserve"> to the total exergy destruction of the process</w:t>
      </w:r>
      <w:r w:rsidRPr="005B635F">
        <w:t xml:space="preserve">. In biofilm production, flash </w:t>
      </w:r>
      <w:r w:rsidR="00705ED7" w:rsidRPr="005B635F">
        <w:t>separation</w:t>
      </w:r>
      <w:r w:rsidR="003E46FD" w:rsidRPr="005B635F">
        <w:t>-1</w:t>
      </w:r>
      <w:r w:rsidR="003D78CD" w:rsidRPr="005B635F">
        <w:t xml:space="preserve">, </w:t>
      </w:r>
      <w:r w:rsidRPr="005B635F">
        <w:t>fermentation</w:t>
      </w:r>
      <w:r w:rsidR="003D78CD" w:rsidRPr="005B635F">
        <w:t xml:space="preserve">, and biofilm drying </w:t>
      </w:r>
      <w:r w:rsidR="00623EE6" w:rsidRPr="005B635F">
        <w:t>exhibit</w:t>
      </w:r>
      <w:r w:rsidRPr="005B635F">
        <w:t xml:space="preserve"> the greatest </w:t>
      </w:r>
      <w:r w:rsidR="00623EE6" w:rsidRPr="005B635F">
        <w:t>exergy destruction</w:t>
      </w:r>
      <w:r w:rsidRPr="005B635F">
        <w:t xml:space="preserve">, each contributing approximately </w:t>
      </w:r>
      <w:r w:rsidR="003D78CD" w:rsidRPr="005B635F">
        <w:t>6</w:t>
      </w:r>
      <w:r w:rsidRPr="005B635F">
        <w:t xml:space="preserve">% </w:t>
      </w:r>
      <w:r w:rsidR="009A46D8" w:rsidRPr="005B635F">
        <w:t>of the total process exergy destruction</w:t>
      </w:r>
      <w:r w:rsidRPr="005B635F">
        <w:t>.</w:t>
      </w:r>
      <w:r w:rsidR="0089350E" w:rsidRPr="005B635F">
        <w:t xml:space="preserve"> </w:t>
      </w:r>
      <w:r w:rsidRPr="005B635F">
        <w:t xml:space="preserve">The main improvement opportunities are identified in stages such as drying, flash </w:t>
      </w:r>
      <w:r w:rsidR="008F4AFE" w:rsidRPr="005B635F">
        <w:t>separation</w:t>
      </w:r>
      <w:r w:rsidRPr="005B635F">
        <w:t>, fermentation, and neutralization; thus, optimizations of these stages are suggested to maximize the overall performance of the process.</w:t>
      </w:r>
    </w:p>
    <w:p w14:paraId="0C897FDD" w14:textId="23CA0B44" w:rsidR="005346C8" w:rsidRPr="00347EB5" w:rsidRDefault="006126A2" w:rsidP="005346C8">
      <w:pPr>
        <w:pStyle w:val="CETHeading1"/>
        <w:tabs>
          <w:tab w:val="clear" w:pos="360"/>
          <w:tab w:val="right" w:pos="7100"/>
        </w:tabs>
        <w:jc w:val="both"/>
        <w:rPr>
          <w:lang w:val="en-GB"/>
        </w:rPr>
      </w:pPr>
      <w:r>
        <w:rPr>
          <w:lang w:val="en-GB"/>
        </w:rPr>
        <w:t>Introduction</w:t>
      </w:r>
    </w:p>
    <w:p w14:paraId="35F73C28" w14:textId="56B23CFE" w:rsidR="00E505D9" w:rsidRDefault="00CE7CAB" w:rsidP="00866177">
      <w:pPr>
        <w:pStyle w:val="CETBodytext"/>
      </w:pPr>
      <w:r w:rsidRPr="005B635F">
        <w:t>In recent decades, the accelerated depletion of natural resources and the increasing economy that relies heavily on their use have promoted a global shift toward sustainable products in the industrial sector. Within this context, it is crucial to coordinate the relationship between economic development and environmental protection to ensure sustainable development of the industry-environment system and provide energy, biomaterials, and chemicals to society (Wan et al., 2020). Across Colombia, driven by increasing sector demand, processes related to Hass avocado manufacturing have led to a widespread expansion, accounting for 20% of the total planted crop area (Garcia, J et al., 2021). Therefore,</w:t>
      </w:r>
      <w:r w:rsidR="00CF289B" w:rsidRPr="005B635F">
        <w:t xml:space="preserve"> </w:t>
      </w:r>
      <w:r w:rsidRPr="005B635F">
        <w:t>Hass avocado (Persea Americana Mill) has become a key component of Colombian agricultural exports</w:t>
      </w:r>
      <w:r w:rsidR="00435F66" w:rsidRPr="005B635F">
        <w:t xml:space="preserve">. According to recent figures reported by Analdex (2024), Hass avocado exports experienced </w:t>
      </w:r>
      <w:r w:rsidRPr="005B635F">
        <w:t xml:space="preserve">a 54.3% annual increase and sales exceeding </w:t>
      </w:r>
      <w:r w:rsidR="00126C7D" w:rsidRPr="005B635F">
        <w:t>USD</w:t>
      </w:r>
      <w:r w:rsidRPr="005B635F">
        <w:t xml:space="preserve"> 300 million</w:t>
      </w:r>
      <w:r w:rsidR="00126C7D" w:rsidRPr="005B635F">
        <w:t xml:space="preserve">, indicating a total growth of more than 2700 percent in export </w:t>
      </w:r>
      <w:r w:rsidR="00435F66" w:rsidRPr="005B635F">
        <w:t>revenue</w:t>
      </w:r>
      <w:r w:rsidRPr="005B635F">
        <w:t xml:space="preserve">. However, despite its great </w:t>
      </w:r>
      <w:r w:rsidR="00911644" w:rsidRPr="005B635F">
        <w:t>market recognition</w:t>
      </w:r>
      <w:r w:rsidRPr="005B635F">
        <w:t xml:space="preserve">, the supply chain of this fruit only focuses on the pulp, leaving both the avocado peel and seed unused. This waste is approximately 15% of the total weight, and it is usually discarded or used as compost (Lara-Valencia et al., 2018). </w:t>
      </w:r>
      <w:r w:rsidR="000D3746" w:rsidRPr="005B635F">
        <w:t>Exergy analysis is used in the biorefinery to measure and quantify irreversibilities,</w:t>
      </w:r>
      <w:r w:rsidR="00FB6B72" w:rsidRPr="005B635F">
        <w:t xml:space="preserve"> </w:t>
      </w:r>
      <w:r w:rsidR="000D3746" w:rsidRPr="005B635F">
        <w:t>as well as the exergy inflows and outflows through each process unit</w:t>
      </w:r>
      <w:r w:rsidRPr="005B635F">
        <w:t>.</w:t>
      </w:r>
      <w:r w:rsidR="0059090C">
        <w:t xml:space="preserve"> Previous research</w:t>
      </w:r>
      <w:r w:rsidR="00F22C12">
        <w:t>,</w:t>
      </w:r>
      <w:r w:rsidR="0075056C">
        <w:t xml:space="preserve"> such as the study by </w:t>
      </w:r>
      <w:r w:rsidR="0075056C" w:rsidRPr="0075056C">
        <w:rPr>
          <w:lang w:val="en-GB"/>
        </w:rPr>
        <w:t>Alviz-Meza et al. (2025)</w:t>
      </w:r>
      <w:r w:rsidR="0059090C">
        <w:t xml:space="preserve"> has explored the valorization of </w:t>
      </w:r>
      <w:r w:rsidR="0075056C">
        <w:t>avocado residues</w:t>
      </w:r>
      <w:r w:rsidR="0059090C">
        <w:t xml:space="preserve"> through process simulation</w:t>
      </w:r>
      <w:r w:rsidR="0075056C">
        <w:t xml:space="preserve"> in this topology</w:t>
      </w:r>
      <w:r w:rsidR="00F22C12">
        <w:t>, focusing mainly on process design and production yields of starch and biodegradable biofilms.</w:t>
      </w:r>
      <w:r w:rsidR="005A145B">
        <w:t xml:space="preserve"> While some other studies have addressed single-product systems such as avocado oil extraction </w:t>
      </w:r>
      <w:r w:rsidR="005A145B" w:rsidRPr="00AA7FC0">
        <w:t>(</w:t>
      </w:r>
      <w:r w:rsidR="005A145B" w:rsidRPr="00740704">
        <w:t>Herrera</w:t>
      </w:r>
      <w:r w:rsidR="005A145B" w:rsidRPr="00AA7FC0">
        <w:t xml:space="preserve"> et al., 2022)</w:t>
      </w:r>
      <w:r w:rsidR="005A145B">
        <w:t>,</w:t>
      </w:r>
      <w:r w:rsidR="00F22C12">
        <w:t xml:space="preserve"> In contrast,</w:t>
      </w:r>
      <w:r w:rsidR="0059090C">
        <w:t xml:space="preserve"> </w:t>
      </w:r>
      <w:r w:rsidR="0075056C">
        <w:t>th</w:t>
      </w:r>
      <w:r w:rsidR="003B66F3">
        <w:t>e present work</w:t>
      </w:r>
      <w:r w:rsidR="00866177">
        <w:t xml:space="preserve"> </w:t>
      </w:r>
      <w:r w:rsidR="00595BFC">
        <w:t xml:space="preserve">evaluates the </w:t>
      </w:r>
      <w:r w:rsidR="005A145B">
        <w:t>system</w:t>
      </w:r>
      <w:r w:rsidR="00595BFC">
        <w:t xml:space="preserve"> performance through an exergy analysis</w:t>
      </w:r>
      <w:r w:rsidR="00A60518">
        <w:t>,</w:t>
      </w:r>
      <w:r w:rsidR="00595BFC">
        <w:t xml:space="preserve"> identifying irreversibilities and stages</w:t>
      </w:r>
      <w:r w:rsidR="001C1D55">
        <w:t xml:space="preserve"> with </w:t>
      </w:r>
      <w:r w:rsidR="001C1D55">
        <w:lastRenderedPageBreak/>
        <w:t>the highest exergy destruction</w:t>
      </w:r>
      <w:r w:rsidR="005A145B">
        <w:t xml:space="preserve"> and also</w:t>
      </w:r>
      <w:r w:rsidR="00866177">
        <w:t xml:space="preserve"> </w:t>
      </w:r>
      <w:r w:rsidR="0075056C">
        <w:t>focuses</w:t>
      </w:r>
      <w:r w:rsidR="001E3A22" w:rsidRPr="005B635F">
        <w:t xml:space="preserve"> </w:t>
      </w:r>
      <w:r w:rsidR="0075056C">
        <w:t>on</w:t>
      </w:r>
      <w:r w:rsidR="00597D4B" w:rsidRPr="005B635F">
        <w:t xml:space="preserve"> </w:t>
      </w:r>
      <w:r w:rsidR="003B66F3">
        <w:t>analyzing</w:t>
      </w:r>
      <w:r w:rsidR="001E3A22" w:rsidRPr="005B635F">
        <w:t xml:space="preserve"> the </w:t>
      </w:r>
      <w:r w:rsidR="00A60518">
        <w:t>feasibility</w:t>
      </w:r>
      <w:r w:rsidR="001E3A22" w:rsidRPr="005B635F">
        <w:t xml:space="preserve"> of a</w:t>
      </w:r>
      <w:r w:rsidR="00E17901" w:rsidRPr="005B635F">
        <w:t>n</w:t>
      </w:r>
      <w:r w:rsidR="001E3A22" w:rsidRPr="005B635F">
        <w:t xml:space="preserve"> avocado solid-residue biorefiner</w:t>
      </w:r>
      <w:r w:rsidR="00866177">
        <w:t>y that simultaneously produces starch and two different biodegradable biofilms</w:t>
      </w:r>
      <w:r w:rsidR="00A60518">
        <w:t>.</w:t>
      </w:r>
      <w:r w:rsidR="003B66F3">
        <w:t xml:space="preserve"> </w:t>
      </w:r>
      <w:r w:rsidR="00A60518">
        <w:t xml:space="preserve">This approach </w:t>
      </w:r>
      <w:r w:rsidR="000478B6">
        <w:t xml:space="preserve">is novel because it </w:t>
      </w:r>
      <w:r w:rsidR="00A60518">
        <w:t>enables</w:t>
      </w:r>
      <w:r w:rsidR="00866177">
        <w:t xml:space="preserve"> a more comprehensive</w:t>
      </w:r>
      <w:r w:rsidR="00E505D9">
        <w:t xml:space="preserve"> evaluation of resource utilization and thermodynamic efficiency compared with single-product systems</w:t>
      </w:r>
      <w:r w:rsidR="00DB517C" w:rsidRPr="005B635F">
        <w:t xml:space="preserve">. </w:t>
      </w:r>
      <w:r w:rsidR="00B35F65" w:rsidRPr="005B635F">
        <w:t>In this context, exergy analysis serves as a solid decision-making tool for the sustainable management of agro-industrial waste</w:t>
      </w:r>
      <w:r w:rsidR="00C84270">
        <w:t>,</w:t>
      </w:r>
      <w:r w:rsidR="00173460">
        <w:t xml:space="preserve"> </w:t>
      </w:r>
      <w:r w:rsidR="00173460" w:rsidRPr="005B635F">
        <w:t>considering the small number of studies related to exergy evaluation based on avocado waste from southern Colombia</w:t>
      </w:r>
      <w:r w:rsidR="00F10BC1">
        <w:t>.</w:t>
      </w:r>
    </w:p>
    <w:p w14:paraId="7A52E3B3" w14:textId="77777777" w:rsidR="00E505D9" w:rsidRDefault="00E505D9" w:rsidP="00866177">
      <w:pPr>
        <w:pStyle w:val="CETBodytext"/>
      </w:pPr>
    </w:p>
    <w:p w14:paraId="344BB763" w14:textId="45557413" w:rsidR="00D259C3" w:rsidRPr="00E505D9" w:rsidRDefault="00206F90" w:rsidP="00866177">
      <w:pPr>
        <w:pStyle w:val="CETBodytext"/>
        <w:rPr>
          <w:b/>
          <w:bCs/>
          <w:lang w:val="en-GB"/>
        </w:rPr>
      </w:pPr>
      <w:r w:rsidRPr="00E505D9">
        <w:rPr>
          <w:b/>
          <w:bCs/>
          <w:lang w:val="en-GB"/>
        </w:rPr>
        <w:t>Materials</w:t>
      </w:r>
      <w:r w:rsidR="006219CB" w:rsidRPr="00E505D9">
        <w:rPr>
          <w:b/>
          <w:bCs/>
          <w:lang w:val="en-GB"/>
        </w:rPr>
        <w:t xml:space="preserve"> and methods</w:t>
      </w:r>
    </w:p>
    <w:p w14:paraId="56AC8A8A" w14:textId="26B8BE9E" w:rsidR="00D259C3" w:rsidRPr="006219CB" w:rsidRDefault="006219CB" w:rsidP="00D259C3">
      <w:pPr>
        <w:pStyle w:val="CETheadingx"/>
        <w:tabs>
          <w:tab w:val="right" w:pos="7100"/>
        </w:tabs>
        <w:spacing w:after="0"/>
        <w:jc w:val="both"/>
        <w:rPr>
          <w:lang w:val="en-GB"/>
        </w:rPr>
      </w:pPr>
      <w:r>
        <w:rPr>
          <w:lang w:val="en-GB"/>
        </w:rPr>
        <w:t>Process description</w:t>
      </w:r>
    </w:p>
    <w:p w14:paraId="02AFB07B" w14:textId="72D8E386" w:rsidR="005346C8" w:rsidRPr="009B70E0" w:rsidRDefault="008B3C1F" w:rsidP="006F051F">
      <w:pPr>
        <w:pStyle w:val="CETBodytext"/>
      </w:pPr>
      <w:r w:rsidRPr="008B3C1F">
        <w:rPr>
          <w:lang w:val="en-GB"/>
        </w:rPr>
        <w:t>The biorefinery process based on hard avocado waste was reproduced based on the previous study by Alviz-Meza et al. (2025). The simulation was developed in Aspen Plus software with the Redlich-Kwong thermodynamic model for the vapor phase and NRTL for liquid-phase mixtures.</w:t>
      </w:r>
      <w:r>
        <w:rPr>
          <w:lang w:val="en-GB"/>
        </w:rPr>
        <w:t xml:space="preserve"> </w:t>
      </w:r>
      <w:r w:rsidR="00546D3F" w:rsidRPr="00546D3F">
        <w:rPr>
          <w:lang w:val="en-GB"/>
        </w:rPr>
        <w:t>The process was evaluated using an operational feed rate of 2</w:t>
      </w:r>
      <w:r w:rsidR="008231B1">
        <w:rPr>
          <w:lang w:val="en-GB"/>
        </w:rPr>
        <w:t>40</w:t>
      </w:r>
      <w:r w:rsidR="00546D3F" w:rsidRPr="00546D3F">
        <w:rPr>
          <w:lang w:val="en-GB"/>
        </w:rPr>
        <w:t>.</w:t>
      </w:r>
      <w:r w:rsidR="008231B1">
        <w:rPr>
          <w:lang w:val="en-GB"/>
        </w:rPr>
        <w:t>02</w:t>
      </w:r>
      <w:r w:rsidR="00546D3F" w:rsidRPr="00546D3F">
        <w:rPr>
          <w:lang w:val="en-GB"/>
        </w:rPr>
        <w:t xml:space="preserve"> tons per year, </w:t>
      </w:r>
      <w:r w:rsidR="00F539DA">
        <w:rPr>
          <w:lang w:val="en-GB"/>
        </w:rPr>
        <w:t xml:space="preserve">assuming a 50% yield in seed production </w:t>
      </w:r>
      <w:r w:rsidR="00546D3F" w:rsidRPr="00546D3F">
        <w:rPr>
          <w:lang w:val="en-GB"/>
        </w:rPr>
        <w:t xml:space="preserve">for the </w:t>
      </w:r>
      <w:r w:rsidR="00206F90" w:rsidRPr="00546D3F">
        <w:rPr>
          <w:lang w:val="en-GB"/>
        </w:rPr>
        <w:t>analy</w:t>
      </w:r>
      <w:r w:rsidR="00206F90">
        <w:rPr>
          <w:lang w:val="en-GB"/>
        </w:rPr>
        <w:t>z</w:t>
      </w:r>
      <w:r w:rsidR="00206F90" w:rsidRPr="00546D3F">
        <w:rPr>
          <w:lang w:val="en-GB"/>
        </w:rPr>
        <w:t>ed</w:t>
      </w:r>
      <w:r w:rsidR="00546D3F" w:rsidRPr="00546D3F">
        <w:rPr>
          <w:lang w:val="en-GB"/>
        </w:rPr>
        <w:t xml:space="preserve"> region (</w:t>
      </w:r>
      <w:r w:rsidR="00F539DA">
        <w:rPr>
          <w:lang w:val="en-GB"/>
        </w:rPr>
        <w:t>S</w:t>
      </w:r>
      <w:r w:rsidR="00546D3F" w:rsidRPr="00546D3F">
        <w:rPr>
          <w:lang w:val="en-GB"/>
        </w:rPr>
        <w:t>outhern Colombia)</w:t>
      </w:r>
      <w:r w:rsidR="00072D68">
        <w:rPr>
          <w:lang w:val="en-GB"/>
        </w:rPr>
        <w:t>. This assumption considers realistic post-harvest operational constraints documented in Colombian avocado supply chains, where a significant fraction of seeds is discarded during fruit processing operations prior to reaching the biorefinery gate</w:t>
      </w:r>
      <w:r w:rsidR="00546D3F" w:rsidRPr="00546D3F">
        <w:rPr>
          <w:lang w:val="en-GB"/>
        </w:rPr>
        <w:t>.</w:t>
      </w:r>
      <w:r w:rsidR="009B70E0">
        <w:rPr>
          <w:lang w:val="en-GB"/>
        </w:rPr>
        <w:t xml:space="preserve"> </w:t>
      </w:r>
      <w:r w:rsidR="009B70E0" w:rsidRPr="009B70E0">
        <w:rPr>
          <w:lang w:val="en-GB"/>
        </w:rPr>
        <w:t>Table 1 summarizes the main process stream conditions, including</w:t>
      </w:r>
      <w:r w:rsidR="000D12B3">
        <w:rPr>
          <w:lang w:val="en-GB"/>
        </w:rPr>
        <w:t xml:space="preserve"> mass</w:t>
      </w:r>
      <w:r w:rsidR="009B70E0" w:rsidRPr="009B70E0">
        <w:rPr>
          <w:lang w:val="en-GB"/>
        </w:rPr>
        <w:t xml:space="preserve"> flow rate, pressure</w:t>
      </w:r>
      <w:r w:rsidR="00AB4748">
        <w:rPr>
          <w:lang w:val="en-GB"/>
        </w:rPr>
        <w:t>,</w:t>
      </w:r>
      <w:r w:rsidR="009B70E0" w:rsidRPr="009B70E0">
        <w:rPr>
          <w:lang w:val="en-GB"/>
        </w:rPr>
        <w:t xml:space="preserve"> and temperature</w:t>
      </w:r>
      <w:r w:rsidR="003929E4">
        <w:rPr>
          <w:lang w:val="en-GB"/>
        </w:rPr>
        <w:t>.</w:t>
      </w:r>
    </w:p>
    <w:p w14:paraId="1ED4A925" w14:textId="1D097DCD" w:rsidR="00AA0103" w:rsidRPr="00347EB5" w:rsidRDefault="00AA0103" w:rsidP="00AA0103">
      <w:pPr>
        <w:pStyle w:val="CET-table-title"/>
        <w:rPr>
          <w:lang w:val="en-GB"/>
        </w:rPr>
      </w:pPr>
      <w:r w:rsidRPr="00347EB5">
        <w:rPr>
          <w:lang w:val="en-GB"/>
        </w:rPr>
        <w:t xml:space="preserve">Table 1: </w:t>
      </w:r>
      <w:r w:rsidR="00A621CD">
        <w:rPr>
          <w:lang w:val="en-GB"/>
        </w:rPr>
        <w:t>Operating</w:t>
      </w:r>
      <w:r w:rsidR="00072E6B" w:rsidRPr="00072E6B">
        <w:rPr>
          <w:lang w:val="en-GB"/>
        </w:rPr>
        <w:t xml:space="preserve"> conditions of the main </w:t>
      </w:r>
      <w:r w:rsidR="00A621CD">
        <w:rPr>
          <w:lang w:val="en-GB"/>
        </w:rPr>
        <w:t>streams</w:t>
      </w:r>
    </w:p>
    <w:tbl>
      <w:tblPr>
        <w:tblW w:w="5040" w:type="pct"/>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85"/>
        <w:gridCol w:w="885"/>
        <w:gridCol w:w="885"/>
        <w:gridCol w:w="886"/>
        <w:gridCol w:w="886"/>
        <w:gridCol w:w="886"/>
        <w:gridCol w:w="886"/>
        <w:gridCol w:w="886"/>
        <w:gridCol w:w="886"/>
        <w:gridCol w:w="886"/>
      </w:tblGrid>
      <w:tr w:rsidR="002E499D" w:rsidRPr="007A5F29" w14:paraId="08F2F2A2" w14:textId="6D6D9B1C" w:rsidTr="00281F23">
        <w:trPr>
          <w:trHeight w:val="265"/>
          <w:jc w:val="center"/>
        </w:trPr>
        <w:tc>
          <w:tcPr>
            <w:tcW w:w="500" w:type="pct"/>
            <w:tcBorders>
              <w:top w:val="single" w:sz="12" w:space="0" w:color="008000"/>
              <w:bottom w:val="single" w:sz="4" w:space="0" w:color="008000"/>
            </w:tcBorders>
            <w:shd w:val="clear" w:color="auto" w:fill="FFFFFF"/>
          </w:tcPr>
          <w:p w14:paraId="5F69C333" w14:textId="170673D4" w:rsidR="00E01370" w:rsidRPr="007A5F29" w:rsidRDefault="00E01370" w:rsidP="00E01370">
            <w:pPr>
              <w:pStyle w:val="CETBodytext"/>
              <w:jc w:val="center"/>
              <w:rPr>
                <w:lang w:val="en-GB"/>
              </w:rPr>
            </w:pPr>
            <w:r>
              <w:rPr>
                <w:lang w:val="en-GB"/>
              </w:rPr>
              <w:t>Streams</w:t>
            </w:r>
          </w:p>
        </w:tc>
        <w:tc>
          <w:tcPr>
            <w:tcW w:w="500" w:type="pct"/>
            <w:tcBorders>
              <w:top w:val="single" w:sz="12" w:space="0" w:color="008000"/>
              <w:bottom w:val="single" w:sz="4" w:space="0" w:color="008000"/>
            </w:tcBorders>
            <w:shd w:val="clear" w:color="auto" w:fill="FFFFFF"/>
          </w:tcPr>
          <w:p w14:paraId="7474044A" w14:textId="11DEBF3E" w:rsidR="00E01370" w:rsidRPr="007A5F29" w:rsidRDefault="00E01370" w:rsidP="00E01370">
            <w:pPr>
              <w:pStyle w:val="CETBodytext"/>
              <w:jc w:val="center"/>
              <w:rPr>
                <w:lang w:val="en-GB"/>
              </w:rPr>
            </w:pPr>
            <w:r>
              <w:rPr>
                <w:lang w:val="en-GB"/>
              </w:rPr>
              <w:t>1</w:t>
            </w:r>
          </w:p>
        </w:tc>
        <w:tc>
          <w:tcPr>
            <w:tcW w:w="500" w:type="pct"/>
            <w:tcBorders>
              <w:top w:val="single" w:sz="12" w:space="0" w:color="008000"/>
              <w:bottom w:val="single" w:sz="4" w:space="0" w:color="008000"/>
            </w:tcBorders>
            <w:shd w:val="clear" w:color="auto" w:fill="FFFFFF"/>
          </w:tcPr>
          <w:p w14:paraId="15691FCF" w14:textId="14878429" w:rsidR="00E01370" w:rsidRPr="007A5F29" w:rsidRDefault="00D92EC5" w:rsidP="00E01370">
            <w:pPr>
              <w:pStyle w:val="CETBodytext"/>
              <w:jc w:val="center"/>
              <w:rPr>
                <w:lang w:val="en-GB"/>
              </w:rPr>
            </w:pPr>
            <w:r>
              <w:rPr>
                <w:lang w:val="en-GB"/>
              </w:rPr>
              <w:t>11</w:t>
            </w:r>
          </w:p>
        </w:tc>
        <w:tc>
          <w:tcPr>
            <w:tcW w:w="500" w:type="pct"/>
            <w:tcBorders>
              <w:top w:val="single" w:sz="12" w:space="0" w:color="008000"/>
              <w:bottom w:val="single" w:sz="4" w:space="0" w:color="008000"/>
            </w:tcBorders>
            <w:shd w:val="clear" w:color="auto" w:fill="FFFFFF"/>
          </w:tcPr>
          <w:p w14:paraId="1D4249D0" w14:textId="3C0665C1" w:rsidR="00E01370" w:rsidRPr="007A5F29" w:rsidRDefault="00B92782" w:rsidP="00E01370">
            <w:pPr>
              <w:pStyle w:val="CETBodytext"/>
              <w:jc w:val="center"/>
              <w:rPr>
                <w:lang w:val="en-GB"/>
              </w:rPr>
            </w:pPr>
            <w:r>
              <w:rPr>
                <w:lang w:val="en-GB"/>
              </w:rPr>
              <w:t>22</w:t>
            </w:r>
          </w:p>
        </w:tc>
        <w:tc>
          <w:tcPr>
            <w:tcW w:w="500" w:type="pct"/>
            <w:tcBorders>
              <w:top w:val="single" w:sz="12" w:space="0" w:color="008000"/>
              <w:bottom w:val="single" w:sz="4" w:space="0" w:color="008000"/>
            </w:tcBorders>
            <w:shd w:val="clear" w:color="auto" w:fill="FFFFFF"/>
          </w:tcPr>
          <w:p w14:paraId="7F568389" w14:textId="77EA7168" w:rsidR="00E01370" w:rsidRPr="007A5F29" w:rsidRDefault="00021138" w:rsidP="00E01370">
            <w:pPr>
              <w:pStyle w:val="CETBodytext"/>
              <w:jc w:val="center"/>
              <w:rPr>
                <w:lang w:val="en-GB"/>
              </w:rPr>
            </w:pPr>
            <w:r>
              <w:rPr>
                <w:lang w:val="en-GB"/>
              </w:rPr>
              <w:t>30</w:t>
            </w:r>
          </w:p>
        </w:tc>
        <w:tc>
          <w:tcPr>
            <w:tcW w:w="500" w:type="pct"/>
            <w:tcBorders>
              <w:top w:val="single" w:sz="12" w:space="0" w:color="008000"/>
              <w:bottom w:val="single" w:sz="4" w:space="0" w:color="008000"/>
            </w:tcBorders>
            <w:shd w:val="clear" w:color="auto" w:fill="FFFFFF"/>
          </w:tcPr>
          <w:p w14:paraId="77725A0C" w14:textId="1022845A" w:rsidR="00E01370" w:rsidRPr="007A5F29" w:rsidRDefault="00A67D5E" w:rsidP="00E01370">
            <w:pPr>
              <w:pStyle w:val="CETBodytext"/>
              <w:jc w:val="center"/>
              <w:rPr>
                <w:lang w:val="en-GB"/>
              </w:rPr>
            </w:pPr>
            <w:r>
              <w:rPr>
                <w:lang w:val="en-GB"/>
              </w:rPr>
              <w:t>25</w:t>
            </w:r>
          </w:p>
        </w:tc>
        <w:tc>
          <w:tcPr>
            <w:tcW w:w="500" w:type="pct"/>
            <w:tcBorders>
              <w:top w:val="single" w:sz="12" w:space="0" w:color="008000"/>
              <w:bottom w:val="single" w:sz="4" w:space="0" w:color="008000"/>
            </w:tcBorders>
            <w:shd w:val="clear" w:color="auto" w:fill="FFFFFF"/>
          </w:tcPr>
          <w:p w14:paraId="78F570B2" w14:textId="215CE749" w:rsidR="00E01370" w:rsidRPr="007A5F29" w:rsidRDefault="00A67D5E" w:rsidP="00E01370">
            <w:pPr>
              <w:pStyle w:val="CETBodytext"/>
              <w:jc w:val="center"/>
              <w:rPr>
                <w:lang w:val="en-GB"/>
              </w:rPr>
            </w:pPr>
            <w:r>
              <w:rPr>
                <w:lang w:val="en-GB"/>
              </w:rPr>
              <w:t>44</w:t>
            </w:r>
          </w:p>
        </w:tc>
        <w:tc>
          <w:tcPr>
            <w:tcW w:w="500" w:type="pct"/>
            <w:tcBorders>
              <w:top w:val="single" w:sz="12" w:space="0" w:color="008000"/>
              <w:bottom w:val="single" w:sz="4" w:space="0" w:color="008000"/>
            </w:tcBorders>
            <w:shd w:val="clear" w:color="auto" w:fill="FFFFFF"/>
          </w:tcPr>
          <w:p w14:paraId="7AF1640E" w14:textId="2431F1A0" w:rsidR="00E01370" w:rsidRPr="007A5F29" w:rsidRDefault="00A67D5E" w:rsidP="00E01370">
            <w:pPr>
              <w:pStyle w:val="CETBodytext"/>
              <w:ind w:right="-1"/>
              <w:jc w:val="center"/>
              <w:rPr>
                <w:rFonts w:cs="Arial"/>
                <w:szCs w:val="18"/>
                <w:lang w:val="en-GB"/>
              </w:rPr>
            </w:pPr>
            <w:r>
              <w:rPr>
                <w:lang w:val="en-GB"/>
              </w:rPr>
              <w:t>48</w:t>
            </w:r>
          </w:p>
        </w:tc>
        <w:tc>
          <w:tcPr>
            <w:tcW w:w="500" w:type="pct"/>
            <w:tcBorders>
              <w:top w:val="single" w:sz="12" w:space="0" w:color="008000"/>
              <w:bottom w:val="single" w:sz="4" w:space="0" w:color="008000"/>
            </w:tcBorders>
            <w:shd w:val="clear" w:color="auto" w:fill="FFFFFF"/>
          </w:tcPr>
          <w:p w14:paraId="199875FC" w14:textId="391B9C93" w:rsidR="00E01370" w:rsidRPr="007A5F29" w:rsidRDefault="002B75D7" w:rsidP="00E01370">
            <w:pPr>
              <w:pStyle w:val="CETBodytext"/>
              <w:ind w:right="-1"/>
              <w:jc w:val="center"/>
              <w:rPr>
                <w:rFonts w:cs="Arial"/>
                <w:szCs w:val="18"/>
                <w:lang w:val="en-GB"/>
              </w:rPr>
            </w:pPr>
            <w:r>
              <w:rPr>
                <w:rFonts w:cs="Arial"/>
                <w:szCs w:val="18"/>
                <w:lang w:val="en-GB"/>
              </w:rPr>
              <w:t>5</w:t>
            </w:r>
            <w:r w:rsidR="00E01370">
              <w:rPr>
                <w:rFonts w:cs="Arial"/>
                <w:szCs w:val="18"/>
                <w:lang w:val="en-GB"/>
              </w:rPr>
              <w:t>3</w:t>
            </w:r>
          </w:p>
        </w:tc>
        <w:tc>
          <w:tcPr>
            <w:tcW w:w="500" w:type="pct"/>
            <w:tcBorders>
              <w:top w:val="single" w:sz="12" w:space="0" w:color="008000"/>
              <w:bottom w:val="single" w:sz="4" w:space="0" w:color="008000"/>
            </w:tcBorders>
            <w:shd w:val="clear" w:color="auto" w:fill="FFFFFF"/>
          </w:tcPr>
          <w:p w14:paraId="20E460DC" w14:textId="40E7765C" w:rsidR="00E01370" w:rsidRPr="007A5F29" w:rsidRDefault="002B75D7" w:rsidP="00E01370">
            <w:pPr>
              <w:pStyle w:val="CETBodytext"/>
              <w:ind w:right="-1"/>
              <w:jc w:val="center"/>
              <w:rPr>
                <w:rFonts w:cs="Arial"/>
                <w:szCs w:val="18"/>
                <w:lang w:val="en-GB"/>
              </w:rPr>
            </w:pPr>
            <w:r>
              <w:rPr>
                <w:rFonts w:cs="Arial"/>
                <w:szCs w:val="18"/>
                <w:lang w:val="en-GB"/>
              </w:rPr>
              <w:t>5</w:t>
            </w:r>
            <w:r w:rsidR="00D1348C">
              <w:rPr>
                <w:rFonts w:cs="Arial"/>
                <w:szCs w:val="18"/>
                <w:lang w:val="en-GB"/>
              </w:rPr>
              <w:t>4</w:t>
            </w:r>
          </w:p>
        </w:tc>
      </w:tr>
      <w:tr w:rsidR="002E499D" w:rsidRPr="007A5F29" w14:paraId="7DA665E9" w14:textId="78BD345D" w:rsidTr="00281F23">
        <w:trPr>
          <w:trHeight w:val="265"/>
          <w:jc w:val="center"/>
        </w:trPr>
        <w:tc>
          <w:tcPr>
            <w:tcW w:w="500" w:type="pct"/>
            <w:tcBorders>
              <w:top w:val="single" w:sz="4" w:space="0" w:color="008000"/>
            </w:tcBorders>
            <w:shd w:val="clear" w:color="auto" w:fill="FFFFFF"/>
          </w:tcPr>
          <w:p w14:paraId="6B52D929" w14:textId="3BD0C207" w:rsidR="001F0533" w:rsidRPr="007A5F29" w:rsidRDefault="001F0533" w:rsidP="001F0533">
            <w:pPr>
              <w:pStyle w:val="CETBodytext"/>
              <w:jc w:val="center"/>
              <w:rPr>
                <w:lang w:val="en-GB"/>
              </w:rPr>
            </w:pPr>
            <w:r>
              <w:rPr>
                <w:lang w:val="en-GB"/>
              </w:rPr>
              <w:t>m (t/y)</w:t>
            </w:r>
          </w:p>
        </w:tc>
        <w:tc>
          <w:tcPr>
            <w:tcW w:w="500" w:type="pct"/>
            <w:tcBorders>
              <w:top w:val="single" w:sz="4" w:space="0" w:color="008000"/>
            </w:tcBorders>
            <w:shd w:val="clear" w:color="auto" w:fill="FFFFFF"/>
            <w:vAlign w:val="center"/>
          </w:tcPr>
          <w:p w14:paraId="0AA8CA3A" w14:textId="1BD3E494" w:rsidR="001F0533" w:rsidRPr="007A5F29" w:rsidRDefault="001F0533" w:rsidP="001F0533">
            <w:pPr>
              <w:pStyle w:val="CETBodytext"/>
              <w:jc w:val="center"/>
              <w:rPr>
                <w:lang w:val="en-GB"/>
              </w:rPr>
            </w:pPr>
            <w:r>
              <w:rPr>
                <w:color w:val="000000"/>
                <w:szCs w:val="18"/>
              </w:rPr>
              <w:t>240.02</w:t>
            </w:r>
          </w:p>
        </w:tc>
        <w:tc>
          <w:tcPr>
            <w:tcW w:w="500" w:type="pct"/>
            <w:tcBorders>
              <w:top w:val="single" w:sz="4" w:space="0" w:color="008000"/>
            </w:tcBorders>
            <w:shd w:val="clear" w:color="auto" w:fill="FFFFFF"/>
            <w:vAlign w:val="center"/>
          </w:tcPr>
          <w:p w14:paraId="5637A2CF" w14:textId="674EF3D3" w:rsidR="001F0533" w:rsidRPr="009D580D" w:rsidRDefault="001F0533" w:rsidP="001F0533">
            <w:pPr>
              <w:pStyle w:val="CETBodytext"/>
              <w:jc w:val="center"/>
              <w:rPr>
                <w:szCs w:val="18"/>
                <w:lang w:val="en-GB"/>
              </w:rPr>
            </w:pPr>
            <w:r w:rsidRPr="009D580D">
              <w:rPr>
                <w:color w:val="000000"/>
                <w:szCs w:val="18"/>
              </w:rPr>
              <w:t>144.93</w:t>
            </w:r>
          </w:p>
        </w:tc>
        <w:tc>
          <w:tcPr>
            <w:tcW w:w="500" w:type="pct"/>
            <w:tcBorders>
              <w:top w:val="single" w:sz="4" w:space="0" w:color="008000"/>
            </w:tcBorders>
            <w:shd w:val="clear" w:color="auto" w:fill="FFFFFF"/>
            <w:vAlign w:val="center"/>
          </w:tcPr>
          <w:p w14:paraId="48D7320B" w14:textId="650966F8" w:rsidR="001F0533" w:rsidRPr="007A5F29" w:rsidRDefault="001F0533" w:rsidP="001F0533">
            <w:pPr>
              <w:pStyle w:val="CETBodytext"/>
              <w:jc w:val="center"/>
              <w:rPr>
                <w:lang w:val="en-GB"/>
              </w:rPr>
            </w:pPr>
            <w:r>
              <w:rPr>
                <w:color w:val="000000"/>
                <w:szCs w:val="18"/>
              </w:rPr>
              <w:t>6671.70</w:t>
            </w:r>
          </w:p>
        </w:tc>
        <w:tc>
          <w:tcPr>
            <w:tcW w:w="500" w:type="pct"/>
            <w:tcBorders>
              <w:top w:val="single" w:sz="4" w:space="0" w:color="008000"/>
            </w:tcBorders>
            <w:shd w:val="clear" w:color="auto" w:fill="FFFFFF"/>
            <w:vAlign w:val="center"/>
          </w:tcPr>
          <w:p w14:paraId="3179F5B3" w14:textId="19B11CC5" w:rsidR="001F0533" w:rsidRPr="007A5F29" w:rsidRDefault="001F0533" w:rsidP="001F0533">
            <w:pPr>
              <w:pStyle w:val="CETBodytext"/>
              <w:jc w:val="center"/>
              <w:rPr>
                <w:lang w:val="en-GB"/>
              </w:rPr>
            </w:pPr>
            <w:r>
              <w:rPr>
                <w:color w:val="000000"/>
                <w:szCs w:val="18"/>
              </w:rPr>
              <w:t>16.86</w:t>
            </w:r>
          </w:p>
        </w:tc>
        <w:tc>
          <w:tcPr>
            <w:tcW w:w="500" w:type="pct"/>
            <w:tcBorders>
              <w:top w:val="single" w:sz="4" w:space="0" w:color="008000"/>
            </w:tcBorders>
            <w:shd w:val="clear" w:color="auto" w:fill="FFFFFF"/>
            <w:vAlign w:val="center"/>
          </w:tcPr>
          <w:p w14:paraId="6461EF75" w14:textId="53A814F5" w:rsidR="001F0533" w:rsidRPr="007A5F29" w:rsidRDefault="001F0533" w:rsidP="001F0533">
            <w:pPr>
              <w:pStyle w:val="CETBodytext"/>
              <w:jc w:val="center"/>
              <w:rPr>
                <w:lang w:val="en-GB"/>
              </w:rPr>
            </w:pPr>
            <w:r>
              <w:rPr>
                <w:color w:val="000000"/>
                <w:szCs w:val="18"/>
              </w:rPr>
              <w:t>2.43</w:t>
            </w:r>
          </w:p>
        </w:tc>
        <w:tc>
          <w:tcPr>
            <w:tcW w:w="500" w:type="pct"/>
            <w:tcBorders>
              <w:top w:val="single" w:sz="4" w:space="0" w:color="008000"/>
            </w:tcBorders>
            <w:shd w:val="clear" w:color="auto" w:fill="FFFFFF"/>
            <w:vAlign w:val="center"/>
          </w:tcPr>
          <w:p w14:paraId="1C2C3532" w14:textId="6F2AE758" w:rsidR="001F0533" w:rsidRPr="007A5F29" w:rsidRDefault="001F0533" w:rsidP="001F0533">
            <w:pPr>
              <w:pStyle w:val="CETBodytext"/>
              <w:jc w:val="center"/>
              <w:rPr>
                <w:lang w:val="en-GB"/>
              </w:rPr>
            </w:pPr>
            <w:r>
              <w:rPr>
                <w:color w:val="000000"/>
                <w:szCs w:val="18"/>
              </w:rPr>
              <w:t>46.17</w:t>
            </w:r>
          </w:p>
        </w:tc>
        <w:tc>
          <w:tcPr>
            <w:tcW w:w="500" w:type="pct"/>
            <w:tcBorders>
              <w:top w:val="single" w:sz="4" w:space="0" w:color="008000"/>
            </w:tcBorders>
            <w:shd w:val="clear" w:color="auto" w:fill="FFFFFF"/>
            <w:vAlign w:val="center"/>
          </w:tcPr>
          <w:p w14:paraId="670182E6" w14:textId="59C321A1" w:rsidR="001F0533" w:rsidRPr="007A5F29" w:rsidRDefault="001F0533" w:rsidP="001F0533">
            <w:pPr>
              <w:pStyle w:val="CETBodytext"/>
              <w:ind w:right="-1"/>
              <w:jc w:val="center"/>
              <w:rPr>
                <w:rFonts w:cs="Arial"/>
                <w:szCs w:val="18"/>
                <w:lang w:val="en-GB"/>
              </w:rPr>
            </w:pPr>
            <w:r>
              <w:rPr>
                <w:color w:val="000000"/>
                <w:szCs w:val="18"/>
              </w:rPr>
              <w:t>33.41</w:t>
            </w:r>
          </w:p>
        </w:tc>
        <w:tc>
          <w:tcPr>
            <w:tcW w:w="500" w:type="pct"/>
            <w:tcBorders>
              <w:top w:val="single" w:sz="4" w:space="0" w:color="008000"/>
            </w:tcBorders>
            <w:shd w:val="clear" w:color="auto" w:fill="FFFFFF"/>
            <w:vAlign w:val="center"/>
          </w:tcPr>
          <w:p w14:paraId="40079330" w14:textId="222B180D" w:rsidR="001F0533" w:rsidRPr="007A5F29" w:rsidRDefault="001F0533" w:rsidP="001F0533">
            <w:pPr>
              <w:pStyle w:val="CETBodytext"/>
              <w:ind w:right="-1"/>
              <w:jc w:val="center"/>
              <w:rPr>
                <w:rFonts w:cs="Arial"/>
                <w:szCs w:val="18"/>
                <w:lang w:val="en-GB"/>
              </w:rPr>
            </w:pPr>
            <w:r>
              <w:rPr>
                <w:color w:val="000000"/>
                <w:szCs w:val="18"/>
              </w:rPr>
              <w:t>27.71</w:t>
            </w:r>
          </w:p>
        </w:tc>
        <w:tc>
          <w:tcPr>
            <w:tcW w:w="500" w:type="pct"/>
            <w:tcBorders>
              <w:top w:val="single" w:sz="4" w:space="0" w:color="008000"/>
            </w:tcBorders>
            <w:shd w:val="clear" w:color="auto" w:fill="FFFFFF"/>
            <w:vAlign w:val="center"/>
          </w:tcPr>
          <w:p w14:paraId="0D8EC023" w14:textId="7E342F93" w:rsidR="001F0533" w:rsidRPr="007A5F29" w:rsidRDefault="001F0533" w:rsidP="001F0533">
            <w:pPr>
              <w:pStyle w:val="CETBodytext"/>
              <w:ind w:right="-1"/>
              <w:jc w:val="center"/>
              <w:rPr>
                <w:rFonts w:cs="Arial"/>
                <w:szCs w:val="18"/>
                <w:lang w:val="en-GB"/>
              </w:rPr>
            </w:pPr>
            <w:r>
              <w:rPr>
                <w:color w:val="000000"/>
                <w:szCs w:val="18"/>
              </w:rPr>
              <w:t>30.13</w:t>
            </w:r>
          </w:p>
        </w:tc>
      </w:tr>
      <w:tr w:rsidR="001F0533" w:rsidRPr="007A5F29" w14:paraId="44A49928" w14:textId="37A9D597" w:rsidTr="005B635F">
        <w:trPr>
          <w:trHeight w:val="251"/>
          <w:jc w:val="center"/>
        </w:trPr>
        <w:tc>
          <w:tcPr>
            <w:tcW w:w="500" w:type="pct"/>
          </w:tcPr>
          <w:p w14:paraId="73A094CD" w14:textId="298EA58B" w:rsidR="001F0533" w:rsidRPr="007A5F29" w:rsidRDefault="001F0533" w:rsidP="001F0533">
            <w:pPr>
              <w:pStyle w:val="CETBodytext"/>
              <w:ind w:right="-1"/>
              <w:jc w:val="center"/>
              <w:rPr>
                <w:rFonts w:cs="Arial"/>
                <w:szCs w:val="18"/>
                <w:lang w:val="en-GB"/>
              </w:rPr>
            </w:pPr>
            <w:r>
              <w:rPr>
                <w:rFonts w:cs="Arial"/>
                <w:szCs w:val="18"/>
                <w:lang w:val="en-GB"/>
              </w:rPr>
              <w:t>T (K)</w:t>
            </w:r>
          </w:p>
        </w:tc>
        <w:tc>
          <w:tcPr>
            <w:tcW w:w="500" w:type="pct"/>
            <w:vAlign w:val="center"/>
          </w:tcPr>
          <w:p w14:paraId="35E7A25D" w14:textId="2AF4C4D4" w:rsidR="001F0533" w:rsidRPr="007A5F29" w:rsidRDefault="001F0533" w:rsidP="001F0533">
            <w:pPr>
              <w:pStyle w:val="CETBodytext"/>
              <w:ind w:right="-1"/>
              <w:jc w:val="center"/>
              <w:rPr>
                <w:rFonts w:cs="Arial"/>
                <w:szCs w:val="18"/>
                <w:lang w:val="en-GB"/>
              </w:rPr>
            </w:pPr>
            <w:r>
              <w:rPr>
                <w:color w:val="000000"/>
                <w:szCs w:val="18"/>
              </w:rPr>
              <w:t>298.20</w:t>
            </w:r>
          </w:p>
        </w:tc>
        <w:tc>
          <w:tcPr>
            <w:tcW w:w="500" w:type="pct"/>
            <w:vAlign w:val="center"/>
          </w:tcPr>
          <w:p w14:paraId="058844B0" w14:textId="5AECE1E2" w:rsidR="001F0533" w:rsidRPr="009D580D" w:rsidRDefault="001F0533" w:rsidP="001F0533">
            <w:pPr>
              <w:pStyle w:val="CETBodytext"/>
              <w:ind w:right="-1"/>
              <w:jc w:val="center"/>
              <w:rPr>
                <w:rFonts w:cs="Arial"/>
                <w:szCs w:val="18"/>
                <w:lang w:val="en-GB"/>
              </w:rPr>
            </w:pPr>
            <w:r w:rsidRPr="009D580D">
              <w:rPr>
                <w:color w:val="000000"/>
                <w:szCs w:val="18"/>
              </w:rPr>
              <w:t>291.65</w:t>
            </w:r>
          </w:p>
        </w:tc>
        <w:tc>
          <w:tcPr>
            <w:tcW w:w="500" w:type="pct"/>
            <w:vAlign w:val="center"/>
          </w:tcPr>
          <w:p w14:paraId="5CC0FAB6" w14:textId="34C024AA" w:rsidR="001F0533" w:rsidRPr="007A5F29" w:rsidRDefault="001F0533" w:rsidP="001F0533">
            <w:pPr>
              <w:pStyle w:val="CETBodytext"/>
              <w:ind w:right="-1"/>
              <w:jc w:val="center"/>
              <w:rPr>
                <w:rFonts w:cs="Arial"/>
                <w:szCs w:val="18"/>
                <w:lang w:val="en-GB"/>
              </w:rPr>
            </w:pPr>
            <w:r>
              <w:rPr>
                <w:color w:val="000000"/>
                <w:szCs w:val="18"/>
              </w:rPr>
              <w:t>333.20</w:t>
            </w:r>
          </w:p>
        </w:tc>
        <w:tc>
          <w:tcPr>
            <w:tcW w:w="500" w:type="pct"/>
            <w:vAlign w:val="center"/>
          </w:tcPr>
          <w:p w14:paraId="6A892A0F" w14:textId="3AA973BB" w:rsidR="001F0533" w:rsidRPr="007A5F29" w:rsidRDefault="001F0533" w:rsidP="001F0533">
            <w:pPr>
              <w:pStyle w:val="CETBodytext"/>
              <w:ind w:right="-1"/>
              <w:jc w:val="center"/>
              <w:rPr>
                <w:rFonts w:cs="Arial"/>
                <w:szCs w:val="18"/>
                <w:lang w:val="en-GB"/>
              </w:rPr>
            </w:pPr>
            <w:r>
              <w:rPr>
                <w:color w:val="000000"/>
                <w:szCs w:val="18"/>
              </w:rPr>
              <w:t>333.20</w:t>
            </w:r>
          </w:p>
        </w:tc>
        <w:tc>
          <w:tcPr>
            <w:tcW w:w="500" w:type="pct"/>
            <w:vAlign w:val="center"/>
          </w:tcPr>
          <w:p w14:paraId="727971BC" w14:textId="7238E39A" w:rsidR="001F0533" w:rsidRPr="007A5F29" w:rsidRDefault="001F0533" w:rsidP="001F0533">
            <w:pPr>
              <w:pStyle w:val="CETBodytext"/>
              <w:ind w:right="-1"/>
              <w:jc w:val="center"/>
              <w:rPr>
                <w:rFonts w:cs="Arial"/>
                <w:szCs w:val="18"/>
                <w:lang w:val="en-GB"/>
              </w:rPr>
            </w:pPr>
            <w:r>
              <w:rPr>
                <w:color w:val="000000"/>
                <w:szCs w:val="18"/>
              </w:rPr>
              <w:t>328.84</w:t>
            </w:r>
          </w:p>
        </w:tc>
        <w:tc>
          <w:tcPr>
            <w:tcW w:w="500" w:type="pct"/>
            <w:vAlign w:val="center"/>
          </w:tcPr>
          <w:p w14:paraId="380D1D7A" w14:textId="5BFA1447" w:rsidR="001F0533" w:rsidRPr="007A5F29" w:rsidRDefault="001F0533" w:rsidP="001F0533">
            <w:pPr>
              <w:pStyle w:val="CETBodytext"/>
              <w:ind w:right="-1"/>
              <w:jc w:val="center"/>
              <w:rPr>
                <w:rFonts w:cs="Arial"/>
                <w:szCs w:val="18"/>
                <w:lang w:val="en-GB"/>
              </w:rPr>
            </w:pPr>
            <w:r>
              <w:rPr>
                <w:color w:val="000000"/>
                <w:szCs w:val="18"/>
              </w:rPr>
              <w:t>373.20</w:t>
            </w:r>
          </w:p>
        </w:tc>
        <w:tc>
          <w:tcPr>
            <w:tcW w:w="500" w:type="pct"/>
            <w:vAlign w:val="center"/>
          </w:tcPr>
          <w:p w14:paraId="6A30A59D" w14:textId="2DEE06FD" w:rsidR="001F0533" w:rsidRPr="007A5F29" w:rsidRDefault="001F0533" w:rsidP="001F0533">
            <w:pPr>
              <w:pStyle w:val="CETBodytext"/>
              <w:ind w:right="-1"/>
              <w:jc w:val="center"/>
              <w:rPr>
                <w:rFonts w:cs="Arial"/>
                <w:szCs w:val="18"/>
                <w:lang w:val="en-GB"/>
              </w:rPr>
            </w:pPr>
            <w:r>
              <w:rPr>
                <w:color w:val="000000"/>
                <w:szCs w:val="18"/>
              </w:rPr>
              <w:t>373.20</w:t>
            </w:r>
          </w:p>
        </w:tc>
        <w:tc>
          <w:tcPr>
            <w:tcW w:w="500" w:type="pct"/>
            <w:vAlign w:val="center"/>
          </w:tcPr>
          <w:p w14:paraId="674E5F22" w14:textId="6A466F48" w:rsidR="001F0533" w:rsidRPr="007A5F29" w:rsidRDefault="001F0533" w:rsidP="001F0533">
            <w:pPr>
              <w:pStyle w:val="CETBodytext"/>
              <w:ind w:right="-1"/>
              <w:jc w:val="center"/>
              <w:rPr>
                <w:rFonts w:cs="Arial"/>
                <w:szCs w:val="18"/>
                <w:lang w:val="en-GB"/>
              </w:rPr>
            </w:pPr>
            <w:r>
              <w:rPr>
                <w:color w:val="000000"/>
                <w:szCs w:val="18"/>
              </w:rPr>
              <w:t>473.20</w:t>
            </w:r>
          </w:p>
        </w:tc>
        <w:tc>
          <w:tcPr>
            <w:tcW w:w="500" w:type="pct"/>
            <w:vAlign w:val="center"/>
          </w:tcPr>
          <w:p w14:paraId="0973DAE0" w14:textId="33120BFF" w:rsidR="001F0533" w:rsidRPr="007A5F29" w:rsidRDefault="001F0533" w:rsidP="001F0533">
            <w:pPr>
              <w:pStyle w:val="CETBodytext"/>
              <w:ind w:right="-1"/>
              <w:jc w:val="center"/>
              <w:rPr>
                <w:rFonts w:cs="Arial"/>
                <w:szCs w:val="18"/>
                <w:lang w:val="en-GB"/>
              </w:rPr>
            </w:pPr>
            <w:r>
              <w:rPr>
                <w:color w:val="000000"/>
                <w:szCs w:val="18"/>
              </w:rPr>
              <w:t>452.97</w:t>
            </w:r>
          </w:p>
        </w:tc>
      </w:tr>
      <w:tr w:rsidR="001F0533" w:rsidRPr="007A5F29" w14:paraId="0DC7E503" w14:textId="77777777" w:rsidTr="002E499D">
        <w:trPr>
          <w:trHeight w:val="251"/>
          <w:jc w:val="center"/>
        </w:trPr>
        <w:tc>
          <w:tcPr>
            <w:tcW w:w="500" w:type="pct"/>
            <w:shd w:val="clear" w:color="auto" w:fill="FFFFFF"/>
          </w:tcPr>
          <w:p w14:paraId="7D47CB6E" w14:textId="4F3C2C75" w:rsidR="001F0533" w:rsidRPr="007A5F29" w:rsidRDefault="001F0533" w:rsidP="001F0533">
            <w:pPr>
              <w:pStyle w:val="CETBodytext"/>
              <w:ind w:right="-1"/>
              <w:jc w:val="center"/>
              <w:rPr>
                <w:rFonts w:cs="Arial"/>
                <w:szCs w:val="18"/>
                <w:lang w:val="en-GB"/>
              </w:rPr>
            </w:pPr>
            <w:r>
              <w:rPr>
                <w:rFonts w:cs="Arial"/>
                <w:szCs w:val="18"/>
                <w:lang w:val="en-GB"/>
              </w:rPr>
              <w:t>P (bar)</w:t>
            </w:r>
          </w:p>
        </w:tc>
        <w:tc>
          <w:tcPr>
            <w:tcW w:w="500" w:type="pct"/>
            <w:shd w:val="clear" w:color="auto" w:fill="FFFFFF"/>
            <w:vAlign w:val="center"/>
          </w:tcPr>
          <w:p w14:paraId="46542595" w14:textId="0B2FCDCD" w:rsidR="001F0533" w:rsidRPr="007A5F29" w:rsidRDefault="001F0533" w:rsidP="001F0533">
            <w:pPr>
              <w:pStyle w:val="CETBodytext"/>
              <w:ind w:right="-1"/>
              <w:jc w:val="center"/>
              <w:rPr>
                <w:rFonts w:cs="Arial"/>
                <w:szCs w:val="18"/>
                <w:lang w:val="en-GB"/>
              </w:rPr>
            </w:pPr>
            <w:r>
              <w:rPr>
                <w:color w:val="000000"/>
                <w:szCs w:val="18"/>
              </w:rPr>
              <w:t>1.01</w:t>
            </w:r>
          </w:p>
        </w:tc>
        <w:tc>
          <w:tcPr>
            <w:tcW w:w="500" w:type="pct"/>
            <w:shd w:val="clear" w:color="auto" w:fill="FFFFFF"/>
            <w:vAlign w:val="center"/>
          </w:tcPr>
          <w:p w14:paraId="2532B141" w14:textId="4CA27B16" w:rsidR="001F0533" w:rsidRPr="009D580D" w:rsidRDefault="001F0533" w:rsidP="001F0533">
            <w:pPr>
              <w:pStyle w:val="CETBodytext"/>
              <w:ind w:right="-1"/>
              <w:jc w:val="center"/>
              <w:rPr>
                <w:rFonts w:cs="Arial"/>
                <w:szCs w:val="18"/>
                <w:lang w:val="en-GB"/>
              </w:rPr>
            </w:pPr>
            <w:r w:rsidRPr="009D580D">
              <w:rPr>
                <w:color w:val="000000"/>
                <w:szCs w:val="18"/>
              </w:rPr>
              <w:t>1.01</w:t>
            </w:r>
          </w:p>
        </w:tc>
        <w:tc>
          <w:tcPr>
            <w:tcW w:w="500" w:type="pct"/>
            <w:shd w:val="clear" w:color="auto" w:fill="FFFFFF"/>
            <w:vAlign w:val="center"/>
          </w:tcPr>
          <w:p w14:paraId="24C6C236" w14:textId="1EBCDCA8" w:rsidR="001F0533" w:rsidRPr="007A5F29" w:rsidRDefault="001F0533" w:rsidP="001F0533">
            <w:pPr>
              <w:pStyle w:val="CETBodytext"/>
              <w:ind w:right="-1"/>
              <w:jc w:val="center"/>
              <w:rPr>
                <w:rFonts w:cs="Arial"/>
                <w:szCs w:val="18"/>
                <w:lang w:val="en-GB"/>
              </w:rPr>
            </w:pPr>
            <w:r>
              <w:rPr>
                <w:color w:val="000000"/>
                <w:szCs w:val="18"/>
              </w:rPr>
              <w:t>1</w:t>
            </w:r>
          </w:p>
        </w:tc>
        <w:tc>
          <w:tcPr>
            <w:tcW w:w="500" w:type="pct"/>
            <w:shd w:val="clear" w:color="auto" w:fill="FFFFFF"/>
            <w:vAlign w:val="center"/>
          </w:tcPr>
          <w:p w14:paraId="781562E9" w14:textId="11C98F53" w:rsidR="001F0533" w:rsidRPr="007A5F29" w:rsidRDefault="001F0533" w:rsidP="001F0533">
            <w:pPr>
              <w:pStyle w:val="CETBodytext"/>
              <w:ind w:right="-1"/>
              <w:jc w:val="center"/>
              <w:rPr>
                <w:rFonts w:cs="Arial"/>
                <w:szCs w:val="18"/>
                <w:lang w:val="en-GB"/>
              </w:rPr>
            </w:pPr>
            <w:r>
              <w:rPr>
                <w:color w:val="000000"/>
                <w:szCs w:val="18"/>
              </w:rPr>
              <w:t>1.00</w:t>
            </w:r>
          </w:p>
        </w:tc>
        <w:tc>
          <w:tcPr>
            <w:tcW w:w="500" w:type="pct"/>
            <w:shd w:val="clear" w:color="auto" w:fill="FFFFFF"/>
            <w:vAlign w:val="center"/>
          </w:tcPr>
          <w:p w14:paraId="678087EB" w14:textId="0B807AAB" w:rsidR="001F0533" w:rsidRPr="007A5F29" w:rsidRDefault="001F0533" w:rsidP="001F0533">
            <w:pPr>
              <w:pStyle w:val="CETBodytext"/>
              <w:ind w:right="-1"/>
              <w:jc w:val="center"/>
              <w:rPr>
                <w:rFonts w:cs="Arial"/>
                <w:szCs w:val="18"/>
                <w:lang w:val="en-GB"/>
              </w:rPr>
            </w:pPr>
            <w:r>
              <w:rPr>
                <w:color w:val="000000"/>
                <w:szCs w:val="18"/>
              </w:rPr>
              <w:t>1.00</w:t>
            </w:r>
          </w:p>
        </w:tc>
        <w:tc>
          <w:tcPr>
            <w:tcW w:w="500" w:type="pct"/>
            <w:shd w:val="clear" w:color="auto" w:fill="FFFFFF"/>
            <w:vAlign w:val="center"/>
          </w:tcPr>
          <w:p w14:paraId="48EB2534" w14:textId="23E8C4A2" w:rsidR="001F0533" w:rsidRPr="007A5F29" w:rsidRDefault="001F0533" w:rsidP="001F0533">
            <w:pPr>
              <w:pStyle w:val="CETBodytext"/>
              <w:ind w:right="-1"/>
              <w:jc w:val="center"/>
              <w:rPr>
                <w:rFonts w:cs="Arial"/>
                <w:szCs w:val="18"/>
                <w:lang w:val="en-GB"/>
              </w:rPr>
            </w:pPr>
            <w:r>
              <w:rPr>
                <w:color w:val="000000"/>
                <w:szCs w:val="18"/>
              </w:rPr>
              <w:t>0.50</w:t>
            </w:r>
          </w:p>
        </w:tc>
        <w:tc>
          <w:tcPr>
            <w:tcW w:w="500" w:type="pct"/>
            <w:shd w:val="clear" w:color="auto" w:fill="FFFFFF"/>
            <w:vAlign w:val="center"/>
          </w:tcPr>
          <w:p w14:paraId="7FFF05C4" w14:textId="1F8EE829" w:rsidR="001F0533" w:rsidRPr="007A5F29" w:rsidRDefault="001F0533" w:rsidP="001F0533">
            <w:pPr>
              <w:pStyle w:val="CETBodytext"/>
              <w:ind w:right="-1"/>
              <w:jc w:val="center"/>
              <w:rPr>
                <w:rFonts w:cs="Arial"/>
                <w:szCs w:val="18"/>
                <w:lang w:val="en-GB"/>
              </w:rPr>
            </w:pPr>
            <w:r>
              <w:rPr>
                <w:color w:val="000000"/>
                <w:szCs w:val="18"/>
              </w:rPr>
              <w:t>0.50</w:t>
            </w:r>
          </w:p>
        </w:tc>
        <w:tc>
          <w:tcPr>
            <w:tcW w:w="500" w:type="pct"/>
            <w:shd w:val="clear" w:color="auto" w:fill="FFFFFF"/>
            <w:vAlign w:val="center"/>
          </w:tcPr>
          <w:p w14:paraId="758D3426" w14:textId="2B27FEB7" w:rsidR="001F0533" w:rsidRPr="007A5F29" w:rsidRDefault="001F0533" w:rsidP="001F0533">
            <w:pPr>
              <w:pStyle w:val="CETBodytext"/>
              <w:ind w:right="-1"/>
              <w:jc w:val="center"/>
              <w:rPr>
                <w:rFonts w:cs="Arial"/>
                <w:szCs w:val="18"/>
                <w:lang w:val="en-GB"/>
              </w:rPr>
            </w:pPr>
            <w:r>
              <w:rPr>
                <w:color w:val="000000"/>
                <w:szCs w:val="18"/>
              </w:rPr>
              <w:t>2.00</w:t>
            </w:r>
          </w:p>
        </w:tc>
        <w:tc>
          <w:tcPr>
            <w:tcW w:w="500" w:type="pct"/>
            <w:shd w:val="clear" w:color="auto" w:fill="FFFFFF"/>
            <w:vAlign w:val="center"/>
          </w:tcPr>
          <w:p w14:paraId="45169110" w14:textId="5662F733" w:rsidR="001F0533" w:rsidRPr="007A5F29" w:rsidRDefault="001F0533" w:rsidP="001F0533">
            <w:pPr>
              <w:pStyle w:val="CETBodytext"/>
              <w:ind w:right="-1"/>
              <w:jc w:val="center"/>
              <w:rPr>
                <w:rFonts w:cs="Arial"/>
                <w:szCs w:val="18"/>
                <w:lang w:val="en-GB"/>
              </w:rPr>
            </w:pPr>
            <w:r>
              <w:rPr>
                <w:color w:val="000000"/>
                <w:szCs w:val="18"/>
              </w:rPr>
              <w:t>1.00</w:t>
            </w:r>
          </w:p>
        </w:tc>
      </w:tr>
    </w:tbl>
    <w:p w14:paraId="179DE130" w14:textId="77777777" w:rsidR="00AA0103" w:rsidRDefault="00AA0103" w:rsidP="005346C8">
      <w:pPr>
        <w:pStyle w:val="CETBodytext"/>
        <w:rPr>
          <w:lang w:val="en-GB"/>
        </w:rPr>
      </w:pPr>
    </w:p>
    <w:p w14:paraId="190C6DF3" w14:textId="0F828557" w:rsidR="00A6168E" w:rsidRDefault="005847CA" w:rsidP="005346C8">
      <w:pPr>
        <w:pStyle w:val="CETBodytext"/>
        <w:rPr>
          <w:rFonts w:cs="Arial"/>
          <w:szCs w:val="18"/>
        </w:rPr>
      </w:pPr>
      <w:r>
        <w:rPr>
          <w:rFonts w:cs="Arial"/>
          <w:szCs w:val="18"/>
        </w:rPr>
        <w:t xml:space="preserve">The simplified </w:t>
      </w:r>
      <w:r w:rsidR="002C1650">
        <w:rPr>
          <w:rFonts w:cs="Arial"/>
          <w:szCs w:val="18"/>
        </w:rPr>
        <w:t xml:space="preserve">process flow diagram of the starch and </w:t>
      </w:r>
      <w:r w:rsidR="00AC0A20">
        <w:rPr>
          <w:rFonts w:cs="Arial"/>
          <w:szCs w:val="18"/>
        </w:rPr>
        <w:t>biofilm production</w:t>
      </w:r>
      <w:r w:rsidR="002C1650">
        <w:rPr>
          <w:rFonts w:cs="Arial"/>
          <w:szCs w:val="18"/>
        </w:rPr>
        <w:t xml:space="preserve"> </w:t>
      </w:r>
      <w:r w:rsidR="0031740B">
        <w:rPr>
          <w:rFonts w:cs="Arial"/>
          <w:szCs w:val="18"/>
        </w:rPr>
        <w:t>is presented in Figure 1, showing the</w:t>
      </w:r>
      <w:r w:rsidR="00D8273D">
        <w:rPr>
          <w:rFonts w:cs="Arial"/>
          <w:szCs w:val="18"/>
        </w:rPr>
        <w:t xml:space="preserve"> main process stages considered in the simulation. </w:t>
      </w:r>
      <w:r w:rsidR="0088232A">
        <w:rPr>
          <w:rFonts w:cs="Arial"/>
          <w:szCs w:val="18"/>
        </w:rPr>
        <w:t>For the first process aimed at starch production</w:t>
      </w:r>
      <w:r w:rsidR="00AC0A20">
        <w:rPr>
          <w:rFonts w:cs="Arial"/>
          <w:szCs w:val="18"/>
        </w:rPr>
        <w:t>,</w:t>
      </w:r>
      <w:r w:rsidR="0088232A">
        <w:rPr>
          <w:rFonts w:cs="Arial"/>
          <w:szCs w:val="18"/>
        </w:rPr>
        <w:t xml:space="preserve"> avocado hard wastes are washed, dried</w:t>
      </w:r>
      <w:r w:rsidR="00D62940">
        <w:rPr>
          <w:rFonts w:cs="Arial"/>
          <w:szCs w:val="18"/>
        </w:rPr>
        <w:t>,</w:t>
      </w:r>
      <w:r w:rsidR="0088232A">
        <w:rPr>
          <w:rFonts w:cs="Arial"/>
          <w:szCs w:val="18"/>
        </w:rPr>
        <w:t xml:space="preserve"> and </w:t>
      </w:r>
      <w:r w:rsidR="000406D8">
        <w:rPr>
          <w:rFonts w:cs="Arial"/>
          <w:szCs w:val="18"/>
        </w:rPr>
        <w:t>cut</w:t>
      </w:r>
      <w:r w:rsidR="0032294C">
        <w:rPr>
          <w:rFonts w:cs="Arial"/>
          <w:szCs w:val="18"/>
        </w:rPr>
        <w:t>.</w:t>
      </w:r>
      <w:r w:rsidR="006D6A4F">
        <w:rPr>
          <w:rFonts w:cs="Arial"/>
          <w:szCs w:val="18"/>
        </w:rPr>
        <w:t xml:space="preserve"> </w:t>
      </w:r>
      <w:r w:rsidR="00383657">
        <w:rPr>
          <w:rFonts w:cs="Arial"/>
          <w:szCs w:val="18"/>
        </w:rPr>
        <w:t>Then, s</w:t>
      </w:r>
      <w:r w:rsidR="00A3628C">
        <w:rPr>
          <w:rFonts w:cs="Arial"/>
          <w:szCs w:val="18"/>
        </w:rPr>
        <w:t>tarch extraction is carried out with a sodium metabisulfite solution</w:t>
      </w:r>
      <w:r w:rsidR="00383657">
        <w:rPr>
          <w:rFonts w:cs="Arial"/>
          <w:szCs w:val="18"/>
        </w:rPr>
        <w:t xml:space="preserve"> </w:t>
      </w:r>
      <w:r w:rsidR="00A3628C">
        <w:rPr>
          <w:rFonts w:cs="Arial"/>
          <w:szCs w:val="18"/>
        </w:rPr>
        <w:t xml:space="preserve">for 24 h. </w:t>
      </w:r>
      <w:r w:rsidR="00A5557A" w:rsidRPr="00A5557A">
        <w:rPr>
          <w:rFonts w:cs="Arial"/>
          <w:szCs w:val="18"/>
        </w:rPr>
        <w:t>The mixture is then homogenized and filtered to separate the starch from the non-starch solids. The resulting starch-water suspension is then decanted</w:t>
      </w:r>
      <w:r w:rsidR="00A3628C">
        <w:rPr>
          <w:rFonts w:cs="Arial"/>
          <w:szCs w:val="18"/>
        </w:rPr>
        <w:t>. The starch is washed and dried to separate into three streams: Two intended for biofilm production, while the remaining on</w:t>
      </w:r>
      <w:r w:rsidR="006D1B6B">
        <w:rPr>
          <w:rFonts w:cs="Arial"/>
          <w:szCs w:val="18"/>
        </w:rPr>
        <w:t>e</w:t>
      </w:r>
      <w:r w:rsidR="00A3628C">
        <w:rPr>
          <w:rFonts w:cs="Arial"/>
          <w:szCs w:val="18"/>
        </w:rPr>
        <w:t xml:space="preserve"> is dried to isolate the starch.</w:t>
      </w:r>
    </w:p>
    <w:p w14:paraId="6F165A92" w14:textId="103AC15F" w:rsidR="00A241B8" w:rsidRPr="00A241B8" w:rsidRDefault="00AC0379" w:rsidP="00A241B8">
      <w:pPr>
        <w:spacing w:before="100" w:beforeAutospacing="1" w:after="100" w:afterAutospacing="1" w:line="240" w:lineRule="auto"/>
        <w:jc w:val="left"/>
        <w:rPr>
          <w:rFonts w:eastAsia="Times New Roman"/>
          <w:sz w:val="24"/>
          <w:szCs w:val="24"/>
          <w:lang w:val="es-CO" w:eastAsia="es-CO"/>
        </w:rPr>
      </w:pPr>
      <w:r w:rsidRPr="00AC0379">
        <w:rPr>
          <w:rFonts w:eastAsia="Times New Roman"/>
          <w:noProof/>
          <w:sz w:val="24"/>
          <w:szCs w:val="24"/>
          <w:lang w:val="es-CO" w:eastAsia="es-CO"/>
        </w:rPr>
        <w:drawing>
          <wp:inline distT="0" distB="0" distL="0" distR="0" wp14:anchorId="6153A4A4" wp14:editId="42C85F0A">
            <wp:extent cx="5579745" cy="2032635"/>
            <wp:effectExtent l="0" t="0" r="190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2032635"/>
                    </a:xfrm>
                    <a:prstGeom prst="rect">
                      <a:avLst/>
                    </a:prstGeom>
                    <a:noFill/>
                    <a:ln>
                      <a:noFill/>
                    </a:ln>
                  </pic:spPr>
                </pic:pic>
              </a:graphicData>
            </a:graphic>
          </wp:inline>
        </w:drawing>
      </w:r>
    </w:p>
    <w:p w14:paraId="039BB145" w14:textId="36EF6C34" w:rsidR="00A241B8" w:rsidRDefault="00A241B8" w:rsidP="005B635F">
      <w:pPr>
        <w:pStyle w:val="CETCaption"/>
      </w:pPr>
      <w:r w:rsidRPr="00A241B8">
        <w:t xml:space="preserve">Figure 1: </w:t>
      </w:r>
      <w:r w:rsidR="00602A39">
        <w:t>Simplified</w:t>
      </w:r>
      <w:r w:rsidR="00D6117F" w:rsidRPr="00BE55BF">
        <w:t xml:space="preserve"> block diagram of the</w:t>
      </w:r>
      <w:r w:rsidR="006B7AE0">
        <w:t xml:space="preserve"> </w:t>
      </w:r>
      <w:r w:rsidR="006B7AE0" w:rsidRPr="00BE55BF">
        <w:t>Biorefinery</w:t>
      </w:r>
      <w:r w:rsidR="006B7AE0">
        <w:t xml:space="preserve"> from</w:t>
      </w:r>
      <w:r w:rsidR="00D6117F" w:rsidRPr="00BE55BF">
        <w:t xml:space="preserve"> Avocado</w:t>
      </w:r>
      <w:r w:rsidR="00602A39">
        <w:t xml:space="preserve"> Hard</w:t>
      </w:r>
      <w:r w:rsidR="00D6117F" w:rsidRPr="00BE55BF">
        <w:t xml:space="preserve"> Waste </w:t>
      </w:r>
    </w:p>
    <w:p w14:paraId="6BBE71EF" w14:textId="23610FF2" w:rsidR="00BD463B" w:rsidRPr="005B635F" w:rsidRDefault="00BD463B" w:rsidP="005B635F">
      <w:pPr>
        <w:pStyle w:val="CETBodytext"/>
      </w:pPr>
      <w:r w:rsidRPr="005B635F">
        <w:t xml:space="preserve">As previously mentioned, a fraction is derived during starch production for the manufacture of the first biofilm. </w:t>
      </w:r>
      <w:r w:rsidR="00713FBD" w:rsidRPr="00713FBD">
        <w:t>This material is gelatinized, generating a mixture that is dried at 100 °C to obtain the biodegradable film</w:t>
      </w:r>
      <w:r w:rsidRPr="005B635F">
        <w:t>.</w:t>
      </w:r>
      <w:r w:rsidR="005B635F" w:rsidRPr="005B635F">
        <w:t xml:space="preserve"> </w:t>
      </w:r>
      <w:r w:rsidR="002855C1" w:rsidRPr="002855C1">
        <w:t>The second biofilm requires the production of polylactic acid (PLA), which is obtained through the steps of hydrolysis, fermentation with Lactobacillus bacteria, and pre</w:t>
      </w:r>
      <w:r w:rsidR="00223E1A">
        <w:t>-</w:t>
      </w:r>
      <w:r w:rsidR="002855C1" w:rsidRPr="002855C1">
        <w:t>polymerization, where L-lactide and M-lactide are formed. These stereoisomers act as monomeric units in the synthesis of polylactic acid (Aliev et al., 2024).</w:t>
      </w:r>
    </w:p>
    <w:p w14:paraId="57E1D2D7" w14:textId="1D420252" w:rsidR="00C5496A" w:rsidRPr="005B635F" w:rsidRDefault="00BD463B" w:rsidP="005B635F">
      <w:pPr>
        <w:pStyle w:val="CETBodytext"/>
      </w:pPr>
      <w:r w:rsidRPr="005B635F">
        <w:t xml:space="preserve">According to </w:t>
      </w:r>
      <w:r w:rsidR="0083252F" w:rsidRPr="005B635F">
        <w:t>Alviz-Meza</w:t>
      </w:r>
      <w:r w:rsidRPr="005B635F">
        <w:t xml:space="preserve"> et al. (2025), the formation of L-Lactide and M-Lactide via pre</w:t>
      </w:r>
      <w:r w:rsidR="00AB4748" w:rsidRPr="005B635F">
        <w:t>-</w:t>
      </w:r>
      <w:r w:rsidRPr="005B635F">
        <w:t>polymerization is carried out in an inert nitrogen medium, which is recovered, purged, and reintroduced into the process through</w:t>
      </w:r>
      <w:r w:rsidR="00AC0379" w:rsidRPr="005B635F">
        <w:t xml:space="preserve"> Flash s</w:t>
      </w:r>
      <w:r w:rsidRPr="005B635F">
        <w:t xml:space="preserve">eparation-1 and </w:t>
      </w:r>
      <w:r w:rsidR="0083252F" w:rsidRPr="005B635F">
        <w:t xml:space="preserve">Flash </w:t>
      </w:r>
      <w:r w:rsidR="00AC0379" w:rsidRPr="005B635F">
        <w:t>s</w:t>
      </w:r>
      <w:r w:rsidRPr="005B635F">
        <w:t>eparation-2. Subsequently, distillation is performed to separate the non-reactiv</w:t>
      </w:r>
      <w:r w:rsidR="003E46FD" w:rsidRPr="005B635F">
        <w:t>e</w:t>
      </w:r>
      <w:r w:rsidRPr="005B635F">
        <w:t xml:space="preserve"> lactic </w:t>
      </w:r>
      <w:r w:rsidRPr="005B635F">
        <w:lastRenderedPageBreak/>
        <w:t xml:space="preserve">acid and reintroduce it into the process. The lactides then enter the polymerization process to form polylactic acid, which is mixed with the starch from stream </w:t>
      </w:r>
      <w:r w:rsidR="00602A39" w:rsidRPr="005B635F">
        <w:t>25</w:t>
      </w:r>
      <w:r w:rsidRPr="005B635F">
        <w:t xml:space="preserve"> for the production of the second biofilm.</w:t>
      </w:r>
    </w:p>
    <w:p w14:paraId="401204FC" w14:textId="181A2ED3" w:rsidR="00687E6E" w:rsidRPr="00687E6E" w:rsidRDefault="00687E6E" w:rsidP="007023E8">
      <w:pPr>
        <w:pStyle w:val="CETheadingx"/>
        <w:numPr>
          <w:ilvl w:val="2"/>
          <w:numId w:val="13"/>
        </w:numPr>
        <w:tabs>
          <w:tab w:val="right" w:pos="7100"/>
        </w:tabs>
        <w:spacing w:after="0"/>
        <w:jc w:val="both"/>
        <w:rPr>
          <w:lang w:val="en-GB"/>
        </w:rPr>
      </w:pPr>
      <w:r>
        <w:rPr>
          <w:lang w:val="en-GB"/>
        </w:rPr>
        <w:t>Exergy analysis methodology</w:t>
      </w:r>
    </w:p>
    <w:p w14:paraId="5DFB7460" w14:textId="6208F9B3" w:rsidR="007023E8" w:rsidRDefault="007023E8" w:rsidP="007023E8">
      <w:pPr>
        <w:pStyle w:val="CETBodytext"/>
      </w:pPr>
      <w:r w:rsidRPr="007023E8">
        <w:t>Exergy is the maximum work that can be obtained from a thermodynamic system during a reversible change of state unti</w:t>
      </w:r>
      <w:r w:rsidRPr="00740704">
        <w:t>l it reaches equilibrium with its surroundings, which is defined by a reference state (Gungor and Aydemir, 2025). In</w:t>
      </w:r>
      <w:r w:rsidRPr="007023E8">
        <w:t xml:space="preserve"> this sense, exergy analysis is an indicator that allows us to determine the irreversibilities of the system and the utilization of energy (Liu et al., 2024). To perform the exergy analysis, it was </w:t>
      </w:r>
      <w:r w:rsidR="008F4AFE">
        <w:t xml:space="preserve">necessary to </w:t>
      </w:r>
      <w:r w:rsidRPr="007023E8">
        <w:t>identify the input and output streams of each process, categorizing the output streams as products</w:t>
      </w:r>
      <w:r w:rsidR="005B635F">
        <w:t>.</w:t>
      </w:r>
      <w:r w:rsidRPr="007023E8">
        <w:t xml:space="preserve"> This helped identify the process stages where exergy destruction was most significant. Table </w:t>
      </w:r>
      <w:r w:rsidR="00810340">
        <w:t>2</w:t>
      </w:r>
      <w:r w:rsidRPr="007023E8">
        <w:t xml:space="preserve"> shows the equations for the exergy analysis.</w:t>
      </w:r>
    </w:p>
    <w:p w14:paraId="55765A93" w14:textId="4CF3FE74" w:rsidR="007023E8" w:rsidRPr="002E7B8C" w:rsidRDefault="007023E8" w:rsidP="005B635F">
      <w:pPr>
        <w:pStyle w:val="CET-table-title"/>
      </w:pPr>
      <w:r w:rsidRPr="009251F8">
        <w:t xml:space="preserve">Table </w:t>
      </w:r>
      <w:r w:rsidR="00810340">
        <w:t>2</w:t>
      </w:r>
      <w:r w:rsidRPr="009251F8">
        <w:t xml:space="preserve">: Fundamental equations for exergy assessment </w:t>
      </w:r>
    </w:p>
    <w:tbl>
      <w:tblPr>
        <w:tblW w:w="0" w:type="auto"/>
        <w:tblLayout w:type="fixed"/>
        <w:tblCellMar>
          <w:left w:w="0" w:type="dxa"/>
          <w:right w:w="0" w:type="dxa"/>
        </w:tblCellMar>
        <w:tblLook w:val="01E0" w:firstRow="1" w:lastRow="1" w:firstColumn="1" w:lastColumn="1" w:noHBand="0" w:noVBand="0"/>
      </w:tblPr>
      <w:tblGrid>
        <w:gridCol w:w="2455"/>
        <w:gridCol w:w="5375"/>
        <w:gridCol w:w="954"/>
      </w:tblGrid>
      <w:tr w:rsidR="007023E8" w:rsidRPr="000C7670" w14:paraId="58680C9A" w14:textId="77777777" w:rsidTr="00777C9E">
        <w:trPr>
          <w:trHeight w:val="232"/>
        </w:trPr>
        <w:tc>
          <w:tcPr>
            <w:tcW w:w="2455" w:type="dxa"/>
            <w:tcBorders>
              <w:top w:val="single" w:sz="12" w:space="0" w:color="008000"/>
              <w:bottom w:val="single" w:sz="6" w:space="0" w:color="008000"/>
            </w:tcBorders>
          </w:tcPr>
          <w:p w14:paraId="387D8D9F" w14:textId="77777777" w:rsidR="007023E8" w:rsidRPr="000C7670" w:rsidRDefault="007023E8" w:rsidP="00777C9E">
            <w:pPr>
              <w:pStyle w:val="TableParagraph"/>
              <w:spacing w:before="1"/>
              <w:rPr>
                <w:rFonts w:ascii="Arial" w:hAnsi="Arial" w:cs="Arial"/>
                <w:sz w:val="18"/>
              </w:rPr>
            </w:pPr>
            <w:r w:rsidRPr="000C7670">
              <w:rPr>
                <w:rFonts w:ascii="Arial" w:hAnsi="Arial" w:cs="Arial"/>
                <w:spacing w:val="-4"/>
                <w:sz w:val="18"/>
              </w:rPr>
              <w:t>Name</w:t>
            </w:r>
          </w:p>
        </w:tc>
        <w:tc>
          <w:tcPr>
            <w:tcW w:w="5375" w:type="dxa"/>
            <w:tcBorders>
              <w:top w:val="single" w:sz="12" w:space="0" w:color="008000"/>
              <w:bottom w:val="single" w:sz="6" w:space="0" w:color="008000"/>
            </w:tcBorders>
          </w:tcPr>
          <w:p w14:paraId="43AEECE5" w14:textId="77777777" w:rsidR="007023E8" w:rsidRPr="000C7670" w:rsidRDefault="007023E8" w:rsidP="00777C9E">
            <w:pPr>
              <w:pStyle w:val="TableParagraph"/>
              <w:spacing w:before="1"/>
              <w:ind w:left="37" w:right="33"/>
              <w:jc w:val="center"/>
              <w:rPr>
                <w:rFonts w:ascii="Arial" w:hAnsi="Arial" w:cs="Arial"/>
                <w:sz w:val="18"/>
              </w:rPr>
            </w:pPr>
            <w:r w:rsidRPr="000C7670">
              <w:rPr>
                <w:rFonts w:ascii="Arial" w:hAnsi="Arial" w:cs="Arial"/>
                <w:spacing w:val="-2"/>
                <w:sz w:val="18"/>
              </w:rPr>
              <w:t>Equation</w:t>
            </w:r>
          </w:p>
        </w:tc>
        <w:tc>
          <w:tcPr>
            <w:tcW w:w="954" w:type="dxa"/>
            <w:tcBorders>
              <w:top w:val="single" w:sz="12" w:space="0" w:color="008000"/>
              <w:bottom w:val="single" w:sz="6" w:space="0" w:color="008000"/>
            </w:tcBorders>
          </w:tcPr>
          <w:p w14:paraId="28C2E8C1" w14:textId="77777777" w:rsidR="007023E8" w:rsidRPr="000C7670" w:rsidRDefault="007023E8" w:rsidP="00777C9E">
            <w:pPr>
              <w:pStyle w:val="TableParagraph"/>
              <w:spacing w:before="1"/>
              <w:rPr>
                <w:rFonts w:ascii="Arial" w:hAnsi="Arial" w:cs="Arial"/>
                <w:sz w:val="18"/>
              </w:rPr>
            </w:pPr>
            <w:r w:rsidRPr="000C7670">
              <w:rPr>
                <w:rFonts w:ascii="Arial" w:hAnsi="Arial" w:cs="Arial"/>
                <w:spacing w:val="-2"/>
                <w:sz w:val="18"/>
              </w:rPr>
              <w:t>Number</w:t>
            </w:r>
          </w:p>
        </w:tc>
      </w:tr>
      <w:tr w:rsidR="007023E8" w:rsidRPr="000C7670" w14:paraId="4C15BA69" w14:textId="77777777" w:rsidTr="005B635F">
        <w:trPr>
          <w:trHeight w:val="312"/>
        </w:trPr>
        <w:tc>
          <w:tcPr>
            <w:tcW w:w="2455" w:type="dxa"/>
            <w:tcBorders>
              <w:top w:val="single" w:sz="6" w:space="0" w:color="008000"/>
            </w:tcBorders>
          </w:tcPr>
          <w:p w14:paraId="2AB85DA4" w14:textId="4261A612" w:rsidR="007023E8" w:rsidRPr="000C7670" w:rsidRDefault="007023E8" w:rsidP="006B7047">
            <w:pPr>
              <w:pStyle w:val="TableParagraph"/>
              <w:rPr>
                <w:rFonts w:ascii="Arial" w:hAnsi="Arial" w:cs="Arial"/>
                <w:sz w:val="18"/>
                <w:szCs w:val="18"/>
              </w:rPr>
            </w:pPr>
            <w:r w:rsidRPr="000C7670">
              <w:rPr>
                <w:rFonts w:ascii="Arial" w:hAnsi="Arial" w:cs="Arial"/>
                <w:sz w:val="18"/>
                <w:szCs w:val="18"/>
              </w:rPr>
              <w:t>Exergy</w:t>
            </w:r>
            <w:r w:rsidRPr="000C7670">
              <w:rPr>
                <w:rFonts w:ascii="Arial" w:hAnsi="Arial" w:cs="Arial"/>
                <w:spacing w:val="1"/>
                <w:sz w:val="18"/>
                <w:szCs w:val="18"/>
              </w:rPr>
              <w:t xml:space="preserve"> </w:t>
            </w:r>
            <w:r w:rsidR="00C86D48" w:rsidRPr="000C7670">
              <w:rPr>
                <w:rFonts w:ascii="Arial" w:hAnsi="Arial" w:cs="Arial"/>
                <w:sz w:val="18"/>
                <w:szCs w:val="18"/>
              </w:rPr>
              <w:t>destroyed</w:t>
            </w:r>
          </w:p>
        </w:tc>
        <w:tc>
          <w:tcPr>
            <w:tcW w:w="5375" w:type="dxa"/>
            <w:tcBorders>
              <w:top w:val="single" w:sz="6" w:space="0" w:color="008000"/>
            </w:tcBorders>
          </w:tcPr>
          <w:p w14:paraId="7DED336B" w14:textId="226A4B27" w:rsidR="007023E8" w:rsidRPr="000C7670" w:rsidRDefault="007023E8" w:rsidP="006B7047">
            <w:pPr>
              <w:pStyle w:val="TableParagraph"/>
              <w:rPr>
                <w:rFonts w:ascii="Arial" w:eastAsia="Cambria Math" w:hAnsi="Arial" w:cs="Arial"/>
                <w:position w:val="-2"/>
                <w:sz w:val="18"/>
                <w:szCs w:val="18"/>
              </w:rPr>
            </w:pPr>
            <m:oMathPara>
              <m:oMath>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destroyed</m:t>
                    </m:r>
                    <m:r>
                      <m:rPr>
                        <m:sty m:val="p"/>
                      </m:rPr>
                      <w:rPr>
                        <w:rFonts w:ascii="Cambria Math" w:hAnsi="Cambria Math" w:cs="Arial"/>
                        <w:sz w:val="18"/>
                        <w:szCs w:val="18"/>
                      </w:rPr>
                      <m:t xml:space="preserve"> </m:t>
                    </m:r>
                  </m:sub>
                </m:sSub>
                <m:r>
                  <m:rPr>
                    <m:sty m:val="p"/>
                  </m:rPr>
                  <w:rPr>
                    <w:rFonts w:ascii="Cambria Math" w:hAnsi="Cambria Math" w:cs="Arial"/>
                    <w:sz w:val="18"/>
                    <w:szCs w:val="18"/>
                  </w:rPr>
                  <m:t xml:space="preserve">= </m:t>
                </m:r>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heat</m:t>
                    </m:r>
                  </m:sub>
                </m:sSub>
                <m:r>
                  <m:rPr>
                    <m:sty m:val="p"/>
                  </m:rPr>
                  <w:rPr>
                    <w:rFonts w:ascii="Cambria Math" w:hAnsi="Cambria Math" w:cs="Arial"/>
                    <w:sz w:val="18"/>
                    <w:szCs w:val="18"/>
                  </w:rPr>
                  <m:t xml:space="preserve">+ </m:t>
                </m:r>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work</m:t>
                    </m:r>
                  </m:sub>
                </m:sSub>
                <m:r>
                  <m:rPr>
                    <m:sty m:val="p"/>
                  </m:rPr>
                  <w:rPr>
                    <w:rFonts w:ascii="Cambria Math" w:hAnsi="Cambria Math" w:cs="Arial"/>
                    <w:sz w:val="18"/>
                    <w:szCs w:val="18"/>
                  </w:rPr>
                  <m:t xml:space="preserve">+ </m:t>
                </m:r>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mass</m:t>
                    </m:r>
                  </m:sub>
                </m:sSub>
              </m:oMath>
            </m:oMathPara>
          </w:p>
        </w:tc>
        <w:tc>
          <w:tcPr>
            <w:tcW w:w="954" w:type="dxa"/>
            <w:tcBorders>
              <w:top w:val="single" w:sz="6" w:space="0" w:color="008000"/>
            </w:tcBorders>
          </w:tcPr>
          <w:p w14:paraId="0FDA7DB8" w14:textId="77777777" w:rsidR="007023E8" w:rsidRPr="000C7670" w:rsidRDefault="007023E8" w:rsidP="006B7047">
            <w:pPr>
              <w:pStyle w:val="TableParagraph"/>
              <w:rPr>
                <w:rFonts w:ascii="Arial" w:hAnsi="Arial" w:cs="Arial"/>
                <w:sz w:val="18"/>
                <w:szCs w:val="18"/>
              </w:rPr>
            </w:pPr>
            <w:r w:rsidRPr="000C7670">
              <w:rPr>
                <w:rFonts w:ascii="Arial" w:hAnsi="Arial" w:cs="Arial"/>
                <w:spacing w:val="-10"/>
                <w:sz w:val="18"/>
                <w:szCs w:val="18"/>
              </w:rPr>
              <w:t>1</w:t>
            </w:r>
          </w:p>
        </w:tc>
      </w:tr>
      <w:tr w:rsidR="007023E8" w:rsidRPr="000C7670" w14:paraId="0FD1D121" w14:textId="77777777" w:rsidTr="005B635F">
        <w:trPr>
          <w:trHeight w:val="318"/>
        </w:trPr>
        <w:tc>
          <w:tcPr>
            <w:tcW w:w="2455" w:type="dxa"/>
          </w:tcPr>
          <w:p w14:paraId="789D1B51" w14:textId="77777777" w:rsidR="007023E8" w:rsidRPr="000C7670" w:rsidRDefault="007023E8" w:rsidP="006B7047">
            <w:pPr>
              <w:pStyle w:val="TableParagraph"/>
              <w:rPr>
                <w:rFonts w:ascii="Arial" w:hAnsi="Arial" w:cs="Arial"/>
                <w:sz w:val="18"/>
                <w:szCs w:val="18"/>
              </w:rPr>
            </w:pPr>
            <w:r w:rsidRPr="000C7670">
              <w:rPr>
                <w:rFonts w:ascii="Arial" w:hAnsi="Arial" w:cs="Arial"/>
                <w:sz w:val="18"/>
                <w:szCs w:val="18"/>
              </w:rPr>
              <w:t>Exergy</w:t>
            </w:r>
            <w:r w:rsidRPr="000C7670">
              <w:rPr>
                <w:rFonts w:ascii="Arial" w:hAnsi="Arial" w:cs="Arial"/>
                <w:spacing w:val="-2"/>
                <w:sz w:val="18"/>
                <w:szCs w:val="18"/>
              </w:rPr>
              <w:t xml:space="preserve"> </w:t>
            </w:r>
            <w:r w:rsidRPr="000C7670">
              <w:rPr>
                <w:rFonts w:ascii="Arial" w:hAnsi="Arial" w:cs="Arial"/>
                <w:sz w:val="18"/>
                <w:szCs w:val="18"/>
              </w:rPr>
              <w:t>by</w:t>
            </w:r>
            <w:r w:rsidRPr="000C7670">
              <w:rPr>
                <w:rFonts w:ascii="Arial" w:hAnsi="Arial" w:cs="Arial"/>
                <w:spacing w:val="-1"/>
                <w:sz w:val="18"/>
                <w:szCs w:val="18"/>
              </w:rPr>
              <w:t xml:space="preserve"> </w:t>
            </w:r>
            <w:r w:rsidRPr="000C7670">
              <w:rPr>
                <w:rFonts w:ascii="Arial" w:hAnsi="Arial" w:cs="Arial"/>
                <w:sz w:val="18"/>
                <w:szCs w:val="18"/>
              </w:rPr>
              <w:t>work</w:t>
            </w:r>
          </w:p>
        </w:tc>
        <w:tc>
          <w:tcPr>
            <w:tcW w:w="5375" w:type="dxa"/>
          </w:tcPr>
          <w:p w14:paraId="3E2DF613" w14:textId="5DD674B5" w:rsidR="007023E8" w:rsidRPr="000C7670" w:rsidRDefault="007023E8" w:rsidP="006B7047">
            <w:pPr>
              <w:pStyle w:val="TableParagraph"/>
              <w:rPr>
                <w:rFonts w:ascii="Arial" w:eastAsia="Cambria Math" w:hAnsi="Arial" w:cs="Arial"/>
                <w:sz w:val="18"/>
                <w:szCs w:val="18"/>
              </w:rPr>
            </w:pPr>
            <m:oMathPara>
              <m:oMath>
                <m:r>
                  <w:rPr>
                    <w:rFonts w:ascii="Cambria Math" w:hAnsi="Cambria Math" w:cs="Arial"/>
                    <w:sz w:val="18"/>
                    <w:szCs w:val="18"/>
                  </w:rPr>
                  <m:t>E</m:t>
                </m:r>
                <m:sSub>
                  <m:sSubPr>
                    <m:ctrlPr>
                      <w:rPr>
                        <w:rFonts w:ascii="Cambria Math" w:hAnsi="Cambria Math" w:cs="Arial"/>
                        <w:iCs/>
                        <w:sz w:val="18"/>
                        <w:szCs w:val="18"/>
                      </w:rPr>
                    </m:ctrlPr>
                  </m:sSubPr>
                  <m:e>
                    <m:r>
                      <w:rPr>
                        <w:rFonts w:ascii="Cambria Math" w:hAnsi="Cambria Math" w:cs="Arial"/>
                        <w:sz w:val="18"/>
                        <w:szCs w:val="18"/>
                      </w:rPr>
                      <m:t>x</m:t>
                    </m:r>
                  </m:e>
                  <m:sub>
                    <m:r>
                      <w:rPr>
                        <w:rFonts w:ascii="Cambria Math" w:hAnsi="Cambria Math" w:cs="Arial"/>
                        <w:sz w:val="18"/>
                        <w:szCs w:val="18"/>
                      </w:rPr>
                      <m:t>work</m:t>
                    </m:r>
                  </m:sub>
                </m:sSub>
                <m:r>
                  <m:rPr>
                    <m:sty m:val="p"/>
                  </m:rPr>
                  <w:rPr>
                    <w:rFonts w:ascii="Cambria Math" w:hAnsi="Cambria Math" w:cs="Arial"/>
                    <w:sz w:val="18"/>
                    <w:szCs w:val="18"/>
                  </w:rPr>
                  <m:t>=</m:t>
                </m:r>
                <m:r>
                  <w:rPr>
                    <w:rFonts w:ascii="Cambria Math" w:hAnsi="Cambria Math" w:cs="Arial"/>
                    <w:sz w:val="18"/>
                    <w:szCs w:val="18"/>
                  </w:rPr>
                  <m:t>W</m:t>
                </m:r>
              </m:oMath>
            </m:oMathPara>
          </w:p>
        </w:tc>
        <w:tc>
          <w:tcPr>
            <w:tcW w:w="954" w:type="dxa"/>
          </w:tcPr>
          <w:p w14:paraId="0446164A" w14:textId="77777777" w:rsidR="007023E8" w:rsidRPr="000C7670" w:rsidRDefault="007023E8" w:rsidP="006B7047">
            <w:pPr>
              <w:pStyle w:val="TableParagraph"/>
              <w:rPr>
                <w:rFonts w:ascii="Arial" w:hAnsi="Arial" w:cs="Arial"/>
                <w:sz w:val="18"/>
                <w:szCs w:val="18"/>
              </w:rPr>
            </w:pPr>
            <w:r w:rsidRPr="000C7670">
              <w:rPr>
                <w:rFonts w:ascii="Arial" w:hAnsi="Arial" w:cs="Arial"/>
                <w:spacing w:val="-10"/>
                <w:sz w:val="18"/>
                <w:szCs w:val="18"/>
              </w:rPr>
              <w:t>2</w:t>
            </w:r>
          </w:p>
        </w:tc>
      </w:tr>
      <w:tr w:rsidR="0083252F" w:rsidRPr="000C7670" w14:paraId="3A100139" w14:textId="77777777" w:rsidTr="005B635F">
        <w:trPr>
          <w:trHeight w:val="477"/>
        </w:trPr>
        <w:tc>
          <w:tcPr>
            <w:tcW w:w="2455" w:type="dxa"/>
          </w:tcPr>
          <w:p w14:paraId="1B22320A" w14:textId="78F31001" w:rsidR="0083252F" w:rsidRPr="000C7670" w:rsidRDefault="0083252F" w:rsidP="006B7047">
            <w:pPr>
              <w:pStyle w:val="TableParagraph"/>
              <w:rPr>
                <w:rFonts w:ascii="Arial" w:hAnsi="Arial" w:cs="Arial"/>
                <w:sz w:val="18"/>
                <w:szCs w:val="18"/>
              </w:rPr>
            </w:pPr>
            <w:r w:rsidRPr="000C7670">
              <w:rPr>
                <w:rFonts w:ascii="Arial" w:hAnsi="Arial" w:cs="Arial"/>
                <w:sz w:val="18"/>
                <w:szCs w:val="18"/>
              </w:rPr>
              <w:t>Exergy by heat</w:t>
            </w:r>
          </w:p>
        </w:tc>
        <w:tc>
          <w:tcPr>
            <w:tcW w:w="5375" w:type="dxa"/>
          </w:tcPr>
          <w:p w14:paraId="09E66308" w14:textId="2EF477A8" w:rsidR="0083252F" w:rsidRPr="000C7670" w:rsidRDefault="0083252F" w:rsidP="006B7047">
            <w:pPr>
              <w:pStyle w:val="TableParagraph"/>
              <w:rPr>
                <w:rFonts w:ascii="Arial" w:hAnsi="Arial" w:cs="Arial"/>
                <w:sz w:val="18"/>
                <w:szCs w:val="18"/>
              </w:rPr>
            </w:pPr>
            <m:oMathPara>
              <m:oMath>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heat</m:t>
                    </m:r>
                  </m:sub>
                </m:sSub>
                <m:r>
                  <m:rPr>
                    <m:sty m:val="p"/>
                  </m:rPr>
                  <w:rPr>
                    <w:rFonts w:ascii="Cambria Math" w:hAnsi="Cambria Math" w:cs="Arial"/>
                    <w:sz w:val="18"/>
                    <w:szCs w:val="18"/>
                  </w:rPr>
                  <m:t>=∑</m:t>
                </m:r>
                <m:d>
                  <m:dPr>
                    <m:ctrlPr>
                      <w:rPr>
                        <w:rFonts w:ascii="Cambria Math" w:hAnsi="Cambria Math" w:cs="Arial"/>
                        <w:sz w:val="18"/>
                        <w:szCs w:val="18"/>
                      </w:rPr>
                    </m:ctrlPr>
                  </m:dPr>
                  <m:e>
                    <m:r>
                      <m:rPr>
                        <m:sty m:val="p"/>
                      </m:rPr>
                      <w:rPr>
                        <w:rFonts w:ascii="Cambria Math" w:hAnsi="Cambria Math" w:cs="Arial"/>
                        <w:sz w:val="18"/>
                        <w:szCs w:val="18"/>
                      </w:rPr>
                      <m:t>1-</m:t>
                    </m:r>
                    <m:f>
                      <m:fPr>
                        <m:ctrlPr>
                          <w:rPr>
                            <w:rFonts w:ascii="Cambria Math" w:hAnsi="Cambria Math" w:cs="Arial"/>
                            <w:sz w:val="18"/>
                            <w:szCs w:val="18"/>
                          </w:rPr>
                        </m:ctrlPr>
                      </m:fPr>
                      <m:num>
                        <m:sSub>
                          <m:sSubPr>
                            <m:ctrlPr>
                              <w:rPr>
                                <w:rFonts w:ascii="Cambria Math" w:hAnsi="Cambria Math" w:cs="Arial"/>
                                <w:sz w:val="18"/>
                                <w:szCs w:val="18"/>
                              </w:rPr>
                            </m:ctrlPr>
                          </m:sSubPr>
                          <m:e>
                            <m:r>
                              <w:rPr>
                                <w:rFonts w:ascii="Cambria Math" w:hAnsi="Cambria Math" w:cs="Arial"/>
                                <w:sz w:val="18"/>
                                <w:szCs w:val="18"/>
                              </w:rPr>
                              <m:t>T</m:t>
                            </m:r>
                          </m:e>
                          <m:sub>
                            <m:r>
                              <m:rPr>
                                <m:sty m:val="p"/>
                              </m:rPr>
                              <w:rPr>
                                <w:rFonts w:ascii="Cambria Math" w:hAnsi="Cambria Math" w:cs="Arial"/>
                                <w:sz w:val="18"/>
                                <w:szCs w:val="18"/>
                              </w:rPr>
                              <m:t>0</m:t>
                            </m:r>
                          </m:sub>
                        </m:sSub>
                      </m:num>
                      <m:den>
                        <m:r>
                          <w:rPr>
                            <w:rFonts w:ascii="Cambria Math" w:hAnsi="Cambria Math" w:cs="Arial"/>
                            <w:sz w:val="18"/>
                            <w:szCs w:val="18"/>
                          </w:rPr>
                          <m:t>T</m:t>
                        </m:r>
                      </m:den>
                    </m:f>
                  </m:e>
                </m:d>
                <m:sSub>
                  <m:sSubPr>
                    <m:ctrlPr>
                      <w:rPr>
                        <w:rFonts w:ascii="Cambria Math" w:hAnsi="Cambria Math" w:cs="Arial"/>
                        <w:sz w:val="18"/>
                        <w:szCs w:val="18"/>
                      </w:rPr>
                    </m:ctrlPr>
                  </m:sSubPr>
                  <m:e>
                    <m:r>
                      <w:rPr>
                        <w:rFonts w:ascii="Cambria Math" w:hAnsi="Cambria Math" w:cs="Arial"/>
                        <w:sz w:val="18"/>
                        <w:szCs w:val="18"/>
                      </w:rPr>
                      <m:t>Q</m:t>
                    </m:r>
                  </m:e>
                  <m:sub>
                    <m:r>
                      <w:rPr>
                        <w:rFonts w:ascii="Cambria Math" w:hAnsi="Cambria Math" w:cs="Arial"/>
                        <w:sz w:val="18"/>
                        <w:szCs w:val="18"/>
                      </w:rPr>
                      <m:t>i</m:t>
                    </m:r>
                  </m:sub>
                </m:sSub>
              </m:oMath>
            </m:oMathPara>
          </w:p>
        </w:tc>
        <w:tc>
          <w:tcPr>
            <w:tcW w:w="954" w:type="dxa"/>
          </w:tcPr>
          <w:p w14:paraId="6671E2A0" w14:textId="2D978B0B" w:rsidR="0083252F" w:rsidRPr="000C7670" w:rsidRDefault="0083252F" w:rsidP="006B7047">
            <w:pPr>
              <w:pStyle w:val="TableParagraph"/>
              <w:rPr>
                <w:rFonts w:ascii="Arial" w:hAnsi="Arial" w:cs="Arial"/>
                <w:spacing w:val="-10"/>
                <w:sz w:val="18"/>
                <w:szCs w:val="18"/>
              </w:rPr>
            </w:pPr>
            <w:r w:rsidRPr="000C7670">
              <w:rPr>
                <w:rFonts w:ascii="Arial" w:hAnsi="Arial" w:cs="Arial"/>
                <w:spacing w:val="-10"/>
                <w:sz w:val="18"/>
                <w:szCs w:val="18"/>
              </w:rPr>
              <w:t>3</w:t>
            </w:r>
          </w:p>
        </w:tc>
      </w:tr>
      <w:tr w:rsidR="007023E8" w:rsidRPr="000C7670" w14:paraId="3A576C45" w14:textId="77777777" w:rsidTr="005B635F">
        <w:trPr>
          <w:trHeight w:val="291"/>
        </w:trPr>
        <w:tc>
          <w:tcPr>
            <w:tcW w:w="2455" w:type="dxa"/>
          </w:tcPr>
          <w:p w14:paraId="0F876A2A" w14:textId="77777777" w:rsidR="007023E8" w:rsidRPr="000C7670" w:rsidRDefault="007023E8" w:rsidP="006B7047">
            <w:pPr>
              <w:pStyle w:val="TableParagraph"/>
              <w:rPr>
                <w:rFonts w:ascii="Arial" w:hAnsi="Arial" w:cs="Arial"/>
                <w:sz w:val="18"/>
                <w:szCs w:val="18"/>
              </w:rPr>
            </w:pPr>
            <w:r w:rsidRPr="000C7670">
              <w:rPr>
                <w:rFonts w:ascii="Arial" w:hAnsi="Arial" w:cs="Arial"/>
                <w:sz w:val="18"/>
                <w:szCs w:val="18"/>
              </w:rPr>
              <w:t>Exergy by mass</w:t>
            </w:r>
          </w:p>
        </w:tc>
        <w:tc>
          <w:tcPr>
            <w:tcW w:w="5375" w:type="dxa"/>
          </w:tcPr>
          <w:p w14:paraId="59008B72" w14:textId="1B447D54" w:rsidR="007023E8" w:rsidRPr="000C7670" w:rsidRDefault="007023E8" w:rsidP="006B7047">
            <w:pPr>
              <w:pStyle w:val="TableParagraph"/>
              <w:rPr>
                <w:rFonts w:ascii="Arial" w:eastAsia="Cambria Math" w:hAnsi="Arial" w:cs="Arial"/>
                <w:sz w:val="18"/>
                <w:szCs w:val="18"/>
              </w:rPr>
            </w:pPr>
            <m:oMathPara>
              <m:oMath>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Mass</m:t>
                    </m:r>
                  </m:sub>
                </m:sSub>
                <m:r>
                  <m:rPr>
                    <m:sty m:val="p"/>
                  </m:rPr>
                  <w:rPr>
                    <w:rFonts w:ascii="Cambria Math" w:hAnsi="Cambria Math" w:cs="Arial"/>
                    <w:sz w:val="18"/>
                    <w:szCs w:val="18"/>
                  </w:rPr>
                  <m:t>=</m:t>
                </m:r>
                <m:r>
                  <w:rPr>
                    <w:rFonts w:ascii="Cambria Math" w:hAnsi="Cambria Math" w:cs="Arial"/>
                    <w:sz w:val="18"/>
                    <w:szCs w:val="18"/>
                  </w:rPr>
                  <m:t>E</m:t>
                </m:r>
                <m:sSub>
                  <m:sSubPr>
                    <m:ctrlPr>
                      <w:rPr>
                        <w:rFonts w:ascii="Cambria Math" w:hAnsi="Cambria Math" w:cs="Arial"/>
                        <w:sz w:val="18"/>
                        <w:szCs w:val="18"/>
                      </w:rPr>
                    </m:ctrlPr>
                  </m:sSubPr>
                  <m:e>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physical</m:t>
                        </m:r>
                        <m:r>
                          <m:rPr>
                            <m:sty m:val="p"/>
                          </m:rPr>
                          <w:rPr>
                            <w:rFonts w:ascii="Cambria Math" w:hAnsi="Cambria Math" w:cs="Arial"/>
                            <w:sz w:val="18"/>
                            <w:szCs w:val="18"/>
                          </w:rPr>
                          <m:t xml:space="preserve"> </m:t>
                        </m:r>
                      </m:sub>
                    </m:sSub>
                  </m:e>
                  <m:sub>
                    <m:r>
                      <m:rPr>
                        <m:sty m:val="p"/>
                      </m:rPr>
                      <w:rPr>
                        <w:rFonts w:ascii="Cambria Math" w:hAnsi="Cambria Math" w:cs="Arial"/>
                        <w:sz w:val="18"/>
                        <w:szCs w:val="18"/>
                      </w:rPr>
                      <m:t xml:space="preserve"> </m:t>
                    </m:r>
                  </m:sub>
                </m:sSub>
                <m:r>
                  <m:rPr>
                    <m:sty m:val="p"/>
                  </m:rPr>
                  <w:rPr>
                    <w:rFonts w:ascii="Cambria Math" w:hAnsi="Cambria Math" w:cs="Arial"/>
                    <w:sz w:val="18"/>
                    <w:szCs w:val="18"/>
                  </w:rPr>
                  <m:t>+</m:t>
                </m:r>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chemical</m:t>
                    </m:r>
                  </m:sub>
                </m:sSub>
                <m:r>
                  <m:rPr>
                    <m:sty m:val="p"/>
                  </m:rPr>
                  <w:rPr>
                    <w:rFonts w:ascii="Cambria Math" w:hAnsi="Cambria Math" w:cs="Arial"/>
                    <w:sz w:val="18"/>
                    <w:szCs w:val="18"/>
                  </w:rPr>
                  <m:t>+</m:t>
                </m:r>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potential</m:t>
                    </m:r>
                  </m:sub>
                </m:sSub>
                <m:r>
                  <m:rPr>
                    <m:sty m:val="p"/>
                  </m:rPr>
                  <w:rPr>
                    <w:rFonts w:ascii="Cambria Math" w:hAnsi="Cambria Math" w:cs="Arial"/>
                    <w:sz w:val="18"/>
                    <w:szCs w:val="18"/>
                  </w:rPr>
                  <m:t>+</m:t>
                </m:r>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kinetic</m:t>
                    </m:r>
                  </m:sub>
                </m:sSub>
              </m:oMath>
            </m:oMathPara>
          </w:p>
        </w:tc>
        <w:tc>
          <w:tcPr>
            <w:tcW w:w="954" w:type="dxa"/>
          </w:tcPr>
          <w:p w14:paraId="04F28B7B" w14:textId="77777777" w:rsidR="007023E8" w:rsidRPr="000C7670" w:rsidRDefault="007023E8" w:rsidP="006B7047">
            <w:pPr>
              <w:pStyle w:val="TableParagraph"/>
              <w:rPr>
                <w:rFonts w:ascii="Arial" w:hAnsi="Arial" w:cs="Arial"/>
                <w:spacing w:val="-10"/>
                <w:sz w:val="18"/>
                <w:szCs w:val="18"/>
              </w:rPr>
            </w:pPr>
            <w:r w:rsidRPr="000C7670">
              <w:rPr>
                <w:rFonts w:ascii="Arial" w:hAnsi="Arial" w:cs="Arial"/>
                <w:spacing w:val="-10"/>
                <w:sz w:val="18"/>
                <w:szCs w:val="18"/>
              </w:rPr>
              <w:t>4</w:t>
            </w:r>
          </w:p>
          <w:p w14:paraId="67DD92D9" w14:textId="77777777" w:rsidR="007023E8" w:rsidRPr="000C7670" w:rsidRDefault="007023E8" w:rsidP="006B7047">
            <w:pPr>
              <w:pStyle w:val="TableParagraph"/>
              <w:rPr>
                <w:rFonts w:ascii="Arial" w:hAnsi="Arial" w:cs="Arial"/>
                <w:sz w:val="18"/>
                <w:szCs w:val="18"/>
              </w:rPr>
            </w:pPr>
          </w:p>
        </w:tc>
      </w:tr>
      <w:tr w:rsidR="007023E8" w:rsidRPr="000C7670" w14:paraId="367658D5" w14:textId="77777777" w:rsidTr="005B635F">
        <w:trPr>
          <w:trHeight w:val="324"/>
        </w:trPr>
        <w:tc>
          <w:tcPr>
            <w:tcW w:w="2455" w:type="dxa"/>
          </w:tcPr>
          <w:p w14:paraId="46E159F3" w14:textId="20AC85A9" w:rsidR="007023E8" w:rsidRPr="000C7670" w:rsidRDefault="003676E0" w:rsidP="006B7047">
            <w:pPr>
              <w:pStyle w:val="TableParagraph"/>
              <w:rPr>
                <w:rFonts w:ascii="Arial" w:hAnsi="Arial" w:cs="Arial"/>
                <w:sz w:val="18"/>
                <w:szCs w:val="18"/>
              </w:rPr>
            </w:pPr>
            <w:r w:rsidRPr="000C7670">
              <w:rPr>
                <w:rFonts w:ascii="Arial" w:hAnsi="Arial" w:cs="Arial"/>
                <w:sz w:val="18"/>
                <w:szCs w:val="18"/>
              </w:rPr>
              <w:t>Physical exergy</w:t>
            </w:r>
          </w:p>
        </w:tc>
        <w:tc>
          <w:tcPr>
            <w:tcW w:w="5375" w:type="dxa"/>
            <w:tcBorders>
              <w:left w:val="nil"/>
            </w:tcBorders>
          </w:tcPr>
          <w:p w14:paraId="4E4492AC" w14:textId="2BDFA7DA" w:rsidR="007023E8" w:rsidRPr="000C7670" w:rsidRDefault="00000000" w:rsidP="006B7047">
            <w:pPr>
              <w:pStyle w:val="TableParagraph"/>
              <w:rPr>
                <w:rFonts w:ascii="Arial" w:hAnsi="Arial" w:cs="Arial"/>
                <w:sz w:val="18"/>
                <w:szCs w:val="18"/>
              </w:rPr>
            </w:pPr>
            <m:oMathPara>
              <m:oMath>
                <m:sSub>
                  <m:sSubPr>
                    <m:ctrlPr>
                      <w:rPr>
                        <w:rFonts w:ascii="Cambria Math" w:hAnsi="Cambria Math" w:cs="Arial"/>
                        <w:iCs/>
                        <w:sz w:val="18"/>
                        <w:szCs w:val="18"/>
                        <w:lang w:val="es-ES"/>
                      </w:rPr>
                    </m:ctrlPr>
                  </m:sSubPr>
                  <m:e>
                    <m:r>
                      <w:rPr>
                        <w:rFonts w:ascii="Cambria Math" w:hAnsi="Cambria Math" w:cs="Arial"/>
                        <w:sz w:val="18"/>
                        <w:szCs w:val="18"/>
                        <w:lang w:val="es-ES"/>
                      </w:rPr>
                      <m:t>Ex</m:t>
                    </m:r>
                  </m:e>
                  <m:sub>
                    <m:r>
                      <w:rPr>
                        <w:rFonts w:ascii="Cambria Math" w:hAnsi="Cambria Math" w:cs="Arial"/>
                        <w:sz w:val="18"/>
                        <w:szCs w:val="18"/>
                        <w:lang w:val="es-ES"/>
                      </w:rPr>
                      <m:t>p</m:t>
                    </m:r>
                    <m:r>
                      <w:rPr>
                        <w:rFonts w:ascii="Cambria Math" w:hAnsi="Cambria Math" w:cs="Arial"/>
                        <w:sz w:val="18"/>
                        <w:szCs w:val="18"/>
                      </w:rPr>
                      <m:t>h</m:t>
                    </m:r>
                    <m:r>
                      <w:rPr>
                        <w:rFonts w:ascii="Cambria Math" w:hAnsi="Cambria Math" w:cs="Arial"/>
                        <w:sz w:val="18"/>
                        <w:szCs w:val="18"/>
                        <w:lang w:val="es-ES"/>
                      </w:rPr>
                      <m:t>ysical</m:t>
                    </m:r>
                  </m:sub>
                </m:sSub>
                <m:r>
                  <m:rPr>
                    <m:sty m:val="p"/>
                  </m:rPr>
                  <w:rPr>
                    <w:rFonts w:ascii="Cambria Math" w:hAnsi="Cambria Math" w:cs="Arial"/>
                    <w:sz w:val="18"/>
                    <w:szCs w:val="18"/>
                  </w:rPr>
                  <m:t>=</m:t>
                </m:r>
                <m:sSub>
                  <m:sSubPr>
                    <m:ctrlPr>
                      <w:rPr>
                        <w:rFonts w:ascii="Cambria Math" w:hAnsi="Cambria Math" w:cs="Arial"/>
                        <w:sz w:val="18"/>
                        <w:szCs w:val="18"/>
                        <w:lang w:val="es-ES"/>
                      </w:rPr>
                    </m:ctrlPr>
                  </m:sSubPr>
                  <m:e>
                    <m:r>
                      <w:rPr>
                        <w:rFonts w:ascii="Cambria Math" w:hAnsi="Cambria Math" w:cs="Arial"/>
                        <w:sz w:val="18"/>
                        <w:szCs w:val="18"/>
                        <w:lang w:val="es-ES"/>
                      </w:rPr>
                      <m:t>m</m:t>
                    </m:r>
                  </m:e>
                  <m:sub>
                    <m:r>
                      <w:rPr>
                        <w:rFonts w:ascii="Cambria Math" w:hAnsi="Cambria Math" w:cs="Arial"/>
                        <w:sz w:val="18"/>
                        <w:szCs w:val="18"/>
                        <w:lang w:val="es-ES"/>
                      </w:rPr>
                      <m:t>i</m:t>
                    </m:r>
                  </m:sub>
                </m:sSub>
                <m:d>
                  <m:dPr>
                    <m:begChr m:val="["/>
                    <m:endChr m:val="]"/>
                    <m:ctrlPr>
                      <w:rPr>
                        <w:rFonts w:ascii="Cambria Math" w:hAnsi="Cambria Math" w:cs="Arial"/>
                        <w:sz w:val="18"/>
                        <w:szCs w:val="18"/>
                        <w:lang w:val="es-ES"/>
                      </w:rPr>
                    </m:ctrlPr>
                  </m:dPr>
                  <m:e>
                    <m:d>
                      <m:dPr>
                        <m:ctrlPr>
                          <w:rPr>
                            <w:rFonts w:ascii="Cambria Math" w:hAnsi="Cambria Math" w:cs="Arial"/>
                            <w:sz w:val="18"/>
                            <w:szCs w:val="18"/>
                            <w:lang w:val="es-ES"/>
                          </w:rPr>
                        </m:ctrlPr>
                      </m:dPr>
                      <m:e>
                        <m:sSub>
                          <m:sSubPr>
                            <m:ctrlPr>
                              <w:rPr>
                                <w:rFonts w:ascii="Cambria Math" w:hAnsi="Cambria Math" w:cs="Arial"/>
                                <w:sz w:val="18"/>
                                <w:szCs w:val="18"/>
                                <w:lang w:val="es-ES"/>
                              </w:rPr>
                            </m:ctrlPr>
                          </m:sSubPr>
                          <m:e>
                            <m:r>
                              <w:rPr>
                                <w:rFonts w:ascii="Cambria Math" w:hAnsi="Cambria Math" w:cs="Arial"/>
                                <w:sz w:val="18"/>
                                <w:szCs w:val="18"/>
                              </w:rPr>
                              <m:t>h</m:t>
                            </m:r>
                          </m:e>
                          <m:sub>
                            <m:r>
                              <w:rPr>
                                <w:rFonts w:ascii="Cambria Math" w:hAnsi="Cambria Math" w:cs="Arial"/>
                                <w:sz w:val="18"/>
                                <w:szCs w:val="18"/>
                                <w:lang w:val="es-ES"/>
                              </w:rPr>
                              <m:t>i</m:t>
                            </m:r>
                          </m:sub>
                        </m:sSub>
                        <m:r>
                          <m:rPr>
                            <m:sty m:val="p"/>
                          </m:rPr>
                          <w:rPr>
                            <w:rFonts w:ascii="Cambria Math" w:hAnsi="Cambria Math" w:cs="Arial"/>
                            <w:sz w:val="18"/>
                            <w:szCs w:val="18"/>
                          </w:rPr>
                          <m:t>-</m:t>
                        </m:r>
                        <m:sSub>
                          <m:sSubPr>
                            <m:ctrlPr>
                              <w:rPr>
                                <w:rFonts w:ascii="Cambria Math" w:hAnsi="Cambria Math" w:cs="Arial"/>
                                <w:sz w:val="18"/>
                                <w:szCs w:val="18"/>
                                <w:lang w:val="es-ES"/>
                              </w:rPr>
                            </m:ctrlPr>
                          </m:sSubPr>
                          <m:e>
                            <m:r>
                              <w:rPr>
                                <w:rFonts w:ascii="Cambria Math" w:hAnsi="Cambria Math" w:cs="Arial"/>
                                <w:sz w:val="18"/>
                                <w:szCs w:val="18"/>
                              </w:rPr>
                              <m:t>h</m:t>
                            </m:r>
                          </m:e>
                          <m:sub>
                            <m:r>
                              <m:rPr>
                                <m:sty m:val="p"/>
                              </m:rPr>
                              <w:rPr>
                                <w:rFonts w:ascii="Cambria Math" w:hAnsi="Cambria Math" w:cs="Arial"/>
                                <w:sz w:val="18"/>
                                <w:szCs w:val="18"/>
                              </w:rPr>
                              <m:t>0</m:t>
                            </m:r>
                          </m:sub>
                        </m:sSub>
                      </m:e>
                    </m:d>
                    <m:r>
                      <m:rPr>
                        <m:sty m:val="p"/>
                      </m:rPr>
                      <w:rPr>
                        <w:rFonts w:ascii="Cambria Math" w:hAnsi="Cambria Math" w:cs="Arial"/>
                        <w:sz w:val="18"/>
                        <w:szCs w:val="18"/>
                      </w:rPr>
                      <m:t>-</m:t>
                    </m:r>
                    <m:sSub>
                      <m:sSubPr>
                        <m:ctrlPr>
                          <w:rPr>
                            <w:rFonts w:ascii="Cambria Math" w:hAnsi="Cambria Math" w:cs="Arial"/>
                            <w:sz w:val="18"/>
                            <w:szCs w:val="18"/>
                            <w:lang w:val="es-ES"/>
                          </w:rPr>
                        </m:ctrlPr>
                      </m:sSubPr>
                      <m:e>
                        <m:r>
                          <w:rPr>
                            <w:rFonts w:ascii="Cambria Math" w:hAnsi="Cambria Math" w:cs="Arial"/>
                            <w:sz w:val="18"/>
                            <w:szCs w:val="18"/>
                            <w:lang w:val="es-ES"/>
                          </w:rPr>
                          <m:t>T</m:t>
                        </m:r>
                      </m:e>
                      <m:sub>
                        <m:r>
                          <m:rPr>
                            <m:sty m:val="p"/>
                          </m:rPr>
                          <w:rPr>
                            <w:rFonts w:ascii="Cambria Math" w:hAnsi="Cambria Math" w:cs="Arial"/>
                            <w:sz w:val="18"/>
                            <w:szCs w:val="18"/>
                          </w:rPr>
                          <m:t>0</m:t>
                        </m:r>
                      </m:sub>
                    </m:sSub>
                    <m:d>
                      <m:dPr>
                        <m:ctrlPr>
                          <w:rPr>
                            <w:rFonts w:ascii="Cambria Math" w:hAnsi="Cambria Math" w:cs="Arial"/>
                            <w:sz w:val="18"/>
                            <w:szCs w:val="18"/>
                            <w:lang w:val="es-ES"/>
                          </w:rPr>
                        </m:ctrlPr>
                      </m:dPr>
                      <m:e>
                        <m:sSub>
                          <m:sSubPr>
                            <m:ctrlPr>
                              <w:rPr>
                                <w:rFonts w:ascii="Cambria Math" w:hAnsi="Cambria Math" w:cs="Arial"/>
                                <w:sz w:val="18"/>
                                <w:szCs w:val="18"/>
                                <w:lang w:val="es-ES"/>
                              </w:rPr>
                            </m:ctrlPr>
                          </m:sSubPr>
                          <m:e>
                            <m:r>
                              <w:rPr>
                                <w:rFonts w:ascii="Cambria Math" w:hAnsi="Cambria Math" w:cs="Arial"/>
                                <w:sz w:val="18"/>
                                <w:szCs w:val="18"/>
                                <w:lang w:val="es-ES"/>
                              </w:rPr>
                              <m:t>s</m:t>
                            </m:r>
                          </m:e>
                          <m:sub>
                            <m:r>
                              <w:rPr>
                                <w:rFonts w:ascii="Cambria Math" w:hAnsi="Cambria Math" w:cs="Arial"/>
                                <w:sz w:val="18"/>
                                <w:szCs w:val="18"/>
                                <w:lang w:val="es-ES"/>
                              </w:rPr>
                              <m:t>i</m:t>
                            </m:r>
                          </m:sub>
                        </m:sSub>
                        <m:r>
                          <m:rPr>
                            <m:sty m:val="p"/>
                          </m:rPr>
                          <w:rPr>
                            <w:rFonts w:ascii="Cambria Math" w:hAnsi="Cambria Math" w:cs="Arial"/>
                            <w:sz w:val="18"/>
                            <w:szCs w:val="18"/>
                          </w:rPr>
                          <m:t>-</m:t>
                        </m:r>
                        <m:sSub>
                          <m:sSubPr>
                            <m:ctrlPr>
                              <w:rPr>
                                <w:rFonts w:ascii="Cambria Math" w:hAnsi="Cambria Math" w:cs="Arial"/>
                                <w:sz w:val="18"/>
                                <w:szCs w:val="18"/>
                                <w:lang w:val="es-ES"/>
                              </w:rPr>
                            </m:ctrlPr>
                          </m:sSubPr>
                          <m:e>
                            <m:r>
                              <w:rPr>
                                <w:rFonts w:ascii="Cambria Math" w:hAnsi="Cambria Math" w:cs="Arial"/>
                                <w:sz w:val="18"/>
                                <w:szCs w:val="18"/>
                                <w:lang w:val="es-ES"/>
                              </w:rPr>
                              <m:t>s</m:t>
                            </m:r>
                          </m:e>
                          <m:sub>
                            <m:r>
                              <m:rPr>
                                <m:sty m:val="p"/>
                              </m:rPr>
                              <w:rPr>
                                <w:rFonts w:ascii="Cambria Math" w:hAnsi="Cambria Math" w:cs="Arial"/>
                                <w:sz w:val="18"/>
                                <w:szCs w:val="18"/>
                              </w:rPr>
                              <m:t>0</m:t>
                            </m:r>
                          </m:sub>
                        </m:sSub>
                      </m:e>
                    </m:d>
                  </m:e>
                </m:d>
              </m:oMath>
            </m:oMathPara>
          </w:p>
        </w:tc>
        <w:tc>
          <w:tcPr>
            <w:tcW w:w="954" w:type="dxa"/>
          </w:tcPr>
          <w:p w14:paraId="37BBB0B1" w14:textId="77777777" w:rsidR="007023E8" w:rsidRPr="000C7670" w:rsidRDefault="007023E8" w:rsidP="006B7047">
            <w:pPr>
              <w:pStyle w:val="TableParagraph"/>
              <w:rPr>
                <w:rFonts w:ascii="Arial" w:hAnsi="Arial" w:cs="Arial"/>
                <w:spacing w:val="-10"/>
                <w:sz w:val="18"/>
                <w:szCs w:val="18"/>
              </w:rPr>
            </w:pPr>
            <w:r w:rsidRPr="000C7670">
              <w:rPr>
                <w:rFonts w:ascii="Arial" w:hAnsi="Arial" w:cs="Arial"/>
                <w:spacing w:val="-10"/>
                <w:sz w:val="18"/>
                <w:szCs w:val="18"/>
              </w:rPr>
              <w:t>5</w:t>
            </w:r>
          </w:p>
        </w:tc>
      </w:tr>
      <w:tr w:rsidR="007023E8" w:rsidRPr="000C7670" w14:paraId="04D35160" w14:textId="77777777" w:rsidTr="005B635F">
        <w:trPr>
          <w:trHeight w:val="432"/>
        </w:trPr>
        <w:tc>
          <w:tcPr>
            <w:tcW w:w="2455" w:type="dxa"/>
          </w:tcPr>
          <w:p w14:paraId="753AB7BF" w14:textId="4C3876ED" w:rsidR="007023E8" w:rsidRPr="000C7670" w:rsidRDefault="003676E0" w:rsidP="006B7047">
            <w:pPr>
              <w:pStyle w:val="TableParagraph"/>
              <w:rPr>
                <w:rFonts w:ascii="Arial" w:hAnsi="Arial" w:cs="Arial"/>
                <w:sz w:val="18"/>
                <w:szCs w:val="18"/>
              </w:rPr>
            </w:pPr>
            <w:r w:rsidRPr="000C7670">
              <w:rPr>
                <w:rFonts w:ascii="Arial" w:hAnsi="Arial" w:cs="Arial"/>
                <w:sz w:val="18"/>
                <w:szCs w:val="18"/>
              </w:rPr>
              <w:t>Chemical exergy of process stream</w:t>
            </w:r>
          </w:p>
        </w:tc>
        <w:tc>
          <w:tcPr>
            <w:tcW w:w="5375" w:type="dxa"/>
            <w:tcBorders>
              <w:left w:val="nil"/>
            </w:tcBorders>
          </w:tcPr>
          <w:p w14:paraId="115943E7" w14:textId="68CFAE8B" w:rsidR="007023E8" w:rsidRPr="000C7670" w:rsidRDefault="003676E0" w:rsidP="006B7047">
            <w:pPr>
              <w:pStyle w:val="TableParagraph"/>
              <w:rPr>
                <w:rFonts w:ascii="Arial" w:hAnsi="Arial" w:cs="Arial"/>
                <w:sz w:val="18"/>
                <w:szCs w:val="18"/>
                <w:lang w:val="es-ES"/>
              </w:rPr>
            </w:pPr>
            <m:oMathPara>
              <m:oMath>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ch</m:t>
                    </m:r>
                    <m:r>
                      <m:rPr>
                        <m:sty m:val="p"/>
                      </m:rPr>
                      <w:rPr>
                        <w:rFonts w:ascii="Cambria Math" w:hAnsi="Cambria Math" w:cs="Arial"/>
                        <w:sz w:val="18"/>
                        <w:szCs w:val="18"/>
                      </w:rPr>
                      <m:t>-</m:t>
                    </m:r>
                    <m:r>
                      <w:rPr>
                        <w:rFonts w:ascii="Cambria Math" w:hAnsi="Cambria Math" w:cs="Arial"/>
                        <w:sz w:val="18"/>
                        <w:szCs w:val="18"/>
                      </w:rPr>
                      <m:t>mixture</m:t>
                    </m:r>
                  </m:sub>
                </m:sSub>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y</m:t>
                    </m:r>
                  </m:e>
                  <m:sub>
                    <m:r>
                      <w:rPr>
                        <w:rFonts w:ascii="Cambria Math" w:hAnsi="Cambria Math" w:cs="Arial"/>
                        <w:sz w:val="18"/>
                        <w:szCs w:val="18"/>
                      </w:rPr>
                      <m:t>i</m:t>
                    </m:r>
                  </m:sub>
                </m:sSub>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ch</m:t>
                    </m:r>
                    <m:r>
                      <m:rPr>
                        <m:sty m:val="p"/>
                      </m:rPr>
                      <w:rPr>
                        <w:rFonts w:ascii="Cambria Math" w:hAnsi="Cambria Math" w:cs="Arial"/>
                        <w:sz w:val="18"/>
                        <w:szCs w:val="18"/>
                      </w:rPr>
                      <m:t>-</m:t>
                    </m:r>
                    <m:r>
                      <w:rPr>
                        <w:rFonts w:ascii="Cambria Math" w:hAnsi="Cambria Math" w:cs="Arial"/>
                        <w:sz w:val="18"/>
                        <w:szCs w:val="18"/>
                      </w:rPr>
                      <m:t>i</m:t>
                    </m:r>
                  </m:sub>
                </m:sSub>
                <m:r>
                  <m:rPr>
                    <m:sty m:val="p"/>
                  </m:rPr>
                  <w:rPr>
                    <w:rFonts w:ascii="Cambria Math" w:hAnsi="Cambria Math" w:cs="Arial"/>
                    <w:sz w:val="18"/>
                    <w:szCs w:val="18"/>
                  </w:rPr>
                  <m:t>+</m:t>
                </m:r>
                <m:r>
                  <w:rPr>
                    <w:rFonts w:ascii="Cambria Math" w:hAnsi="Cambria Math" w:cs="Arial"/>
                    <w:sz w:val="18"/>
                    <w:szCs w:val="18"/>
                  </w:rPr>
                  <m:t>R</m:t>
                </m:r>
                <m:sSub>
                  <m:sSubPr>
                    <m:ctrlPr>
                      <w:rPr>
                        <w:rFonts w:ascii="Cambria Math" w:hAnsi="Cambria Math" w:cs="Arial"/>
                        <w:sz w:val="18"/>
                        <w:szCs w:val="18"/>
                      </w:rPr>
                    </m:ctrlPr>
                  </m:sSubPr>
                  <m:e>
                    <m:r>
                      <w:rPr>
                        <w:rFonts w:ascii="Cambria Math" w:hAnsi="Cambria Math" w:cs="Arial"/>
                        <w:sz w:val="18"/>
                        <w:szCs w:val="18"/>
                      </w:rPr>
                      <m:t>T</m:t>
                    </m:r>
                  </m:e>
                  <m:sub>
                    <m:r>
                      <m:rPr>
                        <m:sty m:val="p"/>
                      </m:rPr>
                      <w:rPr>
                        <w:rFonts w:ascii="Cambria Math" w:hAnsi="Cambria Math" w:cs="Arial"/>
                        <w:sz w:val="18"/>
                        <w:szCs w:val="18"/>
                      </w:rPr>
                      <m:t>0</m:t>
                    </m:r>
                  </m:sub>
                </m:sSub>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y</m:t>
                    </m:r>
                  </m:e>
                  <m:sub>
                    <m:r>
                      <w:rPr>
                        <w:rFonts w:ascii="Cambria Math" w:hAnsi="Cambria Math" w:cs="Arial"/>
                        <w:sz w:val="18"/>
                        <w:szCs w:val="18"/>
                      </w:rPr>
                      <m:t>i</m:t>
                    </m:r>
                  </m:sub>
                </m:sSub>
                <m:func>
                  <m:funcPr>
                    <m:ctrlPr>
                      <w:rPr>
                        <w:rFonts w:ascii="Cambria Math" w:hAnsi="Cambria Math" w:cs="Arial"/>
                        <w:sz w:val="18"/>
                        <w:szCs w:val="18"/>
                      </w:rPr>
                    </m:ctrlPr>
                  </m:funcPr>
                  <m:fName>
                    <m:r>
                      <m:rPr>
                        <m:sty m:val="p"/>
                      </m:rPr>
                      <w:rPr>
                        <w:rFonts w:ascii="Cambria Math" w:hAnsi="Cambria Math" w:cs="Arial"/>
                        <w:sz w:val="18"/>
                        <w:szCs w:val="18"/>
                      </w:rPr>
                      <m:t>ln</m:t>
                    </m:r>
                  </m:fName>
                  <m:e>
                    <m:d>
                      <m:dPr>
                        <m:ctrlPr>
                          <w:rPr>
                            <w:rFonts w:ascii="Cambria Math" w:hAnsi="Cambria Math" w:cs="Arial"/>
                            <w:sz w:val="18"/>
                            <w:szCs w:val="18"/>
                          </w:rPr>
                        </m:ctrlPr>
                      </m:dPr>
                      <m:e>
                        <m:sSub>
                          <m:sSubPr>
                            <m:ctrlPr>
                              <w:rPr>
                                <w:rFonts w:ascii="Cambria Math" w:hAnsi="Cambria Math" w:cs="Arial"/>
                                <w:sz w:val="18"/>
                                <w:szCs w:val="18"/>
                              </w:rPr>
                            </m:ctrlPr>
                          </m:sSubPr>
                          <m:e>
                            <m:r>
                              <w:rPr>
                                <w:rFonts w:ascii="Cambria Math" w:hAnsi="Cambria Math" w:cs="Arial"/>
                                <w:sz w:val="18"/>
                                <w:szCs w:val="18"/>
                              </w:rPr>
                              <m:t>y</m:t>
                            </m:r>
                          </m:e>
                          <m:sub>
                            <m:r>
                              <w:rPr>
                                <w:rFonts w:ascii="Cambria Math" w:hAnsi="Cambria Math" w:cs="Arial"/>
                                <w:sz w:val="18"/>
                                <w:szCs w:val="18"/>
                              </w:rPr>
                              <m:t>i</m:t>
                            </m:r>
                          </m:sub>
                        </m:sSub>
                      </m:e>
                    </m:d>
                  </m:e>
                </m:func>
              </m:oMath>
            </m:oMathPara>
          </w:p>
        </w:tc>
        <w:tc>
          <w:tcPr>
            <w:tcW w:w="954" w:type="dxa"/>
          </w:tcPr>
          <w:p w14:paraId="288EAEC4" w14:textId="77777777" w:rsidR="007023E8" w:rsidRPr="000C7670" w:rsidRDefault="007023E8" w:rsidP="006B7047">
            <w:pPr>
              <w:pStyle w:val="TableParagraph"/>
              <w:rPr>
                <w:rFonts w:ascii="Arial" w:hAnsi="Arial" w:cs="Arial"/>
                <w:sz w:val="18"/>
                <w:szCs w:val="18"/>
              </w:rPr>
            </w:pPr>
            <w:r w:rsidRPr="000C7670">
              <w:rPr>
                <w:rFonts w:ascii="Arial" w:hAnsi="Arial" w:cs="Arial"/>
                <w:sz w:val="18"/>
                <w:szCs w:val="18"/>
              </w:rPr>
              <w:t>6</w:t>
            </w:r>
          </w:p>
        </w:tc>
      </w:tr>
      <w:tr w:rsidR="007023E8" w:rsidRPr="000C7670" w14:paraId="50B23D8E" w14:textId="77777777" w:rsidTr="005B635F">
        <w:trPr>
          <w:trHeight w:val="360"/>
        </w:trPr>
        <w:tc>
          <w:tcPr>
            <w:tcW w:w="2455" w:type="dxa"/>
          </w:tcPr>
          <w:p w14:paraId="39E57DE2" w14:textId="77777777" w:rsidR="007023E8" w:rsidRPr="000C7670" w:rsidRDefault="007023E8" w:rsidP="006B7047">
            <w:pPr>
              <w:pStyle w:val="TableParagraph"/>
              <w:rPr>
                <w:rFonts w:ascii="Arial" w:hAnsi="Arial" w:cs="Arial"/>
                <w:sz w:val="18"/>
                <w:szCs w:val="18"/>
              </w:rPr>
            </w:pPr>
            <w:r w:rsidRPr="000C7670">
              <w:rPr>
                <w:rFonts w:ascii="Arial" w:hAnsi="Arial" w:cs="Arial"/>
                <w:sz w:val="18"/>
                <w:szCs w:val="18"/>
              </w:rPr>
              <w:t>Chemical exergy</w:t>
            </w:r>
          </w:p>
        </w:tc>
        <w:tc>
          <w:tcPr>
            <w:tcW w:w="5375" w:type="dxa"/>
          </w:tcPr>
          <w:p w14:paraId="341B0ECF" w14:textId="77777777" w:rsidR="007023E8" w:rsidRPr="000C7670" w:rsidRDefault="007023E8" w:rsidP="006B7047">
            <w:pPr>
              <w:pStyle w:val="TableParagraph"/>
              <w:rPr>
                <w:rFonts w:ascii="Arial" w:hAnsi="Arial" w:cs="Arial"/>
                <w:iCs/>
                <w:sz w:val="18"/>
                <w:szCs w:val="18"/>
                <w:lang w:val="es-ES"/>
              </w:rPr>
            </w:pPr>
            <m:oMathPara>
              <m:oMath>
                <m:r>
                  <w:rPr>
                    <w:rFonts w:ascii="Cambria Math" w:hAnsi="Cambria Math" w:cs="Arial"/>
                    <w:sz w:val="18"/>
                    <w:szCs w:val="18"/>
                    <w:lang w:val="es-ES"/>
                  </w:rPr>
                  <m:t>E</m:t>
                </m:r>
                <m:sSub>
                  <m:sSubPr>
                    <m:ctrlPr>
                      <w:rPr>
                        <w:rFonts w:ascii="Cambria Math" w:hAnsi="Cambria Math" w:cs="Arial"/>
                        <w:iCs/>
                        <w:sz w:val="18"/>
                        <w:szCs w:val="18"/>
                        <w:lang w:val="es-ES"/>
                      </w:rPr>
                    </m:ctrlPr>
                  </m:sSubPr>
                  <m:e>
                    <m:r>
                      <w:rPr>
                        <w:rFonts w:ascii="Cambria Math" w:hAnsi="Cambria Math" w:cs="Arial"/>
                        <w:sz w:val="18"/>
                        <w:szCs w:val="18"/>
                        <w:lang w:val="es-ES"/>
                      </w:rPr>
                      <m:t>x</m:t>
                    </m:r>
                  </m:e>
                  <m:sub>
                    <m:r>
                      <w:rPr>
                        <w:rFonts w:ascii="Cambria Math" w:hAnsi="Cambria Math" w:cs="Arial"/>
                        <w:sz w:val="18"/>
                        <w:szCs w:val="18"/>
                        <w:lang w:val="es-ES"/>
                      </w:rPr>
                      <m:t>ch</m:t>
                    </m:r>
                    <m:r>
                      <m:rPr>
                        <m:sty m:val="p"/>
                      </m:rPr>
                      <w:rPr>
                        <w:rFonts w:ascii="Cambria Math" w:hAnsi="Cambria Math" w:cs="Arial"/>
                        <w:sz w:val="18"/>
                        <w:szCs w:val="18"/>
                        <w:lang w:val="es-ES"/>
                      </w:rPr>
                      <m:t>-</m:t>
                    </m:r>
                    <m:r>
                      <w:rPr>
                        <w:rFonts w:ascii="Cambria Math" w:hAnsi="Cambria Math" w:cs="Arial"/>
                        <w:sz w:val="18"/>
                        <w:szCs w:val="18"/>
                        <w:lang w:val="es-ES"/>
                      </w:rPr>
                      <m:t>i</m:t>
                    </m:r>
                  </m:sub>
                </m:sSub>
                <m:r>
                  <m:rPr>
                    <m:sty m:val="p"/>
                  </m:rPr>
                  <w:rPr>
                    <w:rFonts w:ascii="Cambria Math" w:hAnsi="Cambria Math" w:cs="Arial"/>
                    <w:sz w:val="18"/>
                    <w:szCs w:val="18"/>
                    <w:lang w:val="es-ES"/>
                  </w:rPr>
                  <m:t>=</m:t>
                </m:r>
                <m:r>
                  <w:rPr>
                    <w:rFonts w:ascii="Cambria Math" w:hAnsi="Cambria Math" w:cs="Arial"/>
                    <w:sz w:val="18"/>
                    <w:szCs w:val="18"/>
                    <w:lang w:val="es-ES"/>
                  </w:rPr>
                  <m:t>Δ</m:t>
                </m:r>
                <m:sSubSup>
                  <m:sSubSupPr>
                    <m:ctrlPr>
                      <w:rPr>
                        <w:rFonts w:ascii="Cambria Math" w:hAnsi="Cambria Math" w:cs="Arial"/>
                        <w:iCs/>
                        <w:sz w:val="18"/>
                        <w:szCs w:val="18"/>
                        <w:lang w:val="es-ES"/>
                      </w:rPr>
                    </m:ctrlPr>
                  </m:sSubSupPr>
                  <m:e>
                    <m:r>
                      <w:rPr>
                        <w:rFonts w:ascii="Cambria Math" w:hAnsi="Cambria Math" w:cs="Arial"/>
                        <w:sz w:val="18"/>
                        <w:szCs w:val="18"/>
                        <w:lang w:val="es-ES"/>
                      </w:rPr>
                      <m:t>G</m:t>
                    </m:r>
                  </m:e>
                  <m:sub>
                    <m:r>
                      <w:rPr>
                        <w:rFonts w:ascii="Cambria Math" w:hAnsi="Cambria Math" w:cs="Arial"/>
                        <w:sz w:val="18"/>
                        <w:szCs w:val="18"/>
                        <w:lang w:val="es-ES"/>
                      </w:rPr>
                      <m:t>f</m:t>
                    </m:r>
                  </m:sub>
                  <m:sup>
                    <m:r>
                      <m:rPr>
                        <m:sty m:val="p"/>
                      </m:rPr>
                      <w:rPr>
                        <w:rFonts w:ascii="Cambria Math" w:hAnsi="Cambria Math" w:cs="Arial"/>
                        <w:sz w:val="18"/>
                        <w:szCs w:val="18"/>
                        <w:lang w:val="es-ES"/>
                      </w:rPr>
                      <m:t>0</m:t>
                    </m:r>
                  </m:sup>
                </m:sSubSup>
                <m:r>
                  <m:rPr>
                    <m:sty m:val="p"/>
                  </m:rPr>
                  <w:rPr>
                    <w:rFonts w:ascii="Cambria Math" w:hAnsi="Cambria Math" w:cs="Arial"/>
                    <w:sz w:val="18"/>
                    <w:szCs w:val="18"/>
                    <w:lang w:val="es-ES"/>
                  </w:rPr>
                  <m:t>+</m:t>
                </m:r>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v</m:t>
                    </m:r>
                  </m:e>
                  <m:sub>
                    <m:r>
                      <w:rPr>
                        <w:rFonts w:ascii="Cambria Math" w:hAnsi="Cambria Math" w:cs="Arial"/>
                        <w:sz w:val="18"/>
                        <w:szCs w:val="18"/>
                      </w:rPr>
                      <m:t>j</m:t>
                    </m:r>
                  </m:sub>
                </m:sSub>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ch</m:t>
                    </m:r>
                    <m:r>
                      <m:rPr>
                        <m:sty m:val="p"/>
                      </m:rPr>
                      <w:rPr>
                        <w:rFonts w:ascii="Cambria Math" w:hAnsi="Cambria Math" w:cs="Arial"/>
                        <w:sz w:val="18"/>
                        <w:szCs w:val="18"/>
                      </w:rPr>
                      <m:t>-</m:t>
                    </m:r>
                    <m:r>
                      <w:rPr>
                        <w:rFonts w:ascii="Cambria Math" w:hAnsi="Cambria Math" w:cs="Arial"/>
                        <w:sz w:val="18"/>
                        <w:szCs w:val="18"/>
                      </w:rPr>
                      <m:t>j</m:t>
                    </m:r>
                  </m:sub>
                </m:sSub>
              </m:oMath>
            </m:oMathPara>
          </w:p>
        </w:tc>
        <w:tc>
          <w:tcPr>
            <w:tcW w:w="954" w:type="dxa"/>
          </w:tcPr>
          <w:p w14:paraId="0D13EE86" w14:textId="77777777" w:rsidR="007023E8" w:rsidRPr="000C7670" w:rsidRDefault="007023E8" w:rsidP="006B7047">
            <w:pPr>
              <w:pStyle w:val="TableParagraph"/>
              <w:rPr>
                <w:rFonts w:ascii="Arial" w:hAnsi="Arial" w:cs="Arial"/>
                <w:sz w:val="18"/>
                <w:szCs w:val="18"/>
              </w:rPr>
            </w:pPr>
            <w:r w:rsidRPr="000C7670">
              <w:rPr>
                <w:rFonts w:ascii="Arial" w:hAnsi="Arial" w:cs="Arial"/>
                <w:sz w:val="18"/>
                <w:szCs w:val="18"/>
              </w:rPr>
              <w:t>7</w:t>
            </w:r>
          </w:p>
        </w:tc>
      </w:tr>
      <w:tr w:rsidR="007023E8" w:rsidRPr="000C7670" w14:paraId="1CD46A68" w14:textId="77777777" w:rsidTr="005B635F">
        <w:trPr>
          <w:trHeight w:val="395"/>
        </w:trPr>
        <w:tc>
          <w:tcPr>
            <w:tcW w:w="2455" w:type="dxa"/>
          </w:tcPr>
          <w:p w14:paraId="60F0573C" w14:textId="6A92E640" w:rsidR="007023E8" w:rsidRPr="000C7670" w:rsidRDefault="0023358C" w:rsidP="006B7047">
            <w:pPr>
              <w:pStyle w:val="TableParagraph"/>
              <w:rPr>
                <w:rFonts w:ascii="Arial" w:hAnsi="Arial" w:cs="Arial"/>
                <w:sz w:val="18"/>
                <w:szCs w:val="18"/>
              </w:rPr>
            </w:pPr>
            <w:r w:rsidRPr="000C7670">
              <w:rPr>
                <w:rFonts w:ascii="Arial" w:hAnsi="Arial" w:cs="Arial"/>
                <w:sz w:val="18"/>
                <w:szCs w:val="18"/>
              </w:rPr>
              <w:t>Unavoidable e</w:t>
            </w:r>
            <w:r w:rsidR="007023E8" w:rsidRPr="000C7670">
              <w:rPr>
                <w:rFonts w:ascii="Arial" w:hAnsi="Arial" w:cs="Arial"/>
                <w:sz w:val="18"/>
                <w:szCs w:val="18"/>
              </w:rPr>
              <w:t>xergy losses</w:t>
            </w:r>
          </w:p>
        </w:tc>
        <w:tc>
          <w:tcPr>
            <w:tcW w:w="5375" w:type="dxa"/>
          </w:tcPr>
          <w:p w14:paraId="7F4F9327" w14:textId="39DD199B" w:rsidR="007023E8" w:rsidRPr="000C7670" w:rsidRDefault="007023E8" w:rsidP="006B7047">
            <w:pPr>
              <w:pStyle w:val="TableParagraph"/>
              <w:rPr>
                <w:rFonts w:ascii="Arial" w:eastAsia="Cambria Math" w:hAnsi="Arial" w:cs="Arial"/>
                <w:sz w:val="18"/>
                <w:szCs w:val="18"/>
              </w:rPr>
            </w:pPr>
            <m:oMathPara>
              <m:oMath>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losses</m:t>
                    </m:r>
                  </m:sub>
                </m:sSub>
                <m:r>
                  <m:rPr>
                    <m:sty m:val="p"/>
                  </m:rPr>
                  <w:rPr>
                    <w:rFonts w:ascii="Cambria Math" w:hAnsi="Cambria Math" w:cs="Arial"/>
                    <w:sz w:val="18"/>
                    <w:szCs w:val="18"/>
                  </w:rPr>
                  <m:t xml:space="preserve"> = ∑</m:t>
                </m:r>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in</m:t>
                    </m:r>
                  </m:sub>
                </m:sSub>
                <m:r>
                  <m:rPr>
                    <m:sty m:val="p"/>
                  </m:rPr>
                  <w:rPr>
                    <w:rFonts w:ascii="Cambria Math" w:hAnsi="Cambria Math" w:cs="Arial"/>
                    <w:sz w:val="18"/>
                    <w:szCs w:val="18"/>
                  </w:rPr>
                  <m:t xml:space="preserve"> - </m:t>
                </m:r>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total</m:t>
                    </m:r>
                    <m:r>
                      <m:rPr>
                        <m:sty m:val="p"/>
                      </m:rPr>
                      <w:rPr>
                        <w:rFonts w:ascii="Cambria Math" w:hAnsi="Cambria Math" w:cs="Arial"/>
                        <w:sz w:val="18"/>
                        <w:szCs w:val="18"/>
                      </w:rPr>
                      <m:t>-</m:t>
                    </m:r>
                    <m:r>
                      <w:rPr>
                        <w:rFonts w:ascii="Cambria Math" w:hAnsi="Cambria Math" w:cs="Arial"/>
                        <w:sz w:val="18"/>
                        <w:szCs w:val="18"/>
                      </w:rPr>
                      <m:t>out</m:t>
                    </m:r>
                  </m:sub>
                </m:sSub>
              </m:oMath>
            </m:oMathPara>
          </w:p>
        </w:tc>
        <w:tc>
          <w:tcPr>
            <w:tcW w:w="954" w:type="dxa"/>
          </w:tcPr>
          <w:p w14:paraId="2ACD30C3" w14:textId="77777777" w:rsidR="007023E8" w:rsidRPr="000C7670" w:rsidRDefault="007023E8" w:rsidP="006B7047">
            <w:pPr>
              <w:pStyle w:val="TableParagraph"/>
              <w:rPr>
                <w:rFonts w:ascii="Arial" w:hAnsi="Arial" w:cs="Arial"/>
                <w:sz w:val="18"/>
                <w:szCs w:val="18"/>
              </w:rPr>
            </w:pPr>
            <w:r w:rsidRPr="000C7670">
              <w:rPr>
                <w:rFonts w:ascii="Arial" w:hAnsi="Arial" w:cs="Arial"/>
                <w:sz w:val="18"/>
                <w:szCs w:val="18"/>
              </w:rPr>
              <w:t>8</w:t>
            </w:r>
          </w:p>
        </w:tc>
      </w:tr>
      <w:tr w:rsidR="007023E8" w:rsidRPr="000C7670" w14:paraId="43966D33" w14:textId="77777777" w:rsidTr="005B635F">
        <w:trPr>
          <w:trHeight w:val="395"/>
        </w:trPr>
        <w:tc>
          <w:tcPr>
            <w:tcW w:w="2455" w:type="dxa"/>
          </w:tcPr>
          <w:p w14:paraId="1C02C8C9" w14:textId="77777777" w:rsidR="007023E8" w:rsidRPr="000C7670" w:rsidRDefault="007023E8" w:rsidP="006B7047">
            <w:pPr>
              <w:pStyle w:val="TableParagraph"/>
              <w:rPr>
                <w:rFonts w:ascii="Arial" w:hAnsi="Arial" w:cs="Arial"/>
                <w:sz w:val="18"/>
                <w:szCs w:val="18"/>
              </w:rPr>
            </w:pPr>
            <w:r w:rsidRPr="000C7670">
              <w:rPr>
                <w:rFonts w:ascii="Arial" w:hAnsi="Arial" w:cs="Arial"/>
                <w:sz w:val="18"/>
                <w:szCs w:val="18"/>
              </w:rPr>
              <w:t>Exergy output</w:t>
            </w:r>
          </w:p>
        </w:tc>
        <w:tc>
          <w:tcPr>
            <w:tcW w:w="5375" w:type="dxa"/>
          </w:tcPr>
          <w:p w14:paraId="31DD98EB" w14:textId="77777777" w:rsidR="007023E8" w:rsidRPr="000C7670" w:rsidRDefault="007023E8" w:rsidP="006B7047">
            <w:pPr>
              <w:pStyle w:val="TableParagraph"/>
              <w:rPr>
                <w:rFonts w:ascii="Arial" w:eastAsia="Cambria Math" w:hAnsi="Arial" w:cs="Arial"/>
                <w:sz w:val="18"/>
                <w:szCs w:val="18"/>
              </w:rPr>
            </w:pPr>
            <m:oMathPara>
              <m:oMath>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total</m:t>
                    </m:r>
                    <m:r>
                      <m:rPr>
                        <m:sty m:val="p"/>
                      </m:rPr>
                      <w:rPr>
                        <w:rFonts w:ascii="Cambria Math" w:hAnsi="Cambria Math" w:cs="Arial"/>
                        <w:sz w:val="18"/>
                        <w:szCs w:val="18"/>
                      </w:rPr>
                      <m:t>-</m:t>
                    </m:r>
                    <m:r>
                      <w:rPr>
                        <w:rFonts w:ascii="Cambria Math" w:hAnsi="Cambria Math" w:cs="Arial"/>
                        <w:sz w:val="18"/>
                        <w:szCs w:val="18"/>
                      </w:rPr>
                      <m:t>out</m:t>
                    </m:r>
                  </m:sub>
                </m:sSub>
                <m:r>
                  <m:rPr>
                    <m:sty m:val="p"/>
                  </m:rPr>
                  <w:rPr>
                    <w:rFonts w:ascii="Cambria Math" w:hAnsi="Cambria Math" w:cs="Arial"/>
                    <w:sz w:val="18"/>
                    <w:szCs w:val="18"/>
                  </w:rPr>
                  <m:t xml:space="preserve"> = ∑</m:t>
                </m:r>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products</m:t>
                    </m:r>
                  </m:sub>
                </m:sSub>
                <m:r>
                  <m:rPr>
                    <m:sty m:val="p"/>
                  </m:rPr>
                  <w:rPr>
                    <w:rFonts w:ascii="Cambria Math" w:hAnsi="Cambria Math" w:cs="Arial"/>
                    <w:sz w:val="18"/>
                    <w:szCs w:val="18"/>
                  </w:rPr>
                  <m:t xml:space="preserve"> +∑</m:t>
                </m:r>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residues</m:t>
                    </m:r>
                  </m:sub>
                </m:sSub>
              </m:oMath>
            </m:oMathPara>
          </w:p>
        </w:tc>
        <w:tc>
          <w:tcPr>
            <w:tcW w:w="954" w:type="dxa"/>
          </w:tcPr>
          <w:p w14:paraId="1D40374E" w14:textId="77777777" w:rsidR="007023E8" w:rsidRPr="000C7670" w:rsidRDefault="007023E8" w:rsidP="006B7047">
            <w:pPr>
              <w:pStyle w:val="TableParagraph"/>
              <w:rPr>
                <w:rFonts w:ascii="Arial" w:hAnsi="Arial" w:cs="Arial"/>
                <w:sz w:val="18"/>
                <w:szCs w:val="18"/>
              </w:rPr>
            </w:pPr>
            <w:r w:rsidRPr="000C7670">
              <w:rPr>
                <w:rFonts w:ascii="Arial" w:hAnsi="Arial" w:cs="Arial"/>
                <w:sz w:val="18"/>
                <w:szCs w:val="18"/>
              </w:rPr>
              <w:t>9</w:t>
            </w:r>
          </w:p>
        </w:tc>
      </w:tr>
      <w:tr w:rsidR="007023E8" w:rsidRPr="000C7670" w14:paraId="08E1CD4F" w14:textId="77777777" w:rsidTr="00777C9E">
        <w:trPr>
          <w:trHeight w:val="395"/>
        </w:trPr>
        <w:tc>
          <w:tcPr>
            <w:tcW w:w="2455" w:type="dxa"/>
          </w:tcPr>
          <w:p w14:paraId="7CE80A66" w14:textId="77777777" w:rsidR="007023E8" w:rsidRPr="000C7670" w:rsidRDefault="007023E8" w:rsidP="006B7047">
            <w:pPr>
              <w:pStyle w:val="TableParagraph"/>
              <w:rPr>
                <w:rFonts w:ascii="Arial" w:hAnsi="Arial" w:cs="Arial"/>
                <w:sz w:val="18"/>
                <w:szCs w:val="18"/>
              </w:rPr>
            </w:pPr>
            <w:r w:rsidRPr="000C7670">
              <w:rPr>
                <w:rFonts w:ascii="Arial" w:hAnsi="Arial" w:cs="Arial"/>
                <w:sz w:val="18"/>
                <w:szCs w:val="18"/>
              </w:rPr>
              <w:t>Irreversibilities</w:t>
            </w:r>
          </w:p>
        </w:tc>
        <w:tc>
          <w:tcPr>
            <w:tcW w:w="5375" w:type="dxa"/>
          </w:tcPr>
          <w:p w14:paraId="6CE3F931" w14:textId="77777777" w:rsidR="007023E8" w:rsidRPr="000C7670" w:rsidRDefault="00000000" w:rsidP="006B7047">
            <w:pPr>
              <w:pStyle w:val="TableParagraph"/>
              <w:rPr>
                <w:rFonts w:ascii="Arial" w:hAnsi="Arial" w:cs="Arial"/>
                <w:sz w:val="18"/>
                <w:szCs w:val="18"/>
              </w:rPr>
            </w:pPr>
            <m:oMathPara>
              <m:oMath>
                <m:sSub>
                  <m:sSubPr>
                    <m:ctrlPr>
                      <w:rPr>
                        <w:rFonts w:ascii="Cambria Math" w:hAnsi="Cambria Math" w:cs="Arial"/>
                        <w:sz w:val="18"/>
                        <w:szCs w:val="18"/>
                      </w:rPr>
                    </m:ctrlPr>
                  </m:sSubPr>
                  <m:e>
                    <m:r>
                      <w:rPr>
                        <w:rFonts w:ascii="Cambria Math" w:hAnsi="Cambria Math" w:cs="Arial"/>
                        <w:sz w:val="18"/>
                        <w:szCs w:val="18"/>
                      </w:rPr>
                      <m:t>Loss</m:t>
                    </m:r>
                  </m:e>
                  <m:sub>
                    <m:r>
                      <w:rPr>
                        <w:rFonts w:ascii="Cambria Math" w:hAnsi="Cambria Math" w:cs="Arial"/>
                        <w:sz w:val="18"/>
                        <w:szCs w:val="18"/>
                      </w:rPr>
                      <m:t>ex</m:t>
                    </m:r>
                  </m:sub>
                </m:sSub>
                <m:r>
                  <m:rPr>
                    <m:sty m:val="p"/>
                  </m:rPr>
                  <w:rPr>
                    <w:rFonts w:ascii="Cambria Math" w:hAnsi="Cambria Math" w:cs="Arial"/>
                    <w:sz w:val="18"/>
                    <w:szCs w:val="18"/>
                  </w:rPr>
                  <m:t xml:space="preserve"> = ∑</m:t>
                </m:r>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in</m:t>
                    </m:r>
                  </m:sub>
                </m:sSub>
                <m:r>
                  <m:rPr>
                    <m:sty m:val="p"/>
                  </m:rPr>
                  <w:rPr>
                    <w:rFonts w:ascii="Cambria Math" w:hAnsi="Cambria Math" w:cs="Arial"/>
                    <w:sz w:val="18"/>
                    <w:szCs w:val="18"/>
                  </w:rPr>
                  <m:t xml:space="preserve"> - ∑</m:t>
                </m:r>
                <m:r>
                  <w:rPr>
                    <w:rFonts w:ascii="Cambria Math" w:hAnsi="Cambria Math" w:cs="Arial"/>
                    <w:sz w:val="18"/>
                    <w:szCs w:val="18"/>
                  </w:rPr>
                  <m:t>E</m:t>
                </m:r>
                <m:sSub>
                  <m:sSubPr>
                    <m:ctrlPr>
                      <w:rPr>
                        <w:rFonts w:ascii="Cambria Math" w:hAnsi="Cambria Math" w:cs="Arial"/>
                        <w:sz w:val="18"/>
                        <w:szCs w:val="18"/>
                      </w:rPr>
                    </m:ctrlPr>
                  </m:sSubPr>
                  <m:e>
                    <m:r>
                      <w:rPr>
                        <w:rFonts w:ascii="Cambria Math" w:hAnsi="Cambria Math" w:cs="Arial"/>
                        <w:sz w:val="18"/>
                        <w:szCs w:val="18"/>
                      </w:rPr>
                      <m:t>x</m:t>
                    </m:r>
                  </m:e>
                  <m:sub>
                    <m:r>
                      <w:rPr>
                        <w:rFonts w:ascii="Cambria Math" w:hAnsi="Cambria Math" w:cs="Arial"/>
                        <w:sz w:val="18"/>
                        <w:szCs w:val="18"/>
                      </w:rPr>
                      <m:t>products</m:t>
                    </m:r>
                  </m:sub>
                </m:sSub>
              </m:oMath>
            </m:oMathPara>
          </w:p>
        </w:tc>
        <w:tc>
          <w:tcPr>
            <w:tcW w:w="954" w:type="dxa"/>
          </w:tcPr>
          <w:p w14:paraId="00DBBCAC" w14:textId="77777777" w:rsidR="007023E8" w:rsidRPr="000C7670" w:rsidRDefault="007023E8" w:rsidP="006B7047">
            <w:pPr>
              <w:pStyle w:val="TableParagraph"/>
              <w:rPr>
                <w:rFonts w:ascii="Arial" w:hAnsi="Arial" w:cs="Arial"/>
                <w:spacing w:val="-10"/>
                <w:sz w:val="18"/>
                <w:szCs w:val="18"/>
              </w:rPr>
            </w:pPr>
            <w:r w:rsidRPr="000C7670">
              <w:rPr>
                <w:rFonts w:ascii="Arial" w:hAnsi="Arial" w:cs="Arial"/>
                <w:spacing w:val="-10"/>
                <w:sz w:val="18"/>
                <w:szCs w:val="18"/>
              </w:rPr>
              <w:t>10</w:t>
            </w:r>
          </w:p>
        </w:tc>
      </w:tr>
      <w:tr w:rsidR="007023E8" w:rsidRPr="000C7670" w14:paraId="29D946D9" w14:textId="77777777" w:rsidTr="005B635F">
        <w:trPr>
          <w:trHeight w:val="180"/>
        </w:trPr>
        <w:tc>
          <w:tcPr>
            <w:tcW w:w="2455" w:type="dxa"/>
          </w:tcPr>
          <w:p w14:paraId="598DF35D" w14:textId="02771146" w:rsidR="007023E8" w:rsidRPr="000C7670" w:rsidRDefault="007023E8" w:rsidP="006B7047">
            <w:pPr>
              <w:pStyle w:val="TableParagraph"/>
              <w:rPr>
                <w:rFonts w:ascii="Arial" w:hAnsi="Arial" w:cs="Arial"/>
                <w:sz w:val="18"/>
                <w:szCs w:val="18"/>
              </w:rPr>
            </w:pPr>
            <w:r w:rsidRPr="000C7670">
              <w:rPr>
                <w:rFonts w:ascii="Arial" w:hAnsi="Arial" w:cs="Arial"/>
                <w:sz w:val="18"/>
                <w:szCs w:val="18"/>
              </w:rPr>
              <w:t>Exergy efficiency</w:t>
            </w:r>
          </w:p>
        </w:tc>
        <w:tc>
          <w:tcPr>
            <w:tcW w:w="5375" w:type="dxa"/>
          </w:tcPr>
          <w:p w14:paraId="35BE2DCF" w14:textId="2D2CBAA2" w:rsidR="007023E8" w:rsidRPr="000C7670" w:rsidRDefault="00000000" w:rsidP="006B7047">
            <w:pPr>
              <w:pStyle w:val="TableParagraph"/>
              <w:rPr>
                <w:rFonts w:ascii="Arial" w:hAnsi="Arial" w:cs="Arial"/>
                <w:sz w:val="18"/>
                <w:szCs w:val="18"/>
              </w:rPr>
            </w:pPr>
            <m:oMathPara>
              <m:oMath>
                <m:sSub>
                  <m:sSubPr>
                    <m:ctrlPr>
                      <w:rPr>
                        <w:rFonts w:ascii="Cambria Math" w:hAnsi="Cambria Math" w:cs="Arial"/>
                        <w:sz w:val="18"/>
                        <w:szCs w:val="18"/>
                        <w:vertAlign w:val="subscript"/>
                      </w:rPr>
                    </m:ctrlPr>
                  </m:sSubPr>
                  <m:e>
                    <m:r>
                      <m:rPr>
                        <m:sty m:val="p"/>
                      </m:rPr>
                      <w:rPr>
                        <w:rFonts w:ascii="Cambria Math" w:hAnsi="Cambria Math" w:cs="Arial"/>
                        <w:sz w:val="18"/>
                        <w:szCs w:val="18"/>
                      </w:rPr>
                      <m:t>η</m:t>
                    </m:r>
                    <m:ctrlPr>
                      <w:rPr>
                        <w:rFonts w:ascii="Cambria Math" w:hAnsi="Cambria Math" w:cs="Arial"/>
                        <w:sz w:val="18"/>
                        <w:szCs w:val="18"/>
                      </w:rPr>
                    </m:ctrlPr>
                  </m:e>
                  <m:sub>
                    <m:r>
                      <w:rPr>
                        <w:rFonts w:ascii="Cambria Math" w:hAnsi="Cambria Math" w:cs="Arial"/>
                        <w:sz w:val="18"/>
                        <w:szCs w:val="18"/>
                      </w:rPr>
                      <m:t>exergy</m:t>
                    </m:r>
                  </m:sub>
                </m:sSub>
                <m:r>
                  <m:rPr>
                    <m:sty m:val="p"/>
                  </m:rPr>
                  <w:rPr>
                    <w:rFonts w:ascii="Cambria Math" w:hAnsi="Cambria Math" w:cs="Arial"/>
                    <w:sz w:val="18"/>
                    <w:szCs w:val="18"/>
                    <w:vertAlign w:val="subscript"/>
                  </w:rPr>
                  <m:t>=1-</m:t>
                </m:r>
                <m:d>
                  <m:dPr>
                    <m:ctrlPr>
                      <w:rPr>
                        <w:rFonts w:ascii="Cambria Math" w:hAnsi="Cambria Math" w:cs="Arial"/>
                        <w:sz w:val="18"/>
                        <w:szCs w:val="18"/>
                        <w:vertAlign w:val="subscript"/>
                      </w:rPr>
                    </m:ctrlPr>
                  </m:dPr>
                  <m:e>
                    <m:f>
                      <m:fPr>
                        <m:ctrlPr>
                          <w:rPr>
                            <w:rFonts w:ascii="Cambria Math" w:hAnsi="Cambria Math" w:cs="Arial"/>
                            <w:sz w:val="18"/>
                            <w:szCs w:val="18"/>
                            <w:vertAlign w:val="subscript"/>
                          </w:rPr>
                        </m:ctrlPr>
                      </m:fPr>
                      <m:num>
                        <m:r>
                          <w:rPr>
                            <w:rFonts w:ascii="Cambria Math" w:hAnsi="Cambria Math" w:cs="Arial"/>
                            <w:sz w:val="18"/>
                            <w:szCs w:val="18"/>
                            <w:vertAlign w:val="subscript"/>
                          </w:rPr>
                          <m:t>Los</m:t>
                        </m:r>
                        <m:sSub>
                          <m:sSubPr>
                            <m:ctrlPr>
                              <w:rPr>
                                <w:rFonts w:ascii="Cambria Math" w:hAnsi="Cambria Math" w:cs="Arial"/>
                                <w:sz w:val="18"/>
                                <w:szCs w:val="18"/>
                                <w:vertAlign w:val="subscript"/>
                              </w:rPr>
                            </m:ctrlPr>
                          </m:sSubPr>
                          <m:e>
                            <m:r>
                              <w:rPr>
                                <w:rFonts w:ascii="Cambria Math" w:hAnsi="Cambria Math" w:cs="Arial"/>
                                <w:sz w:val="18"/>
                                <w:szCs w:val="18"/>
                                <w:vertAlign w:val="subscript"/>
                              </w:rPr>
                              <m:t>s</m:t>
                            </m:r>
                          </m:e>
                          <m:sub>
                            <m:r>
                              <w:rPr>
                                <w:rFonts w:ascii="Cambria Math" w:hAnsi="Cambria Math" w:cs="Arial"/>
                                <w:sz w:val="18"/>
                                <w:szCs w:val="18"/>
                                <w:vertAlign w:val="subscript"/>
                              </w:rPr>
                              <m:t>total</m:t>
                            </m:r>
                            <m:r>
                              <m:rPr>
                                <m:sty m:val="p"/>
                              </m:rPr>
                              <w:rPr>
                                <w:rFonts w:ascii="Cambria Math" w:hAnsi="Cambria Math" w:cs="Arial"/>
                                <w:sz w:val="18"/>
                                <w:szCs w:val="18"/>
                                <w:vertAlign w:val="subscript"/>
                              </w:rPr>
                              <m:t>-</m:t>
                            </m:r>
                            <m:r>
                              <w:rPr>
                                <w:rFonts w:ascii="Cambria Math" w:hAnsi="Cambria Math" w:cs="Arial"/>
                                <w:sz w:val="18"/>
                                <w:szCs w:val="18"/>
                                <w:vertAlign w:val="subscript"/>
                              </w:rPr>
                              <m:t>ex</m:t>
                            </m:r>
                          </m:sub>
                        </m:sSub>
                      </m:num>
                      <m:den>
                        <m:r>
                          <w:rPr>
                            <w:rFonts w:ascii="Cambria Math" w:hAnsi="Cambria Math" w:cs="Arial"/>
                            <w:sz w:val="18"/>
                            <w:szCs w:val="18"/>
                            <w:vertAlign w:val="subscript"/>
                          </w:rPr>
                          <m:t>E</m:t>
                        </m:r>
                        <m:sSub>
                          <m:sSubPr>
                            <m:ctrlPr>
                              <w:rPr>
                                <w:rFonts w:ascii="Cambria Math" w:hAnsi="Cambria Math" w:cs="Arial"/>
                                <w:sz w:val="18"/>
                                <w:szCs w:val="18"/>
                                <w:vertAlign w:val="subscript"/>
                              </w:rPr>
                            </m:ctrlPr>
                          </m:sSubPr>
                          <m:e>
                            <m:r>
                              <w:rPr>
                                <w:rFonts w:ascii="Cambria Math" w:hAnsi="Cambria Math" w:cs="Arial"/>
                                <w:sz w:val="18"/>
                                <w:szCs w:val="18"/>
                                <w:vertAlign w:val="subscript"/>
                              </w:rPr>
                              <m:t>x</m:t>
                            </m:r>
                          </m:e>
                          <m:sub>
                            <m:r>
                              <w:rPr>
                                <w:rFonts w:ascii="Cambria Math" w:hAnsi="Cambria Math" w:cs="Arial"/>
                                <w:sz w:val="18"/>
                                <w:szCs w:val="18"/>
                                <w:vertAlign w:val="subscript"/>
                              </w:rPr>
                              <m:t>total</m:t>
                            </m:r>
                            <m:r>
                              <m:rPr>
                                <m:sty m:val="p"/>
                              </m:rPr>
                              <w:rPr>
                                <w:rFonts w:ascii="Cambria Math" w:hAnsi="Cambria Math" w:cs="Arial"/>
                                <w:sz w:val="18"/>
                                <w:szCs w:val="18"/>
                                <w:vertAlign w:val="subscript"/>
                              </w:rPr>
                              <m:t>-</m:t>
                            </m:r>
                            <m:r>
                              <w:rPr>
                                <w:rFonts w:ascii="Cambria Math" w:hAnsi="Cambria Math" w:cs="Arial"/>
                                <w:sz w:val="18"/>
                                <w:szCs w:val="18"/>
                                <w:vertAlign w:val="subscript"/>
                              </w:rPr>
                              <m:t>in</m:t>
                            </m:r>
                          </m:sub>
                        </m:sSub>
                      </m:den>
                    </m:f>
                  </m:e>
                </m:d>
              </m:oMath>
            </m:oMathPara>
          </w:p>
        </w:tc>
        <w:tc>
          <w:tcPr>
            <w:tcW w:w="954" w:type="dxa"/>
          </w:tcPr>
          <w:p w14:paraId="5BF03976" w14:textId="77777777" w:rsidR="007023E8" w:rsidRPr="000C7670" w:rsidRDefault="007023E8" w:rsidP="006B7047">
            <w:pPr>
              <w:pStyle w:val="TableParagraph"/>
              <w:rPr>
                <w:rFonts w:ascii="Arial" w:hAnsi="Arial" w:cs="Arial"/>
                <w:sz w:val="18"/>
                <w:szCs w:val="18"/>
              </w:rPr>
            </w:pPr>
            <w:r w:rsidRPr="000C7670">
              <w:rPr>
                <w:rFonts w:ascii="Arial" w:hAnsi="Arial" w:cs="Arial"/>
                <w:sz w:val="18"/>
                <w:szCs w:val="18"/>
              </w:rPr>
              <w:t>11</w:t>
            </w:r>
          </w:p>
        </w:tc>
      </w:tr>
      <w:tr w:rsidR="00A303F1" w:rsidRPr="000C7670" w14:paraId="20BDCF3C" w14:textId="77777777" w:rsidTr="005B635F">
        <w:trPr>
          <w:trHeight w:val="180"/>
        </w:trPr>
        <w:tc>
          <w:tcPr>
            <w:tcW w:w="2455" w:type="dxa"/>
            <w:tcBorders>
              <w:bottom w:val="single" w:sz="12" w:space="0" w:color="008000"/>
            </w:tcBorders>
          </w:tcPr>
          <w:p w14:paraId="6A3F7174" w14:textId="71EC1684" w:rsidR="00A303F1" w:rsidRPr="000C7670" w:rsidRDefault="00B9224F" w:rsidP="006B7047">
            <w:pPr>
              <w:pStyle w:val="TableParagraph"/>
              <w:rPr>
                <w:rFonts w:ascii="Arial" w:hAnsi="Arial" w:cs="Arial"/>
                <w:sz w:val="18"/>
                <w:szCs w:val="18"/>
              </w:rPr>
            </w:pPr>
            <w:r>
              <w:rPr>
                <w:rFonts w:ascii="Arial" w:hAnsi="Arial" w:cs="Arial"/>
                <w:sz w:val="18"/>
                <w:szCs w:val="18"/>
              </w:rPr>
              <w:t>Exergy destroyed</w:t>
            </w:r>
            <w:r w:rsidR="00643A01">
              <w:rPr>
                <w:rFonts w:ascii="Arial" w:hAnsi="Arial" w:cs="Arial"/>
                <w:sz w:val="18"/>
                <w:szCs w:val="18"/>
              </w:rPr>
              <w:t xml:space="preserve"> (%)</w:t>
            </w:r>
          </w:p>
        </w:tc>
        <w:tc>
          <w:tcPr>
            <w:tcW w:w="5375" w:type="dxa"/>
            <w:tcBorders>
              <w:bottom w:val="single" w:sz="12" w:space="0" w:color="008000"/>
            </w:tcBorders>
          </w:tcPr>
          <w:p w14:paraId="1EF06C6C" w14:textId="67B19E02" w:rsidR="00A303F1" w:rsidRPr="000C7670" w:rsidRDefault="00000000" w:rsidP="006B7047">
            <w:pPr>
              <w:pStyle w:val="TableParagraph"/>
              <w:rPr>
                <w:rFonts w:ascii="Arial" w:hAnsi="Arial" w:cs="Arial"/>
                <w:sz w:val="18"/>
                <w:szCs w:val="18"/>
                <w:vertAlign w:val="subscript"/>
              </w:rPr>
            </w:pPr>
            <m:oMathPara>
              <m:oMath>
                <m:sSub>
                  <m:sSubPr>
                    <m:ctrlPr>
                      <w:rPr>
                        <w:rFonts w:ascii="Cambria Math" w:hAnsi="Cambria Math" w:cs="Arial"/>
                        <w:sz w:val="18"/>
                        <w:szCs w:val="18"/>
                        <w:vertAlign w:val="subscript"/>
                      </w:rPr>
                    </m:ctrlPr>
                  </m:sSubPr>
                  <m:e>
                    <m:r>
                      <w:rPr>
                        <w:rFonts w:ascii="Cambria Math" w:hAnsi="Cambria Math" w:cs="Arial"/>
                        <w:sz w:val="18"/>
                        <w:szCs w:val="18"/>
                      </w:rPr>
                      <m:t>Ex</m:t>
                    </m:r>
                    <m:ctrlPr>
                      <w:rPr>
                        <w:rFonts w:ascii="Cambria Math" w:hAnsi="Cambria Math" w:cs="Arial"/>
                        <w:sz w:val="18"/>
                        <w:szCs w:val="18"/>
                      </w:rPr>
                    </m:ctrlPr>
                  </m:e>
                  <m:sub>
                    <m:r>
                      <w:rPr>
                        <w:rFonts w:ascii="Cambria Math" w:hAnsi="Cambria Math" w:cs="Arial"/>
                        <w:sz w:val="18"/>
                        <w:szCs w:val="18"/>
                      </w:rPr>
                      <m:t>destroyed</m:t>
                    </m:r>
                  </m:sub>
                </m:sSub>
                <m:r>
                  <m:rPr>
                    <m:sty m:val="p"/>
                  </m:rPr>
                  <w:rPr>
                    <w:rFonts w:ascii="Cambria Math" w:hAnsi="Cambria Math" w:cs="Arial"/>
                    <w:sz w:val="18"/>
                    <w:szCs w:val="18"/>
                    <w:vertAlign w:val="subscript"/>
                  </w:rPr>
                  <m:t>=</m:t>
                </m:r>
                <m:d>
                  <m:dPr>
                    <m:ctrlPr>
                      <w:rPr>
                        <w:rFonts w:ascii="Cambria Math" w:hAnsi="Cambria Math" w:cs="Arial"/>
                        <w:sz w:val="18"/>
                        <w:szCs w:val="18"/>
                        <w:vertAlign w:val="subscript"/>
                      </w:rPr>
                    </m:ctrlPr>
                  </m:dPr>
                  <m:e>
                    <m:f>
                      <m:fPr>
                        <m:ctrlPr>
                          <w:rPr>
                            <w:rFonts w:ascii="Cambria Math" w:hAnsi="Cambria Math" w:cs="Arial"/>
                            <w:sz w:val="18"/>
                            <w:szCs w:val="18"/>
                            <w:vertAlign w:val="subscript"/>
                          </w:rPr>
                        </m:ctrlPr>
                      </m:fPr>
                      <m:num>
                        <m:r>
                          <w:rPr>
                            <w:rFonts w:ascii="Cambria Math" w:hAnsi="Cambria Math" w:cs="Arial"/>
                            <w:sz w:val="18"/>
                            <w:szCs w:val="18"/>
                            <w:vertAlign w:val="subscript"/>
                          </w:rPr>
                          <m:t>Los</m:t>
                        </m:r>
                        <m:sSub>
                          <m:sSubPr>
                            <m:ctrlPr>
                              <w:rPr>
                                <w:rFonts w:ascii="Cambria Math" w:hAnsi="Cambria Math" w:cs="Arial"/>
                                <w:sz w:val="18"/>
                                <w:szCs w:val="18"/>
                                <w:vertAlign w:val="subscript"/>
                              </w:rPr>
                            </m:ctrlPr>
                          </m:sSubPr>
                          <m:e>
                            <m:r>
                              <w:rPr>
                                <w:rFonts w:ascii="Cambria Math" w:hAnsi="Cambria Math" w:cs="Arial"/>
                                <w:sz w:val="18"/>
                                <w:szCs w:val="18"/>
                                <w:vertAlign w:val="subscript"/>
                              </w:rPr>
                              <m:t>s</m:t>
                            </m:r>
                          </m:e>
                          <m:sub>
                            <m:r>
                              <w:rPr>
                                <w:rFonts w:ascii="Cambria Math" w:hAnsi="Cambria Math" w:cs="Arial"/>
                                <w:sz w:val="18"/>
                                <w:szCs w:val="18"/>
                                <w:vertAlign w:val="subscript"/>
                              </w:rPr>
                              <m:t>ex</m:t>
                            </m:r>
                          </m:sub>
                        </m:sSub>
                      </m:num>
                      <m:den>
                        <m:sSub>
                          <m:sSubPr>
                            <m:ctrlPr>
                              <w:rPr>
                                <w:rFonts w:ascii="Cambria Math" w:hAnsi="Cambria Math" w:cs="Arial"/>
                                <w:sz w:val="18"/>
                                <w:szCs w:val="18"/>
                                <w:vertAlign w:val="subscript"/>
                              </w:rPr>
                            </m:ctrlPr>
                          </m:sSubPr>
                          <m:e>
                            <m:r>
                              <w:rPr>
                                <w:rFonts w:ascii="Cambria Math" w:hAnsi="Cambria Math" w:cs="Arial"/>
                                <w:sz w:val="18"/>
                                <w:szCs w:val="18"/>
                                <w:vertAlign w:val="subscript"/>
                              </w:rPr>
                              <m:t>Loss</m:t>
                            </m:r>
                          </m:e>
                          <m:sub>
                            <m:r>
                              <w:rPr>
                                <w:rFonts w:ascii="Cambria Math" w:hAnsi="Cambria Math" w:cs="Arial"/>
                                <w:sz w:val="18"/>
                                <w:szCs w:val="18"/>
                                <w:vertAlign w:val="subscript"/>
                              </w:rPr>
                              <m:t>total</m:t>
                            </m:r>
                            <m:r>
                              <w:rPr>
                                <w:rFonts w:ascii="Cambria Math" w:hAnsi="Cambria Math" w:cs="Arial"/>
                                <w:sz w:val="18"/>
                                <w:szCs w:val="18"/>
                                <w:vertAlign w:val="subscript"/>
                              </w:rPr>
                              <m:t>-</m:t>
                            </m:r>
                            <m:r>
                              <w:rPr>
                                <w:rFonts w:ascii="Cambria Math" w:hAnsi="Cambria Math" w:cs="Arial"/>
                                <w:sz w:val="18"/>
                                <w:szCs w:val="18"/>
                                <w:vertAlign w:val="subscript"/>
                              </w:rPr>
                              <m:t>ex</m:t>
                            </m:r>
                          </m:sub>
                        </m:sSub>
                      </m:den>
                    </m:f>
                  </m:e>
                </m:d>
                <m:r>
                  <w:rPr>
                    <w:rFonts w:ascii="Cambria Math" w:hAnsi="Cambria Math" w:cs="Arial"/>
                    <w:sz w:val="18"/>
                    <w:szCs w:val="18"/>
                    <w:vertAlign w:val="subscript"/>
                  </w:rPr>
                  <m:t>*</m:t>
                </m:r>
                <m:r>
                  <w:rPr>
                    <w:rFonts w:ascii="Cambria Math" w:hAnsi="Cambria Math" w:cs="Arial"/>
                    <w:sz w:val="18"/>
                    <w:szCs w:val="18"/>
                    <w:vertAlign w:val="subscript"/>
                  </w:rPr>
                  <m:t>100%</m:t>
                </m:r>
              </m:oMath>
            </m:oMathPara>
          </w:p>
        </w:tc>
        <w:tc>
          <w:tcPr>
            <w:tcW w:w="954" w:type="dxa"/>
            <w:tcBorders>
              <w:bottom w:val="single" w:sz="12" w:space="0" w:color="008000"/>
            </w:tcBorders>
          </w:tcPr>
          <w:p w14:paraId="087C39B0" w14:textId="6AEB0D34" w:rsidR="00A303F1" w:rsidRPr="000C7670" w:rsidRDefault="00A303F1" w:rsidP="006B7047">
            <w:pPr>
              <w:pStyle w:val="TableParagraph"/>
              <w:rPr>
                <w:rFonts w:ascii="Arial" w:hAnsi="Arial" w:cs="Arial"/>
                <w:sz w:val="18"/>
                <w:szCs w:val="18"/>
              </w:rPr>
            </w:pPr>
            <w:r>
              <w:rPr>
                <w:rFonts w:ascii="Arial" w:hAnsi="Arial" w:cs="Arial"/>
                <w:sz w:val="18"/>
                <w:szCs w:val="18"/>
              </w:rPr>
              <w:t>12</w:t>
            </w:r>
          </w:p>
        </w:tc>
      </w:tr>
    </w:tbl>
    <w:p w14:paraId="3002422F" w14:textId="21B358C1" w:rsidR="008F520E" w:rsidRDefault="008A1B97" w:rsidP="005B635F">
      <w:pPr>
        <w:pStyle w:val="CETBodytext"/>
      </w:pPr>
      <w:r w:rsidRPr="008A1B97">
        <w:t xml:space="preserve">Following the identification of the streams, an exergy balance is performed to determine the exergy destroyed using Eq (1), which combines the first and second laws of thermodynamics, taking into account the net exergy from work, heat, and mass transfer across the system boundaries, Eq (2), (3), and (4), respectively. The contributions from kinetic and potential exergies are neglected in the mass transfer exergy, considering only physical and chemical exergy (Fontalvo-Morales et al., 2025). </w:t>
      </w:r>
      <w:r w:rsidR="00AC3E7A" w:rsidRPr="00AC3E7A">
        <w:t>The physical exergy was taken from the Aspen Plus software and represented by equation (5)</w:t>
      </w:r>
      <w:r w:rsidR="00AC3E7A">
        <w:t>.</w:t>
      </w:r>
      <w:r w:rsidRPr="008A1B97">
        <w:t xml:space="preserve"> The chemical exergy of the streams was calculated using Eq (6), which considers the chemical exergy of each component of the mixture, the mass fraction, the reference state temperature (25 °C), and the universal gas constant (R).</w:t>
      </w:r>
    </w:p>
    <w:p w14:paraId="4E2DD700" w14:textId="5381818D" w:rsidR="00AC3E7A" w:rsidRDefault="009D6DE0" w:rsidP="005B635F">
      <w:pPr>
        <w:pStyle w:val="CETBodytext"/>
      </w:pPr>
      <w:r w:rsidRPr="009D6DE0">
        <w:t xml:space="preserve">Alternatively, the chemical exergy can be determined from equation (7), which considers the standard Gibbs free energy, the number of atoms of the constituent elements, and their standard chemical exergies. </w:t>
      </w:r>
      <w:r w:rsidR="005A6AAF" w:rsidRPr="005A6AAF">
        <w:t>Standard chemical exergy values ​​for the elements were obtained from Szargut (2005), while some standard Gibbs free energies of formation were taken from Tai, Matsushige and Goda (1986).</w:t>
      </w:r>
      <w:r w:rsidR="005A6AAF">
        <w:t xml:space="preserve"> </w:t>
      </w:r>
      <w:r w:rsidR="00AC3E7A" w:rsidRPr="00275286">
        <w:t>Exergy losses were identified using Eq (</w:t>
      </w:r>
      <w:r w:rsidR="00AC3E7A">
        <w:t>8</w:t>
      </w:r>
      <w:r w:rsidR="00AC3E7A" w:rsidRPr="00275286">
        <w:t>), defined as the difference between the input exergy</w:t>
      </w:r>
      <w:r w:rsidR="00AC3E7A">
        <w:t xml:space="preserve"> and the </w:t>
      </w:r>
      <w:r w:rsidR="00AC3E7A" w:rsidRPr="00275286">
        <w:t xml:space="preserve">output exergies (Eq (9), which </w:t>
      </w:r>
      <w:r w:rsidR="00AC3E7A">
        <w:t>combines</w:t>
      </w:r>
      <w:r w:rsidR="00AC3E7A" w:rsidRPr="00275286">
        <w:t xml:space="preserve"> the exergy of products and waste).</w:t>
      </w:r>
      <w:r w:rsidR="00AC3E7A">
        <w:t xml:space="preserve"> </w:t>
      </w:r>
      <w:r w:rsidR="00AC3E7A" w:rsidRPr="00275286">
        <w:t>Irreversibilities were identified using Eq (</w:t>
      </w:r>
      <w:r w:rsidR="00AC3E7A">
        <w:t>10</w:t>
      </w:r>
      <w:r w:rsidR="00AC3E7A" w:rsidRPr="00275286">
        <w:t>), which includes input exergies (by mass and by</w:t>
      </w:r>
      <w:r w:rsidR="00AC3E7A">
        <w:t xml:space="preserve"> utilities</w:t>
      </w:r>
      <w:r w:rsidR="00AC3E7A" w:rsidRPr="00275286">
        <w:t>)</w:t>
      </w:r>
      <w:r w:rsidR="00AC3E7A">
        <w:t xml:space="preserve"> and the final products obtained per stage.</w:t>
      </w:r>
      <w:r w:rsidR="00AC3E7A" w:rsidRPr="00275286">
        <w:t xml:space="preserve"> </w:t>
      </w:r>
      <w:r w:rsidR="00AC3E7A">
        <w:t>T</w:t>
      </w:r>
      <w:r w:rsidR="00AC3E7A" w:rsidRPr="00275286">
        <w:t>he exergy efficiency was determined using Eq (11)</w:t>
      </w:r>
      <w:r w:rsidR="004C717D">
        <w:t xml:space="preserve">. </w:t>
      </w:r>
      <w:r w:rsidR="00AC3E7A">
        <w:t>Finally, the</w:t>
      </w:r>
      <w:r w:rsidR="00AC3E7A" w:rsidRPr="00746D52">
        <w:t xml:space="preserve"> exergy destroyed is calculated using the </w:t>
      </w:r>
      <w:r w:rsidR="00AC3E7A">
        <w:t>Eq (12).</w:t>
      </w:r>
    </w:p>
    <w:p w14:paraId="2A53D01F" w14:textId="2233BE7F" w:rsidR="00981FD2" w:rsidRPr="00981FD2" w:rsidRDefault="00981FD2" w:rsidP="00981FD2">
      <w:pPr>
        <w:rPr>
          <w:rFonts w:ascii="Arial" w:hAnsi="Arial" w:cs="Arial"/>
          <w:sz w:val="18"/>
          <w:szCs w:val="18"/>
          <w:lang w:val="en-US"/>
        </w:rPr>
      </w:pPr>
      <w:r w:rsidRPr="00975110">
        <w:rPr>
          <w:rFonts w:ascii="Arial" w:hAnsi="Arial" w:cs="Arial"/>
          <w:sz w:val="18"/>
          <w:szCs w:val="18"/>
          <w:lang w:val="en-US"/>
        </w:rPr>
        <w:t xml:space="preserve">The following assumptions were adopted to carry out the exergy analysis of the process. First, the reference </w:t>
      </w:r>
      <w:r>
        <w:rPr>
          <w:rFonts w:ascii="Arial" w:hAnsi="Arial" w:cs="Arial"/>
          <w:sz w:val="18"/>
          <w:szCs w:val="18"/>
          <w:lang w:val="en-US"/>
        </w:rPr>
        <w:t xml:space="preserve">state </w:t>
      </w:r>
      <w:r w:rsidRPr="00975110">
        <w:rPr>
          <w:rFonts w:ascii="Arial" w:hAnsi="Arial" w:cs="Arial"/>
          <w:sz w:val="18"/>
          <w:szCs w:val="18"/>
          <w:lang w:val="en-US"/>
        </w:rPr>
        <w:t xml:space="preserve">was defined at </w:t>
      </w:r>
      <w:r>
        <w:rPr>
          <w:rFonts w:ascii="Arial" w:hAnsi="Arial" w:cs="Arial"/>
          <w:sz w:val="18"/>
          <w:szCs w:val="18"/>
          <w:lang w:val="en-US"/>
        </w:rPr>
        <w:t xml:space="preserve">25 °C and </w:t>
      </w:r>
      <w:r w:rsidRPr="00975110">
        <w:rPr>
          <w:rFonts w:ascii="Arial" w:hAnsi="Arial" w:cs="Arial"/>
          <w:sz w:val="18"/>
          <w:szCs w:val="18"/>
          <w:lang w:val="en-US"/>
        </w:rPr>
        <w:t xml:space="preserve">1 </w:t>
      </w:r>
      <w:r>
        <w:rPr>
          <w:rFonts w:ascii="Arial" w:hAnsi="Arial" w:cs="Arial"/>
          <w:sz w:val="18"/>
          <w:szCs w:val="18"/>
          <w:lang w:val="en-US"/>
        </w:rPr>
        <w:t>atm</w:t>
      </w:r>
      <w:r w:rsidRPr="00975110">
        <w:rPr>
          <w:rFonts w:ascii="Arial" w:hAnsi="Arial" w:cs="Arial"/>
          <w:sz w:val="18"/>
          <w:szCs w:val="18"/>
          <w:lang w:val="en-US"/>
        </w:rPr>
        <w:t xml:space="preserve">, which </w:t>
      </w:r>
      <w:r>
        <w:rPr>
          <w:rFonts w:ascii="Arial" w:hAnsi="Arial" w:cs="Arial"/>
          <w:sz w:val="18"/>
          <w:szCs w:val="18"/>
          <w:lang w:val="en-US"/>
        </w:rPr>
        <w:t>corresponds</w:t>
      </w:r>
      <w:r w:rsidRPr="00975110">
        <w:rPr>
          <w:rFonts w:ascii="Arial" w:hAnsi="Arial" w:cs="Arial"/>
          <w:sz w:val="18"/>
          <w:szCs w:val="18"/>
          <w:lang w:val="en-US"/>
        </w:rPr>
        <w:t xml:space="preserve"> to standard ambient conditions commonly used in exergy studies. These reference conditions provide a consistent thermodynamic baseline for the calculation of physical exergy and allow meaningful comparison with results reported in the literature. Second, the process was assumed to operate under steady-state conditions, implying that all mass, energy, and exergy flows remain constant over time. This assumption neglects transient effects such as start-up and shutdown phases and enables a simplified yet robust evaluation of exergy efficiencies, irreversibilities, and losses within the system. </w:t>
      </w:r>
      <w:r w:rsidRPr="00975110">
        <w:rPr>
          <w:rFonts w:ascii="Arial" w:hAnsi="Arial" w:cs="Arial"/>
          <w:sz w:val="18"/>
          <w:szCs w:val="18"/>
          <w:lang w:val="en-US"/>
        </w:rPr>
        <w:lastRenderedPageBreak/>
        <w:t>Together, these assumptions ensure thermodynamic consistency while maintaining the analytical tractability of the exergy assessment.</w:t>
      </w:r>
    </w:p>
    <w:p w14:paraId="6D91F77E" w14:textId="2CEB8486" w:rsidR="00AC3E7A" w:rsidRPr="009260C7" w:rsidRDefault="00AC3E7A" w:rsidP="00AC3E7A">
      <w:pPr>
        <w:pStyle w:val="CET-table-title"/>
      </w:pPr>
      <w:r w:rsidRPr="009260C7">
        <w:t xml:space="preserve">Table </w:t>
      </w:r>
      <w:r>
        <w:t>3</w:t>
      </w:r>
      <w:r w:rsidR="00AF54A6">
        <w:t xml:space="preserve">. Chemical exergy </w:t>
      </w:r>
      <w:r w:rsidR="00227BD3">
        <w:t>of pure substance</w:t>
      </w:r>
      <w:r w:rsidR="000646C1">
        <w:t>s in the avocado hard waste biorefinery.</w:t>
      </w:r>
    </w:p>
    <w:tbl>
      <w:tblPr>
        <w:tblW w:w="0" w:type="auto"/>
        <w:tblLayout w:type="fixed"/>
        <w:tblCellMar>
          <w:left w:w="0" w:type="dxa"/>
          <w:right w:w="0" w:type="dxa"/>
        </w:tblCellMar>
        <w:tblLook w:val="01E0" w:firstRow="1" w:lastRow="1" w:firstColumn="1" w:lastColumn="1" w:noHBand="0" w:noVBand="0"/>
      </w:tblPr>
      <w:tblGrid>
        <w:gridCol w:w="2340"/>
        <w:gridCol w:w="2430"/>
        <w:gridCol w:w="2329"/>
        <w:gridCol w:w="1595"/>
      </w:tblGrid>
      <w:tr w:rsidR="00AC4CC6" w14:paraId="39E1B111" w14:textId="77777777" w:rsidTr="003E7E26">
        <w:trPr>
          <w:trHeight w:val="455"/>
        </w:trPr>
        <w:tc>
          <w:tcPr>
            <w:tcW w:w="2340" w:type="dxa"/>
            <w:tcBorders>
              <w:top w:val="single" w:sz="12" w:space="0" w:color="008000"/>
              <w:bottom w:val="single" w:sz="6" w:space="0" w:color="008000"/>
            </w:tcBorders>
          </w:tcPr>
          <w:p w14:paraId="4325EED0" w14:textId="2BD0658D" w:rsidR="00AC4CC6" w:rsidRPr="00D57F5E" w:rsidRDefault="008C0D32" w:rsidP="003E7E26">
            <w:pPr>
              <w:pStyle w:val="TableParagraph"/>
              <w:spacing w:before="0" w:line="206" w:lineRule="exact"/>
              <w:ind w:left="14"/>
              <w:rPr>
                <w:rFonts w:ascii="Arial" w:hAnsi="Arial" w:cs="Arial"/>
                <w:sz w:val="18"/>
                <w:szCs w:val="18"/>
              </w:rPr>
            </w:pPr>
            <w:r>
              <w:rPr>
                <w:rFonts w:ascii="Arial" w:hAnsi="Arial" w:cs="Arial"/>
                <w:spacing w:val="-4"/>
                <w:sz w:val="18"/>
                <w:szCs w:val="18"/>
              </w:rPr>
              <w:t>Component</w:t>
            </w:r>
          </w:p>
        </w:tc>
        <w:tc>
          <w:tcPr>
            <w:tcW w:w="2430" w:type="dxa"/>
            <w:tcBorders>
              <w:top w:val="single" w:sz="12" w:space="0" w:color="008000"/>
              <w:bottom w:val="single" w:sz="6" w:space="0" w:color="008000"/>
            </w:tcBorders>
          </w:tcPr>
          <w:p w14:paraId="21477183" w14:textId="33D4DC45" w:rsidR="00AC4CC6" w:rsidRPr="00D57F5E" w:rsidRDefault="000A0782" w:rsidP="003E7E26">
            <w:pPr>
              <w:pStyle w:val="TableParagraph"/>
              <w:tabs>
                <w:tab w:val="left" w:pos="955"/>
                <w:tab w:val="left" w:pos="1341"/>
              </w:tabs>
              <w:spacing w:before="0" w:line="206" w:lineRule="exact"/>
              <w:ind w:left="159"/>
              <w:rPr>
                <w:rFonts w:ascii="Arial" w:hAnsi="Arial" w:cs="Arial"/>
                <w:sz w:val="18"/>
                <w:szCs w:val="18"/>
              </w:rPr>
            </w:pPr>
            <w:r>
              <w:rPr>
                <w:rFonts w:ascii="Arial" w:hAnsi="Arial" w:cs="Arial"/>
                <w:spacing w:val="-2"/>
                <w:sz w:val="18"/>
                <w:szCs w:val="18"/>
              </w:rPr>
              <w:t>Chemical exergy</w:t>
            </w:r>
          </w:p>
          <w:p w14:paraId="4CDA8129" w14:textId="26BD56C6" w:rsidR="00AC4CC6" w:rsidRPr="00D57F5E" w:rsidRDefault="00AC4CC6" w:rsidP="003E7E26">
            <w:pPr>
              <w:pStyle w:val="TableParagraph"/>
              <w:spacing w:before="21"/>
              <w:ind w:left="159"/>
              <w:rPr>
                <w:rFonts w:ascii="Arial" w:hAnsi="Arial" w:cs="Arial"/>
                <w:sz w:val="18"/>
                <w:szCs w:val="18"/>
              </w:rPr>
            </w:pPr>
            <w:r w:rsidRPr="00D57F5E">
              <w:rPr>
                <w:rFonts w:ascii="Arial" w:hAnsi="Arial" w:cs="Arial"/>
                <w:spacing w:val="-2"/>
                <w:sz w:val="18"/>
                <w:szCs w:val="18"/>
              </w:rPr>
              <w:t>(</w:t>
            </w:r>
            <w:r w:rsidR="00577645">
              <w:rPr>
                <w:rFonts w:ascii="Arial" w:hAnsi="Arial" w:cs="Arial"/>
                <w:spacing w:val="-2"/>
                <w:sz w:val="18"/>
                <w:szCs w:val="18"/>
              </w:rPr>
              <w:t>k</w:t>
            </w:r>
            <w:r w:rsidRPr="00D57F5E">
              <w:rPr>
                <w:rFonts w:ascii="Arial" w:hAnsi="Arial" w:cs="Arial"/>
                <w:spacing w:val="-2"/>
                <w:sz w:val="18"/>
                <w:szCs w:val="18"/>
              </w:rPr>
              <w:t>J/</w:t>
            </w:r>
            <w:r w:rsidR="00FF17A2">
              <w:rPr>
                <w:rFonts w:ascii="Arial" w:hAnsi="Arial" w:cs="Arial"/>
                <w:spacing w:val="-2"/>
                <w:sz w:val="18"/>
                <w:szCs w:val="18"/>
              </w:rPr>
              <w:t>kg</w:t>
            </w:r>
            <w:r w:rsidRPr="00D57F5E">
              <w:rPr>
                <w:rFonts w:ascii="Arial" w:hAnsi="Arial" w:cs="Arial"/>
                <w:spacing w:val="-2"/>
                <w:sz w:val="18"/>
                <w:szCs w:val="18"/>
              </w:rPr>
              <w:t>)</w:t>
            </w:r>
          </w:p>
        </w:tc>
        <w:tc>
          <w:tcPr>
            <w:tcW w:w="2329" w:type="dxa"/>
            <w:tcBorders>
              <w:top w:val="single" w:sz="12" w:space="0" w:color="008000"/>
              <w:bottom w:val="single" w:sz="6" w:space="0" w:color="008000"/>
            </w:tcBorders>
          </w:tcPr>
          <w:p w14:paraId="336ADF48" w14:textId="77777777" w:rsidR="009958F9" w:rsidRPr="009958F9" w:rsidRDefault="009958F9" w:rsidP="009958F9">
            <w:pPr>
              <w:pStyle w:val="TableParagraph"/>
              <w:spacing w:before="21"/>
              <w:ind w:left="-2"/>
              <w:rPr>
                <w:rFonts w:ascii="Arial" w:hAnsi="Arial" w:cs="Arial"/>
                <w:sz w:val="18"/>
                <w:szCs w:val="18"/>
              </w:rPr>
            </w:pPr>
            <w:r w:rsidRPr="009958F9">
              <w:rPr>
                <w:rFonts w:ascii="Arial" w:hAnsi="Arial" w:cs="Arial"/>
                <w:sz w:val="18"/>
                <w:szCs w:val="18"/>
              </w:rPr>
              <w:t>R Specific</w:t>
            </w:r>
          </w:p>
          <w:p w14:paraId="2B86C1D9" w14:textId="26049637" w:rsidR="00AC4CC6" w:rsidRPr="00D57F5E" w:rsidRDefault="009958F9" w:rsidP="009958F9">
            <w:pPr>
              <w:pStyle w:val="TableParagraph"/>
              <w:spacing w:before="21"/>
              <w:ind w:left="-2"/>
              <w:rPr>
                <w:rFonts w:ascii="Arial" w:hAnsi="Arial" w:cs="Arial"/>
                <w:sz w:val="18"/>
                <w:szCs w:val="18"/>
              </w:rPr>
            </w:pPr>
            <w:r w:rsidRPr="009958F9">
              <w:rPr>
                <w:rFonts w:ascii="Arial" w:hAnsi="Arial" w:cs="Arial"/>
                <w:sz w:val="18"/>
                <w:szCs w:val="18"/>
              </w:rPr>
              <w:t>(Ideal Gas Constant in Mass Units)</w:t>
            </w:r>
          </w:p>
        </w:tc>
        <w:tc>
          <w:tcPr>
            <w:tcW w:w="1595" w:type="dxa"/>
            <w:tcBorders>
              <w:top w:val="single" w:sz="12" w:space="0" w:color="008000"/>
              <w:bottom w:val="single" w:sz="6" w:space="0" w:color="008000"/>
            </w:tcBorders>
          </w:tcPr>
          <w:p w14:paraId="5D7057B5" w14:textId="5E9C3203" w:rsidR="00AC4CC6" w:rsidRPr="00D57F5E" w:rsidRDefault="00ED0F77" w:rsidP="00ED0F77">
            <w:pPr>
              <w:pStyle w:val="TableParagraph"/>
              <w:spacing w:before="0" w:line="206" w:lineRule="exact"/>
              <w:rPr>
                <w:rFonts w:ascii="Arial" w:hAnsi="Arial" w:cs="Arial"/>
                <w:sz w:val="18"/>
                <w:szCs w:val="18"/>
              </w:rPr>
            </w:pPr>
            <w:r>
              <w:rPr>
                <w:rFonts w:ascii="Arial" w:hAnsi="Arial" w:cs="Arial"/>
                <w:spacing w:val="-2"/>
                <w:sz w:val="18"/>
                <w:szCs w:val="18"/>
              </w:rPr>
              <w:t>Source</w:t>
            </w:r>
          </w:p>
        </w:tc>
      </w:tr>
      <w:tr w:rsidR="00AC4CC6" w14:paraId="2B6D762C" w14:textId="77777777" w:rsidTr="003E7E26">
        <w:trPr>
          <w:trHeight w:val="237"/>
        </w:trPr>
        <w:tc>
          <w:tcPr>
            <w:tcW w:w="2340" w:type="dxa"/>
            <w:tcBorders>
              <w:top w:val="single" w:sz="6" w:space="0" w:color="008000"/>
            </w:tcBorders>
          </w:tcPr>
          <w:p w14:paraId="2252ABC0" w14:textId="0DD8F4BF" w:rsidR="00AC4CC6" w:rsidRPr="00D57F5E" w:rsidRDefault="008C0D32" w:rsidP="001E2E37">
            <w:pPr>
              <w:pStyle w:val="TableParagraph"/>
              <w:spacing w:before="11" w:line="206" w:lineRule="exact"/>
              <w:ind w:left="0"/>
              <w:rPr>
                <w:rFonts w:ascii="Arial" w:hAnsi="Arial" w:cs="Arial"/>
                <w:sz w:val="18"/>
                <w:szCs w:val="18"/>
              </w:rPr>
            </w:pPr>
            <w:r>
              <w:rPr>
                <w:rFonts w:ascii="Arial" w:hAnsi="Arial" w:cs="Arial"/>
                <w:sz w:val="18"/>
                <w:szCs w:val="18"/>
              </w:rPr>
              <w:t>n(Glucose)</w:t>
            </w:r>
          </w:p>
        </w:tc>
        <w:tc>
          <w:tcPr>
            <w:tcW w:w="2430" w:type="dxa"/>
            <w:tcBorders>
              <w:top w:val="single" w:sz="6" w:space="0" w:color="008000"/>
            </w:tcBorders>
          </w:tcPr>
          <w:p w14:paraId="58939EAB" w14:textId="2D12B229" w:rsidR="00AC4CC6" w:rsidRPr="00D57F5E" w:rsidRDefault="00206E56" w:rsidP="003E7E26">
            <w:pPr>
              <w:pStyle w:val="TableParagraph"/>
              <w:spacing w:before="0" w:line="206" w:lineRule="exact"/>
              <w:ind w:left="159"/>
              <w:rPr>
                <w:rFonts w:ascii="Arial" w:hAnsi="Arial" w:cs="Arial"/>
                <w:sz w:val="18"/>
                <w:szCs w:val="18"/>
              </w:rPr>
            </w:pPr>
            <w:r w:rsidRPr="00206E56">
              <w:rPr>
                <w:rFonts w:ascii="Arial" w:hAnsi="Arial" w:cs="Arial"/>
                <w:sz w:val="18"/>
                <w:szCs w:val="18"/>
              </w:rPr>
              <w:t>16539.1</w:t>
            </w:r>
            <w:r w:rsidR="00577645">
              <w:rPr>
                <w:rFonts w:ascii="Arial" w:hAnsi="Arial" w:cs="Arial"/>
                <w:sz w:val="18"/>
                <w:szCs w:val="18"/>
              </w:rPr>
              <w:t>7</w:t>
            </w:r>
            <w:r w:rsidRPr="00206E56">
              <w:rPr>
                <w:rFonts w:ascii="Arial" w:hAnsi="Arial" w:cs="Arial"/>
                <w:sz w:val="18"/>
                <w:szCs w:val="18"/>
              </w:rPr>
              <w:tab/>
            </w:r>
          </w:p>
        </w:tc>
        <w:tc>
          <w:tcPr>
            <w:tcW w:w="2329" w:type="dxa"/>
            <w:tcBorders>
              <w:top w:val="single" w:sz="6" w:space="0" w:color="008000"/>
            </w:tcBorders>
          </w:tcPr>
          <w:p w14:paraId="323AEF9F" w14:textId="572D36F0" w:rsidR="00AC4CC6" w:rsidRPr="00D57F5E" w:rsidRDefault="00AC4CC6" w:rsidP="003E7E26">
            <w:pPr>
              <w:pStyle w:val="TableParagraph"/>
              <w:spacing w:before="0" w:line="206" w:lineRule="exact"/>
              <w:ind w:left="-2"/>
              <w:rPr>
                <w:rFonts w:ascii="Arial" w:hAnsi="Arial" w:cs="Arial"/>
                <w:spacing w:val="-4"/>
                <w:sz w:val="18"/>
                <w:szCs w:val="18"/>
              </w:rPr>
            </w:pPr>
            <w:r w:rsidRPr="00D57F5E">
              <w:rPr>
                <w:rFonts w:ascii="Arial" w:hAnsi="Arial" w:cs="Arial"/>
                <w:spacing w:val="-4"/>
                <w:sz w:val="18"/>
                <w:szCs w:val="18"/>
              </w:rPr>
              <w:t>0.0</w:t>
            </w:r>
            <w:r w:rsidR="00C277FF">
              <w:rPr>
                <w:rFonts w:ascii="Arial" w:hAnsi="Arial" w:cs="Arial"/>
                <w:spacing w:val="-4"/>
                <w:sz w:val="18"/>
                <w:szCs w:val="18"/>
              </w:rPr>
              <w:t>5</w:t>
            </w:r>
          </w:p>
        </w:tc>
        <w:tc>
          <w:tcPr>
            <w:tcW w:w="1595" w:type="dxa"/>
            <w:tcBorders>
              <w:top w:val="single" w:sz="6" w:space="0" w:color="008000"/>
            </w:tcBorders>
          </w:tcPr>
          <w:p w14:paraId="6E7E5193" w14:textId="77777777" w:rsidR="00AC4CC6" w:rsidRDefault="00631F5B" w:rsidP="003E7E26">
            <w:pPr>
              <w:pStyle w:val="TableParagraph"/>
              <w:spacing w:before="0" w:line="206" w:lineRule="exact"/>
              <w:rPr>
                <w:rFonts w:ascii="Arial" w:hAnsi="Arial" w:cs="Arial"/>
                <w:spacing w:val="-2"/>
                <w:sz w:val="18"/>
                <w:szCs w:val="18"/>
              </w:rPr>
            </w:pPr>
            <w:r>
              <w:rPr>
                <w:rFonts w:ascii="Arial" w:hAnsi="Arial" w:cs="Arial"/>
                <w:spacing w:val="-2"/>
                <w:sz w:val="18"/>
                <w:szCs w:val="18"/>
              </w:rPr>
              <w:t>Deng et al. (2024)</w:t>
            </w:r>
          </w:p>
          <w:p w14:paraId="1A077703" w14:textId="455B92E6" w:rsidR="001E2E37" w:rsidRPr="00D57F5E" w:rsidRDefault="001E2E37" w:rsidP="003E7E26">
            <w:pPr>
              <w:pStyle w:val="TableParagraph"/>
              <w:spacing w:before="0" w:line="206" w:lineRule="exact"/>
              <w:rPr>
                <w:rFonts w:ascii="Arial" w:hAnsi="Arial" w:cs="Arial"/>
                <w:sz w:val="18"/>
                <w:szCs w:val="18"/>
              </w:rPr>
            </w:pPr>
          </w:p>
        </w:tc>
      </w:tr>
      <w:tr w:rsidR="00AC4CC6" w14:paraId="4CADA383" w14:textId="77777777" w:rsidTr="003E7E26">
        <w:trPr>
          <w:trHeight w:val="249"/>
        </w:trPr>
        <w:tc>
          <w:tcPr>
            <w:tcW w:w="2340" w:type="dxa"/>
          </w:tcPr>
          <w:p w14:paraId="215B45C9" w14:textId="3A12C6DA" w:rsidR="00AC4CC6" w:rsidRPr="00D57F5E" w:rsidRDefault="00C97E2E" w:rsidP="003E7E26">
            <w:pPr>
              <w:pStyle w:val="TableParagraph"/>
              <w:spacing w:before="23" w:line="207" w:lineRule="exact"/>
              <w:ind w:left="14"/>
              <w:rPr>
                <w:rFonts w:ascii="Arial" w:hAnsi="Arial" w:cs="Arial"/>
                <w:sz w:val="18"/>
                <w:szCs w:val="18"/>
              </w:rPr>
            </w:pPr>
            <w:r>
              <w:rPr>
                <w:rFonts w:ascii="Arial" w:hAnsi="Arial" w:cs="Arial"/>
                <w:sz w:val="18"/>
                <w:szCs w:val="18"/>
              </w:rPr>
              <w:t>Lactid acid</w:t>
            </w:r>
          </w:p>
        </w:tc>
        <w:tc>
          <w:tcPr>
            <w:tcW w:w="2430" w:type="dxa"/>
          </w:tcPr>
          <w:p w14:paraId="4590F4A7" w14:textId="07129B5E" w:rsidR="00AC4CC6" w:rsidRPr="00D57F5E" w:rsidRDefault="004E2306" w:rsidP="003E7E26">
            <w:pPr>
              <w:pStyle w:val="TableParagraph"/>
              <w:spacing w:before="13"/>
              <w:ind w:left="159"/>
              <w:rPr>
                <w:rFonts w:ascii="Arial" w:hAnsi="Arial" w:cs="Arial"/>
                <w:sz w:val="18"/>
                <w:szCs w:val="18"/>
              </w:rPr>
            </w:pPr>
            <w:r w:rsidRPr="004E2306">
              <w:rPr>
                <w:rFonts w:ascii="Arial" w:hAnsi="Arial" w:cs="Arial"/>
                <w:sz w:val="18"/>
                <w:szCs w:val="18"/>
              </w:rPr>
              <w:t>15780.</w:t>
            </w:r>
            <w:r w:rsidR="00A73778">
              <w:rPr>
                <w:rFonts w:ascii="Arial" w:hAnsi="Arial" w:cs="Arial"/>
                <w:sz w:val="18"/>
                <w:szCs w:val="18"/>
              </w:rPr>
              <w:t>67</w:t>
            </w:r>
            <w:r w:rsidRPr="004E2306">
              <w:rPr>
                <w:rFonts w:ascii="Arial" w:hAnsi="Arial" w:cs="Arial"/>
                <w:sz w:val="18"/>
                <w:szCs w:val="18"/>
              </w:rPr>
              <w:tab/>
            </w:r>
          </w:p>
        </w:tc>
        <w:tc>
          <w:tcPr>
            <w:tcW w:w="2329" w:type="dxa"/>
          </w:tcPr>
          <w:p w14:paraId="65069331" w14:textId="1BE055D9" w:rsidR="00AC4CC6" w:rsidRPr="00D57F5E" w:rsidRDefault="00AC4CC6" w:rsidP="003E7E26">
            <w:pPr>
              <w:pStyle w:val="TableParagraph"/>
              <w:spacing w:before="13"/>
              <w:ind w:left="-2"/>
              <w:rPr>
                <w:rFonts w:ascii="Arial" w:hAnsi="Arial" w:cs="Arial"/>
                <w:sz w:val="18"/>
                <w:szCs w:val="18"/>
              </w:rPr>
            </w:pPr>
            <w:r w:rsidRPr="00D57F5E">
              <w:rPr>
                <w:rFonts w:ascii="Arial" w:hAnsi="Arial" w:cs="Arial"/>
                <w:spacing w:val="-4"/>
                <w:sz w:val="18"/>
                <w:szCs w:val="18"/>
              </w:rPr>
              <w:t>0.0</w:t>
            </w:r>
            <w:r w:rsidR="00870686">
              <w:rPr>
                <w:rFonts w:ascii="Arial" w:hAnsi="Arial" w:cs="Arial"/>
                <w:spacing w:val="-4"/>
                <w:sz w:val="18"/>
                <w:szCs w:val="18"/>
              </w:rPr>
              <w:t>9</w:t>
            </w:r>
          </w:p>
        </w:tc>
        <w:tc>
          <w:tcPr>
            <w:tcW w:w="1595" w:type="dxa"/>
          </w:tcPr>
          <w:p w14:paraId="4849A78D" w14:textId="05755474" w:rsidR="00AC4CC6" w:rsidRPr="00D57F5E" w:rsidRDefault="00C97E2E" w:rsidP="003E7E26">
            <w:pPr>
              <w:pStyle w:val="TableParagraph"/>
              <w:spacing w:before="13"/>
              <w:rPr>
                <w:rFonts w:ascii="Arial" w:hAnsi="Arial" w:cs="Arial"/>
                <w:sz w:val="18"/>
                <w:szCs w:val="18"/>
              </w:rPr>
            </w:pPr>
            <w:r>
              <w:rPr>
                <w:rFonts w:ascii="Arial" w:hAnsi="Arial" w:cs="Arial"/>
                <w:spacing w:val="-2"/>
                <w:sz w:val="18"/>
                <w:szCs w:val="18"/>
              </w:rPr>
              <w:t>Tai and Goda (1986)</w:t>
            </w:r>
          </w:p>
        </w:tc>
      </w:tr>
      <w:tr w:rsidR="00AC4CC6" w14:paraId="315D8F00" w14:textId="77777777" w:rsidTr="003E7E26">
        <w:trPr>
          <w:trHeight w:val="249"/>
        </w:trPr>
        <w:tc>
          <w:tcPr>
            <w:tcW w:w="2340" w:type="dxa"/>
          </w:tcPr>
          <w:p w14:paraId="3C66C9E2" w14:textId="4CC1A5AA" w:rsidR="00AC4CC6" w:rsidRPr="00D57F5E" w:rsidRDefault="007B0A19" w:rsidP="003E7E26">
            <w:pPr>
              <w:pStyle w:val="TableParagraph"/>
              <w:spacing w:before="23" w:line="206" w:lineRule="exact"/>
              <w:ind w:left="0"/>
              <w:rPr>
                <w:rFonts w:ascii="Arial" w:hAnsi="Arial" w:cs="Arial"/>
                <w:sz w:val="18"/>
                <w:szCs w:val="18"/>
              </w:rPr>
            </w:pPr>
            <w:r>
              <w:rPr>
                <w:rFonts w:ascii="Arial" w:hAnsi="Arial" w:cs="Arial"/>
                <w:sz w:val="18"/>
                <w:szCs w:val="18"/>
              </w:rPr>
              <w:t>M</w:t>
            </w:r>
            <w:r w:rsidR="008F25B7">
              <w:rPr>
                <w:rFonts w:ascii="Arial" w:hAnsi="Arial" w:cs="Arial"/>
                <w:sz w:val="18"/>
                <w:szCs w:val="18"/>
              </w:rPr>
              <w:t>-Lactide</w:t>
            </w:r>
          </w:p>
        </w:tc>
        <w:tc>
          <w:tcPr>
            <w:tcW w:w="2430" w:type="dxa"/>
          </w:tcPr>
          <w:p w14:paraId="4E5BAF27" w14:textId="6D0FD45E" w:rsidR="00AC4CC6" w:rsidRPr="00D57F5E" w:rsidRDefault="007A0566" w:rsidP="003E7E26">
            <w:pPr>
              <w:pStyle w:val="TableParagraph"/>
              <w:spacing w:before="14"/>
              <w:ind w:left="159"/>
              <w:rPr>
                <w:rFonts w:ascii="Arial" w:hAnsi="Arial" w:cs="Arial"/>
                <w:sz w:val="18"/>
                <w:szCs w:val="18"/>
              </w:rPr>
            </w:pPr>
            <w:r w:rsidRPr="007A0566">
              <w:rPr>
                <w:rFonts w:ascii="Arial" w:hAnsi="Arial" w:cs="Arial"/>
                <w:sz w:val="18"/>
                <w:szCs w:val="18"/>
              </w:rPr>
              <w:t>20903.35</w:t>
            </w:r>
            <w:r w:rsidRPr="007A0566">
              <w:rPr>
                <w:rFonts w:ascii="Arial" w:hAnsi="Arial" w:cs="Arial"/>
                <w:sz w:val="18"/>
                <w:szCs w:val="18"/>
              </w:rPr>
              <w:tab/>
            </w:r>
          </w:p>
        </w:tc>
        <w:tc>
          <w:tcPr>
            <w:tcW w:w="2329" w:type="dxa"/>
          </w:tcPr>
          <w:p w14:paraId="2E5B5305" w14:textId="7C3AEA66" w:rsidR="00AC4CC6" w:rsidRPr="00D57F5E" w:rsidRDefault="00AC4CC6" w:rsidP="003E7E26">
            <w:pPr>
              <w:pStyle w:val="TableParagraph"/>
              <w:spacing w:before="14"/>
              <w:ind w:left="-2"/>
              <w:rPr>
                <w:rFonts w:ascii="Arial" w:hAnsi="Arial" w:cs="Arial"/>
                <w:sz w:val="18"/>
                <w:szCs w:val="18"/>
              </w:rPr>
            </w:pPr>
            <w:r w:rsidRPr="00D57F5E">
              <w:rPr>
                <w:rFonts w:ascii="Arial" w:hAnsi="Arial" w:cs="Arial"/>
                <w:spacing w:val="-4"/>
                <w:sz w:val="18"/>
                <w:szCs w:val="18"/>
              </w:rPr>
              <w:t>0.0</w:t>
            </w:r>
            <w:r w:rsidR="007B0A19">
              <w:rPr>
                <w:rFonts w:ascii="Arial" w:hAnsi="Arial" w:cs="Arial"/>
                <w:spacing w:val="-4"/>
                <w:sz w:val="18"/>
                <w:szCs w:val="18"/>
              </w:rPr>
              <w:t>6</w:t>
            </w:r>
          </w:p>
        </w:tc>
        <w:tc>
          <w:tcPr>
            <w:tcW w:w="1595" w:type="dxa"/>
          </w:tcPr>
          <w:p w14:paraId="008CB738" w14:textId="262B826A" w:rsidR="00AC4CC6" w:rsidRPr="00D57F5E" w:rsidRDefault="007B0A19" w:rsidP="003E7E26">
            <w:pPr>
              <w:pStyle w:val="TableParagraph"/>
              <w:spacing w:before="14"/>
              <w:rPr>
                <w:rFonts w:ascii="Arial" w:hAnsi="Arial" w:cs="Arial"/>
                <w:sz w:val="18"/>
                <w:szCs w:val="18"/>
              </w:rPr>
            </w:pPr>
            <w:r>
              <w:rPr>
                <w:rFonts w:ascii="Arial" w:hAnsi="Arial" w:cs="Arial"/>
                <w:spacing w:val="-2"/>
                <w:sz w:val="18"/>
                <w:szCs w:val="18"/>
              </w:rPr>
              <w:t xml:space="preserve">Calculated from </w:t>
            </w:r>
            <w:r w:rsidRPr="007B0A19">
              <w:rPr>
                <w:rFonts w:ascii="Arial" w:hAnsi="Arial" w:cs="Arial"/>
                <w:spacing w:val="-2"/>
                <w:sz w:val="18"/>
                <w:szCs w:val="18"/>
              </w:rPr>
              <w:t xml:space="preserve">Szargut </w:t>
            </w:r>
            <w:r>
              <w:rPr>
                <w:rFonts w:ascii="Arial" w:hAnsi="Arial" w:cs="Arial"/>
                <w:spacing w:val="-2"/>
                <w:sz w:val="18"/>
                <w:szCs w:val="18"/>
              </w:rPr>
              <w:t>(</w:t>
            </w:r>
            <w:r w:rsidRPr="007B0A19">
              <w:rPr>
                <w:rFonts w:ascii="Arial" w:hAnsi="Arial" w:cs="Arial"/>
                <w:spacing w:val="-2"/>
                <w:sz w:val="18"/>
                <w:szCs w:val="18"/>
              </w:rPr>
              <w:t>2005</w:t>
            </w:r>
            <w:r>
              <w:rPr>
                <w:rFonts w:ascii="Arial" w:hAnsi="Arial" w:cs="Arial"/>
                <w:spacing w:val="-2"/>
                <w:sz w:val="18"/>
                <w:szCs w:val="18"/>
              </w:rPr>
              <w:t>)</w:t>
            </w:r>
          </w:p>
        </w:tc>
      </w:tr>
      <w:tr w:rsidR="007B0A19" w14:paraId="2BD997A3" w14:textId="77777777" w:rsidTr="003E7E26">
        <w:trPr>
          <w:trHeight w:val="269"/>
        </w:trPr>
        <w:tc>
          <w:tcPr>
            <w:tcW w:w="2340" w:type="dxa"/>
            <w:tcBorders>
              <w:bottom w:val="single" w:sz="12" w:space="0" w:color="008000"/>
            </w:tcBorders>
          </w:tcPr>
          <w:p w14:paraId="4B53CA88" w14:textId="6F2F5EA4" w:rsidR="007B0A19" w:rsidRPr="00D57F5E" w:rsidRDefault="007B0A19" w:rsidP="007B0A19">
            <w:pPr>
              <w:pStyle w:val="TableParagraph"/>
              <w:spacing w:before="19"/>
              <w:ind w:left="14"/>
              <w:rPr>
                <w:rFonts w:ascii="Arial" w:hAnsi="Arial" w:cs="Arial"/>
                <w:sz w:val="18"/>
                <w:szCs w:val="18"/>
              </w:rPr>
            </w:pPr>
            <w:r>
              <w:rPr>
                <w:rFonts w:ascii="Arial" w:hAnsi="Arial" w:cs="Arial"/>
                <w:sz w:val="18"/>
                <w:szCs w:val="18"/>
              </w:rPr>
              <w:t>Water</w:t>
            </w:r>
          </w:p>
        </w:tc>
        <w:tc>
          <w:tcPr>
            <w:tcW w:w="2430" w:type="dxa"/>
            <w:tcBorders>
              <w:bottom w:val="single" w:sz="12" w:space="0" w:color="008000"/>
            </w:tcBorders>
          </w:tcPr>
          <w:p w14:paraId="688D9800" w14:textId="535752CE" w:rsidR="007B0A19" w:rsidRPr="00D57F5E" w:rsidRDefault="005D2D41" w:rsidP="007B0A19">
            <w:pPr>
              <w:pStyle w:val="TableParagraph"/>
              <w:spacing w:before="19"/>
              <w:ind w:left="159"/>
              <w:rPr>
                <w:rFonts w:ascii="Arial" w:hAnsi="Arial" w:cs="Arial"/>
                <w:spacing w:val="-2"/>
                <w:sz w:val="18"/>
                <w:szCs w:val="18"/>
              </w:rPr>
            </w:pPr>
            <w:r>
              <w:rPr>
                <w:rFonts w:ascii="Arial" w:hAnsi="Arial" w:cs="Arial"/>
                <w:spacing w:val="-2"/>
                <w:sz w:val="18"/>
                <w:szCs w:val="18"/>
              </w:rPr>
              <w:t>42.74</w:t>
            </w:r>
          </w:p>
        </w:tc>
        <w:tc>
          <w:tcPr>
            <w:tcW w:w="2329" w:type="dxa"/>
            <w:tcBorders>
              <w:bottom w:val="single" w:sz="12" w:space="0" w:color="008000"/>
            </w:tcBorders>
          </w:tcPr>
          <w:p w14:paraId="1B0D149D" w14:textId="1EBA1F13" w:rsidR="007B0A19" w:rsidRPr="00D57F5E" w:rsidRDefault="007B0A19" w:rsidP="007B0A19">
            <w:pPr>
              <w:pStyle w:val="TableParagraph"/>
              <w:spacing w:before="19"/>
              <w:ind w:left="-2"/>
              <w:rPr>
                <w:rFonts w:ascii="Arial" w:hAnsi="Arial" w:cs="Arial"/>
                <w:spacing w:val="-2"/>
                <w:sz w:val="18"/>
                <w:szCs w:val="18"/>
              </w:rPr>
            </w:pPr>
            <w:r w:rsidRPr="00D57F5E">
              <w:rPr>
                <w:rFonts w:ascii="Arial" w:hAnsi="Arial" w:cs="Arial"/>
                <w:spacing w:val="-4"/>
                <w:sz w:val="18"/>
                <w:szCs w:val="18"/>
              </w:rPr>
              <w:t>0.</w:t>
            </w:r>
            <w:r>
              <w:rPr>
                <w:rFonts w:ascii="Arial" w:hAnsi="Arial" w:cs="Arial"/>
                <w:spacing w:val="-4"/>
                <w:sz w:val="18"/>
                <w:szCs w:val="18"/>
              </w:rPr>
              <w:t>46</w:t>
            </w:r>
          </w:p>
        </w:tc>
        <w:tc>
          <w:tcPr>
            <w:tcW w:w="1595" w:type="dxa"/>
            <w:tcBorders>
              <w:bottom w:val="single" w:sz="12" w:space="0" w:color="008000"/>
            </w:tcBorders>
          </w:tcPr>
          <w:p w14:paraId="5FDC91FE" w14:textId="69662435" w:rsidR="007B0A19" w:rsidRPr="00D57F5E" w:rsidRDefault="007B0A19" w:rsidP="007B0A19">
            <w:pPr>
              <w:pStyle w:val="TableParagraph"/>
              <w:spacing w:before="19"/>
              <w:rPr>
                <w:rFonts w:ascii="Arial" w:hAnsi="Arial" w:cs="Arial"/>
                <w:spacing w:val="-2"/>
                <w:sz w:val="18"/>
                <w:szCs w:val="18"/>
              </w:rPr>
            </w:pPr>
            <w:r>
              <w:rPr>
                <w:rFonts w:ascii="Arial" w:hAnsi="Arial" w:cs="Arial"/>
                <w:spacing w:val="-2"/>
                <w:sz w:val="18"/>
                <w:szCs w:val="18"/>
              </w:rPr>
              <w:t>Peralta-Ruiz et al. (2013)</w:t>
            </w:r>
          </w:p>
        </w:tc>
      </w:tr>
    </w:tbl>
    <w:p w14:paraId="66B8D600" w14:textId="77777777" w:rsidR="00072D68" w:rsidRDefault="00072D68" w:rsidP="00975110">
      <w:pPr>
        <w:rPr>
          <w:rFonts w:ascii="Arial" w:hAnsi="Arial" w:cs="Arial"/>
          <w:sz w:val="18"/>
          <w:szCs w:val="18"/>
          <w:lang w:val="en-US"/>
        </w:rPr>
      </w:pPr>
    </w:p>
    <w:p w14:paraId="13DC931D" w14:textId="56B83317" w:rsidR="00EA0EB1" w:rsidRPr="00687E6E" w:rsidRDefault="00DC7D2D" w:rsidP="00EA0EB1">
      <w:pPr>
        <w:pStyle w:val="CETHeading1"/>
        <w:tabs>
          <w:tab w:val="clear" w:pos="360"/>
          <w:tab w:val="right" w:pos="7100"/>
        </w:tabs>
        <w:jc w:val="both"/>
        <w:rPr>
          <w:lang w:val="en-GB"/>
        </w:rPr>
      </w:pPr>
      <w:r>
        <w:rPr>
          <w:lang w:val="en-GB"/>
        </w:rPr>
        <w:t>Results and discussion</w:t>
      </w:r>
    </w:p>
    <w:p w14:paraId="78888F0C" w14:textId="3F5AA6EB" w:rsidR="00EA0EB1" w:rsidRDefault="00EA0EB1" w:rsidP="005B635F">
      <w:pPr>
        <w:pStyle w:val="CETBodytext"/>
      </w:pPr>
      <w:r w:rsidRPr="004268AF">
        <w:t xml:space="preserve">The exergy assessment was performed </w:t>
      </w:r>
      <w:r>
        <w:t>in</w:t>
      </w:r>
      <w:r w:rsidRPr="004268AF">
        <w:t xml:space="preserve"> stages. It was necessary to determine the e</w:t>
      </w:r>
      <w:r>
        <w:t>xergy by work</w:t>
      </w:r>
      <w:r w:rsidRPr="004268AF">
        <w:t>,</w:t>
      </w:r>
      <w:r>
        <w:t xml:space="preserve"> which was obtained from the literature</w:t>
      </w:r>
      <w:r w:rsidRPr="004268AF">
        <w:t xml:space="preserve">. Additionally, </w:t>
      </w:r>
      <w:r>
        <w:t xml:space="preserve">the </w:t>
      </w:r>
      <w:r w:rsidRPr="004268AF">
        <w:t xml:space="preserve">information required to </w:t>
      </w:r>
      <w:r>
        <w:t>carry out</w:t>
      </w:r>
      <w:r w:rsidRPr="004268AF">
        <w:t xml:space="preserve"> the assessment </w:t>
      </w:r>
      <w:r w:rsidR="009260C7">
        <w:t>includes</w:t>
      </w:r>
      <w:r w:rsidRPr="004268AF">
        <w:t xml:space="preserve"> heat dutie</w:t>
      </w:r>
      <w:r>
        <w:t>s</w:t>
      </w:r>
      <w:r w:rsidRPr="004268AF">
        <w:t>, t</w:t>
      </w:r>
      <w:r>
        <w:t>emperature</w:t>
      </w:r>
      <w:r w:rsidRPr="004268AF">
        <w:t>, pre</w:t>
      </w:r>
      <w:r>
        <w:t>ssure</w:t>
      </w:r>
      <w:r w:rsidRPr="004268AF">
        <w:t xml:space="preserve">, </w:t>
      </w:r>
      <w:r>
        <w:t>mass flow rate,</w:t>
      </w:r>
      <w:r w:rsidRPr="004268AF">
        <w:t xml:space="preserve"> </w:t>
      </w:r>
      <w:r>
        <w:t>and</w:t>
      </w:r>
      <w:r w:rsidRPr="004268AF">
        <w:t xml:space="preserve"> composi</w:t>
      </w:r>
      <w:r>
        <w:t>tion.</w:t>
      </w:r>
      <w:r w:rsidRPr="004268AF">
        <w:t xml:space="preserve"> Table </w:t>
      </w:r>
      <w:r w:rsidR="00D479A2">
        <w:t>4</w:t>
      </w:r>
      <w:r w:rsidRPr="004268AF">
        <w:t xml:space="preserve"> shows the values of exergy by work, heat</w:t>
      </w:r>
      <w:r>
        <w:t>,</w:t>
      </w:r>
      <w:r w:rsidRPr="004268AF">
        <w:t xml:space="preserve"> and una</w:t>
      </w:r>
      <w:r>
        <w:t xml:space="preserve">voidable exergy losses that were determined using Eq </w:t>
      </w:r>
      <w:r w:rsidRPr="004268AF">
        <w:t>(8)</w:t>
      </w:r>
      <w:r w:rsidR="00F80681">
        <w:t>.</w:t>
      </w:r>
    </w:p>
    <w:p w14:paraId="42650BBC" w14:textId="53F5F4B1" w:rsidR="009260C7" w:rsidRPr="009260C7" w:rsidRDefault="009260C7" w:rsidP="005B635F">
      <w:pPr>
        <w:pStyle w:val="CET-table-title"/>
      </w:pPr>
      <w:r w:rsidRPr="009260C7">
        <w:t xml:space="preserve">Table </w:t>
      </w:r>
      <w:r w:rsidR="00D479A2">
        <w:t>4</w:t>
      </w:r>
      <w:r w:rsidRPr="009260C7">
        <w:t xml:space="preserve">. Exergy </w:t>
      </w:r>
      <w:r w:rsidR="000646C1">
        <w:t>of utilities and unavoidable exergy losses</w:t>
      </w:r>
      <w:r w:rsidRPr="009260C7">
        <w:t xml:space="preserve"> per stage </w:t>
      </w:r>
      <w:r w:rsidR="000646C1">
        <w:t>for the avocado hard waste biorefinery.</w:t>
      </w:r>
    </w:p>
    <w:tbl>
      <w:tblPr>
        <w:tblW w:w="0" w:type="auto"/>
        <w:tblLayout w:type="fixed"/>
        <w:tblCellMar>
          <w:left w:w="0" w:type="dxa"/>
          <w:right w:w="0" w:type="dxa"/>
        </w:tblCellMar>
        <w:tblLook w:val="01E0" w:firstRow="1" w:lastRow="1" w:firstColumn="1" w:lastColumn="1" w:noHBand="0" w:noVBand="0"/>
      </w:tblPr>
      <w:tblGrid>
        <w:gridCol w:w="2340"/>
        <w:gridCol w:w="2430"/>
        <w:gridCol w:w="2329"/>
        <w:gridCol w:w="1595"/>
      </w:tblGrid>
      <w:tr w:rsidR="009260C7" w14:paraId="39978C48" w14:textId="77777777" w:rsidTr="00DC7D2D">
        <w:trPr>
          <w:trHeight w:val="455"/>
        </w:trPr>
        <w:tc>
          <w:tcPr>
            <w:tcW w:w="2340" w:type="dxa"/>
            <w:tcBorders>
              <w:top w:val="single" w:sz="12" w:space="0" w:color="008000"/>
              <w:bottom w:val="single" w:sz="6" w:space="0" w:color="008000"/>
            </w:tcBorders>
          </w:tcPr>
          <w:p w14:paraId="397FFAA6" w14:textId="77777777" w:rsidR="009260C7" w:rsidRPr="00D57F5E" w:rsidRDefault="009260C7" w:rsidP="00777C9E">
            <w:pPr>
              <w:pStyle w:val="TableParagraph"/>
              <w:spacing w:before="0" w:line="206" w:lineRule="exact"/>
              <w:ind w:left="14"/>
              <w:rPr>
                <w:rFonts w:ascii="Arial" w:hAnsi="Arial" w:cs="Arial"/>
                <w:sz w:val="18"/>
                <w:szCs w:val="18"/>
              </w:rPr>
            </w:pPr>
            <w:r w:rsidRPr="00D57F5E">
              <w:rPr>
                <w:rFonts w:ascii="Arial" w:hAnsi="Arial" w:cs="Arial"/>
                <w:spacing w:val="-4"/>
                <w:sz w:val="18"/>
                <w:szCs w:val="18"/>
              </w:rPr>
              <w:t>Stage</w:t>
            </w:r>
          </w:p>
        </w:tc>
        <w:tc>
          <w:tcPr>
            <w:tcW w:w="2430" w:type="dxa"/>
            <w:tcBorders>
              <w:top w:val="single" w:sz="12" w:space="0" w:color="008000"/>
              <w:bottom w:val="single" w:sz="6" w:space="0" w:color="008000"/>
            </w:tcBorders>
          </w:tcPr>
          <w:p w14:paraId="7DBF737D" w14:textId="77777777" w:rsidR="009260C7" w:rsidRPr="00D57F5E" w:rsidRDefault="009260C7" w:rsidP="00777C9E">
            <w:pPr>
              <w:pStyle w:val="TableParagraph"/>
              <w:tabs>
                <w:tab w:val="left" w:pos="955"/>
                <w:tab w:val="left" w:pos="1341"/>
              </w:tabs>
              <w:spacing w:before="0" w:line="206" w:lineRule="exact"/>
              <w:ind w:left="159"/>
              <w:rPr>
                <w:rFonts w:ascii="Arial" w:hAnsi="Arial" w:cs="Arial"/>
                <w:sz w:val="18"/>
                <w:szCs w:val="18"/>
              </w:rPr>
            </w:pPr>
            <w:r w:rsidRPr="00D57F5E">
              <w:rPr>
                <w:rFonts w:ascii="Arial" w:hAnsi="Arial" w:cs="Arial"/>
                <w:spacing w:val="-2"/>
                <w:sz w:val="18"/>
                <w:szCs w:val="18"/>
              </w:rPr>
              <w:t>Exergy</w:t>
            </w:r>
            <w:r w:rsidRPr="00D57F5E">
              <w:rPr>
                <w:rFonts w:ascii="Arial" w:hAnsi="Arial" w:cs="Arial"/>
                <w:sz w:val="18"/>
                <w:szCs w:val="18"/>
              </w:rPr>
              <w:t xml:space="preserve"> of work</w:t>
            </w:r>
          </w:p>
          <w:p w14:paraId="34BE83AA" w14:textId="77777777" w:rsidR="009260C7" w:rsidRPr="00D57F5E" w:rsidRDefault="009260C7" w:rsidP="00777C9E">
            <w:pPr>
              <w:pStyle w:val="TableParagraph"/>
              <w:spacing w:before="21"/>
              <w:ind w:left="159"/>
              <w:rPr>
                <w:rFonts w:ascii="Arial" w:hAnsi="Arial" w:cs="Arial"/>
                <w:sz w:val="18"/>
                <w:szCs w:val="18"/>
              </w:rPr>
            </w:pPr>
            <w:r w:rsidRPr="00D57F5E">
              <w:rPr>
                <w:rFonts w:ascii="Arial" w:hAnsi="Arial" w:cs="Arial"/>
                <w:spacing w:val="-2"/>
                <w:sz w:val="18"/>
                <w:szCs w:val="18"/>
              </w:rPr>
              <w:t>(MJ/h)</w:t>
            </w:r>
          </w:p>
        </w:tc>
        <w:tc>
          <w:tcPr>
            <w:tcW w:w="2329" w:type="dxa"/>
            <w:tcBorders>
              <w:top w:val="single" w:sz="12" w:space="0" w:color="008000"/>
              <w:bottom w:val="single" w:sz="6" w:space="0" w:color="008000"/>
            </w:tcBorders>
          </w:tcPr>
          <w:p w14:paraId="0BCDD0FA" w14:textId="77777777" w:rsidR="009260C7" w:rsidRPr="00D57F5E" w:rsidRDefault="009260C7" w:rsidP="00777C9E">
            <w:pPr>
              <w:pStyle w:val="TableParagraph"/>
              <w:spacing w:before="21"/>
              <w:ind w:left="-2"/>
              <w:rPr>
                <w:rFonts w:ascii="Arial" w:hAnsi="Arial" w:cs="Arial"/>
                <w:sz w:val="18"/>
                <w:szCs w:val="18"/>
              </w:rPr>
            </w:pPr>
            <w:r w:rsidRPr="00D57F5E">
              <w:rPr>
                <w:rFonts w:ascii="Arial" w:hAnsi="Arial" w:cs="Arial"/>
                <w:sz w:val="18"/>
                <w:szCs w:val="18"/>
              </w:rPr>
              <w:t>Heat Duty</w:t>
            </w:r>
          </w:p>
          <w:p w14:paraId="71D6AD7B" w14:textId="77777777" w:rsidR="009260C7" w:rsidRPr="00D57F5E" w:rsidRDefault="009260C7" w:rsidP="00777C9E">
            <w:pPr>
              <w:pStyle w:val="TableParagraph"/>
              <w:spacing w:before="21"/>
              <w:ind w:left="-2"/>
              <w:rPr>
                <w:rFonts w:ascii="Arial" w:hAnsi="Arial" w:cs="Arial"/>
                <w:sz w:val="18"/>
                <w:szCs w:val="18"/>
              </w:rPr>
            </w:pPr>
            <w:r w:rsidRPr="00D57F5E">
              <w:rPr>
                <w:rFonts w:ascii="Arial" w:hAnsi="Arial" w:cs="Arial"/>
                <w:sz w:val="18"/>
                <w:szCs w:val="18"/>
              </w:rPr>
              <w:t>(MJ/h)</w:t>
            </w:r>
          </w:p>
        </w:tc>
        <w:tc>
          <w:tcPr>
            <w:tcW w:w="1595" w:type="dxa"/>
            <w:tcBorders>
              <w:top w:val="single" w:sz="12" w:space="0" w:color="008000"/>
              <w:bottom w:val="single" w:sz="6" w:space="0" w:color="008000"/>
            </w:tcBorders>
          </w:tcPr>
          <w:p w14:paraId="53CA3D65" w14:textId="77777777" w:rsidR="009260C7" w:rsidRPr="00D57F5E" w:rsidRDefault="009260C7" w:rsidP="00777C9E">
            <w:pPr>
              <w:pStyle w:val="TableParagraph"/>
              <w:spacing w:before="0" w:line="206" w:lineRule="exact"/>
              <w:rPr>
                <w:rFonts w:ascii="Arial" w:hAnsi="Arial" w:cs="Arial"/>
                <w:sz w:val="18"/>
                <w:szCs w:val="18"/>
              </w:rPr>
            </w:pPr>
            <w:r w:rsidRPr="00D57F5E">
              <w:rPr>
                <w:rFonts w:ascii="Arial" w:hAnsi="Arial" w:cs="Arial"/>
                <w:spacing w:val="-2"/>
                <w:sz w:val="18"/>
                <w:szCs w:val="18"/>
              </w:rPr>
              <w:t>Unavoidable exergy losses</w:t>
            </w:r>
          </w:p>
          <w:p w14:paraId="10A23352" w14:textId="77777777" w:rsidR="009260C7" w:rsidRPr="00D57F5E" w:rsidRDefault="009260C7" w:rsidP="00777C9E">
            <w:pPr>
              <w:pStyle w:val="TableParagraph"/>
              <w:spacing w:before="21"/>
              <w:rPr>
                <w:rFonts w:ascii="Arial" w:hAnsi="Arial" w:cs="Arial"/>
                <w:sz w:val="18"/>
                <w:szCs w:val="18"/>
              </w:rPr>
            </w:pPr>
            <w:r w:rsidRPr="00D57F5E">
              <w:rPr>
                <w:rFonts w:ascii="Arial" w:hAnsi="Arial" w:cs="Arial"/>
                <w:sz w:val="18"/>
                <w:szCs w:val="18"/>
              </w:rPr>
              <w:t>(MJ/h)</w:t>
            </w:r>
          </w:p>
        </w:tc>
      </w:tr>
      <w:tr w:rsidR="009260C7" w14:paraId="60B94EF2" w14:textId="77777777" w:rsidTr="005B635F">
        <w:trPr>
          <w:trHeight w:val="237"/>
        </w:trPr>
        <w:tc>
          <w:tcPr>
            <w:tcW w:w="2340" w:type="dxa"/>
            <w:tcBorders>
              <w:top w:val="single" w:sz="6" w:space="0" w:color="008000"/>
            </w:tcBorders>
          </w:tcPr>
          <w:p w14:paraId="05ED888A" w14:textId="77777777" w:rsidR="009260C7" w:rsidRPr="00D57F5E" w:rsidRDefault="009260C7" w:rsidP="00777C9E">
            <w:pPr>
              <w:pStyle w:val="TableParagraph"/>
              <w:spacing w:before="11" w:line="206" w:lineRule="exact"/>
              <w:ind w:left="14"/>
              <w:rPr>
                <w:rFonts w:ascii="Arial" w:hAnsi="Arial" w:cs="Arial"/>
                <w:sz w:val="18"/>
                <w:szCs w:val="18"/>
              </w:rPr>
            </w:pPr>
            <w:r w:rsidRPr="00D57F5E">
              <w:rPr>
                <w:rFonts w:ascii="Arial" w:hAnsi="Arial" w:cs="Arial"/>
                <w:sz w:val="18"/>
                <w:szCs w:val="18"/>
              </w:rPr>
              <w:t>Washing</w:t>
            </w:r>
          </w:p>
        </w:tc>
        <w:tc>
          <w:tcPr>
            <w:tcW w:w="2430" w:type="dxa"/>
            <w:tcBorders>
              <w:top w:val="single" w:sz="6" w:space="0" w:color="008000"/>
            </w:tcBorders>
          </w:tcPr>
          <w:p w14:paraId="049BDC92" w14:textId="77777777" w:rsidR="009260C7" w:rsidRPr="00D57F5E" w:rsidRDefault="009260C7" w:rsidP="00777C9E">
            <w:pPr>
              <w:pStyle w:val="TableParagraph"/>
              <w:spacing w:before="0" w:line="206" w:lineRule="exact"/>
              <w:ind w:left="159"/>
              <w:rPr>
                <w:rFonts w:ascii="Arial" w:hAnsi="Arial" w:cs="Arial"/>
                <w:sz w:val="18"/>
                <w:szCs w:val="18"/>
              </w:rPr>
            </w:pPr>
            <w:r w:rsidRPr="00D57F5E">
              <w:rPr>
                <w:rFonts w:ascii="Arial" w:hAnsi="Arial" w:cs="Arial"/>
                <w:spacing w:val="-2"/>
                <w:sz w:val="18"/>
                <w:szCs w:val="18"/>
              </w:rPr>
              <w:t>14.40</w:t>
            </w:r>
          </w:p>
        </w:tc>
        <w:tc>
          <w:tcPr>
            <w:tcW w:w="2329" w:type="dxa"/>
            <w:tcBorders>
              <w:top w:val="single" w:sz="6" w:space="0" w:color="008000"/>
            </w:tcBorders>
          </w:tcPr>
          <w:p w14:paraId="6A69769F" w14:textId="77777777" w:rsidR="009260C7" w:rsidRPr="00D57F5E" w:rsidRDefault="009260C7" w:rsidP="00777C9E">
            <w:pPr>
              <w:pStyle w:val="TableParagraph"/>
              <w:spacing w:before="0" w:line="206" w:lineRule="exact"/>
              <w:ind w:left="-2"/>
              <w:rPr>
                <w:rFonts w:ascii="Arial" w:hAnsi="Arial" w:cs="Arial"/>
                <w:spacing w:val="-4"/>
                <w:sz w:val="18"/>
                <w:szCs w:val="18"/>
              </w:rPr>
            </w:pPr>
            <w:r w:rsidRPr="00D57F5E">
              <w:rPr>
                <w:rFonts w:ascii="Arial" w:hAnsi="Arial" w:cs="Arial"/>
                <w:spacing w:val="-4"/>
                <w:sz w:val="18"/>
                <w:szCs w:val="18"/>
              </w:rPr>
              <w:t>0.00</w:t>
            </w:r>
          </w:p>
        </w:tc>
        <w:tc>
          <w:tcPr>
            <w:tcW w:w="1595" w:type="dxa"/>
            <w:tcBorders>
              <w:top w:val="single" w:sz="6" w:space="0" w:color="008000"/>
            </w:tcBorders>
          </w:tcPr>
          <w:p w14:paraId="6AF8AAB2" w14:textId="77777777" w:rsidR="009260C7" w:rsidRPr="00D57F5E" w:rsidRDefault="009260C7" w:rsidP="00777C9E">
            <w:pPr>
              <w:pStyle w:val="TableParagraph"/>
              <w:spacing w:before="0" w:line="206" w:lineRule="exact"/>
              <w:rPr>
                <w:rFonts w:ascii="Arial" w:hAnsi="Arial" w:cs="Arial"/>
                <w:sz w:val="18"/>
                <w:szCs w:val="18"/>
              </w:rPr>
            </w:pPr>
            <w:r w:rsidRPr="00D57F5E">
              <w:rPr>
                <w:rFonts w:ascii="Arial" w:hAnsi="Arial" w:cs="Arial"/>
                <w:spacing w:val="-2"/>
                <w:sz w:val="18"/>
                <w:szCs w:val="18"/>
              </w:rPr>
              <w:t>15.21</w:t>
            </w:r>
          </w:p>
        </w:tc>
      </w:tr>
      <w:tr w:rsidR="009260C7" w14:paraId="5BCC21C0" w14:textId="77777777" w:rsidTr="00DC7D2D">
        <w:trPr>
          <w:trHeight w:val="249"/>
        </w:trPr>
        <w:tc>
          <w:tcPr>
            <w:tcW w:w="2340" w:type="dxa"/>
          </w:tcPr>
          <w:p w14:paraId="4016837D" w14:textId="77777777" w:rsidR="009260C7" w:rsidRPr="00D57F5E" w:rsidRDefault="009260C7" w:rsidP="00777C9E">
            <w:pPr>
              <w:pStyle w:val="TableParagraph"/>
              <w:spacing w:before="23" w:line="207" w:lineRule="exact"/>
              <w:ind w:left="14"/>
              <w:rPr>
                <w:rFonts w:ascii="Arial" w:hAnsi="Arial" w:cs="Arial"/>
                <w:sz w:val="18"/>
                <w:szCs w:val="18"/>
              </w:rPr>
            </w:pPr>
            <w:r w:rsidRPr="00D57F5E">
              <w:rPr>
                <w:rFonts w:ascii="Arial" w:hAnsi="Arial" w:cs="Arial"/>
                <w:sz w:val="18"/>
                <w:szCs w:val="18"/>
              </w:rPr>
              <w:t xml:space="preserve">Seed drying </w:t>
            </w:r>
          </w:p>
        </w:tc>
        <w:tc>
          <w:tcPr>
            <w:tcW w:w="2430" w:type="dxa"/>
          </w:tcPr>
          <w:p w14:paraId="3ABF29A1" w14:textId="77777777" w:rsidR="009260C7" w:rsidRPr="00D57F5E" w:rsidRDefault="009260C7" w:rsidP="00777C9E">
            <w:pPr>
              <w:pStyle w:val="TableParagraph"/>
              <w:spacing w:before="13"/>
              <w:ind w:left="159"/>
              <w:rPr>
                <w:rFonts w:ascii="Arial" w:hAnsi="Arial" w:cs="Arial"/>
                <w:sz w:val="18"/>
                <w:szCs w:val="18"/>
              </w:rPr>
            </w:pPr>
            <w:r w:rsidRPr="00D57F5E">
              <w:rPr>
                <w:rFonts w:ascii="Arial" w:hAnsi="Arial" w:cs="Arial"/>
                <w:spacing w:val="-2"/>
                <w:sz w:val="18"/>
                <w:szCs w:val="18"/>
              </w:rPr>
              <w:t>272.00</w:t>
            </w:r>
          </w:p>
        </w:tc>
        <w:tc>
          <w:tcPr>
            <w:tcW w:w="2329" w:type="dxa"/>
          </w:tcPr>
          <w:p w14:paraId="52ACC973" w14:textId="77777777" w:rsidR="009260C7" w:rsidRPr="00D57F5E" w:rsidRDefault="009260C7" w:rsidP="00777C9E">
            <w:pPr>
              <w:pStyle w:val="TableParagraph"/>
              <w:spacing w:before="13"/>
              <w:ind w:left="-2"/>
              <w:rPr>
                <w:rFonts w:ascii="Arial" w:hAnsi="Arial" w:cs="Arial"/>
                <w:sz w:val="18"/>
                <w:szCs w:val="18"/>
              </w:rPr>
            </w:pPr>
            <w:r w:rsidRPr="00D57F5E">
              <w:rPr>
                <w:rFonts w:ascii="Arial" w:hAnsi="Arial" w:cs="Arial"/>
                <w:spacing w:val="-4"/>
                <w:sz w:val="18"/>
                <w:szCs w:val="18"/>
              </w:rPr>
              <w:t>0.02</w:t>
            </w:r>
          </w:p>
        </w:tc>
        <w:tc>
          <w:tcPr>
            <w:tcW w:w="1595" w:type="dxa"/>
          </w:tcPr>
          <w:p w14:paraId="49B910F3" w14:textId="77777777" w:rsidR="009260C7" w:rsidRPr="00D57F5E" w:rsidRDefault="009260C7" w:rsidP="00777C9E">
            <w:pPr>
              <w:pStyle w:val="TableParagraph"/>
              <w:spacing w:before="13"/>
              <w:rPr>
                <w:rFonts w:ascii="Arial" w:hAnsi="Arial" w:cs="Arial"/>
                <w:sz w:val="18"/>
                <w:szCs w:val="18"/>
              </w:rPr>
            </w:pPr>
            <w:r w:rsidRPr="00D57F5E">
              <w:rPr>
                <w:rFonts w:ascii="Arial" w:hAnsi="Arial" w:cs="Arial"/>
                <w:spacing w:val="-2"/>
                <w:sz w:val="18"/>
                <w:szCs w:val="18"/>
              </w:rPr>
              <w:t>275.9</w:t>
            </w:r>
          </w:p>
        </w:tc>
      </w:tr>
      <w:tr w:rsidR="009260C7" w14:paraId="7B282DBF" w14:textId="77777777" w:rsidTr="005B635F">
        <w:trPr>
          <w:trHeight w:val="249"/>
        </w:trPr>
        <w:tc>
          <w:tcPr>
            <w:tcW w:w="2340" w:type="dxa"/>
          </w:tcPr>
          <w:p w14:paraId="4137BD09" w14:textId="77777777" w:rsidR="009260C7" w:rsidRPr="00D57F5E" w:rsidRDefault="009260C7" w:rsidP="00777C9E">
            <w:pPr>
              <w:pStyle w:val="TableParagraph"/>
              <w:spacing w:before="23" w:line="206" w:lineRule="exact"/>
              <w:ind w:left="0"/>
              <w:rPr>
                <w:rFonts w:ascii="Arial" w:hAnsi="Arial" w:cs="Arial"/>
                <w:sz w:val="18"/>
                <w:szCs w:val="18"/>
              </w:rPr>
            </w:pPr>
            <w:r w:rsidRPr="00D57F5E">
              <w:rPr>
                <w:rFonts w:ascii="Arial" w:hAnsi="Arial" w:cs="Arial"/>
                <w:sz w:val="18"/>
                <w:szCs w:val="18"/>
              </w:rPr>
              <w:t>Cutting</w:t>
            </w:r>
          </w:p>
        </w:tc>
        <w:tc>
          <w:tcPr>
            <w:tcW w:w="2430" w:type="dxa"/>
          </w:tcPr>
          <w:p w14:paraId="125BC688" w14:textId="77777777" w:rsidR="009260C7" w:rsidRPr="00D57F5E" w:rsidRDefault="009260C7" w:rsidP="00777C9E">
            <w:pPr>
              <w:pStyle w:val="TableParagraph"/>
              <w:spacing w:before="14"/>
              <w:ind w:left="159"/>
              <w:rPr>
                <w:rFonts w:ascii="Arial" w:hAnsi="Arial" w:cs="Arial"/>
                <w:sz w:val="18"/>
                <w:szCs w:val="18"/>
              </w:rPr>
            </w:pPr>
            <w:r w:rsidRPr="00D57F5E">
              <w:rPr>
                <w:rFonts w:ascii="Arial" w:hAnsi="Arial" w:cs="Arial"/>
                <w:spacing w:val="-2"/>
                <w:sz w:val="18"/>
                <w:szCs w:val="18"/>
              </w:rPr>
              <w:t>3.60</w:t>
            </w:r>
          </w:p>
        </w:tc>
        <w:tc>
          <w:tcPr>
            <w:tcW w:w="2329" w:type="dxa"/>
          </w:tcPr>
          <w:p w14:paraId="65DC1516" w14:textId="77777777" w:rsidR="009260C7" w:rsidRPr="00D57F5E" w:rsidRDefault="009260C7" w:rsidP="00777C9E">
            <w:pPr>
              <w:pStyle w:val="TableParagraph"/>
              <w:spacing w:before="14"/>
              <w:ind w:left="-2"/>
              <w:rPr>
                <w:rFonts w:ascii="Arial" w:hAnsi="Arial" w:cs="Arial"/>
                <w:sz w:val="18"/>
                <w:szCs w:val="18"/>
              </w:rPr>
            </w:pPr>
            <w:r w:rsidRPr="00D57F5E">
              <w:rPr>
                <w:rFonts w:ascii="Arial" w:hAnsi="Arial" w:cs="Arial"/>
                <w:spacing w:val="-4"/>
                <w:sz w:val="18"/>
                <w:szCs w:val="18"/>
              </w:rPr>
              <w:t>0.00</w:t>
            </w:r>
          </w:p>
        </w:tc>
        <w:tc>
          <w:tcPr>
            <w:tcW w:w="1595" w:type="dxa"/>
          </w:tcPr>
          <w:p w14:paraId="4721EA59" w14:textId="77777777" w:rsidR="009260C7" w:rsidRPr="00D57F5E" w:rsidRDefault="009260C7" w:rsidP="00777C9E">
            <w:pPr>
              <w:pStyle w:val="TableParagraph"/>
              <w:spacing w:before="14"/>
              <w:rPr>
                <w:rFonts w:ascii="Arial" w:hAnsi="Arial" w:cs="Arial"/>
                <w:sz w:val="18"/>
                <w:szCs w:val="18"/>
              </w:rPr>
            </w:pPr>
            <w:r w:rsidRPr="00D57F5E">
              <w:rPr>
                <w:rFonts w:ascii="Arial" w:hAnsi="Arial" w:cs="Arial"/>
                <w:spacing w:val="-2"/>
                <w:sz w:val="18"/>
                <w:szCs w:val="18"/>
              </w:rPr>
              <w:t>3.6</w:t>
            </w:r>
          </w:p>
        </w:tc>
      </w:tr>
      <w:tr w:rsidR="009260C7" w14:paraId="000D9C77" w14:textId="77777777" w:rsidTr="00DC7D2D">
        <w:trPr>
          <w:trHeight w:val="249"/>
        </w:trPr>
        <w:tc>
          <w:tcPr>
            <w:tcW w:w="2340" w:type="dxa"/>
          </w:tcPr>
          <w:p w14:paraId="4F6FFB49" w14:textId="77777777" w:rsidR="009260C7" w:rsidRPr="00D57F5E" w:rsidRDefault="009260C7" w:rsidP="00777C9E">
            <w:pPr>
              <w:pStyle w:val="TableParagraph"/>
              <w:spacing w:before="23" w:line="206" w:lineRule="exact"/>
              <w:ind w:left="14"/>
              <w:rPr>
                <w:rFonts w:ascii="Arial" w:hAnsi="Arial" w:cs="Arial"/>
                <w:sz w:val="18"/>
                <w:szCs w:val="18"/>
              </w:rPr>
            </w:pPr>
            <w:r w:rsidRPr="00D57F5E">
              <w:rPr>
                <w:rFonts w:ascii="Arial" w:hAnsi="Arial" w:cs="Arial"/>
                <w:sz w:val="18"/>
                <w:szCs w:val="18"/>
              </w:rPr>
              <w:t>Starch Extraction</w:t>
            </w:r>
          </w:p>
        </w:tc>
        <w:tc>
          <w:tcPr>
            <w:tcW w:w="2430" w:type="dxa"/>
          </w:tcPr>
          <w:p w14:paraId="160805F3" w14:textId="77777777" w:rsidR="009260C7" w:rsidRPr="00D57F5E" w:rsidRDefault="009260C7" w:rsidP="00777C9E">
            <w:pPr>
              <w:pStyle w:val="TableParagraph"/>
              <w:spacing w:before="13"/>
              <w:ind w:left="159"/>
              <w:rPr>
                <w:rFonts w:ascii="Arial" w:hAnsi="Arial" w:cs="Arial"/>
                <w:sz w:val="18"/>
                <w:szCs w:val="18"/>
              </w:rPr>
            </w:pPr>
            <w:r w:rsidRPr="00D57F5E">
              <w:rPr>
                <w:rFonts w:ascii="Arial" w:hAnsi="Arial" w:cs="Arial"/>
                <w:spacing w:val="-2"/>
                <w:sz w:val="18"/>
                <w:szCs w:val="18"/>
              </w:rPr>
              <w:t>0.00</w:t>
            </w:r>
          </w:p>
        </w:tc>
        <w:tc>
          <w:tcPr>
            <w:tcW w:w="2329" w:type="dxa"/>
          </w:tcPr>
          <w:p w14:paraId="4CD8FA5E" w14:textId="77777777" w:rsidR="009260C7" w:rsidRPr="00D57F5E" w:rsidRDefault="009260C7" w:rsidP="00777C9E">
            <w:pPr>
              <w:pStyle w:val="TableParagraph"/>
              <w:spacing w:before="13"/>
              <w:ind w:left="-2"/>
              <w:rPr>
                <w:rFonts w:ascii="Arial" w:hAnsi="Arial" w:cs="Arial"/>
                <w:sz w:val="18"/>
                <w:szCs w:val="18"/>
              </w:rPr>
            </w:pPr>
            <w:r w:rsidRPr="00D57F5E">
              <w:rPr>
                <w:rFonts w:ascii="Arial" w:hAnsi="Arial" w:cs="Arial"/>
                <w:spacing w:val="-4"/>
                <w:sz w:val="18"/>
                <w:szCs w:val="18"/>
              </w:rPr>
              <w:t>0.00</w:t>
            </w:r>
          </w:p>
        </w:tc>
        <w:tc>
          <w:tcPr>
            <w:tcW w:w="1595" w:type="dxa"/>
          </w:tcPr>
          <w:p w14:paraId="3B09BFBE" w14:textId="77777777" w:rsidR="009260C7" w:rsidRPr="00D57F5E" w:rsidRDefault="009260C7" w:rsidP="00777C9E">
            <w:pPr>
              <w:pStyle w:val="TableParagraph"/>
              <w:spacing w:before="13"/>
              <w:rPr>
                <w:rFonts w:ascii="Arial" w:hAnsi="Arial" w:cs="Arial"/>
                <w:sz w:val="18"/>
                <w:szCs w:val="18"/>
              </w:rPr>
            </w:pPr>
            <w:r w:rsidRPr="00D57F5E">
              <w:rPr>
                <w:rFonts w:ascii="Arial" w:hAnsi="Arial" w:cs="Arial"/>
                <w:spacing w:val="-2"/>
                <w:sz w:val="18"/>
                <w:szCs w:val="18"/>
              </w:rPr>
              <w:t>1.5</w:t>
            </w:r>
          </w:p>
        </w:tc>
      </w:tr>
      <w:tr w:rsidR="009260C7" w14:paraId="3B792D5E" w14:textId="77777777" w:rsidTr="005B635F">
        <w:trPr>
          <w:trHeight w:val="240"/>
        </w:trPr>
        <w:tc>
          <w:tcPr>
            <w:tcW w:w="2340" w:type="dxa"/>
          </w:tcPr>
          <w:p w14:paraId="25383CCD" w14:textId="77777777" w:rsidR="009260C7" w:rsidRPr="00D57F5E" w:rsidRDefault="009260C7" w:rsidP="00777C9E">
            <w:pPr>
              <w:pStyle w:val="TableParagraph"/>
              <w:spacing w:line="202" w:lineRule="exact"/>
              <w:ind w:left="14"/>
              <w:rPr>
                <w:rFonts w:ascii="Arial" w:hAnsi="Arial" w:cs="Arial"/>
                <w:sz w:val="18"/>
                <w:szCs w:val="18"/>
              </w:rPr>
            </w:pPr>
            <w:r w:rsidRPr="00D57F5E">
              <w:rPr>
                <w:rFonts w:ascii="Arial" w:hAnsi="Arial" w:cs="Arial"/>
                <w:sz w:val="18"/>
                <w:szCs w:val="18"/>
              </w:rPr>
              <w:t xml:space="preserve">Liquefied </w:t>
            </w:r>
          </w:p>
        </w:tc>
        <w:tc>
          <w:tcPr>
            <w:tcW w:w="2430" w:type="dxa"/>
          </w:tcPr>
          <w:p w14:paraId="79814775" w14:textId="77777777" w:rsidR="009260C7" w:rsidRPr="00D57F5E" w:rsidRDefault="009260C7" w:rsidP="00777C9E">
            <w:pPr>
              <w:pStyle w:val="TableParagraph"/>
              <w:spacing w:before="13" w:line="206" w:lineRule="exact"/>
              <w:ind w:left="159"/>
              <w:rPr>
                <w:rFonts w:ascii="Arial" w:hAnsi="Arial" w:cs="Arial"/>
                <w:sz w:val="18"/>
                <w:szCs w:val="18"/>
              </w:rPr>
            </w:pPr>
            <w:r w:rsidRPr="00D57F5E">
              <w:rPr>
                <w:rFonts w:ascii="Arial" w:hAnsi="Arial" w:cs="Arial"/>
                <w:spacing w:val="-2"/>
                <w:sz w:val="18"/>
                <w:szCs w:val="18"/>
              </w:rPr>
              <w:t>26.85</w:t>
            </w:r>
          </w:p>
        </w:tc>
        <w:tc>
          <w:tcPr>
            <w:tcW w:w="2329" w:type="dxa"/>
          </w:tcPr>
          <w:p w14:paraId="6F9F49D0" w14:textId="77777777" w:rsidR="009260C7" w:rsidRPr="00D57F5E" w:rsidRDefault="009260C7" w:rsidP="00777C9E">
            <w:pPr>
              <w:pStyle w:val="TableParagraph"/>
              <w:spacing w:before="13" w:line="206" w:lineRule="exact"/>
              <w:ind w:left="-2"/>
              <w:rPr>
                <w:rFonts w:ascii="Arial" w:hAnsi="Arial" w:cs="Arial"/>
                <w:sz w:val="18"/>
                <w:szCs w:val="18"/>
              </w:rPr>
            </w:pPr>
            <w:r w:rsidRPr="00D57F5E">
              <w:rPr>
                <w:rFonts w:ascii="Arial" w:hAnsi="Arial" w:cs="Arial"/>
                <w:spacing w:val="-4"/>
                <w:sz w:val="18"/>
                <w:szCs w:val="18"/>
              </w:rPr>
              <w:t>1.8</w:t>
            </w:r>
          </w:p>
        </w:tc>
        <w:tc>
          <w:tcPr>
            <w:tcW w:w="1595" w:type="dxa"/>
          </w:tcPr>
          <w:p w14:paraId="4CDFA992" w14:textId="77777777" w:rsidR="009260C7" w:rsidRPr="00D57F5E" w:rsidRDefault="009260C7" w:rsidP="00777C9E">
            <w:pPr>
              <w:pStyle w:val="TableParagraph"/>
              <w:spacing w:before="13" w:line="206" w:lineRule="exact"/>
              <w:rPr>
                <w:rFonts w:ascii="Arial" w:hAnsi="Arial" w:cs="Arial"/>
                <w:sz w:val="18"/>
                <w:szCs w:val="18"/>
              </w:rPr>
            </w:pPr>
            <w:r w:rsidRPr="00D57F5E">
              <w:rPr>
                <w:rFonts w:ascii="Arial" w:hAnsi="Arial" w:cs="Arial"/>
                <w:spacing w:val="-2"/>
                <w:sz w:val="18"/>
                <w:szCs w:val="18"/>
              </w:rPr>
              <w:t>0.00</w:t>
            </w:r>
          </w:p>
        </w:tc>
      </w:tr>
      <w:tr w:rsidR="009260C7" w14:paraId="13BCBF78" w14:textId="77777777" w:rsidTr="00DC7D2D">
        <w:trPr>
          <w:trHeight w:val="246"/>
        </w:trPr>
        <w:tc>
          <w:tcPr>
            <w:tcW w:w="2340" w:type="dxa"/>
          </w:tcPr>
          <w:p w14:paraId="32CE3522" w14:textId="1E629BA6" w:rsidR="009260C7" w:rsidRPr="00D57F5E" w:rsidRDefault="006B7047" w:rsidP="00777C9E">
            <w:pPr>
              <w:pStyle w:val="TableParagraph"/>
              <w:spacing w:before="20" w:line="205" w:lineRule="exact"/>
              <w:ind w:left="0"/>
              <w:rPr>
                <w:rFonts w:ascii="Arial" w:hAnsi="Arial" w:cs="Arial"/>
                <w:sz w:val="18"/>
                <w:szCs w:val="18"/>
              </w:rPr>
            </w:pPr>
            <w:r w:rsidRPr="00D57F5E">
              <w:rPr>
                <w:rFonts w:ascii="Arial" w:hAnsi="Arial" w:cs="Arial"/>
                <w:sz w:val="18"/>
                <w:szCs w:val="18"/>
              </w:rPr>
              <w:t>Solid removal</w:t>
            </w:r>
          </w:p>
        </w:tc>
        <w:tc>
          <w:tcPr>
            <w:tcW w:w="2430" w:type="dxa"/>
          </w:tcPr>
          <w:p w14:paraId="2BD925DB" w14:textId="77777777" w:rsidR="009260C7" w:rsidRPr="00D57F5E" w:rsidRDefault="009260C7" w:rsidP="00777C9E">
            <w:pPr>
              <w:pStyle w:val="TableParagraph"/>
              <w:spacing w:before="8"/>
              <w:ind w:left="159"/>
              <w:rPr>
                <w:rFonts w:ascii="Arial" w:hAnsi="Arial" w:cs="Arial"/>
                <w:sz w:val="18"/>
                <w:szCs w:val="18"/>
              </w:rPr>
            </w:pPr>
            <w:r w:rsidRPr="00D57F5E">
              <w:rPr>
                <w:rFonts w:ascii="Arial" w:hAnsi="Arial" w:cs="Arial"/>
                <w:spacing w:val="-2"/>
                <w:sz w:val="18"/>
                <w:szCs w:val="18"/>
              </w:rPr>
              <w:t>39.60</w:t>
            </w:r>
          </w:p>
        </w:tc>
        <w:tc>
          <w:tcPr>
            <w:tcW w:w="2329" w:type="dxa"/>
          </w:tcPr>
          <w:p w14:paraId="448E077E" w14:textId="77777777" w:rsidR="009260C7" w:rsidRPr="00D57F5E" w:rsidRDefault="009260C7" w:rsidP="00777C9E">
            <w:pPr>
              <w:pStyle w:val="TableParagraph"/>
              <w:spacing w:before="8"/>
              <w:ind w:left="-2"/>
              <w:rPr>
                <w:rFonts w:ascii="Arial" w:hAnsi="Arial" w:cs="Arial"/>
                <w:sz w:val="18"/>
                <w:szCs w:val="18"/>
              </w:rPr>
            </w:pPr>
            <w:r w:rsidRPr="00D57F5E">
              <w:rPr>
                <w:rFonts w:ascii="Arial" w:hAnsi="Arial" w:cs="Arial"/>
                <w:sz w:val="18"/>
                <w:szCs w:val="18"/>
              </w:rPr>
              <w:t>0.00</w:t>
            </w:r>
          </w:p>
        </w:tc>
        <w:tc>
          <w:tcPr>
            <w:tcW w:w="1595" w:type="dxa"/>
          </w:tcPr>
          <w:p w14:paraId="17C24AD0" w14:textId="17499E14" w:rsidR="009260C7" w:rsidRPr="00D57F5E" w:rsidRDefault="007F2CCB" w:rsidP="00777C9E">
            <w:pPr>
              <w:pStyle w:val="TableParagraph"/>
              <w:spacing w:before="8"/>
              <w:rPr>
                <w:rFonts w:ascii="Arial" w:hAnsi="Arial" w:cs="Arial"/>
                <w:sz w:val="18"/>
                <w:szCs w:val="18"/>
              </w:rPr>
            </w:pPr>
            <w:r>
              <w:rPr>
                <w:rFonts w:ascii="Arial" w:hAnsi="Arial" w:cs="Arial"/>
                <w:spacing w:val="-2"/>
                <w:sz w:val="18"/>
                <w:szCs w:val="18"/>
              </w:rPr>
              <w:t>39.58</w:t>
            </w:r>
          </w:p>
        </w:tc>
      </w:tr>
      <w:tr w:rsidR="009260C7" w14:paraId="0F468661" w14:textId="77777777" w:rsidTr="005B635F">
        <w:trPr>
          <w:trHeight w:val="249"/>
        </w:trPr>
        <w:tc>
          <w:tcPr>
            <w:tcW w:w="2340" w:type="dxa"/>
          </w:tcPr>
          <w:p w14:paraId="4B0A1105" w14:textId="77777777" w:rsidR="009260C7" w:rsidRPr="00D57F5E" w:rsidRDefault="009260C7" w:rsidP="00777C9E">
            <w:pPr>
              <w:pStyle w:val="TableParagraph"/>
              <w:spacing w:before="24" w:line="205" w:lineRule="exact"/>
              <w:ind w:left="14"/>
              <w:rPr>
                <w:rFonts w:ascii="Arial" w:hAnsi="Arial" w:cs="Arial"/>
                <w:sz w:val="18"/>
                <w:szCs w:val="18"/>
              </w:rPr>
            </w:pPr>
            <w:r w:rsidRPr="00D57F5E">
              <w:rPr>
                <w:rFonts w:ascii="Arial" w:hAnsi="Arial" w:cs="Arial"/>
                <w:sz w:val="18"/>
                <w:szCs w:val="18"/>
              </w:rPr>
              <w:t>Decantation</w:t>
            </w:r>
          </w:p>
        </w:tc>
        <w:tc>
          <w:tcPr>
            <w:tcW w:w="2430" w:type="dxa"/>
          </w:tcPr>
          <w:p w14:paraId="5C3BD005" w14:textId="77777777" w:rsidR="009260C7" w:rsidRPr="00D57F5E" w:rsidRDefault="009260C7" w:rsidP="00777C9E">
            <w:pPr>
              <w:pStyle w:val="TableParagraph"/>
              <w:spacing w:before="12"/>
              <w:ind w:left="159"/>
              <w:rPr>
                <w:rFonts w:ascii="Arial" w:hAnsi="Arial" w:cs="Arial"/>
                <w:sz w:val="18"/>
                <w:szCs w:val="18"/>
              </w:rPr>
            </w:pPr>
            <w:r w:rsidRPr="00D57F5E">
              <w:rPr>
                <w:rFonts w:ascii="Arial" w:hAnsi="Arial" w:cs="Arial"/>
                <w:spacing w:val="-2"/>
                <w:sz w:val="18"/>
                <w:szCs w:val="18"/>
              </w:rPr>
              <w:t>0.00</w:t>
            </w:r>
          </w:p>
        </w:tc>
        <w:tc>
          <w:tcPr>
            <w:tcW w:w="2329" w:type="dxa"/>
          </w:tcPr>
          <w:p w14:paraId="7DA83C89" w14:textId="77777777" w:rsidR="009260C7" w:rsidRPr="00D57F5E" w:rsidRDefault="009260C7" w:rsidP="00777C9E">
            <w:pPr>
              <w:pStyle w:val="TableParagraph"/>
              <w:spacing w:before="12"/>
              <w:ind w:left="-2"/>
              <w:rPr>
                <w:rFonts w:ascii="Arial" w:hAnsi="Arial" w:cs="Arial"/>
                <w:sz w:val="18"/>
                <w:szCs w:val="18"/>
              </w:rPr>
            </w:pPr>
            <w:r w:rsidRPr="00D57F5E">
              <w:rPr>
                <w:rFonts w:ascii="Arial" w:hAnsi="Arial" w:cs="Arial"/>
                <w:spacing w:val="-4"/>
                <w:sz w:val="18"/>
                <w:szCs w:val="18"/>
              </w:rPr>
              <w:t>0.00</w:t>
            </w:r>
          </w:p>
        </w:tc>
        <w:tc>
          <w:tcPr>
            <w:tcW w:w="1595" w:type="dxa"/>
          </w:tcPr>
          <w:p w14:paraId="3A27431D" w14:textId="77777777" w:rsidR="009260C7" w:rsidRPr="00D57F5E" w:rsidRDefault="009260C7" w:rsidP="00777C9E">
            <w:pPr>
              <w:pStyle w:val="TableParagraph"/>
              <w:spacing w:before="12"/>
              <w:rPr>
                <w:rFonts w:ascii="Arial" w:hAnsi="Arial" w:cs="Arial"/>
                <w:sz w:val="18"/>
                <w:szCs w:val="18"/>
              </w:rPr>
            </w:pPr>
            <w:r w:rsidRPr="00D57F5E">
              <w:rPr>
                <w:rFonts w:ascii="Arial" w:hAnsi="Arial" w:cs="Arial"/>
                <w:spacing w:val="-2"/>
                <w:sz w:val="18"/>
                <w:szCs w:val="18"/>
              </w:rPr>
              <w:t>0.00</w:t>
            </w:r>
          </w:p>
        </w:tc>
      </w:tr>
      <w:tr w:rsidR="009260C7" w14:paraId="3DD12EB3" w14:textId="77777777" w:rsidTr="00DC7D2D">
        <w:trPr>
          <w:trHeight w:val="249"/>
        </w:trPr>
        <w:tc>
          <w:tcPr>
            <w:tcW w:w="2340" w:type="dxa"/>
          </w:tcPr>
          <w:p w14:paraId="1F9DFEB9" w14:textId="77777777" w:rsidR="009260C7" w:rsidRPr="00D57F5E" w:rsidRDefault="009260C7" w:rsidP="00777C9E">
            <w:pPr>
              <w:pStyle w:val="TableParagraph"/>
              <w:spacing w:before="24" w:line="205" w:lineRule="exact"/>
              <w:ind w:left="14"/>
              <w:rPr>
                <w:rFonts w:ascii="Arial" w:hAnsi="Arial" w:cs="Arial"/>
                <w:sz w:val="18"/>
                <w:szCs w:val="18"/>
              </w:rPr>
            </w:pPr>
            <w:r w:rsidRPr="00D57F5E">
              <w:rPr>
                <w:rFonts w:ascii="Arial" w:hAnsi="Arial" w:cs="Arial"/>
                <w:sz w:val="18"/>
                <w:szCs w:val="18"/>
              </w:rPr>
              <w:t>Starch washing</w:t>
            </w:r>
          </w:p>
        </w:tc>
        <w:tc>
          <w:tcPr>
            <w:tcW w:w="2430" w:type="dxa"/>
          </w:tcPr>
          <w:p w14:paraId="0B41BDA0" w14:textId="77777777" w:rsidR="009260C7" w:rsidRPr="00D57F5E" w:rsidRDefault="009260C7" w:rsidP="00777C9E">
            <w:pPr>
              <w:pStyle w:val="TableParagraph"/>
              <w:spacing w:before="12"/>
              <w:ind w:left="159"/>
              <w:rPr>
                <w:rFonts w:ascii="Arial" w:hAnsi="Arial" w:cs="Arial"/>
                <w:sz w:val="18"/>
                <w:szCs w:val="18"/>
              </w:rPr>
            </w:pPr>
            <w:r w:rsidRPr="00D57F5E">
              <w:rPr>
                <w:rFonts w:ascii="Arial" w:hAnsi="Arial" w:cs="Arial"/>
                <w:spacing w:val="-2"/>
                <w:sz w:val="18"/>
                <w:szCs w:val="18"/>
              </w:rPr>
              <w:t>14.40</w:t>
            </w:r>
          </w:p>
        </w:tc>
        <w:tc>
          <w:tcPr>
            <w:tcW w:w="2329" w:type="dxa"/>
          </w:tcPr>
          <w:p w14:paraId="7414625D" w14:textId="77777777" w:rsidR="009260C7" w:rsidRPr="00D57F5E" w:rsidRDefault="009260C7" w:rsidP="00777C9E">
            <w:pPr>
              <w:pStyle w:val="TableParagraph"/>
              <w:spacing w:before="12"/>
              <w:ind w:left="-2"/>
              <w:rPr>
                <w:rFonts w:ascii="Arial" w:hAnsi="Arial" w:cs="Arial"/>
                <w:sz w:val="18"/>
                <w:szCs w:val="18"/>
              </w:rPr>
            </w:pPr>
            <w:r w:rsidRPr="00D57F5E">
              <w:rPr>
                <w:rFonts w:ascii="Arial" w:hAnsi="Arial" w:cs="Arial"/>
                <w:spacing w:val="-2"/>
                <w:sz w:val="18"/>
                <w:szCs w:val="18"/>
              </w:rPr>
              <w:t>0.00</w:t>
            </w:r>
          </w:p>
        </w:tc>
        <w:tc>
          <w:tcPr>
            <w:tcW w:w="1595" w:type="dxa"/>
          </w:tcPr>
          <w:p w14:paraId="4D0E6F50" w14:textId="77777777" w:rsidR="009260C7" w:rsidRPr="00D57F5E" w:rsidRDefault="009260C7" w:rsidP="00777C9E">
            <w:pPr>
              <w:pStyle w:val="TableParagraph"/>
              <w:spacing w:before="12"/>
              <w:rPr>
                <w:rFonts w:ascii="Arial" w:hAnsi="Arial" w:cs="Arial"/>
                <w:sz w:val="18"/>
                <w:szCs w:val="18"/>
              </w:rPr>
            </w:pPr>
            <w:r w:rsidRPr="00D57F5E">
              <w:rPr>
                <w:rFonts w:ascii="Arial" w:hAnsi="Arial" w:cs="Arial"/>
                <w:spacing w:val="-2"/>
                <w:sz w:val="18"/>
                <w:szCs w:val="18"/>
              </w:rPr>
              <w:t>14.67</w:t>
            </w:r>
          </w:p>
        </w:tc>
      </w:tr>
      <w:tr w:rsidR="009260C7" w14:paraId="6E581DDF" w14:textId="77777777" w:rsidTr="005B635F">
        <w:trPr>
          <w:trHeight w:val="189"/>
        </w:trPr>
        <w:tc>
          <w:tcPr>
            <w:tcW w:w="2340" w:type="dxa"/>
          </w:tcPr>
          <w:p w14:paraId="1CF94C51" w14:textId="6FD1D982" w:rsidR="009260C7" w:rsidRPr="00D57F5E" w:rsidRDefault="009260C7" w:rsidP="00777C9E">
            <w:pPr>
              <w:pStyle w:val="TableParagraph"/>
              <w:spacing w:before="12"/>
              <w:ind w:left="14"/>
              <w:rPr>
                <w:rFonts w:ascii="Arial" w:hAnsi="Arial" w:cs="Arial"/>
                <w:sz w:val="18"/>
                <w:szCs w:val="18"/>
              </w:rPr>
            </w:pPr>
            <w:r w:rsidRPr="00D57F5E">
              <w:rPr>
                <w:rFonts w:ascii="Arial" w:hAnsi="Arial" w:cs="Arial"/>
                <w:sz w:val="18"/>
                <w:szCs w:val="18"/>
              </w:rPr>
              <w:t>Starch drying</w:t>
            </w:r>
            <w:r w:rsidR="00EF13DB" w:rsidRPr="00D57F5E">
              <w:rPr>
                <w:rFonts w:ascii="Arial" w:hAnsi="Arial" w:cs="Arial"/>
                <w:sz w:val="18"/>
                <w:szCs w:val="18"/>
              </w:rPr>
              <w:t>-1</w:t>
            </w:r>
          </w:p>
        </w:tc>
        <w:tc>
          <w:tcPr>
            <w:tcW w:w="2430" w:type="dxa"/>
          </w:tcPr>
          <w:p w14:paraId="22F17740" w14:textId="77777777" w:rsidR="009260C7" w:rsidRPr="00D57F5E" w:rsidRDefault="009260C7" w:rsidP="00777C9E">
            <w:pPr>
              <w:pStyle w:val="TableParagraph"/>
              <w:spacing w:before="12"/>
              <w:ind w:left="159"/>
              <w:rPr>
                <w:rFonts w:ascii="Arial" w:hAnsi="Arial" w:cs="Arial"/>
                <w:sz w:val="18"/>
                <w:szCs w:val="18"/>
              </w:rPr>
            </w:pPr>
            <w:r w:rsidRPr="00D57F5E">
              <w:rPr>
                <w:rFonts w:ascii="Arial" w:hAnsi="Arial" w:cs="Arial"/>
                <w:spacing w:val="-2"/>
                <w:sz w:val="18"/>
                <w:szCs w:val="18"/>
              </w:rPr>
              <w:t>378.00</w:t>
            </w:r>
          </w:p>
        </w:tc>
        <w:tc>
          <w:tcPr>
            <w:tcW w:w="2329" w:type="dxa"/>
          </w:tcPr>
          <w:p w14:paraId="24789217" w14:textId="77777777" w:rsidR="009260C7" w:rsidRPr="00D57F5E" w:rsidRDefault="009260C7" w:rsidP="00777C9E">
            <w:pPr>
              <w:pStyle w:val="TableParagraph"/>
              <w:spacing w:before="12"/>
              <w:ind w:left="-2"/>
              <w:rPr>
                <w:rFonts w:ascii="Arial" w:hAnsi="Arial" w:cs="Arial"/>
                <w:sz w:val="18"/>
                <w:szCs w:val="18"/>
              </w:rPr>
            </w:pPr>
            <w:r w:rsidRPr="00D57F5E">
              <w:rPr>
                <w:rFonts w:ascii="Arial" w:hAnsi="Arial" w:cs="Arial"/>
                <w:sz w:val="18"/>
                <w:szCs w:val="18"/>
              </w:rPr>
              <w:t>0.01</w:t>
            </w:r>
          </w:p>
        </w:tc>
        <w:tc>
          <w:tcPr>
            <w:tcW w:w="1595" w:type="dxa"/>
          </w:tcPr>
          <w:p w14:paraId="40894CE7" w14:textId="77777777" w:rsidR="009260C7" w:rsidRPr="00D57F5E" w:rsidRDefault="009260C7" w:rsidP="00777C9E">
            <w:pPr>
              <w:pStyle w:val="TableParagraph"/>
              <w:spacing w:before="12"/>
              <w:rPr>
                <w:rFonts w:ascii="Arial" w:hAnsi="Arial" w:cs="Arial"/>
                <w:spacing w:val="-2"/>
                <w:sz w:val="18"/>
                <w:szCs w:val="18"/>
              </w:rPr>
            </w:pPr>
            <w:r w:rsidRPr="00D57F5E">
              <w:rPr>
                <w:rFonts w:ascii="Arial" w:hAnsi="Arial" w:cs="Arial"/>
                <w:spacing w:val="-2"/>
                <w:sz w:val="18"/>
                <w:szCs w:val="18"/>
              </w:rPr>
              <w:t>380.33</w:t>
            </w:r>
          </w:p>
        </w:tc>
      </w:tr>
      <w:tr w:rsidR="009260C7" w14:paraId="147E5042" w14:textId="77777777" w:rsidTr="00DC7D2D">
        <w:trPr>
          <w:trHeight w:val="250"/>
        </w:trPr>
        <w:tc>
          <w:tcPr>
            <w:tcW w:w="2340" w:type="dxa"/>
          </w:tcPr>
          <w:p w14:paraId="457ED9B0" w14:textId="1B06B696" w:rsidR="009260C7" w:rsidRPr="00D57F5E" w:rsidRDefault="009260C7" w:rsidP="00777C9E">
            <w:pPr>
              <w:pStyle w:val="TableParagraph"/>
              <w:spacing w:before="19"/>
              <w:ind w:left="0"/>
              <w:rPr>
                <w:rFonts w:ascii="Arial" w:hAnsi="Arial" w:cs="Arial"/>
                <w:sz w:val="18"/>
                <w:szCs w:val="18"/>
              </w:rPr>
            </w:pPr>
            <w:r w:rsidRPr="00D57F5E">
              <w:rPr>
                <w:rFonts w:ascii="Arial" w:hAnsi="Arial" w:cs="Arial"/>
                <w:sz w:val="18"/>
                <w:szCs w:val="18"/>
              </w:rPr>
              <w:t>Starch drying</w:t>
            </w:r>
            <w:r w:rsidR="00EF13DB" w:rsidRPr="00D57F5E">
              <w:rPr>
                <w:rFonts w:ascii="Arial" w:hAnsi="Arial" w:cs="Arial"/>
                <w:sz w:val="18"/>
                <w:szCs w:val="18"/>
              </w:rPr>
              <w:t>-2</w:t>
            </w:r>
          </w:p>
        </w:tc>
        <w:tc>
          <w:tcPr>
            <w:tcW w:w="2430" w:type="dxa"/>
          </w:tcPr>
          <w:p w14:paraId="2E722183" w14:textId="77777777" w:rsidR="009260C7" w:rsidRPr="00D57F5E" w:rsidRDefault="009260C7" w:rsidP="00777C9E">
            <w:pPr>
              <w:pStyle w:val="TableParagraph"/>
              <w:spacing w:before="19"/>
              <w:ind w:left="159"/>
              <w:rPr>
                <w:rFonts w:ascii="Arial" w:hAnsi="Arial" w:cs="Arial"/>
                <w:sz w:val="18"/>
                <w:szCs w:val="18"/>
              </w:rPr>
            </w:pPr>
            <w:r w:rsidRPr="00D57F5E">
              <w:rPr>
                <w:rFonts w:ascii="Arial" w:hAnsi="Arial" w:cs="Arial"/>
                <w:spacing w:val="-2"/>
                <w:sz w:val="18"/>
                <w:szCs w:val="18"/>
              </w:rPr>
              <w:t>378.00</w:t>
            </w:r>
          </w:p>
        </w:tc>
        <w:tc>
          <w:tcPr>
            <w:tcW w:w="2329" w:type="dxa"/>
          </w:tcPr>
          <w:p w14:paraId="6B7C59A2" w14:textId="77777777" w:rsidR="009260C7" w:rsidRPr="00D57F5E" w:rsidRDefault="009260C7" w:rsidP="00777C9E">
            <w:pPr>
              <w:pStyle w:val="TableParagraph"/>
              <w:spacing w:before="19"/>
              <w:ind w:left="-2"/>
              <w:rPr>
                <w:rFonts w:ascii="Arial" w:hAnsi="Arial" w:cs="Arial"/>
                <w:sz w:val="18"/>
                <w:szCs w:val="18"/>
              </w:rPr>
            </w:pPr>
            <w:r w:rsidRPr="00D57F5E">
              <w:rPr>
                <w:rFonts w:ascii="Arial" w:hAnsi="Arial" w:cs="Arial"/>
                <w:spacing w:val="-2"/>
                <w:sz w:val="18"/>
                <w:szCs w:val="18"/>
              </w:rPr>
              <w:t>1.36</w:t>
            </w:r>
          </w:p>
        </w:tc>
        <w:tc>
          <w:tcPr>
            <w:tcW w:w="1595" w:type="dxa"/>
          </w:tcPr>
          <w:p w14:paraId="1C877ACA" w14:textId="77777777" w:rsidR="009260C7" w:rsidRPr="00D57F5E" w:rsidRDefault="009260C7" w:rsidP="00777C9E">
            <w:pPr>
              <w:pStyle w:val="TableParagraph"/>
              <w:spacing w:before="19"/>
              <w:rPr>
                <w:rFonts w:ascii="Arial" w:hAnsi="Arial" w:cs="Arial"/>
                <w:sz w:val="18"/>
                <w:szCs w:val="18"/>
              </w:rPr>
            </w:pPr>
            <w:r w:rsidRPr="00D57F5E">
              <w:rPr>
                <w:rFonts w:ascii="Arial" w:hAnsi="Arial" w:cs="Arial"/>
                <w:spacing w:val="-2"/>
                <w:sz w:val="18"/>
                <w:szCs w:val="18"/>
              </w:rPr>
              <w:t>379.85</w:t>
            </w:r>
          </w:p>
        </w:tc>
      </w:tr>
      <w:tr w:rsidR="009260C7" w14:paraId="2F8BA3F1" w14:textId="77777777" w:rsidTr="005B635F">
        <w:trPr>
          <w:trHeight w:val="249"/>
        </w:trPr>
        <w:tc>
          <w:tcPr>
            <w:tcW w:w="2340" w:type="dxa"/>
          </w:tcPr>
          <w:p w14:paraId="4CD9A248" w14:textId="77777777" w:rsidR="009260C7" w:rsidRPr="00D57F5E" w:rsidRDefault="009260C7" w:rsidP="00777C9E">
            <w:pPr>
              <w:pStyle w:val="TableParagraph"/>
              <w:ind w:left="14"/>
              <w:rPr>
                <w:rFonts w:ascii="Arial" w:hAnsi="Arial" w:cs="Arial"/>
                <w:sz w:val="18"/>
                <w:szCs w:val="18"/>
              </w:rPr>
            </w:pPr>
            <w:r w:rsidRPr="00D57F5E">
              <w:rPr>
                <w:rFonts w:ascii="Arial" w:hAnsi="Arial" w:cs="Arial"/>
                <w:sz w:val="18"/>
                <w:szCs w:val="18"/>
              </w:rPr>
              <w:t>Gelatinization</w:t>
            </w:r>
          </w:p>
        </w:tc>
        <w:tc>
          <w:tcPr>
            <w:tcW w:w="2430" w:type="dxa"/>
          </w:tcPr>
          <w:p w14:paraId="543387BC" w14:textId="77777777" w:rsidR="009260C7" w:rsidRPr="00D57F5E" w:rsidRDefault="009260C7" w:rsidP="00777C9E">
            <w:pPr>
              <w:pStyle w:val="TableParagraph"/>
              <w:ind w:left="0"/>
              <w:rPr>
                <w:rFonts w:ascii="Arial" w:hAnsi="Arial" w:cs="Arial"/>
                <w:sz w:val="18"/>
                <w:szCs w:val="18"/>
              </w:rPr>
            </w:pPr>
            <w:r w:rsidRPr="00D57F5E">
              <w:rPr>
                <w:rFonts w:ascii="Arial" w:hAnsi="Arial" w:cs="Arial"/>
                <w:spacing w:val="-2"/>
                <w:sz w:val="18"/>
                <w:szCs w:val="18"/>
              </w:rPr>
              <w:t xml:space="preserve">   0.00</w:t>
            </w:r>
          </w:p>
        </w:tc>
        <w:tc>
          <w:tcPr>
            <w:tcW w:w="2329" w:type="dxa"/>
          </w:tcPr>
          <w:p w14:paraId="57EB207F" w14:textId="77777777" w:rsidR="009260C7" w:rsidRPr="00D57F5E" w:rsidRDefault="009260C7" w:rsidP="00777C9E">
            <w:pPr>
              <w:pStyle w:val="TableParagraph"/>
              <w:ind w:left="-2"/>
              <w:rPr>
                <w:rFonts w:ascii="Arial" w:hAnsi="Arial" w:cs="Arial"/>
                <w:sz w:val="18"/>
                <w:szCs w:val="18"/>
              </w:rPr>
            </w:pPr>
            <w:r w:rsidRPr="00D57F5E">
              <w:rPr>
                <w:rFonts w:ascii="Arial" w:hAnsi="Arial" w:cs="Arial"/>
                <w:spacing w:val="-4"/>
                <w:sz w:val="18"/>
                <w:szCs w:val="18"/>
              </w:rPr>
              <w:t>2.67</w:t>
            </w:r>
          </w:p>
        </w:tc>
        <w:tc>
          <w:tcPr>
            <w:tcW w:w="1595" w:type="dxa"/>
          </w:tcPr>
          <w:p w14:paraId="724A82DF" w14:textId="77777777" w:rsidR="009260C7" w:rsidRPr="00D57F5E" w:rsidRDefault="009260C7" w:rsidP="00777C9E">
            <w:pPr>
              <w:pStyle w:val="TableParagraph"/>
              <w:rPr>
                <w:rFonts w:ascii="Arial" w:hAnsi="Arial" w:cs="Arial"/>
                <w:sz w:val="18"/>
                <w:szCs w:val="18"/>
              </w:rPr>
            </w:pPr>
            <w:r w:rsidRPr="00D57F5E">
              <w:rPr>
                <w:rFonts w:ascii="Arial" w:hAnsi="Arial" w:cs="Arial"/>
                <w:spacing w:val="-2"/>
                <w:sz w:val="18"/>
                <w:szCs w:val="18"/>
              </w:rPr>
              <w:t>3.07</w:t>
            </w:r>
          </w:p>
        </w:tc>
      </w:tr>
      <w:tr w:rsidR="009260C7" w14:paraId="6FD18A40" w14:textId="77777777" w:rsidTr="00DC7D2D">
        <w:trPr>
          <w:trHeight w:val="249"/>
        </w:trPr>
        <w:tc>
          <w:tcPr>
            <w:tcW w:w="2340" w:type="dxa"/>
          </w:tcPr>
          <w:p w14:paraId="1B1D2301" w14:textId="407C9A54" w:rsidR="009260C7" w:rsidRPr="00D57F5E" w:rsidRDefault="00EF13DB" w:rsidP="00777C9E">
            <w:pPr>
              <w:pStyle w:val="TableParagraph"/>
              <w:ind w:left="14"/>
              <w:rPr>
                <w:rFonts w:ascii="Arial" w:hAnsi="Arial" w:cs="Arial"/>
                <w:sz w:val="18"/>
                <w:szCs w:val="18"/>
              </w:rPr>
            </w:pPr>
            <w:r w:rsidRPr="00D57F5E">
              <w:rPr>
                <w:rFonts w:ascii="Arial" w:hAnsi="Arial" w:cs="Arial"/>
                <w:sz w:val="18"/>
                <w:szCs w:val="18"/>
              </w:rPr>
              <w:t>Biofilm drying</w:t>
            </w:r>
          </w:p>
        </w:tc>
        <w:tc>
          <w:tcPr>
            <w:tcW w:w="2430" w:type="dxa"/>
          </w:tcPr>
          <w:p w14:paraId="47D497A8" w14:textId="77777777" w:rsidR="009260C7" w:rsidRPr="00D57F5E" w:rsidRDefault="009260C7" w:rsidP="00777C9E">
            <w:pPr>
              <w:pStyle w:val="TableParagraph"/>
              <w:ind w:left="159"/>
              <w:rPr>
                <w:rFonts w:ascii="Arial" w:hAnsi="Arial" w:cs="Arial"/>
                <w:sz w:val="18"/>
                <w:szCs w:val="18"/>
              </w:rPr>
            </w:pPr>
            <w:r w:rsidRPr="00D57F5E">
              <w:rPr>
                <w:rFonts w:ascii="Arial" w:hAnsi="Arial" w:cs="Arial"/>
                <w:spacing w:val="-2"/>
                <w:sz w:val="18"/>
                <w:szCs w:val="18"/>
              </w:rPr>
              <w:t>272.00</w:t>
            </w:r>
          </w:p>
        </w:tc>
        <w:tc>
          <w:tcPr>
            <w:tcW w:w="2329" w:type="dxa"/>
          </w:tcPr>
          <w:p w14:paraId="41CAEE02" w14:textId="77777777" w:rsidR="009260C7" w:rsidRPr="00D57F5E" w:rsidRDefault="009260C7" w:rsidP="00777C9E">
            <w:pPr>
              <w:pStyle w:val="TableParagraph"/>
              <w:ind w:left="-2"/>
              <w:rPr>
                <w:rFonts w:ascii="Arial" w:hAnsi="Arial" w:cs="Arial"/>
                <w:sz w:val="18"/>
                <w:szCs w:val="18"/>
              </w:rPr>
            </w:pPr>
            <w:r w:rsidRPr="00D57F5E">
              <w:rPr>
                <w:rFonts w:ascii="Arial" w:hAnsi="Arial" w:cs="Arial"/>
                <w:spacing w:val="-2"/>
                <w:sz w:val="18"/>
                <w:szCs w:val="18"/>
              </w:rPr>
              <w:t>0.31</w:t>
            </w:r>
          </w:p>
        </w:tc>
        <w:tc>
          <w:tcPr>
            <w:tcW w:w="1595" w:type="dxa"/>
          </w:tcPr>
          <w:p w14:paraId="2119A4BC" w14:textId="77777777" w:rsidR="009260C7" w:rsidRPr="00D57F5E" w:rsidRDefault="009260C7" w:rsidP="00777C9E">
            <w:pPr>
              <w:pStyle w:val="TableParagraph"/>
              <w:rPr>
                <w:rFonts w:ascii="Arial" w:hAnsi="Arial" w:cs="Arial"/>
                <w:sz w:val="18"/>
                <w:szCs w:val="18"/>
              </w:rPr>
            </w:pPr>
            <w:r w:rsidRPr="00D57F5E">
              <w:rPr>
                <w:rFonts w:ascii="Arial" w:hAnsi="Arial" w:cs="Arial"/>
                <w:spacing w:val="-2"/>
                <w:sz w:val="18"/>
                <w:szCs w:val="18"/>
              </w:rPr>
              <w:t>345.61</w:t>
            </w:r>
          </w:p>
        </w:tc>
      </w:tr>
      <w:tr w:rsidR="009260C7" w14:paraId="084C93A7" w14:textId="77777777" w:rsidTr="005B635F">
        <w:trPr>
          <w:trHeight w:val="249"/>
        </w:trPr>
        <w:tc>
          <w:tcPr>
            <w:tcW w:w="2340" w:type="dxa"/>
          </w:tcPr>
          <w:p w14:paraId="54B19DCE" w14:textId="77777777" w:rsidR="009260C7" w:rsidRPr="00D57F5E" w:rsidRDefault="009260C7" w:rsidP="00777C9E">
            <w:pPr>
              <w:pStyle w:val="TableParagraph"/>
              <w:ind w:left="14"/>
              <w:rPr>
                <w:rFonts w:ascii="Arial" w:hAnsi="Arial" w:cs="Arial"/>
                <w:sz w:val="18"/>
                <w:szCs w:val="18"/>
              </w:rPr>
            </w:pPr>
            <w:r w:rsidRPr="00D57F5E">
              <w:rPr>
                <w:rFonts w:ascii="Arial" w:hAnsi="Arial" w:cs="Arial"/>
                <w:sz w:val="18"/>
                <w:szCs w:val="18"/>
              </w:rPr>
              <w:t xml:space="preserve">Hydrolysis </w:t>
            </w:r>
          </w:p>
        </w:tc>
        <w:tc>
          <w:tcPr>
            <w:tcW w:w="2430" w:type="dxa"/>
          </w:tcPr>
          <w:p w14:paraId="3CFFB8AF" w14:textId="77777777" w:rsidR="009260C7" w:rsidRPr="00D57F5E" w:rsidRDefault="009260C7" w:rsidP="00777C9E">
            <w:pPr>
              <w:pStyle w:val="TableParagraph"/>
              <w:ind w:left="159"/>
              <w:rPr>
                <w:rFonts w:ascii="Arial" w:hAnsi="Arial" w:cs="Arial"/>
                <w:sz w:val="18"/>
                <w:szCs w:val="18"/>
              </w:rPr>
            </w:pPr>
            <w:r w:rsidRPr="00D57F5E">
              <w:rPr>
                <w:rFonts w:ascii="Arial" w:hAnsi="Arial" w:cs="Arial"/>
                <w:sz w:val="18"/>
                <w:szCs w:val="18"/>
              </w:rPr>
              <w:t>0.00</w:t>
            </w:r>
          </w:p>
        </w:tc>
        <w:tc>
          <w:tcPr>
            <w:tcW w:w="2329" w:type="dxa"/>
          </w:tcPr>
          <w:p w14:paraId="395CEB0A" w14:textId="77777777" w:rsidR="009260C7" w:rsidRPr="00D57F5E" w:rsidRDefault="009260C7" w:rsidP="00777C9E">
            <w:pPr>
              <w:pStyle w:val="TableParagraph"/>
              <w:ind w:left="-2"/>
              <w:rPr>
                <w:rFonts w:ascii="Arial" w:hAnsi="Arial" w:cs="Arial"/>
                <w:sz w:val="18"/>
                <w:szCs w:val="18"/>
              </w:rPr>
            </w:pPr>
            <w:r w:rsidRPr="00D57F5E">
              <w:rPr>
                <w:rFonts w:ascii="Arial" w:hAnsi="Arial" w:cs="Arial"/>
                <w:spacing w:val="-4"/>
                <w:sz w:val="18"/>
                <w:szCs w:val="18"/>
              </w:rPr>
              <w:t>268.25</w:t>
            </w:r>
          </w:p>
        </w:tc>
        <w:tc>
          <w:tcPr>
            <w:tcW w:w="1595" w:type="dxa"/>
          </w:tcPr>
          <w:p w14:paraId="3CB1B3D4" w14:textId="77777777" w:rsidR="009260C7" w:rsidRPr="00D57F5E" w:rsidRDefault="009260C7" w:rsidP="00777C9E">
            <w:pPr>
              <w:pStyle w:val="TableParagraph"/>
              <w:rPr>
                <w:rFonts w:ascii="Arial" w:hAnsi="Arial" w:cs="Arial"/>
                <w:sz w:val="18"/>
                <w:szCs w:val="18"/>
              </w:rPr>
            </w:pPr>
            <w:r w:rsidRPr="00D57F5E">
              <w:rPr>
                <w:rFonts w:ascii="Arial" w:hAnsi="Arial" w:cs="Arial"/>
                <w:spacing w:val="-2"/>
                <w:sz w:val="18"/>
                <w:szCs w:val="18"/>
              </w:rPr>
              <w:t>213.05</w:t>
            </w:r>
          </w:p>
        </w:tc>
      </w:tr>
      <w:tr w:rsidR="009260C7" w14:paraId="4F73A644" w14:textId="77777777" w:rsidTr="00DC7D2D">
        <w:trPr>
          <w:trHeight w:val="249"/>
        </w:trPr>
        <w:tc>
          <w:tcPr>
            <w:tcW w:w="2340" w:type="dxa"/>
          </w:tcPr>
          <w:p w14:paraId="7CC913A7" w14:textId="77777777" w:rsidR="009260C7" w:rsidRPr="00D57F5E" w:rsidRDefault="009260C7" w:rsidP="00777C9E">
            <w:pPr>
              <w:pStyle w:val="TableParagraph"/>
              <w:ind w:left="0"/>
              <w:rPr>
                <w:rFonts w:ascii="Arial" w:hAnsi="Arial" w:cs="Arial"/>
                <w:sz w:val="18"/>
                <w:szCs w:val="18"/>
              </w:rPr>
            </w:pPr>
            <w:r w:rsidRPr="00D57F5E">
              <w:rPr>
                <w:rFonts w:ascii="Arial" w:hAnsi="Arial" w:cs="Arial"/>
                <w:sz w:val="18"/>
                <w:szCs w:val="18"/>
              </w:rPr>
              <w:t>Fermentation</w:t>
            </w:r>
          </w:p>
        </w:tc>
        <w:tc>
          <w:tcPr>
            <w:tcW w:w="2430" w:type="dxa"/>
          </w:tcPr>
          <w:p w14:paraId="4903F164" w14:textId="77777777" w:rsidR="009260C7" w:rsidRPr="00D57F5E" w:rsidRDefault="009260C7" w:rsidP="00777C9E">
            <w:pPr>
              <w:pStyle w:val="TableParagraph"/>
              <w:ind w:left="159"/>
              <w:rPr>
                <w:rFonts w:ascii="Arial" w:hAnsi="Arial" w:cs="Arial"/>
                <w:sz w:val="18"/>
                <w:szCs w:val="18"/>
              </w:rPr>
            </w:pPr>
            <w:r w:rsidRPr="00D57F5E">
              <w:rPr>
                <w:rFonts w:ascii="Arial" w:hAnsi="Arial" w:cs="Arial"/>
                <w:spacing w:val="-2"/>
                <w:sz w:val="18"/>
                <w:szCs w:val="18"/>
              </w:rPr>
              <w:t>0.03</w:t>
            </w:r>
          </w:p>
        </w:tc>
        <w:tc>
          <w:tcPr>
            <w:tcW w:w="2329" w:type="dxa"/>
          </w:tcPr>
          <w:p w14:paraId="37506FC2" w14:textId="77777777" w:rsidR="009260C7" w:rsidRPr="00D57F5E" w:rsidRDefault="009260C7" w:rsidP="00777C9E">
            <w:pPr>
              <w:pStyle w:val="TableParagraph"/>
              <w:ind w:left="-2"/>
              <w:rPr>
                <w:rFonts w:ascii="Arial" w:hAnsi="Arial" w:cs="Arial"/>
                <w:sz w:val="18"/>
                <w:szCs w:val="18"/>
              </w:rPr>
            </w:pPr>
            <w:r w:rsidRPr="00D57F5E">
              <w:rPr>
                <w:rFonts w:ascii="Arial" w:hAnsi="Arial" w:cs="Arial"/>
                <w:spacing w:val="-4"/>
                <w:sz w:val="18"/>
                <w:szCs w:val="18"/>
              </w:rPr>
              <w:t>266.14</w:t>
            </w:r>
          </w:p>
        </w:tc>
        <w:tc>
          <w:tcPr>
            <w:tcW w:w="1595" w:type="dxa"/>
          </w:tcPr>
          <w:p w14:paraId="23DC2491" w14:textId="77777777" w:rsidR="009260C7" w:rsidRPr="00D57F5E" w:rsidRDefault="009260C7" w:rsidP="00777C9E">
            <w:pPr>
              <w:pStyle w:val="TableParagraph"/>
              <w:rPr>
                <w:rFonts w:ascii="Arial" w:hAnsi="Arial" w:cs="Arial"/>
                <w:sz w:val="18"/>
                <w:szCs w:val="18"/>
              </w:rPr>
            </w:pPr>
            <w:r w:rsidRPr="00D57F5E">
              <w:rPr>
                <w:rFonts w:ascii="Arial" w:hAnsi="Arial" w:cs="Arial"/>
                <w:spacing w:val="-2"/>
                <w:sz w:val="18"/>
                <w:szCs w:val="18"/>
              </w:rPr>
              <w:t>328.31</w:t>
            </w:r>
          </w:p>
        </w:tc>
      </w:tr>
      <w:tr w:rsidR="009260C7" w14:paraId="6CF1CFD4" w14:textId="77777777" w:rsidTr="005B635F">
        <w:trPr>
          <w:trHeight w:val="251"/>
        </w:trPr>
        <w:tc>
          <w:tcPr>
            <w:tcW w:w="2340" w:type="dxa"/>
          </w:tcPr>
          <w:p w14:paraId="22BE6582" w14:textId="77777777" w:rsidR="009260C7" w:rsidRPr="00D57F5E" w:rsidRDefault="009260C7" w:rsidP="00777C9E">
            <w:pPr>
              <w:pStyle w:val="TableParagraph"/>
              <w:ind w:left="14"/>
              <w:rPr>
                <w:rFonts w:ascii="Arial" w:hAnsi="Arial" w:cs="Arial"/>
                <w:sz w:val="18"/>
                <w:szCs w:val="18"/>
              </w:rPr>
            </w:pPr>
            <w:r w:rsidRPr="00D57F5E">
              <w:rPr>
                <w:rFonts w:ascii="Arial" w:hAnsi="Arial" w:cs="Arial"/>
                <w:sz w:val="18"/>
                <w:szCs w:val="18"/>
              </w:rPr>
              <w:t>Neutralization</w:t>
            </w:r>
          </w:p>
        </w:tc>
        <w:tc>
          <w:tcPr>
            <w:tcW w:w="2430" w:type="dxa"/>
          </w:tcPr>
          <w:p w14:paraId="7D48E7CB" w14:textId="77777777" w:rsidR="009260C7" w:rsidRPr="00D57F5E" w:rsidRDefault="009260C7" w:rsidP="00777C9E">
            <w:pPr>
              <w:pStyle w:val="TableParagraph"/>
              <w:ind w:left="159"/>
              <w:rPr>
                <w:rFonts w:ascii="Arial" w:hAnsi="Arial" w:cs="Arial"/>
                <w:sz w:val="18"/>
                <w:szCs w:val="18"/>
              </w:rPr>
            </w:pPr>
            <w:r w:rsidRPr="00D57F5E">
              <w:rPr>
                <w:rFonts w:ascii="Arial" w:hAnsi="Arial" w:cs="Arial"/>
                <w:spacing w:val="-2"/>
                <w:sz w:val="18"/>
                <w:szCs w:val="18"/>
              </w:rPr>
              <w:t>0.00</w:t>
            </w:r>
          </w:p>
        </w:tc>
        <w:tc>
          <w:tcPr>
            <w:tcW w:w="2329" w:type="dxa"/>
          </w:tcPr>
          <w:p w14:paraId="70F14018" w14:textId="77777777" w:rsidR="009260C7" w:rsidRPr="00D57F5E" w:rsidRDefault="009260C7" w:rsidP="00777C9E">
            <w:pPr>
              <w:pStyle w:val="TableParagraph"/>
              <w:ind w:left="-2"/>
              <w:rPr>
                <w:rFonts w:ascii="Arial" w:hAnsi="Arial" w:cs="Arial"/>
                <w:sz w:val="18"/>
                <w:szCs w:val="18"/>
              </w:rPr>
            </w:pPr>
            <w:r w:rsidRPr="00D57F5E">
              <w:rPr>
                <w:rFonts w:ascii="Arial" w:hAnsi="Arial" w:cs="Arial"/>
                <w:spacing w:val="-4"/>
                <w:sz w:val="18"/>
                <w:szCs w:val="18"/>
              </w:rPr>
              <w:t>86.78</w:t>
            </w:r>
          </w:p>
        </w:tc>
        <w:tc>
          <w:tcPr>
            <w:tcW w:w="1595" w:type="dxa"/>
          </w:tcPr>
          <w:p w14:paraId="7234C18A" w14:textId="77777777" w:rsidR="009260C7" w:rsidRPr="00D57F5E" w:rsidRDefault="009260C7" w:rsidP="00777C9E">
            <w:pPr>
              <w:pStyle w:val="TableParagraph"/>
              <w:rPr>
                <w:rFonts w:ascii="Arial" w:hAnsi="Arial" w:cs="Arial"/>
                <w:sz w:val="18"/>
                <w:szCs w:val="18"/>
              </w:rPr>
            </w:pPr>
            <w:r w:rsidRPr="00D57F5E">
              <w:rPr>
                <w:rFonts w:ascii="Arial" w:hAnsi="Arial" w:cs="Arial"/>
                <w:spacing w:val="-2"/>
                <w:sz w:val="18"/>
                <w:szCs w:val="18"/>
              </w:rPr>
              <w:t>131.45</w:t>
            </w:r>
          </w:p>
        </w:tc>
      </w:tr>
      <w:tr w:rsidR="009260C7" w14:paraId="56E13194" w14:textId="77777777" w:rsidTr="00DC7D2D">
        <w:trPr>
          <w:trHeight w:val="269"/>
        </w:trPr>
        <w:tc>
          <w:tcPr>
            <w:tcW w:w="2340" w:type="dxa"/>
          </w:tcPr>
          <w:p w14:paraId="13BEEC3C" w14:textId="77777777" w:rsidR="009260C7" w:rsidRPr="00D57F5E" w:rsidRDefault="009260C7" w:rsidP="00777C9E">
            <w:pPr>
              <w:pStyle w:val="TableParagraph"/>
              <w:spacing w:before="19"/>
              <w:ind w:left="14"/>
              <w:rPr>
                <w:rFonts w:ascii="Arial" w:hAnsi="Arial" w:cs="Arial"/>
                <w:sz w:val="18"/>
                <w:szCs w:val="18"/>
              </w:rPr>
            </w:pPr>
            <w:r w:rsidRPr="00D57F5E">
              <w:rPr>
                <w:rFonts w:ascii="Arial" w:hAnsi="Arial" w:cs="Arial"/>
                <w:sz w:val="18"/>
                <w:szCs w:val="18"/>
              </w:rPr>
              <w:t>Filtration</w:t>
            </w:r>
          </w:p>
        </w:tc>
        <w:tc>
          <w:tcPr>
            <w:tcW w:w="2430" w:type="dxa"/>
          </w:tcPr>
          <w:p w14:paraId="1E7962C9" w14:textId="77777777" w:rsidR="009260C7" w:rsidRPr="00D57F5E" w:rsidRDefault="009260C7" w:rsidP="00777C9E">
            <w:pPr>
              <w:pStyle w:val="TableParagraph"/>
              <w:spacing w:before="19"/>
              <w:ind w:left="159"/>
              <w:rPr>
                <w:rFonts w:ascii="Arial" w:hAnsi="Arial" w:cs="Arial"/>
                <w:sz w:val="18"/>
                <w:szCs w:val="18"/>
              </w:rPr>
            </w:pPr>
            <w:r w:rsidRPr="00D57F5E">
              <w:rPr>
                <w:rFonts w:ascii="Arial" w:hAnsi="Arial" w:cs="Arial"/>
                <w:spacing w:val="-2"/>
                <w:sz w:val="18"/>
                <w:szCs w:val="18"/>
              </w:rPr>
              <w:t>39.60</w:t>
            </w:r>
          </w:p>
        </w:tc>
        <w:tc>
          <w:tcPr>
            <w:tcW w:w="2329" w:type="dxa"/>
          </w:tcPr>
          <w:p w14:paraId="31CF7A35" w14:textId="77777777" w:rsidR="009260C7" w:rsidRPr="00D57F5E" w:rsidRDefault="009260C7" w:rsidP="00777C9E">
            <w:pPr>
              <w:pStyle w:val="TableParagraph"/>
              <w:spacing w:before="19"/>
              <w:ind w:left="-2"/>
              <w:rPr>
                <w:rFonts w:ascii="Arial" w:hAnsi="Arial" w:cs="Arial"/>
                <w:sz w:val="18"/>
                <w:szCs w:val="18"/>
              </w:rPr>
            </w:pPr>
            <w:r w:rsidRPr="00D57F5E">
              <w:rPr>
                <w:rFonts w:ascii="Arial" w:hAnsi="Arial" w:cs="Arial"/>
                <w:spacing w:val="-2"/>
                <w:sz w:val="18"/>
                <w:szCs w:val="18"/>
              </w:rPr>
              <w:t>0.00</w:t>
            </w:r>
          </w:p>
        </w:tc>
        <w:tc>
          <w:tcPr>
            <w:tcW w:w="1595" w:type="dxa"/>
          </w:tcPr>
          <w:p w14:paraId="7F901E23" w14:textId="77777777" w:rsidR="009260C7" w:rsidRPr="00D57F5E" w:rsidRDefault="009260C7" w:rsidP="00777C9E">
            <w:pPr>
              <w:pStyle w:val="TableParagraph"/>
              <w:spacing w:before="19"/>
              <w:rPr>
                <w:rFonts w:ascii="Arial" w:hAnsi="Arial" w:cs="Arial"/>
                <w:sz w:val="18"/>
                <w:szCs w:val="18"/>
              </w:rPr>
            </w:pPr>
            <w:r w:rsidRPr="00D57F5E">
              <w:rPr>
                <w:rFonts w:ascii="Arial" w:hAnsi="Arial" w:cs="Arial"/>
                <w:spacing w:val="-2"/>
                <w:sz w:val="18"/>
                <w:szCs w:val="18"/>
              </w:rPr>
              <w:t>130.36</w:t>
            </w:r>
          </w:p>
        </w:tc>
      </w:tr>
      <w:tr w:rsidR="009260C7" w14:paraId="3123E1C1" w14:textId="77777777" w:rsidTr="005B635F">
        <w:trPr>
          <w:trHeight w:val="269"/>
        </w:trPr>
        <w:tc>
          <w:tcPr>
            <w:tcW w:w="2340" w:type="dxa"/>
          </w:tcPr>
          <w:p w14:paraId="1837E731" w14:textId="368AE044" w:rsidR="009260C7" w:rsidRPr="00D57F5E" w:rsidRDefault="009260C7" w:rsidP="00777C9E">
            <w:pPr>
              <w:pStyle w:val="TableParagraph"/>
              <w:spacing w:before="19"/>
              <w:ind w:left="14"/>
              <w:rPr>
                <w:rFonts w:ascii="Arial" w:hAnsi="Arial" w:cs="Arial"/>
                <w:sz w:val="18"/>
                <w:szCs w:val="18"/>
              </w:rPr>
            </w:pPr>
            <w:r w:rsidRPr="00D57F5E">
              <w:rPr>
                <w:rFonts w:ascii="Arial" w:hAnsi="Arial" w:cs="Arial"/>
                <w:sz w:val="18"/>
                <w:szCs w:val="18"/>
              </w:rPr>
              <w:t xml:space="preserve">Flash </w:t>
            </w:r>
            <w:r w:rsidR="00EF13DB" w:rsidRPr="00D57F5E">
              <w:rPr>
                <w:rFonts w:ascii="Arial" w:hAnsi="Arial" w:cs="Arial"/>
                <w:sz w:val="18"/>
                <w:szCs w:val="18"/>
              </w:rPr>
              <w:t>separation-1</w:t>
            </w:r>
          </w:p>
        </w:tc>
        <w:tc>
          <w:tcPr>
            <w:tcW w:w="2430" w:type="dxa"/>
          </w:tcPr>
          <w:p w14:paraId="33ACEFE9" w14:textId="77777777" w:rsidR="009260C7" w:rsidRPr="00D57F5E" w:rsidRDefault="009260C7" w:rsidP="00777C9E">
            <w:pPr>
              <w:pStyle w:val="TableParagraph"/>
              <w:spacing w:before="19"/>
              <w:ind w:left="159"/>
              <w:rPr>
                <w:rFonts w:ascii="Arial" w:hAnsi="Arial" w:cs="Arial"/>
                <w:spacing w:val="-2"/>
                <w:sz w:val="18"/>
                <w:szCs w:val="18"/>
              </w:rPr>
            </w:pPr>
            <w:r w:rsidRPr="00D57F5E">
              <w:rPr>
                <w:rFonts w:ascii="Arial" w:hAnsi="Arial" w:cs="Arial"/>
                <w:spacing w:val="-2"/>
                <w:sz w:val="18"/>
                <w:szCs w:val="18"/>
              </w:rPr>
              <w:t>16.25</w:t>
            </w:r>
          </w:p>
        </w:tc>
        <w:tc>
          <w:tcPr>
            <w:tcW w:w="2329" w:type="dxa"/>
          </w:tcPr>
          <w:p w14:paraId="0C7C7E76" w14:textId="77777777" w:rsidR="009260C7" w:rsidRPr="00D57F5E" w:rsidRDefault="009260C7" w:rsidP="00777C9E">
            <w:pPr>
              <w:pStyle w:val="TableParagraph"/>
              <w:spacing w:before="19"/>
              <w:ind w:left="-2"/>
              <w:rPr>
                <w:rFonts w:ascii="Arial" w:hAnsi="Arial" w:cs="Arial"/>
                <w:spacing w:val="-2"/>
                <w:sz w:val="18"/>
                <w:szCs w:val="18"/>
              </w:rPr>
            </w:pPr>
            <w:r w:rsidRPr="00D57F5E">
              <w:rPr>
                <w:rFonts w:ascii="Arial" w:hAnsi="Arial" w:cs="Arial"/>
                <w:spacing w:val="-2"/>
                <w:sz w:val="18"/>
                <w:szCs w:val="18"/>
              </w:rPr>
              <w:t>269.39</w:t>
            </w:r>
          </w:p>
        </w:tc>
        <w:tc>
          <w:tcPr>
            <w:tcW w:w="1595" w:type="dxa"/>
          </w:tcPr>
          <w:p w14:paraId="1F0C2CEA" w14:textId="77777777" w:rsidR="009260C7" w:rsidRPr="00D57F5E" w:rsidRDefault="009260C7" w:rsidP="00777C9E">
            <w:pPr>
              <w:pStyle w:val="TableParagraph"/>
              <w:spacing w:before="19"/>
              <w:rPr>
                <w:rFonts w:ascii="Arial" w:hAnsi="Arial" w:cs="Arial"/>
                <w:spacing w:val="-2"/>
                <w:sz w:val="18"/>
                <w:szCs w:val="18"/>
              </w:rPr>
            </w:pPr>
            <w:r w:rsidRPr="00D57F5E">
              <w:rPr>
                <w:rFonts w:ascii="Arial" w:hAnsi="Arial" w:cs="Arial"/>
                <w:spacing w:val="-2"/>
                <w:sz w:val="18"/>
                <w:szCs w:val="18"/>
              </w:rPr>
              <w:t>244.12</w:t>
            </w:r>
          </w:p>
        </w:tc>
      </w:tr>
      <w:tr w:rsidR="009260C7" w14:paraId="7E744242" w14:textId="77777777" w:rsidTr="00DC7D2D">
        <w:trPr>
          <w:trHeight w:val="269"/>
        </w:trPr>
        <w:tc>
          <w:tcPr>
            <w:tcW w:w="2340" w:type="dxa"/>
          </w:tcPr>
          <w:p w14:paraId="48986D4C" w14:textId="0B21F758" w:rsidR="009260C7" w:rsidRPr="00D57F5E" w:rsidRDefault="009260C7" w:rsidP="00777C9E">
            <w:pPr>
              <w:pStyle w:val="TableParagraph"/>
              <w:spacing w:before="19"/>
              <w:ind w:left="14"/>
              <w:rPr>
                <w:rFonts w:ascii="Arial" w:hAnsi="Arial" w:cs="Arial"/>
                <w:sz w:val="18"/>
                <w:szCs w:val="18"/>
              </w:rPr>
            </w:pPr>
            <w:r w:rsidRPr="00D57F5E">
              <w:rPr>
                <w:rFonts w:ascii="Arial" w:hAnsi="Arial" w:cs="Arial"/>
                <w:sz w:val="18"/>
                <w:szCs w:val="18"/>
              </w:rPr>
              <w:t>Mixing</w:t>
            </w:r>
            <w:r w:rsidR="001F1548">
              <w:rPr>
                <w:rFonts w:ascii="Arial" w:hAnsi="Arial" w:cs="Arial"/>
                <w:sz w:val="18"/>
                <w:szCs w:val="18"/>
              </w:rPr>
              <w:t>-1</w:t>
            </w:r>
          </w:p>
        </w:tc>
        <w:tc>
          <w:tcPr>
            <w:tcW w:w="2430" w:type="dxa"/>
          </w:tcPr>
          <w:p w14:paraId="1AA5E1B1" w14:textId="77777777" w:rsidR="009260C7" w:rsidRPr="00D57F5E" w:rsidRDefault="009260C7" w:rsidP="00777C9E">
            <w:pPr>
              <w:pStyle w:val="TableParagraph"/>
              <w:spacing w:before="19"/>
              <w:ind w:left="159"/>
              <w:rPr>
                <w:rFonts w:ascii="Arial" w:hAnsi="Arial" w:cs="Arial"/>
                <w:spacing w:val="-2"/>
                <w:sz w:val="18"/>
                <w:szCs w:val="18"/>
              </w:rPr>
            </w:pPr>
            <w:r w:rsidRPr="00D57F5E">
              <w:rPr>
                <w:rFonts w:ascii="Arial" w:hAnsi="Arial" w:cs="Arial"/>
                <w:spacing w:val="-2"/>
                <w:sz w:val="18"/>
                <w:szCs w:val="18"/>
              </w:rPr>
              <w:t>0.00</w:t>
            </w:r>
          </w:p>
        </w:tc>
        <w:tc>
          <w:tcPr>
            <w:tcW w:w="2329" w:type="dxa"/>
          </w:tcPr>
          <w:p w14:paraId="68CFF80C" w14:textId="77777777" w:rsidR="009260C7" w:rsidRPr="00D57F5E" w:rsidRDefault="009260C7" w:rsidP="00777C9E">
            <w:pPr>
              <w:pStyle w:val="TableParagraph"/>
              <w:spacing w:before="19"/>
              <w:ind w:left="-2"/>
              <w:rPr>
                <w:rFonts w:ascii="Arial" w:hAnsi="Arial" w:cs="Arial"/>
                <w:spacing w:val="-2"/>
                <w:sz w:val="18"/>
                <w:szCs w:val="18"/>
              </w:rPr>
            </w:pPr>
            <w:r w:rsidRPr="00D57F5E">
              <w:rPr>
                <w:rFonts w:ascii="Arial" w:hAnsi="Arial" w:cs="Arial"/>
                <w:spacing w:val="-2"/>
                <w:sz w:val="18"/>
                <w:szCs w:val="18"/>
              </w:rPr>
              <w:t>0.00</w:t>
            </w:r>
          </w:p>
        </w:tc>
        <w:tc>
          <w:tcPr>
            <w:tcW w:w="1595" w:type="dxa"/>
          </w:tcPr>
          <w:p w14:paraId="0D6BDFC5" w14:textId="77777777" w:rsidR="009260C7" w:rsidRPr="00D57F5E" w:rsidRDefault="009260C7" w:rsidP="00777C9E">
            <w:pPr>
              <w:pStyle w:val="TableParagraph"/>
              <w:spacing w:before="19"/>
              <w:rPr>
                <w:rFonts w:ascii="Arial" w:hAnsi="Arial" w:cs="Arial"/>
                <w:spacing w:val="-2"/>
                <w:sz w:val="18"/>
                <w:szCs w:val="18"/>
              </w:rPr>
            </w:pPr>
            <w:r w:rsidRPr="00D57F5E">
              <w:rPr>
                <w:rFonts w:ascii="Arial" w:hAnsi="Arial" w:cs="Arial"/>
                <w:spacing w:val="-2"/>
                <w:sz w:val="18"/>
                <w:szCs w:val="18"/>
              </w:rPr>
              <w:t>0.25</w:t>
            </w:r>
          </w:p>
        </w:tc>
      </w:tr>
      <w:tr w:rsidR="009260C7" w14:paraId="61FDA0A0" w14:textId="77777777" w:rsidTr="005B635F">
        <w:trPr>
          <w:trHeight w:val="269"/>
        </w:trPr>
        <w:tc>
          <w:tcPr>
            <w:tcW w:w="2340" w:type="dxa"/>
          </w:tcPr>
          <w:p w14:paraId="4D1ED8EF" w14:textId="77777777" w:rsidR="009260C7" w:rsidRPr="00D57F5E" w:rsidRDefault="009260C7" w:rsidP="00777C9E">
            <w:pPr>
              <w:pStyle w:val="TableParagraph"/>
              <w:spacing w:before="19"/>
              <w:ind w:left="14"/>
              <w:rPr>
                <w:rFonts w:ascii="Arial" w:hAnsi="Arial" w:cs="Arial"/>
                <w:sz w:val="18"/>
                <w:szCs w:val="18"/>
              </w:rPr>
            </w:pPr>
            <w:r w:rsidRPr="00D57F5E">
              <w:rPr>
                <w:rFonts w:ascii="Arial" w:hAnsi="Arial" w:cs="Arial"/>
                <w:sz w:val="18"/>
                <w:szCs w:val="18"/>
              </w:rPr>
              <w:t xml:space="preserve">Heating </w:t>
            </w:r>
          </w:p>
        </w:tc>
        <w:tc>
          <w:tcPr>
            <w:tcW w:w="2430" w:type="dxa"/>
          </w:tcPr>
          <w:p w14:paraId="33752583" w14:textId="77777777" w:rsidR="009260C7" w:rsidRPr="00D57F5E" w:rsidRDefault="009260C7" w:rsidP="00777C9E">
            <w:pPr>
              <w:pStyle w:val="TableParagraph"/>
              <w:spacing w:before="19"/>
              <w:ind w:left="159"/>
              <w:rPr>
                <w:rFonts w:ascii="Arial" w:hAnsi="Arial" w:cs="Arial"/>
                <w:spacing w:val="-2"/>
                <w:sz w:val="18"/>
                <w:szCs w:val="18"/>
              </w:rPr>
            </w:pPr>
            <w:r w:rsidRPr="00D57F5E">
              <w:rPr>
                <w:rFonts w:ascii="Arial" w:hAnsi="Arial" w:cs="Arial"/>
                <w:spacing w:val="-2"/>
                <w:sz w:val="18"/>
                <w:szCs w:val="18"/>
              </w:rPr>
              <w:t>0.00</w:t>
            </w:r>
          </w:p>
        </w:tc>
        <w:tc>
          <w:tcPr>
            <w:tcW w:w="2329" w:type="dxa"/>
          </w:tcPr>
          <w:p w14:paraId="302CE084" w14:textId="77777777" w:rsidR="009260C7" w:rsidRPr="00D57F5E" w:rsidRDefault="009260C7" w:rsidP="00777C9E">
            <w:pPr>
              <w:pStyle w:val="TableParagraph"/>
              <w:spacing w:before="19"/>
              <w:ind w:left="-2"/>
              <w:rPr>
                <w:rFonts w:ascii="Arial" w:hAnsi="Arial" w:cs="Arial"/>
                <w:spacing w:val="-2"/>
                <w:sz w:val="18"/>
                <w:szCs w:val="18"/>
              </w:rPr>
            </w:pPr>
            <w:r w:rsidRPr="00D57F5E">
              <w:rPr>
                <w:rFonts w:ascii="Arial" w:hAnsi="Arial" w:cs="Arial"/>
                <w:spacing w:val="-2"/>
                <w:sz w:val="18"/>
                <w:szCs w:val="18"/>
              </w:rPr>
              <w:t>3.65</w:t>
            </w:r>
          </w:p>
        </w:tc>
        <w:tc>
          <w:tcPr>
            <w:tcW w:w="1595" w:type="dxa"/>
          </w:tcPr>
          <w:p w14:paraId="44ADFE32" w14:textId="77777777" w:rsidR="009260C7" w:rsidRPr="00D57F5E" w:rsidRDefault="009260C7" w:rsidP="00777C9E">
            <w:pPr>
              <w:pStyle w:val="TableParagraph"/>
              <w:spacing w:before="19"/>
              <w:rPr>
                <w:rFonts w:ascii="Arial" w:hAnsi="Arial" w:cs="Arial"/>
                <w:spacing w:val="-2"/>
                <w:sz w:val="18"/>
                <w:szCs w:val="18"/>
              </w:rPr>
            </w:pPr>
            <w:r w:rsidRPr="00D57F5E">
              <w:rPr>
                <w:rFonts w:ascii="Arial" w:hAnsi="Arial" w:cs="Arial"/>
                <w:spacing w:val="-2"/>
                <w:sz w:val="18"/>
                <w:szCs w:val="18"/>
              </w:rPr>
              <w:t>0.00</w:t>
            </w:r>
          </w:p>
        </w:tc>
      </w:tr>
      <w:tr w:rsidR="009260C7" w14:paraId="60DBFD86" w14:textId="77777777" w:rsidTr="00DC7D2D">
        <w:trPr>
          <w:trHeight w:val="269"/>
        </w:trPr>
        <w:tc>
          <w:tcPr>
            <w:tcW w:w="2340" w:type="dxa"/>
          </w:tcPr>
          <w:p w14:paraId="5A07F982" w14:textId="77777777" w:rsidR="009260C7" w:rsidRPr="00D57F5E" w:rsidRDefault="009260C7" w:rsidP="00777C9E">
            <w:pPr>
              <w:pStyle w:val="TableParagraph"/>
              <w:spacing w:before="19"/>
              <w:ind w:left="14"/>
              <w:rPr>
                <w:rFonts w:ascii="Arial" w:hAnsi="Arial" w:cs="Arial"/>
                <w:sz w:val="18"/>
                <w:szCs w:val="18"/>
              </w:rPr>
            </w:pPr>
            <w:r w:rsidRPr="00D57F5E">
              <w:rPr>
                <w:rFonts w:ascii="Arial" w:hAnsi="Arial" w:cs="Arial"/>
                <w:sz w:val="18"/>
                <w:szCs w:val="18"/>
              </w:rPr>
              <w:t>Pre-polymerization</w:t>
            </w:r>
          </w:p>
        </w:tc>
        <w:tc>
          <w:tcPr>
            <w:tcW w:w="2430" w:type="dxa"/>
          </w:tcPr>
          <w:p w14:paraId="7EFBD2D4" w14:textId="77777777" w:rsidR="009260C7" w:rsidRPr="00D57F5E" w:rsidRDefault="009260C7" w:rsidP="00777C9E">
            <w:pPr>
              <w:pStyle w:val="TableParagraph"/>
              <w:spacing w:before="19"/>
              <w:ind w:left="159"/>
              <w:rPr>
                <w:rFonts w:ascii="Arial" w:hAnsi="Arial" w:cs="Arial"/>
                <w:spacing w:val="-2"/>
                <w:sz w:val="18"/>
                <w:szCs w:val="18"/>
              </w:rPr>
            </w:pPr>
            <w:r w:rsidRPr="00D57F5E">
              <w:rPr>
                <w:rFonts w:ascii="Arial" w:hAnsi="Arial" w:cs="Arial"/>
                <w:spacing w:val="-2"/>
                <w:sz w:val="18"/>
                <w:szCs w:val="18"/>
              </w:rPr>
              <w:t>0.00</w:t>
            </w:r>
          </w:p>
        </w:tc>
        <w:tc>
          <w:tcPr>
            <w:tcW w:w="2329" w:type="dxa"/>
          </w:tcPr>
          <w:p w14:paraId="1DD410B8" w14:textId="77777777" w:rsidR="009260C7" w:rsidRPr="00D57F5E" w:rsidRDefault="009260C7" w:rsidP="00777C9E">
            <w:pPr>
              <w:pStyle w:val="TableParagraph"/>
              <w:spacing w:before="19"/>
              <w:ind w:left="-2"/>
              <w:rPr>
                <w:rFonts w:ascii="Arial" w:hAnsi="Arial" w:cs="Arial"/>
                <w:spacing w:val="-2"/>
                <w:sz w:val="18"/>
                <w:szCs w:val="18"/>
              </w:rPr>
            </w:pPr>
            <w:r w:rsidRPr="00D57F5E">
              <w:rPr>
                <w:rFonts w:ascii="Arial" w:hAnsi="Arial" w:cs="Arial"/>
                <w:spacing w:val="-2"/>
                <w:sz w:val="18"/>
                <w:szCs w:val="18"/>
              </w:rPr>
              <w:t>4.21</w:t>
            </w:r>
          </w:p>
        </w:tc>
        <w:tc>
          <w:tcPr>
            <w:tcW w:w="1595" w:type="dxa"/>
          </w:tcPr>
          <w:p w14:paraId="6B922680" w14:textId="77777777" w:rsidR="009260C7" w:rsidRPr="00D57F5E" w:rsidRDefault="009260C7" w:rsidP="00777C9E">
            <w:pPr>
              <w:pStyle w:val="TableParagraph"/>
              <w:spacing w:before="19"/>
              <w:rPr>
                <w:rFonts w:ascii="Arial" w:hAnsi="Arial" w:cs="Arial"/>
                <w:spacing w:val="-2"/>
                <w:sz w:val="18"/>
                <w:szCs w:val="18"/>
              </w:rPr>
            </w:pPr>
            <w:r w:rsidRPr="00D57F5E">
              <w:rPr>
                <w:rFonts w:ascii="Arial" w:hAnsi="Arial" w:cs="Arial"/>
                <w:spacing w:val="-2"/>
                <w:sz w:val="18"/>
                <w:szCs w:val="18"/>
              </w:rPr>
              <w:t>0.00</w:t>
            </w:r>
          </w:p>
        </w:tc>
      </w:tr>
      <w:tr w:rsidR="009260C7" w14:paraId="13247A23" w14:textId="77777777" w:rsidTr="005B635F">
        <w:trPr>
          <w:trHeight w:val="269"/>
        </w:trPr>
        <w:tc>
          <w:tcPr>
            <w:tcW w:w="2340" w:type="dxa"/>
          </w:tcPr>
          <w:p w14:paraId="7299F5C9" w14:textId="0F79E9E1" w:rsidR="009260C7" w:rsidRPr="00D57F5E" w:rsidRDefault="009260C7" w:rsidP="00777C9E">
            <w:pPr>
              <w:pStyle w:val="TableParagraph"/>
              <w:spacing w:before="19"/>
              <w:ind w:left="14"/>
              <w:rPr>
                <w:rFonts w:ascii="Arial" w:hAnsi="Arial" w:cs="Arial"/>
                <w:sz w:val="18"/>
                <w:szCs w:val="18"/>
              </w:rPr>
            </w:pPr>
            <w:r w:rsidRPr="00D57F5E">
              <w:rPr>
                <w:rFonts w:ascii="Arial" w:hAnsi="Arial" w:cs="Arial"/>
                <w:sz w:val="18"/>
                <w:szCs w:val="18"/>
              </w:rPr>
              <w:t xml:space="preserve">Flash </w:t>
            </w:r>
            <w:r w:rsidR="006B7047" w:rsidRPr="00D57F5E">
              <w:rPr>
                <w:rFonts w:ascii="Arial" w:hAnsi="Arial" w:cs="Arial"/>
                <w:sz w:val="18"/>
                <w:szCs w:val="18"/>
              </w:rPr>
              <w:t>separation-2</w:t>
            </w:r>
          </w:p>
        </w:tc>
        <w:tc>
          <w:tcPr>
            <w:tcW w:w="2430" w:type="dxa"/>
          </w:tcPr>
          <w:p w14:paraId="177726BE" w14:textId="77777777" w:rsidR="009260C7" w:rsidRPr="00D57F5E" w:rsidRDefault="009260C7" w:rsidP="00777C9E">
            <w:pPr>
              <w:pStyle w:val="TableParagraph"/>
              <w:spacing w:before="19"/>
              <w:ind w:left="159"/>
              <w:rPr>
                <w:rFonts w:ascii="Arial" w:hAnsi="Arial" w:cs="Arial"/>
                <w:spacing w:val="-2"/>
                <w:sz w:val="18"/>
                <w:szCs w:val="18"/>
              </w:rPr>
            </w:pPr>
            <w:r w:rsidRPr="00D57F5E">
              <w:rPr>
                <w:rFonts w:ascii="Arial" w:hAnsi="Arial" w:cs="Arial"/>
                <w:spacing w:val="-2"/>
                <w:sz w:val="18"/>
                <w:szCs w:val="18"/>
              </w:rPr>
              <w:t>16.25</w:t>
            </w:r>
          </w:p>
        </w:tc>
        <w:tc>
          <w:tcPr>
            <w:tcW w:w="2329" w:type="dxa"/>
          </w:tcPr>
          <w:p w14:paraId="51161147" w14:textId="77777777" w:rsidR="009260C7" w:rsidRPr="00D57F5E" w:rsidRDefault="009260C7" w:rsidP="00777C9E">
            <w:pPr>
              <w:pStyle w:val="TableParagraph"/>
              <w:spacing w:before="19"/>
              <w:ind w:left="-2"/>
              <w:rPr>
                <w:rFonts w:ascii="Arial" w:hAnsi="Arial" w:cs="Arial"/>
                <w:spacing w:val="-2"/>
                <w:sz w:val="18"/>
                <w:szCs w:val="18"/>
              </w:rPr>
            </w:pPr>
            <w:r w:rsidRPr="00D57F5E">
              <w:rPr>
                <w:rFonts w:ascii="Arial" w:hAnsi="Arial" w:cs="Arial"/>
                <w:spacing w:val="-2"/>
                <w:sz w:val="18"/>
                <w:szCs w:val="18"/>
              </w:rPr>
              <w:t>4</w:t>
            </w:r>
          </w:p>
        </w:tc>
        <w:tc>
          <w:tcPr>
            <w:tcW w:w="1595" w:type="dxa"/>
          </w:tcPr>
          <w:p w14:paraId="56A1AADB" w14:textId="77777777" w:rsidR="009260C7" w:rsidRPr="00D57F5E" w:rsidRDefault="009260C7" w:rsidP="00777C9E">
            <w:pPr>
              <w:pStyle w:val="TableParagraph"/>
              <w:spacing w:before="19"/>
              <w:rPr>
                <w:rFonts w:ascii="Arial" w:hAnsi="Arial" w:cs="Arial"/>
                <w:spacing w:val="-2"/>
                <w:sz w:val="18"/>
                <w:szCs w:val="18"/>
              </w:rPr>
            </w:pPr>
            <w:r w:rsidRPr="00D57F5E">
              <w:rPr>
                <w:rFonts w:ascii="Arial" w:hAnsi="Arial" w:cs="Arial"/>
                <w:spacing w:val="-2"/>
                <w:sz w:val="18"/>
                <w:szCs w:val="18"/>
              </w:rPr>
              <w:t>21.61</w:t>
            </w:r>
          </w:p>
        </w:tc>
      </w:tr>
      <w:tr w:rsidR="009260C7" w14:paraId="19EEFC6C" w14:textId="77777777" w:rsidTr="00DC7D2D">
        <w:trPr>
          <w:trHeight w:val="269"/>
        </w:trPr>
        <w:tc>
          <w:tcPr>
            <w:tcW w:w="2340" w:type="dxa"/>
          </w:tcPr>
          <w:p w14:paraId="796E5DBD" w14:textId="02A49FA7" w:rsidR="009260C7" w:rsidRPr="00D57F5E" w:rsidRDefault="009260C7" w:rsidP="00777C9E">
            <w:pPr>
              <w:pStyle w:val="TableParagraph"/>
              <w:spacing w:before="19"/>
              <w:ind w:left="14"/>
              <w:rPr>
                <w:rFonts w:ascii="Arial" w:hAnsi="Arial" w:cs="Arial"/>
                <w:sz w:val="18"/>
                <w:szCs w:val="18"/>
              </w:rPr>
            </w:pPr>
            <w:r w:rsidRPr="00D57F5E">
              <w:rPr>
                <w:rFonts w:ascii="Arial" w:hAnsi="Arial" w:cs="Arial"/>
                <w:sz w:val="18"/>
                <w:szCs w:val="18"/>
              </w:rPr>
              <w:t xml:space="preserve">Flash </w:t>
            </w:r>
            <w:r w:rsidR="006B7047" w:rsidRPr="00D57F5E">
              <w:rPr>
                <w:rFonts w:ascii="Arial" w:hAnsi="Arial" w:cs="Arial"/>
                <w:sz w:val="18"/>
                <w:szCs w:val="18"/>
              </w:rPr>
              <w:t>separation-3</w:t>
            </w:r>
          </w:p>
        </w:tc>
        <w:tc>
          <w:tcPr>
            <w:tcW w:w="2430" w:type="dxa"/>
          </w:tcPr>
          <w:p w14:paraId="1A0F1160" w14:textId="77777777" w:rsidR="009260C7" w:rsidRPr="00D57F5E" w:rsidRDefault="009260C7" w:rsidP="00777C9E">
            <w:pPr>
              <w:pStyle w:val="TableParagraph"/>
              <w:spacing w:before="19"/>
              <w:ind w:left="159"/>
              <w:rPr>
                <w:rFonts w:ascii="Arial" w:hAnsi="Arial" w:cs="Arial"/>
                <w:spacing w:val="-2"/>
                <w:sz w:val="18"/>
                <w:szCs w:val="18"/>
              </w:rPr>
            </w:pPr>
            <w:r w:rsidRPr="00D57F5E">
              <w:rPr>
                <w:rFonts w:ascii="Arial" w:hAnsi="Arial" w:cs="Arial"/>
                <w:spacing w:val="-2"/>
                <w:sz w:val="18"/>
                <w:szCs w:val="18"/>
              </w:rPr>
              <w:t>16.25</w:t>
            </w:r>
          </w:p>
        </w:tc>
        <w:tc>
          <w:tcPr>
            <w:tcW w:w="2329" w:type="dxa"/>
          </w:tcPr>
          <w:p w14:paraId="4F1A5123" w14:textId="77777777" w:rsidR="009260C7" w:rsidRPr="00D57F5E" w:rsidRDefault="009260C7" w:rsidP="00777C9E">
            <w:pPr>
              <w:pStyle w:val="TableParagraph"/>
              <w:spacing w:before="19"/>
              <w:ind w:left="-2"/>
              <w:rPr>
                <w:rFonts w:ascii="Arial" w:hAnsi="Arial" w:cs="Arial"/>
                <w:spacing w:val="-2"/>
                <w:sz w:val="18"/>
                <w:szCs w:val="18"/>
              </w:rPr>
            </w:pPr>
            <w:r w:rsidRPr="00D57F5E">
              <w:rPr>
                <w:rFonts w:ascii="Arial" w:hAnsi="Arial" w:cs="Arial"/>
                <w:spacing w:val="-2"/>
                <w:sz w:val="18"/>
                <w:szCs w:val="18"/>
              </w:rPr>
              <w:t>3.77</w:t>
            </w:r>
          </w:p>
        </w:tc>
        <w:tc>
          <w:tcPr>
            <w:tcW w:w="1595" w:type="dxa"/>
          </w:tcPr>
          <w:p w14:paraId="3FA78D92" w14:textId="77777777" w:rsidR="009260C7" w:rsidRPr="00D57F5E" w:rsidRDefault="009260C7" w:rsidP="00777C9E">
            <w:pPr>
              <w:pStyle w:val="TableParagraph"/>
              <w:spacing w:before="19"/>
              <w:rPr>
                <w:rFonts w:ascii="Arial" w:hAnsi="Arial" w:cs="Arial"/>
                <w:spacing w:val="-2"/>
                <w:sz w:val="18"/>
                <w:szCs w:val="18"/>
              </w:rPr>
            </w:pPr>
            <w:r w:rsidRPr="00D57F5E">
              <w:rPr>
                <w:rFonts w:ascii="Arial" w:hAnsi="Arial" w:cs="Arial"/>
                <w:spacing w:val="-2"/>
                <w:sz w:val="18"/>
                <w:szCs w:val="18"/>
              </w:rPr>
              <w:t>20.16</w:t>
            </w:r>
          </w:p>
        </w:tc>
      </w:tr>
      <w:tr w:rsidR="009260C7" w14:paraId="59C57992" w14:textId="77777777" w:rsidTr="005B635F">
        <w:trPr>
          <w:trHeight w:val="269"/>
        </w:trPr>
        <w:tc>
          <w:tcPr>
            <w:tcW w:w="2340" w:type="dxa"/>
          </w:tcPr>
          <w:p w14:paraId="50B49A24" w14:textId="77777777" w:rsidR="009260C7" w:rsidRPr="00D57F5E" w:rsidRDefault="009260C7" w:rsidP="00777C9E">
            <w:pPr>
              <w:pStyle w:val="TableParagraph"/>
              <w:spacing w:before="19"/>
              <w:ind w:left="14"/>
              <w:rPr>
                <w:rFonts w:ascii="Arial" w:hAnsi="Arial" w:cs="Arial"/>
                <w:sz w:val="18"/>
                <w:szCs w:val="18"/>
              </w:rPr>
            </w:pPr>
            <w:r w:rsidRPr="00D57F5E">
              <w:rPr>
                <w:rFonts w:ascii="Arial" w:hAnsi="Arial" w:cs="Arial"/>
                <w:sz w:val="18"/>
                <w:szCs w:val="18"/>
              </w:rPr>
              <w:t xml:space="preserve">Distillation </w:t>
            </w:r>
          </w:p>
        </w:tc>
        <w:tc>
          <w:tcPr>
            <w:tcW w:w="2430" w:type="dxa"/>
          </w:tcPr>
          <w:p w14:paraId="3B8A259B" w14:textId="11ADB2D4" w:rsidR="009260C7" w:rsidRPr="00D57F5E" w:rsidRDefault="002268B7" w:rsidP="00777C9E">
            <w:pPr>
              <w:pStyle w:val="TableParagraph"/>
              <w:spacing w:before="19"/>
              <w:ind w:left="159"/>
              <w:rPr>
                <w:rFonts w:ascii="Arial" w:hAnsi="Arial" w:cs="Arial"/>
                <w:spacing w:val="-2"/>
                <w:sz w:val="18"/>
                <w:szCs w:val="18"/>
              </w:rPr>
            </w:pPr>
            <w:r>
              <w:rPr>
                <w:rFonts w:ascii="Arial" w:hAnsi="Arial" w:cs="Arial"/>
                <w:spacing w:val="-2"/>
                <w:sz w:val="18"/>
                <w:szCs w:val="18"/>
              </w:rPr>
              <w:t>8.36</w:t>
            </w:r>
          </w:p>
        </w:tc>
        <w:tc>
          <w:tcPr>
            <w:tcW w:w="2329" w:type="dxa"/>
          </w:tcPr>
          <w:p w14:paraId="3DD16C92" w14:textId="77777777" w:rsidR="009260C7" w:rsidRPr="00D57F5E" w:rsidRDefault="009260C7" w:rsidP="00777C9E">
            <w:pPr>
              <w:pStyle w:val="TableParagraph"/>
              <w:spacing w:before="19"/>
              <w:ind w:left="-2"/>
              <w:rPr>
                <w:rFonts w:ascii="Arial" w:hAnsi="Arial" w:cs="Arial"/>
                <w:spacing w:val="-2"/>
                <w:sz w:val="18"/>
                <w:szCs w:val="18"/>
              </w:rPr>
            </w:pPr>
            <w:r w:rsidRPr="00D57F5E">
              <w:rPr>
                <w:rFonts w:ascii="Arial" w:hAnsi="Arial" w:cs="Arial"/>
                <w:spacing w:val="-2"/>
                <w:sz w:val="18"/>
                <w:szCs w:val="18"/>
              </w:rPr>
              <w:t>3.36</w:t>
            </w:r>
          </w:p>
        </w:tc>
        <w:tc>
          <w:tcPr>
            <w:tcW w:w="1595" w:type="dxa"/>
          </w:tcPr>
          <w:p w14:paraId="263EFEE6" w14:textId="2886408E" w:rsidR="009260C7" w:rsidRPr="00D57F5E" w:rsidRDefault="009260C7" w:rsidP="00777C9E">
            <w:pPr>
              <w:pStyle w:val="TableParagraph"/>
              <w:spacing w:before="19"/>
              <w:rPr>
                <w:rFonts w:ascii="Arial" w:hAnsi="Arial" w:cs="Arial"/>
                <w:spacing w:val="-2"/>
                <w:sz w:val="18"/>
                <w:szCs w:val="18"/>
              </w:rPr>
            </w:pPr>
            <w:r w:rsidRPr="00D57F5E">
              <w:rPr>
                <w:rFonts w:ascii="Arial" w:hAnsi="Arial" w:cs="Arial"/>
                <w:spacing w:val="-2"/>
                <w:sz w:val="18"/>
                <w:szCs w:val="18"/>
              </w:rPr>
              <w:t>1</w:t>
            </w:r>
            <w:r w:rsidR="00E700B3">
              <w:rPr>
                <w:rFonts w:ascii="Arial" w:hAnsi="Arial" w:cs="Arial"/>
                <w:spacing w:val="-2"/>
                <w:sz w:val="18"/>
                <w:szCs w:val="18"/>
              </w:rPr>
              <w:t>1.31</w:t>
            </w:r>
          </w:p>
        </w:tc>
      </w:tr>
      <w:tr w:rsidR="009260C7" w14:paraId="112144C0" w14:textId="77777777" w:rsidTr="005B635F">
        <w:trPr>
          <w:trHeight w:val="269"/>
        </w:trPr>
        <w:tc>
          <w:tcPr>
            <w:tcW w:w="2340" w:type="dxa"/>
          </w:tcPr>
          <w:p w14:paraId="07D5C2D7" w14:textId="77777777" w:rsidR="009260C7" w:rsidRPr="00D57F5E" w:rsidRDefault="009260C7" w:rsidP="00777C9E">
            <w:pPr>
              <w:pStyle w:val="TableParagraph"/>
              <w:spacing w:before="19"/>
              <w:ind w:left="14"/>
              <w:rPr>
                <w:rFonts w:ascii="Arial" w:hAnsi="Arial" w:cs="Arial"/>
                <w:sz w:val="18"/>
                <w:szCs w:val="18"/>
              </w:rPr>
            </w:pPr>
            <w:r w:rsidRPr="00D57F5E">
              <w:rPr>
                <w:rFonts w:ascii="Arial" w:hAnsi="Arial" w:cs="Arial"/>
                <w:sz w:val="18"/>
                <w:szCs w:val="18"/>
              </w:rPr>
              <w:t>Polymerization</w:t>
            </w:r>
          </w:p>
        </w:tc>
        <w:tc>
          <w:tcPr>
            <w:tcW w:w="2430" w:type="dxa"/>
          </w:tcPr>
          <w:p w14:paraId="2EA05BB1" w14:textId="77777777" w:rsidR="009260C7" w:rsidRPr="00D57F5E" w:rsidRDefault="009260C7" w:rsidP="00777C9E">
            <w:pPr>
              <w:pStyle w:val="TableParagraph"/>
              <w:spacing w:before="19"/>
              <w:ind w:left="159"/>
              <w:rPr>
                <w:rFonts w:ascii="Arial" w:hAnsi="Arial" w:cs="Arial"/>
                <w:spacing w:val="-2"/>
                <w:sz w:val="18"/>
                <w:szCs w:val="18"/>
              </w:rPr>
            </w:pPr>
            <w:r w:rsidRPr="00D57F5E">
              <w:rPr>
                <w:rFonts w:ascii="Arial" w:hAnsi="Arial" w:cs="Arial"/>
                <w:spacing w:val="-2"/>
                <w:sz w:val="18"/>
                <w:szCs w:val="18"/>
              </w:rPr>
              <w:t>2.47</w:t>
            </w:r>
          </w:p>
        </w:tc>
        <w:tc>
          <w:tcPr>
            <w:tcW w:w="2329" w:type="dxa"/>
          </w:tcPr>
          <w:p w14:paraId="58EA67DF" w14:textId="77777777" w:rsidR="009260C7" w:rsidRPr="00D57F5E" w:rsidRDefault="009260C7" w:rsidP="00777C9E">
            <w:pPr>
              <w:pStyle w:val="TableParagraph"/>
              <w:spacing w:before="19"/>
              <w:ind w:left="-2"/>
              <w:rPr>
                <w:rFonts w:ascii="Arial" w:hAnsi="Arial" w:cs="Arial"/>
                <w:spacing w:val="-2"/>
                <w:sz w:val="18"/>
                <w:szCs w:val="18"/>
              </w:rPr>
            </w:pPr>
            <w:r w:rsidRPr="00D57F5E">
              <w:rPr>
                <w:rFonts w:ascii="Arial" w:hAnsi="Arial" w:cs="Arial"/>
                <w:spacing w:val="-2"/>
                <w:sz w:val="18"/>
                <w:szCs w:val="18"/>
              </w:rPr>
              <w:t>3.62</w:t>
            </w:r>
          </w:p>
        </w:tc>
        <w:tc>
          <w:tcPr>
            <w:tcW w:w="1595" w:type="dxa"/>
          </w:tcPr>
          <w:p w14:paraId="339FB64C" w14:textId="77777777" w:rsidR="009260C7" w:rsidRPr="00D57F5E" w:rsidRDefault="009260C7" w:rsidP="00777C9E">
            <w:pPr>
              <w:pStyle w:val="TableParagraph"/>
              <w:spacing w:before="19"/>
              <w:rPr>
                <w:rFonts w:ascii="Arial" w:hAnsi="Arial" w:cs="Arial"/>
                <w:spacing w:val="-2"/>
                <w:sz w:val="18"/>
                <w:szCs w:val="18"/>
              </w:rPr>
            </w:pPr>
            <w:r w:rsidRPr="00D57F5E">
              <w:rPr>
                <w:rFonts w:ascii="Arial" w:hAnsi="Arial" w:cs="Arial"/>
                <w:spacing w:val="-2"/>
                <w:sz w:val="18"/>
                <w:szCs w:val="18"/>
              </w:rPr>
              <w:t>6.32</w:t>
            </w:r>
          </w:p>
        </w:tc>
      </w:tr>
      <w:tr w:rsidR="00754E10" w14:paraId="1EBDCA24" w14:textId="77777777" w:rsidTr="005B635F">
        <w:trPr>
          <w:trHeight w:val="269"/>
        </w:trPr>
        <w:tc>
          <w:tcPr>
            <w:tcW w:w="2340" w:type="dxa"/>
            <w:tcBorders>
              <w:bottom w:val="single" w:sz="12" w:space="0" w:color="008000"/>
            </w:tcBorders>
          </w:tcPr>
          <w:p w14:paraId="6DE2BAD4" w14:textId="0101DF55" w:rsidR="00754E10" w:rsidRPr="00D57F5E" w:rsidRDefault="00754E10" w:rsidP="00754E10">
            <w:pPr>
              <w:pStyle w:val="TableParagraph"/>
              <w:spacing w:before="19"/>
              <w:ind w:left="14"/>
              <w:rPr>
                <w:rFonts w:ascii="Arial" w:hAnsi="Arial" w:cs="Arial"/>
                <w:sz w:val="18"/>
                <w:szCs w:val="18"/>
              </w:rPr>
            </w:pPr>
            <w:r w:rsidRPr="00D57F5E">
              <w:rPr>
                <w:rFonts w:ascii="Arial" w:hAnsi="Arial" w:cs="Arial"/>
                <w:sz w:val="18"/>
                <w:szCs w:val="18"/>
              </w:rPr>
              <w:t>Mixing</w:t>
            </w:r>
            <w:r>
              <w:rPr>
                <w:rFonts w:ascii="Arial" w:hAnsi="Arial" w:cs="Arial"/>
                <w:sz w:val="18"/>
                <w:szCs w:val="18"/>
              </w:rPr>
              <w:t>-2</w:t>
            </w:r>
          </w:p>
        </w:tc>
        <w:tc>
          <w:tcPr>
            <w:tcW w:w="2430" w:type="dxa"/>
            <w:tcBorders>
              <w:bottom w:val="single" w:sz="12" w:space="0" w:color="008000"/>
            </w:tcBorders>
          </w:tcPr>
          <w:p w14:paraId="2E2645B0" w14:textId="3FE1820A" w:rsidR="00754E10" w:rsidRPr="00D57F5E" w:rsidRDefault="00754E10" w:rsidP="00754E10">
            <w:pPr>
              <w:pStyle w:val="TableParagraph"/>
              <w:spacing w:before="19"/>
              <w:ind w:left="159"/>
              <w:rPr>
                <w:rFonts w:ascii="Arial" w:hAnsi="Arial" w:cs="Arial"/>
                <w:spacing w:val="-2"/>
                <w:sz w:val="18"/>
                <w:szCs w:val="18"/>
              </w:rPr>
            </w:pPr>
            <w:r w:rsidRPr="00D57F5E">
              <w:rPr>
                <w:rFonts w:ascii="Arial" w:hAnsi="Arial" w:cs="Arial"/>
                <w:spacing w:val="-2"/>
                <w:sz w:val="18"/>
                <w:szCs w:val="18"/>
              </w:rPr>
              <w:t>0.00</w:t>
            </w:r>
          </w:p>
        </w:tc>
        <w:tc>
          <w:tcPr>
            <w:tcW w:w="2329" w:type="dxa"/>
            <w:tcBorders>
              <w:bottom w:val="single" w:sz="12" w:space="0" w:color="008000"/>
            </w:tcBorders>
          </w:tcPr>
          <w:p w14:paraId="0D4C2F5B" w14:textId="4946A262" w:rsidR="00754E10" w:rsidRPr="00D57F5E" w:rsidRDefault="00754E10" w:rsidP="00754E10">
            <w:pPr>
              <w:pStyle w:val="TableParagraph"/>
              <w:spacing w:before="19"/>
              <w:ind w:left="-2"/>
              <w:rPr>
                <w:rFonts w:ascii="Arial" w:hAnsi="Arial" w:cs="Arial"/>
                <w:spacing w:val="-2"/>
                <w:sz w:val="18"/>
                <w:szCs w:val="18"/>
              </w:rPr>
            </w:pPr>
            <w:r w:rsidRPr="00D57F5E">
              <w:rPr>
                <w:rFonts w:ascii="Arial" w:hAnsi="Arial" w:cs="Arial"/>
                <w:spacing w:val="-2"/>
                <w:sz w:val="18"/>
                <w:szCs w:val="18"/>
              </w:rPr>
              <w:t>0.00</w:t>
            </w:r>
          </w:p>
        </w:tc>
        <w:tc>
          <w:tcPr>
            <w:tcW w:w="1595" w:type="dxa"/>
            <w:tcBorders>
              <w:bottom w:val="single" w:sz="12" w:space="0" w:color="008000"/>
            </w:tcBorders>
          </w:tcPr>
          <w:p w14:paraId="3EC1754C" w14:textId="35D06C5C" w:rsidR="00754E10" w:rsidRPr="00D57F5E" w:rsidRDefault="00754E10" w:rsidP="00754E10">
            <w:pPr>
              <w:pStyle w:val="TableParagraph"/>
              <w:spacing w:before="19"/>
              <w:rPr>
                <w:rFonts w:ascii="Arial" w:hAnsi="Arial" w:cs="Arial"/>
                <w:spacing w:val="-2"/>
                <w:sz w:val="18"/>
                <w:szCs w:val="18"/>
              </w:rPr>
            </w:pPr>
            <w:r w:rsidRPr="00D57F5E">
              <w:rPr>
                <w:rFonts w:ascii="Arial" w:hAnsi="Arial" w:cs="Arial"/>
                <w:spacing w:val="-2"/>
                <w:sz w:val="18"/>
                <w:szCs w:val="18"/>
              </w:rPr>
              <w:t>0.0</w:t>
            </w:r>
            <w:r>
              <w:rPr>
                <w:rFonts w:ascii="Arial" w:hAnsi="Arial" w:cs="Arial"/>
                <w:spacing w:val="-2"/>
                <w:sz w:val="18"/>
                <w:szCs w:val="18"/>
              </w:rPr>
              <w:t>4</w:t>
            </w:r>
          </w:p>
        </w:tc>
      </w:tr>
    </w:tbl>
    <w:p w14:paraId="3F0DEFB6" w14:textId="1128CE24" w:rsidR="00AB4748" w:rsidRDefault="00AB4748" w:rsidP="005B635F">
      <w:pPr>
        <w:pStyle w:val="CETBodytext"/>
        <w:rPr>
          <w:b/>
        </w:rPr>
      </w:pPr>
      <w:r w:rsidRPr="00AB4748">
        <w:t xml:space="preserve">The exergy assessment revealed that most unavoidable exergy losses were attributed to the seed drying stage, starch </w:t>
      </w:r>
      <w:r w:rsidR="00600C95">
        <w:t>drying</w:t>
      </w:r>
      <w:r w:rsidRPr="00AB4748">
        <w:t xml:space="preserve">, fermentation, and </w:t>
      </w:r>
      <w:r w:rsidR="00DD5286">
        <w:t>F</w:t>
      </w:r>
      <w:r w:rsidRPr="00AB4748">
        <w:t xml:space="preserve">lash </w:t>
      </w:r>
      <w:r w:rsidR="00271F52">
        <w:t>separation</w:t>
      </w:r>
      <w:r w:rsidR="00DD5286">
        <w:t>-1</w:t>
      </w:r>
      <w:r w:rsidRPr="00AB4748">
        <w:t xml:space="preserve">. This finding indicates that the drying stage requires </w:t>
      </w:r>
      <w:r w:rsidRPr="00AB4748">
        <w:lastRenderedPageBreak/>
        <w:t xml:space="preserve">temperatures close to 50 °C, implying a deviation from the reference state. Furthermore, both fermentation and flash evaporation are carried out at 121 °C and 100 °C, respectively, which </w:t>
      </w:r>
      <w:r w:rsidR="008F520E">
        <w:t>deviates significantly</w:t>
      </w:r>
      <w:r w:rsidRPr="00AB4748">
        <w:t xml:space="preserve"> from the thermal state reference. In addition, these stages have high energy demands and consequently an inherent generation of irreversibilities associated with heat transfer or </w:t>
      </w:r>
      <w:r w:rsidR="00F740A2">
        <w:t>with</w:t>
      </w:r>
      <w:r w:rsidRPr="00AB4748">
        <w:t xml:space="preserve"> </w:t>
      </w:r>
      <w:r w:rsidR="00F740A2">
        <w:t xml:space="preserve">sustaining </w:t>
      </w:r>
      <w:r w:rsidRPr="00AB4748">
        <w:t>vacuum pressures (0.5 bar) in the case of the flash evaporation stage.</w:t>
      </w:r>
    </w:p>
    <w:p w14:paraId="2803F196" w14:textId="1AFE5463" w:rsidR="00847857" w:rsidRPr="00AB4748" w:rsidRDefault="008F520E" w:rsidP="00AB4748">
      <w:pPr>
        <w:pStyle w:val="CETAcknowledgements"/>
        <w:jc w:val="both"/>
        <w:rPr>
          <w:b w:val="0"/>
          <w:bCs/>
          <w:lang w:val="en-US"/>
        </w:rPr>
      </w:pPr>
      <w:r>
        <w:rPr>
          <w:b w:val="0"/>
          <w:bCs/>
          <w:noProof/>
          <w:lang w:val="en-US"/>
        </w:rPr>
        <w:drawing>
          <wp:anchor distT="0" distB="0" distL="114300" distR="114300" simplePos="0" relativeHeight="251661312" behindDoc="0" locked="0" layoutInCell="1" allowOverlap="1" wp14:anchorId="47626CD0" wp14:editId="7DECAB04">
            <wp:simplePos x="0" y="0"/>
            <wp:positionH relativeFrom="margin">
              <wp:align>right</wp:align>
            </wp:positionH>
            <wp:positionV relativeFrom="paragraph">
              <wp:posOffset>-272</wp:posOffset>
            </wp:positionV>
            <wp:extent cx="2796435" cy="2408464"/>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435" cy="2408464"/>
                    </a:xfrm>
                    <a:prstGeom prst="rect">
                      <a:avLst/>
                    </a:prstGeom>
                    <a:noFill/>
                  </pic:spPr>
                </pic:pic>
              </a:graphicData>
            </a:graphic>
            <wp14:sizeRelH relativeFrom="margin">
              <wp14:pctWidth>0</wp14:pctWidth>
            </wp14:sizeRelH>
            <wp14:sizeRelV relativeFrom="margin">
              <wp14:pctHeight>0</wp14:pctHeight>
            </wp14:sizeRelV>
          </wp:anchor>
        </w:drawing>
      </w:r>
      <w:r w:rsidR="008267F0">
        <w:rPr>
          <w:b w:val="0"/>
          <w:bCs/>
          <w:noProof/>
          <w:lang w:val="en-US"/>
        </w:rPr>
        <w:drawing>
          <wp:inline distT="0" distB="0" distL="0" distR="0" wp14:anchorId="382E0BF9" wp14:editId="1CCAC142">
            <wp:extent cx="2784231" cy="24085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2618" cy="2424461"/>
                    </a:xfrm>
                    <a:prstGeom prst="rect">
                      <a:avLst/>
                    </a:prstGeom>
                    <a:noFill/>
                  </pic:spPr>
                </pic:pic>
              </a:graphicData>
            </a:graphic>
          </wp:inline>
        </w:drawing>
      </w:r>
    </w:p>
    <w:p w14:paraId="685DDA9A" w14:textId="60B8DBDB" w:rsidR="00AB4748" w:rsidRPr="005B635F" w:rsidRDefault="00AB4748" w:rsidP="005B635F">
      <w:pPr>
        <w:pStyle w:val="CETCaption"/>
        <w:rPr>
          <w:lang w:val="en-US"/>
        </w:rPr>
      </w:pPr>
      <w:r w:rsidRPr="005B635F">
        <w:rPr>
          <w:noProof/>
          <w:szCs w:val="16"/>
          <w:lang w:val="en-US"/>
        </w:rPr>
        <w:t>Figure 2</w:t>
      </w:r>
      <w:r w:rsidRPr="005B635F">
        <w:rPr>
          <w:noProof/>
          <w:lang w:val="en-US"/>
        </w:rPr>
        <w:t xml:space="preserve">: </w:t>
      </w:r>
      <w:r w:rsidR="005B635F" w:rsidRPr="005B635F">
        <w:rPr>
          <w:noProof/>
          <w:lang w:val="en-US"/>
        </w:rPr>
        <w:t xml:space="preserve">Exergy analysis resultys by stage for </w:t>
      </w:r>
      <w:r w:rsidRPr="005B635F">
        <w:rPr>
          <w:lang w:val="en-US"/>
        </w:rPr>
        <w:t>A)</w:t>
      </w:r>
      <w:r w:rsidRPr="005B635F">
        <w:rPr>
          <w:sz w:val="16"/>
          <w:szCs w:val="16"/>
          <w:lang w:val="en-US"/>
        </w:rPr>
        <w:t xml:space="preserve"> </w:t>
      </w:r>
      <w:r w:rsidRPr="005B635F">
        <w:rPr>
          <w:lang w:val="en-US"/>
        </w:rPr>
        <w:t>starch production and B) biofilm production.</w:t>
      </w:r>
    </w:p>
    <w:p w14:paraId="67964C20" w14:textId="1D7E24D1" w:rsidR="00B76FF0" w:rsidRPr="00AF198B" w:rsidRDefault="00CE4EE4" w:rsidP="00AF198B">
      <w:pPr>
        <w:pStyle w:val="CETBodytext"/>
      </w:pPr>
      <w:r w:rsidRPr="00AF198B">
        <w:rPr>
          <w:noProof/>
        </w:rPr>
        <w:drawing>
          <wp:anchor distT="0" distB="0" distL="114300" distR="114300" simplePos="0" relativeHeight="251660288" behindDoc="0" locked="0" layoutInCell="1" allowOverlap="1" wp14:anchorId="7358A93D" wp14:editId="1A3095EF">
            <wp:simplePos x="0" y="0"/>
            <wp:positionH relativeFrom="margin">
              <wp:posOffset>1163320</wp:posOffset>
            </wp:positionH>
            <wp:positionV relativeFrom="paragraph">
              <wp:posOffset>2259330</wp:posOffset>
            </wp:positionV>
            <wp:extent cx="3248025" cy="1972310"/>
            <wp:effectExtent l="0" t="0" r="9525" b="889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1972310"/>
                    </a:xfrm>
                    <a:prstGeom prst="rect">
                      <a:avLst/>
                    </a:prstGeom>
                    <a:noFill/>
                  </pic:spPr>
                </pic:pic>
              </a:graphicData>
            </a:graphic>
            <wp14:sizeRelV relativeFrom="margin">
              <wp14:pctHeight>0</wp14:pctHeight>
            </wp14:sizeRelV>
          </wp:anchor>
        </w:drawing>
      </w:r>
      <w:r w:rsidR="00C53F25" w:rsidRPr="00AF198B">
        <w:t>The exergy yield of the starch production process by stage is shown in Figure 2A</w:t>
      </w:r>
      <w:r w:rsidR="006E2AA7" w:rsidRPr="00AF198B">
        <w:t>.</w:t>
      </w:r>
      <w:r w:rsidR="00C53F25" w:rsidRPr="00AF198B">
        <w:t xml:space="preserve"> </w:t>
      </w:r>
      <w:r w:rsidR="006E2AA7" w:rsidRPr="00AF198B">
        <w:t>The</w:t>
      </w:r>
      <w:r w:rsidR="00C53F25" w:rsidRPr="00AF198B">
        <w:t xml:space="preserve"> seed and starch drying stages account for the </w:t>
      </w:r>
      <w:r w:rsidR="006E2AA7" w:rsidRPr="00AF198B">
        <w:t>largest</w:t>
      </w:r>
      <w:r w:rsidR="00C53F25" w:rsidRPr="00AF198B">
        <w:t xml:space="preserve"> </w:t>
      </w:r>
      <w:r w:rsidR="00AA5726" w:rsidRPr="00AF198B">
        <w:t>exergy loss</w:t>
      </w:r>
      <w:r w:rsidR="00C53F25" w:rsidRPr="00AF198B">
        <w:t xml:space="preserve"> due to </w:t>
      </w:r>
      <w:r w:rsidR="007820A3" w:rsidRPr="00AF198B">
        <w:t>waste</w:t>
      </w:r>
      <w:r w:rsidR="00FB2B94" w:rsidRPr="00AF198B">
        <w:t xml:space="preserve"> streams</w:t>
      </w:r>
      <w:r w:rsidR="00C53F25" w:rsidRPr="00AF198B">
        <w:t xml:space="preserve"> and irreversibilities</w:t>
      </w:r>
      <w:r w:rsidR="006E2AA7" w:rsidRPr="00AF198B">
        <w:t xml:space="preserve">. The seed drying stage </w:t>
      </w:r>
      <w:r w:rsidR="00CE5175" w:rsidRPr="00AF198B">
        <w:t>accounts for 5% of the total exergy destroyed in the system, while each starch drying stage (</w:t>
      </w:r>
      <w:r w:rsidR="00003F0B" w:rsidRPr="00AF198B">
        <w:t>Starch dr</w:t>
      </w:r>
      <w:r w:rsidR="00907563" w:rsidRPr="00AF198B">
        <w:t>ying-1 and drying-2</w:t>
      </w:r>
      <w:r w:rsidR="00CE5175" w:rsidRPr="00AF198B">
        <w:t xml:space="preserve">) accounts for 7% of the total </w:t>
      </w:r>
      <w:r w:rsidR="006E2AA7" w:rsidRPr="00AF198B">
        <w:t>exergy destruction.</w:t>
      </w:r>
      <w:r w:rsidR="00C53F25" w:rsidRPr="00AF198B">
        <w:t xml:space="preserve"> This is due to the large amount of exergy required by the equipment, as well as the use of hot air streams that are released into the environment as humid air with temperatures reaching up to 60 °C. Consequently, the stages with the lowest exergy efficiency are seed drying (63%), </w:t>
      </w:r>
      <w:r w:rsidR="00F94644" w:rsidRPr="00AF198B">
        <w:t>S</w:t>
      </w:r>
      <w:r w:rsidR="00C53F25" w:rsidRPr="00AF198B">
        <w:t>tarch drying</w:t>
      </w:r>
      <w:r w:rsidR="00F94644" w:rsidRPr="00AF198B">
        <w:t>-1</w:t>
      </w:r>
      <w:r w:rsidR="00C53F25" w:rsidRPr="00AF198B">
        <w:t xml:space="preserve"> (18%), and </w:t>
      </w:r>
      <w:r w:rsidR="00F94644" w:rsidRPr="00AF198B">
        <w:t>S</w:t>
      </w:r>
      <w:r w:rsidR="006652D5" w:rsidRPr="00AF198B">
        <w:t>tarch drying</w:t>
      </w:r>
      <w:r w:rsidR="00F94644" w:rsidRPr="00AF198B">
        <w:t>-2</w:t>
      </w:r>
      <w:r w:rsidR="00C53F25" w:rsidRPr="00AF198B">
        <w:t xml:space="preserve"> (9%). Figure 2B, on the other hand, illustrates the yield in biofilm production. It clearly shows how stages such as filtration (97.7 MJ/h) and </w:t>
      </w:r>
      <w:r w:rsidR="00B06BB0" w:rsidRPr="00AF198B">
        <w:t>F</w:t>
      </w:r>
      <w:r w:rsidR="00C53F25" w:rsidRPr="00AF198B">
        <w:t>lash</w:t>
      </w:r>
      <w:r w:rsidR="00B06BB0" w:rsidRPr="00AF198B">
        <w:t xml:space="preserve"> separation-1</w:t>
      </w:r>
      <w:r w:rsidR="00C53F25" w:rsidRPr="00AF198B">
        <w:t xml:space="preserve"> (81.88 MJ/h) exhibit the greatest exergy loss due to </w:t>
      </w:r>
      <w:r w:rsidR="001E1630" w:rsidRPr="00AF198B">
        <w:t>waste</w:t>
      </w:r>
      <w:r w:rsidR="00C53F25" w:rsidRPr="00AF198B">
        <w:t>. Th</w:t>
      </w:r>
      <w:r w:rsidR="0040535B" w:rsidRPr="00AF198B">
        <w:t>is behavior</w:t>
      </w:r>
      <w:r w:rsidR="00C53F25" w:rsidRPr="00AF198B">
        <w:t xml:space="preserve"> is attributed to the fact that gypsum is obtained as a by-product during the filtration stage, while high-temperature, low-pressure water vapor is released during </w:t>
      </w:r>
      <w:r w:rsidR="00263F76" w:rsidRPr="00AF198B">
        <w:t>F</w:t>
      </w:r>
      <w:r w:rsidR="00C53F25" w:rsidRPr="00AF198B">
        <w:t>la</w:t>
      </w:r>
      <w:r w:rsidR="00263F76" w:rsidRPr="00AF198B">
        <w:t>sh separation-1</w:t>
      </w:r>
      <w:r w:rsidR="00C53F25" w:rsidRPr="00AF198B">
        <w:t xml:space="preserve">. This confirms the untapped potential of these streams in the process. Furthermore, the most significant irreversibilities are observed in biofilm drying, fermentation, and </w:t>
      </w:r>
      <w:r w:rsidR="008250D7" w:rsidRPr="00AF198B">
        <w:t>F</w:t>
      </w:r>
      <w:r w:rsidR="00C53F25" w:rsidRPr="00AF198B">
        <w:t>lash evaporation</w:t>
      </w:r>
      <w:r w:rsidR="008250D7" w:rsidRPr="00AF198B">
        <w:t>-1</w:t>
      </w:r>
      <w:r w:rsidR="009A46D8" w:rsidRPr="00AF198B">
        <w:t>,</w:t>
      </w:r>
      <w:r w:rsidR="003D78CD" w:rsidRPr="00AF198B">
        <w:t xml:space="preserve"> each representing</w:t>
      </w:r>
      <w:r w:rsidR="00C53F25" w:rsidRPr="00AF198B">
        <w:t xml:space="preserve"> 6% of the total system </w:t>
      </w:r>
      <w:r w:rsidR="009A46D8" w:rsidRPr="00AF198B">
        <w:t>exergy destruction</w:t>
      </w:r>
      <w:r w:rsidR="00C53F25" w:rsidRPr="00AF198B">
        <w:t xml:space="preserve">. The results suggest a strong dependence on external </w:t>
      </w:r>
      <w:r w:rsidR="001E1630" w:rsidRPr="00AF198B">
        <w:t>utilities</w:t>
      </w:r>
      <w:r w:rsidR="00C53F25" w:rsidRPr="00AF198B">
        <w:t xml:space="preserve"> and operating conditions that limit the effective use of the supplied exergy; likewise, they indicate waste streams that could be utilized or recirculated into the process.</w:t>
      </w:r>
    </w:p>
    <w:p w14:paraId="7D4D84AE" w14:textId="1E4F6C31" w:rsidR="00AB4748" w:rsidRPr="00C53F25" w:rsidRDefault="00AB4748" w:rsidP="00AF198B">
      <w:pPr>
        <w:pStyle w:val="CETCaption"/>
        <w:rPr>
          <w:rFonts w:cs="Arial"/>
          <w:noProof/>
          <w:szCs w:val="18"/>
          <w:lang w:val="en-US"/>
        </w:rPr>
      </w:pPr>
      <w:r w:rsidRPr="001D29FD">
        <w:t xml:space="preserve">Figure 3: </w:t>
      </w:r>
      <w:r w:rsidR="00AF198B">
        <w:t>Exergy analysis results for the avocado hard waste biorefinery.</w:t>
      </w:r>
    </w:p>
    <w:p w14:paraId="139CBE83" w14:textId="6A3A564F" w:rsidR="00EA0EB1" w:rsidRPr="00B76FF0" w:rsidRDefault="00AB4748" w:rsidP="00AF198B">
      <w:pPr>
        <w:pStyle w:val="CETBodytext"/>
        <w:rPr>
          <w:b/>
        </w:rPr>
      </w:pPr>
      <w:r w:rsidRPr="00AA7FC0">
        <w:lastRenderedPageBreak/>
        <w:t xml:space="preserve">The overall exergy </w:t>
      </w:r>
      <w:r w:rsidR="00A303F1" w:rsidRPr="00AA7FC0">
        <w:t>behavio</w:t>
      </w:r>
      <w:r w:rsidR="00A303F1">
        <w:t>ur</w:t>
      </w:r>
      <w:r w:rsidRPr="00AA7FC0">
        <w:t xml:space="preserve"> of the process is depicted in Figure 3. The total process irreversibilities amount to</w:t>
      </w:r>
      <w:r>
        <w:t xml:space="preserve"> </w:t>
      </w:r>
      <w:r w:rsidRPr="00AA7FC0">
        <w:t>5453.58 MJ/h and an overall efficiency of 6</w:t>
      </w:r>
      <w:r w:rsidR="004413B6">
        <w:t>8</w:t>
      </w:r>
      <w:r w:rsidRPr="00AA7FC0">
        <w:t>%, which is considerably higher than reported for Creole-Antillean avocado oil extraction (</w:t>
      </w:r>
      <w:r w:rsidRPr="00740704">
        <w:t>Herrera</w:t>
      </w:r>
      <w:r w:rsidRPr="00AA7FC0">
        <w:t xml:space="preserve"> et al., 2022), </w:t>
      </w:r>
      <w:r w:rsidR="00DE7126">
        <w:t>which reported an efficiency</w:t>
      </w:r>
      <w:r w:rsidRPr="00AA7FC0">
        <w:t xml:space="preserve"> of 26.80%. However, these findings still have room for improvement, especially in stages associated with auxiliary </w:t>
      </w:r>
      <w:r w:rsidR="007456D5">
        <w:t>utilities</w:t>
      </w:r>
      <w:r w:rsidRPr="00AA7FC0">
        <w:t xml:space="preserve"> that </w:t>
      </w:r>
      <w:r w:rsidR="00CF0395">
        <w:t xml:space="preserve">are </w:t>
      </w:r>
      <w:r w:rsidR="005A7A64">
        <w:t>responsible</w:t>
      </w:r>
      <w:r w:rsidRPr="00AA7FC0">
        <w:t xml:space="preserve"> for the highest irreversibilities across the global process. A large fraction of the exergy losses is mainly related to thermal inefficiencies and the dissipation of heat to the environment. </w:t>
      </w:r>
      <w:r>
        <w:t xml:space="preserve">Therefore, the use of energy integration techniques would further improve this efficiency, especially by leveraging heat recovery from hot, humid air streams </w:t>
      </w:r>
      <w:r w:rsidRPr="00AA7FC0">
        <w:t>discharged during the drying stages</w:t>
      </w:r>
      <w:r w:rsidR="00494792">
        <w:t>.</w:t>
      </w:r>
    </w:p>
    <w:p w14:paraId="7B56D6E3" w14:textId="1677B738" w:rsidR="004A31AB" w:rsidRPr="00687E6E" w:rsidRDefault="00687E6E" w:rsidP="004A31AB">
      <w:pPr>
        <w:pStyle w:val="CETHeading1"/>
        <w:tabs>
          <w:tab w:val="clear" w:pos="360"/>
          <w:tab w:val="right" w:pos="7100"/>
        </w:tabs>
        <w:jc w:val="both"/>
        <w:rPr>
          <w:lang w:val="en-GB"/>
        </w:rPr>
      </w:pPr>
      <w:r>
        <w:rPr>
          <w:lang w:val="en-GB"/>
        </w:rPr>
        <w:t>Conclusions</w:t>
      </w:r>
    </w:p>
    <w:p w14:paraId="4D7EC37E" w14:textId="6FBA62A3" w:rsidR="004A31AB" w:rsidRDefault="00072D68" w:rsidP="00AF198B">
      <w:pPr>
        <w:pStyle w:val="CETBodytext"/>
        <w:rPr>
          <w:b/>
        </w:rPr>
      </w:pPr>
      <w:r>
        <w:rPr>
          <w:bCs/>
        </w:rPr>
        <w:t>E</w:t>
      </w:r>
      <w:r w:rsidR="004A31AB" w:rsidRPr="005861AF">
        <w:t>xerg</w:t>
      </w:r>
      <w:r w:rsidR="006417B6">
        <w:t>y</w:t>
      </w:r>
      <w:r w:rsidR="004A31AB" w:rsidRPr="005861AF">
        <w:t xml:space="preserve"> assessment of the</w:t>
      </w:r>
      <w:r w:rsidR="00616A1A">
        <w:t xml:space="preserve"> avocado hard waste biorefinery</w:t>
      </w:r>
      <w:r w:rsidR="004A31AB" w:rsidRPr="005861AF">
        <w:t xml:space="preserve"> was carried out, </w:t>
      </w:r>
      <w:r w:rsidR="004A31AB">
        <w:t>identifying the process units characterized by high irreversibilities, high utility demands, and inherent exergy losses, highlighting the limitations of the process. By integrating</w:t>
      </w:r>
      <w:r w:rsidR="00F371AE">
        <w:t xml:space="preserve"> </w:t>
      </w:r>
      <w:r w:rsidR="004A31AB">
        <w:t>avocado</w:t>
      </w:r>
      <w:r w:rsidR="00F371AE">
        <w:t xml:space="preserve"> </w:t>
      </w:r>
      <w:r w:rsidR="004A31AB">
        <w:t xml:space="preserve">valorization to produce starch and biofilm, the presented topology improves resource utilization and </w:t>
      </w:r>
      <w:r w:rsidR="001F5C97">
        <w:t>thermodynamic</w:t>
      </w:r>
      <w:r w:rsidR="004A31AB">
        <w:t xml:space="preserve"> performance. Based on the extracted results</w:t>
      </w:r>
      <w:r w:rsidR="007F3970">
        <w:t>,</w:t>
      </w:r>
      <w:r w:rsidR="004A31AB">
        <w:t xml:space="preserve"> the system achieves an overall exerg</w:t>
      </w:r>
      <w:r w:rsidR="007456D5">
        <w:t>y</w:t>
      </w:r>
      <w:r w:rsidR="004A31AB">
        <w:t xml:space="preserve"> efficiency of 6</w:t>
      </w:r>
      <w:r w:rsidR="004413B6">
        <w:t>8</w:t>
      </w:r>
      <w:r w:rsidR="004A31AB">
        <w:t xml:space="preserve">%, </w:t>
      </w:r>
      <w:r w:rsidR="00FF5692">
        <w:t>showing</w:t>
      </w:r>
      <w:r w:rsidR="004A31AB">
        <w:t xml:space="preserve"> that the highest irreversibilities are seen at the seed drying and starch drying stages for the starch production process, while the largest irreversibilities for the biofilm production are seen during stages such as biofilm drying, fermentation and </w:t>
      </w:r>
      <w:r w:rsidR="00F31371">
        <w:t>F</w:t>
      </w:r>
      <w:r w:rsidR="004A31AB">
        <w:t xml:space="preserve">lash </w:t>
      </w:r>
      <w:r w:rsidR="00372638">
        <w:t>separation</w:t>
      </w:r>
      <w:r w:rsidR="00F31371">
        <w:t>-1</w:t>
      </w:r>
      <w:r w:rsidR="000815B8">
        <w:t>;</w:t>
      </w:r>
      <w:r w:rsidR="004A31AB">
        <w:t xml:space="preserve"> therefore these stages become the main exergy bottlenecks of the global process, largely driven by the high demand for external utilities. Consequently, the recovery and reuse of thermal energy from hot humid air streams</w:t>
      </w:r>
      <w:r w:rsidR="00856816">
        <w:t xml:space="preserve"> represents</w:t>
      </w:r>
      <w:r w:rsidR="004A31AB">
        <w:t xml:space="preserve"> a key opportunity to reduce the exergy destruction; in this sense, the implementation of energy integration strategies is proposed to enhance heat recovery within the exchange and reduce overall energy consumption.</w:t>
      </w:r>
    </w:p>
    <w:p w14:paraId="15EFD3E5" w14:textId="610C9833" w:rsidR="00703863" w:rsidRDefault="004A31AB" w:rsidP="00703863">
      <w:pPr>
        <w:pStyle w:val="CETAcknowledgements"/>
        <w:spacing w:after="120" w:line="264" w:lineRule="auto"/>
        <w:jc w:val="both"/>
        <w:rPr>
          <w:b w:val="0"/>
          <w:bCs/>
        </w:rPr>
      </w:pPr>
      <w:r w:rsidRPr="00A27416">
        <w:t>Acknowledgments</w:t>
      </w:r>
    </w:p>
    <w:p w14:paraId="05C42211" w14:textId="1946380A" w:rsidR="00703863" w:rsidRDefault="004A31AB" w:rsidP="00AF198B">
      <w:pPr>
        <w:pStyle w:val="CETBodytext"/>
        <w:rPr>
          <w:b/>
        </w:rPr>
      </w:pPr>
      <w:r>
        <w:t>The authors</w:t>
      </w:r>
      <w:r w:rsidRPr="00A27416">
        <w:t xml:space="preserve"> thank </w:t>
      </w:r>
      <w:r>
        <w:t>the</w:t>
      </w:r>
      <w:r w:rsidRPr="00A27416">
        <w:t xml:space="preserve"> University of Cartagena, the Colombian National Planning Department</w:t>
      </w:r>
      <w:r>
        <w:t>,</w:t>
      </w:r>
      <w:r w:rsidRPr="00A27416">
        <w:t xml:space="preserve"> and the Colombian Ministry of Science, Technology</w:t>
      </w:r>
      <w:r>
        <w:t>,</w:t>
      </w:r>
      <w:r w:rsidRPr="00A27416">
        <w:t xml:space="preserve"> and Innovation (MINCIENCIAS) for the supply of equipment and software necessary to conclude this work via </w:t>
      </w:r>
      <w:r>
        <w:t xml:space="preserve">project </w:t>
      </w:r>
      <w:r w:rsidRPr="00A27416">
        <w:t>SIGP 100307</w:t>
      </w:r>
      <w:r>
        <w:t xml:space="preserve">, contract </w:t>
      </w:r>
      <w:r w:rsidRPr="00A27416">
        <w:t>442-2023</w:t>
      </w:r>
      <w:r>
        <w:t>.</w:t>
      </w:r>
    </w:p>
    <w:p w14:paraId="074A37F6" w14:textId="789C21B0" w:rsidR="004A31AB" w:rsidRPr="00AF198B" w:rsidRDefault="004A31AB" w:rsidP="00AF198B">
      <w:pPr>
        <w:pStyle w:val="CETReference"/>
      </w:pPr>
      <w:r w:rsidRPr="00AF198B">
        <w:t xml:space="preserve">References </w:t>
      </w:r>
    </w:p>
    <w:p w14:paraId="332EBE87" w14:textId="77777777" w:rsidR="00D43B58" w:rsidRPr="00D43B58" w:rsidRDefault="00D43B58" w:rsidP="008E1796">
      <w:pPr>
        <w:pStyle w:val="CETReference-text"/>
        <w:rPr>
          <w:rFonts w:cs="Arial"/>
          <w:lang w:val="en-US"/>
        </w:rPr>
      </w:pPr>
      <w:r w:rsidRPr="00D43B58">
        <w:rPr>
          <w:rFonts w:cs="Arial"/>
          <w:lang w:val="en-US"/>
        </w:rPr>
        <w:t>Analdex (2024). Annual report of agricultural exports: Hass avocado 2015–2024. National Association of Foreign Trade. Available online at: https://analdex.org (Accessed January 2, 2026).</w:t>
      </w:r>
    </w:p>
    <w:p w14:paraId="67F69B2A" w14:textId="4EF8A069" w:rsidR="008E1796" w:rsidRPr="002654B4" w:rsidRDefault="008E1796" w:rsidP="008E1796">
      <w:pPr>
        <w:pStyle w:val="CETReference-text"/>
        <w:rPr>
          <w:rFonts w:cs="Arial"/>
          <w:szCs w:val="18"/>
          <w:u w:val="single"/>
          <w:shd w:val="clear" w:color="auto" w:fill="FFFFFF"/>
          <w:lang w:val="en-US"/>
        </w:rPr>
      </w:pPr>
      <w:r w:rsidRPr="00740704">
        <w:rPr>
          <w:rFonts w:cs="Arial"/>
          <w:szCs w:val="18"/>
          <w:shd w:val="clear" w:color="auto" w:fill="FFFFFF"/>
          <w:lang w:val="en-US"/>
        </w:rPr>
        <w:t>Aliev, G., Toms, R., Melnikov, P., Gervald, A., Glushchenko, L., Sedush, N., &amp; Chvalun, S. (2024). Synthesis of L-lactide from lactic acid and production of PLA pellets: Full-cycle laboratory-scale technology. </w:t>
      </w:r>
      <w:r w:rsidRPr="00DD212C">
        <w:rPr>
          <w:rFonts w:cs="Arial"/>
          <w:i/>
          <w:iCs/>
          <w:szCs w:val="18"/>
          <w:shd w:val="clear" w:color="auto" w:fill="FFFFFF"/>
          <w:lang w:val="en-US"/>
        </w:rPr>
        <w:t>Polymers</w:t>
      </w:r>
      <w:r w:rsidRPr="00DD212C">
        <w:rPr>
          <w:rFonts w:cs="Arial"/>
          <w:szCs w:val="18"/>
          <w:shd w:val="clear" w:color="auto" w:fill="FFFFFF"/>
          <w:lang w:val="en-US"/>
        </w:rPr>
        <w:t>, </w:t>
      </w:r>
      <w:r w:rsidRPr="00DD212C">
        <w:rPr>
          <w:rFonts w:cs="Arial"/>
          <w:i/>
          <w:iCs/>
          <w:szCs w:val="18"/>
          <w:shd w:val="clear" w:color="auto" w:fill="FFFFFF"/>
          <w:lang w:val="en-US"/>
        </w:rPr>
        <w:t>16</w:t>
      </w:r>
      <w:r w:rsidRPr="00DD212C">
        <w:rPr>
          <w:rFonts w:cs="Arial"/>
          <w:szCs w:val="18"/>
          <w:shd w:val="clear" w:color="auto" w:fill="FFFFFF"/>
          <w:lang w:val="en-US"/>
        </w:rPr>
        <w:t xml:space="preserve">(5), 624. </w:t>
      </w:r>
      <w:r w:rsidR="00D21A6E" w:rsidRPr="008F520E">
        <w:rPr>
          <w:rFonts w:cs="Arial"/>
          <w:szCs w:val="18"/>
          <w:shd w:val="clear" w:color="auto" w:fill="FFFFFF"/>
          <w:lang w:val="en-US"/>
        </w:rPr>
        <w:t>https://doi.org/10.3390/polym16050624</w:t>
      </w:r>
    </w:p>
    <w:p w14:paraId="787BD696" w14:textId="30098E2D" w:rsidR="00D21A6E" w:rsidRDefault="00D21A6E" w:rsidP="00D21A6E">
      <w:pPr>
        <w:pStyle w:val="CETReference-text"/>
        <w:rPr>
          <w:rFonts w:cs="Arial"/>
          <w:szCs w:val="18"/>
          <w:shd w:val="clear" w:color="auto" w:fill="FFFFFF"/>
          <w:lang w:val="en-US"/>
        </w:rPr>
      </w:pPr>
      <w:r w:rsidRPr="00740704">
        <w:rPr>
          <w:rFonts w:cs="Arial"/>
          <w:szCs w:val="18"/>
          <w:shd w:val="clear" w:color="auto" w:fill="FFFFFF"/>
          <w:lang w:val="en-US"/>
        </w:rPr>
        <w:t>Alviz-Meza A., Valdez-Valdes S.A., Gonzalez-Delgado A.D., 2025, Computer-aided Simulation of a Cascade</w:t>
      </w:r>
      <w:r w:rsidR="004C4A67">
        <w:rPr>
          <w:rFonts w:cs="Arial"/>
          <w:szCs w:val="18"/>
          <w:shd w:val="clear" w:color="auto" w:fill="FFFFFF"/>
          <w:lang w:val="en-US"/>
        </w:rPr>
        <w:t xml:space="preserve">. </w:t>
      </w:r>
      <w:r w:rsidRPr="00740704">
        <w:rPr>
          <w:rFonts w:cs="Arial"/>
          <w:szCs w:val="18"/>
          <w:shd w:val="clear" w:color="auto" w:fill="FFFFFF"/>
          <w:lang w:val="en-US"/>
        </w:rPr>
        <w:t>Biorefinery: Case Study of the Colombian Amazon’s Hass Avocado Waste, Chemical Engineering Transactions, 117, 67-72, DOI:10.3303/CET25117012</w:t>
      </w:r>
    </w:p>
    <w:p w14:paraId="513B9C80" w14:textId="0C4CEAB2" w:rsidR="001213EC" w:rsidRPr="00981FD2" w:rsidRDefault="001213EC" w:rsidP="00D21A6E">
      <w:pPr>
        <w:pStyle w:val="CETReference-text"/>
        <w:rPr>
          <w:rFonts w:cs="Arial"/>
          <w:szCs w:val="18"/>
          <w:shd w:val="clear" w:color="auto" w:fill="FFFFFF"/>
          <w:lang w:val="en-US"/>
        </w:rPr>
      </w:pPr>
      <w:r w:rsidRPr="001213EC">
        <w:rPr>
          <w:rFonts w:cs="Arial"/>
          <w:szCs w:val="18"/>
          <w:shd w:val="clear" w:color="auto" w:fill="FFFFFF"/>
          <w:lang w:val="en-US"/>
        </w:rPr>
        <w:t xml:space="preserve">Deng, L., Adams II, T.A., </w:t>
      </w:r>
      <w:r w:rsidR="00C1646E" w:rsidRPr="00C1646E">
        <w:rPr>
          <w:rFonts w:cs="Arial"/>
          <w:lang w:val="en-US"/>
        </w:rPr>
        <w:t>&amp;</w:t>
      </w:r>
      <w:r w:rsidRPr="001213EC">
        <w:rPr>
          <w:rFonts w:cs="Arial"/>
          <w:szCs w:val="18"/>
          <w:shd w:val="clear" w:color="auto" w:fill="FFFFFF"/>
          <w:lang w:val="en-US"/>
        </w:rPr>
        <w:t xml:space="preserve"> Gundersen, T. </w:t>
      </w:r>
      <w:r>
        <w:rPr>
          <w:rFonts w:cs="Arial"/>
          <w:szCs w:val="18"/>
          <w:shd w:val="clear" w:color="auto" w:fill="FFFFFF"/>
          <w:lang w:val="en-US"/>
        </w:rPr>
        <w:t>(</w:t>
      </w:r>
      <w:r w:rsidRPr="001213EC">
        <w:rPr>
          <w:rFonts w:cs="Arial"/>
          <w:szCs w:val="18"/>
          <w:shd w:val="clear" w:color="auto" w:fill="FFFFFF"/>
          <w:lang w:val="en-US"/>
        </w:rPr>
        <w:t>2024</w:t>
      </w:r>
      <w:r>
        <w:rPr>
          <w:rFonts w:cs="Arial"/>
          <w:szCs w:val="18"/>
          <w:shd w:val="clear" w:color="auto" w:fill="FFFFFF"/>
          <w:lang w:val="en-US"/>
        </w:rPr>
        <w:t>)</w:t>
      </w:r>
      <w:r w:rsidRPr="001213EC">
        <w:rPr>
          <w:rFonts w:cs="Arial"/>
          <w:szCs w:val="18"/>
          <w:shd w:val="clear" w:color="auto" w:fill="FFFFFF"/>
          <w:lang w:val="en-US"/>
        </w:rPr>
        <w:t xml:space="preserve">. Exergy Tables: A Comprehensive Set of Exergy Values ​​for Optimizing Energy Efficiency Analysis. 1st ed. New York: </w:t>
      </w:r>
      <w:r w:rsidR="00C1646E">
        <w:rPr>
          <w:rFonts w:cs="Arial"/>
          <w:szCs w:val="18"/>
          <w:shd w:val="clear" w:color="auto" w:fill="FFFFFF"/>
          <w:lang w:val="en-US"/>
        </w:rPr>
        <w:t>McGraw-Hill</w:t>
      </w:r>
      <w:r w:rsidRPr="001213EC">
        <w:rPr>
          <w:rFonts w:cs="Arial"/>
          <w:szCs w:val="18"/>
          <w:shd w:val="clear" w:color="auto" w:fill="FFFFFF"/>
          <w:lang w:val="en-US"/>
        </w:rPr>
        <w:t xml:space="preserve">. </w:t>
      </w:r>
      <w:r w:rsidRPr="00981FD2">
        <w:rPr>
          <w:rFonts w:cs="Arial"/>
          <w:szCs w:val="18"/>
          <w:shd w:val="clear" w:color="auto" w:fill="FFFFFF"/>
          <w:lang w:val="en-US"/>
        </w:rPr>
        <w:t>Available at: https://www.accessengineeringlibrary.com/content/book/9781264715725</w:t>
      </w:r>
    </w:p>
    <w:p w14:paraId="5ECB335E" w14:textId="77777777" w:rsidR="008E1796" w:rsidRPr="00740704" w:rsidRDefault="008E1796" w:rsidP="008E1796">
      <w:pPr>
        <w:pStyle w:val="CETReference-text"/>
        <w:rPr>
          <w:rFonts w:cs="Arial"/>
          <w:lang w:val="es-CO"/>
        </w:rPr>
      </w:pPr>
      <w:r w:rsidRPr="00765588">
        <w:rPr>
          <w:rFonts w:cs="Arial"/>
          <w:lang w:val="es-CO"/>
        </w:rPr>
        <w:t xml:space="preserve">Fontalvo-Morales, A., Rojas-Flores, S., &amp; González-Delgado, Á. D. (2025). </w:t>
      </w:r>
      <w:r w:rsidRPr="00740704">
        <w:rPr>
          <w:rFonts w:cs="Arial"/>
          <w:lang w:val="en-US"/>
        </w:rPr>
        <w:t>Computer-aided exergy analysis of a Creole avocado extractive-based biorefinery and sustainable utilization in Montes de Maria, Colombia. </w:t>
      </w:r>
      <w:r w:rsidRPr="00740704">
        <w:rPr>
          <w:rFonts w:cs="Arial"/>
          <w:i/>
          <w:iCs/>
          <w:lang w:val="es-CO"/>
        </w:rPr>
        <w:t>Sustainability</w:t>
      </w:r>
      <w:r w:rsidRPr="00740704">
        <w:rPr>
          <w:rFonts w:cs="Arial"/>
          <w:lang w:val="es-CO"/>
        </w:rPr>
        <w:t>, </w:t>
      </w:r>
      <w:r w:rsidRPr="00740704">
        <w:rPr>
          <w:rFonts w:cs="Arial"/>
          <w:i/>
          <w:iCs/>
          <w:lang w:val="es-CO"/>
        </w:rPr>
        <w:t>17</w:t>
      </w:r>
      <w:r w:rsidRPr="00740704">
        <w:rPr>
          <w:rFonts w:cs="Arial"/>
          <w:lang w:val="es-CO"/>
        </w:rPr>
        <w:t>(12), 5451. https://doi.org/10.3390/su17125451</w:t>
      </w:r>
    </w:p>
    <w:p w14:paraId="2A3A50AF" w14:textId="1F979E59" w:rsidR="00C53F25" w:rsidRPr="00740704" w:rsidRDefault="00C53F25" w:rsidP="00C53F25">
      <w:pPr>
        <w:pStyle w:val="CETReference-text"/>
        <w:rPr>
          <w:rFonts w:cs="Arial"/>
          <w:lang w:val="en-US"/>
        </w:rPr>
      </w:pPr>
      <w:r w:rsidRPr="00740704">
        <w:rPr>
          <w:rFonts w:cs="Arial"/>
          <w:lang w:val="es-CO"/>
        </w:rPr>
        <w:t xml:space="preserve">García, J. S. A., Hurtado-Salazar, A., &amp; Ceballos-Aguirre, N. (2021). </w:t>
      </w:r>
      <w:r w:rsidRPr="00740704">
        <w:rPr>
          <w:rFonts w:cs="Arial"/>
          <w:lang w:val="en-US"/>
        </w:rPr>
        <w:t>Current overview of Hass avocado in Colombia: Challenges and opportunities. </w:t>
      </w:r>
      <w:r w:rsidRPr="00740704">
        <w:rPr>
          <w:rFonts w:cs="Arial"/>
          <w:i/>
          <w:iCs/>
          <w:lang w:val="en-US"/>
        </w:rPr>
        <w:t>Ciência Rural</w:t>
      </w:r>
      <w:r w:rsidRPr="00740704">
        <w:rPr>
          <w:rFonts w:cs="Arial"/>
          <w:lang w:val="en-US"/>
        </w:rPr>
        <w:t>.</w:t>
      </w:r>
    </w:p>
    <w:p w14:paraId="1A9488BB" w14:textId="4EE1099B" w:rsidR="008E1796" w:rsidRPr="00740704" w:rsidRDefault="008E1796" w:rsidP="008E1796">
      <w:pPr>
        <w:pStyle w:val="CETReference-text"/>
        <w:rPr>
          <w:rFonts w:cs="Arial"/>
          <w:szCs w:val="18"/>
          <w:shd w:val="clear" w:color="auto" w:fill="FFFFFF"/>
          <w:lang w:val="es-CO"/>
        </w:rPr>
      </w:pPr>
      <w:r w:rsidRPr="00DD212C">
        <w:rPr>
          <w:rFonts w:cs="Arial"/>
          <w:szCs w:val="18"/>
          <w:shd w:val="clear" w:color="auto" w:fill="FFFFFF"/>
          <w:lang w:val="en-US"/>
        </w:rPr>
        <w:t xml:space="preserve">Gungor Celik, A., &amp; Aydemir, U. (2025). </w:t>
      </w:r>
      <w:r w:rsidRPr="00740704">
        <w:rPr>
          <w:rFonts w:cs="Arial"/>
          <w:szCs w:val="18"/>
          <w:shd w:val="clear" w:color="auto" w:fill="FFFFFF"/>
          <w:lang w:val="en-US"/>
        </w:rPr>
        <w:t>Energy, exergy analysis and sustainability assessment of a thermal power plant operating in various environmental conditions using real operational data. </w:t>
      </w:r>
      <w:r w:rsidRPr="00740704">
        <w:rPr>
          <w:rFonts w:cs="Arial"/>
          <w:i/>
          <w:iCs/>
          <w:szCs w:val="18"/>
          <w:shd w:val="clear" w:color="auto" w:fill="FFFFFF"/>
          <w:lang w:val="es-CO"/>
        </w:rPr>
        <w:t>Sustainability</w:t>
      </w:r>
      <w:r w:rsidRPr="00740704">
        <w:rPr>
          <w:rFonts w:cs="Arial"/>
          <w:szCs w:val="18"/>
          <w:shd w:val="clear" w:color="auto" w:fill="FFFFFF"/>
          <w:lang w:val="es-CO"/>
        </w:rPr>
        <w:t>, </w:t>
      </w:r>
      <w:r w:rsidRPr="00740704">
        <w:rPr>
          <w:rFonts w:cs="Arial"/>
          <w:i/>
          <w:iCs/>
          <w:szCs w:val="18"/>
          <w:shd w:val="clear" w:color="auto" w:fill="FFFFFF"/>
          <w:lang w:val="es-CO"/>
        </w:rPr>
        <w:t>17</w:t>
      </w:r>
      <w:r w:rsidRPr="00740704">
        <w:rPr>
          <w:rFonts w:cs="Arial"/>
          <w:szCs w:val="18"/>
          <w:shd w:val="clear" w:color="auto" w:fill="FFFFFF"/>
          <w:lang w:val="es-CO"/>
        </w:rPr>
        <w:t>(4), 1417. https://doi.org/10.3390/su17041417</w:t>
      </w:r>
    </w:p>
    <w:p w14:paraId="0599BFB6" w14:textId="75845C6B" w:rsidR="006801F9" w:rsidRPr="00740704" w:rsidRDefault="006801F9" w:rsidP="00C53F25">
      <w:pPr>
        <w:pStyle w:val="CETReference-text"/>
        <w:rPr>
          <w:rFonts w:cs="Arial"/>
          <w:lang w:val="en-US"/>
        </w:rPr>
      </w:pPr>
      <w:r w:rsidRPr="00740704">
        <w:rPr>
          <w:rFonts w:cs="Arial"/>
          <w:lang w:val="es-CO"/>
        </w:rPr>
        <w:t xml:space="preserve">Herrera, T., Parejo, V., &amp; González-Delgado, A. (2022). </w:t>
      </w:r>
      <w:r w:rsidRPr="00740704">
        <w:rPr>
          <w:rFonts w:cs="Arial"/>
          <w:lang w:val="en-US"/>
        </w:rPr>
        <w:t>Quality of Energy Conservation in an Avocado Oil Extraction Process via Exergy Analysis. </w:t>
      </w:r>
      <w:r w:rsidRPr="00740704">
        <w:rPr>
          <w:rFonts w:cs="Arial"/>
          <w:i/>
          <w:iCs/>
          <w:lang w:val="en-US"/>
        </w:rPr>
        <w:t>Chemical Engineering Transactions</w:t>
      </w:r>
      <w:r w:rsidRPr="00740704">
        <w:rPr>
          <w:rFonts w:cs="Arial"/>
          <w:lang w:val="en-US"/>
        </w:rPr>
        <w:t>, </w:t>
      </w:r>
      <w:r w:rsidRPr="00740704">
        <w:rPr>
          <w:rFonts w:cs="Arial"/>
          <w:i/>
          <w:iCs/>
          <w:lang w:val="en-US"/>
        </w:rPr>
        <w:t>91</w:t>
      </w:r>
      <w:r w:rsidRPr="00740704">
        <w:rPr>
          <w:rFonts w:cs="Arial"/>
          <w:lang w:val="en-US"/>
        </w:rPr>
        <w:t>, 241–246. https://doi.org/10.3303/CET2291041</w:t>
      </w:r>
    </w:p>
    <w:p w14:paraId="419AB48C" w14:textId="171DAE93" w:rsidR="00B85F6B" w:rsidRPr="00B35F65" w:rsidRDefault="00B85F6B" w:rsidP="00C53F25">
      <w:pPr>
        <w:pStyle w:val="CETReference-text"/>
        <w:rPr>
          <w:rFonts w:cs="Arial"/>
          <w:lang w:val="en-US"/>
        </w:rPr>
      </w:pPr>
      <w:r w:rsidRPr="00901FE5">
        <w:rPr>
          <w:rFonts w:cs="Arial"/>
          <w:lang w:val="es-CO"/>
        </w:rPr>
        <w:t xml:space="preserve">Peralta-Ruiz, Y., González-Delgado, A.-D. and Kafarov, V. (2013). </w:t>
      </w:r>
      <w:r w:rsidRPr="00B85F6B">
        <w:rPr>
          <w:rFonts w:cs="Arial"/>
          <w:lang w:val="en-US"/>
        </w:rPr>
        <w:t xml:space="preserve">Evaluation of alternatives for microalgae oil extraction based on exergy analysis. </w:t>
      </w:r>
      <w:r w:rsidRPr="00B35F65">
        <w:rPr>
          <w:rFonts w:cs="Arial"/>
          <w:lang w:val="en-US"/>
        </w:rPr>
        <w:t xml:space="preserve">Applied Energy, 101, pp. 226–236. </w:t>
      </w:r>
      <w:r w:rsidR="00D6285B" w:rsidRPr="00B35F65">
        <w:rPr>
          <w:rFonts w:cs="Arial"/>
          <w:lang w:val="en-US"/>
        </w:rPr>
        <w:t>DOI</w:t>
      </w:r>
      <w:r w:rsidRPr="00B35F65">
        <w:rPr>
          <w:rFonts w:cs="Arial"/>
          <w:lang w:val="en-US"/>
        </w:rPr>
        <w:t>:10.1016/j.apenergy.2012.06.065</w:t>
      </w:r>
    </w:p>
    <w:p w14:paraId="188BD233" w14:textId="242A93D9" w:rsidR="00490653" w:rsidRDefault="00490653" w:rsidP="00AF198B">
      <w:pPr>
        <w:pStyle w:val="CETReference-text"/>
        <w:rPr>
          <w:rFonts w:cs="Arial"/>
          <w:lang w:val="en-US"/>
        </w:rPr>
      </w:pPr>
      <w:r w:rsidRPr="00490653">
        <w:rPr>
          <w:rFonts w:cs="Arial"/>
          <w:lang w:val="en-US"/>
        </w:rPr>
        <w:t>Szargut, J. (2005) Exergy method: technical and ecological applications. WIT Press.</w:t>
      </w:r>
    </w:p>
    <w:p w14:paraId="27B81A8B" w14:textId="0C75A6C7" w:rsidR="006E7978" w:rsidRDefault="006E7978" w:rsidP="00AF198B">
      <w:pPr>
        <w:pStyle w:val="CETReference-text"/>
        <w:rPr>
          <w:rFonts w:cs="Arial"/>
          <w:lang w:val="en-US"/>
        </w:rPr>
      </w:pPr>
      <w:r w:rsidRPr="006E7978">
        <w:rPr>
          <w:rFonts w:cs="Arial"/>
          <w:lang w:val="en-US"/>
        </w:rPr>
        <w:t xml:space="preserve">Tai, S., Matsushige, K. and Goda, T. (1986) ‘Chemical exergy of organic matter in wastewater’, International Journal of Environmental Studies, 27(3–4), pp. 301–315. </w:t>
      </w:r>
      <w:r>
        <w:rPr>
          <w:rFonts w:cs="Arial"/>
          <w:lang w:val="en-US"/>
        </w:rPr>
        <w:t>DOI</w:t>
      </w:r>
      <w:r w:rsidRPr="006E7978">
        <w:rPr>
          <w:rFonts w:cs="Arial"/>
          <w:lang w:val="en-US"/>
        </w:rPr>
        <w:t>: 10.1080/00207238608710299.</w:t>
      </w:r>
    </w:p>
    <w:p w14:paraId="7446BFF9" w14:textId="5C6DDB6E" w:rsidR="004A3ADC" w:rsidRPr="00CE4EE4" w:rsidRDefault="00C53F25" w:rsidP="00AF198B">
      <w:pPr>
        <w:pStyle w:val="CETReference-text"/>
        <w:rPr>
          <w:b/>
          <w:bCs/>
          <w:lang w:val="en-US"/>
        </w:rPr>
      </w:pPr>
      <w:r w:rsidRPr="00740704">
        <w:rPr>
          <w:rFonts w:cs="Arial"/>
          <w:lang w:val="en-US"/>
        </w:rPr>
        <w:t>Wan, X., Yang, X., Wen, Q., Gang, J., &amp; Gan, L. (2020). Sustainable development of industry-environmental system based on resilience perspective. </w:t>
      </w:r>
      <w:r w:rsidRPr="00740704">
        <w:rPr>
          <w:rFonts w:cs="Arial"/>
          <w:i/>
          <w:iCs/>
          <w:lang w:val="en-US"/>
        </w:rPr>
        <w:t>International Journal of Environmental Research and Public Health</w:t>
      </w:r>
      <w:r w:rsidRPr="00740704">
        <w:rPr>
          <w:rFonts w:cs="Arial"/>
          <w:lang w:val="en-US"/>
        </w:rPr>
        <w:t>, </w:t>
      </w:r>
      <w:r w:rsidRPr="00740704">
        <w:rPr>
          <w:rFonts w:cs="Arial"/>
          <w:i/>
          <w:iCs/>
          <w:lang w:val="en-US"/>
        </w:rPr>
        <w:t>17</w:t>
      </w:r>
      <w:r w:rsidRPr="00740704">
        <w:rPr>
          <w:rFonts w:cs="Arial"/>
          <w:lang w:val="en-US"/>
        </w:rPr>
        <w:t xml:space="preserve">(2), 645. </w:t>
      </w:r>
      <w:hyperlink r:id="rId12" w:history="1">
        <w:r w:rsidR="00AC3E7A" w:rsidRPr="00122E5E">
          <w:rPr>
            <w:rStyle w:val="Hipervnculo"/>
            <w:rFonts w:cs="Arial"/>
            <w:color w:val="000000" w:themeColor="text1"/>
            <w:lang w:val="en-US"/>
          </w:rPr>
          <w:t>https://doi.org/10.3390/ijerph17020645</w:t>
        </w:r>
      </w:hyperlink>
    </w:p>
    <w:sectPr w:rsidR="004A3ADC" w:rsidRPr="00CE4EE4" w:rsidSect="009E788A">
      <w:headerReference w:type="first" r:id="rId13"/>
      <w:pgSz w:w="11906" w:h="16838" w:code="9"/>
      <w:pgMar w:top="1701" w:right="1418" w:bottom="1701" w:left="1701" w:header="170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F01B6" w14:textId="77777777" w:rsidR="00EB3AF2" w:rsidRDefault="00EB3AF2" w:rsidP="000E414A">
      <w:pPr>
        <w:spacing w:line="240" w:lineRule="auto"/>
      </w:pPr>
      <w:r>
        <w:separator/>
      </w:r>
    </w:p>
  </w:endnote>
  <w:endnote w:type="continuationSeparator" w:id="0">
    <w:p w14:paraId="12852F2D" w14:textId="77777777" w:rsidR="00EB3AF2" w:rsidRDefault="00EB3AF2" w:rsidP="000E41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79A65" w14:textId="77777777" w:rsidR="00EB3AF2" w:rsidRDefault="00EB3AF2" w:rsidP="000E414A">
      <w:pPr>
        <w:spacing w:line="240" w:lineRule="auto"/>
      </w:pPr>
      <w:r>
        <w:separator/>
      </w:r>
    </w:p>
  </w:footnote>
  <w:footnote w:type="continuationSeparator" w:id="0">
    <w:p w14:paraId="7FF1E947" w14:textId="77777777" w:rsidR="00EB3AF2" w:rsidRDefault="00EB3AF2" w:rsidP="000E41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1E0" w:firstRow="1" w:lastRow="1" w:firstColumn="1" w:lastColumn="1" w:noHBand="0" w:noVBand="0"/>
    </w:tblPr>
    <w:tblGrid>
      <w:gridCol w:w="6948"/>
      <w:gridCol w:w="1834"/>
    </w:tblGrid>
    <w:tr w:rsidR="0064184D" w14:paraId="33ADD93D" w14:textId="77777777" w:rsidTr="00F30C64">
      <w:trPr>
        <w:trHeight w:val="852"/>
      </w:trPr>
      <w:tc>
        <w:tcPr>
          <w:tcW w:w="7054" w:type="dxa"/>
          <w:vMerge w:val="restart"/>
          <w:tcBorders>
            <w:right w:val="single" w:sz="4" w:space="0" w:color="auto"/>
          </w:tcBorders>
        </w:tcPr>
        <w:p w14:paraId="537D19ED" w14:textId="77777777" w:rsidR="0064184D" w:rsidRPr="0030469C" w:rsidRDefault="0064184D" w:rsidP="005346C8">
          <w:pPr>
            <w:ind w:right="-74"/>
            <w:jc w:val="left"/>
            <w:rPr>
              <w:rFonts w:ascii="Arial" w:hAnsi="Arial" w:cs="Arial"/>
              <w:b/>
              <w:bCs/>
              <w:i/>
              <w:iCs/>
              <w:color w:val="000066"/>
              <w:sz w:val="12"/>
              <w:szCs w:val="12"/>
              <w:lang w:eastAsia="it-IT"/>
            </w:rPr>
          </w:pPr>
          <w:r>
            <w:rPr>
              <w:rFonts w:ascii="AdvP6960" w:hAnsi="AdvP6960" w:cs="AdvP6960"/>
              <w:noProof/>
              <w:color w:val="241F20"/>
              <w:sz w:val="18"/>
              <w:szCs w:val="18"/>
              <w:lang w:val="it-IT" w:eastAsia="it-IT"/>
            </w:rPr>
            <w:drawing>
              <wp:inline distT="0" distB="0" distL="0" distR="0" wp14:anchorId="031F5801" wp14:editId="647FD176">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C0335A">
            <w:rPr>
              <w:rFonts w:ascii="AdvP6960" w:hAnsi="AdvP6960" w:cs="AdvP6960"/>
              <w:color w:val="241F20"/>
              <w:sz w:val="18"/>
              <w:szCs w:val="18"/>
              <w:lang w:eastAsia="it-IT"/>
            </w:rPr>
            <w:t xml:space="preserve"> </w:t>
          </w:r>
          <w:r w:rsidRPr="000E414A">
            <w:rPr>
              <w:rFonts w:ascii="Arial" w:hAnsi="Arial" w:cs="Arial"/>
              <w:b/>
              <w:bCs/>
              <w:i/>
              <w:iCs/>
              <w:color w:val="000066"/>
              <w:sz w:val="24"/>
              <w:szCs w:val="24"/>
              <w:lang w:eastAsia="it-IT"/>
              <w14:shadow w14:blurRad="50800" w14:dist="38100" w14:dir="2700000" w14:sx="100000" w14:sy="100000" w14:kx="0" w14:ky="0" w14:algn="tl">
                <w14:srgbClr w14:val="000000">
                  <w14:alpha w14:val="60000"/>
                </w14:srgbClr>
              </w14:shadow>
            </w:rPr>
            <w:t>CHEMICAL ENGINEERING</w:t>
          </w:r>
          <w:r w:rsidRPr="000E414A">
            <w:rPr>
              <w:rFonts w:ascii="Arial" w:hAnsi="Arial" w:cs="Arial"/>
              <w:b/>
              <w:bCs/>
              <w:i/>
              <w:iCs/>
              <w:color w:val="0033FF"/>
              <w:sz w:val="24"/>
              <w:szCs w:val="24"/>
              <w:lang w:eastAsia="it-IT"/>
              <w14:shadow w14:blurRad="50800" w14:dist="38100" w14:dir="2700000" w14:sx="100000" w14:sy="100000" w14:kx="0" w14:ky="0" w14:algn="tl">
                <w14:srgbClr w14:val="000000">
                  <w14:alpha w14:val="60000"/>
                </w14:srgbClr>
              </w14:shadow>
            </w:rPr>
            <w:t xml:space="preserve"> </w:t>
          </w:r>
          <w:r w:rsidRPr="000E414A">
            <w:rPr>
              <w:rFonts w:ascii="Arial" w:hAnsi="Arial" w:cs="Arial"/>
              <w:b/>
              <w:bCs/>
              <w:i/>
              <w:iCs/>
              <w:color w:val="666666"/>
              <w:sz w:val="24"/>
              <w:szCs w:val="24"/>
              <w:lang w:eastAsia="it-IT"/>
              <w14:shadow w14:blurRad="50800" w14:dist="38100" w14:dir="2700000" w14:sx="100000" w14:sy="100000" w14:kx="0" w14:ky="0" w14:algn="tl">
                <w14:srgbClr w14:val="000000">
                  <w14:alpha w14:val="60000"/>
                </w14:srgbClr>
              </w14:shadow>
            </w:rPr>
            <w:t>TRANSACTIONS</w:t>
          </w:r>
          <w:r w:rsidRPr="00C0335A">
            <w:rPr>
              <w:color w:val="333333"/>
              <w:sz w:val="24"/>
              <w:szCs w:val="24"/>
              <w:lang w:eastAsia="it-IT"/>
            </w:rPr>
            <w:t xml:space="preserve"> </w:t>
          </w:r>
          <w:r w:rsidRPr="00C0335A">
            <w:rPr>
              <w:rFonts w:ascii="Arial" w:hAnsi="Arial" w:cs="Arial"/>
              <w:b/>
              <w:bCs/>
              <w:i/>
              <w:iCs/>
              <w:color w:val="000066"/>
              <w:sz w:val="27"/>
              <w:szCs w:val="27"/>
              <w:lang w:eastAsia="it-IT"/>
            </w:rPr>
            <w:br/>
          </w:r>
        </w:p>
        <w:p w14:paraId="0158800E" w14:textId="08C38D11" w:rsidR="0030469C" w:rsidRPr="0030469C" w:rsidRDefault="005119A5" w:rsidP="0030469C">
          <w:pPr>
            <w:ind w:right="-74"/>
            <w:rPr>
              <w:rFonts w:ascii="Arial" w:hAnsi="Arial" w:cs="Arial"/>
              <w:b/>
              <w:bCs/>
              <w:i/>
              <w:iCs/>
              <w:color w:val="000066"/>
              <w:lang w:eastAsia="it-IT"/>
            </w:rPr>
          </w:pPr>
          <w:r>
            <w:rPr>
              <w:rFonts w:ascii="Arial" w:hAnsi="Arial" w:cs="Arial"/>
              <w:b/>
              <w:bCs/>
              <w:i/>
              <w:iCs/>
              <w:color w:val="000066"/>
              <w:lang w:eastAsia="it-IT"/>
            </w:rPr>
            <w:t xml:space="preserve">VOL. </w:t>
          </w:r>
          <w:r w:rsidR="00B00EEE">
            <w:rPr>
              <w:rFonts w:ascii="Arial" w:hAnsi="Arial" w:cs="Arial"/>
              <w:b/>
              <w:bCs/>
              <w:i/>
              <w:iCs/>
              <w:color w:val="000066"/>
              <w:lang w:eastAsia="it-IT"/>
            </w:rPr>
            <w:t>XX</w:t>
          </w:r>
          <w:r>
            <w:rPr>
              <w:rFonts w:ascii="Arial" w:hAnsi="Arial" w:cs="Arial"/>
              <w:b/>
              <w:bCs/>
              <w:i/>
              <w:iCs/>
              <w:color w:val="000066"/>
              <w:lang w:eastAsia="it-IT"/>
            </w:rPr>
            <w:t>, 20</w:t>
          </w:r>
          <w:r w:rsidR="00B00EEE">
            <w:rPr>
              <w:rFonts w:ascii="Arial" w:hAnsi="Arial" w:cs="Arial"/>
              <w:b/>
              <w:bCs/>
              <w:i/>
              <w:iCs/>
              <w:color w:val="000066"/>
              <w:lang w:eastAsia="it-IT"/>
            </w:rPr>
            <w:t>26</w:t>
          </w:r>
        </w:p>
      </w:tc>
      <w:tc>
        <w:tcPr>
          <w:tcW w:w="1843" w:type="dxa"/>
          <w:tcBorders>
            <w:left w:val="single" w:sz="4" w:space="0" w:color="auto"/>
            <w:bottom w:val="nil"/>
            <w:right w:val="single" w:sz="4" w:space="0" w:color="auto"/>
          </w:tcBorders>
        </w:tcPr>
        <w:p w14:paraId="3B353C3A" w14:textId="77777777" w:rsidR="0064184D" w:rsidRDefault="0064184D" w:rsidP="0030469C">
          <w:pPr>
            <w:spacing w:line="140" w:lineRule="atLeast"/>
            <w:jc w:val="right"/>
            <w:rPr>
              <w:rFonts w:ascii="Arial" w:hAnsi="Arial" w:cs="Arial"/>
              <w:sz w:val="14"/>
              <w:szCs w:val="14"/>
            </w:rPr>
          </w:pPr>
          <w:r w:rsidRPr="00C0335A">
            <w:rPr>
              <w:rFonts w:ascii="Arial" w:hAnsi="Arial" w:cs="Arial"/>
              <w:sz w:val="14"/>
              <w:szCs w:val="14"/>
            </w:rPr>
            <w:t>A publication of</w:t>
          </w:r>
        </w:p>
        <w:p w14:paraId="04545E2F" w14:textId="77777777" w:rsidR="0064184D" w:rsidRDefault="0064184D" w:rsidP="0030469C">
          <w:pPr>
            <w:ind w:left="155"/>
            <w:jc w:val="right"/>
          </w:pPr>
          <w:r>
            <w:rPr>
              <w:noProof/>
              <w:lang w:val="it-IT" w:eastAsia="it-IT"/>
            </w:rPr>
            <w:drawing>
              <wp:inline distT="0" distB="0" distL="0" distR="0" wp14:anchorId="1693976E" wp14:editId="37250F3C">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64184D" w:rsidRPr="005346C8" w14:paraId="59B4A0AA" w14:textId="77777777" w:rsidTr="00F30C64">
      <w:trPr>
        <w:trHeight w:val="567"/>
      </w:trPr>
      <w:tc>
        <w:tcPr>
          <w:tcW w:w="7054" w:type="dxa"/>
          <w:vMerge/>
          <w:tcBorders>
            <w:right w:val="single" w:sz="4" w:space="0" w:color="auto"/>
          </w:tcBorders>
        </w:tcPr>
        <w:p w14:paraId="2F73BA6D" w14:textId="77777777" w:rsidR="0064184D" w:rsidRDefault="0064184D" w:rsidP="007947FD"/>
      </w:tc>
      <w:tc>
        <w:tcPr>
          <w:tcW w:w="1843" w:type="dxa"/>
          <w:tcBorders>
            <w:left w:val="single" w:sz="4" w:space="0" w:color="auto"/>
            <w:bottom w:val="nil"/>
            <w:right w:val="single" w:sz="4" w:space="0" w:color="auto"/>
          </w:tcBorders>
        </w:tcPr>
        <w:p w14:paraId="05C3A318" w14:textId="77777777" w:rsidR="0064184D" w:rsidRPr="000E414A" w:rsidRDefault="0064184D" w:rsidP="0030469C">
          <w:pPr>
            <w:spacing w:line="140" w:lineRule="atLeast"/>
            <w:jc w:val="right"/>
            <w:rPr>
              <w:rFonts w:ascii="Arial" w:hAnsi="Arial" w:cs="Arial"/>
              <w:sz w:val="14"/>
              <w:szCs w:val="14"/>
              <w:lang w:val="en-US"/>
            </w:rPr>
          </w:pPr>
          <w:r w:rsidRPr="000E414A">
            <w:rPr>
              <w:rFonts w:ascii="Arial" w:hAnsi="Arial" w:cs="Arial"/>
              <w:sz w:val="14"/>
              <w:szCs w:val="14"/>
              <w:lang w:val="en-US"/>
            </w:rPr>
            <w:t>The Italian Association</w:t>
          </w:r>
        </w:p>
        <w:p w14:paraId="3D548BBD" w14:textId="77777777" w:rsidR="0064184D" w:rsidRPr="000E414A" w:rsidRDefault="0064184D" w:rsidP="0030469C">
          <w:pPr>
            <w:spacing w:line="140" w:lineRule="atLeast"/>
            <w:ind w:left="-145"/>
            <w:jc w:val="right"/>
            <w:rPr>
              <w:rFonts w:ascii="Arial" w:hAnsi="Arial" w:cs="Arial"/>
              <w:sz w:val="14"/>
              <w:szCs w:val="14"/>
              <w:lang w:val="en-US"/>
            </w:rPr>
          </w:pPr>
          <w:r w:rsidRPr="000E414A">
            <w:rPr>
              <w:rFonts w:ascii="Arial" w:hAnsi="Arial" w:cs="Arial"/>
              <w:sz w:val="14"/>
              <w:szCs w:val="14"/>
              <w:lang w:val="en-US"/>
            </w:rPr>
            <w:t>of Chemical Engineering</w:t>
          </w:r>
        </w:p>
        <w:p w14:paraId="6F819817" w14:textId="77777777" w:rsidR="0064184D" w:rsidRPr="00996483" w:rsidRDefault="00996483" w:rsidP="00996483">
          <w:pPr>
            <w:spacing w:line="140" w:lineRule="atLeast"/>
            <w:ind w:left="-145"/>
            <w:jc w:val="right"/>
            <w:rPr>
              <w:rFonts w:ascii="Arial" w:hAnsi="Arial" w:cs="Arial"/>
              <w:sz w:val="14"/>
              <w:szCs w:val="14"/>
              <w:lang w:val="en-US"/>
            </w:rPr>
          </w:pPr>
          <w:r w:rsidRPr="0064184D">
            <w:rPr>
              <w:rFonts w:ascii="Arial" w:hAnsi="Arial" w:cs="Arial"/>
              <w:sz w:val="14"/>
              <w:szCs w:val="14"/>
              <w:lang w:val="en-US"/>
            </w:rPr>
            <w:t xml:space="preserve">Online at </w:t>
          </w:r>
          <w:r>
            <w:rPr>
              <w:rFonts w:ascii="Arial" w:hAnsi="Arial" w:cs="Arial"/>
              <w:sz w:val="14"/>
              <w:szCs w:val="14"/>
              <w:lang w:val="en-US"/>
            </w:rPr>
            <w:t>www.aidic.it/cet</w:t>
          </w:r>
        </w:p>
      </w:tc>
    </w:tr>
    <w:tr w:rsidR="0064184D" w:rsidRPr="005346C8" w14:paraId="55FF5074" w14:textId="77777777" w:rsidTr="007947FD">
      <w:trPr>
        <w:trHeight w:val="68"/>
      </w:trPr>
      <w:tc>
        <w:tcPr>
          <w:tcW w:w="8897" w:type="dxa"/>
          <w:gridSpan w:val="2"/>
        </w:tcPr>
        <w:p w14:paraId="018492C5" w14:textId="77777777" w:rsidR="0064184D" w:rsidRPr="00462DCD" w:rsidRDefault="005119A5" w:rsidP="00662E74">
          <w:pPr>
            <w:spacing w:line="140" w:lineRule="atLeast"/>
            <w:ind w:right="-108"/>
            <w:jc w:val="left"/>
            <w:rPr>
              <w:lang w:val="en-US"/>
            </w:rPr>
          </w:pPr>
          <w:r w:rsidRPr="00462DCD">
            <w:rPr>
              <w:rFonts w:ascii="Tahoma" w:hAnsi="Tahoma" w:cs="Tahoma"/>
              <w:iCs/>
              <w:sz w:val="14"/>
              <w:szCs w:val="14"/>
              <w:lang w:val="en-US" w:eastAsia="it-IT"/>
            </w:rPr>
            <w:t>Chief Editors:</w:t>
          </w:r>
          <w:r w:rsidRPr="00462DCD">
            <w:rPr>
              <w:rFonts w:ascii="Tahoma" w:hAnsi="Tahoma" w:cs="Tahoma"/>
              <w:i/>
              <w:iCs/>
              <w:sz w:val="14"/>
              <w:szCs w:val="14"/>
              <w:lang w:val="en-US" w:eastAsia="it-IT"/>
            </w:rPr>
            <w:t xml:space="preserve"> </w:t>
          </w:r>
          <w:r w:rsidRPr="00462DCD">
            <w:rPr>
              <w:rFonts w:ascii="Tahoma" w:hAnsi="Tahoma" w:cs="Tahoma"/>
              <w:iCs/>
              <w:sz w:val="14"/>
              <w:szCs w:val="14"/>
              <w:lang w:val="en-US" w:eastAsia="it-IT"/>
            </w:rPr>
            <w:t xml:space="preserve">Sauro Pierucci, </w:t>
          </w:r>
          <w:r w:rsidRPr="00462DCD">
            <w:rPr>
              <w:rFonts w:ascii="Tahoma" w:hAnsi="Tahoma" w:cs="Tahoma"/>
              <w:bCs/>
              <w:sz w:val="14"/>
              <w:szCs w:val="14"/>
              <w:lang w:val="en-US"/>
            </w:rPr>
            <w:t>Jiří</w:t>
          </w:r>
          <w:r w:rsidRPr="00462DCD">
            <w:rPr>
              <w:rFonts w:ascii="Tahoma" w:hAnsi="Tahoma" w:cs="Tahoma"/>
              <w:b/>
              <w:bCs/>
              <w:sz w:val="14"/>
              <w:szCs w:val="14"/>
              <w:lang w:val="en-US"/>
            </w:rPr>
            <w:t xml:space="preserve"> </w:t>
          </w:r>
          <w:r w:rsidRPr="00462DCD">
            <w:rPr>
              <w:rFonts w:ascii="Tahoma" w:hAnsi="Tahoma" w:cs="Tahoma"/>
              <w:sz w:val="14"/>
              <w:szCs w:val="14"/>
              <w:lang w:val="en-US"/>
            </w:rPr>
            <w:t>J. Klemeš</w:t>
          </w:r>
          <w:r w:rsidR="008A1512" w:rsidRPr="00462DCD">
            <w:rPr>
              <w:rFonts w:ascii="Tahoma" w:hAnsi="Tahoma" w:cs="Tahoma"/>
              <w:iCs/>
              <w:color w:val="333333"/>
              <w:sz w:val="14"/>
              <w:szCs w:val="14"/>
              <w:lang w:val="en-US" w:eastAsia="it-IT"/>
            </w:rPr>
            <w:br/>
            <w:t>Copyright © 201</w:t>
          </w:r>
          <w:r w:rsidRPr="00462DCD">
            <w:rPr>
              <w:rFonts w:ascii="Tahoma" w:hAnsi="Tahoma" w:cs="Tahoma"/>
              <w:iCs/>
              <w:color w:val="333333"/>
              <w:sz w:val="14"/>
              <w:szCs w:val="14"/>
              <w:lang w:val="en-US" w:eastAsia="it-IT"/>
            </w:rPr>
            <w:t>5</w:t>
          </w:r>
          <w:r w:rsidR="008A1512" w:rsidRPr="00462DCD">
            <w:rPr>
              <w:rFonts w:ascii="Tahoma" w:hAnsi="Tahoma" w:cs="Tahoma"/>
              <w:iCs/>
              <w:color w:val="333333"/>
              <w:sz w:val="14"/>
              <w:szCs w:val="14"/>
              <w:lang w:val="en-US" w:eastAsia="it-IT"/>
            </w:rPr>
            <w:t>, AIDIC Servizi S.r.l.,</w:t>
          </w:r>
          <w:r w:rsidR="008A1512" w:rsidRPr="00462DCD">
            <w:rPr>
              <w:rFonts w:ascii="Tahoma" w:hAnsi="Tahoma" w:cs="Tahoma"/>
              <w:iCs/>
              <w:color w:val="333333"/>
              <w:sz w:val="14"/>
              <w:szCs w:val="14"/>
              <w:lang w:val="en-US" w:eastAsia="it-IT"/>
            </w:rPr>
            <w:br/>
          </w:r>
          <w:r w:rsidR="008A1512" w:rsidRPr="00462DCD">
            <w:rPr>
              <w:rFonts w:ascii="Tahoma" w:hAnsi="Tahoma" w:cs="Tahoma"/>
              <w:b/>
              <w:iCs/>
              <w:color w:val="000000"/>
              <w:sz w:val="14"/>
              <w:szCs w:val="14"/>
              <w:lang w:val="en-US" w:eastAsia="it-IT"/>
            </w:rPr>
            <w:t>ISBN</w:t>
          </w:r>
          <w:r w:rsidR="008A1512" w:rsidRPr="00462DCD">
            <w:rPr>
              <w:rFonts w:ascii="Tahoma" w:hAnsi="Tahoma" w:cs="Tahoma"/>
              <w:iCs/>
              <w:color w:val="000000"/>
              <w:sz w:val="14"/>
              <w:szCs w:val="14"/>
              <w:lang w:val="en-US" w:eastAsia="it-IT"/>
            </w:rPr>
            <w:t xml:space="preserve"> </w:t>
          </w:r>
          <w:r w:rsidR="00662E74" w:rsidRPr="00662E74">
            <w:rPr>
              <w:rFonts w:ascii="Tahoma" w:hAnsi="Tahoma" w:cs="Tahoma"/>
              <w:iCs/>
              <w:color w:val="000000"/>
              <w:sz w:val="14"/>
              <w:szCs w:val="14"/>
              <w:lang w:val="en-US" w:eastAsia="it-IT"/>
            </w:rPr>
            <w:t>978-88-95608-34</w:t>
          </w:r>
          <w:r w:rsidR="008A1512" w:rsidRPr="00662E74">
            <w:rPr>
              <w:rFonts w:ascii="Tahoma" w:hAnsi="Tahoma" w:cs="Tahoma"/>
              <w:iCs/>
              <w:color w:val="000000"/>
              <w:sz w:val="14"/>
              <w:szCs w:val="14"/>
              <w:lang w:val="en-US" w:eastAsia="it-IT"/>
            </w:rPr>
            <w:t>-</w:t>
          </w:r>
          <w:r w:rsidR="00662E74" w:rsidRPr="00662E74">
            <w:rPr>
              <w:rFonts w:ascii="Tahoma" w:hAnsi="Tahoma" w:cs="Tahoma"/>
              <w:iCs/>
              <w:color w:val="000000"/>
              <w:sz w:val="14"/>
              <w:szCs w:val="14"/>
              <w:lang w:val="en-US" w:eastAsia="it-IT"/>
            </w:rPr>
            <w:t>1</w:t>
          </w:r>
          <w:r w:rsidR="008A1512" w:rsidRPr="00462DCD">
            <w:rPr>
              <w:rFonts w:ascii="Tahoma" w:hAnsi="Tahoma" w:cs="Tahoma"/>
              <w:iCs/>
              <w:color w:val="333333"/>
              <w:sz w:val="14"/>
              <w:szCs w:val="14"/>
              <w:lang w:val="en-US" w:eastAsia="it-IT"/>
            </w:rPr>
            <w:t xml:space="preserve">; </w:t>
          </w:r>
          <w:r w:rsidR="008A1512" w:rsidRPr="00462DCD">
            <w:rPr>
              <w:rFonts w:ascii="Tahoma" w:hAnsi="Tahoma" w:cs="Tahoma"/>
              <w:b/>
              <w:iCs/>
              <w:color w:val="333333"/>
              <w:sz w:val="14"/>
              <w:szCs w:val="14"/>
              <w:lang w:val="en-US" w:eastAsia="it-IT"/>
            </w:rPr>
            <w:t>ISSN</w:t>
          </w:r>
          <w:r w:rsidR="008A1512" w:rsidRPr="00462DCD">
            <w:rPr>
              <w:rFonts w:ascii="Tahoma" w:hAnsi="Tahoma" w:cs="Tahoma"/>
              <w:iCs/>
              <w:color w:val="333333"/>
              <w:sz w:val="14"/>
              <w:szCs w:val="14"/>
              <w:lang w:val="en-US" w:eastAsia="it-IT"/>
            </w:rPr>
            <w:t xml:space="preserve"> 2283-9216                                                                               </w:t>
          </w:r>
        </w:p>
      </w:tc>
    </w:tr>
  </w:tbl>
  <w:p w14:paraId="3EBE5785" w14:textId="77777777" w:rsidR="008E566E" w:rsidRPr="00462DCD" w:rsidRDefault="008E566E" w:rsidP="0064184D">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66820D24"/>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num w:numId="1" w16cid:durableId="322049445">
    <w:abstractNumId w:val="10"/>
  </w:num>
  <w:num w:numId="2" w16cid:durableId="2104564999">
    <w:abstractNumId w:val="8"/>
  </w:num>
  <w:num w:numId="3" w16cid:durableId="347827475">
    <w:abstractNumId w:val="3"/>
  </w:num>
  <w:num w:numId="4" w16cid:durableId="588120421">
    <w:abstractNumId w:val="2"/>
  </w:num>
  <w:num w:numId="5" w16cid:durableId="730008577">
    <w:abstractNumId w:val="1"/>
  </w:num>
  <w:num w:numId="6" w16cid:durableId="427971301">
    <w:abstractNumId w:val="0"/>
  </w:num>
  <w:num w:numId="7" w16cid:durableId="762457137">
    <w:abstractNumId w:val="9"/>
  </w:num>
  <w:num w:numId="8" w16cid:durableId="393546008">
    <w:abstractNumId w:val="7"/>
  </w:num>
  <w:num w:numId="9" w16cid:durableId="782262631">
    <w:abstractNumId w:val="6"/>
  </w:num>
  <w:num w:numId="10" w16cid:durableId="495194177">
    <w:abstractNumId w:val="5"/>
  </w:num>
  <w:num w:numId="11" w16cid:durableId="801534727">
    <w:abstractNumId w:val="4"/>
  </w:num>
  <w:num w:numId="12" w16cid:durableId="553853909">
    <w:abstractNumId w:val="11"/>
  </w:num>
  <w:num w:numId="13" w16cid:durableId="16093167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14A"/>
    <w:rsid w:val="000027C0"/>
    <w:rsid w:val="00002F3C"/>
    <w:rsid w:val="00003F0B"/>
    <w:rsid w:val="00021138"/>
    <w:rsid w:val="0003148D"/>
    <w:rsid w:val="00033943"/>
    <w:rsid w:val="000406D8"/>
    <w:rsid w:val="000407B9"/>
    <w:rsid w:val="000476C6"/>
    <w:rsid w:val="000478B6"/>
    <w:rsid w:val="00047DEB"/>
    <w:rsid w:val="00061130"/>
    <w:rsid w:val="00062A9A"/>
    <w:rsid w:val="000646C1"/>
    <w:rsid w:val="00072D68"/>
    <w:rsid w:val="00072E6B"/>
    <w:rsid w:val="00073957"/>
    <w:rsid w:val="000815B8"/>
    <w:rsid w:val="00092E6B"/>
    <w:rsid w:val="000A0782"/>
    <w:rsid w:val="000A5D1D"/>
    <w:rsid w:val="000C1AEE"/>
    <w:rsid w:val="000C7670"/>
    <w:rsid w:val="000D12B3"/>
    <w:rsid w:val="000D2E96"/>
    <w:rsid w:val="000D34BE"/>
    <w:rsid w:val="000D3746"/>
    <w:rsid w:val="000E0762"/>
    <w:rsid w:val="000E37EA"/>
    <w:rsid w:val="000E3A73"/>
    <w:rsid w:val="000E414A"/>
    <w:rsid w:val="000F4F50"/>
    <w:rsid w:val="001023A7"/>
    <w:rsid w:val="001064D9"/>
    <w:rsid w:val="0011637F"/>
    <w:rsid w:val="001213EC"/>
    <w:rsid w:val="00122E5E"/>
    <w:rsid w:val="001234C0"/>
    <w:rsid w:val="0012396D"/>
    <w:rsid w:val="00126C7D"/>
    <w:rsid w:val="001624C5"/>
    <w:rsid w:val="00173460"/>
    <w:rsid w:val="00174BED"/>
    <w:rsid w:val="001834D5"/>
    <w:rsid w:val="00192370"/>
    <w:rsid w:val="001A771A"/>
    <w:rsid w:val="001C1D55"/>
    <w:rsid w:val="001C5BB8"/>
    <w:rsid w:val="001C5D09"/>
    <w:rsid w:val="001C5F0A"/>
    <w:rsid w:val="001D29FD"/>
    <w:rsid w:val="001D39C1"/>
    <w:rsid w:val="001D53FC"/>
    <w:rsid w:val="001D6AD3"/>
    <w:rsid w:val="001E1630"/>
    <w:rsid w:val="001E2E37"/>
    <w:rsid w:val="001E3A22"/>
    <w:rsid w:val="001F0533"/>
    <w:rsid w:val="001F1548"/>
    <w:rsid w:val="001F5C97"/>
    <w:rsid w:val="0020189F"/>
    <w:rsid w:val="00204D13"/>
    <w:rsid w:val="00205712"/>
    <w:rsid w:val="002063E4"/>
    <w:rsid w:val="00206E56"/>
    <w:rsid w:val="00206F90"/>
    <w:rsid w:val="00223E1A"/>
    <w:rsid w:val="002243AA"/>
    <w:rsid w:val="002268B7"/>
    <w:rsid w:val="00227BD3"/>
    <w:rsid w:val="0023358C"/>
    <w:rsid w:val="00234920"/>
    <w:rsid w:val="00243DFB"/>
    <w:rsid w:val="002447EF"/>
    <w:rsid w:val="00251550"/>
    <w:rsid w:val="00261A0F"/>
    <w:rsid w:val="00263F76"/>
    <w:rsid w:val="002654B4"/>
    <w:rsid w:val="00271F52"/>
    <w:rsid w:val="002771B9"/>
    <w:rsid w:val="00281F23"/>
    <w:rsid w:val="002855C1"/>
    <w:rsid w:val="00287C4A"/>
    <w:rsid w:val="002904A4"/>
    <w:rsid w:val="00297B05"/>
    <w:rsid w:val="002B75D7"/>
    <w:rsid w:val="002C1650"/>
    <w:rsid w:val="002C244E"/>
    <w:rsid w:val="002C4092"/>
    <w:rsid w:val="002C6545"/>
    <w:rsid w:val="002E499D"/>
    <w:rsid w:val="002E5C26"/>
    <w:rsid w:val="00301A28"/>
    <w:rsid w:val="0030469C"/>
    <w:rsid w:val="003118DC"/>
    <w:rsid w:val="00311B65"/>
    <w:rsid w:val="00311CEF"/>
    <w:rsid w:val="0031740B"/>
    <w:rsid w:val="00322913"/>
    <w:rsid w:val="0032294C"/>
    <w:rsid w:val="003342B2"/>
    <w:rsid w:val="00341B79"/>
    <w:rsid w:val="003442B4"/>
    <w:rsid w:val="00344731"/>
    <w:rsid w:val="00357D68"/>
    <w:rsid w:val="00361220"/>
    <w:rsid w:val="0036246F"/>
    <w:rsid w:val="00363621"/>
    <w:rsid w:val="003676E0"/>
    <w:rsid w:val="00372638"/>
    <w:rsid w:val="00383657"/>
    <w:rsid w:val="003870A9"/>
    <w:rsid w:val="003929E4"/>
    <w:rsid w:val="003A024F"/>
    <w:rsid w:val="003A0A31"/>
    <w:rsid w:val="003A2393"/>
    <w:rsid w:val="003B66F3"/>
    <w:rsid w:val="003C09D2"/>
    <w:rsid w:val="003C37FF"/>
    <w:rsid w:val="003C4C3F"/>
    <w:rsid w:val="003D059A"/>
    <w:rsid w:val="003D78CD"/>
    <w:rsid w:val="003E0763"/>
    <w:rsid w:val="003E46FD"/>
    <w:rsid w:val="003F7BAB"/>
    <w:rsid w:val="00401D72"/>
    <w:rsid w:val="0040535B"/>
    <w:rsid w:val="00422F56"/>
    <w:rsid w:val="004276DC"/>
    <w:rsid w:val="00435F66"/>
    <w:rsid w:val="004413B6"/>
    <w:rsid w:val="00442B2A"/>
    <w:rsid w:val="00462DCD"/>
    <w:rsid w:val="00466BA3"/>
    <w:rsid w:val="00473040"/>
    <w:rsid w:val="00483D41"/>
    <w:rsid w:val="00490653"/>
    <w:rsid w:val="0049354E"/>
    <w:rsid w:val="00494792"/>
    <w:rsid w:val="00496D98"/>
    <w:rsid w:val="0049749C"/>
    <w:rsid w:val="004A31AB"/>
    <w:rsid w:val="004A3ADC"/>
    <w:rsid w:val="004A7749"/>
    <w:rsid w:val="004C4A67"/>
    <w:rsid w:val="004C717D"/>
    <w:rsid w:val="004D35CE"/>
    <w:rsid w:val="004E2306"/>
    <w:rsid w:val="005119A5"/>
    <w:rsid w:val="00512DAC"/>
    <w:rsid w:val="005300D3"/>
    <w:rsid w:val="005346C8"/>
    <w:rsid w:val="005425A2"/>
    <w:rsid w:val="00546D3F"/>
    <w:rsid w:val="00546D69"/>
    <w:rsid w:val="00567144"/>
    <w:rsid w:val="00571E1C"/>
    <w:rsid w:val="005774FA"/>
    <w:rsid w:val="00577645"/>
    <w:rsid w:val="005847CA"/>
    <w:rsid w:val="0059090C"/>
    <w:rsid w:val="00595BFC"/>
    <w:rsid w:val="00597D4B"/>
    <w:rsid w:val="005A145B"/>
    <w:rsid w:val="005A4451"/>
    <w:rsid w:val="005A6AAF"/>
    <w:rsid w:val="005A7A64"/>
    <w:rsid w:val="005B635F"/>
    <w:rsid w:val="005D2D41"/>
    <w:rsid w:val="005D616B"/>
    <w:rsid w:val="005E1A82"/>
    <w:rsid w:val="005F0A28"/>
    <w:rsid w:val="005F2C6B"/>
    <w:rsid w:val="005F3165"/>
    <w:rsid w:val="00600C95"/>
    <w:rsid w:val="00600EC3"/>
    <w:rsid w:val="006029C1"/>
    <w:rsid w:val="00602A39"/>
    <w:rsid w:val="006126A2"/>
    <w:rsid w:val="00616A1A"/>
    <w:rsid w:val="00616CCC"/>
    <w:rsid w:val="006219CB"/>
    <w:rsid w:val="00623EE6"/>
    <w:rsid w:val="00625639"/>
    <w:rsid w:val="00630F85"/>
    <w:rsid w:val="00631F5B"/>
    <w:rsid w:val="0063483A"/>
    <w:rsid w:val="006417B6"/>
    <w:rsid w:val="0064184D"/>
    <w:rsid w:val="00643A01"/>
    <w:rsid w:val="00662E74"/>
    <w:rsid w:val="0066400A"/>
    <w:rsid w:val="006652D5"/>
    <w:rsid w:val="00666229"/>
    <w:rsid w:val="006801F9"/>
    <w:rsid w:val="00687E6E"/>
    <w:rsid w:val="00691E5D"/>
    <w:rsid w:val="006A14AA"/>
    <w:rsid w:val="006A4F33"/>
    <w:rsid w:val="006B7047"/>
    <w:rsid w:val="006B7AE0"/>
    <w:rsid w:val="006C5579"/>
    <w:rsid w:val="006D1B6B"/>
    <w:rsid w:val="006D30AE"/>
    <w:rsid w:val="006D6A4F"/>
    <w:rsid w:val="006E2AA7"/>
    <w:rsid w:val="006E7978"/>
    <w:rsid w:val="006F051F"/>
    <w:rsid w:val="0070145A"/>
    <w:rsid w:val="00701DD1"/>
    <w:rsid w:val="007023E8"/>
    <w:rsid w:val="00703863"/>
    <w:rsid w:val="00704AE9"/>
    <w:rsid w:val="00705ED7"/>
    <w:rsid w:val="00706AB5"/>
    <w:rsid w:val="00712CDD"/>
    <w:rsid w:val="00713FBD"/>
    <w:rsid w:val="00720626"/>
    <w:rsid w:val="00740704"/>
    <w:rsid w:val="007447F3"/>
    <w:rsid w:val="007456D5"/>
    <w:rsid w:val="00746D52"/>
    <w:rsid w:val="0075056C"/>
    <w:rsid w:val="00754E10"/>
    <w:rsid w:val="00755520"/>
    <w:rsid w:val="0075599B"/>
    <w:rsid w:val="00757FCC"/>
    <w:rsid w:val="00765588"/>
    <w:rsid w:val="007710D8"/>
    <w:rsid w:val="007749DE"/>
    <w:rsid w:val="00776D73"/>
    <w:rsid w:val="007772C7"/>
    <w:rsid w:val="007820A3"/>
    <w:rsid w:val="0078346E"/>
    <w:rsid w:val="00787DB3"/>
    <w:rsid w:val="0079326D"/>
    <w:rsid w:val="007A0566"/>
    <w:rsid w:val="007A4851"/>
    <w:rsid w:val="007B0A19"/>
    <w:rsid w:val="007C2EC6"/>
    <w:rsid w:val="007D463B"/>
    <w:rsid w:val="007F2CCB"/>
    <w:rsid w:val="007F3970"/>
    <w:rsid w:val="00804003"/>
    <w:rsid w:val="008057A4"/>
    <w:rsid w:val="00810340"/>
    <w:rsid w:val="00813288"/>
    <w:rsid w:val="008231B1"/>
    <w:rsid w:val="008250D7"/>
    <w:rsid w:val="008267F0"/>
    <w:rsid w:val="00827937"/>
    <w:rsid w:val="008310E9"/>
    <w:rsid w:val="0083252F"/>
    <w:rsid w:val="00840834"/>
    <w:rsid w:val="00847857"/>
    <w:rsid w:val="00856816"/>
    <w:rsid w:val="00856BE1"/>
    <w:rsid w:val="00857E91"/>
    <w:rsid w:val="00866177"/>
    <w:rsid w:val="00870686"/>
    <w:rsid w:val="00881A6A"/>
    <w:rsid w:val="0088232A"/>
    <w:rsid w:val="00883C2F"/>
    <w:rsid w:val="00890362"/>
    <w:rsid w:val="0089350E"/>
    <w:rsid w:val="008A1512"/>
    <w:rsid w:val="008A1B97"/>
    <w:rsid w:val="008B0EC1"/>
    <w:rsid w:val="008B3C1F"/>
    <w:rsid w:val="008B3D87"/>
    <w:rsid w:val="008B549F"/>
    <w:rsid w:val="008C0D32"/>
    <w:rsid w:val="008C1D7C"/>
    <w:rsid w:val="008C1E38"/>
    <w:rsid w:val="008C489E"/>
    <w:rsid w:val="008C5B6F"/>
    <w:rsid w:val="008E0364"/>
    <w:rsid w:val="008E1796"/>
    <w:rsid w:val="008E566E"/>
    <w:rsid w:val="008F25B7"/>
    <w:rsid w:val="008F4AFE"/>
    <w:rsid w:val="008F520E"/>
    <w:rsid w:val="008F6579"/>
    <w:rsid w:val="00901FE5"/>
    <w:rsid w:val="009069EF"/>
    <w:rsid w:val="00907563"/>
    <w:rsid w:val="00911644"/>
    <w:rsid w:val="009260C7"/>
    <w:rsid w:val="00930510"/>
    <w:rsid w:val="009313E4"/>
    <w:rsid w:val="00957212"/>
    <w:rsid w:val="00971274"/>
    <w:rsid w:val="00975110"/>
    <w:rsid w:val="0097740E"/>
    <w:rsid w:val="00981FD2"/>
    <w:rsid w:val="009958F9"/>
    <w:rsid w:val="00996483"/>
    <w:rsid w:val="009A13A8"/>
    <w:rsid w:val="009A46D8"/>
    <w:rsid w:val="009B70E0"/>
    <w:rsid w:val="009C6EEA"/>
    <w:rsid w:val="009D0008"/>
    <w:rsid w:val="009D2DCA"/>
    <w:rsid w:val="009D2DFA"/>
    <w:rsid w:val="009D5230"/>
    <w:rsid w:val="009D580D"/>
    <w:rsid w:val="009D6DE0"/>
    <w:rsid w:val="009E0B85"/>
    <w:rsid w:val="009E2CAD"/>
    <w:rsid w:val="009E6A2C"/>
    <w:rsid w:val="009E788A"/>
    <w:rsid w:val="009E7DAA"/>
    <w:rsid w:val="009F02E9"/>
    <w:rsid w:val="00A111E7"/>
    <w:rsid w:val="00A1763D"/>
    <w:rsid w:val="00A17CEC"/>
    <w:rsid w:val="00A241B8"/>
    <w:rsid w:val="00A2765A"/>
    <w:rsid w:val="00A303F1"/>
    <w:rsid w:val="00A3628C"/>
    <w:rsid w:val="00A43B67"/>
    <w:rsid w:val="00A519E0"/>
    <w:rsid w:val="00A5557A"/>
    <w:rsid w:val="00A60518"/>
    <w:rsid w:val="00A6168E"/>
    <w:rsid w:val="00A621CD"/>
    <w:rsid w:val="00A63245"/>
    <w:rsid w:val="00A67D5E"/>
    <w:rsid w:val="00A73778"/>
    <w:rsid w:val="00A95D10"/>
    <w:rsid w:val="00AA0103"/>
    <w:rsid w:val="00AA5726"/>
    <w:rsid w:val="00AB0964"/>
    <w:rsid w:val="00AB4466"/>
    <w:rsid w:val="00AB4748"/>
    <w:rsid w:val="00AC0379"/>
    <w:rsid w:val="00AC0A20"/>
    <w:rsid w:val="00AC3E7A"/>
    <w:rsid w:val="00AC4CC6"/>
    <w:rsid w:val="00AC666E"/>
    <w:rsid w:val="00AD40E0"/>
    <w:rsid w:val="00AD4D19"/>
    <w:rsid w:val="00AF198B"/>
    <w:rsid w:val="00AF54A6"/>
    <w:rsid w:val="00B00EEE"/>
    <w:rsid w:val="00B06BB0"/>
    <w:rsid w:val="00B13E2C"/>
    <w:rsid w:val="00B2251B"/>
    <w:rsid w:val="00B23D9E"/>
    <w:rsid w:val="00B25441"/>
    <w:rsid w:val="00B3504B"/>
    <w:rsid w:val="00B35F65"/>
    <w:rsid w:val="00B36AD2"/>
    <w:rsid w:val="00B378B8"/>
    <w:rsid w:val="00B47564"/>
    <w:rsid w:val="00B70926"/>
    <w:rsid w:val="00B7335E"/>
    <w:rsid w:val="00B76FF0"/>
    <w:rsid w:val="00B85F6B"/>
    <w:rsid w:val="00B9224F"/>
    <w:rsid w:val="00B92782"/>
    <w:rsid w:val="00B9287E"/>
    <w:rsid w:val="00B9323C"/>
    <w:rsid w:val="00BA228A"/>
    <w:rsid w:val="00BC0774"/>
    <w:rsid w:val="00BC30C9"/>
    <w:rsid w:val="00BD463B"/>
    <w:rsid w:val="00BD63AA"/>
    <w:rsid w:val="00BE4B82"/>
    <w:rsid w:val="00BE4DF4"/>
    <w:rsid w:val="00BF7828"/>
    <w:rsid w:val="00C01616"/>
    <w:rsid w:val="00C0162B"/>
    <w:rsid w:val="00C1646E"/>
    <w:rsid w:val="00C21B15"/>
    <w:rsid w:val="00C22525"/>
    <w:rsid w:val="00C277FF"/>
    <w:rsid w:val="00C3450A"/>
    <w:rsid w:val="00C345B1"/>
    <w:rsid w:val="00C357AC"/>
    <w:rsid w:val="00C53F25"/>
    <w:rsid w:val="00C5496A"/>
    <w:rsid w:val="00C5785A"/>
    <w:rsid w:val="00C6027E"/>
    <w:rsid w:val="00C62CC2"/>
    <w:rsid w:val="00C651A3"/>
    <w:rsid w:val="00C671D1"/>
    <w:rsid w:val="00C7113F"/>
    <w:rsid w:val="00C74858"/>
    <w:rsid w:val="00C757D7"/>
    <w:rsid w:val="00C7793B"/>
    <w:rsid w:val="00C834ED"/>
    <w:rsid w:val="00C84270"/>
    <w:rsid w:val="00C86D48"/>
    <w:rsid w:val="00C87EF2"/>
    <w:rsid w:val="00C94434"/>
    <w:rsid w:val="00C97E2E"/>
    <w:rsid w:val="00CA32FB"/>
    <w:rsid w:val="00CB6F4A"/>
    <w:rsid w:val="00CD14E6"/>
    <w:rsid w:val="00CD37A7"/>
    <w:rsid w:val="00CE4EE4"/>
    <w:rsid w:val="00CE5175"/>
    <w:rsid w:val="00CE7CAB"/>
    <w:rsid w:val="00CF0395"/>
    <w:rsid w:val="00CF289B"/>
    <w:rsid w:val="00CF6DDB"/>
    <w:rsid w:val="00D1348C"/>
    <w:rsid w:val="00D207CA"/>
    <w:rsid w:val="00D21A6E"/>
    <w:rsid w:val="00D24490"/>
    <w:rsid w:val="00D259C3"/>
    <w:rsid w:val="00D374F9"/>
    <w:rsid w:val="00D4308E"/>
    <w:rsid w:val="00D43B58"/>
    <w:rsid w:val="00D479A2"/>
    <w:rsid w:val="00D5561F"/>
    <w:rsid w:val="00D57905"/>
    <w:rsid w:val="00D57F5E"/>
    <w:rsid w:val="00D6117F"/>
    <w:rsid w:val="00D6285B"/>
    <w:rsid w:val="00D62940"/>
    <w:rsid w:val="00D720CA"/>
    <w:rsid w:val="00D77B06"/>
    <w:rsid w:val="00D8273D"/>
    <w:rsid w:val="00D836EF"/>
    <w:rsid w:val="00D83BFA"/>
    <w:rsid w:val="00D84576"/>
    <w:rsid w:val="00D92EC5"/>
    <w:rsid w:val="00D96062"/>
    <w:rsid w:val="00D97F41"/>
    <w:rsid w:val="00DA203F"/>
    <w:rsid w:val="00DA6440"/>
    <w:rsid w:val="00DB517C"/>
    <w:rsid w:val="00DC5313"/>
    <w:rsid w:val="00DC53C8"/>
    <w:rsid w:val="00DC7D2D"/>
    <w:rsid w:val="00DD06C1"/>
    <w:rsid w:val="00DD212C"/>
    <w:rsid w:val="00DD5286"/>
    <w:rsid w:val="00DE7126"/>
    <w:rsid w:val="00E01370"/>
    <w:rsid w:val="00E041E7"/>
    <w:rsid w:val="00E06BBC"/>
    <w:rsid w:val="00E11A4D"/>
    <w:rsid w:val="00E1471B"/>
    <w:rsid w:val="00E17901"/>
    <w:rsid w:val="00E22301"/>
    <w:rsid w:val="00E23CA1"/>
    <w:rsid w:val="00E409A8"/>
    <w:rsid w:val="00E46FFF"/>
    <w:rsid w:val="00E505D9"/>
    <w:rsid w:val="00E53585"/>
    <w:rsid w:val="00E700B3"/>
    <w:rsid w:val="00E7209D"/>
    <w:rsid w:val="00E85EF6"/>
    <w:rsid w:val="00E861AB"/>
    <w:rsid w:val="00E87294"/>
    <w:rsid w:val="00E87825"/>
    <w:rsid w:val="00E9179A"/>
    <w:rsid w:val="00EA042E"/>
    <w:rsid w:val="00EA0EB1"/>
    <w:rsid w:val="00EA1AD4"/>
    <w:rsid w:val="00EA7AFB"/>
    <w:rsid w:val="00EB3AF2"/>
    <w:rsid w:val="00EB7659"/>
    <w:rsid w:val="00ED0F77"/>
    <w:rsid w:val="00EE28D2"/>
    <w:rsid w:val="00EF13DB"/>
    <w:rsid w:val="00EF359D"/>
    <w:rsid w:val="00F073F5"/>
    <w:rsid w:val="00F10BC1"/>
    <w:rsid w:val="00F22C12"/>
    <w:rsid w:val="00F30C64"/>
    <w:rsid w:val="00F31371"/>
    <w:rsid w:val="00F3316B"/>
    <w:rsid w:val="00F371AE"/>
    <w:rsid w:val="00F40C8B"/>
    <w:rsid w:val="00F417FF"/>
    <w:rsid w:val="00F539DA"/>
    <w:rsid w:val="00F53CF1"/>
    <w:rsid w:val="00F70876"/>
    <w:rsid w:val="00F740A2"/>
    <w:rsid w:val="00F80681"/>
    <w:rsid w:val="00F808C3"/>
    <w:rsid w:val="00F94644"/>
    <w:rsid w:val="00F95204"/>
    <w:rsid w:val="00FB2B94"/>
    <w:rsid w:val="00FB6B72"/>
    <w:rsid w:val="00FD1242"/>
    <w:rsid w:val="00FD2404"/>
    <w:rsid w:val="00FD6160"/>
    <w:rsid w:val="00FF17A2"/>
    <w:rsid w:val="00FF56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C8E7D1"/>
  <w14:defaultImageDpi w14:val="32767"/>
  <w15:docId w15:val="{9D7A2B80-CA25-460F-843F-E36F0D85D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6C8"/>
    <w:pPr>
      <w:spacing w:after="0" w:line="264" w:lineRule="auto"/>
      <w:jc w:val="both"/>
    </w:pPr>
    <w:rPr>
      <w:rFonts w:ascii="Times New Roman" w:eastAsia="SimSun" w:hAnsi="Times New Roman" w:cs="Times New Roman"/>
      <w:sz w:val="20"/>
      <w:szCs w:val="20"/>
      <w:lang w:val="en-GB"/>
    </w:rPr>
  </w:style>
  <w:style w:type="paragraph" w:styleId="Ttulo1">
    <w:name w:val="heading 1"/>
    <w:basedOn w:val="Normal"/>
    <w:next w:val="Normal"/>
    <w:link w:val="Ttulo1Car"/>
    <w:uiPriority w:val="9"/>
    <w:rsid w:val="000314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0E414A"/>
    <w:pPr>
      <w:suppressAutoHyphens/>
      <w:spacing w:before="30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0E414A"/>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_Reference"/>
    <w:next w:val="CETReference-text"/>
    <w:rsid w:val="009E788A"/>
    <w:pPr>
      <w:spacing w:line="264" w:lineRule="auto"/>
    </w:pPr>
    <w:rPr>
      <w:rFonts w:ascii="Arial" w:eastAsia="Times New Roman" w:hAnsi="Arial" w:cs="Times New Roman"/>
      <w:b/>
      <w:sz w:val="18"/>
      <w:szCs w:val="20"/>
      <w:lang w:val="en-US"/>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Footnote">
    <w:name w:val="CET_Footnote"/>
    <w:rsid w:val="000E414A"/>
    <w:pPr>
      <w:spacing w:after="0" w:line="240" w:lineRule="auto"/>
      <w:jc w:val="both"/>
    </w:pPr>
    <w:rPr>
      <w:rFonts w:ascii="Arial" w:eastAsia="Times New Roman" w:hAnsi="Arial" w:cs="Times New Roman"/>
      <w:sz w:val="16"/>
      <w:szCs w:val="20"/>
      <w:lang w:val="en-US"/>
    </w:rPr>
  </w:style>
  <w:style w:type="paragraph" w:customStyle="1" w:styleId="CETAcknowledgements">
    <w:name w:val="CET_Acknowledgements"/>
    <w:qFormat/>
    <w:rsid w:val="009E788A"/>
    <w:rPr>
      <w:rFonts w:ascii="Arial" w:eastAsia="Times New Roman" w:hAnsi="Arial" w:cs="Times New Roman"/>
      <w:b/>
      <w:sz w:val="18"/>
      <w:szCs w:val="20"/>
      <w:lang w:val="en-GB"/>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Normal"/>
    <w:next w:val="Normal"/>
    <w:uiPriority w:val="37"/>
    <w:semiHidden/>
    <w:unhideWhenUsed/>
    <w:rsid w:val="0003148D"/>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 w:val="18"/>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03148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styleId="Encabezado">
    <w:name w:val="header"/>
    <w:basedOn w:val="Normal"/>
    <w:link w:val="EncabezadoCar"/>
    <w:uiPriority w:val="99"/>
    <w:unhideWhenUsed/>
    <w:rsid w:val="00D84576"/>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D84576"/>
  </w:style>
  <w:style w:type="paragraph" w:styleId="Piedepgina">
    <w:name w:val="footer"/>
    <w:basedOn w:val="Normal"/>
    <w:link w:val="PiedepginaCar"/>
    <w:uiPriority w:val="99"/>
    <w:unhideWhenUsed/>
    <w:rsid w:val="00D84576"/>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D84576"/>
  </w:style>
  <w:style w:type="character" w:styleId="Hipervnculo">
    <w:name w:val="Hyperlink"/>
    <w:basedOn w:val="Fuentedeprrafopredeter"/>
    <w:uiPriority w:val="99"/>
    <w:unhideWhenUsed/>
    <w:rsid w:val="005346C8"/>
    <w:rPr>
      <w:color w:val="0000FF" w:themeColor="hyperlink"/>
      <w:u w:val="single"/>
    </w:rPr>
  </w:style>
  <w:style w:type="character" w:styleId="Refdecomentario">
    <w:name w:val="annotation reference"/>
    <w:basedOn w:val="Fuentedeprrafopredeter"/>
    <w:uiPriority w:val="99"/>
    <w:semiHidden/>
    <w:unhideWhenUsed/>
    <w:rsid w:val="003342B2"/>
    <w:rPr>
      <w:sz w:val="16"/>
      <w:szCs w:val="16"/>
    </w:rPr>
  </w:style>
  <w:style w:type="paragraph" w:styleId="Prrafodelista">
    <w:name w:val="List Paragraph"/>
    <w:basedOn w:val="Normal"/>
    <w:uiPriority w:val="34"/>
    <w:qFormat/>
    <w:rsid w:val="00CE7CAB"/>
    <w:pPr>
      <w:ind w:left="720"/>
      <w:contextualSpacing/>
    </w:pPr>
  </w:style>
  <w:style w:type="paragraph" w:customStyle="1" w:styleId="TableParagraph">
    <w:name w:val="Table Paragraph"/>
    <w:basedOn w:val="Normal"/>
    <w:uiPriority w:val="1"/>
    <w:qFormat/>
    <w:rsid w:val="007023E8"/>
    <w:pPr>
      <w:widowControl w:val="0"/>
      <w:autoSpaceDE w:val="0"/>
      <w:autoSpaceDN w:val="0"/>
      <w:spacing w:before="18" w:line="240" w:lineRule="auto"/>
      <w:ind w:left="-3"/>
      <w:jc w:val="left"/>
    </w:pPr>
    <w:rPr>
      <w:rFonts w:ascii="Arial MT" w:eastAsia="Arial MT" w:hAnsi="Arial MT" w:cs="Arial MT"/>
      <w:sz w:val="22"/>
      <w:szCs w:val="22"/>
      <w:lang w:val="en-US"/>
    </w:rPr>
  </w:style>
  <w:style w:type="character" w:styleId="nfasis">
    <w:name w:val="Emphasis"/>
    <w:basedOn w:val="Fuentedeprrafopredeter"/>
    <w:uiPriority w:val="20"/>
    <w:qFormat/>
    <w:rsid w:val="000E37EA"/>
    <w:rPr>
      <w:i/>
      <w:iCs/>
    </w:rPr>
  </w:style>
  <w:style w:type="paragraph" w:styleId="Sinespaciado">
    <w:name w:val="No Spacing"/>
    <w:uiPriority w:val="1"/>
    <w:qFormat/>
    <w:rsid w:val="000E37EA"/>
    <w:pPr>
      <w:spacing w:after="0" w:line="240" w:lineRule="auto"/>
      <w:jc w:val="both"/>
    </w:pPr>
    <w:rPr>
      <w:rFonts w:ascii="Times New Roman" w:eastAsia="SimSun" w:hAnsi="Times New Roman" w:cs="Times New Roman"/>
      <w:sz w:val="20"/>
      <w:szCs w:val="20"/>
      <w:lang w:val="en-GB"/>
    </w:rPr>
  </w:style>
  <w:style w:type="character" w:styleId="Fuerte">
    <w:name w:val="Strong"/>
    <w:basedOn w:val="Fuentedeprrafopredeter"/>
    <w:uiPriority w:val="22"/>
    <w:qFormat/>
    <w:rsid w:val="00C6027E"/>
    <w:rPr>
      <w:b/>
      <w:bCs/>
    </w:rPr>
  </w:style>
  <w:style w:type="character" w:styleId="Mencinsinresolver">
    <w:name w:val="Unresolved Mention"/>
    <w:basedOn w:val="Fuentedeprrafopredeter"/>
    <w:uiPriority w:val="99"/>
    <w:semiHidden/>
    <w:unhideWhenUsed/>
    <w:rsid w:val="00D21A6E"/>
    <w:rPr>
      <w:color w:val="605E5C"/>
      <w:shd w:val="clear" w:color="auto" w:fill="E1DFDD"/>
    </w:rPr>
  </w:style>
  <w:style w:type="character" w:styleId="Textodelmarcadordeposicin">
    <w:name w:val="Placeholder Text"/>
    <w:basedOn w:val="Fuentedeprrafopredeter"/>
    <w:uiPriority w:val="99"/>
    <w:semiHidden/>
    <w:rsid w:val="0083252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35676">
      <w:bodyDiv w:val="1"/>
      <w:marLeft w:val="0"/>
      <w:marRight w:val="0"/>
      <w:marTop w:val="0"/>
      <w:marBottom w:val="0"/>
      <w:divBdr>
        <w:top w:val="none" w:sz="0" w:space="0" w:color="auto"/>
        <w:left w:val="none" w:sz="0" w:space="0" w:color="auto"/>
        <w:bottom w:val="none" w:sz="0" w:space="0" w:color="auto"/>
        <w:right w:val="none" w:sz="0" w:space="0" w:color="auto"/>
      </w:divBdr>
    </w:div>
    <w:div w:id="883519164">
      <w:bodyDiv w:val="1"/>
      <w:marLeft w:val="0"/>
      <w:marRight w:val="0"/>
      <w:marTop w:val="0"/>
      <w:marBottom w:val="0"/>
      <w:divBdr>
        <w:top w:val="none" w:sz="0" w:space="0" w:color="auto"/>
        <w:left w:val="none" w:sz="0" w:space="0" w:color="auto"/>
        <w:bottom w:val="none" w:sz="0" w:space="0" w:color="auto"/>
        <w:right w:val="none" w:sz="0" w:space="0" w:color="auto"/>
      </w:divBdr>
    </w:div>
    <w:div w:id="1059548336">
      <w:bodyDiv w:val="1"/>
      <w:marLeft w:val="0"/>
      <w:marRight w:val="0"/>
      <w:marTop w:val="0"/>
      <w:marBottom w:val="0"/>
      <w:divBdr>
        <w:top w:val="none" w:sz="0" w:space="0" w:color="auto"/>
        <w:left w:val="none" w:sz="0" w:space="0" w:color="auto"/>
        <w:bottom w:val="none" w:sz="0" w:space="0" w:color="auto"/>
        <w:right w:val="none" w:sz="0" w:space="0" w:color="auto"/>
      </w:divBdr>
    </w:div>
    <w:div w:id="1079786577">
      <w:bodyDiv w:val="1"/>
      <w:marLeft w:val="0"/>
      <w:marRight w:val="0"/>
      <w:marTop w:val="0"/>
      <w:marBottom w:val="0"/>
      <w:divBdr>
        <w:top w:val="none" w:sz="0" w:space="0" w:color="auto"/>
        <w:left w:val="none" w:sz="0" w:space="0" w:color="auto"/>
        <w:bottom w:val="none" w:sz="0" w:space="0" w:color="auto"/>
        <w:right w:val="none" w:sz="0" w:space="0" w:color="auto"/>
      </w:divBdr>
    </w:div>
    <w:div w:id="1147818132">
      <w:bodyDiv w:val="1"/>
      <w:marLeft w:val="0"/>
      <w:marRight w:val="0"/>
      <w:marTop w:val="0"/>
      <w:marBottom w:val="0"/>
      <w:divBdr>
        <w:top w:val="none" w:sz="0" w:space="0" w:color="auto"/>
        <w:left w:val="none" w:sz="0" w:space="0" w:color="auto"/>
        <w:bottom w:val="none" w:sz="0" w:space="0" w:color="auto"/>
        <w:right w:val="none" w:sz="0" w:space="0" w:color="auto"/>
      </w:divBdr>
    </w:div>
    <w:div w:id="1198203913">
      <w:bodyDiv w:val="1"/>
      <w:marLeft w:val="0"/>
      <w:marRight w:val="0"/>
      <w:marTop w:val="0"/>
      <w:marBottom w:val="0"/>
      <w:divBdr>
        <w:top w:val="none" w:sz="0" w:space="0" w:color="auto"/>
        <w:left w:val="none" w:sz="0" w:space="0" w:color="auto"/>
        <w:bottom w:val="none" w:sz="0" w:space="0" w:color="auto"/>
        <w:right w:val="none" w:sz="0" w:space="0" w:color="auto"/>
      </w:divBdr>
    </w:div>
    <w:div w:id="1232958849">
      <w:bodyDiv w:val="1"/>
      <w:marLeft w:val="0"/>
      <w:marRight w:val="0"/>
      <w:marTop w:val="0"/>
      <w:marBottom w:val="0"/>
      <w:divBdr>
        <w:top w:val="none" w:sz="0" w:space="0" w:color="auto"/>
        <w:left w:val="none" w:sz="0" w:space="0" w:color="auto"/>
        <w:bottom w:val="none" w:sz="0" w:space="0" w:color="auto"/>
        <w:right w:val="none" w:sz="0" w:space="0" w:color="auto"/>
      </w:divBdr>
    </w:div>
    <w:div w:id="1320424175">
      <w:bodyDiv w:val="1"/>
      <w:marLeft w:val="0"/>
      <w:marRight w:val="0"/>
      <w:marTop w:val="0"/>
      <w:marBottom w:val="0"/>
      <w:divBdr>
        <w:top w:val="none" w:sz="0" w:space="0" w:color="auto"/>
        <w:left w:val="none" w:sz="0" w:space="0" w:color="auto"/>
        <w:bottom w:val="none" w:sz="0" w:space="0" w:color="auto"/>
        <w:right w:val="none" w:sz="0" w:space="0" w:color="auto"/>
      </w:divBdr>
    </w:div>
    <w:div w:id="1457289596">
      <w:bodyDiv w:val="1"/>
      <w:marLeft w:val="0"/>
      <w:marRight w:val="0"/>
      <w:marTop w:val="0"/>
      <w:marBottom w:val="0"/>
      <w:divBdr>
        <w:top w:val="none" w:sz="0" w:space="0" w:color="auto"/>
        <w:left w:val="none" w:sz="0" w:space="0" w:color="auto"/>
        <w:bottom w:val="none" w:sz="0" w:space="0" w:color="auto"/>
        <w:right w:val="none" w:sz="0" w:space="0" w:color="auto"/>
      </w:divBdr>
    </w:div>
    <w:div w:id="1683245371">
      <w:bodyDiv w:val="1"/>
      <w:marLeft w:val="0"/>
      <w:marRight w:val="0"/>
      <w:marTop w:val="0"/>
      <w:marBottom w:val="0"/>
      <w:divBdr>
        <w:top w:val="none" w:sz="0" w:space="0" w:color="auto"/>
        <w:left w:val="none" w:sz="0" w:space="0" w:color="auto"/>
        <w:bottom w:val="none" w:sz="0" w:space="0" w:color="auto"/>
        <w:right w:val="none" w:sz="0" w:space="0" w:color="auto"/>
      </w:divBdr>
    </w:div>
    <w:div w:id="1796370627">
      <w:bodyDiv w:val="1"/>
      <w:marLeft w:val="0"/>
      <w:marRight w:val="0"/>
      <w:marTop w:val="0"/>
      <w:marBottom w:val="0"/>
      <w:divBdr>
        <w:top w:val="none" w:sz="0" w:space="0" w:color="auto"/>
        <w:left w:val="none" w:sz="0" w:space="0" w:color="auto"/>
        <w:bottom w:val="none" w:sz="0" w:space="0" w:color="auto"/>
        <w:right w:val="none" w:sz="0" w:space="0" w:color="auto"/>
      </w:divBdr>
    </w:div>
    <w:div w:id="1894077753">
      <w:bodyDiv w:val="1"/>
      <w:marLeft w:val="0"/>
      <w:marRight w:val="0"/>
      <w:marTop w:val="0"/>
      <w:marBottom w:val="0"/>
      <w:divBdr>
        <w:top w:val="none" w:sz="0" w:space="0" w:color="auto"/>
        <w:left w:val="none" w:sz="0" w:space="0" w:color="auto"/>
        <w:bottom w:val="none" w:sz="0" w:space="0" w:color="auto"/>
        <w:right w:val="none" w:sz="0" w:space="0" w:color="auto"/>
      </w:divBdr>
    </w:div>
    <w:div w:id="204316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3390/ijerph1702064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7E32A-D4F0-489D-ABD4-604110467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3053</Words>
  <Characters>18288</Characters>
  <Application>Microsoft Office Word</Application>
  <DocSecurity>0</DocSecurity>
  <Lines>446</Lines>
  <Paragraphs>304</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Angel Dario González-Delgado</cp:lastModifiedBy>
  <cp:revision>3</cp:revision>
  <cp:lastPrinted>2026-02-13T20:00:00Z</cp:lastPrinted>
  <dcterms:created xsi:type="dcterms:W3CDTF">2026-03-15T14:51:00Z</dcterms:created>
  <dcterms:modified xsi:type="dcterms:W3CDTF">2026-03-16T18:50:00Z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53ed2718-41b8-4b5a-bc47-228d0842cfd2</vt:lpwstr>
  </property>
</Properties>
</file>