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E845E" w14:textId="77777777" w:rsidR="005F29D3" w:rsidRDefault="005F29D3">
      <w:pPr>
        <w:widowControl w:val="0"/>
        <w:pBdr>
          <w:top w:val="nil"/>
          <w:left w:val="nil"/>
          <w:bottom w:val="nil"/>
          <w:right w:val="nil"/>
          <w:between w:val="nil"/>
        </w:pBdr>
        <w:spacing w:line="276" w:lineRule="auto"/>
        <w:jc w:val="left"/>
        <w:rPr>
          <w:rFonts w:eastAsia="Arial" w:cs="Arial"/>
          <w:color w:val="000000"/>
          <w:sz w:val="22"/>
          <w:szCs w:val="22"/>
        </w:rPr>
      </w:pPr>
    </w:p>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5F29D3" w14:paraId="47AB74FA" w14:textId="77777777">
        <w:trPr>
          <w:trHeight w:val="852"/>
          <w:jc w:val="center"/>
        </w:trPr>
        <w:tc>
          <w:tcPr>
            <w:tcW w:w="6940" w:type="dxa"/>
            <w:vMerge w:val="restart"/>
            <w:tcBorders>
              <w:right w:val="single" w:sz="4" w:space="0" w:color="000000"/>
            </w:tcBorders>
          </w:tcPr>
          <w:p w14:paraId="71E8EAE1" w14:textId="77777777" w:rsidR="005F29D3" w:rsidRDefault="00000000">
            <w:pPr>
              <w:tabs>
                <w:tab w:val="left" w:pos="-108"/>
              </w:tabs>
              <w:ind w:left="-108"/>
              <w:jc w:val="left"/>
              <w:rPr>
                <w:b/>
                <w:i/>
                <w:color w:val="000066"/>
                <w:sz w:val="12"/>
                <w:szCs w:val="12"/>
              </w:rPr>
            </w:pPr>
            <w:r>
              <w:rPr>
                <w:rFonts w:ascii="AdvP6960" w:eastAsia="AdvP6960" w:hAnsi="AdvP6960" w:cs="AdvP6960"/>
                <w:noProof/>
                <w:color w:val="241F20"/>
              </w:rPr>
              <w:drawing>
                <wp:inline distT="0" distB="0" distL="0" distR="0" wp14:anchorId="73029311" wp14:editId="44D0FAF2">
                  <wp:extent cx="640080" cy="373380"/>
                  <wp:effectExtent l="0" t="0" r="0" b="0"/>
                  <wp:docPr id="7" name="image3.jpg" descr="cetlogo"/>
                  <wp:cNvGraphicFramePr/>
                  <a:graphic xmlns:a="http://schemas.openxmlformats.org/drawingml/2006/main">
                    <a:graphicData uri="http://schemas.openxmlformats.org/drawingml/2006/picture">
                      <pic:pic xmlns:pic="http://schemas.openxmlformats.org/drawingml/2006/picture">
                        <pic:nvPicPr>
                          <pic:cNvPr id="0" name="image3.jpg" descr="cetlogo"/>
                          <pic:cNvPicPr preferRelativeResize="0"/>
                        </pic:nvPicPr>
                        <pic:blipFill>
                          <a:blip r:embed="rId7"/>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0F87A6B0" w14:textId="5ED64D15" w:rsidR="005F29D3" w:rsidRDefault="00000000">
            <w:pPr>
              <w:tabs>
                <w:tab w:val="left" w:pos="-108"/>
              </w:tabs>
              <w:ind w:left="-108"/>
              <w:rPr>
                <w:b/>
                <w:i/>
                <w:color w:val="000066"/>
                <w:sz w:val="22"/>
                <w:szCs w:val="22"/>
              </w:rPr>
            </w:pPr>
            <w:r>
              <w:rPr>
                <w:b/>
                <w:i/>
                <w:color w:val="000066"/>
                <w:sz w:val="22"/>
                <w:szCs w:val="22"/>
              </w:rPr>
              <w:t xml:space="preserve">VOL.  </w:t>
            </w:r>
            <w:proofErr w:type="gramStart"/>
            <w:r>
              <w:rPr>
                <w:b/>
                <w:i/>
                <w:color w:val="000066"/>
                <w:sz w:val="22"/>
                <w:szCs w:val="22"/>
              </w:rPr>
              <w:t xml:space="preserve">  ,</w:t>
            </w:r>
            <w:proofErr w:type="gramEnd"/>
            <w:r>
              <w:rPr>
                <w:b/>
                <w:i/>
                <w:color w:val="000066"/>
                <w:sz w:val="22"/>
                <w:szCs w:val="22"/>
              </w:rPr>
              <w:t xml:space="preserve"> 202</w:t>
            </w:r>
            <w:r w:rsidR="00C63B18">
              <w:rPr>
                <w:b/>
                <w:i/>
                <w:color w:val="000066"/>
                <w:sz w:val="22"/>
                <w:szCs w:val="22"/>
              </w:rPr>
              <w:t>6</w:t>
            </w:r>
          </w:p>
        </w:tc>
        <w:tc>
          <w:tcPr>
            <w:tcW w:w="1842" w:type="dxa"/>
            <w:tcBorders>
              <w:left w:val="single" w:sz="4" w:space="0" w:color="000000"/>
              <w:bottom w:val="nil"/>
              <w:right w:val="single" w:sz="4" w:space="0" w:color="000000"/>
            </w:tcBorders>
          </w:tcPr>
          <w:p w14:paraId="6212659C" w14:textId="77777777" w:rsidR="005F29D3" w:rsidRDefault="00000000">
            <w:pPr>
              <w:jc w:val="right"/>
              <w:rPr>
                <w:sz w:val="14"/>
                <w:szCs w:val="14"/>
              </w:rPr>
            </w:pPr>
            <w:r>
              <w:rPr>
                <w:sz w:val="14"/>
                <w:szCs w:val="14"/>
              </w:rPr>
              <w:t>A publication of</w:t>
            </w:r>
          </w:p>
          <w:p w14:paraId="76D0E9EF" w14:textId="77777777" w:rsidR="005F29D3" w:rsidRDefault="00000000">
            <w:pPr>
              <w:jc w:val="right"/>
            </w:pPr>
            <w:r>
              <w:rPr>
                <w:noProof/>
              </w:rPr>
              <w:drawing>
                <wp:inline distT="0" distB="0" distL="0" distR="0" wp14:anchorId="2037F4DA" wp14:editId="1DB907FE">
                  <wp:extent cx="670560" cy="358140"/>
                  <wp:effectExtent l="0" t="0" r="0" b="0"/>
                  <wp:docPr id="9" name="image2.jpg" descr="aidiclogo_grande"/>
                  <wp:cNvGraphicFramePr/>
                  <a:graphic xmlns:a="http://schemas.openxmlformats.org/drawingml/2006/main">
                    <a:graphicData uri="http://schemas.openxmlformats.org/drawingml/2006/picture">
                      <pic:pic xmlns:pic="http://schemas.openxmlformats.org/drawingml/2006/picture">
                        <pic:nvPicPr>
                          <pic:cNvPr id="0" name="image2.jpg" descr="aidiclogo_grande"/>
                          <pic:cNvPicPr preferRelativeResize="0"/>
                        </pic:nvPicPr>
                        <pic:blipFill>
                          <a:blip r:embed="rId8"/>
                          <a:srcRect/>
                          <a:stretch>
                            <a:fillRect/>
                          </a:stretch>
                        </pic:blipFill>
                        <pic:spPr>
                          <a:xfrm>
                            <a:off x="0" y="0"/>
                            <a:ext cx="670560" cy="358140"/>
                          </a:xfrm>
                          <a:prstGeom prst="rect">
                            <a:avLst/>
                          </a:prstGeom>
                          <a:ln/>
                        </pic:spPr>
                      </pic:pic>
                    </a:graphicData>
                  </a:graphic>
                </wp:inline>
              </w:drawing>
            </w:r>
          </w:p>
        </w:tc>
      </w:tr>
      <w:tr w:rsidR="005F29D3" w14:paraId="32908C2A" w14:textId="77777777">
        <w:trPr>
          <w:trHeight w:val="567"/>
          <w:jc w:val="center"/>
        </w:trPr>
        <w:tc>
          <w:tcPr>
            <w:tcW w:w="6940" w:type="dxa"/>
            <w:vMerge/>
            <w:tcBorders>
              <w:right w:val="single" w:sz="4" w:space="0" w:color="000000"/>
            </w:tcBorders>
          </w:tcPr>
          <w:p w14:paraId="17B37E1A" w14:textId="77777777" w:rsidR="005F29D3" w:rsidRDefault="005F29D3">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5BF978C5" w14:textId="77777777" w:rsidR="005F29D3" w:rsidRDefault="00000000">
            <w:pPr>
              <w:jc w:val="right"/>
              <w:rPr>
                <w:sz w:val="14"/>
                <w:szCs w:val="14"/>
              </w:rPr>
            </w:pPr>
            <w:r>
              <w:rPr>
                <w:sz w:val="14"/>
                <w:szCs w:val="14"/>
              </w:rPr>
              <w:t>The Italian Association</w:t>
            </w:r>
          </w:p>
          <w:p w14:paraId="0C9B08CB" w14:textId="77777777" w:rsidR="005F29D3" w:rsidRDefault="00000000">
            <w:pPr>
              <w:jc w:val="right"/>
              <w:rPr>
                <w:sz w:val="14"/>
                <w:szCs w:val="14"/>
              </w:rPr>
            </w:pPr>
            <w:r>
              <w:rPr>
                <w:sz w:val="14"/>
                <w:szCs w:val="14"/>
              </w:rPr>
              <w:t>of Chemical Engineering</w:t>
            </w:r>
          </w:p>
          <w:p w14:paraId="32AD0473" w14:textId="77777777" w:rsidR="005F29D3" w:rsidRDefault="00000000">
            <w:pPr>
              <w:jc w:val="right"/>
              <w:rPr>
                <w:sz w:val="13"/>
                <w:szCs w:val="13"/>
              </w:rPr>
            </w:pPr>
            <w:r>
              <w:rPr>
                <w:sz w:val="13"/>
                <w:szCs w:val="13"/>
              </w:rPr>
              <w:t>Online at www.cetjournal.it</w:t>
            </w:r>
          </w:p>
        </w:tc>
      </w:tr>
      <w:tr w:rsidR="005F29D3" w14:paraId="03E002A9" w14:textId="77777777">
        <w:trPr>
          <w:trHeight w:val="68"/>
          <w:jc w:val="center"/>
        </w:trPr>
        <w:tc>
          <w:tcPr>
            <w:tcW w:w="8782" w:type="dxa"/>
            <w:gridSpan w:val="2"/>
          </w:tcPr>
          <w:p w14:paraId="6E5DFFAC" w14:textId="77777777" w:rsidR="005F29D3" w:rsidRDefault="00000000">
            <w:pPr>
              <w:ind w:left="-107"/>
              <w:rPr>
                <w:rFonts w:ascii="Tahoma" w:eastAsia="Tahoma" w:hAnsi="Tahoma" w:cs="Tahoma"/>
                <w:color w:val="000000"/>
                <w:sz w:val="14"/>
                <w:szCs w:val="14"/>
              </w:rPr>
            </w:pPr>
            <w:r>
              <w:rPr>
                <w:rFonts w:ascii="Tahoma" w:eastAsia="Tahoma" w:hAnsi="Tahoma" w:cs="Tahoma"/>
                <w:color w:val="333333"/>
                <w:sz w:val="14"/>
                <w:szCs w:val="14"/>
              </w:rPr>
              <w:t>Guest Editors:</w:t>
            </w:r>
            <w:r>
              <w:rPr>
                <w:rFonts w:ascii="Tahoma" w:eastAsia="Tahoma" w:hAnsi="Tahoma" w:cs="Tahoma"/>
                <w:color w:val="000000"/>
                <w:sz w:val="14"/>
                <w:szCs w:val="14"/>
                <w:highlight w:val="white"/>
              </w:rPr>
              <w:t xml:space="preserve"> </w:t>
            </w:r>
          </w:p>
          <w:p w14:paraId="27265037" w14:textId="77777777" w:rsidR="005F29D3" w:rsidRDefault="00000000">
            <w:pPr>
              <w:tabs>
                <w:tab w:val="left" w:pos="-108"/>
              </w:tabs>
              <w:ind w:left="-107"/>
              <w:jc w:val="left"/>
            </w:pPr>
            <w:r>
              <w:rPr>
                <w:rFonts w:ascii="Tahoma" w:eastAsia="Tahoma" w:hAnsi="Tahoma" w:cs="Tahoma"/>
                <w:color w:val="333333"/>
                <w:sz w:val="14"/>
                <w:szCs w:val="14"/>
              </w:rPr>
              <w:t xml:space="preserve">Copyright © 2024, AIDIC Servizi </w:t>
            </w:r>
            <w:proofErr w:type="spellStart"/>
            <w:r>
              <w:rPr>
                <w:rFonts w:ascii="Tahoma" w:eastAsia="Tahoma" w:hAnsi="Tahoma" w:cs="Tahoma"/>
                <w:color w:val="333333"/>
                <w:sz w:val="14"/>
                <w:szCs w:val="14"/>
              </w:rPr>
              <w:t>S.r.l</w:t>
            </w:r>
            <w:proofErr w:type="spellEnd"/>
            <w:r>
              <w:rPr>
                <w:rFonts w:ascii="Tahoma" w:eastAsia="Tahoma" w:hAnsi="Tahoma" w:cs="Tahoma"/>
                <w:color w:val="333333"/>
                <w:sz w:val="14"/>
                <w:szCs w:val="14"/>
              </w:rPr>
              <w:t>.</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979-12-81206-XX-X</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43D2B51B" w14:textId="54C1E2DB" w:rsidR="005F29D3" w:rsidRDefault="00307236" w:rsidP="00307236">
      <w:pPr>
        <w:pStyle w:val="CETTitle"/>
        <w:rPr>
          <w:rFonts w:eastAsia="Arial"/>
        </w:rPr>
      </w:pPr>
      <w:r w:rsidRPr="00307236">
        <w:rPr>
          <w:rFonts w:eastAsia="Arial"/>
        </w:rPr>
        <w:t>Technical Bottlenecks of a Cascade Avocado Waste Biorefinery Based on</w:t>
      </w:r>
      <w:r>
        <w:rPr>
          <w:rFonts w:eastAsia="Arial"/>
        </w:rPr>
        <w:t xml:space="preserve"> </w:t>
      </w:r>
      <w:r w:rsidRPr="00307236">
        <w:rPr>
          <w:rFonts w:eastAsia="Arial"/>
        </w:rPr>
        <w:t>Water, Energy and Product Evaluation (WEP)</w:t>
      </w:r>
      <w:r w:rsidR="00D00A0C" w:rsidRPr="00D00A0C">
        <w:rPr>
          <w:rFonts w:eastAsia="Arial"/>
        </w:rPr>
        <w:t xml:space="preserve"> </w:t>
      </w:r>
    </w:p>
    <w:p w14:paraId="057AB0FE" w14:textId="76DD048D" w:rsidR="005F29D3" w:rsidRPr="00530031" w:rsidRDefault="00C63B18" w:rsidP="007F2A4B">
      <w:pPr>
        <w:pStyle w:val="CETAuthors"/>
        <w:jc w:val="center"/>
        <w:rPr>
          <w:rFonts w:eastAsia="Arial"/>
          <w:lang w:val="es-CO"/>
        </w:rPr>
      </w:pPr>
      <w:r w:rsidRPr="00C63B18">
        <w:rPr>
          <w:rFonts w:eastAsia="Arial"/>
          <w:lang w:val="es-CO"/>
        </w:rPr>
        <w:t>Eduardo Andres Aguilar-Vásquez and Ángel Darío González</w:t>
      </w:r>
      <w:r w:rsidR="00CF61B8" w:rsidRPr="00C63B18">
        <w:rPr>
          <w:rFonts w:eastAsia="Arial"/>
          <w:vertAlign w:val="superscript"/>
          <w:lang w:val="es-CO"/>
        </w:rPr>
        <w:t>§</w:t>
      </w:r>
    </w:p>
    <w:p w14:paraId="47AF1914" w14:textId="076D1A6E" w:rsidR="00530031" w:rsidRPr="00530031" w:rsidRDefault="00530031" w:rsidP="00A12FEB">
      <w:pPr>
        <w:pStyle w:val="CETAddress"/>
        <w:rPr>
          <w:rFonts w:eastAsia="Arial"/>
        </w:rPr>
      </w:pPr>
      <w:r w:rsidRPr="00530031">
        <w:rPr>
          <w:rFonts w:eastAsia="Arial"/>
        </w:rPr>
        <w:t xml:space="preserve">Nanomaterials and Computer Aided Process Engineering Research Group (NIPAC), Chemical Engineering Department, faculty of engieniering, </w:t>
      </w:r>
      <w:r w:rsidRPr="00530031">
        <w:rPr>
          <w:rFonts w:eastAsiaTheme="minorHAnsi"/>
          <w:lang w:val="en-US"/>
        </w:rPr>
        <w:t xml:space="preserve">Av. del Consulado Calle 30 No. 48-152, </w:t>
      </w:r>
      <w:r w:rsidRPr="00530031">
        <w:rPr>
          <w:rFonts w:eastAsia="Arial"/>
        </w:rPr>
        <w:t>Universidad de Cartagena, Cartagena, Colombia.</w:t>
      </w:r>
    </w:p>
    <w:p w14:paraId="2DB968D3" w14:textId="7FD3C8AA" w:rsidR="005F29D3" w:rsidRDefault="00C63B18" w:rsidP="00A12FEB">
      <w:pPr>
        <w:pStyle w:val="CETemail"/>
        <w:rPr>
          <w:rFonts w:eastAsia="Arial"/>
        </w:rPr>
      </w:pPr>
      <w:r w:rsidRPr="00C63B18">
        <w:rPr>
          <w:rFonts w:eastAsia="Arial"/>
          <w:vertAlign w:val="superscript"/>
          <w:lang w:val="es-CO"/>
        </w:rPr>
        <w:t>§</w:t>
      </w:r>
      <w:r>
        <w:rPr>
          <w:rFonts w:eastAsia="Arial"/>
        </w:rPr>
        <w:t>eaguilarv</w:t>
      </w:r>
      <w:r w:rsidR="00530031" w:rsidRPr="00530031">
        <w:rPr>
          <w:rFonts w:eastAsia="Arial"/>
        </w:rPr>
        <w:t>@unicartagena.edu.co</w:t>
      </w:r>
      <w:r w:rsidR="00440A23" w:rsidRPr="00530031">
        <w:rPr>
          <w:rFonts w:eastAsia="Arial"/>
        </w:rPr>
        <w:t xml:space="preserve"> </w:t>
      </w:r>
    </w:p>
    <w:p w14:paraId="2520C088" w14:textId="63DA4290" w:rsidR="00F77542" w:rsidRPr="00F77542" w:rsidRDefault="006F239A" w:rsidP="00F77542">
      <w:pPr>
        <w:pStyle w:val="CETBodytext"/>
        <w:rPr>
          <w:rFonts w:eastAsia="Arial"/>
        </w:rPr>
      </w:pPr>
      <w:r>
        <w:rPr>
          <w:rFonts w:eastAsia="Arial"/>
        </w:rPr>
        <w:t xml:space="preserve">Circular bioeconomy has arisen as a promising opportunity for economic and sustainable growth in agricultural regions, the biorefineries have become a center of interest as they are a cornerstone in this new economic system. Among them, the cascade biorefineries </w:t>
      </w:r>
      <w:r w:rsidR="00EF16FB">
        <w:rPr>
          <w:rFonts w:eastAsia="Arial"/>
        </w:rPr>
        <w:t>are</w:t>
      </w:r>
      <w:r>
        <w:rPr>
          <w:rFonts w:eastAsia="Arial"/>
        </w:rPr>
        <w:t xml:space="preserve"> a more complete system to fully valorize waste and organic material. For this reason, in this study </w:t>
      </w:r>
      <w:r w:rsidR="00F77542">
        <w:rPr>
          <w:rFonts w:eastAsia="Arial"/>
        </w:rPr>
        <w:t>the technical performance of a cascade biorefinery system for valorizing avocado waste</w:t>
      </w:r>
      <w:r>
        <w:rPr>
          <w:rFonts w:eastAsia="Arial"/>
        </w:rPr>
        <w:t xml:space="preserve"> is implemented</w:t>
      </w:r>
      <w:r w:rsidR="00F77542">
        <w:rPr>
          <w:rFonts w:eastAsia="Arial"/>
        </w:rPr>
        <w:t xml:space="preserve">. The biorefinery </w:t>
      </w:r>
      <w:r>
        <w:rPr>
          <w:rFonts w:eastAsia="Arial"/>
        </w:rPr>
        <w:t>had</w:t>
      </w:r>
      <w:r w:rsidR="00F77542">
        <w:rPr>
          <w:rFonts w:eastAsia="Arial"/>
        </w:rPr>
        <w:t xml:space="preserve"> multiple outputs, as starch, biofilms and biocontrol agent were considered</w:t>
      </w:r>
      <w:r>
        <w:rPr>
          <w:rFonts w:eastAsia="Arial"/>
        </w:rPr>
        <w:t xml:space="preserve"> as products</w:t>
      </w:r>
      <w:r w:rsidR="00F77542">
        <w:rPr>
          <w:rFonts w:eastAsia="Arial"/>
        </w:rPr>
        <w:t xml:space="preserve">. The analysis </w:t>
      </w:r>
      <w:r w:rsidR="00EF16FB">
        <w:rPr>
          <w:rFonts w:eastAsia="Arial"/>
        </w:rPr>
        <w:t xml:space="preserve">WEP </w:t>
      </w:r>
      <w:r w:rsidR="00F77542">
        <w:rPr>
          <w:rFonts w:eastAsia="Arial"/>
        </w:rPr>
        <w:t xml:space="preserve">showed that the process </w:t>
      </w:r>
      <w:r w:rsidR="00EF16FB">
        <w:rPr>
          <w:rFonts w:eastAsia="Arial"/>
        </w:rPr>
        <w:t xml:space="preserve">has regular </w:t>
      </w:r>
      <w:r w:rsidR="00F77542">
        <w:rPr>
          <w:rFonts w:eastAsia="Arial"/>
        </w:rPr>
        <w:t>mass and energy management requir</w:t>
      </w:r>
      <w:r w:rsidR="00EF16FB">
        <w:rPr>
          <w:rFonts w:eastAsia="Arial"/>
        </w:rPr>
        <w:t>ing</w:t>
      </w:r>
      <w:r w:rsidR="00F77542">
        <w:rPr>
          <w:rFonts w:eastAsia="Arial"/>
        </w:rPr>
        <w:t xml:space="preserve"> further improvement. As the process had low yield (20%) and poor material reuse (11%)</w:t>
      </w:r>
      <w:r w:rsidR="00EF16FB">
        <w:rPr>
          <w:rFonts w:eastAsia="Arial"/>
        </w:rPr>
        <w:t xml:space="preserve"> tied to the products intended</w:t>
      </w:r>
      <w:r w:rsidR="00F77542">
        <w:rPr>
          <w:rFonts w:eastAsia="Arial"/>
        </w:rPr>
        <w:t>, furthermore, the wastewater production is the worst aspect of the process</w:t>
      </w:r>
      <w:r w:rsidR="00EF16FB">
        <w:rPr>
          <w:rFonts w:eastAsia="Arial"/>
        </w:rPr>
        <w:t xml:space="preserve"> </w:t>
      </w:r>
      <w:r w:rsidR="00F77542">
        <w:rPr>
          <w:rFonts w:eastAsia="Arial"/>
        </w:rPr>
        <w:t>(9%)</w:t>
      </w:r>
      <w:r w:rsidR="00EF16FB">
        <w:rPr>
          <w:rFonts w:eastAsia="Arial"/>
        </w:rPr>
        <w:t xml:space="preserve">, to the contrast of the </w:t>
      </w:r>
      <w:r w:rsidR="00F77542">
        <w:rPr>
          <w:rFonts w:eastAsia="Arial"/>
        </w:rPr>
        <w:t>water intake and cost</w:t>
      </w:r>
      <w:r w:rsidR="00EF16FB">
        <w:rPr>
          <w:rFonts w:eastAsia="Arial"/>
        </w:rPr>
        <w:t xml:space="preserve">, that </w:t>
      </w:r>
      <w:r w:rsidR="00F77542">
        <w:rPr>
          <w:rFonts w:eastAsia="Arial"/>
        </w:rPr>
        <w:t>were particularly acceptable with performance above 65%. Likewise, energy indicators had similar results, as energy intake was acceptable (65%</w:t>
      </w:r>
      <w:proofErr w:type="gramStart"/>
      <w:r w:rsidR="00F77542">
        <w:rPr>
          <w:rFonts w:eastAsia="Arial"/>
        </w:rPr>
        <w:t>)</w:t>
      </w:r>
      <w:proofErr w:type="gramEnd"/>
      <w:r w:rsidR="00F77542">
        <w:rPr>
          <w:rFonts w:eastAsia="Arial"/>
        </w:rPr>
        <w:t xml:space="preserve"> but the management was poor with a NER performance of 15%.</w:t>
      </w:r>
      <w:r w:rsidR="00EF16FB">
        <w:rPr>
          <w:rFonts w:eastAsia="Arial"/>
        </w:rPr>
        <w:t xml:space="preserve"> </w:t>
      </w:r>
      <w:r w:rsidR="00F77542">
        <w:rPr>
          <w:rFonts w:eastAsia="Arial"/>
        </w:rPr>
        <w:t>These highlights reaffirmed the necessity of further optimization of cascade systems, especially using integration techniques</w:t>
      </w:r>
      <w:r w:rsidR="00EF16FB">
        <w:rPr>
          <w:rFonts w:eastAsia="Arial"/>
        </w:rPr>
        <w:t xml:space="preserve"> with more rigorous sustainability assessments</w:t>
      </w:r>
      <w:r w:rsidR="00F77542">
        <w:rPr>
          <w:rFonts w:eastAsia="Arial"/>
        </w:rPr>
        <w:t>.</w:t>
      </w:r>
    </w:p>
    <w:p w14:paraId="6410734C" w14:textId="1A2DA695" w:rsidR="005F29D3" w:rsidRDefault="00000000" w:rsidP="00A12FEB">
      <w:pPr>
        <w:pStyle w:val="CETHeading1"/>
        <w:numPr>
          <w:ilvl w:val="0"/>
          <w:numId w:val="16"/>
        </w:numPr>
        <w:rPr>
          <w:rFonts w:eastAsia="Arial"/>
        </w:rPr>
      </w:pPr>
      <w:r>
        <w:rPr>
          <w:rFonts w:eastAsia="Arial"/>
        </w:rPr>
        <w:t>Introduction</w:t>
      </w:r>
    </w:p>
    <w:p w14:paraId="72C93B5A" w14:textId="031951E0" w:rsidR="00DC4648" w:rsidRPr="005048E6" w:rsidRDefault="000142B1" w:rsidP="00DC4648">
      <w:pPr>
        <w:pStyle w:val="CETBodytext"/>
        <w:spacing w:after="240"/>
        <w:rPr>
          <w:rFonts w:eastAsia="Arial"/>
        </w:rPr>
      </w:pPr>
      <w:r>
        <w:rPr>
          <w:rFonts w:eastAsia="Arial"/>
        </w:rPr>
        <w:t>Biorefiner</w:t>
      </w:r>
      <w:r w:rsidR="00B80308">
        <w:rPr>
          <w:rFonts w:eastAsia="Arial"/>
        </w:rPr>
        <w:t xml:space="preserve">ies </w:t>
      </w:r>
      <w:r w:rsidR="001D23FA">
        <w:rPr>
          <w:rFonts w:eastAsia="Arial"/>
        </w:rPr>
        <w:t xml:space="preserve">are </w:t>
      </w:r>
      <w:r w:rsidR="00B80308">
        <w:rPr>
          <w:rFonts w:eastAsia="Arial"/>
        </w:rPr>
        <w:t>essential units to achieve a circular bioeconomy</w:t>
      </w:r>
      <w:r w:rsidR="001D23FA">
        <w:rPr>
          <w:rFonts w:eastAsia="Arial"/>
        </w:rPr>
        <w:t>, thanks to their versatility to transform biomass into a wide array of products (materials and energy)</w:t>
      </w:r>
      <w:r w:rsidR="00A75E1C" w:rsidRPr="00A75E1C">
        <w:rPr>
          <w:rFonts w:eastAsia="Arial"/>
          <w:lang w:val="en-GB"/>
        </w:rPr>
        <w:t xml:space="preserve"> </w:t>
      </w:r>
      <w:r w:rsidR="00A75E1C">
        <w:rPr>
          <w:rFonts w:eastAsia="Arial"/>
          <w:lang w:val="en-GB"/>
        </w:rPr>
        <w:fldChar w:fldCharType="begin" w:fldLock="1"/>
      </w:r>
      <w:r w:rsidR="00A75E1C">
        <w:rPr>
          <w:rFonts w:eastAsia="Arial"/>
          <w:lang w:val="en-GB"/>
        </w:rPr>
        <w:instrText>ADDIN CSL_CITATION {"citationItems":[{"id":"ITEM-1","itemData":{"DOI":"10.1016/j.seta.2025.104457","ISSN":"22131388","abstract":"The valorization and conversion of biowaste through a biorefinery approach is an eco-friendly method of transforming biowaste into usable products along with commercially viable value-added products that address energy, chemicals, and environmental concerns. This study examines the potential of several biowaste feedstocks, including agricultural residues, municipal solid waste, food waste, and biowaste from food processing businesses, for the production of biofuels, biochemicals, and biomaterials. Biochemical (Anaerobic digestion, fermentation) and thermochemical (pyrolysis, gasification, hydrothermal, torrefection, liquefaction) processes are examples of advanced bioconversion technologies that have been assessed for their effectiveness, yield of products, and byproducts. Furthermore, in the study, India's perspective on utilizing biowaste for the biorefinery and several government initiatives that have been undertaken are highlighted. Overall, the biowaste biorefinery models should emphasize resource recovery and waste valorization while integrating the circular economy concepts. Hence, a comprehensive strategy towards process integration and regulatory support is crucial for the full application of biowaste in biorefineries in transition to a biobased economy.","author":[{"dropping-particle":"","family":"Daimary","given":"Niran","non-dropping-particle":"","parse-names":false,"suffix":""},{"dropping-particle":"","family":"Deb","given":"Bachu","non-dropping-particle":"","parse-names":false,"suffix":""},{"dropping-particle":"","family":"Roy","given":"Bidesh","non-dropping-particle":"","parse-names":false,"suffix":""},{"dropping-particle":"","family":"Ranjan","given":"Ritesh Kumar","non-dropping-particle":"","parse-names":false,"suffix":""},{"dropping-particle":"","family":"Mukherjee","given":"Akarsan","non-dropping-particle":"","parse-names":false,"suffix":""}],"container-title":"Sustainable Energy Technologies and Assessments","id":"ITEM-1","issue":"March","issued":{"date-parts":[["2025"]]},"page":"104457","publisher":"Elsevier Ltd","title":"Sustainable biorefinery approach for the transformation of biowaste into biofuels and chemicals for the circular economy: A review","type":"article-journal","volume":"82"},"uris":["http://www.mendeley.com/documents/?uuid=7383c1b9-6d84-4724-9cb4-57c5efcbf702"]}],"mendeley":{"formattedCitation":"(1)","plainTextFormattedCitation":"(1)","previouslyFormattedCitation":"(1)"},"properties":{"noteIndex":0},"schema":"https://github.com/citation-style-language/schema/raw/master/csl-citation.json"}</w:instrText>
      </w:r>
      <w:r w:rsidR="00A75E1C">
        <w:rPr>
          <w:rFonts w:eastAsia="Arial"/>
          <w:lang w:val="en-GB"/>
        </w:rPr>
        <w:fldChar w:fldCharType="separate"/>
      </w:r>
      <w:r w:rsidR="00A75E1C" w:rsidRPr="00A75E1C">
        <w:rPr>
          <w:rFonts w:eastAsia="Arial"/>
          <w:noProof/>
          <w:lang w:val="en-GB"/>
        </w:rPr>
        <w:t>(1)</w:t>
      </w:r>
      <w:r w:rsidR="00A75E1C">
        <w:rPr>
          <w:rFonts w:eastAsia="Arial"/>
          <w:lang w:val="en-GB"/>
        </w:rPr>
        <w:fldChar w:fldCharType="end"/>
      </w:r>
      <w:r w:rsidR="001D23FA">
        <w:rPr>
          <w:rFonts w:eastAsia="Arial"/>
        </w:rPr>
        <w:t xml:space="preserve">. </w:t>
      </w:r>
      <w:r w:rsidR="001D23FA">
        <w:rPr>
          <w:rFonts w:eastAsia="Arial"/>
          <w:lang w:val="en-GB"/>
        </w:rPr>
        <w:t>Circular</w:t>
      </w:r>
      <w:r w:rsidR="008A4B41" w:rsidRPr="008A4B41">
        <w:rPr>
          <w:rFonts w:eastAsia="Arial"/>
          <w:lang w:val="en-GB"/>
        </w:rPr>
        <w:t xml:space="preserve"> bioeconomy represents a crucial engine for sustainable development and climate change mitigation by harnessing renewable resources for economic development</w:t>
      </w:r>
      <w:r w:rsidR="00A75E1C">
        <w:rPr>
          <w:rFonts w:eastAsia="Arial"/>
          <w:lang w:val="en-GB"/>
        </w:rPr>
        <w:t xml:space="preserve"> </w:t>
      </w:r>
      <w:r w:rsidR="00A75E1C">
        <w:rPr>
          <w:rFonts w:eastAsia="Arial"/>
          <w:lang w:val="en-GB"/>
        </w:rPr>
        <w:fldChar w:fldCharType="begin" w:fldLock="1"/>
      </w:r>
      <w:r w:rsidR="00A75E1C">
        <w:rPr>
          <w:rFonts w:eastAsia="Arial"/>
          <w:lang w:val="en-GB"/>
        </w:rPr>
        <w:instrText>ADDIN CSL_CITATION {"citationItems":[{"id":"ITEM-1","itemData":{"DOI":"10.1016/j.jclepro.2025.146872","ISSN":"09596526","abstract":"The meaning of circularity is not fully clear in the context of the bioeconomy, involving the production of biomass and its use for food, biomaterials and bioenergy. Particularly with regard to agri-food systems and the perishable nature of their products, circularity strategies cannot be easily transferred and should be specified. This refers to reducing primary raw materials inputs, extending the product life through reuse, and recycling organic residues to obtain similar products. We provide a definition of circular bioeconomy to clarify what circularity in the context of the bioeconomy means. In a combined approach we analyze shortcomings of available definitions, explain above-mentioned inconsistencies by comparing industrial, agri-food, and natural terrestrial systems, and analyze the 40 most relevant scientific reviews on circular bioeconomy and circular agri-food systems. From this, we extract three properties for a new definition: (i) Biomass flows occur in different states. The substances state refers to relevant material flows. (ii) Making material flows circular means avoiding material losses and consecutively using materials in primary and secondary production and consumption sectors. (iii) Substances are in a dynamic equilibrium between the bioeconomy and the environment. Based on these properties we propose the following definition: “A circular bioeconomy is an economic system, in which biomass and substances contained therein are used consecutively by biomass producing, processing and consuming sectors, resulting in a balanced exchange between the bioeconomy and the environment, where substances neither deplete nor accumulate”. We discuss the system boundary between bioeconomy and the environment and approaches for operationalizing a balanced exchange. Defined as such, circularity is a necessary but not a sufficient condition for sustainability of the bioeconomy.","author":[{"dropping-particle":"","family":"Jander","given":"Wiebke","non-dropping-particle":"","parse-names":false,"suffix":""},{"dropping-particle":"","family":"Günther","given":"Jens","non-dropping-particle":"","parse-names":false,"suffix":""},{"dropping-particle":"","family":"Prochnow","given":"Annette","non-dropping-particle":"","parse-names":false,"suffix":""}],"container-title":"Journal of Cleaner Production","id":"ITEM-1","issue":"June","issued":{"date-parts":[["2025"]]},"page":"146872","publisher":"Elsevier Ltd","title":"What is this thing called circular bioeconomy? Integrating the concepts of circular agri-food and industrial systems","type":"article-journal","volume":"530"},"uris":["http://www.mendeley.com/documents/?uuid=53332256-8627-43f5-a5f7-a9b75e9189d3"]}],"mendeley":{"formattedCitation":"(2)","plainTextFormattedCitation":"(2)","previouslyFormattedCitation":"(2)"},"properties":{"noteIndex":0},"schema":"https://github.com/citation-style-language/schema/raw/master/csl-citation.json"}</w:instrText>
      </w:r>
      <w:r w:rsidR="00A75E1C">
        <w:rPr>
          <w:rFonts w:eastAsia="Arial"/>
          <w:lang w:val="en-GB"/>
        </w:rPr>
        <w:fldChar w:fldCharType="separate"/>
      </w:r>
      <w:r w:rsidR="00A75E1C" w:rsidRPr="00A75E1C">
        <w:rPr>
          <w:rFonts w:eastAsia="Arial"/>
          <w:noProof/>
          <w:lang w:val="en-GB"/>
        </w:rPr>
        <w:t>(2)</w:t>
      </w:r>
      <w:r w:rsidR="00A75E1C">
        <w:rPr>
          <w:rFonts w:eastAsia="Arial"/>
          <w:lang w:val="en-GB"/>
        </w:rPr>
        <w:fldChar w:fldCharType="end"/>
      </w:r>
      <w:r w:rsidR="008A4B41" w:rsidRPr="008A4B41">
        <w:rPr>
          <w:rFonts w:eastAsia="Arial"/>
          <w:lang w:val="en-GB"/>
        </w:rPr>
        <w:t>.</w:t>
      </w:r>
      <w:r w:rsidR="001D23FA">
        <w:rPr>
          <w:rFonts w:eastAsia="Arial"/>
          <w:lang w:val="en-GB"/>
        </w:rPr>
        <w:t xml:space="preserve"> Especially for third world countries like Colombia, with huge biological potential</w:t>
      </w:r>
      <w:r w:rsidR="0093280E">
        <w:rPr>
          <w:rFonts w:eastAsia="Arial"/>
          <w:lang w:val="en-GB"/>
        </w:rPr>
        <w:t>, can offer rural impoverished zones economic growth</w:t>
      </w:r>
      <w:r w:rsidR="001D23FA">
        <w:rPr>
          <w:rFonts w:eastAsia="Arial"/>
          <w:lang w:val="en-GB"/>
        </w:rPr>
        <w:t>.</w:t>
      </w:r>
      <w:r w:rsidR="005048E6">
        <w:rPr>
          <w:rFonts w:eastAsia="Arial"/>
          <w:lang w:val="en-GB"/>
        </w:rPr>
        <w:t xml:space="preserve"> </w:t>
      </w:r>
      <w:r w:rsidR="00136DA9">
        <w:rPr>
          <w:rFonts w:eastAsia="Arial"/>
        </w:rPr>
        <w:t>I</w:t>
      </w:r>
      <w:r w:rsidR="001D23FA">
        <w:rPr>
          <w:rFonts w:eastAsia="Arial"/>
        </w:rPr>
        <w:t xml:space="preserve">n these biorefineries, </w:t>
      </w:r>
      <w:r>
        <w:rPr>
          <w:rFonts w:eastAsia="Arial"/>
        </w:rPr>
        <w:t>Cascad</w:t>
      </w:r>
      <w:r w:rsidR="001D23FA">
        <w:rPr>
          <w:rFonts w:eastAsia="Arial"/>
        </w:rPr>
        <w:t xml:space="preserve">ing processing have emerged as promising approach to maximize valorization of biomasses like agro-industrial waste, </w:t>
      </w:r>
      <w:r w:rsidR="00DC4648">
        <w:rPr>
          <w:rFonts w:eastAsia="Arial"/>
        </w:rPr>
        <w:t>like avocado waste from south Colombia</w:t>
      </w:r>
      <w:r w:rsidR="00A75E1C">
        <w:rPr>
          <w:rFonts w:eastAsia="Arial"/>
        </w:rPr>
        <w:t xml:space="preserve"> </w:t>
      </w:r>
      <w:r w:rsidR="00A75E1C">
        <w:rPr>
          <w:rFonts w:eastAsia="Arial"/>
        </w:rPr>
        <w:fldChar w:fldCharType="begin" w:fldLock="1"/>
      </w:r>
      <w:r w:rsidR="00A75E1C">
        <w:rPr>
          <w:rFonts w:eastAsia="Arial"/>
        </w:rPr>
        <w:instrText>ADDIN CSL_CITATION {"citationItems":[{"id":"ITEM-1","itemData":{"DOI":"10.1016/j.biortech.2021.126060","ISSN":"18732976","PMID":"34597804","abstract":"This research paper seeks to evaluate the influence of the context, processing scale, and portfolio of products on the economic performance of different avocado-based biorefineries. For this, two scenarios in small and large-scale biorefineries were compared. The case of scenario 1 (avocado oil, animal feed, and electricity production) was the best small-scale alternative to be implemented in rural zones than scenario 2 (guacamole and electricity production). The minimum Processing Scale for Economic Feasibility was 0.85 and 1.1 ton/day for scenarios 1 and 2. Compared to lactic acid and xylitol production, the large-scale process addressed to produce levulinic acid, furfural, and lignin (scenario 1) was the best option (scenario 2). In scenario 1, the minimum Processing Scale for Economic Feasibility was 15.50 ton/day compared with scenario 2 of 41.95 ton/day. Based on these values, scenario 1 has the highest feasibility of being implemented in countries such as Colombia.","author":[{"dropping-particle":"","family":"Solarte-Toro","given":"Juan Camilo","non-dropping-particle":"","parse-names":false,"suffix":""},{"dropping-particle":"","family":"Ortiz-Sanchez","given":"Mariana","non-dropping-particle":"","parse-names":false,"suffix":""},{"dropping-particle":"","family":"Restrepo-Serna","given":"Daissy Lorena","non-dropping-particle":"","parse-names":false,"suffix":""},{"dropping-particle":"","family":"Peroza Piñeres","given":"Pavel","non-dropping-particle":"","parse-names":false,"suffix":""},{"dropping-particle":"","family":"Pérez Cordero","given":"Alexander","non-dropping-particle":"","parse-names":false,"suffix":""},{"dropping-particle":"","family":"Cardona Alzate","given":"Carlos Ariel","non-dropping-particle":"","parse-names":false,"suffix":""}],"container-title":"Bioresource Technology","id":"ITEM-1","issue":"September","issued":{"date-parts":[["2021"]]},"title":"Influence of products portfolio and process contextualization on the economic performance of small- and large-scale avocado biorefineries","type":"article-journal","volume":"342"},"uris":["http://www.mendeley.com/documents/?uuid=b1d322a5-3924-4fed-8552-d4f36e721994"]}],"mendeley":{"formattedCitation":"(3)","plainTextFormattedCitation":"(3)","previouslyFormattedCitation":"(3)"},"properties":{"noteIndex":0},"schema":"https://github.com/citation-style-language/schema/raw/master/csl-citation.json"}</w:instrText>
      </w:r>
      <w:r w:rsidR="00A75E1C">
        <w:rPr>
          <w:rFonts w:eastAsia="Arial"/>
        </w:rPr>
        <w:fldChar w:fldCharType="separate"/>
      </w:r>
      <w:r w:rsidR="00A75E1C" w:rsidRPr="00A75E1C">
        <w:rPr>
          <w:rFonts w:eastAsia="Arial"/>
          <w:noProof/>
        </w:rPr>
        <w:t>(3)</w:t>
      </w:r>
      <w:r w:rsidR="00A75E1C">
        <w:rPr>
          <w:rFonts w:eastAsia="Arial"/>
        </w:rPr>
        <w:fldChar w:fldCharType="end"/>
      </w:r>
      <w:r w:rsidR="00C74B00">
        <w:rPr>
          <w:rFonts w:eastAsia="Arial"/>
        </w:rPr>
        <w:t xml:space="preserve">. </w:t>
      </w:r>
      <w:r w:rsidR="00DC4648">
        <w:rPr>
          <w:rFonts w:eastAsia="Arial"/>
          <w:lang w:val="en-GB"/>
        </w:rPr>
        <w:t>Nonetheless,</w:t>
      </w:r>
      <w:r w:rsidRPr="000142B1">
        <w:rPr>
          <w:rFonts w:eastAsia="Arial"/>
          <w:lang w:val="en-GB"/>
        </w:rPr>
        <w:t xml:space="preserve"> </w:t>
      </w:r>
      <w:r w:rsidR="00DC4648">
        <w:rPr>
          <w:rFonts w:eastAsia="Arial"/>
          <w:lang w:val="en-GB"/>
        </w:rPr>
        <w:t xml:space="preserve">the adoption of these </w:t>
      </w:r>
      <w:r w:rsidRPr="000142B1">
        <w:rPr>
          <w:rFonts w:eastAsia="Arial"/>
          <w:lang w:val="en-GB"/>
        </w:rPr>
        <w:t>technologi</w:t>
      </w:r>
      <w:r w:rsidR="00DC4648">
        <w:rPr>
          <w:rFonts w:eastAsia="Arial"/>
          <w:lang w:val="en-GB"/>
        </w:rPr>
        <w:t>es</w:t>
      </w:r>
      <w:r w:rsidRPr="000142B1">
        <w:rPr>
          <w:rFonts w:eastAsia="Arial"/>
          <w:lang w:val="en-GB"/>
        </w:rPr>
        <w:t xml:space="preserve"> </w:t>
      </w:r>
      <w:r w:rsidR="00DC4648">
        <w:rPr>
          <w:rFonts w:eastAsia="Arial"/>
          <w:lang w:val="en-GB"/>
        </w:rPr>
        <w:t>still has some major challenges</w:t>
      </w:r>
      <w:r w:rsidRPr="000142B1">
        <w:rPr>
          <w:rFonts w:eastAsia="Arial"/>
          <w:lang w:val="en-GB"/>
        </w:rPr>
        <w:t xml:space="preserve"> </w:t>
      </w:r>
      <w:r w:rsidR="00DC4648">
        <w:rPr>
          <w:rFonts w:eastAsia="Arial"/>
          <w:lang w:val="en-GB"/>
        </w:rPr>
        <w:t>for commercial use, with factors like feedstock selection, product portfolio, scaling-up, among others, as key factors</w:t>
      </w:r>
      <w:r w:rsidR="00A75E1C">
        <w:rPr>
          <w:rFonts w:eastAsia="Arial"/>
          <w:lang w:val="en-GB"/>
        </w:rPr>
        <w:t xml:space="preserve"> </w:t>
      </w:r>
      <w:r w:rsidR="00A75E1C">
        <w:rPr>
          <w:rFonts w:eastAsia="Arial"/>
          <w:lang w:val="en-GB"/>
        </w:rPr>
        <w:fldChar w:fldCharType="begin" w:fldLock="1"/>
      </w:r>
      <w:r w:rsidR="00A75E1C">
        <w:rPr>
          <w:rFonts w:eastAsia="Arial"/>
          <w:lang w:val="en-GB"/>
        </w:rPr>
        <w:instrText>ADDIN CSL_CITATION {"citationItems":[{"id":"ITEM-1","itemData":{"DOI":"10.1016/j.cscee.2023.100586","ISSN":"26660164","abstract":"Diverse biomass sources are used in advanced processes called biorefineries to create biofuels, high-value products and for industrial effluents treatment. Making a workable model for its legal execution, however, is a simple task. The issues relating to innovation and financial reasonability are the most pressing ones. The structures for gathering, storing, and harvesting feedstocks; the biorefinery conversion procedures ranging from pre-treatment, essential refining, secondary filtration, purification, item moulding, recovery and yet again utilisation of result streams. The general non-technical deployment drivers and obstacles in the fields of industrial effluent treatment such as environmental concerns, societal concerns, and legislation will be investigated. Although the complexity of treatment systems earned nearly equal high scores, high (production) costs are still seen as key deterrents to the deployment of biorefineries. Additionally deemed significant were the dearth of sustainability proof and the perception of food competitiveness. To meet the requirements of both present and future generations, it is also essential that we strike a balance between economic development and environmental protection.","author":[{"dropping-particle":"","family":"Mohammad","given":"Rania Edrees Adam","non-dropping-particle":"","parse-names":false,"suffix":""},{"dropping-particle":"","family":"Abdullahi","given":"Shehu Sa ad","non-dropping-particle":"","parse-names":false,"suffix":""},{"dropping-particle":"","family":"Muhammed","given":"Haruna Abdulbakee","non-dropping-particle":"","parse-names":false,"suffix":""},{"dropping-particle":"","family":"Musa","given":"Haruna","non-dropping-particle":"","parse-names":false,"suffix":""},{"dropping-particle":"","family":"Habibu","given":"Shehu","non-dropping-particle":"","parse-names":false,"suffix":""},{"dropping-particle":"","family":"Jagaba","given":"Ahmad Hussaini","non-dropping-particle":"","parse-names":false,"suffix":""},{"dropping-particle":"","family":"Birniwa","given":"Abdullahi Haruna","non-dropping-particle":"","parse-names":false,"suffix":""}],"container-title":"Case Studies in Chemical and Environmental Engineering","id":"ITEM-1","issue":"December 2023","issued":{"date-parts":[["2024"]]},"page":"100586","publisher":"Elsevier Ltd","title":"Recent technical and non-technical biorefinery development barriers and potential solutions for a sustainable environment: A mini review","type":"article-journal","volume":"9"},"uris":["http://www.mendeley.com/documents/?uuid=049919b9-79f6-4e51-b8d8-af346f22351e"]}],"mendeley":{"formattedCitation":"(4)","plainTextFormattedCitation":"(4)","previouslyFormattedCitation":"(4)"},"properties":{"noteIndex":0},"schema":"https://github.com/citation-style-language/schema/raw/master/csl-citation.json"}</w:instrText>
      </w:r>
      <w:r w:rsidR="00A75E1C">
        <w:rPr>
          <w:rFonts w:eastAsia="Arial"/>
          <w:lang w:val="en-GB"/>
        </w:rPr>
        <w:fldChar w:fldCharType="separate"/>
      </w:r>
      <w:r w:rsidR="00A75E1C" w:rsidRPr="00A75E1C">
        <w:rPr>
          <w:rFonts w:eastAsia="Arial"/>
          <w:noProof/>
          <w:lang w:val="en-GB"/>
        </w:rPr>
        <w:t>(4)</w:t>
      </w:r>
      <w:r w:rsidR="00A75E1C">
        <w:rPr>
          <w:rFonts w:eastAsia="Arial"/>
          <w:lang w:val="en-GB"/>
        </w:rPr>
        <w:fldChar w:fldCharType="end"/>
      </w:r>
      <w:r w:rsidR="00DC4648">
        <w:rPr>
          <w:rFonts w:eastAsia="Arial"/>
          <w:lang w:val="en-GB"/>
        </w:rPr>
        <w:t>.</w:t>
      </w:r>
    </w:p>
    <w:p w14:paraId="64503F1C" w14:textId="724E8964" w:rsidR="005C514D" w:rsidRDefault="00DC4648" w:rsidP="00DC4648">
      <w:pPr>
        <w:pStyle w:val="CETBodytext"/>
        <w:spacing w:after="240"/>
        <w:rPr>
          <w:rFonts w:eastAsia="Arial"/>
          <w:lang w:val="en-GB"/>
        </w:rPr>
      </w:pPr>
      <w:r>
        <w:rPr>
          <w:rFonts w:eastAsia="Arial"/>
          <w:lang w:val="en-GB"/>
        </w:rPr>
        <w:t xml:space="preserve">For this reason, the use of technical analysis can showcase important bottlenecks of different topologies, giving important data useful for optimizing and improve designs. In which methods, like the </w:t>
      </w:r>
      <w:r w:rsidR="006F4F05">
        <w:rPr>
          <w:rFonts w:eastAsia="Arial"/>
          <w:lang w:val="en-GB"/>
        </w:rPr>
        <w:t>water-energy-product (</w:t>
      </w:r>
      <w:r>
        <w:rPr>
          <w:rFonts w:eastAsia="Arial"/>
          <w:lang w:val="en-GB"/>
        </w:rPr>
        <w:t>WEP</w:t>
      </w:r>
      <w:r w:rsidR="006F4F05">
        <w:rPr>
          <w:rFonts w:eastAsia="Arial"/>
          <w:lang w:val="en-GB"/>
        </w:rPr>
        <w:t>)</w:t>
      </w:r>
      <w:r>
        <w:rPr>
          <w:rFonts w:eastAsia="Arial"/>
          <w:lang w:val="en-GB"/>
        </w:rPr>
        <w:t xml:space="preserve"> analysis can offer a comprehensively assessment of performance of these processes using CAPE tools, where material and energy conservation is assessed through a rigorous benchmarking</w:t>
      </w:r>
      <w:r w:rsidR="00EF16FB">
        <w:rPr>
          <w:rFonts w:eastAsia="Arial"/>
          <w:lang w:val="en-GB"/>
        </w:rPr>
        <w:t xml:space="preserve"> </w:t>
      </w:r>
      <w:r w:rsidR="00EF16FB">
        <w:rPr>
          <w:rFonts w:eastAsia="Arial"/>
          <w:lang w:val="en-GB"/>
        </w:rPr>
        <w:fldChar w:fldCharType="begin" w:fldLock="1"/>
      </w:r>
      <w:r w:rsidR="00A75E1C">
        <w:rPr>
          <w:rFonts w:eastAsia="Arial"/>
          <w:lang w:val="en-GB"/>
        </w:rPr>
        <w:instrText>ADDIN CSL_CITATION {"citationItems":[{"id":"ITEM-1","itemData":{"DOI":"10.3390/su15108096","ISSN":"2071-1050","abstract":"Recently, polyvinyl chloride (PVC) has emerged as one of the most widely used polymers on the planet due to its versatile mechanical properties and chemical resistance. Suspension polymerization is the most employed method for its production, owing to its ability to control polymer characteristics and cost-effectiveness. However, issues such as water and energy consumption and management in the process have sparked interest in researching the performance and sustainability of the process. In this study, an approach for the technical evaluation of the PVC production process by suspension is proposed, using 11 indicators related to Water, Energy and Product (WEP), based on technical parameters and process simulation for the diagnosis of the process, framed under sustainability criteria. The simulation included the purification and drying stages of the polymer, along with a monomer recirculation stage. The properties of PVC obtained through the process simulation were over 90% accurate when compared to the literature. The technical analysis found that the process has high performance in the handling of vinyl chloride monomer (VCM) and PVC, with a production yield of 99% and an index of reused unconverted material of 99%. On the other hand, there are opportunities for improvement in the process, related to water usage management, since the indicator of wastewater production was 80% and the fractional water consumption was 1.8 m3/t. Regarding energy use, the process exhibits high consumption and an energy-specific intensity of 4682 MJ/t of PVC, but it has a low overall cost due to the use of natural gas in some stages of the process.","author":[{"dropping-particle":"","family":"Aguilar-Vásquez","given":"Eduardo","non-dropping-particle":"","parse-names":false,"suffix":""},{"dropping-particle":"","family":"Ramos-Olmos","given":"Miguel","non-dropping-particle":"","parse-names":false,"suffix":""},{"dropping-particle":"","family":"González-Delgado","given":"Ángel Darío","non-dropping-particle":"","parse-names":false,"suffix":""}],"container-title":"Sustainability","id":"ITEM-1","issue":"10","issued":{"date-parts":[["2023"]]},"title":"A Joint Computer-Aided Simulation and Water-Energy-Product (WEP) Approach for Technical Evaluation of PVC Production","type":"article-journal","volume":"15"},"uris":["http://www.mendeley.com/documents/?uuid=477bbb5f-7dbb-433a-81bd-69724c07db21"]}],"mendeley":{"formattedCitation":"(5)","plainTextFormattedCitation":"(5)","previouslyFormattedCitation":"(5)"},"properties":{"noteIndex":0},"schema":"https://github.com/citation-style-language/schema/raw/master/csl-citation.json"}</w:instrText>
      </w:r>
      <w:r w:rsidR="00EF16FB">
        <w:rPr>
          <w:rFonts w:eastAsia="Arial"/>
          <w:lang w:val="en-GB"/>
        </w:rPr>
        <w:fldChar w:fldCharType="separate"/>
      </w:r>
      <w:r w:rsidR="00A75E1C" w:rsidRPr="00A75E1C">
        <w:rPr>
          <w:rFonts w:eastAsia="Arial"/>
          <w:noProof/>
          <w:lang w:val="en-GB"/>
        </w:rPr>
        <w:t>(5)</w:t>
      </w:r>
      <w:r w:rsidR="00EF16FB">
        <w:rPr>
          <w:rFonts w:eastAsia="Arial"/>
          <w:lang w:val="en-GB"/>
        </w:rPr>
        <w:fldChar w:fldCharType="end"/>
      </w:r>
      <w:r>
        <w:rPr>
          <w:rFonts w:eastAsia="Arial"/>
          <w:lang w:val="en-GB"/>
        </w:rPr>
        <w:t xml:space="preserve">. </w:t>
      </w:r>
      <w:r w:rsidR="006F4F05">
        <w:rPr>
          <w:rFonts w:eastAsia="Arial"/>
          <w:lang w:val="en-GB"/>
        </w:rPr>
        <w:t>However, the immense variety of potential topologies offer an opportunity to apply this methodology, such as Valdez-Valdes et al., where a small-scale biorefinery that produced starch, polylactic acid film and starch film, is assessed using WEP analysis, finding for these three products, good yield, energy use and water consumption, at the same time, high water production and low waste material reuse</w:t>
      </w:r>
      <w:r w:rsidR="00A75E1C">
        <w:rPr>
          <w:rFonts w:eastAsia="Arial"/>
          <w:lang w:val="en-GB"/>
        </w:rPr>
        <w:t xml:space="preserve"> </w:t>
      </w:r>
      <w:r w:rsidR="00A75E1C">
        <w:rPr>
          <w:rFonts w:eastAsia="Arial"/>
          <w:lang w:val="en-GB"/>
        </w:rPr>
        <w:fldChar w:fldCharType="begin" w:fldLock="1"/>
      </w:r>
      <w:r w:rsidR="00C74B00">
        <w:rPr>
          <w:rFonts w:eastAsia="Arial"/>
          <w:lang w:val="en-GB"/>
        </w:rPr>
        <w:instrText>ADDIN CSL_CITATION {"citationItems":[{"id":"ITEM-1","itemData":{"DOI":"10.3303/CET25117012","ISBN":"9791281206175","ISSN":"22839216","abstract":"Colombia has established itself as a significant contributor to Hass avocado production; however, the supply chain predominantly focuses on marketing the pulp, thereby underutilizing by-products, such as the seed. This situation presents environmental challenges and overlooks potential economic opportunities within bioeconomy development. This study introduces a cascade biorefinery model designed to valorize avocado seed waste from Colombia's Amazon region, transforming it into high-value products, including starch and biodegradable biofilms. The methodology employed involves process simulation using Aspen Plus, with NRTL models for the liquid phase and the Redlich-Kwong model for the vapor phase, to model separation and reaction stages accurately. The biorefinery comprises three principal modules: (i) pretreatment and wet extraction, which produces 1.92 kg/h of starch comparable in composition to commercial avocado seed flours; (ii) a starch gelatinization process with glycerol, yielding 3.76 kg/h of type 1 biofilm; and (iii) a thermochemical and biotechnological process encompassing acid hydrolysis, lactic acid fermentation, and polymerization, resulting in polylactic acid. This PLA is subsequently combined with starch to generate 3.44 kg/h of type 2 biofilm. The entire process attains a 78.34% yield based on a waste input of 27.4 kg/h, thereby demonstrating efficient biomass recovery. The principal contribution of this research lies in showing, through detailed simulation, the technical feasibility of a multistep system that integrates physical, chemical, and biotechnological processes to produce functional bioproducts from agricultural waste. Unlike fragmented approaches, this cascade biorefinery optimizes resource utilization, broadens product diversity, and minimizes waste, thereby supporting sustainability and circular economy principles.","author":[{"dropping-particle":"","family":"Alviz-Meza","given":"Anibal","non-dropping-particle":"","parse-names":false,"suffix":""},{"dropping-particle":"","family":"Valdez-Valdes","given":"Stefany A.","non-dropping-particle":"","parse-names":false,"suffix":""},{"dropping-particle":"","family":"González-Delgado","given":"Ángel Darío","non-dropping-particle":"","parse-names":false,"suffix":""}],"container-title":"Chemical Engineering Transactions ","id":"ITEM-1","issue":"May","issued":{"date-parts":[["2025"]]},"page":"67-72","title":"Computer-Aided Simulation of a Cascade Biorefinery: Case Study of the Colombian Amazon’s Hass Avocado Waste","type":"article-journal","volume":"117"},"uris":["http://www.mendeley.com/documents/?uuid=f1951427-afa9-45a0-a8f0-6c162834fbe5"]}],"mendeley":{"formattedCitation":"(6)","plainTextFormattedCitation":"(6)","previouslyFormattedCitation":"(6)"},"properties":{"noteIndex":0},"schema":"https://github.com/citation-style-language/schema/raw/master/csl-citation.json"}</w:instrText>
      </w:r>
      <w:r w:rsidR="00A75E1C">
        <w:rPr>
          <w:rFonts w:eastAsia="Arial"/>
          <w:lang w:val="en-GB"/>
        </w:rPr>
        <w:fldChar w:fldCharType="separate"/>
      </w:r>
      <w:r w:rsidR="00A75E1C" w:rsidRPr="00A75E1C">
        <w:rPr>
          <w:rFonts w:eastAsia="Arial"/>
          <w:noProof/>
          <w:lang w:val="en-GB"/>
        </w:rPr>
        <w:t>(6)</w:t>
      </w:r>
      <w:r w:rsidR="00A75E1C">
        <w:rPr>
          <w:rFonts w:eastAsia="Arial"/>
          <w:lang w:val="en-GB"/>
        </w:rPr>
        <w:fldChar w:fldCharType="end"/>
      </w:r>
      <w:r w:rsidR="006F4F05">
        <w:rPr>
          <w:rFonts w:eastAsia="Arial"/>
          <w:lang w:val="en-GB"/>
        </w:rPr>
        <w:t xml:space="preserve">. Nonetheless, other tailored processes can deliver different </w:t>
      </w:r>
      <w:r w:rsidR="005048E6">
        <w:rPr>
          <w:rFonts w:eastAsia="Arial"/>
          <w:lang w:val="en-GB"/>
        </w:rPr>
        <w:t>results. Therefore</w:t>
      </w:r>
      <w:r w:rsidR="006F4F05">
        <w:rPr>
          <w:rFonts w:eastAsia="Arial"/>
          <w:lang w:val="en-GB"/>
        </w:rPr>
        <w:t xml:space="preserve">, in this study a </w:t>
      </w:r>
      <w:r w:rsidR="008A4B41" w:rsidRPr="008A4B41">
        <w:rPr>
          <w:rFonts w:eastAsia="Arial"/>
          <w:lang w:val="en-GB"/>
        </w:rPr>
        <w:t xml:space="preserve">technical assessment </w:t>
      </w:r>
      <w:r w:rsidR="006F4F05">
        <w:rPr>
          <w:rFonts w:eastAsia="Arial"/>
          <w:lang w:val="en-GB"/>
        </w:rPr>
        <w:t xml:space="preserve">is carried out for a </w:t>
      </w:r>
      <w:r w:rsidR="008A4B41" w:rsidRPr="008A4B41">
        <w:rPr>
          <w:rFonts w:eastAsia="Arial"/>
          <w:lang w:val="en-GB"/>
        </w:rPr>
        <w:t>Hass avocado waste</w:t>
      </w:r>
      <w:r w:rsidR="005C514D">
        <w:rPr>
          <w:rFonts w:eastAsia="Arial"/>
          <w:lang w:val="en-GB"/>
        </w:rPr>
        <w:t xml:space="preserve"> </w:t>
      </w:r>
      <w:r w:rsidR="008A4B41" w:rsidRPr="008A4B41">
        <w:rPr>
          <w:rFonts w:eastAsia="Arial"/>
          <w:lang w:val="en-GB"/>
        </w:rPr>
        <w:t>cascade biorefinery</w:t>
      </w:r>
      <w:r w:rsidR="006F4F05">
        <w:rPr>
          <w:rFonts w:eastAsia="Arial"/>
          <w:lang w:val="en-GB"/>
        </w:rPr>
        <w:t xml:space="preserve"> using WEP analysis. This biorefinery produces starch, starch biofilm and a biocontrol agent</w:t>
      </w:r>
      <w:r w:rsidR="0093280E">
        <w:rPr>
          <w:rFonts w:eastAsia="Arial"/>
          <w:lang w:val="en-GB"/>
        </w:rPr>
        <w:t xml:space="preserve"> as products. The analysis is based on data obtained from </w:t>
      </w:r>
      <w:r w:rsidR="008A4B41" w:rsidRPr="008A4B41">
        <w:rPr>
          <w:rFonts w:eastAsia="Arial"/>
          <w:lang w:val="en-GB"/>
        </w:rPr>
        <w:t>computer-aided simulation</w:t>
      </w:r>
      <w:r w:rsidR="0093280E">
        <w:rPr>
          <w:rFonts w:eastAsia="Arial"/>
          <w:lang w:val="en-GB"/>
        </w:rPr>
        <w:t xml:space="preserve"> software</w:t>
      </w:r>
      <w:r w:rsidR="008A4B41" w:rsidRPr="008A4B41">
        <w:rPr>
          <w:rFonts w:eastAsia="Arial"/>
          <w:lang w:val="en-GB"/>
        </w:rPr>
        <w:t xml:space="preserve">, </w:t>
      </w:r>
      <w:r w:rsidR="0093280E">
        <w:rPr>
          <w:rFonts w:eastAsia="Arial"/>
          <w:lang w:val="en-GB"/>
        </w:rPr>
        <w:t xml:space="preserve">as </w:t>
      </w:r>
      <w:r w:rsidR="008A4B41" w:rsidRPr="008A4B41">
        <w:rPr>
          <w:rFonts w:eastAsia="Arial"/>
          <w:lang w:val="en-GB"/>
        </w:rPr>
        <w:t>the</w:t>
      </w:r>
      <w:r w:rsidR="008A4B41">
        <w:rPr>
          <w:rFonts w:eastAsia="Arial"/>
        </w:rPr>
        <w:t xml:space="preserve"> </w:t>
      </w:r>
      <w:r w:rsidR="008A4B41" w:rsidRPr="008A4B41">
        <w:rPr>
          <w:rFonts w:eastAsia="Arial"/>
          <w:lang w:val="en-GB"/>
        </w:rPr>
        <w:t xml:space="preserve">cascade </w:t>
      </w:r>
      <w:r w:rsidR="008A4B41" w:rsidRPr="008A4B41">
        <w:rPr>
          <w:rFonts w:eastAsia="Arial"/>
          <w:lang w:val="en-GB"/>
        </w:rPr>
        <w:lastRenderedPageBreak/>
        <w:t xml:space="preserve">biorefinery process was modelled to determine </w:t>
      </w:r>
      <w:r w:rsidR="0093280E">
        <w:rPr>
          <w:rFonts w:eastAsia="Arial"/>
          <w:lang w:val="en-GB"/>
        </w:rPr>
        <w:t xml:space="preserve">extended </w:t>
      </w:r>
      <w:r w:rsidR="008A4B41" w:rsidRPr="008A4B41">
        <w:rPr>
          <w:rFonts w:eastAsia="Arial"/>
          <w:lang w:val="en-GB"/>
        </w:rPr>
        <w:t>material and energy balances</w:t>
      </w:r>
      <w:r w:rsidR="0093280E">
        <w:rPr>
          <w:rFonts w:eastAsia="Arial"/>
          <w:lang w:val="en-GB"/>
        </w:rPr>
        <w:t>. From this</w:t>
      </w:r>
      <w:r w:rsidR="00FB4625">
        <w:rPr>
          <w:rFonts w:eastAsia="Arial"/>
          <w:lang w:val="en-GB"/>
        </w:rPr>
        <w:t xml:space="preserve">, </w:t>
      </w:r>
      <w:r w:rsidR="0093280E" w:rsidRPr="008A4B41">
        <w:rPr>
          <w:rFonts w:eastAsia="Arial"/>
          <w:lang w:val="en-GB"/>
        </w:rPr>
        <w:t>key performance indicators</w:t>
      </w:r>
      <w:r w:rsidR="0093280E">
        <w:rPr>
          <w:rFonts w:eastAsia="Arial"/>
          <w:lang w:val="en-GB"/>
        </w:rPr>
        <w:t xml:space="preserve"> are </w:t>
      </w:r>
      <w:r w:rsidR="008A4B41" w:rsidRPr="008A4B41">
        <w:rPr>
          <w:rFonts w:eastAsia="Arial"/>
          <w:lang w:val="en-GB"/>
        </w:rPr>
        <w:t>evaluate</w:t>
      </w:r>
      <w:r w:rsidR="0093280E">
        <w:rPr>
          <w:rFonts w:eastAsia="Arial"/>
          <w:lang w:val="en-GB"/>
        </w:rPr>
        <w:t>d</w:t>
      </w:r>
      <w:r w:rsidR="008A4B41" w:rsidRPr="008A4B41">
        <w:rPr>
          <w:rFonts w:eastAsia="Arial"/>
          <w:lang w:val="en-GB"/>
        </w:rPr>
        <w:t xml:space="preserve"> </w:t>
      </w:r>
      <w:r w:rsidR="0093280E">
        <w:rPr>
          <w:rFonts w:eastAsia="Arial"/>
          <w:lang w:val="en-GB"/>
        </w:rPr>
        <w:t xml:space="preserve">to </w:t>
      </w:r>
      <w:r w:rsidR="0093280E" w:rsidRPr="008A4B41">
        <w:rPr>
          <w:rFonts w:eastAsia="Arial"/>
          <w:lang w:val="en-GB"/>
        </w:rPr>
        <w:t xml:space="preserve">assess efficiency of </w:t>
      </w:r>
      <w:r w:rsidR="008A4B41" w:rsidRPr="008A4B41">
        <w:rPr>
          <w:rFonts w:eastAsia="Arial"/>
          <w:lang w:val="en-GB"/>
        </w:rPr>
        <w:t xml:space="preserve">resource </w:t>
      </w:r>
      <w:r w:rsidR="00225A00">
        <w:rPr>
          <w:rFonts w:eastAsia="Arial"/>
          <w:lang w:val="en-GB"/>
        </w:rPr>
        <w:t xml:space="preserve">use though a </w:t>
      </w:r>
      <w:r w:rsidR="008A4B41" w:rsidRPr="008A4B41">
        <w:rPr>
          <w:rFonts w:eastAsia="Arial"/>
          <w:lang w:val="en-GB"/>
        </w:rPr>
        <w:t>benchmark</w:t>
      </w:r>
      <w:r w:rsidR="00225A00">
        <w:rPr>
          <w:rFonts w:eastAsia="Arial"/>
          <w:lang w:val="en-GB"/>
        </w:rPr>
        <w:t xml:space="preserve"> evaluation. This analysis </w:t>
      </w:r>
      <w:r w:rsidR="008A4B41" w:rsidRPr="008A4B41">
        <w:rPr>
          <w:rFonts w:eastAsia="Arial"/>
          <w:lang w:val="en-GB"/>
        </w:rPr>
        <w:t>provid</w:t>
      </w:r>
      <w:r w:rsidR="005048E6">
        <w:rPr>
          <w:rFonts w:eastAsia="Arial"/>
          <w:lang w:val="en-GB"/>
        </w:rPr>
        <w:t>es</w:t>
      </w:r>
      <w:r w:rsidR="008A4B41" w:rsidRPr="008A4B41">
        <w:rPr>
          <w:rFonts w:eastAsia="Arial"/>
          <w:lang w:val="en-GB"/>
        </w:rPr>
        <w:t xml:space="preserve"> valuable insights into the feasibility of implementing cascade biorefineries for avocado waste </w:t>
      </w:r>
      <w:r w:rsidR="005048E6" w:rsidRPr="008A4B41">
        <w:rPr>
          <w:rFonts w:eastAsia="Arial"/>
          <w:lang w:val="en-GB"/>
        </w:rPr>
        <w:t>valorisation</w:t>
      </w:r>
      <w:r w:rsidR="00225A00">
        <w:rPr>
          <w:rFonts w:eastAsia="Arial"/>
          <w:lang w:val="en-GB"/>
        </w:rPr>
        <w:t xml:space="preserve"> and </w:t>
      </w:r>
      <w:r w:rsidR="005048E6">
        <w:rPr>
          <w:rFonts w:eastAsia="Arial"/>
          <w:lang w:val="en-GB"/>
        </w:rPr>
        <w:t xml:space="preserve">allows the </w:t>
      </w:r>
      <w:r w:rsidR="00433B11" w:rsidRPr="008A4B41">
        <w:rPr>
          <w:rFonts w:eastAsia="Arial"/>
          <w:lang w:val="en-GB"/>
        </w:rPr>
        <w:t>identif</w:t>
      </w:r>
      <w:r w:rsidR="005048E6">
        <w:rPr>
          <w:rFonts w:eastAsia="Arial"/>
          <w:lang w:val="en-GB"/>
        </w:rPr>
        <w:t>ication</w:t>
      </w:r>
      <w:r w:rsidR="00225A00">
        <w:rPr>
          <w:rFonts w:eastAsia="Arial"/>
          <w:lang w:val="en-GB"/>
        </w:rPr>
        <w:t xml:space="preserve"> </w:t>
      </w:r>
      <w:r w:rsidR="005048E6">
        <w:rPr>
          <w:rFonts w:eastAsia="Arial"/>
          <w:lang w:val="en-GB"/>
        </w:rPr>
        <w:t xml:space="preserve">of </w:t>
      </w:r>
      <w:r w:rsidR="00433B11" w:rsidRPr="008A4B41">
        <w:rPr>
          <w:rFonts w:eastAsia="Arial"/>
          <w:lang w:val="en-GB"/>
        </w:rPr>
        <w:t>strategies to enhance sustainability.</w:t>
      </w:r>
    </w:p>
    <w:p w14:paraId="2778529C" w14:textId="1FEDE15A" w:rsidR="005F29D3" w:rsidRDefault="0051363B" w:rsidP="00A12FEB">
      <w:pPr>
        <w:pStyle w:val="CETHeading1"/>
        <w:numPr>
          <w:ilvl w:val="0"/>
          <w:numId w:val="16"/>
        </w:numPr>
      </w:pPr>
      <w:r w:rsidRPr="00A12FEB">
        <w:rPr>
          <w:rFonts w:eastAsia="Arial"/>
        </w:rPr>
        <w:t>Materials and methods</w:t>
      </w:r>
    </w:p>
    <w:p w14:paraId="27EB050F" w14:textId="05D92591" w:rsidR="005C5E5B" w:rsidRPr="005C5E5B" w:rsidRDefault="005C5E5B" w:rsidP="00A12FEB">
      <w:pPr>
        <w:pStyle w:val="CETheadingx"/>
        <w:numPr>
          <w:ilvl w:val="1"/>
          <w:numId w:val="19"/>
        </w:numPr>
        <w:rPr>
          <w:rFonts w:eastAsia="Arial"/>
        </w:rPr>
      </w:pPr>
      <w:r w:rsidRPr="005C5E5B">
        <w:rPr>
          <w:rFonts w:eastAsia="Arial"/>
        </w:rPr>
        <w:t>Process description</w:t>
      </w:r>
    </w:p>
    <w:p w14:paraId="030B3838" w14:textId="73184E13" w:rsidR="00681282" w:rsidRPr="00681282" w:rsidRDefault="00681282" w:rsidP="00584F0F">
      <w:pPr>
        <w:pBdr>
          <w:top w:val="nil"/>
          <w:left w:val="nil"/>
          <w:bottom w:val="nil"/>
          <w:right w:val="nil"/>
          <w:between w:val="nil"/>
        </w:pBdr>
        <w:spacing w:after="240"/>
        <w:rPr>
          <w:rFonts w:eastAsia="Arial" w:cs="Arial"/>
          <w:color w:val="000000"/>
          <w:szCs w:val="18"/>
          <w:lang w:val="en-US"/>
        </w:rPr>
      </w:pPr>
      <w:r w:rsidRPr="00681282">
        <w:rPr>
          <w:rFonts w:eastAsia="Arial" w:cs="Arial"/>
          <w:color w:val="000000"/>
          <w:szCs w:val="18"/>
          <w:lang w:val="en-US"/>
        </w:rPr>
        <w:t>Figure 1 presents the cascade biorefinery for avocado waste, illustrating the units and material flows. The system consists of four main subprocesses: (</w:t>
      </w:r>
      <w:proofErr w:type="spellStart"/>
      <w:r w:rsidRPr="00681282">
        <w:rPr>
          <w:rFonts w:eastAsia="Arial" w:cs="Arial"/>
          <w:color w:val="000000"/>
          <w:szCs w:val="18"/>
          <w:lang w:val="en-US"/>
        </w:rPr>
        <w:t>i</w:t>
      </w:r>
      <w:proofErr w:type="spellEnd"/>
      <w:r w:rsidRPr="00681282">
        <w:rPr>
          <w:rFonts w:eastAsia="Arial" w:cs="Arial"/>
          <w:color w:val="000000"/>
          <w:szCs w:val="18"/>
          <w:lang w:val="en-US"/>
        </w:rPr>
        <w:t>) seed conditioning, (ii) starch production, (iii) biopolymeric film synthesis, and (iv) biocontrol agent production.</w:t>
      </w:r>
      <w:r w:rsidR="00584F0F">
        <w:rPr>
          <w:rFonts w:eastAsia="Arial" w:cs="Arial"/>
          <w:color w:val="000000"/>
          <w:szCs w:val="18"/>
          <w:lang w:val="en-US"/>
        </w:rPr>
        <w:t xml:space="preserve"> </w:t>
      </w:r>
      <w:r w:rsidRPr="00681282">
        <w:rPr>
          <w:rFonts w:eastAsia="Arial" w:cs="Arial"/>
          <w:color w:val="000000"/>
          <w:szCs w:val="18"/>
          <w:lang w:val="en-US"/>
        </w:rPr>
        <w:t>Avocado residues enter Section 1 under ambient conditions (25 °C, 1 bar). Seeds are washed and cut into pieces (~1.5 cm) and split 1:1 between Sections 2 and 5. In Section 2, seeds contact 0.05% sodium metabisulfite at ambient temperature, are milled to 80 µm, filtered to remove coarse solids, decanted, washed, and centrifuged. The wet starch paste is hot-air dried to &lt;7% moisture and split 50:50, one part as final starch product.</w:t>
      </w:r>
    </w:p>
    <w:p w14:paraId="150B3793" w14:textId="34BAC35C" w:rsidR="00681282" w:rsidRPr="00681282" w:rsidRDefault="00681282" w:rsidP="00584F0F">
      <w:pPr>
        <w:pBdr>
          <w:top w:val="nil"/>
          <w:left w:val="nil"/>
          <w:bottom w:val="nil"/>
          <w:right w:val="nil"/>
          <w:between w:val="nil"/>
        </w:pBdr>
        <w:spacing w:after="240"/>
        <w:rPr>
          <w:rFonts w:eastAsia="Arial" w:cs="Arial"/>
          <w:color w:val="000000"/>
          <w:szCs w:val="18"/>
          <w:lang w:val="en-US"/>
        </w:rPr>
      </w:pPr>
      <w:r w:rsidRPr="00681282">
        <w:rPr>
          <w:rFonts w:eastAsia="Arial" w:cs="Arial"/>
          <w:color w:val="000000"/>
          <w:szCs w:val="18"/>
          <w:lang w:val="en-US"/>
        </w:rPr>
        <w:t>The other starch portion moves to Section 3, gelatinized at 80 °C with water, and mixed with PVA and glycerol. Filtration residues undergo acetone extraction, filtered and concentrated, then added to the biopolymer for antioxidant and antimicrobial properties. The mixture is dried at 70 °C to form the starch-based biopolymer film.</w:t>
      </w:r>
      <w:r w:rsidR="00584F0F">
        <w:rPr>
          <w:rFonts w:eastAsia="Arial" w:cs="Arial"/>
          <w:color w:val="000000"/>
          <w:szCs w:val="18"/>
          <w:lang w:val="en-US"/>
        </w:rPr>
        <w:t xml:space="preserve"> </w:t>
      </w:r>
      <w:r w:rsidRPr="00681282">
        <w:rPr>
          <w:rFonts w:eastAsia="Arial" w:cs="Arial"/>
          <w:color w:val="000000"/>
          <w:szCs w:val="18"/>
          <w:lang w:val="en-US"/>
        </w:rPr>
        <w:t>In Section 4, pretreated seeds are freeze-dried to remove ~90% water, ground, and extracted with ethanol to isolate bioactive compounds. The liquid phase is filtered and concentrated via vacuum evaporation, removing up to 90% ethanol. The dry bioactive paste is emulsified with maltodextrin and gum arabic, ethanol is added for agglomeration, and the mixture is spray-dried to obtain the final biocontrol agent.</w:t>
      </w:r>
    </w:p>
    <w:p w14:paraId="15A5E8FF" w14:textId="68B579B6" w:rsidR="005C5E5B" w:rsidRDefault="00681282" w:rsidP="005C5E5B">
      <w:pPr>
        <w:pBdr>
          <w:top w:val="nil"/>
          <w:left w:val="nil"/>
          <w:bottom w:val="nil"/>
          <w:right w:val="nil"/>
          <w:between w:val="nil"/>
        </w:pBdr>
        <w:rPr>
          <w:rFonts w:eastAsia="Arial" w:cs="Arial"/>
          <w:color w:val="000000"/>
          <w:szCs w:val="18"/>
          <w:lang w:val="es-CO"/>
        </w:rPr>
      </w:pPr>
      <w:r w:rsidRPr="0020508E">
        <w:rPr>
          <w:noProof/>
        </w:rPr>
        <w:drawing>
          <wp:inline distT="0" distB="0" distL="0" distR="0" wp14:anchorId="53BB2833" wp14:editId="0C2A378A">
            <wp:extent cx="3550243" cy="1813432"/>
            <wp:effectExtent l="19050" t="19050" r="12700" b="15875"/>
            <wp:docPr id="172038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7678" cy="1822337"/>
                    </a:xfrm>
                    <a:prstGeom prst="rect">
                      <a:avLst/>
                    </a:prstGeom>
                    <a:noFill/>
                    <a:ln>
                      <a:solidFill>
                        <a:schemeClr val="tx1"/>
                      </a:solidFill>
                    </a:ln>
                  </pic:spPr>
                </pic:pic>
              </a:graphicData>
            </a:graphic>
          </wp:inline>
        </w:drawing>
      </w:r>
    </w:p>
    <w:p w14:paraId="076BDE8D" w14:textId="26D70BDE" w:rsidR="000A0076" w:rsidRDefault="00385BE2" w:rsidP="00316354">
      <w:pPr>
        <w:rPr>
          <w:i/>
          <w:iCs/>
          <w:lang w:val="en-US"/>
        </w:rPr>
      </w:pPr>
      <w:r w:rsidRPr="003F2768">
        <w:rPr>
          <w:rFonts w:eastAsia="Arial"/>
          <w:b/>
          <w:bCs/>
          <w:i/>
          <w:iCs/>
          <w:lang w:val="en-US"/>
        </w:rPr>
        <w:t xml:space="preserve">Figure </w:t>
      </w:r>
      <w:r w:rsidR="00651C37" w:rsidRPr="003F2768">
        <w:rPr>
          <w:rFonts w:eastAsia="Arial"/>
          <w:b/>
          <w:bCs/>
          <w:i/>
          <w:iCs/>
          <w:lang w:val="en-US"/>
        </w:rPr>
        <w:t>1</w:t>
      </w:r>
      <w:r w:rsidRPr="003F2768">
        <w:rPr>
          <w:rFonts w:eastAsia="Arial"/>
          <w:b/>
          <w:bCs/>
          <w:i/>
          <w:iCs/>
          <w:lang w:val="en-US"/>
        </w:rPr>
        <w:t>.</w:t>
      </w:r>
      <w:r w:rsidRPr="003F2768">
        <w:rPr>
          <w:rFonts w:eastAsia="Arial"/>
          <w:i/>
          <w:iCs/>
          <w:lang w:val="en-US"/>
        </w:rPr>
        <w:t xml:space="preserve"> </w:t>
      </w:r>
      <w:r w:rsidR="00316354" w:rsidRPr="00427450">
        <w:rPr>
          <w:i/>
          <w:iCs/>
          <w:lang w:val="en-US"/>
        </w:rPr>
        <w:t>Process Flow Diagram of the Hass Avocado Waste Cascade Biorefinery.</w:t>
      </w:r>
    </w:p>
    <w:p w14:paraId="407BABCB" w14:textId="664C2C0A" w:rsidR="005C5E5B" w:rsidRPr="00E86B7B" w:rsidRDefault="00AE79C2" w:rsidP="00E86B7B">
      <w:pPr>
        <w:spacing w:before="240"/>
      </w:pPr>
      <w:r>
        <w:rPr>
          <w:i/>
          <w:iCs/>
          <w:highlight w:val="yellow"/>
        </w:rPr>
        <w:tab/>
      </w:r>
      <w:r w:rsidR="00E86B7B" w:rsidRPr="00E86B7B">
        <w:t>The simulation was carried in Aspen Plus® V15, as suggested by Alviz-Meza et al., with Non-Random Two- Liquid (NRTL) model and Redlich-Kwong (RK) equation of state selected as thermodynamic package for liquid and vapor phase behaviour. Furthermore, unit models and operating conditions, were determined based on experimental data and literature values. Lastly, the same raw material input was set at 2645.4 tons per year, corresponding to 50 % of the estimated avocado waste availability in the selected region</w:t>
      </w:r>
      <w:r w:rsidR="00E86B7B" w:rsidRPr="00E86B7B">
        <w:t xml:space="preserve"> </w:t>
      </w:r>
      <w:r w:rsidR="00E86B7B" w:rsidRPr="00E86B7B">
        <w:fldChar w:fldCharType="begin" w:fldLock="1"/>
      </w:r>
      <w:r w:rsidR="00A75E1C">
        <w:instrText>ADDIN CSL_CITATION {"citationItems":[{"id":"ITEM-1","itemData":{"DOI":"10.3303/CET25117012","ISBN":"9791281206175","ISSN":"22839216","abstract":"Colombia has established itself as a significant contributor to Hass avocado production; however, the supply chain predominantly focuses on marketing the pulp, thereby underutilizing by-products, such as the seed. This situation presents environmental challenges and overlooks potential economic opportunities within bioeconomy development. This study introduces a cascade biorefinery model designed to valorize avocado seed waste from Colombia's Amazon region, transforming it into high-value products, including starch and biodegradable biofilms. The methodology employed involves process simulation using Aspen Plus, with NRTL models for the liquid phase and the Redlich-Kwong model for the vapor phase, to model separation and reaction stages accurately. The biorefinery comprises three principal modules: (i) pretreatment and wet extraction, which produces 1.92 kg/h of starch comparable in composition to commercial avocado seed flours; (ii) a starch gelatinization process with glycerol, yielding 3.76 kg/h of type 1 biofilm; and (iii) a thermochemical and biotechnological process encompassing acid hydrolysis, lactic acid fermentation, and polymerization, resulting in polylactic acid. This PLA is subsequently combined with starch to generate 3.44 kg/h of type 2 biofilm. The entire process attains a 78.34% yield based on a waste input of 27.4 kg/h, thereby demonstrating efficient biomass recovery. The principal contribution of this research lies in showing, through detailed simulation, the technical feasibility of a multistep system that integrates physical, chemical, and biotechnological processes to produce functional bioproducts from agricultural waste. Unlike fragmented approaches, this cascade biorefinery optimizes resource utilization, broadens product diversity, and minimizes waste, thereby supporting sustainability and circular economy principles.","author":[{"dropping-particle":"","family":"Alviz-Meza","given":"Anibal","non-dropping-particle":"","parse-names":false,"suffix":""},{"dropping-particle":"","family":"Valdez-Valdes","given":"Stefany A.","non-dropping-particle":"","parse-names":false,"suffix":""},{"dropping-particle":"","family":"González-Delgado","given":"Ángel Darío","non-dropping-particle":"","parse-names":false,"suffix":""}],"container-title":"Chemical Engineering Transactions ","id":"ITEM-1","issue":"May","issued":{"date-parts":[["2025"]]},"page":"67-72","title":"Computer-Aided Simulation of a Cascade Biorefinery: Case Study of the Colombian Amazon’s Hass Avocado Waste","type":"article-journal","volume":"117"},"uris":["http://www.mendeley.com/documents/?uuid=f1951427-afa9-45a0-a8f0-6c162834fbe5"]}],"mendeley":{"formattedCitation":"(6)","plainTextFormattedCitation":"(6)","previouslyFormattedCitation":"(6)"},"properties":{"noteIndex":0},"schema":"https://github.com/citation-style-language/schema/raw/master/csl-citation.json"}</w:instrText>
      </w:r>
      <w:r w:rsidR="00E86B7B" w:rsidRPr="00E86B7B">
        <w:fldChar w:fldCharType="separate"/>
      </w:r>
      <w:r w:rsidR="00A75E1C" w:rsidRPr="00A75E1C">
        <w:rPr>
          <w:noProof/>
        </w:rPr>
        <w:t>(6)</w:t>
      </w:r>
      <w:r w:rsidR="00E86B7B" w:rsidRPr="00E86B7B">
        <w:fldChar w:fldCharType="end"/>
      </w:r>
      <w:r w:rsidR="00E86B7B" w:rsidRPr="00E86B7B">
        <w:t>.</w:t>
      </w:r>
    </w:p>
    <w:p w14:paraId="6F0915E5" w14:textId="77777777" w:rsidR="00E86B7B" w:rsidRPr="005C5E5B" w:rsidRDefault="00E86B7B" w:rsidP="00E86B7B">
      <w:pPr>
        <w:spacing w:before="240"/>
        <w:rPr>
          <w:rFonts w:eastAsia="Arial" w:cs="Arial"/>
          <w:b/>
          <w:bCs/>
          <w:vanish/>
          <w:color w:val="000000"/>
          <w:szCs w:val="18"/>
          <w:lang w:val="en-US"/>
        </w:rPr>
      </w:pPr>
    </w:p>
    <w:p w14:paraId="68101012" w14:textId="77777777" w:rsidR="005C5E5B" w:rsidRPr="005C5E5B" w:rsidRDefault="005C5E5B" w:rsidP="005C5E5B">
      <w:pPr>
        <w:pStyle w:val="ListParagraph"/>
        <w:numPr>
          <w:ilvl w:val="0"/>
          <w:numId w:val="15"/>
        </w:numPr>
        <w:pBdr>
          <w:top w:val="nil"/>
          <w:left w:val="nil"/>
          <w:bottom w:val="nil"/>
          <w:right w:val="nil"/>
          <w:between w:val="nil"/>
        </w:pBdr>
        <w:contextualSpacing w:val="0"/>
        <w:rPr>
          <w:rFonts w:eastAsia="Arial" w:cs="Arial"/>
          <w:b/>
          <w:bCs/>
          <w:vanish/>
          <w:color w:val="000000"/>
          <w:szCs w:val="18"/>
          <w:lang w:val="en-US"/>
        </w:rPr>
      </w:pPr>
    </w:p>
    <w:p w14:paraId="401DD997" w14:textId="77777777" w:rsidR="005C5E5B" w:rsidRPr="005C5E5B" w:rsidRDefault="005C5E5B" w:rsidP="005C5E5B">
      <w:pPr>
        <w:pStyle w:val="ListParagraph"/>
        <w:numPr>
          <w:ilvl w:val="1"/>
          <w:numId w:val="15"/>
        </w:numPr>
        <w:pBdr>
          <w:top w:val="nil"/>
          <w:left w:val="nil"/>
          <w:bottom w:val="nil"/>
          <w:right w:val="nil"/>
          <w:between w:val="nil"/>
        </w:pBdr>
        <w:contextualSpacing w:val="0"/>
        <w:rPr>
          <w:rFonts w:eastAsia="Arial" w:cs="Arial"/>
          <w:b/>
          <w:bCs/>
          <w:vanish/>
          <w:color w:val="000000"/>
          <w:szCs w:val="18"/>
          <w:lang w:val="en-US"/>
        </w:rPr>
      </w:pPr>
    </w:p>
    <w:p w14:paraId="18E8484B" w14:textId="4D0A8D48" w:rsidR="005C5E5B" w:rsidRDefault="00FE07B5" w:rsidP="00A12FEB">
      <w:pPr>
        <w:pStyle w:val="CETheadingx"/>
        <w:numPr>
          <w:ilvl w:val="1"/>
          <w:numId w:val="19"/>
        </w:numPr>
        <w:rPr>
          <w:rFonts w:eastAsia="Arial"/>
        </w:rPr>
      </w:pPr>
      <w:r w:rsidRPr="00FE07B5">
        <w:rPr>
          <w:rFonts w:eastAsia="Arial"/>
          <w:lang w:val="en-GB"/>
        </w:rPr>
        <w:t xml:space="preserve">Water-Energy-Product (WEP) Technical Assessment </w:t>
      </w:r>
      <w:r w:rsidR="005C5E5B" w:rsidRPr="00FE07B5">
        <w:rPr>
          <w:rFonts w:eastAsia="Arial"/>
        </w:rPr>
        <w:t xml:space="preserve"> </w:t>
      </w:r>
    </w:p>
    <w:p w14:paraId="37B35F3A" w14:textId="6ABB193A" w:rsidR="0061250D" w:rsidRPr="00D930B9" w:rsidRDefault="0061250D" w:rsidP="0061250D">
      <w:pPr>
        <w:pStyle w:val="CETBodytext"/>
        <w:spacing w:after="240"/>
        <w:rPr>
          <w:rFonts w:eastAsia="Arial"/>
          <w:lang w:val="en-GB"/>
        </w:rPr>
      </w:pPr>
      <w:r w:rsidRPr="00D930B9">
        <w:rPr>
          <w:rFonts w:eastAsia="Arial"/>
          <w:lang w:val="en-GB"/>
        </w:rPr>
        <w:t>In table</w:t>
      </w:r>
      <w:r w:rsidR="00E86B7B" w:rsidRPr="00D930B9">
        <w:rPr>
          <w:rFonts w:eastAsia="Arial"/>
          <w:lang w:val="en-GB"/>
        </w:rPr>
        <w:t xml:space="preserve"> 1 the metrics used to assess process technical performance are shown. The WEP analysis is based on a “big picture first, details latter” approach in which a set of process parameters are recollected an assessed using a benchmarking framework (best-worst case scenarios). The indicators are considered to provide comprehensive insights of the process energy and mass utilization (raw materials, water and product)</w:t>
      </w:r>
      <w:r w:rsidR="00525A5C">
        <w:rPr>
          <w:rFonts w:eastAsia="Arial"/>
          <w:lang w:val="en-GB"/>
        </w:rPr>
        <w:t xml:space="preserve"> </w:t>
      </w:r>
      <w:r w:rsidR="00525A5C">
        <w:rPr>
          <w:rFonts w:eastAsia="Arial"/>
          <w:lang w:val="en-GB"/>
        </w:rPr>
        <w:fldChar w:fldCharType="begin" w:fldLock="1"/>
      </w:r>
      <w:r w:rsidR="00A75E1C">
        <w:rPr>
          <w:rFonts w:eastAsia="Arial"/>
          <w:lang w:val="en-GB"/>
        </w:rPr>
        <w:instrText>ADDIN CSL_CITATION {"citationItems":[{"id":"ITEM-1","itemData":{"DOI":"10.3390/su15108096","ISSN":"2071-1050","abstract":"Recently, polyvinyl chloride (PVC) has emerged as one of the most widely used polymers on the planet due to its versatile mechanical properties and chemical resistance. Suspension polymerization is the most employed method for its production, owing to its ability to control polymer characteristics and cost-effectiveness. However, issues such as water and energy consumption and management in the process have sparked interest in researching the performance and sustainability of the process. In this study, an approach for the technical evaluation of the PVC production process by suspension is proposed, using 11 indicators related to Water, Energy and Product (WEP), based on technical parameters and process simulation for the diagnosis of the process, framed under sustainability criteria. The simulation included the purification and drying stages of the polymer, along with a monomer recirculation stage. The properties of PVC obtained through the process simulation were over 90% accurate when compared to the literature. The technical analysis found that the process has high performance in the handling of vinyl chloride monomer (VCM) and PVC, with a production yield of 99% and an index of reused unconverted material of 99%. On the other hand, there are opportunities for improvement in the process, related to water usage management, since the indicator of wastewater production was 80% and the fractional water consumption was 1.8 m3/t. Regarding energy use, the process exhibits high consumption and an energy-specific intensity of 4682 MJ/t of PVC, but it has a low overall cost due to the use of natural gas in some stages of the process.","author":[{"dropping-particle":"","family":"Aguilar-Vásquez","given":"Eduardo","non-dropping-particle":"","parse-names":false,"suffix":""},{"dropping-particle":"","family":"Ramos-Olmos","given":"Miguel","non-dropping-particle":"","parse-names":false,"suffix":""},{"dropping-particle":"","family":"González-Delgado","given":"Ángel Darío","non-dropping-particle":"","parse-names":false,"suffix":""}],"container-title":"Sustainability","id":"ITEM-1","issue":"10","issued":{"date-parts":[["2023"]]},"title":"A Joint Computer-Aided Simulation and Water-Energy-Product (WEP) Approach for Technical Evaluation of PVC Production","type":"article-journal","volume":"15"},"uris":["http://www.mendeley.com/documents/?uuid=477bbb5f-7dbb-433a-81bd-69724c07db21"]}],"mendeley":{"formattedCitation":"(5)","plainTextFormattedCitation":"(5)","previouslyFormattedCitation":"(5)"},"properties":{"noteIndex":0},"schema":"https://github.com/citation-style-language/schema/raw/master/csl-citation.json"}</w:instrText>
      </w:r>
      <w:r w:rsidR="00525A5C">
        <w:rPr>
          <w:rFonts w:eastAsia="Arial"/>
          <w:lang w:val="en-GB"/>
        </w:rPr>
        <w:fldChar w:fldCharType="separate"/>
      </w:r>
      <w:r w:rsidR="00A75E1C" w:rsidRPr="00A75E1C">
        <w:rPr>
          <w:rFonts w:eastAsia="Arial"/>
          <w:noProof/>
          <w:lang w:val="en-GB"/>
        </w:rPr>
        <w:t>(5)</w:t>
      </w:r>
      <w:r w:rsidR="00525A5C">
        <w:rPr>
          <w:rFonts w:eastAsia="Arial"/>
          <w:lang w:val="en-GB"/>
        </w:rPr>
        <w:fldChar w:fldCharType="end"/>
      </w:r>
      <w:r w:rsidR="00E86B7B" w:rsidRPr="00D930B9">
        <w:rPr>
          <w:rFonts w:eastAsia="Arial"/>
          <w:lang w:val="en-GB"/>
        </w:rPr>
        <w:t xml:space="preserve">. Furthermore, can be used alongside process integration techniques as it showcases the global handling of resources that can </w:t>
      </w:r>
      <w:r w:rsidR="00C74B00">
        <w:rPr>
          <w:rFonts w:eastAsia="Arial"/>
          <w:lang w:val="en-GB"/>
        </w:rPr>
        <w:t xml:space="preserve">be </w:t>
      </w:r>
      <w:r w:rsidR="00E86B7B" w:rsidRPr="00D930B9">
        <w:rPr>
          <w:rFonts w:eastAsia="Arial"/>
          <w:lang w:val="en-GB"/>
        </w:rPr>
        <w:t>potentially optimized using these methods (mass, energy and properties)</w:t>
      </w:r>
      <w:r w:rsidR="00C74B00">
        <w:rPr>
          <w:rFonts w:eastAsia="Arial"/>
          <w:lang w:val="en-GB"/>
        </w:rPr>
        <w:t xml:space="preserve"> </w:t>
      </w:r>
      <w:r w:rsidR="00C74B00">
        <w:rPr>
          <w:rFonts w:eastAsia="Arial"/>
          <w:lang w:val="en-GB"/>
        </w:rPr>
        <w:fldChar w:fldCharType="begin" w:fldLock="1"/>
      </w:r>
      <w:r w:rsidR="006E752B">
        <w:rPr>
          <w:rFonts w:eastAsia="Arial"/>
          <w:lang w:val="en-GB"/>
        </w:rPr>
        <w:instrText>ADDIN CSL_CITATION {"citationItems":[{"id":"ITEM-1","itemData":{"DOI":"10.3390/pr12010091","ISSN":"22279717","abstract":"Due to the growth in the consumption of avocado in recent years, the amount of waste caused by avocado peel and seed has increased. Avocado waste can be transformed into valuable products such as energy, biofuels, and biological products using integrated processes in a biorefinery. This paper considers the detailed modeling, simulation, and optimization of a biorefinery for the production of phenolic compounds, bioethanol, biological xylitol, syngas, and electrical power from avocado seed and peel, using Aspen Plus in equation-oriented mode as a process simulation tool. For a biorefinery in nominal conditions, it is possible to achieve a gross profit of approximately (Formula presented.) USD/year for capital costs of USD (Formula presented.), while the combined effect of process optimization and heat integration allows reaching a gross profit of (Formula presented.) USD/year for capital costs of USD (Formula presented.). These results of the optimized plant show its potential to take advantage of avocado seed and peel in a profitable and sustainable way. This detailed equation-based model paves the way for superstructure optimization of a biorefinery for avocado waste processing.","author":[{"dropping-particle":"","family":"Sousa","given":"Daniel","non-dropping-particle":"","parse-names":false,"suffix":""},{"dropping-particle":"","family":"Rodrigues","given":"Diogo","non-dropping-particle":"","parse-names":false,"suffix":""},{"dropping-particle":"","family":"Castro","given":"Pedro M.","non-dropping-particle":"","parse-names":false,"suffix":""},{"dropping-particle":"","family":"Matos","given":"Henrique A.","non-dropping-particle":"","parse-names":false,"suffix":""}],"container-title":"Processes","id":"ITEM-1","issue":"1","issued":{"date-parts":[["2024"]]},"page":"1-18","title":"Equation-Oriented Modeling and Optimization of a Biorefinery Based on Avocado Waste","type":"article-journal","volume":"12"},"uris":["http://www.mendeley.com/documents/?uuid=16e085d0-0cd0-4c08-b78f-da884e637b3d"]}],"mendeley":{"formattedCitation":"(7)","plainTextFormattedCitation":"(7)","previouslyFormattedCitation":"(7)"},"properties":{"noteIndex":0},"schema":"https://github.com/citation-style-language/schema/raw/master/csl-citation.json"}</w:instrText>
      </w:r>
      <w:r w:rsidR="00C74B00">
        <w:rPr>
          <w:rFonts w:eastAsia="Arial"/>
          <w:lang w:val="en-GB"/>
        </w:rPr>
        <w:fldChar w:fldCharType="separate"/>
      </w:r>
      <w:r w:rsidR="00C74B00" w:rsidRPr="00C74B00">
        <w:rPr>
          <w:rFonts w:eastAsia="Arial"/>
          <w:noProof/>
          <w:lang w:val="en-GB"/>
        </w:rPr>
        <w:t>(7)</w:t>
      </w:r>
      <w:r w:rsidR="00C74B00">
        <w:rPr>
          <w:rFonts w:eastAsia="Arial"/>
          <w:lang w:val="en-GB"/>
        </w:rPr>
        <w:fldChar w:fldCharType="end"/>
      </w:r>
      <w:r w:rsidR="00E86B7B" w:rsidRPr="00D930B9">
        <w:rPr>
          <w:rFonts w:eastAsia="Arial"/>
          <w:lang w:val="en-GB"/>
        </w:rPr>
        <w:t>. For benchmarking, a Min-Max mathematical method is used to quantify efficiency of each of these metrics, where both min and max scenarios are considered or assumed based on data find in literature and achievable targets.</w:t>
      </w:r>
    </w:p>
    <w:p w14:paraId="7146E635" w14:textId="2A2A6C48" w:rsidR="0061250D" w:rsidRPr="001E024F" w:rsidRDefault="0061250D" w:rsidP="00513E61">
      <w:pPr>
        <w:pStyle w:val="CETBodytext"/>
        <w:rPr>
          <w:rFonts w:eastAsia="Arial"/>
          <w:b/>
          <w:bCs/>
          <w:i/>
          <w:iCs/>
          <w:lang w:val="en-GB"/>
        </w:rPr>
      </w:pPr>
      <w:r w:rsidRPr="001E024F">
        <w:rPr>
          <w:rFonts w:eastAsia="Arial"/>
          <w:b/>
          <w:bCs/>
          <w:i/>
          <w:iCs/>
          <w:lang w:val="en-GB"/>
        </w:rPr>
        <w:t xml:space="preserve">Table 1. </w:t>
      </w:r>
      <w:r w:rsidR="001E024F" w:rsidRPr="001E024F">
        <w:rPr>
          <w:rFonts w:eastAsia="Arial"/>
          <w:i/>
          <w:iCs/>
          <w:lang w:val="en-GB"/>
        </w:rPr>
        <w:t xml:space="preserve">Technical </w:t>
      </w:r>
      <w:r w:rsidR="000731B1">
        <w:rPr>
          <w:rFonts w:eastAsia="Arial"/>
          <w:i/>
          <w:iCs/>
          <w:lang w:val="en-GB"/>
        </w:rPr>
        <w:t xml:space="preserve">WEP </w:t>
      </w:r>
      <w:r w:rsidR="001E024F" w:rsidRPr="001E024F">
        <w:rPr>
          <w:rFonts w:eastAsia="Arial"/>
          <w:i/>
          <w:iCs/>
          <w:lang w:val="en-GB"/>
        </w:rPr>
        <w:t>indicators, descriptions and equations.</w:t>
      </w:r>
    </w:p>
    <w:tbl>
      <w:tblPr>
        <w:tblW w:w="11169" w:type="dxa"/>
        <w:jc w:val="center"/>
        <w:tblBorders>
          <w:top w:val="single" w:sz="12" w:space="0" w:color="008000"/>
          <w:bottom w:val="single" w:sz="12" w:space="0" w:color="008000"/>
        </w:tblBorders>
        <w:tblLayout w:type="fixed"/>
        <w:tblLook w:val="0000" w:firstRow="0" w:lastRow="0" w:firstColumn="0" w:lastColumn="0" w:noHBand="0" w:noVBand="0"/>
      </w:tblPr>
      <w:tblGrid>
        <w:gridCol w:w="2160"/>
        <w:gridCol w:w="3600"/>
        <w:gridCol w:w="5409"/>
      </w:tblGrid>
      <w:tr w:rsidR="00B7256C" w:rsidRPr="00B7256C" w14:paraId="24A41378" w14:textId="77777777" w:rsidTr="000731B1">
        <w:trPr>
          <w:trHeight w:val="460"/>
          <w:jc w:val="center"/>
        </w:trPr>
        <w:tc>
          <w:tcPr>
            <w:tcW w:w="2160" w:type="dxa"/>
            <w:tcBorders>
              <w:top w:val="single" w:sz="12" w:space="0" w:color="008000"/>
              <w:bottom w:val="single" w:sz="6" w:space="0" w:color="008000"/>
            </w:tcBorders>
            <w:shd w:val="clear" w:color="auto" w:fill="FFFFFF"/>
            <w:vAlign w:val="center"/>
          </w:tcPr>
          <w:p w14:paraId="1C6C6250" w14:textId="72B940B8" w:rsidR="00B7256C" w:rsidRPr="00B7256C" w:rsidRDefault="00B7256C" w:rsidP="00A7346A">
            <w:pPr>
              <w:pBdr>
                <w:top w:val="nil"/>
                <w:left w:val="nil"/>
                <w:bottom w:val="nil"/>
                <w:right w:val="nil"/>
                <w:between w:val="nil"/>
              </w:pBdr>
              <w:spacing w:line="240" w:lineRule="auto"/>
              <w:jc w:val="center"/>
              <w:rPr>
                <w:rFonts w:eastAsia="Arial" w:cs="Arial"/>
                <w:color w:val="000000"/>
                <w:sz w:val="16"/>
                <w:szCs w:val="16"/>
              </w:rPr>
            </w:pPr>
            <w:r w:rsidRPr="00B7256C">
              <w:rPr>
                <w:rFonts w:eastAsia="Arial" w:cs="Arial"/>
                <w:b/>
                <w:bCs/>
                <w:color w:val="000000"/>
                <w:sz w:val="16"/>
                <w:szCs w:val="16"/>
                <w:lang w:val="en-US"/>
              </w:rPr>
              <w:t>Variable</w:t>
            </w:r>
          </w:p>
        </w:tc>
        <w:tc>
          <w:tcPr>
            <w:tcW w:w="3600" w:type="dxa"/>
            <w:tcBorders>
              <w:top w:val="single" w:sz="12" w:space="0" w:color="008000"/>
              <w:bottom w:val="single" w:sz="6" w:space="0" w:color="008000"/>
            </w:tcBorders>
            <w:shd w:val="clear" w:color="auto" w:fill="FFFFFF"/>
            <w:vAlign w:val="center"/>
          </w:tcPr>
          <w:p w14:paraId="05046A03" w14:textId="3C291922" w:rsidR="00B7256C" w:rsidRPr="00B7256C" w:rsidRDefault="00B7256C" w:rsidP="00A7346A">
            <w:pPr>
              <w:pBdr>
                <w:top w:val="nil"/>
                <w:left w:val="nil"/>
                <w:bottom w:val="nil"/>
                <w:right w:val="nil"/>
                <w:between w:val="nil"/>
              </w:pBdr>
              <w:spacing w:line="240" w:lineRule="auto"/>
              <w:jc w:val="center"/>
              <w:rPr>
                <w:rFonts w:eastAsia="Arial" w:cs="Arial"/>
                <w:color w:val="000000"/>
                <w:sz w:val="16"/>
                <w:szCs w:val="16"/>
              </w:rPr>
            </w:pPr>
            <w:r w:rsidRPr="00B7256C">
              <w:rPr>
                <w:rFonts w:eastAsia="Arial" w:cs="Arial"/>
                <w:b/>
                <w:bCs/>
                <w:color w:val="000000"/>
                <w:sz w:val="16"/>
                <w:szCs w:val="16"/>
                <w:lang w:val="en-US"/>
              </w:rPr>
              <w:t>Description</w:t>
            </w:r>
          </w:p>
        </w:tc>
        <w:tc>
          <w:tcPr>
            <w:tcW w:w="5409" w:type="dxa"/>
            <w:tcBorders>
              <w:top w:val="single" w:sz="12" w:space="0" w:color="008000"/>
              <w:bottom w:val="single" w:sz="6" w:space="0" w:color="008000"/>
            </w:tcBorders>
            <w:shd w:val="clear" w:color="auto" w:fill="FFFFFF"/>
            <w:vAlign w:val="center"/>
          </w:tcPr>
          <w:p w14:paraId="1563AB7E" w14:textId="6C5E30AB" w:rsidR="00B7256C" w:rsidRPr="00B7256C" w:rsidRDefault="00B7256C" w:rsidP="00A7346A">
            <w:pPr>
              <w:pBdr>
                <w:top w:val="nil"/>
                <w:left w:val="nil"/>
                <w:bottom w:val="nil"/>
                <w:right w:val="nil"/>
                <w:between w:val="nil"/>
              </w:pBdr>
              <w:spacing w:line="240" w:lineRule="auto"/>
              <w:jc w:val="center"/>
              <w:rPr>
                <w:rFonts w:eastAsia="Arial" w:cs="Arial"/>
                <w:b/>
                <w:bCs/>
                <w:color w:val="000000"/>
                <w:sz w:val="16"/>
                <w:szCs w:val="16"/>
              </w:rPr>
            </w:pPr>
            <w:r w:rsidRPr="00B7256C">
              <w:rPr>
                <w:rFonts w:eastAsia="Arial" w:cs="Arial"/>
                <w:b/>
                <w:bCs/>
                <w:color w:val="000000"/>
                <w:sz w:val="16"/>
                <w:szCs w:val="16"/>
              </w:rPr>
              <w:t xml:space="preserve">Formula </w:t>
            </w:r>
          </w:p>
        </w:tc>
      </w:tr>
      <w:tr w:rsidR="00B7256C" w:rsidRPr="00B7256C" w14:paraId="626F06AE" w14:textId="77777777" w:rsidTr="000731B1">
        <w:trPr>
          <w:trHeight w:val="243"/>
          <w:jc w:val="center"/>
        </w:trPr>
        <w:tc>
          <w:tcPr>
            <w:tcW w:w="2160" w:type="dxa"/>
            <w:shd w:val="clear" w:color="auto" w:fill="FFFFFF"/>
            <w:vAlign w:val="center"/>
          </w:tcPr>
          <w:p w14:paraId="458BB098" w14:textId="13F6A74C"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rPr>
            </w:pPr>
            <w:r w:rsidRPr="00B7256C">
              <w:rPr>
                <w:sz w:val="16"/>
                <w:szCs w:val="16"/>
              </w:rPr>
              <w:lastRenderedPageBreak/>
              <w:t>Production Yield</w:t>
            </w:r>
            <w:r>
              <w:rPr>
                <w:sz w:val="16"/>
                <w:szCs w:val="16"/>
              </w:rPr>
              <w:t xml:space="preserve"> (%)</w:t>
            </w:r>
          </w:p>
        </w:tc>
        <w:tc>
          <w:tcPr>
            <w:tcW w:w="3600" w:type="dxa"/>
            <w:tcBorders>
              <w:top w:val="single" w:sz="4" w:space="0" w:color="000000"/>
            </w:tcBorders>
            <w:shd w:val="clear" w:color="auto" w:fill="FFFFFF"/>
          </w:tcPr>
          <w:p w14:paraId="1B02946F" w14:textId="292B5D39"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rPr>
            </w:pPr>
            <w:r w:rsidRPr="00B7256C">
              <w:rPr>
                <w:sz w:val="16"/>
                <w:szCs w:val="16"/>
              </w:rPr>
              <w:t>Amount of product obtained per unit of feedstock</w:t>
            </w:r>
          </w:p>
        </w:tc>
        <w:tc>
          <w:tcPr>
            <w:tcW w:w="5409" w:type="dxa"/>
            <w:tcBorders>
              <w:top w:val="single" w:sz="4" w:space="0" w:color="000000"/>
            </w:tcBorders>
          </w:tcPr>
          <w:p w14:paraId="4D05184D" w14:textId="564C3E5C"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rPr>
            </w:pPr>
            <m:oMathPara>
              <m:oMath>
                <m:sSub>
                  <m:sSubPr>
                    <m:ctrlPr>
                      <w:rPr>
                        <w:rFonts w:ascii="Cambria Math" w:eastAsia="Cambria Math" w:hAnsi="Cambria Math" w:cs="Cambria Math"/>
                        <w:sz w:val="16"/>
                        <w:szCs w:val="16"/>
                      </w:rPr>
                    </m:ctrlPr>
                  </m:sSubPr>
                  <m:e>
                    <m:r>
                      <w:rPr>
                        <w:rFonts w:ascii="Cambria Math" w:hAnsi="Cambria Math"/>
                        <w:sz w:val="16"/>
                        <w:szCs w:val="16"/>
                      </w:rPr>
                      <m:t>γ</m:t>
                    </m:r>
                  </m:e>
                  <m:sub>
                    <m:r>
                      <w:rPr>
                        <w:rFonts w:ascii="Cambria Math" w:eastAsia="Cambria Math" w:hAnsi="Cambria Math" w:cs="Cambria Math"/>
                        <w:sz w:val="16"/>
                        <w:szCs w:val="16"/>
                      </w:rPr>
                      <m:t>i</m:t>
                    </m:r>
                  </m:sub>
                </m:sSub>
                <m:r>
                  <w:rPr>
                    <w:rFonts w:ascii="Cambria Math" w:eastAsia="Cambria Math" w:hAnsi="Cambria Math" w:cs="Cambria Math"/>
                    <w:sz w:val="16"/>
                    <w:szCs w:val="16"/>
                  </w:rPr>
                  <m:t>=</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mass flow of product</m:t>
                    </m:r>
                  </m:num>
                  <m:den>
                    <m:r>
                      <w:rPr>
                        <w:rFonts w:ascii="Cambria Math" w:eastAsia="Cambria Math" w:hAnsi="Cambria Math" w:cs="Cambria Math"/>
                        <w:sz w:val="16"/>
                        <w:szCs w:val="16"/>
                      </w:rPr>
                      <m:t>mass flow of main feedstock</m:t>
                    </m:r>
                  </m:den>
                </m:f>
                <m:r>
                  <w:rPr>
                    <w:rFonts w:ascii="Cambria Math" w:eastAsia="Cambria Math" w:hAnsi="Cambria Math" w:cs="Cambria Math"/>
                    <w:sz w:val="16"/>
                    <w:szCs w:val="16"/>
                  </w:rPr>
                  <m:t>*100%</m:t>
                </m:r>
              </m:oMath>
            </m:oMathPara>
          </w:p>
        </w:tc>
      </w:tr>
      <w:tr w:rsidR="00B7256C" w:rsidRPr="00B7256C" w14:paraId="0C20AAFF" w14:textId="77777777" w:rsidTr="000731B1">
        <w:trPr>
          <w:trHeight w:val="692"/>
          <w:jc w:val="center"/>
        </w:trPr>
        <w:tc>
          <w:tcPr>
            <w:tcW w:w="2160" w:type="dxa"/>
            <w:shd w:val="clear" w:color="auto" w:fill="FFFFFF"/>
          </w:tcPr>
          <w:p w14:paraId="586029BC" w14:textId="2FF2BFA6"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rPr>
            </w:pPr>
            <w:r w:rsidRPr="00B7256C">
              <w:rPr>
                <w:sz w:val="16"/>
                <w:szCs w:val="16"/>
              </w:rPr>
              <w:t>Index of Reused Unconverted Material</w:t>
            </w:r>
            <w:r>
              <w:rPr>
                <w:sz w:val="16"/>
                <w:szCs w:val="16"/>
              </w:rPr>
              <w:t xml:space="preserve"> (%)</w:t>
            </w:r>
          </w:p>
        </w:tc>
        <w:tc>
          <w:tcPr>
            <w:tcW w:w="3600" w:type="dxa"/>
          </w:tcPr>
          <w:p w14:paraId="7C2DFA0B" w14:textId="71EB27FE"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rPr>
            </w:pPr>
            <w:r w:rsidRPr="00B7256C">
              <w:rPr>
                <w:sz w:val="16"/>
                <w:szCs w:val="16"/>
              </w:rPr>
              <w:t>Percentage of a raw material</w:t>
            </w:r>
            <w:r w:rsidR="006E47F3">
              <w:rPr>
                <w:sz w:val="16"/>
                <w:szCs w:val="16"/>
              </w:rPr>
              <w:t xml:space="preserve"> </w:t>
            </w:r>
            <w:r w:rsidRPr="00B7256C">
              <w:rPr>
                <w:sz w:val="16"/>
                <w:szCs w:val="16"/>
              </w:rPr>
              <w:t>reused respect to the flowrate of unconverted raw material</w:t>
            </w:r>
          </w:p>
        </w:tc>
        <w:tc>
          <w:tcPr>
            <w:tcW w:w="5409" w:type="dxa"/>
          </w:tcPr>
          <w:p w14:paraId="0ADE75A8" w14:textId="6DF6ECC4"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rPr>
            </w:pPr>
            <m:oMathPara>
              <m:oMath>
                <m:r>
                  <w:rPr>
                    <w:rFonts w:ascii="Cambria Math" w:eastAsia="Cambria Math" w:hAnsi="Cambria Math" w:cs="Cambria Math"/>
                    <w:sz w:val="16"/>
                    <w:szCs w:val="16"/>
                  </w:rPr>
                  <m:t>IRUM=</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reused material i mass flow</m:t>
                    </m:r>
                  </m:num>
                  <m:den>
                    <m:r>
                      <w:rPr>
                        <w:rFonts w:ascii="Cambria Math" w:eastAsia="Cambria Math" w:hAnsi="Cambria Math" w:cs="Cambria Math"/>
                        <w:sz w:val="16"/>
                        <w:szCs w:val="16"/>
                      </w:rPr>
                      <m:t>unconverted material i mass flow</m:t>
                    </m:r>
                  </m:den>
                </m:f>
                <m:r>
                  <w:rPr>
                    <w:rFonts w:ascii="Cambria Math" w:eastAsia="Cambria Math" w:hAnsi="Cambria Math" w:cs="Cambria Math"/>
                    <w:sz w:val="16"/>
                    <w:szCs w:val="16"/>
                  </w:rPr>
                  <m:t>*100%</m:t>
                </m:r>
              </m:oMath>
            </m:oMathPara>
          </w:p>
        </w:tc>
      </w:tr>
      <w:tr w:rsidR="00B7256C" w:rsidRPr="00B7256C" w14:paraId="6449B7CF" w14:textId="77777777" w:rsidTr="000731B1">
        <w:trPr>
          <w:trHeight w:val="707"/>
          <w:jc w:val="center"/>
        </w:trPr>
        <w:tc>
          <w:tcPr>
            <w:tcW w:w="2160" w:type="dxa"/>
            <w:shd w:val="clear" w:color="auto" w:fill="FFFFFF"/>
          </w:tcPr>
          <w:p w14:paraId="5C4CA4C5" w14:textId="41240B8C"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Fractional Water Consumption (m</w:t>
            </w:r>
            <w:r w:rsidRPr="00B7256C">
              <w:rPr>
                <w:sz w:val="16"/>
                <w:szCs w:val="16"/>
                <w:vertAlign w:val="superscript"/>
              </w:rPr>
              <w:t>3</w:t>
            </w:r>
            <w:r w:rsidRPr="00B7256C">
              <w:rPr>
                <w:sz w:val="16"/>
                <w:szCs w:val="16"/>
              </w:rPr>
              <w:t>/t)</w:t>
            </w:r>
          </w:p>
        </w:tc>
        <w:tc>
          <w:tcPr>
            <w:tcW w:w="3600" w:type="dxa"/>
          </w:tcPr>
          <w:p w14:paraId="0359F2E3" w14:textId="6BDF9E40"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Volume of water consumed to obtain the products</w:t>
            </w:r>
          </w:p>
        </w:tc>
        <w:tc>
          <w:tcPr>
            <w:tcW w:w="5409" w:type="dxa"/>
          </w:tcPr>
          <w:p w14:paraId="2CC78F5C" w14:textId="75D14118"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m:oMathPara>
              <m:oMath>
                <m:r>
                  <w:rPr>
                    <w:rFonts w:ascii="Cambria Math" w:eastAsia="Cambria Math" w:hAnsi="Cambria Math" w:cs="Cambria Math"/>
                    <w:sz w:val="16"/>
                    <w:szCs w:val="16"/>
                  </w:rPr>
                  <m:t>FWC=</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volume flow of freshwater</m:t>
                    </m:r>
                  </m:num>
                  <m:den>
                    <m:r>
                      <w:rPr>
                        <w:rFonts w:ascii="Cambria Math" w:eastAsia="Cambria Math" w:hAnsi="Cambria Math" w:cs="Cambria Math"/>
                        <w:sz w:val="16"/>
                        <w:szCs w:val="16"/>
                      </w:rPr>
                      <m:t>mass flow of product</m:t>
                    </m:r>
                  </m:den>
                </m:f>
              </m:oMath>
            </m:oMathPara>
          </w:p>
        </w:tc>
      </w:tr>
      <w:tr w:rsidR="00B7256C" w:rsidRPr="00B7256C" w14:paraId="1ADA3BCC" w14:textId="77777777" w:rsidTr="000731B1">
        <w:trPr>
          <w:trHeight w:val="707"/>
          <w:jc w:val="center"/>
        </w:trPr>
        <w:tc>
          <w:tcPr>
            <w:tcW w:w="2160" w:type="dxa"/>
            <w:shd w:val="clear" w:color="auto" w:fill="FFFFFF"/>
          </w:tcPr>
          <w:p w14:paraId="5FA5E5FF" w14:textId="21EFE69C"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Wastewater Production Ratio (%)</w:t>
            </w:r>
          </w:p>
        </w:tc>
        <w:tc>
          <w:tcPr>
            <w:tcW w:w="3600" w:type="dxa"/>
          </w:tcPr>
          <w:p w14:paraId="00BF4717" w14:textId="34A8D374"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Quotient between the amount of freshwater required by the process and the wastewater produced</w:t>
            </w:r>
          </w:p>
        </w:tc>
        <w:tc>
          <w:tcPr>
            <w:tcW w:w="5409" w:type="dxa"/>
          </w:tcPr>
          <w:p w14:paraId="4516E84A" w14:textId="4BC4D006"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m:oMath>
              <m:r>
                <w:rPr>
                  <w:rFonts w:ascii="Cambria Math" w:eastAsia="Cambria Math" w:hAnsi="Cambria Math" w:cs="Cambria Math"/>
                  <w:sz w:val="16"/>
                  <w:szCs w:val="16"/>
                </w:rPr>
                <m:t>WPR=</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 xml:space="preserve">wastewater volumetric flow </m:t>
                  </m:r>
                </m:num>
                <m:den>
                  <m:r>
                    <w:rPr>
                      <w:rFonts w:ascii="Cambria Math" w:eastAsia="Cambria Math" w:hAnsi="Cambria Math" w:cs="Cambria Math"/>
                      <w:sz w:val="16"/>
                      <w:szCs w:val="16"/>
                    </w:rPr>
                    <m:t>freshwater volumetric flow</m:t>
                  </m:r>
                </m:den>
              </m:f>
            </m:oMath>
            <w:r w:rsidRPr="00B7256C">
              <w:rPr>
                <w:sz w:val="16"/>
                <w:szCs w:val="16"/>
              </w:rPr>
              <w:t>*100%</w:t>
            </w:r>
          </w:p>
        </w:tc>
      </w:tr>
      <w:tr w:rsidR="00B7256C" w:rsidRPr="00B7256C" w14:paraId="567AA6CE" w14:textId="77777777" w:rsidTr="000731B1">
        <w:trPr>
          <w:trHeight w:val="707"/>
          <w:jc w:val="center"/>
        </w:trPr>
        <w:tc>
          <w:tcPr>
            <w:tcW w:w="2160" w:type="dxa"/>
            <w:shd w:val="clear" w:color="auto" w:fill="FFFFFF"/>
          </w:tcPr>
          <w:p w14:paraId="1C2B7E3B" w14:textId="3BB3F33B"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Total Cost of Freshwater ($/day)</w:t>
            </w:r>
          </w:p>
        </w:tc>
        <w:tc>
          <w:tcPr>
            <w:tcW w:w="3600" w:type="dxa"/>
          </w:tcPr>
          <w:p w14:paraId="6423045A" w14:textId="1B1DABF4"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Toral cost of freshwater consumed per unit of time</w:t>
            </w:r>
          </w:p>
        </w:tc>
        <w:tc>
          <w:tcPr>
            <w:tcW w:w="5409" w:type="dxa"/>
          </w:tcPr>
          <w:p w14:paraId="2E6AE908" w14:textId="5C5A6583"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m:oMathPara>
              <m:oMath>
                <m:r>
                  <w:rPr>
                    <w:rFonts w:ascii="Cambria Math" w:eastAsia="Cambria Math" w:hAnsi="Cambria Math" w:cs="Cambria Math"/>
                    <w:sz w:val="16"/>
                    <w:szCs w:val="16"/>
                  </w:rPr>
                  <m:t>TCF=flowrate of freshwater consumed*cost of freshwater</m:t>
                </m:r>
              </m:oMath>
            </m:oMathPara>
          </w:p>
        </w:tc>
      </w:tr>
      <w:tr w:rsidR="00B7256C" w:rsidRPr="00B7256C" w14:paraId="585CB355" w14:textId="77777777" w:rsidTr="000731B1">
        <w:trPr>
          <w:trHeight w:val="526"/>
          <w:jc w:val="center"/>
        </w:trPr>
        <w:tc>
          <w:tcPr>
            <w:tcW w:w="2160" w:type="dxa"/>
            <w:shd w:val="clear" w:color="auto" w:fill="FFFFFF"/>
          </w:tcPr>
          <w:p w14:paraId="77C1750F" w14:textId="0E648347"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Energy Specific Intensity (MJ/t)</w:t>
            </w:r>
          </w:p>
        </w:tc>
        <w:tc>
          <w:tcPr>
            <w:tcW w:w="3600" w:type="dxa"/>
          </w:tcPr>
          <w:p w14:paraId="55CBB562" w14:textId="572FE9E8"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Energy consumed per tonne of product</w:t>
            </w:r>
          </w:p>
        </w:tc>
        <w:tc>
          <w:tcPr>
            <w:tcW w:w="5409" w:type="dxa"/>
          </w:tcPr>
          <w:p w14:paraId="02FA535C" w14:textId="642D42AB"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m:oMathPara>
              <m:oMath>
                <m:sSub>
                  <m:sSubPr>
                    <m:ctrlPr>
                      <w:rPr>
                        <w:rFonts w:ascii="Cambria Math" w:eastAsia="Cambria Math" w:hAnsi="Cambria Math" w:cs="Cambria Math"/>
                        <w:sz w:val="16"/>
                        <w:szCs w:val="16"/>
                      </w:rPr>
                    </m:ctrlPr>
                  </m:sSubPr>
                  <m:e>
                    <m:r>
                      <w:rPr>
                        <w:rFonts w:ascii="Cambria Math" w:eastAsia="Cambria Math" w:hAnsi="Cambria Math" w:cs="Cambria Math"/>
                        <w:sz w:val="16"/>
                        <w:szCs w:val="16"/>
                      </w:rPr>
                      <m:t>R</m:t>
                    </m:r>
                  </m:e>
                  <m:sub>
                    <m:r>
                      <w:rPr>
                        <w:rFonts w:ascii="Cambria Math" w:eastAsia="Cambria Math" w:hAnsi="Cambria Math" w:cs="Cambria Math"/>
                        <w:sz w:val="16"/>
                        <w:szCs w:val="16"/>
                      </w:rPr>
                      <m:t>ESI</m:t>
                    </m:r>
                  </m:sub>
                </m:sSub>
                <m:r>
                  <w:rPr>
                    <w:rFonts w:ascii="Cambria Math" w:eastAsia="Cambria Math" w:hAnsi="Cambria Math" w:cs="Cambria Math"/>
                    <w:sz w:val="16"/>
                    <w:szCs w:val="16"/>
                  </w:rPr>
                  <m:t>=</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 xml:space="preserve">total energy consumed </m:t>
                    </m:r>
                  </m:num>
                  <m:den>
                    <m:r>
                      <w:rPr>
                        <w:rFonts w:ascii="Cambria Math" w:eastAsia="Cambria Math" w:hAnsi="Cambria Math" w:cs="Cambria Math"/>
                        <w:sz w:val="16"/>
                        <w:szCs w:val="16"/>
                      </w:rPr>
                      <m:t>product mass flow</m:t>
                    </m:r>
                  </m:den>
                </m:f>
              </m:oMath>
            </m:oMathPara>
          </w:p>
        </w:tc>
      </w:tr>
      <w:tr w:rsidR="00B7256C" w:rsidRPr="00B7256C" w14:paraId="21395456" w14:textId="77777777" w:rsidTr="000731B1">
        <w:trPr>
          <w:trHeight w:val="68"/>
          <w:jc w:val="center"/>
        </w:trPr>
        <w:tc>
          <w:tcPr>
            <w:tcW w:w="2160" w:type="dxa"/>
            <w:shd w:val="clear" w:color="auto" w:fill="FFFFFF"/>
          </w:tcPr>
          <w:p w14:paraId="7B1D7635" w14:textId="586CFBDA"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 xml:space="preserve">Net </w:t>
            </w:r>
            <w:r w:rsidRPr="00B7256C">
              <w:rPr>
                <w:bCs/>
                <w:smallCaps/>
                <w:sz w:val="16"/>
                <w:szCs w:val="16"/>
              </w:rPr>
              <w:t>E</w:t>
            </w:r>
            <w:r w:rsidRPr="00B7256C">
              <w:rPr>
                <w:sz w:val="16"/>
                <w:szCs w:val="16"/>
              </w:rPr>
              <w:t>nergy ratio (Dimensionless)</w:t>
            </w:r>
          </w:p>
        </w:tc>
        <w:tc>
          <w:tcPr>
            <w:tcW w:w="3600" w:type="dxa"/>
          </w:tcPr>
          <w:p w14:paraId="344CD2AE" w14:textId="71FBA21A"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r w:rsidRPr="00B7256C">
              <w:rPr>
                <w:sz w:val="16"/>
                <w:szCs w:val="16"/>
              </w:rPr>
              <w:t>Quotient between the energy content of the products and energy enters the process</w:t>
            </w:r>
          </w:p>
        </w:tc>
        <w:tc>
          <w:tcPr>
            <w:tcW w:w="5409" w:type="dxa"/>
          </w:tcPr>
          <w:p w14:paraId="13CC87FE" w14:textId="77777777" w:rsidR="00B7256C" w:rsidRPr="00B7256C" w:rsidRDefault="00B7256C" w:rsidP="001702EF">
            <w:pPr>
              <w:jc w:val="center"/>
              <w:rPr>
                <w:rFonts w:ascii="Cambria Math" w:eastAsia="Cambria Math" w:hAnsi="Cambria Math" w:cs="Cambria Math"/>
                <w:sz w:val="16"/>
                <w:szCs w:val="16"/>
              </w:rPr>
            </w:pPr>
            <m:oMathPara>
              <m:oMath>
                <m:r>
                  <w:rPr>
                    <w:rFonts w:ascii="Cambria Math" w:eastAsia="Cambria Math" w:hAnsi="Cambria Math" w:cs="Cambria Math"/>
                    <w:sz w:val="16"/>
                    <w:szCs w:val="16"/>
                  </w:rPr>
                  <m:t>NER=</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 xml:space="preserve"> product calorific power*product mass flow</m:t>
                    </m:r>
                  </m:num>
                  <m:den>
                    <m:r>
                      <w:rPr>
                        <w:rFonts w:ascii="Cambria Math" w:eastAsia="Cambria Math" w:hAnsi="Cambria Math" w:cs="Cambria Math"/>
                        <w:sz w:val="16"/>
                        <w:szCs w:val="16"/>
                      </w:rPr>
                      <m:t>total consumed energy+(feedstock calorific power*feedstock mass flow)</m:t>
                    </m:r>
                  </m:den>
                </m:f>
              </m:oMath>
            </m:oMathPara>
          </w:p>
          <w:p w14:paraId="023B27C5" w14:textId="5D86B4A2" w:rsidR="00B7256C" w:rsidRPr="00B7256C" w:rsidRDefault="00B7256C" w:rsidP="001702EF">
            <w:pPr>
              <w:pBdr>
                <w:top w:val="nil"/>
                <w:left w:val="nil"/>
                <w:bottom w:val="nil"/>
                <w:right w:val="nil"/>
                <w:between w:val="nil"/>
              </w:pBdr>
              <w:spacing w:line="240" w:lineRule="auto"/>
              <w:jc w:val="center"/>
              <w:rPr>
                <w:rFonts w:eastAsia="Arial" w:cs="Arial"/>
                <w:color w:val="000000"/>
                <w:sz w:val="16"/>
                <w:szCs w:val="16"/>
                <w:lang w:val="en-US"/>
              </w:rPr>
            </w:pPr>
          </w:p>
        </w:tc>
      </w:tr>
      <w:tr w:rsidR="00B7256C" w:rsidRPr="00B7256C" w14:paraId="53B8730E" w14:textId="77777777" w:rsidTr="000731B1">
        <w:trPr>
          <w:trHeight w:val="826"/>
          <w:jc w:val="center"/>
        </w:trPr>
        <w:tc>
          <w:tcPr>
            <w:tcW w:w="2160" w:type="dxa"/>
            <w:shd w:val="clear" w:color="auto" w:fill="FFFFFF"/>
          </w:tcPr>
          <w:p w14:paraId="2339A75D" w14:textId="66FA0DCA" w:rsidR="00B7256C" w:rsidRPr="001A57EA" w:rsidRDefault="00B7256C" w:rsidP="001A57EA">
            <w:pPr>
              <w:jc w:val="center"/>
              <w:rPr>
                <w:b/>
                <w:i/>
                <w:sz w:val="16"/>
                <w:szCs w:val="16"/>
              </w:rPr>
            </w:pPr>
            <w:r w:rsidRPr="00B7256C">
              <w:rPr>
                <w:sz w:val="16"/>
                <w:szCs w:val="16"/>
              </w:rPr>
              <w:t xml:space="preserve">Energy </w:t>
            </w:r>
            <w:r w:rsidRPr="00B7256C">
              <w:rPr>
                <w:smallCaps/>
                <w:sz w:val="16"/>
                <w:szCs w:val="16"/>
              </w:rPr>
              <w:t>U</w:t>
            </w:r>
            <w:r w:rsidRPr="00B7256C">
              <w:rPr>
                <w:sz w:val="16"/>
                <w:szCs w:val="16"/>
              </w:rPr>
              <w:t xml:space="preserve">sability </w:t>
            </w:r>
            <w:r w:rsidRPr="00B7256C">
              <w:rPr>
                <w:smallCaps/>
                <w:sz w:val="16"/>
                <w:szCs w:val="16"/>
              </w:rPr>
              <w:t>I</w:t>
            </w:r>
            <w:r w:rsidRPr="00B7256C">
              <w:rPr>
                <w:sz w:val="16"/>
                <w:szCs w:val="16"/>
              </w:rPr>
              <w:t>ndex (Dimensionless)</w:t>
            </w:r>
          </w:p>
        </w:tc>
        <w:tc>
          <w:tcPr>
            <w:tcW w:w="3600" w:type="dxa"/>
          </w:tcPr>
          <w:p w14:paraId="3E6A79A0" w14:textId="7B2F2079" w:rsidR="00B7256C" w:rsidRPr="00B7256C" w:rsidRDefault="00B7256C" w:rsidP="001702EF">
            <w:pPr>
              <w:pBdr>
                <w:top w:val="nil"/>
                <w:left w:val="nil"/>
                <w:bottom w:val="nil"/>
                <w:right w:val="nil"/>
                <w:between w:val="nil"/>
              </w:pBdr>
              <w:spacing w:line="240" w:lineRule="auto"/>
              <w:jc w:val="center"/>
              <w:rPr>
                <w:sz w:val="16"/>
                <w:szCs w:val="16"/>
              </w:rPr>
            </w:pPr>
            <w:r w:rsidRPr="00B7256C">
              <w:rPr>
                <w:sz w:val="16"/>
                <w:szCs w:val="16"/>
              </w:rPr>
              <w:t>Quotient between the energy content of the products and the energy required for its production</w:t>
            </w:r>
          </w:p>
        </w:tc>
        <w:tc>
          <w:tcPr>
            <w:tcW w:w="5409" w:type="dxa"/>
          </w:tcPr>
          <w:p w14:paraId="15C8CEF6" w14:textId="59FDBB1D" w:rsidR="00B7256C" w:rsidRPr="00B7256C" w:rsidRDefault="00B7256C" w:rsidP="001702EF">
            <w:pPr>
              <w:jc w:val="center"/>
              <w:rPr>
                <w:rFonts w:eastAsia="Arial" w:cs="Arial"/>
                <w:sz w:val="16"/>
                <w:szCs w:val="16"/>
              </w:rPr>
            </w:pPr>
            <m:oMathPara>
              <m:oMath>
                <m:r>
                  <w:rPr>
                    <w:rFonts w:ascii="Cambria Math" w:eastAsia="Cambria Math" w:hAnsi="Cambria Math" w:cs="Cambria Math"/>
                    <w:sz w:val="16"/>
                    <w:szCs w:val="16"/>
                  </w:rPr>
                  <m:t>EUI=</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product calorific power*product mass flow</m:t>
                    </m:r>
                  </m:num>
                  <m:den>
                    <m:r>
                      <w:rPr>
                        <w:rFonts w:ascii="Cambria Math" w:eastAsia="Cambria Math" w:hAnsi="Cambria Math" w:cs="Cambria Math"/>
                        <w:sz w:val="16"/>
                        <w:szCs w:val="16"/>
                      </w:rPr>
                      <m:t>total consumed energy</m:t>
                    </m:r>
                  </m:den>
                </m:f>
              </m:oMath>
            </m:oMathPara>
          </w:p>
        </w:tc>
      </w:tr>
      <w:tr w:rsidR="00B7256C" w:rsidRPr="00B7256C" w14:paraId="603C4A84" w14:textId="77777777" w:rsidTr="000731B1">
        <w:trPr>
          <w:trHeight w:val="68"/>
          <w:jc w:val="center"/>
        </w:trPr>
        <w:tc>
          <w:tcPr>
            <w:tcW w:w="2160" w:type="dxa"/>
            <w:shd w:val="clear" w:color="auto" w:fill="FFFFFF"/>
          </w:tcPr>
          <w:p w14:paraId="501A34FD" w14:textId="7BD7932C" w:rsidR="00B7256C" w:rsidRPr="00B7256C" w:rsidRDefault="00B7256C" w:rsidP="001702EF">
            <w:pPr>
              <w:pBdr>
                <w:top w:val="nil"/>
                <w:left w:val="nil"/>
                <w:bottom w:val="nil"/>
                <w:right w:val="nil"/>
                <w:between w:val="nil"/>
              </w:pBdr>
              <w:spacing w:line="240" w:lineRule="auto"/>
              <w:jc w:val="center"/>
              <w:rPr>
                <w:sz w:val="16"/>
                <w:szCs w:val="16"/>
              </w:rPr>
            </w:pPr>
            <w:r w:rsidRPr="00B7256C">
              <w:rPr>
                <w:sz w:val="16"/>
                <w:szCs w:val="16"/>
              </w:rPr>
              <w:t>Total Cost of Energy ($/day)</w:t>
            </w:r>
          </w:p>
        </w:tc>
        <w:tc>
          <w:tcPr>
            <w:tcW w:w="3600" w:type="dxa"/>
          </w:tcPr>
          <w:p w14:paraId="119F7E9A" w14:textId="4EA4AAFC" w:rsidR="00B7256C" w:rsidRPr="00B7256C" w:rsidRDefault="00B7256C" w:rsidP="001702EF">
            <w:pPr>
              <w:pBdr>
                <w:top w:val="nil"/>
                <w:left w:val="nil"/>
                <w:bottom w:val="nil"/>
                <w:right w:val="nil"/>
                <w:between w:val="nil"/>
              </w:pBdr>
              <w:spacing w:line="240" w:lineRule="auto"/>
              <w:jc w:val="center"/>
              <w:rPr>
                <w:sz w:val="16"/>
                <w:szCs w:val="16"/>
              </w:rPr>
            </w:pPr>
            <w:r w:rsidRPr="00B7256C">
              <w:rPr>
                <w:sz w:val="16"/>
                <w:szCs w:val="16"/>
              </w:rPr>
              <w:t>Total cost of energy consumed per unit of time</w:t>
            </w:r>
          </w:p>
        </w:tc>
        <w:tc>
          <w:tcPr>
            <w:tcW w:w="5409" w:type="dxa"/>
          </w:tcPr>
          <w:p w14:paraId="2EC89657" w14:textId="1E406FCC" w:rsidR="00B7256C" w:rsidRPr="00B7256C" w:rsidRDefault="00B7256C" w:rsidP="001702EF">
            <w:pPr>
              <w:jc w:val="center"/>
              <w:rPr>
                <w:rFonts w:eastAsia="Arial" w:cs="Arial"/>
                <w:sz w:val="16"/>
                <w:szCs w:val="16"/>
              </w:rPr>
            </w:pPr>
            <m:oMathPara>
              <m:oMath>
                <m:r>
                  <w:rPr>
                    <w:rFonts w:ascii="Cambria Math" w:eastAsia="Cambria Math" w:hAnsi="Cambria Math" w:cs="Cambria Math"/>
                    <w:sz w:val="16"/>
                    <w:szCs w:val="16"/>
                  </w:rPr>
                  <m:t>TCE=total energy consumed*cost of energy</m:t>
                </m:r>
              </m:oMath>
            </m:oMathPara>
          </w:p>
        </w:tc>
      </w:tr>
      <w:tr w:rsidR="00B7256C" w:rsidRPr="00B7256C" w14:paraId="74D14984" w14:textId="77777777" w:rsidTr="000731B1">
        <w:trPr>
          <w:trHeight w:val="68"/>
          <w:jc w:val="center"/>
        </w:trPr>
        <w:tc>
          <w:tcPr>
            <w:tcW w:w="2160" w:type="dxa"/>
            <w:shd w:val="clear" w:color="auto" w:fill="FFFFFF"/>
          </w:tcPr>
          <w:p w14:paraId="60FE452C" w14:textId="161F6D51" w:rsidR="00B7256C" w:rsidRPr="00B7256C" w:rsidRDefault="00B7256C" w:rsidP="001702EF">
            <w:pPr>
              <w:pBdr>
                <w:top w:val="nil"/>
                <w:left w:val="nil"/>
                <w:bottom w:val="nil"/>
                <w:right w:val="nil"/>
                <w:between w:val="nil"/>
              </w:pBdr>
              <w:spacing w:line="240" w:lineRule="auto"/>
              <w:jc w:val="center"/>
              <w:rPr>
                <w:sz w:val="16"/>
                <w:szCs w:val="16"/>
              </w:rPr>
            </w:pPr>
            <w:r w:rsidRPr="00B7256C">
              <w:rPr>
                <w:sz w:val="16"/>
                <w:szCs w:val="16"/>
              </w:rPr>
              <w:t>Natural Gas Consumption Index (m</w:t>
            </w:r>
            <w:r w:rsidRPr="00B7256C">
              <w:rPr>
                <w:sz w:val="16"/>
                <w:szCs w:val="16"/>
                <w:vertAlign w:val="superscript"/>
              </w:rPr>
              <w:t>3</w:t>
            </w:r>
            <w:r w:rsidRPr="00B7256C">
              <w:rPr>
                <w:sz w:val="16"/>
                <w:szCs w:val="16"/>
              </w:rPr>
              <w:t>/t)</w:t>
            </w:r>
          </w:p>
        </w:tc>
        <w:tc>
          <w:tcPr>
            <w:tcW w:w="3600" w:type="dxa"/>
          </w:tcPr>
          <w:p w14:paraId="34745254" w14:textId="6DCDF9E2" w:rsidR="00B7256C" w:rsidRPr="00B7256C" w:rsidRDefault="00B7256C" w:rsidP="001702EF">
            <w:pPr>
              <w:pBdr>
                <w:top w:val="nil"/>
                <w:left w:val="nil"/>
                <w:bottom w:val="nil"/>
                <w:right w:val="nil"/>
                <w:between w:val="nil"/>
              </w:pBdr>
              <w:spacing w:line="240" w:lineRule="auto"/>
              <w:jc w:val="center"/>
              <w:rPr>
                <w:sz w:val="16"/>
                <w:szCs w:val="16"/>
              </w:rPr>
            </w:pPr>
            <w:r w:rsidRPr="00B7256C">
              <w:rPr>
                <w:sz w:val="16"/>
                <w:szCs w:val="16"/>
              </w:rPr>
              <w:t>Amount of natural gas consumed per tonne of product</w:t>
            </w:r>
          </w:p>
        </w:tc>
        <w:tc>
          <w:tcPr>
            <w:tcW w:w="5409" w:type="dxa"/>
          </w:tcPr>
          <w:p w14:paraId="6D872632" w14:textId="11F83689" w:rsidR="00B7256C" w:rsidRPr="00B7256C" w:rsidRDefault="00B7256C" w:rsidP="001702EF">
            <w:pPr>
              <w:jc w:val="center"/>
              <w:rPr>
                <w:rFonts w:eastAsia="Arial" w:cs="Arial"/>
                <w:sz w:val="16"/>
                <w:szCs w:val="16"/>
              </w:rPr>
            </w:pPr>
            <m:oMathPara>
              <m:oMath>
                <m:r>
                  <w:rPr>
                    <w:rFonts w:ascii="Cambria Math" w:eastAsia="Cambria Math" w:hAnsi="Cambria Math" w:cs="Cambria Math"/>
                    <w:sz w:val="16"/>
                    <w:szCs w:val="16"/>
                  </w:rPr>
                  <m:t>NGCI=</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total natural gas consumed</m:t>
                    </m:r>
                  </m:num>
                  <m:den>
                    <m:r>
                      <w:rPr>
                        <w:rFonts w:ascii="Cambria Math" w:eastAsia="Cambria Math" w:hAnsi="Cambria Math" w:cs="Cambria Math"/>
                        <w:sz w:val="16"/>
                        <w:szCs w:val="16"/>
                      </w:rPr>
                      <m:t>product mass flow</m:t>
                    </m:r>
                  </m:den>
                </m:f>
                <m:r>
                  <w:rPr>
                    <w:rFonts w:ascii="Cambria Math" w:eastAsia="Cambria Math" w:hAnsi="Cambria Math" w:cs="Cambria Math"/>
                    <w:sz w:val="16"/>
                    <w:szCs w:val="16"/>
                  </w:rPr>
                  <m:t xml:space="preserve"> </m:t>
                </m:r>
              </m:oMath>
            </m:oMathPara>
          </w:p>
        </w:tc>
      </w:tr>
      <w:tr w:rsidR="00B7256C" w:rsidRPr="00B7256C" w14:paraId="075FE544" w14:textId="77777777" w:rsidTr="000731B1">
        <w:trPr>
          <w:trHeight w:val="68"/>
          <w:jc w:val="center"/>
        </w:trPr>
        <w:tc>
          <w:tcPr>
            <w:tcW w:w="2160" w:type="dxa"/>
            <w:shd w:val="clear" w:color="auto" w:fill="FFFFFF"/>
          </w:tcPr>
          <w:p w14:paraId="2EDB679E" w14:textId="500FC29E" w:rsidR="00B7256C" w:rsidRPr="00B7256C" w:rsidRDefault="00B7256C" w:rsidP="001702EF">
            <w:pPr>
              <w:pBdr>
                <w:top w:val="nil"/>
                <w:left w:val="nil"/>
                <w:bottom w:val="nil"/>
                <w:right w:val="nil"/>
                <w:between w:val="nil"/>
              </w:pBdr>
              <w:spacing w:line="240" w:lineRule="auto"/>
              <w:jc w:val="center"/>
              <w:rPr>
                <w:sz w:val="16"/>
                <w:szCs w:val="16"/>
              </w:rPr>
            </w:pPr>
            <w:r w:rsidRPr="00B7256C">
              <w:rPr>
                <w:sz w:val="16"/>
                <w:szCs w:val="16"/>
              </w:rPr>
              <w:t>Electric Energy Consumption Index (kWh/t)</w:t>
            </w:r>
          </w:p>
        </w:tc>
        <w:tc>
          <w:tcPr>
            <w:tcW w:w="3600" w:type="dxa"/>
          </w:tcPr>
          <w:p w14:paraId="012CC5EA" w14:textId="0C726453" w:rsidR="00B7256C" w:rsidRPr="00B7256C" w:rsidRDefault="00B7256C" w:rsidP="001702EF">
            <w:pPr>
              <w:pBdr>
                <w:top w:val="nil"/>
                <w:left w:val="nil"/>
                <w:bottom w:val="nil"/>
                <w:right w:val="nil"/>
                <w:between w:val="nil"/>
              </w:pBdr>
              <w:spacing w:line="240" w:lineRule="auto"/>
              <w:jc w:val="center"/>
              <w:rPr>
                <w:sz w:val="16"/>
                <w:szCs w:val="16"/>
              </w:rPr>
            </w:pPr>
            <w:r w:rsidRPr="00B7256C">
              <w:rPr>
                <w:sz w:val="16"/>
                <w:szCs w:val="16"/>
              </w:rPr>
              <w:t>Amount of electric energy consumed per tonne of product</w:t>
            </w:r>
          </w:p>
        </w:tc>
        <w:tc>
          <w:tcPr>
            <w:tcW w:w="5409" w:type="dxa"/>
          </w:tcPr>
          <w:p w14:paraId="2DB156E9" w14:textId="57AED4F9" w:rsidR="00B7256C" w:rsidRPr="00B7256C" w:rsidRDefault="00B7256C" w:rsidP="001702EF">
            <w:pPr>
              <w:jc w:val="center"/>
              <w:rPr>
                <w:rFonts w:eastAsia="Arial" w:cs="Arial"/>
                <w:sz w:val="16"/>
                <w:szCs w:val="16"/>
              </w:rPr>
            </w:pPr>
            <m:oMathPara>
              <m:oMath>
                <m:r>
                  <w:rPr>
                    <w:rFonts w:ascii="Cambria Math" w:eastAsia="Cambria Math" w:hAnsi="Cambria Math" w:cs="Cambria Math"/>
                    <w:sz w:val="16"/>
                    <w:szCs w:val="16"/>
                  </w:rPr>
                  <m:t>EECI=</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total electricity consumed</m:t>
                    </m:r>
                  </m:num>
                  <m:den>
                    <m:r>
                      <w:rPr>
                        <w:rFonts w:ascii="Cambria Math" w:eastAsia="Cambria Math" w:hAnsi="Cambria Math" w:cs="Cambria Math"/>
                        <w:sz w:val="16"/>
                        <w:szCs w:val="16"/>
                      </w:rPr>
                      <m:t>product mass flow</m:t>
                    </m:r>
                  </m:den>
                </m:f>
              </m:oMath>
            </m:oMathPara>
          </w:p>
        </w:tc>
      </w:tr>
    </w:tbl>
    <w:p w14:paraId="6337AE5A" w14:textId="12C67BBA" w:rsidR="00513E61" w:rsidRPr="00130046" w:rsidRDefault="00481D81" w:rsidP="00130046">
      <w:pPr>
        <w:pStyle w:val="CETBodytext"/>
        <w:spacing w:before="240"/>
        <w:rPr>
          <w:rFonts w:eastAsia="Arial"/>
          <w:lang w:val="en-GB"/>
        </w:rPr>
      </w:pPr>
      <w:r>
        <w:rPr>
          <w:rFonts w:eastAsia="Arial"/>
          <w:lang w:val="en-GB"/>
        </w:rPr>
        <w:t xml:space="preserve">In the case of the </w:t>
      </w:r>
      <w:r w:rsidR="00513E61" w:rsidRPr="00513E61">
        <w:rPr>
          <w:rFonts w:eastAsia="Arial"/>
          <w:lang w:val="en-GB"/>
        </w:rPr>
        <w:t xml:space="preserve">best- and worst-case scenarios </w:t>
      </w:r>
      <w:r>
        <w:rPr>
          <w:rFonts w:eastAsia="Arial"/>
          <w:lang w:val="en-GB"/>
        </w:rPr>
        <w:t>for this analysis, the same scenarios proposed by Valdez-Valdes et al., were used as basis to assess the process</w:t>
      </w:r>
      <w:r w:rsidR="00525A5C">
        <w:rPr>
          <w:rFonts w:eastAsia="Arial"/>
          <w:lang w:val="en-GB"/>
        </w:rPr>
        <w:t xml:space="preserve"> </w:t>
      </w:r>
      <w:r w:rsidR="00525A5C">
        <w:rPr>
          <w:rFonts w:eastAsia="Arial"/>
          <w:lang w:val="en-GB"/>
        </w:rPr>
        <w:fldChar w:fldCharType="begin" w:fldLock="1"/>
      </w:r>
      <w:r w:rsidR="00A75E1C">
        <w:rPr>
          <w:rFonts w:eastAsia="Arial"/>
          <w:lang w:val="en-GB"/>
        </w:rPr>
        <w:instrText>ADDIN CSL_CITATION {"citationItems":[{"id":"ITEM-1","itemData":{"DOI":"10.3303/CET25117012","ISBN":"9791281206175","ISSN":"22839216","abstract":"Colombia has established itself as a significant contributor to Hass avocado production; however, the supply chain predominantly focuses on marketing the pulp, thereby underutilizing by-products, such as the seed. This situation presents environmental challenges and overlooks potential economic opportunities within bioeconomy development. This study introduces a cascade biorefinery model designed to valorize avocado seed waste from Colombia's Amazon region, transforming it into high-value products, including starch and biodegradable biofilms. The methodology employed involves process simulation using Aspen Plus, with NRTL models for the liquid phase and the Redlich-Kwong model for the vapor phase, to model separation and reaction stages accurately. The biorefinery comprises three principal modules: (i) pretreatment and wet extraction, which produces 1.92 kg/h of starch comparable in composition to commercial avocado seed flours; (ii) a starch gelatinization process with glycerol, yielding 3.76 kg/h of type 1 biofilm; and (iii) a thermochemical and biotechnological process encompassing acid hydrolysis, lactic acid fermentation, and polymerization, resulting in polylactic acid. This PLA is subsequently combined with starch to generate 3.44 kg/h of type 2 biofilm. The entire process attains a 78.34% yield based on a waste input of 27.4 kg/h, thereby demonstrating efficient biomass recovery. The principal contribution of this research lies in showing, through detailed simulation, the technical feasibility of a multistep system that integrates physical, chemical, and biotechnological processes to produce functional bioproducts from agricultural waste. Unlike fragmented approaches, this cascade biorefinery optimizes resource utilization, broadens product diversity, and minimizes waste, thereby supporting sustainability and circular economy principles.","author":[{"dropping-particle":"","family":"Alviz-Meza","given":"Anibal","non-dropping-particle":"","parse-names":false,"suffix":""},{"dropping-particle":"","family":"Valdez-Valdes","given":"Stefany A.","non-dropping-particle":"","parse-names":false,"suffix":""},{"dropping-particle":"","family":"González-Delgado","given":"Ángel Darío","non-dropping-particle":"","parse-names":false,"suffix":""}],"container-title":"Chemical Engineering Transactions ","id":"ITEM-1","issue":"May","issued":{"date-parts":[["2025"]]},"page":"67-72","title":"Computer-Aided Simulation of a Cascade Biorefinery: Case Study of the Colombian Amazon’s Hass Avocado Waste","type":"article-journal","volume":"117"},"uris":["http://www.mendeley.com/documents/?uuid=f1951427-afa9-45a0-a8f0-6c162834fbe5"]}],"mendeley":{"formattedCitation":"(6)","plainTextFormattedCitation":"(6)","previouslyFormattedCitation":"(6)"},"properties":{"noteIndex":0},"schema":"https://github.com/citation-style-language/schema/raw/master/csl-citation.json"}</w:instrText>
      </w:r>
      <w:r w:rsidR="00525A5C">
        <w:rPr>
          <w:rFonts w:eastAsia="Arial"/>
          <w:lang w:val="en-GB"/>
        </w:rPr>
        <w:fldChar w:fldCharType="separate"/>
      </w:r>
      <w:r w:rsidR="00A75E1C" w:rsidRPr="00A75E1C">
        <w:rPr>
          <w:rFonts w:eastAsia="Arial"/>
          <w:noProof/>
          <w:lang w:val="en-GB"/>
        </w:rPr>
        <w:t>(6)</w:t>
      </w:r>
      <w:r w:rsidR="00525A5C">
        <w:rPr>
          <w:rFonts w:eastAsia="Arial"/>
          <w:lang w:val="en-GB"/>
        </w:rPr>
        <w:fldChar w:fldCharType="end"/>
      </w:r>
      <w:r>
        <w:rPr>
          <w:rFonts w:eastAsia="Arial"/>
          <w:lang w:val="en-GB"/>
        </w:rPr>
        <w:t>.</w:t>
      </w:r>
      <w:r w:rsidR="00130046">
        <w:rPr>
          <w:rFonts w:eastAsia="Arial"/>
          <w:lang w:val="en-GB"/>
        </w:rPr>
        <w:t xml:space="preserve"> </w:t>
      </w:r>
      <w:r w:rsidR="00E026F9">
        <w:rPr>
          <w:rFonts w:eastAsia="Arial"/>
          <w:lang w:val="en-GB"/>
        </w:rPr>
        <w:t xml:space="preserve">For instance, to the </w:t>
      </w:r>
      <w:r w:rsidR="00513E61" w:rsidRPr="00513E61">
        <w:rPr>
          <w:rFonts w:eastAsia="Arial"/>
          <w:lang w:val="en-GB"/>
        </w:rPr>
        <w:t>production yield</w:t>
      </w:r>
      <w:r w:rsidR="00E026F9">
        <w:rPr>
          <w:rFonts w:eastAsia="Arial"/>
          <w:lang w:val="en-GB"/>
        </w:rPr>
        <w:t xml:space="preserve"> a </w:t>
      </w:r>
      <w:r w:rsidR="00513E61" w:rsidRPr="00513E61">
        <w:rPr>
          <w:rFonts w:eastAsia="Arial"/>
          <w:lang w:val="en-GB"/>
        </w:rPr>
        <w:t>100%</w:t>
      </w:r>
      <w:r w:rsidR="00E026F9">
        <w:rPr>
          <w:rFonts w:eastAsia="Arial"/>
          <w:lang w:val="en-GB"/>
        </w:rPr>
        <w:t xml:space="preserve"> and 0% were considered as the best and worst cases, respectively.</w:t>
      </w:r>
      <w:r w:rsidR="00130046">
        <w:rPr>
          <w:rFonts w:eastAsia="Arial"/>
          <w:lang w:val="en-GB"/>
        </w:rPr>
        <w:t xml:space="preserve"> </w:t>
      </w:r>
      <w:r w:rsidR="00E026F9">
        <w:rPr>
          <w:rFonts w:eastAsia="Arial"/>
          <w:lang w:val="en-GB"/>
        </w:rPr>
        <w:t>For fractional</w:t>
      </w:r>
      <w:r w:rsidR="00513E61" w:rsidRPr="00513E61">
        <w:rPr>
          <w:rFonts w:eastAsia="Arial"/>
          <w:lang w:val="en-GB"/>
        </w:rPr>
        <w:t xml:space="preserve"> water consumption</w:t>
      </w:r>
      <w:r w:rsidR="00E026F9">
        <w:rPr>
          <w:rFonts w:eastAsia="Arial"/>
          <w:lang w:val="en-GB"/>
        </w:rPr>
        <w:t>, a 1</w:t>
      </w:r>
      <w:r w:rsidR="00513E61" w:rsidRPr="00513E61">
        <w:rPr>
          <w:rFonts w:eastAsia="Arial"/>
          <w:lang w:val="en-GB"/>
        </w:rPr>
        <w:t>.</w:t>
      </w:r>
      <w:r w:rsidR="00E026F9">
        <w:rPr>
          <w:rFonts w:eastAsia="Arial"/>
          <w:lang w:val="en-GB"/>
        </w:rPr>
        <w:t>27</w:t>
      </w:r>
      <w:r w:rsidR="00513E61" w:rsidRPr="00513E61">
        <w:rPr>
          <w:rFonts w:eastAsia="Arial"/>
          <w:lang w:val="en-GB"/>
        </w:rPr>
        <w:t xml:space="preserve"> m³/t </w:t>
      </w:r>
      <w:r w:rsidR="00E026F9">
        <w:rPr>
          <w:rFonts w:eastAsia="Arial"/>
          <w:lang w:val="en-GB"/>
        </w:rPr>
        <w:t xml:space="preserve">was the </w:t>
      </w:r>
      <w:r w:rsidR="00513E61" w:rsidRPr="00513E61">
        <w:rPr>
          <w:rFonts w:eastAsia="Arial"/>
          <w:lang w:val="en-GB"/>
        </w:rPr>
        <w:t xml:space="preserve">best-case scenario, whereas </w:t>
      </w:r>
      <w:r w:rsidR="00E026F9">
        <w:rPr>
          <w:rFonts w:eastAsia="Arial"/>
          <w:lang w:val="en-GB"/>
        </w:rPr>
        <w:t>3.19</w:t>
      </w:r>
      <w:r w:rsidR="00513E61" w:rsidRPr="00513E61">
        <w:rPr>
          <w:rFonts w:eastAsia="Arial"/>
          <w:lang w:val="en-GB"/>
        </w:rPr>
        <w:t xml:space="preserve"> m³/t </w:t>
      </w:r>
      <w:r w:rsidR="00E026F9">
        <w:rPr>
          <w:rFonts w:eastAsia="Arial"/>
          <w:lang w:val="en-GB"/>
        </w:rPr>
        <w:t xml:space="preserve">was the contrary. On the other hand, the </w:t>
      </w:r>
      <w:r w:rsidR="00513E61" w:rsidRPr="00513E61">
        <w:rPr>
          <w:rFonts w:eastAsia="Arial"/>
          <w:lang w:val="en-GB"/>
        </w:rPr>
        <w:t>best-case scenario</w:t>
      </w:r>
      <w:r w:rsidR="00E026F9" w:rsidRPr="00E026F9">
        <w:rPr>
          <w:rFonts w:eastAsia="Arial"/>
          <w:lang w:val="en-GB"/>
        </w:rPr>
        <w:t xml:space="preserve"> </w:t>
      </w:r>
      <w:r w:rsidR="00E026F9">
        <w:rPr>
          <w:rFonts w:eastAsia="Arial"/>
          <w:lang w:val="en-GB"/>
        </w:rPr>
        <w:t xml:space="preserve">for </w:t>
      </w:r>
      <w:r w:rsidR="00E026F9">
        <w:rPr>
          <w:rFonts w:eastAsia="Arial"/>
          <w:lang w:val="en-GB"/>
        </w:rPr>
        <w:t>w</w:t>
      </w:r>
      <w:r w:rsidR="00E026F9" w:rsidRPr="00513E61">
        <w:rPr>
          <w:rFonts w:eastAsia="Arial"/>
          <w:lang w:val="en-GB"/>
        </w:rPr>
        <w:t>astewater generation</w:t>
      </w:r>
      <w:r w:rsidR="00E026F9">
        <w:rPr>
          <w:rFonts w:eastAsia="Arial"/>
          <w:lang w:val="en-GB"/>
        </w:rPr>
        <w:t xml:space="preserve"> was 0 compared to 9</w:t>
      </w:r>
      <w:r w:rsidR="00513E61" w:rsidRPr="00513E61">
        <w:rPr>
          <w:rFonts w:eastAsia="Arial"/>
          <w:lang w:val="en-GB"/>
        </w:rPr>
        <w:t>5%</w:t>
      </w:r>
      <w:r w:rsidR="00E026F9">
        <w:rPr>
          <w:rFonts w:eastAsia="Arial"/>
          <w:lang w:val="en-GB"/>
        </w:rPr>
        <w:t xml:space="preserve"> lower limit</w:t>
      </w:r>
      <w:r w:rsidR="00513E61" w:rsidRPr="00513E61">
        <w:rPr>
          <w:rFonts w:eastAsia="Arial"/>
          <w:lang w:val="en-GB"/>
        </w:rPr>
        <w:t xml:space="preserve">. </w:t>
      </w:r>
      <w:r w:rsidR="00E026F9">
        <w:rPr>
          <w:rFonts w:eastAsia="Arial"/>
          <w:lang w:val="en-GB"/>
        </w:rPr>
        <w:t xml:space="preserve">Similarly, a </w:t>
      </w:r>
      <w:r w:rsidR="00513E61" w:rsidRPr="00513E61">
        <w:rPr>
          <w:rFonts w:eastAsia="Arial"/>
          <w:lang w:val="en-GB"/>
        </w:rPr>
        <w:t>0.48 per day i</w:t>
      </w:r>
      <w:r w:rsidR="00E026F9">
        <w:rPr>
          <w:rFonts w:eastAsia="Arial"/>
          <w:lang w:val="en-GB"/>
        </w:rPr>
        <w:t>s</w:t>
      </w:r>
      <w:r w:rsidR="00513E61" w:rsidRPr="00513E61">
        <w:rPr>
          <w:rFonts w:eastAsia="Arial"/>
          <w:lang w:val="en-GB"/>
        </w:rPr>
        <w:t xml:space="preserve"> the best−case scenario</w:t>
      </w:r>
      <w:r w:rsidR="00E026F9">
        <w:rPr>
          <w:rFonts w:eastAsia="Arial"/>
          <w:lang w:val="en-GB"/>
        </w:rPr>
        <w:t xml:space="preserve"> for th</w:t>
      </w:r>
      <w:r w:rsidR="00E026F9" w:rsidRPr="00513E61">
        <w:rPr>
          <w:rFonts w:eastAsia="Arial"/>
          <w:lang w:val="en-GB"/>
        </w:rPr>
        <w:t xml:space="preserve">e total cost of freshwater </w:t>
      </w:r>
      <w:r w:rsidR="00513E61" w:rsidRPr="00513E61">
        <w:rPr>
          <w:rFonts w:eastAsia="Arial"/>
          <w:lang w:val="en-GB"/>
        </w:rPr>
        <w:t>to 15.60 per day</w:t>
      </w:r>
      <w:r w:rsidR="00E026F9">
        <w:rPr>
          <w:rFonts w:eastAsia="Arial"/>
          <w:lang w:val="en-GB"/>
        </w:rPr>
        <w:t xml:space="preserve"> as the worst.</w:t>
      </w:r>
      <w:r w:rsidR="00130046">
        <w:rPr>
          <w:rFonts w:eastAsia="Arial"/>
          <w:lang w:val="en-GB"/>
        </w:rPr>
        <w:t xml:space="preserve"> </w:t>
      </w:r>
      <w:r w:rsidR="00513E61" w:rsidRPr="00513E61">
        <w:rPr>
          <w:rFonts w:eastAsia="Arial"/>
          <w:lang w:val="en-GB"/>
        </w:rPr>
        <w:t xml:space="preserve">Energy-specific intensity was </w:t>
      </w:r>
      <w:r w:rsidR="001A57EA">
        <w:rPr>
          <w:rFonts w:eastAsia="Arial"/>
          <w:lang w:val="en-GB"/>
        </w:rPr>
        <w:t>18 G</w:t>
      </w:r>
      <w:r w:rsidR="00513E61" w:rsidRPr="00513E61">
        <w:rPr>
          <w:rFonts w:eastAsia="Arial"/>
          <w:lang w:val="en-GB"/>
        </w:rPr>
        <w:t xml:space="preserve">J/t in the </w:t>
      </w:r>
      <w:r w:rsidR="003F3815" w:rsidRPr="00513E61">
        <w:rPr>
          <w:rFonts w:eastAsia="Arial"/>
          <w:lang w:val="en-GB"/>
        </w:rPr>
        <w:t>best-case</w:t>
      </w:r>
      <w:r w:rsidR="00513E61" w:rsidRPr="00513E61">
        <w:rPr>
          <w:rFonts w:eastAsia="Arial"/>
          <w:lang w:val="en-GB"/>
        </w:rPr>
        <w:t xml:space="preserve"> scenario</w:t>
      </w:r>
      <w:r w:rsidR="001A57EA">
        <w:rPr>
          <w:rFonts w:eastAsia="Arial"/>
          <w:lang w:val="en-GB"/>
        </w:rPr>
        <w:t xml:space="preserve"> and for </w:t>
      </w:r>
      <w:r w:rsidR="00513E61" w:rsidRPr="00513E61">
        <w:rPr>
          <w:rFonts w:eastAsia="Arial"/>
          <w:lang w:val="en-GB"/>
        </w:rPr>
        <w:t xml:space="preserve">the worst-case scenario, </w:t>
      </w:r>
      <w:r w:rsidR="001A57EA">
        <w:rPr>
          <w:rFonts w:eastAsia="Arial"/>
          <w:lang w:val="en-GB"/>
        </w:rPr>
        <w:t>was</w:t>
      </w:r>
      <w:r w:rsidR="00513E61" w:rsidRPr="00513E61">
        <w:rPr>
          <w:rFonts w:eastAsia="Arial"/>
          <w:lang w:val="en-GB"/>
        </w:rPr>
        <w:t xml:space="preserve"> </w:t>
      </w:r>
      <w:r w:rsidR="001A57EA">
        <w:rPr>
          <w:rFonts w:eastAsia="Arial"/>
          <w:lang w:val="en-GB"/>
        </w:rPr>
        <w:t>45 G</w:t>
      </w:r>
      <w:r w:rsidR="00513E61" w:rsidRPr="00513E61">
        <w:rPr>
          <w:rFonts w:eastAsia="Arial"/>
          <w:lang w:val="en-GB"/>
        </w:rPr>
        <w:t xml:space="preserve">J/t. Similarly, the electric energy consumption index was </w:t>
      </w:r>
      <w:r w:rsidR="00CF6025">
        <w:rPr>
          <w:rFonts w:eastAsia="Arial"/>
          <w:lang w:val="en-GB"/>
        </w:rPr>
        <w:t>7</w:t>
      </w:r>
      <w:r w:rsidR="00513E61" w:rsidRPr="00513E61">
        <w:rPr>
          <w:rFonts w:eastAsia="Arial"/>
          <w:lang w:val="en-GB"/>
        </w:rPr>
        <w:t>.</w:t>
      </w:r>
      <w:r w:rsidR="00CF6025">
        <w:rPr>
          <w:rFonts w:eastAsia="Arial"/>
          <w:lang w:val="en-GB"/>
        </w:rPr>
        <w:t>6</w:t>
      </w:r>
      <w:r w:rsidR="00513E61" w:rsidRPr="00513E61">
        <w:rPr>
          <w:rFonts w:eastAsia="Arial"/>
          <w:lang w:val="en-GB"/>
        </w:rPr>
        <w:t xml:space="preserve"> kWh/t in the best-case </w:t>
      </w:r>
      <w:r w:rsidR="00CF6025">
        <w:rPr>
          <w:rFonts w:eastAsia="Arial"/>
          <w:lang w:val="en-GB"/>
        </w:rPr>
        <w:t>and</w:t>
      </w:r>
      <w:r w:rsidR="00513E61" w:rsidRPr="00513E61">
        <w:rPr>
          <w:rFonts w:eastAsia="Arial"/>
          <w:lang w:val="en-GB"/>
        </w:rPr>
        <w:t xml:space="preserve"> </w:t>
      </w:r>
      <w:r w:rsidR="00CF6025">
        <w:rPr>
          <w:rFonts w:eastAsia="Arial"/>
          <w:lang w:val="en-GB"/>
        </w:rPr>
        <w:t>30</w:t>
      </w:r>
      <w:r w:rsidR="00513E61" w:rsidRPr="00513E61">
        <w:rPr>
          <w:rFonts w:eastAsia="Arial"/>
          <w:lang w:val="en-GB"/>
        </w:rPr>
        <w:t xml:space="preserve">.6 kWh/t </w:t>
      </w:r>
      <w:r w:rsidR="00CF6025">
        <w:rPr>
          <w:rFonts w:eastAsia="Arial"/>
          <w:lang w:val="en-GB"/>
        </w:rPr>
        <w:t xml:space="preserve">for the </w:t>
      </w:r>
      <w:r w:rsidR="00513E61" w:rsidRPr="00513E61">
        <w:rPr>
          <w:rFonts w:eastAsia="Arial"/>
          <w:lang w:val="en-GB"/>
        </w:rPr>
        <w:t xml:space="preserve">worst-case scenario. </w:t>
      </w:r>
      <w:r w:rsidR="00130046">
        <w:rPr>
          <w:rFonts w:eastAsia="Arial"/>
          <w:lang w:val="en-GB"/>
        </w:rPr>
        <w:t>Contrary, for the n</w:t>
      </w:r>
      <w:r w:rsidR="00513E61" w:rsidRPr="00513E61">
        <w:rPr>
          <w:rFonts w:eastAsia="Arial"/>
          <w:lang w:val="en-GB"/>
        </w:rPr>
        <w:t>atural gas consumption</w:t>
      </w:r>
      <w:r w:rsidR="00130046">
        <w:rPr>
          <w:rFonts w:eastAsia="Arial"/>
          <w:lang w:val="en-GB"/>
        </w:rPr>
        <w:t xml:space="preserve">, </w:t>
      </w:r>
      <w:r w:rsidR="00513E61" w:rsidRPr="00513E61">
        <w:rPr>
          <w:rFonts w:eastAsia="Arial"/>
          <w:lang w:val="en-GB"/>
        </w:rPr>
        <w:t>in the best-case scenario</w:t>
      </w:r>
      <w:r w:rsidR="00130046">
        <w:rPr>
          <w:rFonts w:eastAsia="Arial"/>
          <w:lang w:val="en-GB"/>
        </w:rPr>
        <w:t xml:space="preserve"> is 100% </w:t>
      </w:r>
      <w:r w:rsidR="00513E61" w:rsidRPr="00513E61">
        <w:rPr>
          <w:rFonts w:eastAsia="Arial"/>
          <w:lang w:val="en-GB"/>
        </w:rPr>
        <w:t xml:space="preserve">but in the worst-case scenario, its efficiency dropped to only </w:t>
      </w:r>
      <w:r w:rsidR="00130046">
        <w:rPr>
          <w:rFonts w:eastAsia="Arial"/>
          <w:lang w:val="en-GB"/>
        </w:rPr>
        <w:t>9</w:t>
      </w:r>
      <w:r w:rsidR="00513E61" w:rsidRPr="00513E61">
        <w:rPr>
          <w:rFonts w:eastAsia="Arial"/>
          <w:lang w:val="en-GB"/>
        </w:rPr>
        <w:t>.</w:t>
      </w:r>
      <w:r w:rsidR="00130046">
        <w:rPr>
          <w:rFonts w:eastAsia="Arial"/>
          <w:lang w:val="en-GB"/>
        </w:rPr>
        <w:t>8</w:t>
      </w:r>
      <w:r w:rsidR="00513E61" w:rsidRPr="00513E61">
        <w:rPr>
          <w:rFonts w:eastAsia="Arial"/>
          <w:lang w:val="en-GB"/>
        </w:rPr>
        <w:t xml:space="preserve"> %</w:t>
      </w:r>
      <w:r w:rsidR="00130046">
        <w:rPr>
          <w:rFonts w:eastAsia="Arial"/>
          <w:lang w:val="en-GB"/>
        </w:rPr>
        <w:t>.</w:t>
      </w:r>
      <w:r w:rsidR="00B441F9">
        <w:rPr>
          <w:rFonts w:eastAsia="Arial"/>
          <w:lang w:val="en-GB"/>
        </w:rPr>
        <w:t xml:space="preserve"> However, in comparison with the work mentioned, the NER was used as indicator for energy conservation, with the best case being 1 and the worst case 0.25.</w:t>
      </w:r>
    </w:p>
    <w:p w14:paraId="1A13520F" w14:textId="6B558110" w:rsidR="005F29D3" w:rsidRDefault="004F412E" w:rsidP="000731B1">
      <w:pPr>
        <w:pStyle w:val="CETHeading1"/>
        <w:numPr>
          <w:ilvl w:val="0"/>
          <w:numId w:val="20"/>
        </w:numPr>
        <w:rPr>
          <w:rFonts w:eastAsia="Arial"/>
        </w:rPr>
      </w:pPr>
      <w:r w:rsidRPr="00734B75">
        <w:rPr>
          <w:rFonts w:eastAsia="Arial"/>
        </w:rPr>
        <w:t>Results and discussion</w:t>
      </w:r>
    </w:p>
    <w:p w14:paraId="6910AC1F" w14:textId="71389E1E" w:rsidR="00692605" w:rsidRPr="00F7607C" w:rsidRDefault="00B441F9" w:rsidP="004504DF">
      <w:pPr>
        <w:pStyle w:val="CETBodytext"/>
        <w:spacing w:after="240"/>
        <w:rPr>
          <w:rFonts w:eastAsia="Arial"/>
        </w:rPr>
      </w:pPr>
      <w:r>
        <w:rPr>
          <w:rFonts w:eastAsia="Arial"/>
        </w:rPr>
        <w:t xml:space="preserve">In table 2 are shown the technical indicators obtained for the cascade biorefinery using WEP method. These indicators were quantified using key operational parameters collected from the process, such as raw material flow, water intake, wastewater flows, products output, energy requirements, among others. For the process 29.62 kg/h of fresh avocado hard waste was used, in which 5.9 kg/h ended in the form of products (biofilm, starch and biocontrol agent). </w:t>
      </w:r>
      <w:r w:rsidR="00113093">
        <w:rPr>
          <w:rFonts w:eastAsia="Arial"/>
        </w:rPr>
        <w:t xml:space="preserve">Furthermore, </w:t>
      </w:r>
      <w:r>
        <w:rPr>
          <w:rFonts w:eastAsia="Arial"/>
        </w:rPr>
        <w:t xml:space="preserve">The water intake was </w:t>
      </w:r>
      <w:r w:rsidR="00691A0F">
        <w:rPr>
          <w:rFonts w:eastAsia="Arial"/>
        </w:rPr>
        <w:t>0.3</w:t>
      </w:r>
      <w:r>
        <w:rPr>
          <w:rFonts w:eastAsia="Arial"/>
        </w:rPr>
        <w:t xml:space="preserve"> </w:t>
      </w:r>
      <w:r w:rsidR="00691A0F">
        <w:rPr>
          <w:rFonts w:eastAsia="Arial"/>
        </w:rPr>
        <w:t>m</w:t>
      </w:r>
      <w:r w:rsidR="00691A0F" w:rsidRPr="00691A0F">
        <w:rPr>
          <w:rFonts w:eastAsia="Arial"/>
          <w:vertAlign w:val="superscript"/>
        </w:rPr>
        <w:t>3</w:t>
      </w:r>
      <w:r w:rsidR="00691A0F">
        <w:rPr>
          <w:rFonts w:eastAsia="Arial"/>
        </w:rPr>
        <w:t xml:space="preserve">/h with a wastewater flow of 0.26 </w:t>
      </w:r>
      <w:r w:rsidR="00691A0F">
        <w:rPr>
          <w:rFonts w:eastAsia="Arial"/>
        </w:rPr>
        <w:t>m</w:t>
      </w:r>
      <w:r w:rsidR="00691A0F" w:rsidRPr="00691A0F">
        <w:rPr>
          <w:rFonts w:eastAsia="Arial"/>
          <w:vertAlign w:val="superscript"/>
        </w:rPr>
        <w:t>3</w:t>
      </w:r>
      <w:r w:rsidR="00691A0F">
        <w:rPr>
          <w:rFonts w:eastAsia="Arial"/>
        </w:rPr>
        <w:t>/h. Lastly, the energy consumption was 4,301.5 MJ/day, in which 55% was electricity use and 38.10% was in the form of heat</w:t>
      </w:r>
      <w:r w:rsidR="004504DF">
        <w:rPr>
          <w:rFonts w:eastAsia="Arial"/>
        </w:rPr>
        <w:t>, from the processes involved in the biorefinery</w:t>
      </w:r>
      <w:r w:rsidR="00AE15A1">
        <w:rPr>
          <w:rFonts w:eastAsia="Arial"/>
        </w:rPr>
        <w:t>.</w:t>
      </w:r>
    </w:p>
    <w:p w14:paraId="0608381E" w14:textId="2CC4DD90" w:rsidR="00FC3036" w:rsidRPr="00F7607C" w:rsidRDefault="00FC3036" w:rsidP="00F7607C">
      <w:pPr>
        <w:pBdr>
          <w:top w:val="nil"/>
          <w:left w:val="nil"/>
          <w:bottom w:val="nil"/>
          <w:right w:val="nil"/>
          <w:between w:val="nil"/>
        </w:pBdr>
        <w:rPr>
          <w:rFonts w:eastAsia="Arial" w:cs="Arial"/>
          <w:i/>
          <w:iCs/>
          <w:color w:val="000000"/>
          <w:szCs w:val="18"/>
          <w:lang w:val="en-US"/>
        </w:rPr>
      </w:pPr>
      <w:bookmarkStart w:id="0" w:name="_Toc144072402"/>
      <w:r w:rsidRPr="00F7607C">
        <w:rPr>
          <w:rFonts w:eastAsia="Arial"/>
          <w:b/>
          <w:bCs/>
          <w:i/>
          <w:iCs/>
          <w:lang w:val="en-US"/>
        </w:rPr>
        <w:t xml:space="preserve">Table </w:t>
      </w:r>
      <w:r w:rsidR="00651C37" w:rsidRPr="00F7607C">
        <w:rPr>
          <w:rFonts w:eastAsia="Arial"/>
          <w:b/>
          <w:bCs/>
          <w:i/>
          <w:iCs/>
          <w:lang w:val="en-US"/>
        </w:rPr>
        <w:t>2</w:t>
      </w:r>
      <w:r w:rsidRPr="00F7607C">
        <w:rPr>
          <w:rFonts w:eastAsia="Arial"/>
          <w:b/>
          <w:bCs/>
          <w:i/>
          <w:iCs/>
          <w:lang w:val="en-US"/>
        </w:rPr>
        <w:t xml:space="preserve">. </w:t>
      </w:r>
      <w:bookmarkEnd w:id="0"/>
      <w:r w:rsidR="00655FF7" w:rsidRPr="00F7607C">
        <w:rPr>
          <w:rFonts w:eastAsia="Arial" w:cs="Arial"/>
          <w:i/>
          <w:iCs/>
          <w:color w:val="000000"/>
          <w:szCs w:val="18"/>
          <w:lang w:val="en-US"/>
        </w:rPr>
        <w:t>R</w:t>
      </w:r>
      <w:r w:rsidR="00655FF7" w:rsidRPr="00F7607C">
        <w:rPr>
          <w:rFonts w:eastAsia="Arial" w:cs="Arial"/>
          <w:i/>
          <w:iCs/>
          <w:color w:val="000000"/>
          <w:szCs w:val="18"/>
        </w:rPr>
        <w:t>esults of the technical evaluation of the cascade biorefinery from Hass avocado waste.</w:t>
      </w:r>
    </w:p>
    <w:tbl>
      <w:tblPr>
        <w:tblW w:w="7050" w:type="dxa"/>
        <w:jc w:val="center"/>
        <w:tblBorders>
          <w:top w:val="single" w:sz="12" w:space="0" w:color="008000"/>
          <w:bottom w:val="single" w:sz="12" w:space="0" w:color="008000"/>
        </w:tblBorders>
        <w:tblLayout w:type="fixed"/>
        <w:tblLook w:val="0000" w:firstRow="0" w:lastRow="0" w:firstColumn="0" w:lastColumn="0" w:noHBand="0" w:noVBand="0"/>
      </w:tblPr>
      <w:tblGrid>
        <w:gridCol w:w="2350"/>
        <w:gridCol w:w="2350"/>
        <w:gridCol w:w="2350"/>
      </w:tblGrid>
      <w:tr w:rsidR="00D930B9" w:rsidRPr="00481D81" w14:paraId="294AF3A8" w14:textId="77912A54" w:rsidTr="00D930B9">
        <w:trPr>
          <w:trHeight w:val="38"/>
          <w:jc w:val="center"/>
        </w:trPr>
        <w:tc>
          <w:tcPr>
            <w:tcW w:w="2350" w:type="dxa"/>
            <w:tcBorders>
              <w:top w:val="single" w:sz="12" w:space="0" w:color="008000"/>
              <w:bottom w:val="single" w:sz="6" w:space="0" w:color="008000"/>
            </w:tcBorders>
            <w:shd w:val="clear" w:color="auto" w:fill="FFFFFF"/>
            <w:vAlign w:val="center"/>
          </w:tcPr>
          <w:p w14:paraId="740414D5" w14:textId="3A5628D3"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b/>
                <w:bCs/>
                <w:color w:val="000000"/>
                <w:szCs w:val="18"/>
                <w:lang w:val="en-US"/>
              </w:rPr>
              <w:t>Indicator</w:t>
            </w:r>
          </w:p>
        </w:tc>
        <w:tc>
          <w:tcPr>
            <w:tcW w:w="2350" w:type="dxa"/>
            <w:tcBorders>
              <w:top w:val="single" w:sz="12" w:space="0" w:color="008000"/>
              <w:bottom w:val="single" w:sz="6" w:space="0" w:color="008000"/>
            </w:tcBorders>
            <w:shd w:val="clear" w:color="auto" w:fill="FFFFFF"/>
            <w:vAlign w:val="center"/>
          </w:tcPr>
          <w:p w14:paraId="5BA01B80" w14:textId="104E5824" w:rsidR="00D930B9" w:rsidRPr="00481D81" w:rsidRDefault="00D930B9" w:rsidP="00734B75">
            <w:pPr>
              <w:pBdr>
                <w:top w:val="nil"/>
                <w:left w:val="nil"/>
                <w:bottom w:val="nil"/>
                <w:right w:val="nil"/>
                <w:between w:val="nil"/>
              </w:pBdr>
              <w:spacing w:line="240" w:lineRule="auto"/>
              <w:jc w:val="center"/>
              <w:rPr>
                <w:rFonts w:eastAsia="Arial" w:cs="Arial"/>
                <w:color w:val="000000"/>
                <w:szCs w:val="18"/>
              </w:rPr>
            </w:pPr>
            <w:r w:rsidRPr="00481D81">
              <w:rPr>
                <w:rFonts w:eastAsia="Arial" w:cs="Arial"/>
                <w:b/>
                <w:bCs/>
                <w:color w:val="000000"/>
                <w:szCs w:val="18"/>
                <w:lang w:val="en-US"/>
              </w:rPr>
              <w:t>Units</w:t>
            </w:r>
          </w:p>
        </w:tc>
        <w:tc>
          <w:tcPr>
            <w:tcW w:w="2350" w:type="dxa"/>
            <w:tcBorders>
              <w:top w:val="single" w:sz="12" w:space="0" w:color="008000"/>
              <w:bottom w:val="single" w:sz="6" w:space="0" w:color="008000"/>
            </w:tcBorders>
            <w:shd w:val="clear" w:color="auto" w:fill="FFFFFF"/>
            <w:vAlign w:val="center"/>
          </w:tcPr>
          <w:p w14:paraId="1711D294" w14:textId="7FAAB075" w:rsidR="00D930B9" w:rsidRPr="00481D81" w:rsidRDefault="00D930B9" w:rsidP="00D930B9">
            <w:pPr>
              <w:pBdr>
                <w:top w:val="nil"/>
                <w:left w:val="nil"/>
                <w:bottom w:val="nil"/>
                <w:right w:val="nil"/>
                <w:between w:val="nil"/>
              </w:pBdr>
              <w:spacing w:line="240" w:lineRule="auto"/>
              <w:jc w:val="center"/>
              <w:rPr>
                <w:rFonts w:eastAsia="Arial" w:cs="Arial"/>
                <w:b/>
                <w:bCs/>
                <w:color w:val="000000"/>
                <w:szCs w:val="18"/>
                <w:lang w:val="en-US"/>
              </w:rPr>
            </w:pPr>
            <w:r w:rsidRPr="00481D81">
              <w:rPr>
                <w:rFonts w:eastAsia="Arial" w:cs="Arial"/>
                <w:b/>
                <w:bCs/>
                <w:color w:val="000000"/>
                <w:szCs w:val="18"/>
                <w:lang w:val="en-US"/>
              </w:rPr>
              <w:t>Value</w:t>
            </w:r>
          </w:p>
        </w:tc>
      </w:tr>
      <w:tr w:rsidR="00D930B9" w:rsidRPr="00481D81" w14:paraId="28539293" w14:textId="77777777" w:rsidTr="00D930B9">
        <w:trPr>
          <w:trHeight w:val="20"/>
          <w:jc w:val="center"/>
        </w:trPr>
        <w:tc>
          <w:tcPr>
            <w:tcW w:w="2350" w:type="dxa"/>
            <w:shd w:val="clear" w:color="auto" w:fill="FFFFFF"/>
            <w:vAlign w:val="center"/>
          </w:tcPr>
          <w:p w14:paraId="37779BEA" w14:textId="7B85EDC6" w:rsidR="00D930B9" w:rsidRPr="00481D81" w:rsidRDefault="00D930B9" w:rsidP="00D930B9">
            <w:pPr>
              <w:jc w:val="center"/>
              <w:rPr>
                <w:rFonts w:cs="Arial"/>
                <w:color w:val="000000"/>
                <w:szCs w:val="18"/>
              </w:rPr>
            </w:pPr>
            <w:r w:rsidRPr="00481D81">
              <w:rPr>
                <w:rFonts w:cs="Arial"/>
                <w:color w:val="000000"/>
                <w:szCs w:val="18"/>
              </w:rPr>
              <w:t>Production Yield</w:t>
            </w:r>
          </w:p>
        </w:tc>
        <w:tc>
          <w:tcPr>
            <w:tcW w:w="2350" w:type="dxa"/>
            <w:shd w:val="clear" w:color="auto" w:fill="FFFFFF"/>
            <w:vAlign w:val="center"/>
          </w:tcPr>
          <w:p w14:paraId="02A521A6" w14:textId="7DF6A16A"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w:t>
            </w:r>
          </w:p>
        </w:tc>
        <w:tc>
          <w:tcPr>
            <w:tcW w:w="2350" w:type="dxa"/>
            <w:shd w:val="clear" w:color="auto" w:fill="FFFFFF"/>
            <w:vAlign w:val="center"/>
          </w:tcPr>
          <w:p w14:paraId="14089547" w14:textId="46F4E3D3" w:rsidR="00D930B9" w:rsidRPr="00481D81" w:rsidRDefault="00E544A8" w:rsidP="00E544A8">
            <w:pPr>
              <w:jc w:val="center"/>
              <w:rPr>
                <w:rFonts w:cs="Arial"/>
                <w:color w:val="000000"/>
                <w:szCs w:val="18"/>
              </w:rPr>
            </w:pPr>
            <w:r w:rsidRPr="00481D81">
              <w:rPr>
                <w:rFonts w:cs="Arial"/>
                <w:color w:val="000000"/>
                <w:szCs w:val="18"/>
              </w:rPr>
              <w:t>20.03</w:t>
            </w:r>
          </w:p>
        </w:tc>
      </w:tr>
      <w:tr w:rsidR="00D930B9" w:rsidRPr="00481D81" w14:paraId="36712A1B" w14:textId="77777777" w:rsidTr="00D930B9">
        <w:trPr>
          <w:trHeight w:val="20"/>
          <w:jc w:val="center"/>
        </w:trPr>
        <w:tc>
          <w:tcPr>
            <w:tcW w:w="2350" w:type="dxa"/>
            <w:shd w:val="clear" w:color="auto" w:fill="FFFFFF"/>
            <w:vAlign w:val="center"/>
          </w:tcPr>
          <w:p w14:paraId="3D0E1633" w14:textId="0712E91F" w:rsidR="00D930B9" w:rsidRPr="00481D81" w:rsidRDefault="00D930B9" w:rsidP="00D930B9">
            <w:pPr>
              <w:jc w:val="center"/>
              <w:rPr>
                <w:rFonts w:cs="Arial"/>
                <w:color w:val="000000"/>
                <w:szCs w:val="18"/>
              </w:rPr>
            </w:pPr>
            <w:r w:rsidRPr="00481D81">
              <w:rPr>
                <w:rFonts w:cs="Arial"/>
                <w:color w:val="000000"/>
                <w:szCs w:val="18"/>
              </w:rPr>
              <w:t>Fractional Water</w:t>
            </w:r>
            <w:r w:rsidRPr="00481D81">
              <w:rPr>
                <w:rFonts w:cs="Arial"/>
                <w:color w:val="000000"/>
                <w:szCs w:val="18"/>
              </w:rPr>
              <w:br/>
              <w:t>Consumption</w:t>
            </w:r>
            <w:r w:rsidRPr="00481D81">
              <w:rPr>
                <w:rFonts w:cs="Arial"/>
                <w:color w:val="000000"/>
                <w:szCs w:val="18"/>
              </w:rPr>
              <w:br/>
              <w:t>(FWC)</w:t>
            </w:r>
          </w:p>
        </w:tc>
        <w:tc>
          <w:tcPr>
            <w:tcW w:w="2350" w:type="dxa"/>
            <w:shd w:val="clear" w:color="auto" w:fill="FFFFFF"/>
            <w:vAlign w:val="center"/>
          </w:tcPr>
          <w:p w14:paraId="607684FB" w14:textId="799B6E51"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m</w:t>
            </w:r>
            <w:r w:rsidRPr="00691A0F">
              <w:rPr>
                <w:rFonts w:eastAsia="Arial" w:cs="Arial"/>
                <w:color w:val="000000"/>
                <w:szCs w:val="18"/>
                <w:vertAlign w:val="superscript"/>
              </w:rPr>
              <w:t>3</w:t>
            </w:r>
            <w:r w:rsidRPr="00481D81">
              <w:rPr>
                <w:rFonts w:eastAsia="Arial" w:cs="Arial"/>
                <w:color w:val="000000"/>
                <w:szCs w:val="18"/>
              </w:rPr>
              <w:t>/t</w:t>
            </w:r>
          </w:p>
        </w:tc>
        <w:tc>
          <w:tcPr>
            <w:tcW w:w="2350" w:type="dxa"/>
            <w:shd w:val="clear" w:color="auto" w:fill="FFFFFF"/>
            <w:vAlign w:val="center"/>
          </w:tcPr>
          <w:p w14:paraId="3DD884F3" w14:textId="3BD4E48D" w:rsidR="00D930B9" w:rsidRPr="00481D81" w:rsidRDefault="00E544A8" w:rsidP="00E544A8">
            <w:pPr>
              <w:jc w:val="center"/>
              <w:rPr>
                <w:rFonts w:cs="Arial"/>
                <w:color w:val="000000"/>
                <w:szCs w:val="18"/>
              </w:rPr>
            </w:pPr>
            <w:r w:rsidRPr="00481D81">
              <w:rPr>
                <w:rFonts w:cs="Arial"/>
                <w:color w:val="000000"/>
                <w:szCs w:val="18"/>
              </w:rPr>
              <w:t>1.90</w:t>
            </w:r>
          </w:p>
        </w:tc>
      </w:tr>
      <w:tr w:rsidR="00D930B9" w:rsidRPr="00481D81" w14:paraId="266D8AC0" w14:textId="77777777" w:rsidTr="00D930B9">
        <w:trPr>
          <w:trHeight w:val="20"/>
          <w:jc w:val="center"/>
        </w:trPr>
        <w:tc>
          <w:tcPr>
            <w:tcW w:w="2350" w:type="dxa"/>
            <w:shd w:val="clear" w:color="auto" w:fill="FFFFFF"/>
            <w:vAlign w:val="center"/>
          </w:tcPr>
          <w:p w14:paraId="204899EB" w14:textId="465A08DD" w:rsidR="00D930B9" w:rsidRPr="00481D81" w:rsidRDefault="00D930B9" w:rsidP="00D930B9">
            <w:pPr>
              <w:jc w:val="center"/>
              <w:rPr>
                <w:rFonts w:cs="Arial"/>
                <w:color w:val="000000"/>
                <w:szCs w:val="18"/>
              </w:rPr>
            </w:pPr>
            <w:r w:rsidRPr="00481D81">
              <w:rPr>
                <w:rFonts w:cs="Arial"/>
                <w:color w:val="000000"/>
                <w:szCs w:val="18"/>
              </w:rPr>
              <w:lastRenderedPageBreak/>
              <w:t>Total Cost of</w:t>
            </w:r>
            <w:r w:rsidRPr="00481D81">
              <w:rPr>
                <w:rFonts w:cs="Arial"/>
                <w:color w:val="000000"/>
                <w:szCs w:val="18"/>
              </w:rPr>
              <w:br/>
              <w:t>Freshwater (TCF)</w:t>
            </w:r>
          </w:p>
        </w:tc>
        <w:tc>
          <w:tcPr>
            <w:tcW w:w="2350" w:type="dxa"/>
            <w:shd w:val="clear" w:color="auto" w:fill="FFFFFF"/>
            <w:vAlign w:val="center"/>
          </w:tcPr>
          <w:p w14:paraId="1C4594C1" w14:textId="5AE421B8"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USD/day</w:t>
            </w:r>
          </w:p>
        </w:tc>
        <w:tc>
          <w:tcPr>
            <w:tcW w:w="2350" w:type="dxa"/>
            <w:shd w:val="clear" w:color="auto" w:fill="FFFFFF"/>
            <w:vAlign w:val="center"/>
          </w:tcPr>
          <w:p w14:paraId="3468756C" w14:textId="7150D953" w:rsidR="00D930B9" w:rsidRPr="00481D81" w:rsidRDefault="00E544A8" w:rsidP="00E544A8">
            <w:pPr>
              <w:jc w:val="center"/>
              <w:rPr>
                <w:rFonts w:cs="Arial"/>
                <w:color w:val="000000"/>
                <w:szCs w:val="18"/>
              </w:rPr>
            </w:pPr>
            <w:r w:rsidRPr="00481D81">
              <w:rPr>
                <w:rFonts w:cs="Arial"/>
                <w:color w:val="000000"/>
                <w:szCs w:val="18"/>
              </w:rPr>
              <w:t>2.86</w:t>
            </w:r>
          </w:p>
        </w:tc>
      </w:tr>
      <w:tr w:rsidR="00D930B9" w:rsidRPr="00481D81" w14:paraId="28BFAD8C" w14:textId="77777777" w:rsidTr="00D930B9">
        <w:trPr>
          <w:trHeight w:val="20"/>
          <w:jc w:val="center"/>
        </w:trPr>
        <w:tc>
          <w:tcPr>
            <w:tcW w:w="2350" w:type="dxa"/>
            <w:shd w:val="clear" w:color="auto" w:fill="FFFFFF"/>
            <w:vAlign w:val="center"/>
          </w:tcPr>
          <w:p w14:paraId="548F9272" w14:textId="2FD9FAE7" w:rsidR="00D930B9" w:rsidRPr="00481D81" w:rsidRDefault="00D930B9" w:rsidP="00D930B9">
            <w:pPr>
              <w:jc w:val="center"/>
              <w:rPr>
                <w:rFonts w:cs="Arial"/>
                <w:color w:val="000000"/>
                <w:szCs w:val="18"/>
              </w:rPr>
            </w:pPr>
            <w:r w:rsidRPr="00481D81">
              <w:rPr>
                <w:rFonts w:cs="Arial"/>
                <w:color w:val="000000"/>
                <w:szCs w:val="18"/>
              </w:rPr>
              <w:t>Wastewater</w:t>
            </w:r>
            <w:r w:rsidRPr="00481D81">
              <w:rPr>
                <w:rFonts w:cs="Arial"/>
                <w:color w:val="000000"/>
                <w:szCs w:val="18"/>
              </w:rPr>
              <w:br/>
              <w:t>Production Ratio</w:t>
            </w:r>
            <w:r w:rsidRPr="00481D81">
              <w:rPr>
                <w:rFonts w:cs="Arial"/>
                <w:color w:val="000000"/>
                <w:szCs w:val="18"/>
              </w:rPr>
              <w:br/>
              <w:t>(WPR)</w:t>
            </w:r>
          </w:p>
        </w:tc>
        <w:tc>
          <w:tcPr>
            <w:tcW w:w="2350" w:type="dxa"/>
            <w:shd w:val="clear" w:color="auto" w:fill="FFFFFF"/>
            <w:vAlign w:val="center"/>
          </w:tcPr>
          <w:p w14:paraId="22F20F6F" w14:textId="7CEE7944"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w:t>
            </w:r>
          </w:p>
        </w:tc>
        <w:tc>
          <w:tcPr>
            <w:tcW w:w="2350" w:type="dxa"/>
            <w:shd w:val="clear" w:color="auto" w:fill="FFFFFF"/>
            <w:vAlign w:val="center"/>
          </w:tcPr>
          <w:p w14:paraId="3B46DE01" w14:textId="45AE38C4" w:rsidR="00D930B9" w:rsidRPr="00481D81" w:rsidRDefault="00E544A8" w:rsidP="00E544A8">
            <w:pPr>
              <w:jc w:val="center"/>
              <w:rPr>
                <w:rFonts w:cs="Arial"/>
                <w:color w:val="000000"/>
                <w:szCs w:val="18"/>
              </w:rPr>
            </w:pPr>
            <w:r w:rsidRPr="00481D81">
              <w:rPr>
                <w:rFonts w:cs="Arial"/>
                <w:color w:val="000000"/>
                <w:szCs w:val="18"/>
              </w:rPr>
              <w:t>86.35</w:t>
            </w:r>
          </w:p>
        </w:tc>
      </w:tr>
      <w:tr w:rsidR="00D930B9" w:rsidRPr="00481D81" w14:paraId="2256B477" w14:textId="77777777" w:rsidTr="00D930B9">
        <w:trPr>
          <w:trHeight w:val="20"/>
          <w:jc w:val="center"/>
        </w:trPr>
        <w:tc>
          <w:tcPr>
            <w:tcW w:w="2350" w:type="dxa"/>
            <w:shd w:val="clear" w:color="auto" w:fill="FFFFFF"/>
            <w:vAlign w:val="center"/>
          </w:tcPr>
          <w:p w14:paraId="0C9EAB5C" w14:textId="469727AD" w:rsidR="00D930B9" w:rsidRPr="00481D81" w:rsidRDefault="00D930B9" w:rsidP="00D930B9">
            <w:pPr>
              <w:jc w:val="center"/>
              <w:rPr>
                <w:rFonts w:cs="Arial"/>
                <w:color w:val="000000"/>
                <w:szCs w:val="18"/>
              </w:rPr>
            </w:pPr>
            <w:r w:rsidRPr="00481D81">
              <w:rPr>
                <w:rFonts w:cs="Arial"/>
                <w:color w:val="000000"/>
                <w:szCs w:val="18"/>
              </w:rPr>
              <w:t>Index of Reused</w:t>
            </w:r>
            <w:r w:rsidRPr="00481D81">
              <w:rPr>
                <w:rFonts w:cs="Arial"/>
                <w:color w:val="000000"/>
                <w:szCs w:val="18"/>
              </w:rPr>
              <w:br/>
              <w:t>Unconverted</w:t>
            </w:r>
            <w:r w:rsidRPr="00481D81">
              <w:rPr>
                <w:rFonts w:cs="Arial"/>
                <w:color w:val="000000"/>
                <w:szCs w:val="18"/>
              </w:rPr>
              <w:br/>
              <w:t>Material (IRUM)</w:t>
            </w:r>
          </w:p>
        </w:tc>
        <w:tc>
          <w:tcPr>
            <w:tcW w:w="2350" w:type="dxa"/>
            <w:shd w:val="clear" w:color="auto" w:fill="FFFFFF"/>
            <w:vAlign w:val="center"/>
          </w:tcPr>
          <w:p w14:paraId="3E20A57D" w14:textId="63AF1558"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w:t>
            </w:r>
          </w:p>
        </w:tc>
        <w:tc>
          <w:tcPr>
            <w:tcW w:w="2350" w:type="dxa"/>
            <w:shd w:val="clear" w:color="auto" w:fill="FFFFFF"/>
            <w:vAlign w:val="center"/>
          </w:tcPr>
          <w:p w14:paraId="057987AD" w14:textId="47C49B88" w:rsidR="00D930B9" w:rsidRPr="00481D81" w:rsidRDefault="00E544A8" w:rsidP="00E544A8">
            <w:pPr>
              <w:jc w:val="center"/>
              <w:rPr>
                <w:rFonts w:cs="Arial"/>
                <w:color w:val="000000"/>
                <w:szCs w:val="18"/>
              </w:rPr>
            </w:pPr>
            <w:r w:rsidRPr="00481D81">
              <w:rPr>
                <w:rFonts w:cs="Arial"/>
                <w:color w:val="000000"/>
                <w:szCs w:val="18"/>
              </w:rPr>
              <w:t>11.51</w:t>
            </w:r>
          </w:p>
        </w:tc>
      </w:tr>
      <w:tr w:rsidR="00D930B9" w:rsidRPr="00481D81" w14:paraId="6792B4E7" w14:textId="77777777" w:rsidTr="00D930B9">
        <w:trPr>
          <w:trHeight w:val="20"/>
          <w:jc w:val="center"/>
        </w:trPr>
        <w:tc>
          <w:tcPr>
            <w:tcW w:w="2350" w:type="dxa"/>
            <w:shd w:val="clear" w:color="auto" w:fill="FFFFFF"/>
            <w:vAlign w:val="center"/>
          </w:tcPr>
          <w:p w14:paraId="5E9511F7" w14:textId="4D40B484" w:rsidR="00D930B9" w:rsidRPr="00481D81" w:rsidRDefault="00D930B9" w:rsidP="00D930B9">
            <w:pPr>
              <w:jc w:val="center"/>
              <w:rPr>
                <w:rFonts w:cs="Arial"/>
                <w:color w:val="000000"/>
                <w:szCs w:val="18"/>
              </w:rPr>
            </w:pPr>
            <w:r w:rsidRPr="00481D81">
              <w:rPr>
                <w:rFonts w:cs="Arial"/>
                <w:color w:val="000000"/>
                <w:szCs w:val="18"/>
              </w:rPr>
              <w:t>Total Cost of</w:t>
            </w:r>
            <w:r w:rsidRPr="00481D81">
              <w:rPr>
                <w:rFonts w:cs="Arial"/>
                <w:color w:val="000000"/>
                <w:szCs w:val="18"/>
              </w:rPr>
              <w:br/>
              <w:t>Energy (TCE)</w:t>
            </w:r>
          </w:p>
        </w:tc>
        <w:tc>
          <w:tcPr>
            <w:tcW w:w="2350" w:type="dxa"/>
            <w:shd w:val="clear" w:color="auto" w:fill="FFFFFF"/>
            <w:vAlign w:val="center"/>
          </w:tcPr>
          <w:p w14:paraId="1475D092" w14:textId="39514CF6"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US</w:t>
            </w:r>
            <w:r w:rsidRPr="00481D81">
              <w:rPr>
                <w:rFonts w:eastAsia="Arial" w:cs="Arial"/>
                <w:color w:val="000000"/>
                <w:szCs w:val="18"/>
              </w:rPr>
              <w:t>D</w:t>
            </w:r>
            <w:r w:rsidRPr="00481D81">
              <w:rPr>
                <w:rFonts w:eastAsia="Arial" w:cs="Arial"/>
                <w:color w:val="000000"/>
                <w:szCs w:val="18"/>
              </w:rPr>
              <w:t>/day</w:t>
            </w:r>
          </w:p>
          <w:p w14:paraId="17DF1B6E" w14:textId="37C744BA"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p>
        </w:tc>
        <w:tc>
          <w:tcPr>
            <w:tcW w:w="2350" w:type="dxa"/>
            <w:shd w:val="clear" w:color="auto" w:fill="FFFFFF"/>
            <w:vAlign w:val="center"/>
          </w:tcPr>
          <w:p w14:paraId="652C179C" w14:textId="5C8F9290" w:rsidR="00D930B9" w:rsidRPr="00481D81" w:rsidRDefault="00E544A8" w:rsidP="00E544A8">
            <w:pPr>
              <w:jc w:val="center"/>
              <w:rPr>
                <w:rFonts w:cs="Arial"/>
                <w:color w:val="000000"/>
                <w:szCs w:val="18"/>
              </w:rPr>
            </w:pPr>
            <w:r w:rsidRPr="00481D81">
              <w:rPr>
                <w:rFonts w:cs="Arial"/>
                <w:color w:val="000000"/>
                <w:szCs w:val="18"/>
              </w:rPr>
              <w:t>132.00</w:t>
            </w:r>
          </w:p>
        </w:tc>
      </w:tr>
      <w:tr w:rsidR="00D930B9" w:rsidRPr="00481D81" w14:paraId="20DD92A8" w14:textId="77777777" w:rsidTr="00D930B9">
        <w:trPr>
          <w:trHeight w:val="20"/>
          <w:jc w:val="center"/>
        </w:trPr>
        <w:tc>
          <w:tcPr>
            <w:tcW w:w="2350" w:type="dxa"/>
            <w:shd w:val="clear" w:color="auto" w:fill="FFFFFF"/>
            <w:vAlign w:val="center"/>
          </w:tcPr>
          <w:p w14:paraId="50CCEBF9" w14:textId="3307CC98" w:rsidR="00D930B9" w:rsidRPr="00481D81" w:rsidRDefault="00D930B9" w:rsidP="00D930B9">
            <w:pPr>
              <w:jc w:val="center"/>
              <w:rPr>
                <w:rFonts w:cs="Arial"/>
                <w:color w:val="000000"/>
                <w:szCs w:val="18"/>
              </w:rPr>
            </w:pPr>
            <w:r w:rsidRPr="00481D81">
              <w:rPr>
                <w:rFonts w:cs="Arial"/>
                <w:color w:val="000000"/>
                <w:szCs w:val="18"/>
              </w:rPr>
              <w:t>Energy Specific</w:t>
            </w:r>
            <w:r w:rsidRPr="00481D81">
              <w:rPr>
                <w:rFonts w:cs="Arial"/>
                <w:color w:val="000000"/>
                <w:szCs w:val="18"/>
              </w:rPr>
              <w:br/>
              <w:t>Intensity (ESI)</w:t>
            </w:r>
          </w:p>
        </w:tc>
        <w:tc>
          <w:tcPr>
            <w:tcW w:w="2350" w:type="dxa"/>
            <w:shd w:val="clear" w:color="auto" w:fill="FFFFFF"/>
            <w:vAlign w:val="center"/>
          </w:tcPr>
          <w:p w14:paraId="6085846D" w14:textId="4ED2C3AF"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MJ/t</w:t>
            </w:r>
          </w:p>
        </w:tc>
        <w:tc>
          <w:tcPr>
            <w:tcW w:w="2350" w:type="dxa"/>
            <w:shd w:val="clear" w:color="auto" w:fill="FFFFFF"/>
            <w:vAlign w:val="center"/>
          </w:tcPr>
          <w:p w14:paraId="7D3622AF" w14:textId="0AF67635" w:rsidR="00D930B9" w:rsidRPr="00481D81" w:rsidRDefault="00E544A8" w:rsidP="00E544A8">
            <w:pPr>
              <w:jc w:val="center"/>
              <w:rPr>
                <w:rFonts w:cs="Arial"/>
                <w:color w:val="000000"/>
                <w:szCs w:val="18"/>
              </w:rPr>
            </w:pPr>
            <w:r w:rsidRPr="00481D81">
              <w:rPr>
                <w:rFonts w:cs="Arial"/>
                <w:color w:val="000000"/>
                <w:szCs w:val="18"/>
              </w:rPr>
              <w:t>27,410.20</w:t>
            </w:r>
          </w:p>
        </w:tc>
      </w:tr>
      <w:tr w:rsidR="00D930B9" w:rsidRPr="00481D81" w14:paraId="6F0BC5A8" w14:textId="77777777" w:rsidTr="00D930B9">
        <w:trPr>
          <w:trHeight w:val="20"/>
          <w:jc w:val="center"/>
        </w:trPr>
        <w:tc>
          <w:tcPr>
            <w:tcW w:w="2350" w:type="dxa"/>
            <w:shd w:val="clear" w:color="auto" w:fill="FFFFFF"/>
            <w:vAlign w:val="center"/>
          </w:tcPr>
          <w:p w14:paraId="6982609B" w14:textId="558A3B0A" w:rsidR="00D930B9" w:rsidRPr="00481D81" w:rsidRDefault="00D930B9" w:rsidP="00D930B9">
            <w:pPr>
              <w:jc w:val="center"/>
              <w:rPr>
                <w:rFonts w:cs="Arial"/>
                <w:color w:val="000000"/>
                <w:szCs w:val="18"/>
              </w:rPr>
            </w:pPr>
            <w:r w:rsidRPr="00481D81">
              <w:rPr>
                <w:rFonts w:cs="Arial"/>
                <w:color w:val="000000"/>
                <w:szCs w:val="18"/>
              </w:rPr>
              <w:t>Natural Gas</w:t>
            </w:r>
            <w:r w:rsidRPr="00481D81">
              <w:rPr>
                <w:rFonts w:cs="Arial"/>
                <w:color w:val="000000"/>
                <w:szCs w:val="18"/>
              </w:rPr>
              <w:br/>
              <w:t>Consumption</w:t>
            </w:r>
            <w:r w:rsidRPr="00481D81">
              <w:rPr>
                <w:rFonts w:cs="Arial"/>
                <w:color w:val="000000"/>
                <w:szCs w:val="18"/>
              </w:rPr>
              <w:br/>
              <w:t>Index (NGCI)</w:t>
            </w:r>
          </w:p>
        </w:tc>
        <w:tc>
          <w:tcPr>
            <w:tcW w:w="2350" w:type="dxa"/>
            <w:shd w:val="clear" w:color="auto" w:fill="FFFFFF"/>
            <w:vAlign w:val="center"/>
          </w:tcPr>
          <w:p w14:paraId="49C1096D" w14:textId="06A9EDF0"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m</w:t>
            </w:r>
            <w:r w:rsidRPr="00691A0F">
              <w:rPr>
                <w:rFonts w:eastAsia="Arial" w:cs="Arial"/>
                <w:color w:val="000000"/>
                <w:szCs w:val="18"/>
                <w:vertAlign w:val="superscript"/>
              </w:rPr>
              <w:t>3</w:t>
            </w:r>
            <w:r w:rsidRPr="00481D81">
              <w:rPr>
                <w:rFonts w:eastAsia="Arial" w:cs="Arial"/>
                <w:color w:val="000000"/>
                <w:szCs w:val="18"/>
              </w:rPr>
              <w:t>/t</w:t>
            </w:r>
          </w:p>
        </w:tc>
        <w:tc>
          <w:tcPr>
            <w:tcW w:w="2350" w:type="dxa"/>
            <w:shd w:val="clear" w:color="auto" w:fill="FFFFFF"/>
            <w:vAlign w:val="center"/>
          </w:tcPr>
          <w:p w14:paraId="0D9382C0" w14:textId="3B1C47A2" w:rsidR="00D930B9" w:rsidRPr="00481D81" w:rsidRDefault="00E544A8" w:rsidP="00E544A8">
            <w:pPr>
              <w:jc w:val="center"/>
              <w:rPr>
                <w:rFonts w:cs="Arial"/>
                <w:color w:val="000000"/>
                <w:szCs w:val="18"/>
              </w:rPr>
            </w:pPr>
            <w:r w:rsidRPr="00481D81">
              <w:rPr>
                <w:rFonts w:cs="Arial"/>
                <w:color w:val="000000"/>
                <w:szCs w:val="18"/>
              </w:rPr>
              <w:t>5.45</w:t>
            </w:r>
          </w:p>
        </w:tc>
      </w:tr>
      <w:tr w:rsidR="00D930B9" w:rsidRPr="00481D81" w14:paraId="623DD1D0" w14:textId="77777777" w:rsidTr="00D930B9">
        <w:trPr>
          <w:trHeight w:val="20"/>
          <w:jc w:val="center"/>
        </w:trPr>
        <w:tc>
          <w:tcPr>
            <w:tcW w:w="2350" w:type="dxa"/>
            <w:shd w:val="clear" w:color="auto" w:fill="FFFFFF"/>
            <w:vAlign w:val="center"/>
          </w:tcPr>
          <w:p w14:paraId="036F4F20" w14:textId="349865E8" w:rsidR="00D930B9" w:rsidRPr="00481D81" w:rsidRDefault="00D930B9" w:rsidP="00D930B9">
            <w:pPr>
              <w:jc w:val="center"/>
              <w:rPr>
                <w:rFonts w:cs="Arial"/>
                <w:color w:val="000000"/>
                <w:szCs w:val="18"/>
              </w:rPr>
            </w:pPr>
            <w:r w:rsidRPr="00481D81">
              <w:rPr>
                <w:rFonts w:cs="Arial"/>
                <w:color w:val="000000"/>
                <w:szCs w:val="18"/>
              </w:rPr>
              <w:t>Electric Energy</w:t>
            </w:r>
            <w:r w:rsidRPr="00481D81">
              <w:rPr>
                <w:rFonts w:cs="Arial"/>
                <w:color w:val="000000"/>
                <w:szCs w:val="18"/>
              </w:rPr>
              <w:br/>
              <w:t>Consumption</w:t>
            </w:r>
            <w:r w:rsidRPr="00481D81">
              <w:rPr>
                <w:rFonts w:cs="Arial"/>
                <w:color w:val="000000"/>
                <w:szCs w:val="18"/>
              </w:rPr>
              <w:br/>
              <w:t>Index (EECI)</w:t>
            </w:r>
          </w:p>
        </w:tc>
        <w:tc>
          <w:tcPr>
            <w:tcW w:w="2350" w:type="dxa"/>
            <w:shd w:val="clear" w:color="auto" w:fill="FFFFFF"/>
            <w:vAlign w:val="center"/>
          </w:tcPr>
          <w:p w14:paraId="603B2C41" w14:textId="7F025932"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kWh/t</w:t>
            </w:r>
          </w:p>
        </w:tc>
        <w:tc>
          <w:tcPr>
            <w:tcW w:w="2350" w:type="dxa"/>
            <w:shd w:val="clear" w:color="auto" w:fill="FFFFFF"/>
            <w:vAlign w:val="center"/>
          </w:tcPr>
          <w:p w14:paraId="591DAB34" w14:textId="5D9F1603" w:rsidR="00D930B9" w:rsidRPr="00481D81" w:rsidRDefault="00E544A8" w:rsidP="00E544A8">
            <w:pPr>
              <w:jc w:val="center"/>
              <w:rPr>
                <w:rFonts w:cs="Arial"/>
                <w:color w:val="000000"/>
                <w:szCs w:val="18"/>
              </w:rPr>
            </w:pPr>
            <w:r w:rsidRPr="00481D81">
              <w:rPr>
                <w:rFonts w:cs="Arial"/>
                <w:color w:val="000000"/>
                <w:szCs w:val="18"/>
              </w:rPr>
              <w:t>4,141.61</w:t>
            </w:r>
          </w:p>
        </w:tc>
      </w:tr>
      <w:tr w:rsidR="00D930B9" w:rsidRPr="00481D81" w14:paraId="2C2BF4F5" w14:textId="77777777" w:rsidTr="00D930B9">
        <w:trPr>
          <w:trHeight w:val="20"/>
          <w:jc w:val="center"/>
        </w:trPr>
        <w:tc>
          <w:tcPr>
            <w:tcW w:w="2350" w:type="dxa"/>
            <w:shd w:val="clear" w:color="auto" w:fill="FFFFFF"/>
            <w:vAlign w:val="center"/>
          </w:tcPr>
          <w:p w14:paraId="18820010" w14:textId="6B0832F9" w:rsidR="00D930B9" w:rsidRPr="00481D81" w:rsidRDefault="00D930B9" w:rsidP="00D930B9">
            <w:pPr>
              <w:jc w:val="center"/>
              <w:rPr>
                <w:rFonts w:cs="Arial"/>
                <w:color w:val="000000"/>
                <w:szCs w:val="18"/>
              </w:rPr>
            </w:pPr>
            <w:r w:rsidRPr="00481D81">
              <w:rPr>
                <w:rFonts w:cs="Arial"/>
                <w:color w:val="000000"/>
                <w:szCs w:val="18"/>
              </w:rPr>
              <w:t>Net Energy</w:t>
            </w:r>
            <w:r w:rsidRPr="00481D81">
              <w:rPr>
                <w:rFonts w:cs="Arial"/>
                <w:color w:val="000000"/>
                <w:szCs w:val="18"/>
              </w:rPr>
              <w:br/>
              <w:t>ratio (NER)</w:t>
            </w:r>
          </w:p>
        </w:tc>
        <w:tc>
          <w:tcPr>
            <w:tcW w:w="2350" w:type="dxa"/>
            <w:shd w:val="clear" w:color="auto" w:fill="FFFFFF"/>
            <w:vAlign w:val="center"/>
          </w:tcPr>
          <w:p w14:paraId="4E492FEB" w14:textId="1824DF95"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Dimensionless</w:t>
            </w:r>
          </w:p>
        </w:tc>
        <w:tc>
          <w:tcPr>
            <w:tcW w:w="2350" w:type="dxa"/>
            <w:shd w:val="clear" w:color="auto" w:fill="FFFFFF"/>
            <w:vAlign w:val="center"/>
          </w:tcPr>
          <w:p w14:paraId="68C0167F" w14:textId="3A60707D" w:rsidR="00D930B9" w:rsidRPr="00481D81" w:rsidRDefault="00E544A8"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0.13</w:t>
            </w:r>
          </w:p>
        </w:tc>
      </w:tr>
      <w:tr w:rsidR="00D930B9" w:rsidRPr="00481D81" w14:paraId="4E67B656" w14:textId="77777777" w:rsidTr="00D930B9">
        <w:trPr>
          <w:trHeight w:val="20"/>
          <w:jc w:val="center"/>
        </w:trPr>
        <w:tc>
          <w:tcPr>
            <w:tcW w:w="2350" w:type="dxa"/>
            <w:shd w:val="clear" w:color="auto" w:fill="FFFFFF"/>
            <w:vAlign w:val="center"/>
          </w:tcPr>
          <w:p w14:paraId="6AD98D2F" w14:textId="24BC68AB" w:rsidR="00D930B9" w:rsidRPr="00481D81" w:rsidRDefault="00D930B9" w:rsidP="00D930B9">
            <w:pPr>
              <w:jc w:val="center"/>
              <w:rPr>
                <w:rFonts w:cs="Arial"/>
                <w:color w:val="000000"/>
                <w:szCs w:val="18"/>
              </w:rPr>
            </w:pPr>
            <w:r w:rsidRPr="00481D81">
              <w:rPr>
                <w:rFonts w:cs="Arial"/>
                <w:color w:val="000000"/>
                <w:szCs w:val="18"/>
              </w:rPr>
              <w:t>Energy Usability</w:t>
            </w:r>
            <w:r w:rsidRPr="00481D81">
              <w:rPr>
                <w:rFonts w:cs="Arial"/>
                <w:color w:val="000000"/>
                <w:szCs w:val="18"/>
              </w:rPr>
              <w:br/>
              <w:t>Index (EUI)</w:t>
            </w:r>
          </w:p>
        </w:tc>
        <w:tc>
          <w:tcPr>
            <w:tcW w:w="2350" w:type="dxa"/>
            <w:shd w:val="clear" w:color="auto" w:fill="FFFFFF"/>
            <w:vAlign w:val="center"/>
          </w:tcPr>
          <w:p w14:paraId="370A306C" w14:textId="04E015D9" w:rsidR="00D930B9" w:rsidRPr="00481D81" w:rsidRDefault="00D930B9"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Dimensionless</w:t>
            </w:r>
          </w:p>
        </w:tc>
        <w:tc>
          <w:tcPr>
            <w:tcW w:w="2350" w:type="dxa"/>
            <w:shd w:val="clear" w:color="auto" w:fill="FFFFFF"/>
            <w:vAlign w:val="center"/>
          </w:tcPr>
          <w:p w14:paraId="1CF06BE3" w14:textId="0837BECB" w:rsidR="00D930B9" w:rsidRPr="00481D81" w:rsidRDefault="00E544A8" w:rsidP="00D930B9">
            <w:pPr>
              <w:pBdr>
                <w:top w:val="nil"/>
                <w:left w:val="nil"/>
                <w:bottom w:val="nil"/>
                <w:right w:val="nil"/>
                <w:between w:val="nil"/>
              </w:pBdr>
              <w:spacing w:line="240" w:lineRule="auto"/>
              <w:jc w:val="center"/>
              <w:rPr>
                <w:rFonts w:eastAsia="Arial" w:cs="Arial"/>
                <w:color w:val="000000"/>
                <w:szCs w:val="18"/>
              </w:rPr>
            </w:pPr>
            <w:r w:rsidRPr="00481D81">
              <w:rPr>
                <w:rFonts w:eastAsia="Arial" w:cs="Arial"/>
                <w:color w:val="000000"/>
                <w:szCs w:val="18"/>
              </w:rPr>
              <w:t>0.54</w:t>
            </w:r>
          </w:p>
        </w:tc>
      </w:tr>
    </w:tbl>
    <w:p w14:paraId="69A193F8" w14:textId="77777777" w:rsidR="00D930B9" w:rsidRDefault="00D930B9" w:rsidP="00734B75">
      <w:pPr>
        <w:pBdr>
          <w:top w:val="nil"/>
          <w:left w:val="nil"/>
          <w:bottom w:val="nil"/>
          <w:right w:val="nil"/>
          <w:between w:val="nil"/>
        </w:pBdr>
        <w:rPr>
          <w:rFonts w:eastAsia="Arial" w:cs="Arial"/>
          <w:color w:val="000000"/>
          <w:szCs w:val="18"/>
          <w:lang w:val="en-US"/>
        </w:rPr>
      </w:pPr>
    </w:p>
    <w:p w14:paraId="3CD49FAD" w14:textId="2CDFDB6B" w:rsidR="00996E70" w:rsidRDefault="002C4F6F" w:rsidP="00FB2BF0">
      <w:pPr>
        <w:pStyle w:val="CETCaption"/>
        <w:spacing w:before="0"/>
        <w:rPr>
          <w:rFonts w:eastAsia="Arial" w:cs="Arial"/>
          <w:i w:val="0"/>
          <w:iCs/>
          <w:color w:val="000000"/>
          <w:szCs w:val="18"/>
          <w:lang w:val="en-US"/>
        </w:rPr>
      </w:pPr>
      <w:r w:rsidRPr="00996E70">
        <w:rPr>
          <w:rFonts w:eastAsia="Arial" w:cs="Arial"/>
          <w:i w:val="0"/>
          <w:iCs/>
          <w:color w:val="000000"/>
          <w:szCs w:val="18"/>
          <w:lang w:val="en-US"/>
        </w:rPr>
        <w:t xml:space="preserve">Figure </w:t>
      </w:r>
      <w:r w:rsidR="00996E70" w:rsidRPr="00996E70">
        <w:rPr>
          <w:rFonts w:eastAsia="Arial" w:cs="Arial"/>
          <w:i w:val="0"/>
          <w:iCs/>
          <w:color w:val="000000"/>
          <w:szCs w:val="18"/>
          <w:lang w:val="en-US"/>
        </w:rPr>
        <w:t>2</w:t>
      </w:r>
      <w:r w:rsidRPr="00996E70">
        <w:rPr>
          <w:rFonts w:eastAsia="Arial" w:cs="Arial"/>
          <w:i w:val="0"/>
          <w:iCs/>
          <w:color w:val="000000"/>
          <w:szCs w:val="18"/>
          <w:lang w:val="en-US"/>
        </w:rPr>
        <w:t xml:space="preserve"> </w:t>
      </w:r>
      <w:r w:rsidR="00996E70" w:rsidRPr="00996E70">
        <w:rPr>
          <w:rFonts w:eastAsia="Arial" w:cs="Arial"/>
          <w:i w:val="0"/>
          <w:iCs/>
          <w:color w:val="000000"/>
          <w:szCs w:val="18"/>
          <w:lang w:val="en-US"/>
        </w:rPr>
        <w:t xml:space="preserve">shows </w:t>
      </w:r>
      <w:r w:rsidR="00996E70" w:rsidRPr="00996E70">
        <w:rPr>
          <w:rFonts w:eastAsia="Arial"/>
          <w:i w:val="0"/>
          <w:iCs/>
          <w:lang w:val="en-US"/>
        </w:rPr>
        <w:t xml:space="preserve">Technical performance of WEP indicators evaluated </w:t>
      </w:r>
      <w:r w:rsidR="00996E70">
        <w:rPr>
          <w:rFonts w:eastAsia="Arial"/>
          <w:i w:val="0"/>
          <w:iCs/>
          <w:lang w:val="en-US"/>
        </w:rPr>
        <w:t xml:space="preserve">of the </w:t>
      </w:r>
      <w:r w:rsidR="00996E70" w:rsidRPr="00996E70">
        <w:rPr>
          <w:rFonts w:eastAsia="Arial"/>
          <w:i w:val="0"/>
          <w:iCs/>
          <w:lang w:val="en-US"/>
        </w:rPr>
        <w:t>cascade biorefinery</w:t>
      </w:r>
      <w:r w:rsidR="00996E70">
        <w:rPr>
          <w:rFonts w:eastAsia="Arial"/>
          <w:i w:val="0"/>
          <w:iCs/>
          <w:lang w:val="en-US"/>
        </w:rPr>
        <w:t xml:space="preserve"> of interest, including NER. </w:t>
      </w:r>
      <w:r w:rsidR="00996E70" w:rsidRPr="00996E70">
        <w:rPr>
          <w:rFonts w:eastAsia="Arial"/>
          <w:i w:val="0"/>
          <w:iCs/>
          <w:lang w:val="en-US"/>
        </w:rPr>
        <w:t>T</w:t>
      </w:r>
      <w:r w:rsidRPr="00996E70">
        <w:rPr>
          <w:rFonts w:eastAsia="Arial" w:cs="Arial"/>
          <w:i w:val="0"/>
          <w:iCs/>
          <w:color w:val="000000"/>
          <w:szCs w:val="18"/>
          <w:lang w:val="en-US"/>
        </w:rPr>
        <w:t xml:space="preserve">he EUI </w:t>
      </w:r>
      <w:r w:rsidR="00692605" w:rsidRPr="00996E70">
        <w:rPr>
          <w:rFonts w:eastAsia="Arial" w:cs="Arial"/>
          <w:i w:val="0"/>
          <w:iCs/>
          <w:color w:val="000000"/>
          <w:szCs w:val="18"/>
          <w:lang w:val="en-US"/>
        </w:rPr>
        <w:t>indicator was</w:t>
      </w:r>
      <w:r w:rsidRPr="00996E70">
        <w:rPr>
          <w:rFonts w:eastAsia="Arial" w:cs="Arial"/>
          <w:i w:val="0"/>
          <w:iCs/>
          <w:color w:val="000000"/>
          <w:szCs w:val="18"/>
          <w:lang w:val="en-US"/>
        </w:rPr>
        <w:t xml:space="preserve"> excluded from the analysis</w:t>
      </w:r>
      <w:r w:rsidR="00692605" w:rsidRPr="00996E70">
        <w:rPr>
          <w:rFonts w:eastAsia="Arial" w:cs="Arial"/>
          <w:i w:val="0"/>
          <w:iCs/>
          <w:color w:val="000000"/>
          <w:szCs w:val="18"/>
          <w:lang w:val="en-US"/>
        </w:rPr>
        <w:t xml:space="preserve">, as recommended by authors like Garcia-Maza et al., </w:t>
      </w:r>
      <w:r w:rsidR="00996E70">
        <w:rPr>
          <w:rFonts w:eastAsia="Arial" w:cs="Arial"/>
          <w:i w:val="0"/>
          <w:iCs/>
          <w:color w:val="000000"/>
          <w:szCs w:val="18"/>
          <w:lang w:val="en-US"/>
        </w:rPr>
        <w:t>as it is complicated to assess through normalization due to lack of data</w:t>
      </w:r>
      <w:r w:rsidR="00525A5C">
        <w:rPr>
          <w:rFonts w:eastAsia="Arial" w:cs="Arial"/>
          <w:i w:val="0"/>
          <w:iCs/>
          <w:color w:val="000000"/>
          <w:szCs w:val="18"/>
          <w:lang w:val="en-US"/>
        </w:rPr>
        <w:t xml:space="preserve"> </w:t>
      </w:r>
      <w:r w:rsidR="00525A5C">
        <w:rPr>
          <w:rFonts w:eastAsia="Arial" w:cs="Arial"/>
          <w:i w:val="0"/>
          <w:iCs/>
          <w:color w:val="000000"/>
          <w:szCs w:val="18"/>
          <w:lang w:val="en-US"/>
        </w:rPr>
        <w:fldChar w:fldCharType="begin" w:fldLock="1"/>
      </w:r>
      <w:r w:rsidR="006E752B">
        <w:rPr>
          <w:rFonts w:eastAsia="Arial" w:cs="Arial"/>
          <w:i w:val="0"/>
          <w:iCs/>
          <w:color w:val="000000"/>
          <w:szCs w:val="18"/>
          <w:lang w:val="en-US"/>
        </w:rPr>
        <w:instrText>ADDIN CSL_CITATION {"citationItems":[{"id":"ITEM-1","itemData":{"DOI":"10.3390/su16219575","ISSN":"20711050","abstract":"The annual increase in the world’s population significantly contributes to recent climate change and variability. Therefore, researchers, engineers, and professionals in all fields must integrate sustainability criteria into their decision-making. These criteria aim to minimize the environmental, social, economic, and energy impacts of human activities and industrial processes, helping mitigate climate change. This research focuses on developing scalable technology for the comprehensive use of avocados, adhering to sustainability principles. This work presents the modeling, simulation, and the WEP (Water-Energy-Product) technical evaluation of the process for obtaining bio-oil, chlorophyll, and biopesticide from the Creole-Antillean avocado. For this, the extractive-based biorefinery data related to water, energy, and products are taken from the material balance based on experimental results and process simulation. Then, eight process parameters are calculated, and eleven technical indicators are determined. Later, the extreme technical limitations for every indicator are demarcated, and an evaluation of the performance of the indicators is carried out. Results showed that the process has a high execution in aspects such as fractional water cost (TCF) and energy cost (TCE), as well as solvent reuse during extraction processes (SRI) and production yield, noting that the mentioned indicators are above 80%. In contrast, the metrics related to water management (FWC) and specific energy (ESI) showed the lowest performance. These discoveries support the use of optimization techniques like mass process integration. The energy-related indicators reveal that the process presents both benefits and drawbacks. One of the drawbacks is the energy source due to the high demand for electrical energy in the process, compared to natural gas. The specific energy intensity indicator (ESI) showed an intermediate performance (74%), indicating that the process consumes high energy. This indicator enables us to highlight that we can find energy aspects that require further study; for this reason, it is suitable to say that there is potential to enhance the energy efficiency of the process by applying energy integration methods.","author":[{"dropping-particle":"","family":"García-Maza","given":"Sofía","non-dropping-particle":"","parse-names":false,"suffix":""},{"dropping-particle":"","family":"Herrera-Rodríguez","given":"Tamy C.","non-dropping-particle":"","parse-names":false,"suffix":""},{"dropping-particle":"","family":"González-Delgado","given":"Ángel Darío","non-dropping-particle":"","parse-names":false,"suffix":""}],"container-title":"Sustainability (Switzerland)","id":"ITEM-1","issue":"21","issued":{"date-parts":[["2024"]]},"title":"Process Simulation and Technical Evaluation Using Water-Energy-Product (WEP) Analysis of an Extractive-Based Biorefinery of Creole-Antillean Avocado Produced in the Montes De María","type":"article-journal","volume":"16"},"uris":["http://www.mendeley.com/documents/?uuid=ec2d4316-c4db-478d-bc9a-55c5a01c1e49"]}],"mendeley":{"formattedCitation":"(8)","plainTextFormattedCitation":"(8)","previouslyFormattedCitation":"(8)"},"properties":{"noteIndex":0},"schema":"https://github.com/citation-style-language/schema/raw/master/csl-citation.json"}</w:instrText>
      </w:r>
      <w:r w:rsidR="00525A5C">
        <w:rPr>
          <w:rFonts w:eastAsia="Arial" w:cs="Arial"/>
          <w:i w:val="0"/>
          <w:iCs/>
          <w:color w:val="000000"/>
          <w:szCs w:val="18"/>
          <w:lang w:val="en-US"/>
        </w:rPr>
        <w:fldChar w:fldCharType="separate"/>
      </w:r>
      <w:r w:rsidR="00C74B00" w:rsidRPr="00C74B00">
        <w:rPr>
          <w:rFonts w:eastAsia="Arial" w:cs="Arial"/>
          <w:i w:val="0"/>
          <w:iCs/>
          <w:noProof/>
          <w:color w:val="000000"/>
          <w:szCs w:val="18"/>
          <w:lang w:val="en-US"/>
        </w:rPr>
        <w:t>(8)</w:t>
      </w:r>
      <w:r w:rsidR="00525A5C">
        <w:rPr>
          <w:rFonts w:eastAsia="Arial" w:cs="Arial"/>
          <w:i w:val="0"/>
          <w:iCs/>
          <w:color w:val="000000"/>
          <w:szCs w:val="18"/>
          <w:lang w:val="en-US"/>
        </w:rPr>
        <w:fldChar w:fldCharType="end"/>
      </w:r>
      <w:r w:rsidR="00996E70">
        <w:rPr>
          <w:rFonts w:eastAsia="Arial" w:cs="Arial"/>
          <w:i w:val="0"/>
          <w:iCs/>
          <w:color w:val="000000"/>
          <w:szCs w:val="18"/>
          <w:lang w:val="en-US"/>
        </w:rPr>
        <w:t>.</w:t>
      </w:r>
      <w:r w:rsidR="00F77542">
        <w:rPr>
          <w:rFonts w:eastAsia="Arial" w:cs="Arial"/>
          <w:i w:val="0"/>
          <w:iCs/>
          <w:color w:val="000000"/>
          <w:szCs w:val="18"/>
          <w:lang w:val="en-US"/>
        </w:rPr>
        <w:t xml:space="preserve"> </w:t>
      </w:r>
      <w:r w:rsidR="00201D2C">
        <w:rPr>
          <w:rFonts w:eastAsia="Arial" w:cs="Arial"/>
          <w:i w:val="0"/>
          <w:iCs/>
          <w:color w:val="000000"/>
          <w:szCs w:val="18"/>
          <w:lang w:val="en-US"/>
        </w:rPr>
        <w:t>From the analysis several k</w:t>
      </w:r>
      <w:r w:rsidR="004504DF">
        <w:rPr>
          <w:rFonts w:eastAsia="Arial" w:cs="Arial"/>
          <w:i w:val="0"/>
          <w:iCs/>
          <w:color w:val="000000"/>
          <w:szCs w:val="18"/>
          <w:lang w:val="en-US"/>
        </w:rPr>
        <w:t xml:space="preserve">ey points can be </w:t>
      </w:r>
      <w:r w:rsidR="00201D2C">
        <w:rPr>
          <w:rFonts w:eastAsia="Arial" w:cs="Arial"/>
          <w:i w:val="0"/>
          <w:iCs/>
          <w:color w:val="000000"/>
          <w:szCs w:val="18"/>
          <w:lang w:val="en-US"/>
        </w:rPr>
        <w:t>highlighted</w:t>
      </w:r>
      <w:r w:rsidR="004504DF">
        <w:rPr>
          <w:rFonts w:eastAsia="Arial" w:cs="Arial"/>
          <w:i w:val="0"/>
          <w:iCs/>
          <w:color w:val="000000"/>
          <w:szCs w:val="18"/>
          <w:lang w:val="en-US"/>
        </w:rPr>
        <w:t xml:space="preserve"> </w:t>
      </w:r>
      <w:r w:rsidR="00201D2C">
        <w:rPr>
          <w:rFonts w:eastAsia="Arial" w:cs="Arial"/>
          <w:i w:val="0"/>
          <w:iCs/>
          <w:color w:val="000000"/>
          <w:szCs w:val="18"/>
          <w:lang w:val="en-US"/>
        </w:rPr>
        <w:t>as potential opportunities for improvement. F</w:t>
      </w:r>
      <w:r w:rsidR="004504DF">
        <w:rPr>
          <w:rFonts w:eastAsia="Arial" w:cs="Arial"/>
          <w:i w:val="0"/>
          <w:iCs/>
          <w:color w:val="000000"/>
          <w:szCs w:val="18"/>
          <w:lang w:val="en-US"/>
        </w:rPr>
        <w:t xml:space="preserve">irst, the production yield </w:t>
      </w:r>
      <w:r w:rsidR="00201D2C">
        <w:rPr>
          <w:rFonts w:eastAsia="Arial" w:cs="Arial"/>
          <w:i w:val="0"/>
          <w:iCs/>
          <w:color w:val="000000"/>
          <w:szCs w:val="18"/>
          <w:lang w:val="en-US"/>
        </w:rPr>
        <w:t>was</w:t>
      </w:r>
      <w:r w:rsidR="004504DF">
        <w:rPr>
          <w:rFonts w:eastAsia="Arial" w:cs="Arial"/>
          <w:i w:val="0"/>
          <w:iCs/>
          <w:color w:val="000000"/>
          <w:szCs w:val="18"/>
          <w:lang w:val="en-US"/>
        </w:rPr>
        <w:t xml:space="preserve"> strongly low, as only 20% of the raw material is converted into products (as seen in table 2). This </w:t>
      </w:r>
      <w:r w:rsidR="00201D2C">
        <w:rPr>
          <w:rFonts w:eastAsia="Arial" w:cs="Arial"/>
          <w:i w:val="0"/>
          <w:iCs/>
          <w:color w:val="000000"/>
          <w:szCs w:val="18"/>
          <w:lang w:val="en-US"/>
        </w:rPr>
        <w:t xml:space="preserve">yield </w:t>
      </w:r>
      <w:r w:rsidR="00F77542">
        <w:rPr>
          <w:rFonts w:eastAsia="Arial" w:cs="Arial"/>
          <w:i w:val="0"/>
          <w:iCs/>
          <w:color w:val="000000"/>
          <w:szCs w:val="18"/>
          <w:lang w:val="en-US"/>
        </w:rPr>
        <w:t>is expected</w:t>
      </w:r>
      <w:r w:rsidR="004504DF">
        <w:rPr>
          <w:rFonts w:eastAsia="Arial" w:cs="Arial"/>
          <w:i w:val="0"/>
          <w:iCs/>
          <w:color w:val="000000"/>
          <w:szCs w:val="18"/>
          <w:lang w:val="en-US"/>
        </w:rPr>
        <w:t>,</w:t>
      </w:r>
      <w:r w:rsidR="00201D2C">
        <w:rPr>
          <w:rFonts w:eastAsia="Arial" w:cs="Arial"/>
          <w:i w:val="0"/>
          <w:iCs/>
          <w:color w:val="000000"/>
          <w:szCs w:val="18"/>
          <w:lang w:val="en-US"/>
        </w:rPr>
        <w:t xml:space="preserve"> </w:t>
      </w:r>
      <w:r w:rsidR="004504DF">
        <w:rPr>
          <w:rFonts w:eastAsia="Arial" w:cs="Arial"/>
          <w:i w:val="0"/>
          <w:iCs/>
          <w:color w:val="000000"/>
          <w:szCs w:val="18"/>
          <w:lang w:val="en-US"/>
        </w:rPr>
        <w:t xml:space="preserve">as the process only uses fractions of </w:t>
      </w:r>
      <w:r w:rsidR="00F77542">
        <w:rPr>
          <w:rFonts w:eastAsia="Arial" w:cs="Arial"/>
          <w:i w:val="0"/>
          <w:iCs/>
          <w:color w:val="000000"/>
          <w:szCs w:val="18"/>
          <w:lang w:val="en-US"/>
        </w:rPr>
        <w:t>avocado</w:t>
      </w:r>
      <w:r w:rsidR="004504DF">
        <w:rPr>
          <w:rFonts w:eastAsia="Arial" w:cs="Arial"/>
          <w:i w:val="0"/>
          <w:iCs/>
          <w:color w:val="000000"/>
          <w:szCs w:val="18"/>
          <w:lang w:val="en-US"/>
        </w:rPr>
        <w:t xml:space="preserve"> like starch and bioactive, leaving important fractions unused. In comparison, Valdez-Valdez et al., obtained a yield around 79%, the topology assessed had processes that converted large unused fractions into products</w:t>
      </w:r>
      <w:r w:rsidR="00201D2C">
        <w:rPr>
          <w:rFonts w:eastAsia="Arial" w:cs="Arial"/>
          <w:i w:val="0"/>
          <w:iCs/>
          <w:color w:val="000000"/>
          <w:szCs w:val="18"/>
          <w:lang w:val="en-US"/>
        </w:rPr>
        <w:t>, like polylactic acid, increasing material efficiency</w:t>
      </w:r>
      <w:r w:rsidR="00525A5C">
        <w:rPr>
          <w:rFonts w:eastAsia="Arial" w:cs="Arial"/>
          <w:i w:val="0"/>
          <w:iCs/>
          <w:color w:val="000000"/>
          <w:szCs w:val="18"/>
          <w:lang w:val="en-US"/>
        </w:rPr>
        <w:t xml:space="preserve"> </w:t>
      </w:r>
      <w:r w:rsidR="00525A5C">
        <w:rPr>
          <w:rFonts w:eastAsia="Arial" w:cs="Arial"/>
          <w:i w:val="0"/>
          <w:iCs/>
          <w:color w:val="000000"/>
          <w:szCs w:val="18"/>
          <w:lang w:val="en-US"/>
        </w:rPr>
        <w:fldChar w:fldCharType="begin" w:fldLock="1"/>
      </w:r>
      <w:r w:rsidR="00A75E1C">
        <w:rPr>
          <w:rFonts w:eastAsia="Arial" w:cs="Arial"/>
          <w:i w:val="0"/>
          <w:iCs/>
          <w:color w:val="000000"/>
          <w:szCs w:val="18"/>
          <w:lang w:val="en-US"/>
        </w:rPr>
        <w:instrText>ADDIN CSL_CITATION {"citationItems":[{"id":"ITEM-1","itemData":{"DOI":"10.3303/CET25117012","ISBN":"9791281206175","ISSN":"22839216","abstract":"Colombia has established itself as a significant contributor to Hass avocado production; however, the supply chain predominantly focuses on marketing the pulp, thereby underutilizing by-products, such as the seed. This situation presents environmental challenges and overlooks potential economic opportunities within bioeconomy development. This study introduces a cascade biorefinery model designed to valorize avocado seed waste from Colombia's Amazon region, transforming it into high-value products, including starch and biodegradable biofilms. The methodology employed involves process simulation using Aspen Plus, with NRTL models for the liquid phase and the Redlich-Kwong model for the vapor phase, to model separation and reaction stages accurately. The biorefinery comprises three principal modules: (i) pretreatment and wet extraction, which produces 1.92 kg/h of starch comparable in composition to commercial avocado seed flours; (ii) a starch gelatinization process with glycerol, yielding 3.76 kg/h of type 1 biofilm; and (iii) a thermochemical and biotechnological process encompassing acid hydrolysis, lactic acid fermentation, and polymerization, resulting in polylactic acid. This PLA is subsequently combined with starch to generate 3.44 kg/h of type 2 biofilm. The entire process attains a 78.34% yield based on a waste input of 27.4 kg/h, thereby demonstrating efficient biomass recovery. The principal contribution of this research lies in showing, through detailed simulation, the technical feasibility of a multistep system that integrates physical, chemical, and biotechnological processes to produce functional bioproducts from agricultural waste. Unlike fragmented approaches, this cascade biorefinery optimizes resource utilization, broadens product diversity, and minimizes waste, thereby supporting sustainability and circular economy principles.","author":[{"dropping-particle":"","family":"Alviz-Meza","given":"Anibal","non-dropping-particle":"","parse-names":false,"suffix":""},{"dropping-particle":"","family":"Valdez-Valdes","given":"Stefany A.","non-dropping-particle":"","parse-names":false,"suffix":""},{"dropping-particle":"","family":"González-Delgado","given":"Ángel Darío","non-dropping-particle":"","parse-names":false,"suffix":""}],"container-title":"Chemical Engineering Transactions ","id":"ITEM-1","issue":"May","issued":{"date-parts":[["2025"]]},"page":"67-72","title":"Computer-Aided Simulation of a Cascade Biorefinery: Case Study of the Colombian Amazon’s Hass Avocado Waste","type":"article-journal","volume":"117"},"uris":["http://www.mendeley.com/documents/?uuid=f1951427-afa9-45a0-a8f0-6c162834fbe5"]}],"mendeley":{"formattedCitation":"(6)","plainTextFormattedCitation":"(6)","previouslyFormattedCitation":"(6)"},"properties":{"noteIndex":0},"schema":"https://github.com/citation-style-language/schema/raw/master/csl-citation.json"}</w:instrText>
      </w:r>
      <w:r w:rsidR="00525A5C">
        <w:rPr>
          <w:rFonts w:eastAsia="Arial" w:cs="Arial"/>
          <w:i w:val="0"/>
          <w:iCs/>
          <w:color w:val="000000"/>
          <w:szCs w:val="18"/>
          <w:lang w:val="en-US"/>
        </w:rPr>
        <w:fldChar w:fldCharType="separate"/>
      </w:r>
      <w:r w:rsidR="00A75E1C" w:rsidRPr="00A75E1C">
        <w:rPr>
          <w:rFonts w:eastAsia="Arial" w:cs="Arial"/>
          <w:i w:val="0"/>
          <w:iCs/>
          <w:noProof/>
          <w:color w:val="000000"/>
          <w:szCs w:val="18"/>
          <w:lang w:val="en-US"/>
        </w:rPr>
        <w:t>(6)</w:t>
      </w:r>
      <w:r w:rsidR="00525A5C">
        <w:rPr>
          <w:rFonts w:eastAsia="Arial" w:cs="Arial"/>
          <w:i w:val="0"/>
          <w:iCs/>
          <w:color w:val="000000"/>
          <w:szCs w:val="18"/>
          <w:lang w:val="en-US"/>
        </w:rPr>
        <w:fldChar w:fldCharType="end"/>
      </w:r>
      <w:r w:rsidR="00201D2C">
        <w:rPr>
          <w:rFonts w:eastAsia="Arial" w:cs="Arial"/>
          <w:i w:val="0"/>
          <w:iCs/>
          <w:color w:val="000000"/>
          <w:szCs w:val="18"/>
          <w:lang w:val="en-US"/>
        </w:rPr>
        <w:t xml:space="preserve">. </w:t>
      </w:r>
      <w:r w:rsidR="00F77542">
        <w:rPr>
          <w:rFonts w:eastAsia="Arial" w:cs="Arial"/>
          <w:i w:val="0"/>
          <w:iCs/>
          <w:color w:val="000000"/>
          <w:szCs w:val="18"/>
          <w:lang w:val="en-US"/>
        </w:rPr>
        <w:t>This underscores the need to identify potential use of every fraction of the raw material and a potential use, extracting more value from the same raw material; at the same time, the further processing of residual or unconverted fractions can increase complexity in the biorefinery system, a value of 100 reuse of valorization can be not feasible without tradeoffs</w:t>
      </w:r>
      <w:r w:rsidR="00C74B00">
        <w:rPr>
          <w:rFonts w:eastAsia="Arial" w:cs="Arial"/>
          <w:i w:val="0"/>
          <w:iCs/>
          <w:color w:val="000000"/>
          <w:szCs w:val="18"/>
          <w:lang w:val="en-US"/>
        </w:rPr>
        <w:t xml:space="preserve"> </w:t>
      </w:r>
      <w:r w:rsidR="00C74B00">
        <w:rPr>
          <w:rFonts w:eastAsia="Arial" w:cs="Arial"/>
          <w:i w:val="0"/>
          <w:iCs/>
          <w:color w:val="000000"/>
          <w:szCs w:val="18"/>
          <w:lang w:val="en-US"/>
        </w:rPr>
        <w:fldChar w:fldCharType="begin" w:fldLock="1"/>
      </w:r>
      <w:r w:rsidR="006E752B">
        <w:rPr>
          <w:rFonts w:eastAsia="Arial" w:cs="Arial"/>
          <w:i w:val="0"/>
          <w:iCs/>
          <w:color w:val="000000"/>
          <w:szCs w:val="18"/>
          <w:lang w:val="en-US"/>
        </w:rPr>
        <w:instrText>ADDIN CSL_CITATION {"citationItems":[{"id":"ITEM-1","itemData":{"DOI":"10.1016/j.jclepro.2024.143816","ISSN":"09596526","abstract":"The European Commission has endorsed the transition to a circular bioeconomy as a crucial initiative to achieve a sustainable and climate-neutral European Union. However, this transition is inherently complex, as it involves environmental and social risks, physical limitations, and trade-offs between different dimensions of sustainability. In this context, effective monitoring and modelling of the bioeconomy are essential tools to inform decision-making at various implementation scales. This article reviews empirical research on the monitoring and modelling of the bioeconomy and their implications for decision-making across three main implementation scales: macro (national-global level); meso (regional-city level); and micro (single product, company level). The contribution of this research is twofold: First, it explores existing gaps in the field through the lens of policy implementation levels. Research gaps include the uneven distribution of indicators among sustainability pillars, the lack of standardised monitoring frameworks at the meso and micro levels, and attribution issues in bioeconomy modelling. Second, the article outlines a comprehensive research agenda, indicating specific research lines and their relevance to different implementation scales. Key research avenues, significant at all implementation scales, include enhancing the life cycle perspective, visualising trade-offs and synergies between Sustainable Development Goals, monetising externalities, and further delving into social aspects.","author":[{"dropping-particle":"","family":"Bianchi","given":"Marco","non-dropping-particle":"","parse-names":false,"suffix":""},{"dropping-particle":"","family":"Cascavilla","given":"Alessandro","non-dropping-particle":"","parse-names":false,"suffix":""},{"dropping-particle":"","family":"Diaz","given":"Janire Clavell","non-dropping-particle":"","parse-names":false,"suffix":""},{"dropping-particle":"","family":"Ladu","given":"Luana","non-dropping-particle":"","parse-names":false,"suffix":""},{"dropping-particle":"","family":"Blazquez","given":"Barbara Palacino","non-dropping-particle":"","parse-names":false,"suffix":""},{"dropping-particle":"","family":"Pierre","given":"Menger","non-dropping-particle":"","parse-names":false,"suffix":""},{"dropping-particle":"","family":"Staffieri","given":"Eleonora","non-dropping-particle":"","parse-names":false,"suffix":""},{"dropping-particle":"","family":"Yilan","given":"Gülşah","non-dropping-particle":"","parse-names":false,"suffix":""}],"container-title":"Journal of Cleaner Production","id":"ITEM-1","issue":"October","issued":{"date-parts":[["2024"]]},"title":"Circular bioeconomy: A review of empirical practices across implementation scales","type":"article-journal","volume":"477"},"uris":["http://www.mendeley.com/documents/?uuid=806f463c-870a-411a-93e6-b026450b7b62"]}],"mendeley":{"formattedCitation":"(9)","plainTextFormattedCitation":"(9)","previouslyFormattedCitation":"(9)"},"properties":{"noteIndex":0},"schema":"https://github.com/citation-style-language/schema/raw/master/csl-citation.json"}</w:instrText>
      </w:r>
      <w:r w:rsidR="00C74B00">
        <w:rPr>
          <w:rFonts w:eastAsia="Arial" w:cs="Arial"/>
          <w:i w:val="0"/>
          <w:iCs/>
          <w:color w:val="000000"/>
          <w:szCs w:val="18"/>
          <w:lang w:val="en-US"/>
        </w:rPr>
        <w:fldChar w:fldCharType="separate"/>
      </w:r>
      <w:r w:rsidR="00C74B00" w:rsidRPr="00C74B00">
        <w:rPr>
          <w:rFonts w:eastAsia="Arial" w:cs="Arial"/>
          <w:i w:val="0"/>
          <w:iCs/>
          <w:noProof/>
          <w:color w:val="000000"/>
          <w:szCs w:val="18"/>
          <w:lang w:val="en-US"/>
        </w:rPr>
        <w:t>(9)</w:t>
      </w:r>
      <w:r w:rsidR="00C74B00">
        <w:rPr>
          <w:rFonts w:eastAsia="Arial" w:cs="Arial"/>
          <w:i w:val="0"/>
          <w:iCs/>
          <w:color w:val="000000"/>
          <w:szCs w:val="18"/>
          <w:lang w:val="en-US"/>
        </w:rPr>
        <w:fldChar w:fldCharType="end"/>
      </w:r>
      <w:r w:rsidR="00C74B00">
        <w:rPr>
          <w:rFonts w:eastAsia="Arial" w:cs="Arial"/>
          <w:i w:val="0"/>
          <w:iCs/>
          <w:color w:val="000000"/>
          <w:szCs w:val="18"/>
          <w:lang w:val="en-US"/>
        </w:rPr>
        <w:t>.</w:t>
      </w:r>
      <w:r w:rsidR="00F77542">
        <w:rPr>
          <w:rFonts w:eastAsia="Arial" w:cs="Arial"/>
          <w:i w:val="0"/>
          <w:iCs/>
          <w:color w:val="000000"/>
          <w:szCs w:val="18"/>
          <w:lang w:val="en-US"/>
        </w:rPr>
        <w:t xml:space="preserve"> </w:t>
      </w:r>
      <w:r w:rsidR="00201D2C">
        <w:rPr>
          <w:rFonts w:eastAsia="Arial" w:cs="Arial"/>
          <w:i w:val="0"/>
          <w:iCs/>
          <w:color w:val="000000"/>
          <w:szCs w:val="18"/>
          <w:lang w:val="en-US"/>
        </w:rPr>
        <w:t>Similarly, the use of IRUM presented the same tendency as the production yield, low value of around 12%, pinpointing poor material handling of the topology. The use of fractions from one section into another section improved this indicator as solids filtrated from section 2 where to produce the biofilm. Nonetheless, The limited use of the unconverted raw material affected the process of mass efficiency.</w:t>
      </w:r>
      <w:r w:rsidR="00FB2BF0">
        <w:rPr>
          <w:rFonts w:eastAsia="Arial" w:cs="Arial"/>
          <w:i w:val="0"/>
          <w:iCs/>
          <w:color w:val="000000"/>
          <w:szCs w:val="18"/>
          <w:lang w:val="en-US"/>
        </w:rPr>
        <w:t xml:space="preserve"> </w:t>
      </w:r>
      <w:r w:rsidRPr="00FB2BF0">
        <w:rPr>
          <w:rFonts w:eastAsia="Arial" w:cs="Arial"/>
          <w:i w:val="0"/>
          <w:iCs/>
          <w:color w:val="000000"/>
          <w:szCs w:val="18"/>
          <w:lang w:val="en-US"/>
        </w:rPr>
        <w:t>Th</w:t>
      </w:r>
      <w:r w:rsidR="00FB2BF0" w:rsidRPr="00FB2BF0">
        <w:rPr>
          <w:rFonts w:eastAsia="Arial" w:cs="Arial"/>
          <w:i w:val="0"/>
          <w:iCs/>
          <w:color w:val="000000"/>
          <w:szCs w:val="18"/>
          <w:lang w:val="en-US"/>
        </w:rPr>
        <w:t xml:space="preserve">ese </w:t>
      </w:r>
      <w:r w:rsidRPr="00FB2BF0">
        <w:rPr>
          <w:rFonts w:eastAsia="Arial" w:cs="Arial"/>
          <w:i w:val="0"/>
          <w:iCs/>
          <w:color w:val="000000"/>
          <w:szCs w:val="18"/>
          <w:lang w:val="en-US"/>
        </w:rPr>
        <w:t>indicat</w:t>
      </w:r>
      <w:r w:rsidR="00FB2BF0" w:rsidRPr="00FB2BF0">
        <w:rPr>
          <w:rFonts w:eastAsia="Arial" w:cs="Arial"/>
          <w:i w:val="0"/>
          <w:iCs/>
          <w:color w:val="000000"/>
          <w:szCs w:val="18"/>
          <w:lang w:val="en-US"/>
        </w:rPr>
        <w:t xml:space="preserve">ors supported the </w:t>
      </w:r>
      <w:r w:rsidRPr="00FB2BF0">
        <w:rPr>
          <w:rFonts w:eastAsia="Arial" w:cs="Arial"/>
          <w:i w:val="0"/>
          <w:iCs/>
          <w:color w:val="000000"/>
          <w:szCs w:val="18"/>
          <w:lang w:val="en-US"/>
        </w:rPr>
        <w:t xml:space="preserve">need </w:t>
      </w:r>
      <w:r w:rsidR="00FB2BF0" w:rsidRPr="00FB2BF0">
        <w:rPr>
          <w:rFonts w:eastAsia="Arial" w:cs="Arial"/>
          <w:i w:val="0"/>
          <w:iCs/>
          <w:color w:val="000000"/>
          <w:szCs w:val="18"/>
          <w:lang w:val="en-US"/>
        </w:rPr>
        <w:t xml:space="preserve">for </w:t>
      </w:r>
      <w:r w:rsidRPr="00FB2BF0">
        <w:rPr>
          <w:rFonts w:eastAsia="Arial" w:cs="Arial"/>
          <w:i w:val="0"/>
          <w:iCs/>
          <w:color w:val="000000"/>
          <w:szCs w:val="18"/>
          <w:lang w:val="en-US"/>
        </w:rPr>
        <w:t>substantial developments in raw material managemen</w:t>
      </w:r>
      <w:r w:rsidR="00FB2BF0">
        <w:rPr>
          <w:rFonts w:eastAsia="Arial" w:cs="Arial"/>
          <w:i w:val="0"/>
          <w:iCs/>
          <w:color w:val="000000"/>
          <w:szCs w:val="18"/>
          <w:lang w:val="en-US"/>
        </w:rPr>
        <w:t>t.</w:t>
      </w:r>
    </w:p>
    <w:p w14:paraId="31715F2F" w14:textId="300C1274" w:rsidR="002C4F6F" w:rsidRPr="000C1DC2" w:rsidRDefault="000C1DC2" w:rsidP="000C1DC2">
      <w:pPr>
        <w:pStyle w:val="CETCaption"/>
        <w:spacing w:before="0"/>
        <w:rPr>
          <w:rFonts w:eastAsia="Arial" w:cs="Arial"/>
          <w:i w:val="0"/>
          <w:iCs/>
          <w:color w:val="000000"/>
          <w:szCs w:val="18"/>
          <w:lang w:val="en-US"/>
        </w:rPr>
      </w:pPr>
      <w:r>
        <w:rPr>
          <w:rFonts w:eastAsia="Arial" w:cs="Arial"/>
          <w:i w:val="0"/>
          <w:iCs/>
          <w:color w:val="000000"/>
          <w:szCs w:val="18"/>
          <w:lang w:val="en-US"/>
        </w:rPr>
        <w:t>The case of the water use, indicators showcased both strength and weakness in this resource management. For one instance, the process has high efficiency in FWC and its costs</w:t>
      </w:r>
      <w:r w:rsidR="008C1A52">
        <w:rPr>
          <w:rFonts w:eastAsia="Arial" w:cs="Arial"/>
          <w:i w:val="0"/>
          <w:iCs/>
          <w:color w:val="000000"/>
          <w:szCs w:val="18"/>
          <w:lang w:val="en-US"/>
        </w:rPr>
        <w:t>, 67 and 84%, respectively,</w:t>
      </w:r>
      <w:r>
        <w:rPr>
          <w:rFonts w:eastAsia="Arial" w:cs="Arial"/>
          <w:i w:val="0"/>
          <w:iCs/>
          <w:color w:val="000000"/>
          <w:szCs w:val="18"/>
          <w:lang w:val="en-US"/>
        </w:rPr>
        <w:t xml:space="preserve"> </w:t>
      </w:r>
      <w:r w:rsidR="006807BE" w:rsidRPr="006807BE">
        <w:rPr>
          <w:rFonts w:eastAsia="Arial" w:cs="Arial"/>
          <w:i w:val="0"/>
          <w:iCs/>
          <w:color w:val="000000"/>
          <w:szCs w:val="18"/>
        </w:rPr>
        <w:t>suggesting that the process functions effectively with minimal water use</w:t>
      </w:r>
      <w:r w:rsidR="006807BE" w:rsidRPr="006807BE">
        <w:rPr>
          <w:rFonts w:eastAsia="Arial" w:cs="Arial"/>
          <w:iCs/>
          <w:color w:val="000000"/>
          <w:szCs w:val="18"/>
          <w:lang w:val="en-US"/>
        </w:rPr>
        <w:t xml:space="preserve"> </w:t>
      </w:r>
      <w:r>
        <w:rPr>
          <w:rFonts w:eastAsia="Arial" w:cs="Arial"/>
          <w:i w:val="0"/>
          <w:iCs/>
          <w:color w:val="000000"/>
          <w:szCs w:val="18"/>
          <w:lang w:val="en-US"/>
        </w:rPr>
        <w:t>(1.9 m</w:t>
      </w:r>
      <w:r w:rsidRPr="000C1DC2">
        <w:rPr>
          <w:rFonts w:eastAsia="Arial" w:cs="Arial"/>
          <w:i w:val="0"/>
          <w:iCs/>
          <w:color w:val="000000"/>
          <w:szCs w:val="18"/>
          <w:vertAlign w:val="superscript"/>
          <w:lang w:val="en-US"/>
        </w:rPr>
        <w:t>3</w:t>
      </w:r>
      <w:r>
        <w:rPr>
          <w:rFonts w:eastAsia="Arial" w:cs="Arial"/>
          <w:i w:val="0"/>
          <w:iCs/>
          <w:color w:val="000000"/>
          <w:szCs w:val="18"/>
          <w:lang w:val="en-US"/>
        </w:rPr>
        <w:t xml:space="preserve">/h as stated in table 2). </w:t>
      </w:r>
      <w:r w:rsidR="00BF63DF">
        <w:rPr>
          <w:rFonts w:eastAsia="Arial" w:cs="Arial"/>
          <w:i w:val="0"/>
          <w:iCs/>
          <w:color w:val="000000"/>
          <w:szCs w:val="18"/>
          <w:lang w:val="en-US"/>
        </w:rPr>
        <w:t xml:space="preserve">The low water footprint is advantage as the process needs to be in regions where water access can be difficult. </w:t>
      </w:r>
      <w:r>
        <w:rPr>
          <w:rFonts w:eastAsia="Arial" w:cs="Arial"/>
          <w:i w:val="0"/>
          <w:iCs/>
          <w:color w:val="000000"/>
          <w:szCs w:val="18"/>
          <w:lang w:val="en-US"/>
        </w:rPr>
        <w:t>However, the same process discharges most of this water as wastewater, with a performance lower than 10%, suggesting the use of water reuse or regeneration.</w:t>
      </w:r>
      <w:r w:rsidR="00BF63DF">
        <w:rPr>
          <w:rFonts w:eastAsia="Arial" w:cs="Arial"/>
          <w:i w:val="0"/>
          <w:iCs/>
          <w:color w:val="000000"/>
          <w:szCs w:val="18"/>
          <w:lang w:val="en-US"/>
        </w:rPr>
        <w:t xml:space="preserve"> The proper handling of wastewater streams can ease the cost and access to water for the units of the process. </w:t>
      </w:r>
      <w:r w:rsidR="009D50BC">
        <w:rPr>
          <w:rFonts w:eastAsia="Arial" w:cs="Arial"/>
          <w:i w:val="0"/>
          <w:iCs/>
          <w:color w:val="000000"/>
          <w:szCs w:val="18"/>
          <w:lang w:val="en-US"/>
        </w:rPr>
        <w:t xml:space="preserve">Furthermore, </w:t>
      </w:r>
      <w:r w:rsidR="00C74B00">
        <w:rPr>
          <w:rFonts w:eastAsia="Arial" w:cs="Arial"/>
          <w:i w:val="0"/>
          <w:iCs/>
          <w:color w:val="000000"/>
          <w:szCs w:val="18"/>
          <w:lang w:val="en-US"/>
        </w:rPr>
        <w:t>WPR</w:t>
      </w:r>
      <w:r w:rsidR="009D50BC">
        <w:rPr>
          <w:rFonts w:eastAsia="Arial" w:cs="Arial"/>
          <w:i w:val="0"/>
          <w:iCs/>
          <w:color w:val="000000"/>
          <w:szCs w:val="18"/>
          <w:lang w:val="en-US"/>
        </w:rPr>
        <w:t xml:space="preserve"> can highlight the potential environmental impact that the process has, as some of these streams </w:t>
      </w:r>
      <w:proofErr w:type="gramStart"/>
      <w:r w:rsidR="009D50BC">
        <w:rPr>
          <w:rFonts w:eastAsia="Arial" w:cs="Arial"/>
          <w:i w:val="0"/>
          <w:iCs/>
          <w:color w:val="000000"/>
          <w:szCs w:val="18"/>
          <w:lang w:val="en-US"/>
        </w:rPr>
        <w:t>carried</w:t>
      </w:r>
      <w:proofErr w:type="gramEnd"/>
      <w:r w:rsidR="009D50BC">
        <w:rPr>
          <w:rFonts w:eastAsia="Arial" w:cs="Arial"/>
          <w:i w:val="0"/>
          <w:iCs/>
          <w:color w:val="000000"/>
          <w:szCs w:val="18"/>
          <w:lang w:val="en-US"/>
        </w:rPr>
        <w:t xml:space="preserve"> </w:t>
      </w:r>
      <w:r w:rsidR="00C74B00">
        <w:rPr>
          <w:rFonts w:eastAsia="Arial" w:cs="Arial"/>
          <w:i w:val="0"/>
          <w:iCs/>
          <w:color w:val="000000"/>
          <w:szCs w:val="18"/>
          <w:lang w:val="en-US"/>
        </w:rPr>
        <w:t>substances</w:t>
      </w:r>
      <w:r w:rsidR="009D50BC">
        <w:rPr>
          <w:rFonts w:eastAsia="Arial" w:cs="Arial"/>
          <w:i w:val="0"/>
          <w:iCs/>
          <w:color w:val="000000"/>
          <w:szCs w:val="18"/>
          <w:lang w:val="en-US"/>
        </w:rPr>
        <w:t xml:space="preserve"> tha</w:t>
      </w:r>
      <w:r w:rsidR="00C74B00">
        <w:rPr>
          <w:rFonts w:eastAsia="Arial" w:cs="Arial"/>
          <w:i w:val="0"/>
          <w:iCs/>
          <w:color w:val="000000"/>
          <w:szCs w:val="18"/>
          <w:lang w:val="en-US"/>
        </w:rPr>
        <w:t>t</w:t>
      </w:r>
      <w:r w:rsidR="009D50BC">
        <w:rPr>
          <w:rFonts w:eastAsia="Arial" w:cs="Arial"/>
          <w:i w:val="0"/>
          <w:iCs/>
          <w:color w:val="000000"/>
          <w:szCs w:val="18"/>
          <w:lang w:val="en-US"/>
        </w:rPr>
        <w:t xml:space="preserve"> can affect ecosystems.</w:t>
      </w:r>
    </w:p>
    <w:p w14:paraId="6F3C5788" w14:textId="773B85C7" w:rsidR="00655FF7" w:rsidRPr="00737357" w:rsidRDefault="00691A0F" w:rsidP="00734B75">
      <w:pPr>
        <w:pBdr>
          <w:top w:val="nil"/>
          <w:left w:val="nil"/>
          <w:bottom w:val="nil"/>
          <w:right w:val="nil"/>
          <w:between w:val="nil"/>
        </w:pBdr>
        <w:rPr>
          <w:rFonts w:eastAsia="Arial" w:cs="Arial"/>
          <w:color w:val="000000"/>
          <w:szCs w:val="18"/>
          <w:lang w:val="en-US"/>
        </w:rPr>
      </w:pPr>
      <w:r>
        <w:rPr>
          <w:noProof/>
        </w:rPr>
        <w:drawing>
          <wp:inline distT="0" distB="0" distL="0" distR="0" wp14:anchorId="4188218C" wp14:editId="0CFC2975">
            <wp:extent cx="5981700" cy="1341120"/>
            <wp:effectExtent l="0" t="0" r="0" b="11430"/>
            <wp:docPr id="1966763792" name="Chart 1">
              <a:extLst xmlns:a="http://schemas.openxmlformats.org/drawingml/2006/main">
                <a:ext uri="{FF2B5EF4-FFF2-40B4-BE49-F238E27FC236}">
                  <a16:creationId xmlns:a16="http://schemas.microsoft.com/office/drawing/2014/main" id="{00000000-0008-0000-0200-000082ECF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33EEB9" w14:textId="145A2AD7" w:rsidR="00BF63DF" w:rsidRDefault="00FC3036" w:rsidP="00513E61">
      <w:pPr>
        <w:pStyle w:val="CETCaption"/>
        <w:spacing w:before="0"/>
        <w:rPr>
          <w:rFonts w:eastAsia="Arial"/>
          <w:lang w:val="en-US"/>
        </w:rPr>
      </w:pPr>
      <w:bookmarkStart w:id="1" w:name="_Toc144145247"/>
      <w:r w:rsidRPr="00FC3036">
        <w:rPr>
          <w:rFonts w:eastAsia="Arial"/>
          <w:b/>
          <w:bCs/>
          <w:lang w:val="en-US"/>
        </w:rPr>
        <w:lastRenderedPageBreak/>
        <w:t xml:space="preserve">Figure </w:t>
      </w:r>
      <w:r w:rsidR="00651C37" w:rsidRPr="00651C37">
        <w:rPr>
          <w:rFonts w:eastAsia="Arial"/>
          <w:b/>
          <w:bCs/>
          <w:lang w:val="en-US"/>
        </w:rPr>
        <w:t>2</w:t>
      </w:r>
      <w:r w:rsidRPr="00FC3036">
        <w:rPr>
          <w:rFonts w:eastAsia="Arial"/>
          <w:b/>
          <w:bCs/>
          <w:lang w:val="en-US"/>
        </w:rPr>
        <w:t xml:space="preserve">. </w:t>
      </w:r>
      <w:bookmarkEnd w:id="1"/>
      <w:r w:rsidR="00996E70">
        <w:rPr>
          <w:rFonts w:eastAsia="Arial"/>
          <w:lang w:val="en-US"/>
        </w:rPr>
        <w:t>T</w:t>
      </w:r>
      <w:r w:rsidR="00692605">
        <w:rPr>
          <w:rFonts w:eastAsia="Arial"/>
          <w:lang w:val="en-US"/>
        </w:rPr>
        <w:t>echnical p</w:t>
      </w:r>
      <w:r w:rsidR="00692605" w:rsidRPr="00692605">
        <w:rPr>
          <w:rFonts w:eastAsia="Arial"/>
          <w:lang w:val="en-US"/>
        </w:rPr>
        <w:t xml:space="preserve">erformance of </w:t>
      </w:r>
      <w:r w:rsidR="00692605">
        <w:rPr>
          <w:rFonts w:eastAsia="Arial"/>
          <w:lang w:val="en-US"/>
        </w:rPr>
        <w:t xml:space="preserve">WEP </w:t>
      </w:r>
      <w:r w:rsidR="00692605" w:rsidRPr="00692605">
        <w:rPr>
          <w:rFonts w:eastAsia="Arial"/>
          <w:lang w:val="en-US"/>
        </w:rPr>
        <w:t xml:space="preserve">indicators evaluated </w:t>
      </w:r>
      <w:r w:rsidR="00692605">
        <w:rPr>
          <w:rFonts w:eastAsia="Arial"/>
          <w:lang w:val="en-US"/>
        </w:rPr>
        <w:t>for a Hass avocado hard waste cascade biorefinery.</w:t>
      </w:r>
    </w:p>
    <w:p w14:paraId="0EE6781B" w14:textId="73B0A96D" w:rsidR="00697C5E" w:rsidRDefault="008C1A52" w:rsidP="002C4F6F">
      <w:pPr>
        <w:pStyle w:val="CETCaption"/>
        <w:rPr>
          <w:rFonts w:eastAsia="Arial"/>
          <w:i w:val="0"/>
          <w:iCs/>
          <w:lang w:val="en-US"/>
        </w:rPr>
      </w:pPr>
      <w:r>
        <w:rPr>
          <w:rFonts w:eastAsia="Arial"/>
          <w:i w:val="0"/>
          <w:iCs/>
          <w:lang w:val="en-US"/>
        </w:rPr>
        <w:t>Meanwhile, t</w:t>
      </w:r>
      <w:r w:rsidR="002C4F6F" w:rsidRPr="002C4F6F">
        <w:rPr>
          <w:rFonts w:eastAsia="Arial"/>
          <w:i w:val="0"/>
          <w:iCs/>
          <w:lang w:val="en-US"/>
        </w:rPr>
        <w:t xml:space="preserve">he indicators related to energy </w:t>
      </w:r>
      <w:r>
        <w:rPr>
          <w:rFonts w:eastAsia="Arial"/>
          <w:i w:val="0"/>
          <w:iCs/>
          <w:lang w:val="en-US"/>
        </w:rPr>
        <w:t xml:space="preserve">have both adequate and poor performance, with the ESI having an adequate performance of 65%, but lower than the 90% from Valdez-Valdes et al., or the 74% of a Creole-Antillean avocado biorefinery from Garcia-Maza et al., obtained in their work. </w:t>
      </w:r>
      <w:r w:rsidR="009D50BC">
        <w:rPr>
          <w:rFonts w:eastAsia="Arial"/>
          <w:i w:val="0"/>
          <w:iCs/>
          <w:lang w:val="en-US"/>
        </w:rPr>
        <w:t xml:space="preserve">ESI can </w:t>
      </w:r>
      <w:r w:rsidR="00A75E1C">
        <w:rPr>
          <w:rFonts w:eastAsia="Arial"/>
          <w:i w:val="0"/>
          <w:iCs/>
          <w:lang w:val="en-US"/>
        </w:rPr>
        <w:t>reflect</w:t>
      </w:r>
      <w:r w:rsidR="009D50BC">
        <w:rPr>
          <w:rFonts w:eastAsia="Arial"/>
          <w:i w:val="0"/>
          <w:iCs/>
          <w:lang w:val="en-US"/>
        </w:rPr>
        <w:t xml:space="preserve"> potential atmospheric impact, as emissions of greenhouse gas can be emitted to supply energy. The process adequate ESI showcased that the process could have a good environmental footprint related to gas emission. </w:t>
      </w:r>
      <w:r>
        <w:rPr>
          <w:rFonts w:eastAsia="Arial"/>
          <w:i w:val="0"/>
          <w:iCs/>
          <w:lang w:val="en-US"/>
        </w:rPr>
        <w:t>Additionally, TCE performance was regular with 45%, and the use of more expensive types of energy impacted on the total cost. The same can be seen on the NGCI and the EECI, in which their relation is inverse, the process has lower natural gas use, requiring higher electricity input, affecting both cost and suppl</w:t>
      </w:r>
      <w:r w:rsidR="00683DB4">
        <w:rPr>
          <w:rFonts w:eastAsia="Arial"/>
          <w:i w:val="0"/>
          <w:iCs/>
          <w:lang w:val="en-US"/>
        </w:rPr>
        <w:t>y</w:t>
      </w:r>
      <w:r w:rsidR="00790206">
        <w:rPr>
          <w:rFonts w:eastAsia="Arial"/>
          <w:i w:val="0"/>
          <w:iCs/>
          <w:lang w:val="en-US"/>
        </w:rPr>
        <w:t>, as reliance on national grid can energy management of the biorefinery.</w:t>
      </w:r>
    </w:p>
    <w:p w14:paraId="55AF283D" w14:textId="30AC322B" w:rsidR="002C4F6F" w:rsidRDefault="00D6239F" w:rsidP="002C4F6F">
      <w:pPr>
        <w:pStyle w:val="CETCaption"/>
        <w:rPr>
          <w:rFonts w:eastAsia="Arial"/>
          <w:i w:val="0"/>
          <w:iCs/>
          <w:lang w:val="en-US"/>
        </w:rPr>
      </w:pPr>
      <w:r>
        <w:rPr>
          <w:rFonts w:eastAsia="Arial"/>
          <w:i w:val="0"/>
          <w:iCs/>
          <w:lang w:val="en-US"/>
        </w:rPr>
        <w:t xml:space="preserve">The last </w:t>
      </w:r>
      <w:r w:rsidR="00270544">
        <w:rPr>
          <w:rFonts w:eastAsia="Arial"/>
          <w:i w:val="0"/>
          <w:iCs/>
          <w:lang w:val="en-US"/>
        </w:rPr>
        <w:t>indicator,</w:t>
      </w:r>
      <w:r>
        <w:rPr>
          <w:rFonts w:eastAsia="Arial"/>
          <w:i w:val="0"/>
          <w:iCs/>
          <w:lang w:val="en-US"/>
        </w:rPr>
        <w:t xml:space="preserve"> the NER</w:t>
      </w:r>
      <w:r w:rsidR="00270544">
        <w:rPr>
          <w:rFonts w:eastAsia="Arial"/>
          <w:i w:val="0"/>
          <w:iCs/>
          <w:lang w:val="en-US"/>
        </w:rPr>
        <w:t>, showed</w:t>
      </w:r>
      <w:r>
        <w:rPr>
          <w:rFonts w:eastAsia="Arial"/>
          <w:i w:val="0"/>
          <w:iCs/>
          <w:lang w:val="en-US"/>
        </w:rPr>
        <w:t xml:space="preserve"> a poor performance with a value of around 15%, indicating poor energy management</w:t>
      </w:r>
      <w:r w:rsidR="00270544">
        <w:rPr>
          <w:rFonts w:eastAsia="Arial"/>
          <w:i w:val="0"/>
          <w:iCs/>
          <w:lang w:val="en-US"/>
        </w:rPr>
        <w:t xml:space="preserve">. As this indicator is defined by the ratio between energy related to inputs and outputs, a lower NER showcase a poor energy management. </w:t>
      </w:r>
      <w:r w:rsidR="006E752B">
        <w:rPr>
          <w:rFonts w:eastAsia="Arial"/>
          <w:i w:val="0"/>
          <w:iCs/>
          <w:lang w:val="en-US"/>
        </w:rPr>
        <w:t xml:space="preserve">Similar results were found by Piedrahita-Rodriguez et al., for a Multifeedstock biorefinery as energy demands of these processes are quite high (between 4.8 and 5.6 MJ/kg) but process analyzed had higher capacity </w:t>
      </w:r>
      <w:r w:rsidR="006E752B">
        <w:rPr>
          <w:rFonts w:eastAsia="Arial"/>
          <w:i w:val="0"/>
          <w:iCs/>
          <w:lang w:val="en-US"/>
        </w:rPr>
        <w:fldChar w:fldCharType="begin" w:fldLock="1"/>
      </w:r>
      <w:r w:rsidR="006E752B">
        <w:rPr>
          <w:rFonts w:eastAsia="Arial"/>
          <w:i w:val="0"/>
          <w:iCs/>
          <w:lang w:val="en-US"/>
        </w:rPr>
        <w:instrText>ADDIN CSL_CITATION {"citationItems":[{"id":"ITEM-1","itemData":{"DOI":"10.1007/s13399-022-02560-8","ISBN":"0123456789","ISSN":"21906823","abstract":"This work addresses the techno-economic analysis for a multi-feedstock biorefinery system using plantain and avocado residues as raw materials. The experimental procedures were performed to obtain biogas and avocado seed oil. Ethanol was included as a third product by the simulation of the whole biorefinery based on reported literature data. The mass and energy balances were obtained using Aspen Plus V.9.0, while the economic assessment was performed using Aspen Process Economic Analyzer. The results demonstrate the potential of integrating avocado and plantain residues as raw materials to produce biogas, ethanol, and avocado seed oil. The integration of raw materials showed an overall improvement of the biorefinery. Experimental extraction of avocado seed oil had a yield of 1.33 ± 0.95% w/w. In the anaerobic digestion, 282, 116, and 304 ml of CH4 per g of VS were obtained during 15 days of the experiment for plantain peel, exhausted avocado seed, and 1:5 avocado to plantain samples, respectively. These results demonstrate the increase on biogas production when the integration occurs. Therefore, the proposed biorefinery scheme based on 1:5 avocado to plantain integration rate showed techno-economic pre-feasibility, with a profit margin of 3.56 MUSD/yr and a positive NPV in less than 2 years of the project lifetime.","author":[{"dropping-particle":"","family":"Piedrahita-Rodríguez","given":"S.","non-dropping-particle":"","parse-names":false,"suffix":""},{"dropping-particle":"","family":"Solarte-Toro","given":"J. C.","non-dropping-particle":"","parse-names":false,"suffix":""},{"dropping-particle":"","family":"Piñeres","given":"P. Peroza","non-dropping-particle":"","parse-names":false,"suffix":""},{"dropping-particle":"","family":"Ortiz-Sánchez","given":"M.","non-dropping-particle":"","parse-names":false,"suffix":""},{"dropping-particle":"","family":"Pérez-Cordero","given":"A.","non-dropping-particle":"","parse-names":false,"suffix":""},{"dropping-particle":"","family":"Cardona-Alzate","given":"C. A.","non-dropping-particle":"","parse-names":false,"suffix":""}],"container-title":"Biomass Conversion and Biorefinery","id":"ITEM-1","issue":"10","issued":{"date-parts":[["2022"]]},"page":"4531-4548","title":"Analysis of a biorefinery with multiple raw materials in the context of post-conflict zones in Colombia: plantain and avocado integration in the Montes de María region","type":"article-journal","volume":"12"},"uris":["http://www.mendeley.com/documents/?uuid=b0cde1c9-4807-4a05-9ee7-7804d33f8672"]}],"mendeley":{"formattedCitation":"(10)","plainTextFormattedCitation":"(10)","previouslyFormattedCitation":"(10)"},"properties":{"noteIndex":0},"schema":"https://github.com/citation-style-language/schema/raw/master/csl-citation.json"}</w:instrText>
      </w:r>
      <w:r w:rsidR="006E752B">
        <w:rPr>
          <w:rFonts w:eastAsia="Arial"/>
          <w:i w:val="0"/>
          <w:iCs/>
          <w:lang w:val="en-US"/>
        </w:rPr>
        <w:fldChar w:fldCharType="separate"/>
      </w:r>
      <w:r w:rsidR="006E752B" w:rsidRPr="006E752B">
        <w:rPr>
          <w:rFonts w:eastAsia="Arial"/>
          <w:i w:val="0"/>
          <w:iCs/>
          <w:noProof/>
          <w:lang w:val="en-US"/>
        </w:rPr>
        <w:t>(10)</w:t>
      </w:r>
      <w:r w:rsidR="006E752B">
        <w:rPr>
          <w:rFonts w:eastAsia="Arial"/>
          <w:i w:val="0"/>
          <w:iCs/>
          <w:lang w:val="en-US"/>
        </w:rPr>
        <w:fldChar w:fldCharType="end"/>
      </w:r>
      <w:r w:rsidR="006E752B">
        <w:rPr>
          <w:rFonts w:eastAsia="Arial"/>
          <w:i w:val="0"/>
          <w:iCs/>
          <w:lang w:val="en-US"/>
        </w:rPr>
        <w:t xml:space="preserve">. </w:t>
      </w:r>
      <w:r w:rsidR="00270544">
        <w:rPr>
          <w:rFonts w:eastAsia="Arial"/>
          <w:i w:val="0"/>
          <w:iCs/>
          <w:lang w:val="en-US"/>
        </w:rPr>
        <w:t>Consequently,</w:t>
      </w:r>
      <w:r w:rsidR="00697C5E">
        <w:rPr>
          <w:rFonts w:eastAsia="Arial"/>
          <w:i w:val="0"/>
          <w:iCs/>
          <w:lang w:val="en-US"/>
        </w:rPr>
        <w:t xml:space="preserve"> the biorefinery had an opportunity to improve its management </w:t>
      </w:r>
      <w:r w:rsidR="002C4F6F" w:rsidRPr="002C4F6F">
        <w:rPr>
          <w:rFonts w:eastAsia="Arial"/>
          <w:i w:val="0"/>
          <w:iCs/>
          <w:lang w:val="en-US"/>
        </w:rPr>
        <w:t>using exergy analysis</w:t>
      </w:r>
      <w:r w:rsidR="00697C5E">
        <w:rPr>
          <w:rFonts w:eastAsia="Arial"/>
          <w:i w:val="0"/>
          <w:iCs/>
          <w:lang w:val="en-US"/>
        </w:rPr>
        <w:t xml:space="preserve">, as not only does the quality need to be assessed </w:t>
      </w:r>
      <w:r w:rsidR="006E752B">
        <w:rPr>
          <w:rFonts w:eastAsia="Arial"/>
          <w:i w:val="0"/>
          <w:iCs/>
          <w:lang w:val="en-US"/>
        </w:rPr>
        <w:t xml:space="preserve">fully but </w:t>
      </w:r>
      <w:r w:rsidR="00697C5E">
        <w:rPr>
          <w:rFonts w:eastAsia="Arial"/>
          <w:i w:val="0"/>
          <w:iCs/>
          <w:lang w:val="en-US"/>
        </w:rPr>
        <w:t>understanding the flow and use inside the biorefinery</w:t>
      </w:r>
      <w:r w:rsidR="006E752B">
        <w:rPr>
          <w:rFonts w:eastAsia="Arial"/>
          <w:i w:val="0"/>
          <w:iCs/>
          <w:lang w:val="en-US"/>
        </w:rPr>
        <w:t xml:space="preserve"> </w:t>
      </w:r>
      <w:r w:rsidR="006E752B">
        <w:rPr>
          <w:rFonts w:eastAsia="Arial"/>
          <w:i w:val="0"/>
          <w:iCs/>
          <w:lang w:val="en-US"/>
        </w:rPr>
        <w:fldChar w:fldCharType="begin" w:fldLock="1"/>
      </w:r>
      <w:r w:rsidR="006E752B">
        <w:rPr>
          <w:rFonts w:eastAsia="Arial"/>
          <w:i w:val="0"/>
          <w:iCs/>
          <w:lang w:val="en-US"/>
        </w:rPr>
        <w:instrText>ADDIN CSL_CITATION {"citationItems":[{"id":"ITEM-1","itemData":{"DOI":"10.3303/CET25117100","ISBN":"9791281206175","ISSN":"22839216","abstract":"In Colombia, avocado cultivation is prominent in departments such as Bolívar, Antioquia, Tolima, Cesar, Caldas, Valle del Cauca, Quindío, and Santander, covering 86% of the planted area. In Bolívar, particularly in the Montes de María, avocados damaged by fungi, poor marketing, and deteriorated roads pose a challenge. This study proposes a biorefinery approach to valorize these wastes by producing oil, chlorophyll, biochar, fat-free pulp, and fertilizer. The research evaluates the overall exergy efficiency and identifies key thermodynamic irreversibilities in an avocado (Laurus Persea L) biorefinery in northern Colombia. Exergy, which measures energy quality and work potential, is used to assess process efficiency and sustainability. Results show that stages 8 (oil distillation, condensation, and refrigeration), 12 (pyrolysis and by-product separation), and 16 (chlorophyll extract distillation, condensation, and refrigeration) have the highest exergy destruction, accounting for 23.90 %, 33.27 %, and 7.84 %, respectively. The peel washing stage demonstrated high exergetic efficiency (97.32 %) due to its contribution to chlorophyll-rich extract and fertilizer production. However, stage 12 had significant exergy loss (2,438.52 MJ/h) because the volatile gases produced during pyrolysis were not utilized as biorefinery products. The highest irreversibilities were observed in stages 8 and 12. The overall exergy efficiency of the process was 46.26 %, higher than systems that use only avocado pulp, as this biorefinery integrates seeds and peels into its processes, reducing waste generation. This study highlights the potential of avocado crop residues for value-added production and emphasizes the need to optimize processes to enhance energy efficiency and sustainability.","author":[{"dropping-particle":"","family":"Herrera-Rodríguez","given":"Tamy C.","non-dropping-particle":"","parse-names":false,"suffix":""},{"dropping-particle":"","family":"Parejo-Palacio","given":"Vianny","non-dropping-particle":"","parse-names":false,"suffix":""},{"dropping-particle":"","family":"González-Delgado","given":"Ángel D.","non-dropping-particle":"","parse-names":false,"suffix":""}],"container-title":"Chemical Engineering Transactions ","id":"ITEM-1","issue":"May","issued":{"date-parts":[["2025"]]},"page":"595-600","title":"Exergetic Evaluation of an avocado (Laurus Persea L.) Biorefinery in Northern Colombia","type":"article-journal","volume":"117"},"uris":["http://www.mendeley.com/documents/?uuid=0ea65d5a-4ac8-4ba1-998d-189cc4e36bd6"]}],"mendeley":{"formattedCitation":"(11)","plainTextFormattedCitation":"(11)"},"properties":{"noteIndex":0},"schema":"https://github.com/citation-style-language/schema/raw/master/csl-citation.json"}</w:instrText>
      </w:r>
      <w:r w:rsidR="006E752B">
        <w:rPr>
          <w:rFonts w:eastAsia="Arial"/>
          <w:i w:val="0"/>
          <w:iCs/>
          <w:lang w:val="en-US"/>
        </w:rPr>
        <w:fldChar w:fldCharType="separate"/>
      </w:r>
      <w:r w:rsidR="006E752B" w:rsidRPr="006E752B">
        <w:rPr>
          <w:rFonts w:eastAsia="Arial"/>
          <w:i w:val="0"/>
          <w:iCs/>
          <w:noProof/>
          <w:lang w:val="en-US"/>
        </w:rPr>
        <w:t>(11)</w:t>
      </w:r>
      <w:r w:rsidR="006E752B">
        <w:rPr>
          <w:rFonts w:eastAsia="Arial"/>
          <w:i w:val="0"/>
          <w:iCs/>
          <w:lang w:val="en-US"/>
        </w:rPr>
        <w:fldChar w:fldCharType="end"/>
      </w:r>
      <w:r w:rsidR="00697C5E">
        <w:rPr>
          <w:rFonts w:eastAsia="Arial"/>
          <w:i w:val="0"/>
          <w:iCs/>
          <w:lang w:val="en-US"/>
        </w:rPr>
        <w:t>.</w:t>
      </w:r>
      <w:r w:rsidR="006E752B">
        <w:rPr>
          <w:rFonts w:eastAsia="Arial"/>
          <w:i w:val="0"/>
          <w:iCs/>
          <w:lang w:val="en-US"/>
        </w:rPr>
        <w:t xml:space="preserve"> </w:t>
      </w:r>
      <w:r w:rsidR="00697C5E">
        <w:rPr>
          <w:rFonts w:eastAsia="Arial"/>
          <w:i w:val="0"/>
          <w:iCs/>
          <w:lang w:val="en-US"/>
        </w:rPr>
        <w:t xml:space="preserve">Thanks to </w:t>
      </w:r>
      <w:r w:rsidR="00525A5C">
        <w:rPr>
          <w:rFonts w:eastAsia="Arial"/>
          <w:i w:val="0"/>
          <w:iCs/>
          <w:lang w:val="en-US"/>
        </w:rPr>
        <w:t>all</w:t>
      </w:r>
      <w:r w:rsidR="00697C5E">
        <w:rPr>
          <w:rFonts w:eastAsia="Arial"/>
          <w:i w:val="0"/>
          <w:iCs/>
          <w:lang w:val="en-US"/>
        </w:rPr>
        <w:t xml:space="preserve"> the above, the use of integration techniques can be recommended to </w:t>
      </w:r>
      <w:r w:rsidR="002C4F6F" w:rsidRPr="002C4F6F">
        <w:rPr>
          <w:rFonts w:eastAsia="Arial"/>
          <w:i w:val="0"/>
          <w:iCs/>
          <w:lang w:val="en-US"/>
        </w:rPr>
        <w:t xml:space="preserve">enhance the </w:t>
      </w:r>
      <w:r w:rsidR="00525A5C" w:rsidRPr="002C4F6F">
        <w:rPr>
          <w:rFonts w:eastAsia="Arial"/>
          <w:i w:val="0"/>
          <w:iCs/>
          <w:lang w:val="en-US"/>
        </w:rPr>
        <w:t xml:space="preserve">resource conservation </w:t>
      </w:r>
      <w:r w:rsidR="00525A5C">
        <w:rPr>
          <w:rFonts w:eastAsia="Arial"/>
          <w:i w:val="0"/>
          <w:iCs/>
          <w:lang w:val="en-US"/>
        </w:rPr>
        <w:t xml:space="preserve">of the </w:t>
      </w:r>
      <w:r w:rsidR="00525A5C" w:rsidRPr="002C4F6F">
        <w:rPr>
          <w:rFonts w:eastAsia="Arial"/>
          <w:i w:val="0"/>
          <w:iCs/>
          <w:lang w:val="en-US"/>
        </w:rPr>
        <w:t>process</w:t>
      </w:r>
      <w:r w:rsidR="00525A5C">
        <w:rPr>
          <w:rFonts w:eastAsia="Arial"/>
          <w:i w:val="0"/>
          <w:iCs/>
          <w:lang w:val="en-US"/>
        </w:rPr>
        <w:t>. For water, use of mass integration can potentially reduce water intake as effluents can be recycled or regenerated for further use. Additionally, heat integration can support the reduction of heat losses of intermediate streams, optimizing energy use through the whole process. Lastly, the cascade systems need to be expanded to further valorize solids waste of the process as high value fractions are still left unused.</w:t>
      </w:r>
    </w:p>
    <w:p w14:paraId="4D3A3446" w14:textId="579D0CBC" w:rsidR="005F29D3" w:rsidRDefault="00000000" w:rsidP="00697C5E">
      <w:pPr>
        <w:pStyle w:val="CETHeading1"/>
        <w:numPr>
          <w:ilvl w:val="0"/>
          <w:numId w:val="20"/>
        </w:numPr>
        <w:rPr>
          <w:rFonts w:eastAsia="Arial"/>
        </w:rPr>
      </w:pPr>
      <w:r>
        <w:rPr>
          <w:rFonts w:eastAsia="Arial"/>
        </w:rPr>
        <w:t>Conclusions</w:t>
      </w:r>
    </w:p>
    <w:p w14:paraId="4E35C531" w14:textId="362124C3" w:rsidR="00D53C7A" w:rsidRPr="00D53C7A" w:rsidRDefault="00D53C7A" w:rsidP="00D53C7A">
      <w:pPr>
        <w:pStyle w:val="CETBodytext"/>
        <w:rPr>
          <w:rFonts w:eastAsia="Arial"/>
        </w:rPr>
      </w:pPr>
      <w:r>
        <w:rPr>
          <w:rFonts w:eastAsia="Arial"/>
        </w:rPr>
        <w:t>The analysis of the technical performance of a cascade biorefinery system for valorizing avocado waste highlighted the main bottlenecks of its implementation. The biorefinery assessed has multiple outputs, as starch, biofilms and biocontrol agent were considered. The analysis showed that the process of mass and energy management required further improvement. As the process had low yield (20%) and poor material reuse (11%), furthermore, the wastewater production is the worst aspect of the process as several streams are expelled without additional use (9%). In contrast, water intake and cost were particularly acceptable with performance above 65%. Likewise, energy indicators had similar results, as energy intake was acceptable (65%</w:t>
      </w:r>
      <w:proofErr w:type="gramStart"/>
      <w:r>
        <w:rPr>
          <w:rFonts w:eastAsia="Arial"/>
        </w:rPr>
        <w:t>)</w:t>
      </w:r>
      <w:proofErr w:type="gramEnd"/>
      <w:r>
        <w:rPr>
          <w:rFonts w:eastAsia="Arial"/>
        </w:rPr>
        <w:t xml:space="preserve"> but the management was poor with a NER performance of 15%. These highlights reaffirmed the necessity of further optimization of cascade systems, especially using integration techniques.</w:t>
      </w:r>
    </w:p>
    <w:p w14:paraId="1729577F" w14:textId="77777777" w:rsidR="000731B1" w:rsidRDefault="00000000" w:rsidP="000731B1">
      <w:pPr>
        <w:pStyle w:val="CETAcknowledgementstitle"/>
        <w:rPr>
          <w:rFonts w:eastAsia="Arial"/>
        </w:rPr>
      </w:pPr>
      <w:r>
        <w:rPr>
          <w:rFonts w:eastAsia="Arial"/>
        </w:rPr>
        <w:t>Acknowledgments</w:t>
      </w:r>
    </w:p>
    <w:p w14:paraId="65EFA6B2" w14:textId="287E7A5F" w:rsidR="000731B1" w:rsidRPr="000731B1" w:rsidRDefault="000731B1" w:rsidP="000731B1">
      <w:pPr>
        <w:pStyle w:val="CETAcknowledgementstitle"/>
        <w:rPr>
          <w:rFonts w:eastAsia="Arial"/>
        </w:rPr>
      </w:pPr>
      <w:r w:rsidRPr="000731B1">
        <w:rPr>
          <w:rFonts w:eastAsia="Arial"/>
          <w:b w:val="0"/>
          <w:lang w:val="en-US"/>
        </w:rPr>
        <w:t>The authors gratefully acknowledge the financial support provided by the Universidad de Cartagena and the Colombian Ministry of Science, Technology, and Innovation (</w:t>
      </w:r>
      <w:proofErr w:type="spellStart"/>
      <w:r w:rsidRPr="000731B1">
        <w:rPr>
          <w:rFonts w:eastAsia="Arial"/>
          <w:b w:val="0"/>
          <w:lang w:val="en-US"/>
        </w:rPr>
        <w:t>Minciencias</w:t>
      </w:r>
      <w:proofErr w:type="spellEnd"/>
      <w:r w:rsidRPr="000731B1">
        <w:rPr>
          <w:rFonts w:eastAsia="Arial"/>
          <w:b w:val="0"/>
          <w:lang w:val="en-US"/>
        </w:rPr>
        <w:t>). This work was funded under the project SIGP 100307 and contract 442-2023.</w:t>
      </w:r>
      <w:r w:rsidRPr="000731B1">
        <w:rPr>
          <w:rFonts w:eastAsia="Arial"/>
          <w:b w:val="0"/>
          <w:lang w:val="en-US"/>
        </w:rPr>
        <w:t xml:space="preserve"> </w:t>
      </w:r>
    </w:p>
    <w:p w14:paraId="1554D881" w14:textId="27B85708" w:rsidR="005F29D3" w:rsidRDefault="00000000" w:rsidP="00C63B18">
      <w:pPr>
        <w:pStyle w:val="CETReference"/>
        <w:rPr>
          <w:rFonts w:eastAsia="Arial"/>
          <w:lang w:val="es-CO"/>
        </w:rPr>
      </w:pPr>
      <w:proofErr w:type="spellStart"/>
      <w:r w:rsidRPr="0083263D">
        <w:rPr>
          <w:rFonts w:eastAsia="Arial"/>
          <w:lang w:val="es-CO"/>
        </w:rPr>
        <w:t>References</w:t>
      </w:r>
      <w:proofErr w:type="spellEnd"/>
    </w:p>
    <w:p w14:paraId="337078AD" w14:textId="477A35DD" w:rsidR="006E752B" w:rsidRPr="006E752B" w:rsidRDefault="00D6239F" w:rsidP="006E752B">
      <w:pPr>
        <w:widowControl w:val="0"/>
        <w:autoSpaceDE w:val="0"/>
        <w:autoSpaceDN w:val="0"/>
        <w:adjustRightInd w:val="0"/>
        <w:spacing w:before="200" w:after="120" w:line="240" w:lineRule="auto"/>
        <w:ind w:left="640" w:hanging="640"/>
        <w:rPr>
          <w:rFonts w:cs="Arial"/>
          <w:noProof/>
        </w:rPr>
      </w:pPr>
      <w:r>
        <w:rPr>
          <w:rFonts w:eastAsia="Arial"/>
          <w:lang w:val="es-CO"/>
        </w:rPr>
        <w:fldChar w:fldCharType="begin" w:fldLock="1"/>
      </w:r>
      <w:r>
        <w:rPr>
          <w:rFonts w:eastAsia="Arial"/>
          <w:lang w:val="es-CO"/>
        </w:rPr>
        <w:instrText xml:space="preserve">ADDIN Mendeley Bibliography CSL_BIBLIOGRAPHY </w:instrText>
      </w:r>
      <w:r>
        <w:rPr>
          <w:rFonts w:eastAsia="Arial"/>
          <w:lang w:val="es-CO"/>
        </w:rPr>
        <w:fldChar w:fldCharType="separate"/>
      </w:r>
      <w:r w:rsidR="006E752B" w:rsidRPr="006E752B">
        <w:rPr>
          <w:rFonts w:cs="Arial"/>
          <w:noProof/>
        </w:rPr>
        <w:t>1.</w:t>
      </w:r>
      <w:r w:rsidR="006E752B" w:rsidRPr="006E752B">
        <w:rPr>
          <w:rFonts w:cs="Arial"/>
          <w:noProof/>
        </w:rPr>
        <w:tab/>
        <w:t>Daimary N, Deb B, Roy B, Ranjan RK, Mukherjee A. Sustainable biorefinery approach for the transformation of biowaste into biofuels and chemicals for the circular economy: A review. Sustain Energy Technol Assessments [Internet]. 2025;82(March):104457. Available from: https://doi.org/10.1016/j.seta.2025.104457</w:t>
      </w:r>
    </w:p>
    <w:p w14:paraId="7CD25C5C"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2.</w:t>
      </w:r>
      <w:r w:rsidRPr="006E752B">
        <w:rPr>
          <w:rFonts w:cs="Arial"/>
          <w:noProof/>
        </w:rPr>
        <w:tab/>
        <w:t>Jander W, Günther J, Prochnow A. What is this thing called circular bioeconomy? Integrating the concepts of circular agri-food and industrial systems. J Clean Prod [Internet]. 2025;530(June):146872. Available from: https://doi.org/10.1016/j.jclepro.2025.146872</w:t>
      </w:r>
    </w:p>
    <w:p w14:paraId="2D2E3B9F"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3.</w:t>
      </w:r>
      <w:r w:rsidRPr="006E752B">
        <w:rPr>
          <w:rFonts w:cs="Arial"/>
          <w:noProof/>
        </w:rPr>
        <w:tab/>
        <w:t xml:space="preserve">Solarte-Toro JC, Ortiz-Sanchez M, Restrepo-Serna DL, Peroza Piñeres P, Pérez Cordero A, Cardona Alzate CA. Influence of products portfolio and process contextualization on the economic performance of small- and large-scale avocado biorefineries. Bioresour Technol. 2021;342(September). </w:t>
      </w:r>
    </w:p>
    <w:p w14:paraId="61B20286"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4.</w:t>
      </w:r>
      <w:r w:rsidRPr="006E752B">
        <w:rPr>
          <w:rFonts w:cs="Arial"/>
          <w:noProof/>
        </w:rPr>
        <w:tab/>
        <w:t xml:space="preserve">Mohammad REA, Abdullahi SS ad, Muhammed HA, Musa H, Habibu S, Jagaba AH, et al. Recent technical and non-technical biorefinery development barriers and potential solutions for a sustainable </w:t>
      </w:r>
      <w:r w:rsidRPr="006E752B">
        <w:rPr>
          <w:rFonts w:cs="Arial"/>
          <w:noProof/>
        </w:rPr>
        <w:lastRenderedPageBreak/>
        <w:t>environment: A mini review. Case Stud Chem Environ Eng [Internet]. 2024;9(December 2023):100586. Available from: https://doi.org/10.1016/j.cscee.2023.100586</w:t>
      </w:r>
    </w:p>
    <w:p w14:paraId="0517BEA0"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5.</w:t>
      </w:r>
      <w:r w:rsidRPr="006E752B">
        <w:rPr>
          <w:rFonts w:cs="Arial"/>
          <w:noProof/>
        </w:rPr>
        <w:tab/>
        <w:t>Aguilar-Vásquez E, Ramos-Olmos M, González-Delgado ÁD. A Joint Computer-Aided Simulation and Water-Energy-Product (WEP) Approach for Technical Evaluation of PVC Production. Sustainability [Internet]. 2023;15(10). Available from: https://www.mdpi.com/2071-1050/15/10/8096</w:t>
      </w:r>
    </w:p>
    <w:p w14:paraId="7AF8C1D5"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6.</w:t>
      </w:r>
      <w:r w:rsidRPr="006E752B">
        <w:rPr>
          <w:rFonts w:cs="Arial"/>
          <w:noProof/>
        </w:rPr>
        <w:tab/>
        <w:t xml:space="preserve">Alviz-Meza A, Valdez-Valdes SA, González-Delgado ÁD. Computer-Aided Simulation of a Cascade Biorefinery: Case Study of the Colombian Amazon’s Hass Avocado Waste. Chem Eng Trans . 2025;117(May):67–72. </w:t>
      </w:r>
    </w:p>
    <w:p w14:paraId="3431140C"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7.</w:t>
      </w:r>
      <w:r w:rsidRPr="006E752B">
        <w:rPr>
          <w:rFonts w:cs="Arial"/>
          <w:noProof/>
        </w:rPr>
        <w:tab/>
        <w:t xml:space="preserve">Sousa D, Rodrigues D, Castro PM, Matos HA. Equation-Oriented Modeling and Optimization of a Biorefinery Based on Avocado Waste. Processes. 2024;12(1):1–18. </w:t>
      </w:r>
    </w:p>
    <w:p w14:paraId="59DADA03"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8.</w:t>
      </w:r>
      <w:r w:rsidRPr="006E752B">
        <w:rPr>
          <w:rFonts w:cs="Arial"/>
          <w:noProof/>
        </w:rPr>
        <w:tab/>
        <w:t xml:space="preserve">García-Maza S, Herrera-Rodríguez TC, González-Delgado ÁD. Process Simulation and Technical Evaluation Using Water-Energy-Product (WEP) Analysis of an Extractive-Based Biorefinery of Creole-Antillean Avocado Produced in the Montes De María. Sustain. 2024;16(21). </w:t>
      </w:r>
    </w:p>
    <w:p w14:paraId="3BEA9422"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9.</w:t>
      </w:r>
      <w:r w:rsidRPr="006E752B">
        <w:rPr>
          <w:rFonts w:cs="Arial"/>
          <w:noProof/>
        </w:rPr>
        <w:tab/>
        <w:t xml:space="preserve">Bianchi M, Cascavilla A, Diaz JC, Ladu L, Blazquez BP, Pierre M, et al. Circular bioeconomy: A review of empirical practices across implementation scales. J Clean Prod. 2024;477(October). </w:t>
      </w:r>
    </w:p>
    <w:p w14:paraId="3141BD89"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10.</w:t>
      </w:r>
      <w:r w:rsidRPr="006E752B">
        <w:rPr>
          <w:rFonts w:cs="Arial"/>
          <w:noProof/>
        </w:rPr>
        <w:tab/>
        <w:t xml:space="preserve">Piedrahita-Rodríguez S, Solarte-Toro JC, Piñeres PP, Ortiz-Sánchez M, Pérez-Cordero A, Cardona-Alzate CA. Analysis of a biorefinery with multiple raw materials in the context of post-conflict zones in Colombia: plantain and avocado integration in the Montes de María region. Biomass Convers Biorefinery. 2022;12(10):4531–48. </w:t>
      </w:r>
    </w:p>
    <w:p w14:paraId="4210FACD" w14:textId="77777777" w:rsidR="006E752B" w:rsidRPr="006E752B" w:rsidRDefault="006E752B" w:rsidP="006E752B">
      <w:pPr>
        <w:widowControl w:val="0"/>
        <w:autoSpaceDE w:val="0"/>
        <w:autoSpaceDN w:val="0"/>
        <w:adjustRightInd w:val="0"/>
        <w:spacing w:before="200" w:after="120" w:line="240" w:lineRule="auto"/>
        <w:ind w:left="640" w:hanging="640"/>
        <w:rPr>
          <w:rFonts w:cs="Arial"/>
          <w:noProof/>
        </w:rPr>
      </w:pPr>
      <w:r w:rsidRPr="006E752B">
        <w:rPr>
          <w:rFonts w:cs="Arial"/>
          <w:noProof/>
        </w:rPr>
        <w:t>11.</w:t>
      </w:r>
      <w:r w:rsidRPr="006E752B">
        <w:rPr>
          <w:rFonts w:cs="Arial"/>
          <w:noProof/>
        </w:rPr>
        <w:tab/>
        <w:t xml:space="preserve">Herrera-Rodríguez TC, Parejo-Palacio V, González-Delgado ÁD. Exergetic Evaluation of an avocado (Laurus Persea L.) Biorefinery in Northern Colombia. Chem Eng Trans . 2025;117(May):595–600. </w:t>
      </w:r>
    </w:p>
    <w:p w14:paraId="701F9828" w14:textId="0D37F2D9" w:rsidR="00D6239F" w:rsidRPr="00C63B18" w:rsidRDefault="00D6239F" w:rsidP="00C63B18">
      <w:pPr>
        <w:pStyle w:val="CETReference"/>
        <w:rPr>
          <w:rFonts w:eastAsia="Arial"/>
          <w:lang w:val="es-CO"/>
        </w:rPr>
      </w:pPr>
      <w:r>
        <w:rPr>
          <w:rFonts w:eastAsia="Arial"/>
          <w:lang w:val="es-CO"/>
        </w:rPr>
        <w:fldChar w:fldCharType="end"/>
      </w:r>
    </w:p>
    <w:sectPr w:rsidR="00D6239F" w:rsidRPr="00C63B18">
      <w:type w:val="continuous"/>
      <w:pgSz w:w="11906" w:h="16838"/>
      <w:pgMar w:top="1701" w:right="1418" w:bottom="1701" w:left="1701" w:header="1701"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C7CAE80-BFAE-4489-AE8C-0F6A4A69ADE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2F0759E-0A23-4B6B-95F6-80822860D6CA}"/>
    <w:embedBold r:id="rId3" w:fontKey="{51A906E9-8480-4F4E-920D-709F3C4A7FA8}"/>
    <w:embedItalic r:id="rId4" w:fontKey="{F8C13F65-F991-43C9-A12C-54CE51688310}"/>
    <w:embedBoldItalic r:id="rId5" w:fontKey="{E60F5EFB-354B-4E95-B337-A7BBFEE9ACB3}"/>
  </w:font>
  <w:font w:name="Tahoma">
    <w:panose1 w:val="020B0604030504040204"/>
    <w:charset w:val="00"/>
    <w:family w:val="swiss"/>
    <w:pitch w:val="variable"/>
    <w:sig w:usb0="E1002EFF" w:usb1="C000605B" w:usb2="00000029" w:usb3="00000000" w:csb0="000101FF" w:csb1="00000000"/>
    <w:embedRegular r:id="rId6" w:fontKey="{96E9C9F5-3BB0-429C-9327-F819ADB8A038}"/>
    <w:embedBold r:id="rId7" w:fontKey="{AA24EF59-A9BD-428C-87AC-25BF86CA2C43}"/>
  </w:font>
  <w:font w:name="Consolas">
    <w:panose1 w:val="020B0609020204030204"/>
    <w:charset w:val="00"/>
    <w:family w:val="modern"/>
    <w:pitch w:val="fixed"/>
    <w:sig w:usb0="E00006FF" w:usb1="0000FCFF" w:usb2="00000001" w:usb3="00000000" w:csb0="0000019F" w:csb1="00000000"/>
    <w:embedRegular r:id="rId8" w:fontKey="{28A8FC37-C043-42E0-B2B7-17730B5BD384}"/>
  </w:font>
  <w:font w:name="Georgia">
    <w:panose1 w:val="02040502050405020303"/>
    <w:charset w:val="00"/>
    <w:family w:val="roman"/>
    <w:pitch w:val="variable"/>
    <w:sig w:usb0="00000287" w:usb1="00000000" w:usb2="00000000" w:usb3="00000000" w:csb0="0000009F" w:csb1="00000000"/>
    <w:embedRegular r:id="rId9" w:fontKey="{6AF349AE-066E-4503-9772-C0F971D2E56D}"/>
    <w:embedItalic r:id="rId10" w:fontKey="{EBB50AAE-BF95-4F3D-A9FA-88B81407C597}"/>
  </w:font>
  <w:font w:name="AdvP6960">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1" w:fontKey="{7C5ACA37-F082-4558-B6C9-0F15F65C32BC}"/>
  </w:font>
  <w:font w:name="Cambria Math">
    <w:panose1 w:val="02040503050406030204"/>
    <w:charset w:val="00"/>
    <w:family w:val="roman"/>
    <w:pitch w:val="variable"/>
    <w:sig w:usb0="E00006FF" w:usb1="420024FF" w:usb2="02000000" w:usb3="00000000" w:csb0="0000019F" w:csb1="00000000"/>
    <w:embedRegular r:id="rId12" w:fontKey="{7415140C-48CB-48C5-B157-F0164A467232}"/>
    <w:embedItalic r:id="rId13" w:fontKey="{B6F97613-4A56-476F-AB89-F8B0401B2B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38CE"/>
    <w:multiLevelType w:val="multilevel"/>
    <w:tmpl w:val="0D549D90"/>
    <w:lvl w:ilvl="0">
      <w:start w:val="3"/>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C76006E"/>
    <w:multiLevelType w:val="multilevel"/>
    <w:tmpl w:val="3FDAF8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37E3F18"/>
    <w:multiLevelType w:val="hybridMultilevel"/>
    <w:tmpl w:val="B362377A"/>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2E651A86"/>
    <w:multiLevelType w:val="multilevel"/>
    <w:tmpl w:val="CAFA7D96"/>
    <w:lvl w:ilvl="0">
      <w:start w:val="1"/>
      <w:numFmt w:val="decimal"/>
      <w:lvlText w:val="Chapter %1"/>
      <w:lvlJc w:val="left"/>
      <w:pPr>
        <w:ind w:left="0" w:firstLine="0"/>
      </w:pPr>
    </w:lvl>
    <w:lvl w:ilvl="1">
      <w:start w:val="1"/>
      <w:numFmt w:val="decimal"/>
      <w:pStyle w:val="Heading1"/>
      <w:lvlText w:val="%2."/>
      <w:lvlJc w:val="left"/>
      <w:pPr>
        <w:ind w:left="0" w:firstLine="0"/>
      </w:pPr>
    </w:lvl>
    <w:lvl w:ilvl="2">
      <w:start w:val="1"/>
      <w:numFmt w:val="decimal"/>
      <w:pStyle w:val="CETheadingx"/>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4" w15:restartNumberingAfterBreak="0">
    <w:nsid w:val="4772167B"/>
    <w:multiLevelType w:val="multilevel"/>
    <w:tmpl w:val="1F7E7914"/>
    <w:lvl w:ilvl="0">
      <w:start w:val="1"/>
      <w:numFmt w:val="bullet"/>
      <w:pStyle w:val="ListNumber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421D74"/>
    <w:multiLevelType w:val="multilevel"/>
    <w:tmpl w:val="31A28970"/>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9FD21CB"/>
    <w:multiLevelType w:val="multilevel"/>
    <w:tmpl w:val="1C8A4768"/>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6E57FC"/>
    <w:multiLevelType w:val="multilevel"/>
    <w:tmpl w:val="427E6AC2"/>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BAF067E"/>
    <w:multiLevelType w:val="multilevel"/>
    <w:tmpl w:val="8C3C4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CDC277F"/>
    <w:multiLevelType w:val="multilevel"/>
    <w:tmpl w:val="D3CE13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FEB0604"/>
    <w:multiLevelType w:val="multilevel"/>
    <w:tmpl w:val="F4529A2A"/>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AC5553"/>
    <w:multiLevelType w:val="multilevel"/>
    <w:tmpl w:val="3C9C976A"/>
    <w:lvl w:ilvl="0">
      <w:start w:val="1"/>
      <w:numFmt w:val="bullet"/>
      <w:pStyle w:val="ListNumber"/>
      <w:lvlText w:val="●"/>
      <w:lvlJc w:val="left"/>
      <w:pPr>
        <w:ind w:left="340"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7510514">
    <w:abstractNumId w:val="3"/>
  </w:num>
  <w:num w:numId="2" w16cid:durableId="1726640284">
    <w:abstractNumId w:val="11"/>
  </w:num>
  <w:num w:numId="3" w16cid:durableId="513885806">
    <w:abstractNumId w:val="6"/>
  </w:num>
  <w:num w:numId="4" w16cid:durableId="1557276879">
    <w:abstractNumId w:val="4"/>
  </w:num>
  <w:num w:numId="5" w16cid:durableId="715354721">
    <w:abstractNumId w:val="10"/>
  </w:num>
  <w:num w:numId="6" w16cid:durableId="2134052101">
    <w:abstractNumId w:val="5"/>
  </w:num>
  <w:num w:numId="7" w16cid:durableId="4372567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86085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23212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93023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73217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28475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56101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31602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6072905">
    <w:abstractNumId w:val="7"/>
  </w:num>
  <w:num w:numId="16" w16cid:durableId="782379426">
    <w:abstractNumId w:val="2"/>
  </w:num>
  <w:num w:numId="17" w16cid:durableId="409809246">
    <w:abstractNumId w:val="8"/>
  </w:num>
  <w:num w:numId="18" w16cid:durableId="1659070204">
    <w:abstractNumId w:val="9"/>
  </w:num>
  <w:num w:numId="19" w16cid:durableId="358775978">
    <w:abstractNumId w:val="1"/>
  </w:num>
  <w:num w:numId="20" w16cid:durableId="463428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9D3"/>
    <w:rsid w:val="00001F07"/>
    <w:rsid w:val="00007582"/>
    <w:rsid w:val="000142B1"/>
    <w:rsid w:val="000172EA"/>
    <w:rsid w:val="0003714E"/>
    <w:rsid w:val="0004682D"/>
    <w:rsid w:val="000473B9"/>
    <w:rsid w:val="000678D9"/>
    <w:rsid w:val="000731B1"/>
    <w:rsid w:val="00086695"/>
    <w:rsid w:val="00097F66"/>
    <w:rsid w:val="000A0076"/>
    <w:rsid w:val="000C1DC2"/>
    <w:rsid w:val="000D3553"/>
    <w:rsid w:val="00113093"/>
    <w:rsid w:val="00115E0C"/>
    <w:rsid w:val="00130046"/>
    <w:rsid w:val="001366FF"/>
    <w:rsid w:val="00136DA9"/>
    <w:rsid w:val="0015206D"/>
    <w:rsid w:val="001626D6"/>
    <w:rsid w:val="00166A15"/>
    <w:rsid w:val="00166FA9"/>
    <w:rsid w:val="00167DCF"/>
    <w:rsid w:val="001702EF"/>
    <w:rsid w:val="00170E50"/>
    <w:rsid w:val="00173FED"/>
    <w:rsid w:val="0017606A"/>
    <w:rsid w:val="00181AC1"/>
    <w:rsid w:val="00194486"/>
    <w:rsid w:val="001A57EA"/>
    <w:rsid w:val="001D23FA"/>
    <w:rsid w:val="001E024F"/>
    <w:rsid w:val="001E3509"/>
    <w:rsid w:val="001E77EE"/>
    <w:rsid w:val="00201D2C"/>
    <w:rsid w:val="00203A83"/>
    <w:rsid w:val="00225A00"/>
    <w:rsid w:val="002403A1"/>
    <w:rsid w:val="00254C37"/>
    <w:rsid w:val="00265D4C"/>
    <w:rsid w:val="002673CC"/>
    <w:rsid w:val="00270544"/>
    <w:rsid w:val="00281F8B"/>
    <w:rsid w:val="002B2D8A"/>
    <w:rsid w:val="002C4F6F"/>
    <w:rsid w:val="002D23DA"/>
    <w:rsid w:val="002F69C3"/>
    <w:rsid w:val="00307236"/>
    <w:rsid w:val="00315336"/>
    <w:rsid w:val="00316354"/>
    <w:rsid w:val="003165C9"/>
    <w:rsid w:val="00342BE2"/>
    <w:rsid w:val="0034347C"/>
    <w:rsid w:val="00356B69"/>
    <w:rsid w:val="0036659C"/>
    <w:rsid w:val="00381C6F"/>
    <w:rsid w:val="00381E87"/>
    <w:rsid w:val="003849F4"/>
    <w:rsid w:val="00385BE2"/>
    <w:rsid w:val="00385CB3"/>
    <w:rsid w:val="003943B8"/>
    <w:rsid w:val="003A5B3D"/>
    <w:rsid w:val="003C1B6C"/>
    <w:rsid w:val="003E39D6"/>
    <w:rsid w:val="003F2768"/>
    <w:rsid w:val="003F3815"/>
    <w:rsid w:val="003F697E"/>
    <w:rsid w:val="00414C9E"/>
    <w:rsid w:val="00425316"/>
    <w:rsid w:val="00433B11"/>
    <w:rsid w:val="00440A23"/>
    <w:rsid w:val="004504DF"/>
    <w:rsid w:val="00455F07"/>
    <w:rsid w:val="0046157A"/>
    <w:rsid w:val="004667B9"/>
    <w:rsid w:val="004776B5"/>
    <w:rsid w:val="00481D81"/>
    <w:rsid w:val="004B3FD4"/>
    <w:rsid w:val="004D0686"/>
    <w:rsid w:val="004F2327"/>
    <w:rsid w:val="004F4013"/>
    <w:rsid w:val="004F412E"/>
    <w:rsid w:val="005048E6"/>
    <w:rsid w:val="0051363B"/>
    <w:rsid w:val="00513E61"/>
    <w:rsid w:val="005202A7"/>
    <w:rsid w:val="00525A5C"/>
    <w:rsid w:val="00530031"/>
    <w:rsid w:val="0056122C"/>
    <w:rsid w:val="00570A22"/>
    <w:rsid w:val="00584F0F"/>
    <w:rsid w:val="0058717A"/>
    <w:rsid w:val="005963E7"/>
    <w:rsid w:val="005A133D"/>
    <w:rsid w:val="005A2A0F"/>
    <w:rsid w:val="005C02FF"/>
    <w:rsid w:val="005C514D"/>
    <w:rsid w:val="005C5E5B"/>
    <w:rsid w:val="005D77E4"/>
    <w:rsid w:val="005F29D3"/>
    <w:rsid w:val="006101A4"/>
    <w:rsid w:val="00611B2E"/>
    <w:rsid w:val="0061250D"/>
    <w:rsid w:val="006161E5"/>
    <w:rsid w:val="006208A7"/>
    <w:rsid w:val="00635C7B"/>
    <w:rsid w:val="006365B1"/>
    <w:rsid w:val="00641D4D"/>
    <w:rsid w:val="00651C37"/>
    <w:rsid w:val="00655FF7"/>
    <w:rsid w:val="00671883"/>
    <w:rsid w:val="006807BE"/>
    <w:rsid w:val="00681282"/>
    <w:rsid w:val="00683DB4"/>
    <w:rsid w:val="00691A0F"/>
    <w:rsid w:val="00692605"/>
    <w:rsid w:val="00697C20"/>
    <w:rsid w:val="00697C5E"/>
    <w:rsid w:val="006B3CE1"/>
    <w:rsid w:val="006B4C24"/>
    <w:rsid w:val="006E47F3"/>
    <w:rsid w:val="006E752B"/>
    <w:rsid w:val="006F126F"/>
    <w:rsid w:val="006F239A"/>
    <w:rsid w:val="006F4F05"/>
    <w:rsid w:val="006F6154"/>
    <w:rsid w:val="007201D0"/>
    <w:rsid w:val="0073495D"/>
    <w:rsid w:val="00734B75"/>
    <w:rsid w:val="00737357"/>
    <w:rsid w:val="0074207C"/>
    <w:rsid w:val="0076211B"/>
    <w:rsid w:val="00783A78"/>
    <w:rsid w:val="00790206"/>
    <w:rsid w:val="00793780"/>
    <w:rsid w:val="007B0AAF"/>
    <w:rsid w:val="007F2A4B"/>
    <w:rsid w:val="007F413A"/>
    <w:rsid w:val="00806823"/>
    <w:rsid w:val="0083263D"/>
    <w:rsid w:val="00842DA1"/>
    <w:rsid w:val="00864B33"/>
    <w:rsid w:val="008956C6"/>
    <w:rsid w:val="008A437D"/>
    <w:rsid w:val="008A4B41"/>
    <w:rsid w:val="008C1A52"/>
    <w:rsid w:val="008C5928"/>
    <w:rsid w:val="008F0686"/>
    <w:rsid w:val="008F2148"/>
    <w:rsid w:val="0093280E"/>
    <w:rsid w:val="009463E1"/>
    <w:rsid w:val="00950357"/>
    <w:rsid w:val="00964D38"/>
    <w:rsid w:val="00992441"/>
    <w:rsid w:val="00996E70"/>
    <w:rsid w:val="009A30FB"/>
    <w:rsid w:val="009A5221"/>
    <w:rsid w:val="009B64B3"/>
    <w:rsid w:val="009C6444"/>
    <w:rsid w:val="009D50BC"/>
    <w:rsid w:val="009E0447"/>
    <w:rsid w:val="009E1C48"/>
    <w:rsid w:val="00A12FEB"/>
    <w:rsid w:val="00A25A52"/>
    <w:rsid w:val="00A4241A"/>
    <w:rsid w:val="00A65D7B"/>
    <w:rsid w:val="00A75E1C"/>
    <w:rsid w:val="00A83970"/>
    <w:rsid w:val="00AD2AFB"/>
    <w:rsid w:val="00AE15A1"/>
    <w:rsid w:val="00AE79C2"/>
    <w:rsid w:val="00B04E84"/>
    <w:rsid w:val="00B134B6"/>
    <w:rsid w:val="00B37877"/>
    <w:rsid w:val="00B441F9"/>
    <w:rsid w:val="00B472BF"/>
    <w:rsid w:val="00B62799"/>
    <w:rsid w:val="00B659F0"/>
    <w:rsid w:val="00B7256C"/>
    <w:rsid w:val="00B80308"/>
    <w:rsid w:val="00B93F49"/>
    <w:rsid w:val="00B96346"/>
    <w:rsid w:val="00BA68D6"/>
    <w:rsid w:val="00BC089F"/>
    <w:rsid w:val="00BC100D"/>
    <w:rsid w:val="00BE371C"/>
    <w:rsid w:val="00BE449F"/>
    <w:rsid w:val="00BE6CA1"/>
    <w:rsid w:val="00BF63DF"/>
    <w:rsid w:val="00C01393"/>
    <w:rsid w:val="00C14D87"/>
    <w:rsid w:val="00C22B2F"/>
    <w:rsid w:val="00C47A46"/>
    <w:rsid w:val="00C56E7E"/>
    <w:rsid w:val="00C63B18"/>
    <w:rsid w:val="00C74B00"/>
    <w:rsid w:val="00C85746"/>
    <w:rsid w:val="00C96E6D"/>
    <w:rsid w:val="00C97D5D"/>
    <w:rsid w:val="00CA6F36"/>
    <w:rsid w:val="00CE160A"/>
    <w:rsid w:val="00CE21A9"/>
    <w:rsid w:val="00CF501A"/>
    <w:rsid w:val="00CF6025"/>
    <w:rsid w:val="00CF61B8"/>
    <w:rsid w:val="00D00A0C"/>
    <w:rsid w:val="00D16C6B"/>
    <w:rsid w:val="00D179A3"/>
    <w:rsid w:val="00D252FB"/>
    <w:rsid w:val="00D30530"/>
    <w:rsid w:val="00D53C7A"/>
    <w:rsid w:val="00D6239F"/>
    <w:rsid w:val="00D930B9"/>
    <w:rsid w:val="00D942A0"/>
    <w:rsid w:val="00D96F47"/>
    <w:rsid w:val="00D97E8A"/>
    <w:rsid w:val="00DC4648"/>
    <w:rsid w:val="00DD1BB8"/>
    <w:rsid w:val="00DD57C1"/>
    <w:rsid w:val="00DE0CA5"/>
    <w:rsid w:val="00DE60ED"/>
    <w:rsid w:val="00DF72E4"/>
    <w:rsid w:val="00E026F9"/>
    <w:rsid w:val="00E07E55"/>
    <w:rsid w:val="00E42105"/>
    <w:rsid w:val="00E5406C"/>
    <w:rsid w:val="00E544A8"/>
    <w:rsid w:val="00E66445"/>
    <w:rsid w:val="00E73F0B"/>
    <w:rsid w:val="00E801AC"/>
    <w:rsid w:val="00E81547"/>
    <w:rsid w:val="00E86B7B"/>
    <w:rsid w:val="00E91FF5"/>
    <w:rsid w:val="00EC5A4D"/>
    <w:rsid w:val="00EF16FB"/>
    <w:rsid w:val="00F01247"/>
    <w:rsid w:val="00F03817"/>
    <w:rsid w:val="00F07521"/>
    <w:rsid w:val="00F34F06"/>
    <w:rsid w:val="00F514BC"/>
    <w:rsid w:val="00F515C1"/>
    <w:rsid w:val="00F57722"/>
    <w:rsid w:val="00F600D2"/>
    <w:rsid w:val="00F67AE8"/>
    <w:rsid w:val="00F70250"/>
    <w:rsid w:val="00F7607C"/>
    <w:rsid w:val="00F77542"/>
    <w:rsid w:val="00F84656"/>
    <w:rsid w:val="00F930C2"/>
    <w:rsid w:val="00FB0816"/>
    <w:rsid w:val="00FB2BF0"/>
    <w:rsid w:val="00FB4625"/>
    <w:rsid w:val="00FC0F9F"/>
    <w:rsid w:val="00FC3036"/>
    <w:rsid w:val="00FE07B5"/>
    <w:rsid w:val="00FE0B82"/>
    <w:rsid w:val="00FE55C6"/>
    <w:rsid w:val="00FE71D1"/>
    <w:rsid w:val="00FF26D9"/>
    <w:rsid w:val="00FF6A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B822"/>
  <w15:docId w15:val="{D96F1CA5-B6BF-497B-9DAA-655C00B2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GB" w:eastAsia="es-CO"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qFormat/>
    <w:rsid w:val="00FC3036"/>
    <w:rPr>
      <w:rFonts w:eastAsia="Times New Roman" w:cs="Times New Roman"/>
      <w:szCs w:val="20"/>
    </w:rPr>
  </w:style>
  <w:style w:type="paragraph" w:styleId="Heading1">
    <w:name w:val="heading 1"/>
    <w:basedOn w:val="CETHeading1"/>
    <w:next w:val="Normal"/>
    <w:link w:val="Heading1Char"/>
    <w:uiPriority w:val="9"/>
    <w:qFormat/>
    <w:rsid w:val="004F5E36"/>
    <w:pPr>
      <w:numPr>
        <w:ilvl w:val="1"/>
        <w:numId w:val="1"/>
      </w:numPr>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5C5E5B"/>
    <w:pPr>
      <w:keepNext/>
      <w:numPr>
        <w:ilvl w:val="2"/>
        <w:numId w:val="1"/>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leSimple1">
    <w:name w:val="Table Simple 1"/>
    <w:basedOn w:val="Table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5C5E5B"/>
    <w:rPr>
      <w:rFonts w:eastAsia="Times New Roman" w:cs="Times New Roman"/>
      <w:b/>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tabs>
        <w:tab w:val="num" w:pos="720"/>
      </w:tabs>
      <w:ind w:left="720" w:hanging="720"/>
      <w:contextualSpacing/>
    </w:pPr>
  </w:style>
  <w:style w:type="paragraph" w:styleId="ListBullet2">
    <w:name w:val="List Bullet 2"/>
    <w:basedOn w:val="Normal"/>
    <w:uiPriority w:val="99"/>
    <w:semiHidden/>
    <w:unhideWhenUsed/>
    <w:rsid w:val="0003148D"/>
    <w:pPr>
      <w:tabs>
        <w:tab w:val="num" w:pos="720"/>
      </w:tabs>
      <w:ind w:left="720" w:hanging="720"/>
      <w:contextualSpacing/>
    </w:pPr>
  </w:style>
  <w:style w:type="paragraph" w:styleId="ListBullet3">
    <w:name w:val="List Bullet 3"/>
    <w:basedOn w:val="Normal"/>
    <w:uiPriority w:val="99"/>
    <w:semiHidden/>
    <w:unhideWhenUsed/>
    <w:rsid w:val="0003148D"/>
    <w:pPr>
      <w:tabs>
        <w:tab w:val="num" w:pos="720"/>
      </w:tabs>
      <w:ind w:left="720" w:hanging="720"/>
      <w:contextualSpacing/>
    </w:pPr>
  </w:style>
  <w:style w:type="paragraph" w:styleId="ListBullet4">
    <w:name w:val="List Bullet 4"/>
    <w:basedOn w:val="Normal"/>
    <w:uiPriority w:val="99"/>
    <w:semiHidden/>
    <w:unhideWhenUsed/>
    <w:rsid w:val="0003148D"/>
    <w:pPr>
      <w:tabs>
        <w:tab w:val="num" w:pos="720"/>
      </w:tabs>
      <w:ind w:left="720" w:hanging="720"/>
      <w:contextualSpacing/>
    </w:pPr>
  </w:style>
  <w:style w:type="paragraph" w:styleId="ListBullet5">
    <w:name w:val="List Bullet 5"/>
    <w:basedOn w:val="Normal"/>
    <w:uiPriority w:val="99"/>
    <w:semiHidden/>
    <w:unhideWhenUsed/>
    <w:rsid w:val="0003148D"/>
    <w:pPr>
      <w:tabs>
        <w:tab w:val="num" w:pos="720"/>
      </w:tabs>
      <w:ind w:left="720" w:hanging="720"/>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Pr>
  </w:style>
  <w:style w:type="character" w:styleId="PlaceholderText">
    <w:name w:val="Placeholder Text"/>
    <w:basedOn w:val="DefaultParagraphFont"/>
    <w:uiPriority w:val="99"/>
    <w:semiHidden/>
    <w:rsid w:val="00A12FEB"/>
    <w:rPr>
      <w:color w:val="666666"/>
    </w:rPr>
  </w:style>
  <w:style w:type="paragraph" w:styleId="Revision">
    <w:name w:val="Revision"/>
    <w:hidden/>
    <w:uiPriority w:val="99"/>
    <w:semiHidden/>
    <w:rsid w:val="0036659C"/>
    <w:pPr>
      <w:tabs>
        <w:tab w:val="clear" w:pos="7100"/>
      </w:tabs>
      <w:spacing w:line="240" w:lineRule="auto"/>
      <w:jc w:val="left"/>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555643">
      <w:bodyDiv w:val="1"/>
      <w:marLeft w:val="0"/>
      <w:marRight w:val="0"/>
      <w:marTop w:val="0"/>
      <w:marBottom w:val="0"/>
      <w:divBdr>
        <w:top w:val="none" w:sz="0" w:space="0" w:color="auto"/>
        <w:left w:val="none" w:sz="0" w:space="0" w:color="auto"/>
        <w:bottom w:val="none" w:sz="0" w:space="0" w:color="auto"/>
        <w:right w:val="none" w:sz="0" w:space="0" w:color="auto"/>
      </w:divBdr>
      <w:divsChild>
        <w:div w:id="874847705">
          <w:marLeft w:val="0"/>
          <w:marRight w:val="0"/>
          <w:marTop w:val="0"/>
          <w:marBottom w:val="0"/>
          <w:divBdr>
            <w:top w:val="none" w:sz="0" w:space="0" w:color="auto"/>
            <w:left w:val="none" w:sz="0" w:space="0" w:color="auto"/>
            <w:bottom w:val="none" w:sz="0" w:space="0" w:color="auto"/>
            <w:right w:val="none" w:sz="0" w:space="0" w:color="auto"/>
          </w:divBdr>
          <w:divsChild>
            <w:div w:id="1194611042">
              <w:marLeft w:val="0"/>
              <w:marRight w:val="0"/>
              <w:marTop w:val="0"/>
              <w:marBottom w:val="0"/>
              <w:divBdr>
                <w:top w:val="none" w:sz="0" w:space="0" w:color="auto"/>
                <w:left w:val="none" w:sz="0" w:space="0" w:color="auto"/>
                <w:bottom w:val="none" w:sz="0" w:space="0" w:color="auto"/>
                <w:right w:val="none" w:sz="0" w:space="0" w:color="auto"/>
              </w:divBdr>
              <w:divsChild>
                <w:div w:id="1128741056">
                  <w:marLeft w:val="0"/>
                  <w:marRight w:val="0"/>
                  <w:marTop w:val="0"/>
                  <w:marBottom w:val="0"/>
                  <w:divBdr>
                    <w:top w:val="none" w:sz="0" w:space="0" w:color="auto"/>
                    <w:left w:val="none" w:sz="0" w:space="0" w:color="auto"/>
                    <w:bottom w:val="none" w:sz="0" w:space="0" w:color="auto"/>
                    <w:right w:val="none" w:sz="0" w:space="0" w:color="auto"/>
                  </w:divBdr>
                  <w:divsChild>
                    <w:div w:id="190263261">
                      <w:marLeft w:val="0"/>
                      <w:marRight w:val="0"/>
                      <w:marTop w:val="0"/>
                      <w:marBottom w:val="0"/>
                      <w:divBdr>
                        <w:top w:val="none" w:sz="0" w:space="0" w:color="auto"/>
                        <w:left w:val="none" w:sz="0" w:space="0" w:color="auto"/>
                        <w:bottom w:val="none" w:sz="0" w:space="0" w:color="auto"/>
                        <w:right w:val="none" w:sz="0" w:space="0" w:color="auto"/>
                      </w:divBdr>
                      <w:divsChild>
                        <w:div w:id="1902249097">
                          <w:marLeft w:val="0"/>
                          <w:marRight w:val="0"/>
                          <w:marTop w:val="0"/>
                          <w:marBottom w:val="0"/>
                          <w:divBdr>
                            <w:top w:val="none" w:sz="0" w:space="0" w:color="auto"/>
                            <w:left w:val="none" w:sz="0" w:space="0" w:color="auto"/>
                            <w:bottom w:val="none" w:sz="0" w:space="0" w:color="auto"/>
                            <w:right w:val="none" w:sz="0" w:space="0" w:color="auto"/>
                          </w:divBdr>
                          <w:divsChild>
                            <w:div w:id="398871520">
                              <w:marLeft w:val="0"/>
                              <w:marRight w:val="0"/>
                              <w:marTop w:val="0"/>
                              <w:marBottom w:val="0"/>
                              <w:divBdr>
                                <w:top w:val="none" w:sz="0" w:space="0" w:color="auto"/>
                                <w:left w:val="none" w:sz="0" w:space="0" w:color="auto"/>
                                <w:bottom w:val="none" w:sz="0" w:space="0" w:color="auto"/>
                                <w:right w:val="none" w:sz="0" w:space="0" w:color="auto"/>
                              </w:divBdr>
                              <w:divsChild>
                                <w:div w:id="1087001830">
                                  <w:marLeft w:val="0"/>
                                  <w:marRight w:val="0"/>
                                  <w:marTop w:val="0"/>
                                  <w:marBottom w:val="0"/>
                                  <w:divBdr>
                                    <w:top w:val="none" w:sz="0" w:space="0" w:color="auto"/>
                                    <w:left w:val="none" w:sz="0" w:space="0" w:color="auto"/>
                                    <w:bottom w:val="none" w:sz="0" w:space="0" w:color="auto"/>
                                    <w:right w:val="none" w:sz="0" w:space="0" w:color="auto"/>
                                  </w:divBdr>
                                  <w:divsChild>
                                    <w:div w:id="2043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spenUser\Downloads\Technical%20evalu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3056728258095E-2"/>
          <c:y val="5.6208482370975983E-2"/>
          <c:w val="0.90073569357446259"/>
          <c:h val="0.79502797095618527"/>
        </c:manualLayout>
      </c:layout>
      <c:barChart>
        <c:barDir val="col"/>
        <c:grouping val="clustered"/>
        <c:varyColors val="1"/>
        <c:ser>
          <c:idx val="0"/>
          <c:order val="0"/>
          <c:spPr>
            <a:solidFill>
              <a:srgbClr val="70AD47"/>
            </a:solidFill>
            <a:ln cmpd="sng">
              <a:solidFill>
                <a:srgbClr val="000000"/>
              </a:solidFill>
            </a:ln>
          </c:spPr>
          <c:invertIfNegative val="1"/>
          <c:cat>
            <c:strRef>
              <c:f>'Technical Evaluation'!$U$7:$U$16</c:f>
              <c:strCache>
                <c:ptCount val="10"/>
                <c:pt idx="0">
                  <c:v>Production Yield</c:v>
                </c:pt>
                <c:pt idx="1">
                  <c:v>FWC</c:v>
                </c:pt>
                <c:pt idx="2">
                  <c:v>TCF</c:v>
                </c:pt>
                <c:pt idx="3">
                  <c:v>WPR</c:v>
                </c:pt>
                <c:pt idx="4">
                  <c:v>IRUM</c:v>
                </c:pt>
                <c:pt idx="5">
                  <c:v>TCE</c:v>
                </c:pt>
                <c:pt idx="6">
                  <c:v>ESI</c:v>
                </c:pt>
                <c:pt idx="7">
                  <c:v>NGCI</c:v>
                </c:pt>
                <c:pt idx="8">
                  <c:v>EECI</c:v>
                </c:pt>
                <c:pt idx="9">
                  <c:v>NER</c:v>
                </c:pt>
              </c:strCache>
            </c:strRef>
          </c:cat>
          <c:val>
            <c:numRef>
              <c:f>'Technical Evaluation'!$V$7:$V$16</c:f>
              <c:numCache>
                <c:formatCode>0.00%</c:formatCode>
                <c:ptCount val="10"/>
                <c:pt idx="0">
                  <c:v>0.2002640711470087</c:v>
                </c:pt>
                <c:pt idx="1">
                  <c:v>0.67231060069618354</c:v>
                </c:pt>
                <c:pt idx="2">
                  <c:v>0.84234487632308253</c:v>
                </c:pt>
                <c:pt idx="3">
                  <c:v>9.1010475876994165E-2</c:v>
                </c:pt>
                <c:pt idx="4">
                  <c:v>0.11512560654791634</c:v>
                </c:pt>
                <c:pt idx="5">
                  <c:v>0.45269160350195931</c:v>
                </c:pt>
                <c:pt idx="6">
                  <c:v>0.64870041840790593</c:v>
                </c:pt>
                <c:pt idx="7">
                  <c:v>0.23405970372512816</c:v>
                </c:pt>
                <c:pt idx="8">
                  <c:v>0.66666666666666663</c:v>
                </c:pt>
                <c:pt idx="9">
                  <c:v>0.15337861916256632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362F-40F9-8605-3957CE962265}"/>
            </c:ext>
          </c:extLst>
        </c:ser>
        <c:dLbls>
          <c:showLegendKey val="0"/>
          <c:showVal val="0"/>
          <c:showCatName val="0"/>
          <c:showSerName val="0"/>
          <c:showPercent val="0"/>
          <c:showBubbleSize val="0"/>
        </c:dLbls>
        <c:gapWidth val="150"/>
        <c:axId val="526417420"/>
        <c:axId val="596806486"/>
      </c:barChart>
      <c:catAx>
        <c:axId val="526417420"/>
        <c:scaling>
          <c:orientation val="minMax"/>
        </c:scaling>
        <c:delete val="0"/>
        <c:axPos val="b"/>
        <c:title>
          <c:tx>
            <c:rich>
              <a:bodyPr/>
              <a:lstStyle/>
              <a:p>
                <a:pPr>
                  <a:defRPr/>
                </a:pPr>
                <a:endParaRPr lang="es-ES"/>
              </a:p>
            </c:rich>
          </c:tx>
          <c:overlay val="0"/>
        </c:title>
        <c:numFmt formatCode="General" sourceLinked="1"/>
        <c:majorTickMark val="none"/>
        <c:minorTickMark val="none"/>
        <c:tickLblPos val="nextTo"/>
        <c:txPr>
          <a:bodyPr/>
          <a:lstStyle/>
          <a:p>
            <a:pPr>
              <a:defRPr b="1"/>
            </a:pPr>
            <a:endParaRPr lang="es-ES"/>
          </a:p>
        </c:txPr>
        <c:crossAx val="596806486"/>
        <c:crosses val="autoZero"/>
        <c:auto val="1"/>
        <c:lblAlgn val="ctr"/>
        <c:lblOffset val="100"/>
        <c:noMultiLvlLbl val="1"/>
      </c:catAx>
      <c:valAx>
        <c:axId val="596806486"/>
        <c:scaling>
          <c:orientation val="minMax"/>
          <c:max val="1"/>
        </c:scaling>
        <c:delete val="0"/>
        <c:axPos val="l"/>
        <c:title>
          <c:tx>
            <c:rich>
              <a:bodyPr/>
              <a:lstStyle/>
              <a:p>
                <a:pPr>
                  <a:defRPr b="1"/>
                </a:pPr>
                <a:r>
                  <a:rPr lang="es-ES" b="1"/>
                  <a:t>Efficiency (%)</a:t>
                </a:r>
              </a:p>
            </c:rich>
          </c:tx>
          <c:overlay val="0"/>
        </c:title>
        <c:numFmt formatCode="0%" sourceLinked="0"/>
        <c:majorTickMark val="none"/>
        <c:minorTickMark val="none"/>
        <c:tickLblPos val="nextTo"/>
        <c:spPr>
          <a:ln/>
        </c:spPr>
        <c:crossAx val="526417420"/>
        <c:crosses val="autoZero"/>
        <c:crossBetween val="between"/>
      </c:valAx>
    </c:plotArea>
    <c:plotVisOnly val="1"/>
    <c:dispBlanksAs val="zero"/>
    <c:showDLblsOverMax val="1"/>
  </c:chart>
  <c:txPr>
    <a:bodyPr/>
    <a:lstStyle/>
    <a:p>
      <a:pPr>
        <a:defRPr sz="800">
          <a:latin typeface="Arial" panose="020B0604020202020204" pitchFamily="34" charset="0"/>
          <a:cs typeface="Arial" panose="020B0604020202020204" pitchFamily="34" charset="0"/>
        </a:defRPr>
      </a:pPr>
      <a:endParaRPr lang="es-ES"/>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iHaZ/2+7eyTXYXB0n180EGn5g==">CgMxLjAyCGguZ2pkZ3hzOAByITFreFN3ZnZnelhGZDQ3UVc3ejJUYzhrZU5iazVvMURRSQ==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365035-C00D-4991-B6DA-3807E4FC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5960</TotalTime>
  <Pages>6</Pages>
  <Words>10018</Words>
  <Characters>55105</Characters>
  <Application>Microsoft Office Word</Application>
  <DocSecurity>0</DocSecurity>
  <Lines>459</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AspenUser</cp:lastModifiedBy>
  <cp:revision>216</cp:revision>
  <dcterms:created xsi:type="dcterms:W3CDTF">2022-09-21T08:52:00Z</dcterms:created>
  <dcterms:modified xsi:type="dcterms:W3CDTF">2026-04-10T04:46:00Z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d0388a9d-ac2a-3c39-a91f-0d6969e200f0</vt:lpwstr>
  </property>
  <property fmtid="{D5CDD505-2E9C-101B-9397-08002B2CF9AE}" pid="6" name="Mendeley Citation Style_1">
    <vt:lpwstr>http://www.zotero.org/styles/vancouver</vt:lpwstr>
  </property>
  <property fmtid="{D5CDD505-2E9C-101B-9397-08002B2CF9AE}" pid="7" name="Mendeley Recent Style Id 0_1">
    <vt:lpwstr>http://www.zotero.org/styles/american-medical-association</vt:lpwstr>
  </property>
  <property fmtid="{D5CDD505-2E9C-101B-9397-08002B2CF9AE}" pid="8" name="Mendeley Recent Style Name 0_1">
    <vt:lpwstr>AMA Manual of Style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APSA Style Manual revised 2018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ASA Style Guide 6th/7th edition</vt:lpwstr>
  </property>
  <property fmtid="{D5CDD505-2E9C-101B-9397-08002B2CF9AE}" pid="13" name="Mendeley Recent Style Id 3_1">
    <vt:lpwstr>http://www.zotero.org/styles/apa</vt:lpwstr>
  </property>
  <property fmtid="{D5CDD505-2E9C-101B-9397-08002B2CF9AE}" pid="14" name="Mendeley Recent Style Name 3_1">
    <vt:lpwstr>American Psychological Association 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18th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(author-date/Harvard)</vt:lpwstr>
  </property>
  <property fmtid="{D5CDD505-2E9C-101B-9397-08002B2CF9AE}" pid="19" name="Mendeley Recent Style Id 6_1">
    <vt:lpwstr>http://www.zotero.org/styles/ieee</vt:lpwstr>
  </property>
  <property fmtid="{D5CDD505-2E9C-101B-9397-08002B2CF9AE}" pid="20" name="Mendeley Recent Style Name 6_1">
    <vt:lpwstr>IEEE Reference Guide version 11.29.2023</vt:lpwstr>
  </property>
  <property fmtid="{D5CDD505-2E9C-101B-9397-08002B2CF9AE}" pid="21" name="Mendeley Recent Style Id 7_1">
    <vt:lpwstr>http://www.zotero.org/styles/modern-language-association</vt:lpwstr>
  </property>
  <property fmtid="{D5CDD505-2E9C-101B-9397-08002B2CF9AE}" pid="22" name="Mendeley Recent Style Name 7_1">
    <vt:lpwstr>MLA Handbook 9th edition (in-text citations)</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