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7059B7">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7059B7">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7059B7">
        <w:trPr>
          <w:trHeight w:val="68"/>
          <w:jc w:val="center"/>
        </w:trPr>
        <w:tc>
          <w:tcPr>
            <w:tcW w:w="8782" w:type="dxa"/>
            <w:gridSpan w:val="2"/>
          </w:tcPr>
          <w:p w14:paraId="1D8DD3C9" w14:textId="61229B97" w:rsidR="00AA7D26" w:rsidRPr="004B4797" w:rsidRDefault="004A5E57" w:rsidP="004A5E57">
            <w:pPr>
              <w:ind w:left="-107"/>
              <w:outlineLvl w:val="2"/>
              <w:rPr>
                <w:rFonts w:ascii="Tahoma" w:hAnsi="Tahoma" w:cs="Tahoma"/>
                <w:bCs/>
                <w:color w:val="000000"/>
                <w:sz w:val="14"/>
                <w:szCs w:val="14"/>
                <w:lang w:eastAsia="it-IT"/>
              </w:rPr>
            </w:pPr>
            <w:r w:rsidRPr="004B4797">
              <w:rPr>
                <w:rFonts w:ascii="Tahoma" w:hAnsi="Tahoma" w:cs="Tahoma"/>
                <w:iCs/>
                <w:color w:val="333333"/>
                <w:sz w:val="14"/>
                <w:szCs w:val="14"/>
                <w:lang w:eastAsia="it-IT"/>
              </w:rPr>
              <w:t>Guest Editors:</w:t>
            </w:r>
            <w:r w:rsidRPr="004B4797">
              <w:rPr>
                <w:rFonts w:ascii="Tahoma" w:hAnsi="Tahoma" w:cs="Tahoma"/>
                <w:color w:val="000000"/>
                <w:sz w:val="14"/>
                <w:szCs w:val="14"/>
                <w:shd w:val="clear" w:color="auto" w:fill="FFFFFF"/>
              </w:rPr>
              <w:t xml:space="preserve"> </w:t>
            </w:r>
            <w:r w:rsidR="00EA3EF9" w:rsidRPr="004B4797">
              <w:rPr>
                <w:rFonts w:ascii="Tahoma" w:hAnsi="Tahoma" w:cs="Tahoma"/>
                <w:color w:val="000000"/>
                <w:sz w:val="14"/>
                <w:szCs w:val="14"/>
                <w:shd w:val="clear" w:color="auto" w:fill="FFFFFF"/>
              </w:rPr>
              <w:t xml:space="preserve">Leonardo Tognotti, </w:t>
            </w:r>
            <w:r w:rsidR="00EA3EF9" w:rsidRPr="004B4797">
              <w:rPr>
                <w:rFonts w:ascii="Tahoma" w:hAnsi="Tahoma" w:cs="Tahoma"/>
                <w:color w:val="000000"/>
                <w:sz w:val="14"/>
                <w:szCs w:val="14"/>
              </w:rPr>
              <w:t>Rubens Maciel Filho</w:t>
            </w:r>
            <w:r w:rsidR="00EA3EF9" w:rsidRPr="004B4797">
              <w:rPr>
                <w:rFonts w:ascii="Tahoma" w:hAnsi="Tahoma" w:cs="Tahoma"/>
                <w:color w:val="000000"/>
                <w:sz w:val="14"/>
                <w:szCs w:val="14"/>
                <w:shd w:val="clear" w:color="auto" w:fill="FFFFFF"/>
              </w:rPr>
              <w:t xml:space="preserve">, </w:t>
            </w:r>
            <w:r w:rsidR="00EA3EF9" w:rsidRPr="004B4797">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7B7A9B06" w14:textId="77777777" w:rsidR="00F14E94" w:rsidRPr="00F14E94" w:rsidRDefault="00F14E94" w:rsidP="00F14E94">
      <w:pPr>
        <w:pStyle w:val="CETAuthors"/>
        <w:jc w:val="center"/>
        <w:rPr>
          <w:sz w:val="32"/>
          <w:szCs w:val="24"/>
        </w:rPr>
      </w:pPr>
      <w:r w:rsidRPr="00F14E94">
        <w:rPr>
          <w:sz w:val="32"/>
          <w:szCs w:val="24"/>
        </w:rPr>
        <w:t>Towards a circular bioeconomy: structural equation modelling of business acceptance, economic viability and emissions reduction in hybrid biogas–solar microgrids</w:t>
      </w:r>
    </w:p>
    <w:p w14:paraId="0488FED2" w14:textId="7FBE562B" w:rsidR="00B57E6F" w:rsidRPr="00B57B36" w:rsidRDefault="00BE4BC9" w:rsidP="00B57E6F">
      <w:pPr>
        <w:pStyle w:val="CETAuthors"/>
      </w:pPr>
      <w:r>
        <w:t>Danny Lizarzaburu-Aguinaga</w:t>
      </w:r>
      <w:r w:rsidR="00B57E6F" w:rsidRPr="00B57B36">
        <w:rPr>
          <w:vertAlign w:val="superscript"/>
        </w:rPr>
        <w:t>a</w:t>
      </w:r>
      <w:r w:rsidR="000267D8" w:rsidRPr="00B57B36">
        <w:rPr>
          <w:vertAlign w:val="superscript"/>
        </w:rPr>
        <w:t>,</w:t>
      </w:r>
      <w:r w:rsidR="000267D8" w:rsidRPr="00B57B36">
        <w:t>*</w:t>
      </w:r>
      <w:r w:rsidR="00B57E6F" w:rsidRPr="00B57B36">
        <w:t xml:space="preserve">, </w:t>
      </w:r>
      <w:r w:rsidR="00C16201">
        <w:t>Emma Veronica Ramos Farroñan</w:t>
      </w:r>
      <w:r w:rsidR="009C5A18" w:rsidRPr="00B57B36">
        <w:rPr>
          <w:vertAlign w:val="superscript"/>
        </w:rPr>
        <w:t>a</w:t>
      </w:r>
      <w:r w:rsidR="00C16201">
        <w:t xml:space="preserve">, </w:t>
      </w:r>
      <w:r w:rsidR="009C5A18">
        <w:t>Carlos Francisco Cabrera Carranza</w:t>
      </w:r>
      <w:r w:rsidR="00B57E6F" w:rsidRPr="00B57B36">
        <w:rPr>
          <w:vertAlign w:val="superscript"/>
        </w:rPr>
        <w:t>b</w:t>
      </w:r>
      <w:r w:rsidR="00B57E6F" w:rsidRPr="00B57B36">
        <w:t>,</w:t>
      </w:r>
      <w:r w:rsidR="00FF68A0">
        <w:t xml:space="preserve"> </w:t>
      </w:r>
      <w:r w:rsidR="001402DA">
        <w:t xml:space="preserve">Jorge Leonardo </w:t>
      </w:r>
      <w:r w:rsidR="002B206B">
        <w:t>Jave Na</w:t>
      </w:r>
      <w:r w:rsidR="001402DA">
        <w:t>kayo</w:t>
      </w:r>
      <w:r w:rsidR="001402DA" w:rsidRPr="00B57B36">
        <w:rPr>
          <w:vertAlign w:val="superscript"/>
        </w:rPr>
        <w:t>b</w:t>
      </w:r>
      <w:r w:rsidR="001402DA" w:rsidRPr="00B57B36">
        <w:t>,</w:t>
      </w:r>
      <w:r w:rsidR="001402DA">
        <w:t xml:space="preserve"> J</w:t>
      </w:r>
      <w:r w:rsidR="00E96FBE">
        <w:t>osé Freddy</w:t>
      </w:r>
      <w:r w:rsidR="008F5DDD">
        <w:t xml:space="preserve"> Atuncar Yrribari</w:t>
      </w:r>
    </w:p>
    <w:p w14:paraId="6B2D21B3" w14:textId="2F4F008D" w:rsidR="00B57E6F" w:rsidRPr="00704974" w:rsidRDefault="00B57E6F" w:rsidP="00B57E6F">
      <w:pPr>
        <w:pStyle w:val="CETAddress"/>
      </w:pPr>
      <w:r w:rsidRPr="00704974">
        <w:rPr>
          <w:vertAlign w:val="superscript"/>
        </w:rPr>
        <w:t>a</w:t>
      </w:r>
      <w:r w:rsidR="003F4A3F" w:rsidRPr="00704974">
        <w:t>Universidad César Vallejo</w:t>
      </w:r>
      <w:r w:rsidRPr="00704974">
        <w:t xml:space="preserve"> </w:t>
      </w:r>
    </w:p>
    <w:p w14:paraId="3D72B0B0" w14:textId="57BD936C" w:rsidR="00B57E6F" w:rsidRPr="00BF4CB1" w:rsidRDefault="00B57E6F" w:rsidP="00B57E6F">
      <w:pPr>
        <w:pStyle w:val="CETAddress"/>
        <w:rPr>
          <w:lang w:val="es-PE"/>
        </w:rPr>
      </w:pPr>
      <w:r w:rsidRPr="00BF4CB1">
        <w:rPr>
          <w:vertAlign w:val="superscript"/>
          <w:lang w:val="es-PE"/>
        </w:rPr>
        <w:t>b</w:t>
      </w:r>
      <w:r w:rsidR="003F4A3F" w:rsidRPr="00BF4CB1">
        <w:rPr>
          <w:lang w:val="es-PE"/>
        </w:rPr>
        <w:t>Universidad Nacional Mayor de San Marcos</w:t>
      </w:r>
      <w:r w:rsidRPr="00BF4CB1">
        <w:rPr>
          <w:lang w:val="es-PE"/>
        </w:rPr>
        <w:t xml:space="preserve"> </w:t>
      </w:r>
    </w:p>
    <w:p w14:paraId="73F1267A" w14:textId="0DAF6600" w:rsidR="00B57E6F" w:rsidRPr="003B4EA5" w:rsidRDefault="00B57E6F" w:rsidP="00B57E6F">
      <w:pPr>
        <w:pStyle w:val="CETemail"/>
        <w:rPr>
          <w:lang w:val="fr-FR"/>
        </w:rPr>
      </w:pPr>
      <w:r w:rsidRPr="00BF4CB1">
        <w:rPr>
          <w:lang w:val="es-PE"/>
        </w:rPr>
        <w:t xml:space="preserve"> </w:t>
      </w:r>
      <w:r w:rsidRPr="003B4EA5">
        <w:rPr>
          <w:lang w:val="fr-FR"/>
        </w:rPr>
        <w:t>corresponding.</w:t>
      </w:r>
      <w:r w:rsidR="00BF4CB1">
        <w:rPr>
          <w:lang w:val="fr-FR"/>
        </w:rPr>
        <w:t>dlizarzaburu</w:t>
      </w:r>
      <w:r w:rsidRPr="003B4EA5">
        <w:rPr>
          <w:lang w:val="fr-FR"/>
        </w:rPr>
        <w:t>@</w:t>
      </w:r>
      <w:r w:rsidR="00BF4CB1">
        <w:rPr>
          <w:lang w:val="fr-FR"/>
        </w:rPr>
        <w:t>ucv.edu.pe</w:t>
      </w:r>
    </w:p>
    <w:p w14:paraId="72A7825C" w14:textId="41754C4E" w:rsidR="00811BFD" w:rsidRDefault="00FE3622" w:rsidP="00DB09E6">
      <w:pPr>
        <w:pStyle w:val="CETListbullets"/>
        <w:ind w:left="0" w:firstLine="0"/>
        <w:rPr>
          <w:b/>
          <w:bCs/>
        </w:rPr>
      </w:pPr>
      <w:r>
        <w:t>The transition towards a circular bioeconomy requires integrated energy systems capable of simultaneously addressing environmental, economic, and organizational dimensions of sustainability. Decentralized hybrid biogas–solar microgrids offer a pathway to reduce greenhouse gas emissions while fostering rural development, yet their adoption depends on factors beyond techno-economic optimization. This study analyses causal relationships among business acceptance (BA), business economic viability (BEV), circular bioeconomy orientation (CBO) and contribution to emission reduction (CER) in hybrid biogas–solar microgrids. A quantitative, cross-sectional design was adopted, applying Partial Least Squares Structural Equation Modelling (PLS-SEM) to survey data from 70 agribusiness and waste-management companies with technical potential for microgrid adoption, using 5,000 bootstrap subsamples. Results confirmed that CBO significantly predicts BA (β = 0.585, p &lt; 0.001, f² = 0.520) and that BA is a strong antecedent of BEV (β = 0.763, p &lt; 0.001, f² = 1.391), with CBO also directly predicting CER (β = 0.662, p &lt; 0.001, f² = 1.002). However, neither BEV nor BA translated directly into perceived CER, and the indirect path BA → BEV → CER was non-significant, revealing a decoupling between economic and environmental dimensions at the pre-implementation stage. The findings suggest that emission reductions in hybrid microgrids behave as emergent, operation-dependent outcomes rather than as ex-ante organizational perceptions, and that policy interventions should sequentially strengthen circular orientation, technological acceptance, and economic demonstration. The study contributes an empirically validated model that supports planning and decision-making for decentralized energy systems in agro-industrial contexts.</w:t>
      </w:r>
    </w:p>
    <w:p w14:paraId="1B65EC30" w14:textId="77777777" w:rsidR="00811BFD" w:rsidRDefault="00811BFD" w:rsidP="00704974">
      <w:pPr>
        <w:pStyle w:val="CETListbullets"/>
        <w:ind w:left="227"/>
        <w:rPr>
          <w:b/>
          <w:bCs/>
        </w:rPr>
      </w:pPr>
    </w:p>
    <w:p w14:paraId="39F17D2E" w14:textId="77777777" w:rsidR="007C53BD" w:rsidRDefault="00980106" w:rsidP="007C53BD">
      <w:pPr>
        <w:pStyle w:val="CETListbullets"/>
        <w:ind w:left="227"/>
        <w:rPr>
          <w:b/>
          <w:bCs/>
        </w:rPr>
      </w:pPr>
      <w:r w:rsidRPr="00980106">
        <w:rPr>
          <w:b/>
          <w:bCs/>
        </w:rPr>
        <w:t>Keywords</w:t>
      </w:r>
    </w:p>
    <w:p w14:paraId="20C67F42" w14:textId="6A354017" w:rsidR="007C53BD" w:rsidRPr="007C53BD" w:rsidRDefault="007C53BD" w:rsidP="007C53BD">
      <w:pPr>
        <w:pStyle w:val="CETListbullets"/>
        <w:ind w:left="227"/>
        <w:rPr>
          <w:rStyle w:val="nfasis"/>
          <w:szCs w:val="18"/>
        </w:rPr>
      </w:pPr>
      <w:r w:rsidRPr="007C53BD">
        <w:rPr>
          <w:rStyle w:val="nfasis"/>
          <w:szCs w:val="18"/>
        </w:rPr>
        <w:t>Circular bioeconomy; hybrid biogas–solar microgrids; PLS-SEM; business acceptance; emissions reduction; decentralized energy systems</w:t>
      </w:r>
    </w:p>
    <w:p w14:paraId="476B2F2E" w14:textId="00FA6377" w:rsidR="00600535" w:rsidRPr="00B57B36" w:rsidRDefault="00600535" w:rsidP="00600535">
      <w:pPr>
        <w:pStyle w:val="CETHeading1"/>
        <w:rPr>
          <w:lang w:val="en-GB"/>
        </w:rPr>
      </w:pPr>
      <w:r w:rsidRPr="00B57B36">
        <w:rPr>
          <w:lang w:val="en-GB"/>
        </w:rPr>
        <w:t>Introduction</w:t>
      </w:r>
    </w:p>
    <w:p w14:paraId="4377D1F1" w14:textId="7619AEE7" w:rsidR="004B4797" w:rsidRPr="004B4797" w:rsidRDefault="004B4797" w:rsidP="004B4797">
      <w:pPr>
        <w:pStyle w:val="Prrafodelista"/>
        <w:ind w:left="0"/>
        <w:rPr>
          <w:rFonts w:cs="Arial"/>
          <w:szCs w:val="18"/>
          <w:lang w:val="en-US"/>
        </w:rPr>
      </w:pPr>
      <w:r w:rsidRPr="004B4797">
        <w:rPr>
          <w:rFonts w:cs="Arial"/>
          <w:szCs w:val="18"/>
          <w:lang w:val="en-US"/>
        </w:rPr>
        <w:t xml:space="preserve">The circular bioeconomy </w:t>
      </w:r>
      <w:r w:rsidR="00321AA0">
        <w:rPr>
          <w:rFonts w:cs="Arial"/>
          <w:szCs w:val="18"/>
          <w:lang w:val="en-US"/>
        </w:rPr>
        <w:t>integrates resource circularity with sustainable bioenergy production, requiring low-carbon inputs, sustainable supply chains, and conversion technologies that maximize</w:t>
      </w:r>
      <w:r w:rsidRPr="004B4797">
        <w:rPr>
          <w:rFonts w:cs="Arial"/>
          <w:szCs w:val="18"/>
          <w:lang w:val="en-US"/>
        </w:rPr>
        <w:t xml:space="preserve"> organic waste </w:t>
      </w:r>
      <w:r w:rsidR="008B733F" w:rsidRPr="004B4797">
        <w:rPr>
          <w:rFonts w:cs="Arial"/>
          <w:szCs w:val="18"/>
          <w:lang w:val="en-US"/>
        </w:rPr>
        <w:t>valorization</w:t>
      </w:r>
      <w:r w:rsidRPr="004B4797">
        <w:rPr>
          <w:rFonts w:cs="Arial"/>
          <w:szCs w:val="18"/>
          <w:lang w:val="en-US"/>
        </w:rPr>
        <w:t xml:space="preserve"> (Vandenberghe et al., 2022). The current critical decade for climate action demands </w:t>
      </w:r>
      <w:r w:rsidR="00704974" w:rsidRPr="004B4797">
        <w:rPr>
          <w:rFonts w:cs="Arial"/>
          <w:szCs w:val="18"/>
          <w:lang w:val="en-US"/>
        </w:rPr>
        <w:t>integrated</w:t>
      </w:r>
      <w:r w:rsidR="00704974">
        <w:rPr>
          <w:rFonts w:cs="Arial"/>
          <w:szCs w:val="18"/>
          <w:lang w:val="en-US"/>
        </w:rPr>
        <w:t xml:space="preserve"> cross-sectoral approaches that enable</w:t>
      </w:r>
      <w:r w:rsidRPr="004B4797">
        <w:rPr>
          <w:rFonts w:cs="Arial"/>
          <w:szCs w:val="18"/>
          <w:lang w:val="en-US"/>
        </w:rPr>
        <w:t xml:space="preserve"> profound transformations (Kilkis et al., 2024).</w:t>
      </w:r>
    </w:p>
    <w:p w14:paraId="66BDEBCE" w14:textId="23B25FDA" w:rsidR="004B4797" w:rsidRPr="004B4797" w:rsidRDefault="004B4797" w:rsidP="004B4797">
      <w:pPr>
        <w:pStyle w:val="Prrafodelista"/>
        <w:ind w:left="0"/>
        <w:rPr>
          <w:rFonts w:cs="Arial"/>
          <w:szCs w:val="18"/>
        </w:rPr>
      </w:pPr>
      <w:r w:rsidRPr="004B4797">
        <w:rPr>
          <w:rFonts w:cs="Arial"/>
          <w:szCs w:val="18"/>
        </w:rPr>
        <w:t xml:space="preserve">Decentralized energy systems such as microgrids, virtual generation plants, and storage systems materialize circular bioeconomy principles at </w:t>
      </w:r>
      <w:r w:rsidR="00704974">
        <w:rPr>
          <w:rFonts w:cs="Arial"/>
          <w:szCs w:val="18"/>
        </w:rPr>
        <w:t xml:space="preserve">the </w:t>
      </w:r>
      <w:r w:rsidRPr="004B4797">
        <w:rPr>
          <w:rFonts w:cs="Arial"/>
          <w:szCs w:val="18"/>
        </w:rPr>
        <w:t xml:space="preserve">enterprise level, reshaping energy networks toward flexible, consumer-centric models (Rehman et al., 2026). Sectoral integration </w:t>
      </w:r>
      <w:r w:rsidR="00704974">
        <w:rPr>
          <w:rFonts w:cs="Arial"/>
          <w:szCs w:val="18"/>
        </w:rPr>
        <w:t xml:space="preserve">that </w:t>
      </w:r>
      <w:r w:rsidR="00321AA0">
        <w:rPr>
          <w:rFonts w:cs="Arial"/>
          <w:szCs w:val="18"/>
        </w:rPr>
        <w:t>couples</w:t>
      </w:r>
      <w:r w:rsidR="00704974">
        <w:rPr>
          <w:rFonts w:cs="Arial"/>
          <w:szCs w:val="18"/>
        </w:rPr>
        <w:t xml:space="preserve"> energy, agricultural, and industrial processes enables synergies that exceed </w:t>
      </w:r>
      <w:r w:rsidR="00321AA0">
        <w:rPr>
          <w:rFonts w:cs="Arial"/>
          <w:szCs w:val="18"/>
        </w:rPr>
        <w:t xml:space="preserve">the sum of </w:t>
      </w:r>
      <w:r w:rsidR="00704974">
        <w:rPr>
          <w:rFonts w:cs="Arial"/>
          <w:szCs w:val="18"/>
        </w:rPr>
        <w:t>individual benefits while balancing the variability of renewable sources</w:t>
      </w:r>
      <w:r w:rsidRPr="004B4797">
        <w:rPr>
          <w:rFonts w:cs="Arial"/>
          <w:szCs w:val="18"/>
        </w:rPr>
        <w:t xml:space="preserve"> (</w:t>
      </w:r>
      <w:proofErr w:type="spellStart"/>
      <w:r w:rsidRPr="004B4797">
        <w:rPr>
          <w:rFonts w:cs="Arial"/>
          <w:szCs w:val="18"/>
        </w:rPr>
        <w:t>Schipfer</w:t>
      </w:r>
      <w:proofErr w:type="spellEnd"/>
      <w:r w:rsidRPr="004B4797">
        <w:rPr>
          <w:rFonts w:cs="Arial"/>
          <w:szCs w:val="18"/>
        </w:rPr>
        <w:t xml:space="preserve"> et al., 2026).</w:t>
      </w:r>
    </w:p>
    <w:p w14:paraId="1F0C3533" w14:textId="77777777" w:rsidR="004B4797" w:rsidRPr="004B4797" w:rsidRDefault="004B4797" w:rsidP="004B4797">
      <w:pPr>
        <w:pStyle w:val="Prrafodelista"/>
        <w:ind w:left="0"/>
        <w:rPr>
          <w:rFonts w:cs="Arial"/>
          <w:szCs w:val="18"/>
        </w:rPr>
      </w:pPr>
      <w:r w:rsidRPr="004B4797">
        <w:rPr>
          <w:rFonts w:cs="Arial"/>
          <w:szCs w:val="18"/>
        </w:rPr>
        <w:t xml:space="preserve">Hybrid biogas-solar microgrids offer highly complementary configurations for environments with available residual biomass. Their sustainable hybridization rests on three pillars: modular technological integration, </w:t>
      </w:r>
      <w:r w:rsidRPr="004B4797">
        <w:rPr>
          <w:rFonts w:cs="Arial"/>
          <w:szCs w:val="18"/>
        </w:rPr>
        <w:lastRenderedPageBreak/>
        <w:t>advanced control strategies with automated energy management, and life cycle-based sustainability assessment (Anvari et al., 2025). Hybrid photovoltaic-biogas-battery arrangements achieve renewable penetration rates exceeding 80% with competitive levelized costs in off-grid scenarios (Buller et al., 2022).</w:t>
      </w:r>
    </w:p>
    <w:p w14:paraId="3261A691" w14:textId="3A47236D" w:rsidR="004B4797" w:rsidRPr="004B4797" w:rsidRDefault="004B4797" w:rsidP="004B4797">
      <w:pPr>
        <w:pStyle w:val="Prrafodelista"/>
        <w:ind w:left="0"/>
        <w:rPr>
          <w:rFonts w:cs="Arial"/>
          <w:szCs w:val="18"/>
        </w:rPr>
      </w:pPr>
      <w:r w:rsidRPr="004B4797">
        <w:rPr>
          <w:rFonts w:cs="Arial"/>
          <w:szCs w:val="18"/>
        </w:rPr>
        <w:t xml:space="preserve">Effective adoption depends on factors beyond technical optimization. Business acceptance involves interacting </w:t>
      </w:r>
      <w:r w:rsidR="00321AA0">
        <w:rPr>
          <w:rFonts w:cs="Arial"/>
          <w:szCs w:val="18"/>
        </w:rPr>
        <w:t xml:space="preserve">with </w:t>
      </w:r>
      <w:r w:rsidRPr="004B4797">
        <w:rPr>
          <w:rFonts w:cs="Arial"/>
          <w:szCs w:val="18"/>
        </w:rPr>
        <w:t>technical, economic, regulatory, and social dimensions requiring coordinated interventions (Bendig et al., 2025). Companies with managerial knowledge of circular economy principles and implemented circular practices demonstrate greater receptiveness to waste valorization technologies (Danish and Senjyu, 2023).</w:t>
      </w:r>
    </w:p>
    <w:p w14:paraId="673FD5A0" w14:textId="7D99FE7F" w:rsidR="004B4797" w:rsidRDefault="004B4797" w:rsidP="004B4797">
      <w:pPr>
        <w:pStyle w:val="Prrafodelista"/>
        <w:ind w:left="0"/>
        <w:rPr>
          <w:rFonts w:cs="Arial"/>
          <w:szCs w:val="18"/>
        </w:rPr>
      </w:pPr>
      <w:r w:rsidRPr="004B4797">
        <w:rPr>
          <w:rFonts w:cs="Arial"/>
          <w:szCs w:val="18"/>
        </w:rPr>
        <w:t>Previous research focused predominantly on techno-economic optimization, with limited empirical evidence examining business acceptance, economic viability, and emissions reduction from an integrated causal perspective. Partial Least Squares Structural Equation Models enable simultaneous analysis of direct, mediated, and moderated effects</w:t>
      </w:r>
      <w:r w:rsidR="00704974">
        <w:rPr>
          <w:rFonts w:cs="Arial"/>
          <w:szCs w:val="18"/>
        </w:rPr>
        <w:t>,</w:t>
      </w:r>
      <w:r w:rsidRPr="004B4797">
        <w:rPr>
          <w:rFonts w:cs="Arial"/>
          <w:szCs w:val="18"/>
        </w:rPr>
        <w:t xml:space="preserve"> integrating technical, economic, and organizational variables (Kilkis et al., 2023).</w:t>
      </w:r>
    </w:p>
    <w:p w14:paraId="17C546C6" w14:textId="091EECBB" w:rsidR="0094023F" w:rsidRDefault="0094023F" w:rsidP="004B4797">
      <w:pPr>
        <w:pStyle w:val="Prrafodelista"/>
        <w:ind w:left="0"/>
        <w:rPr>
          <w:rFonts w:cs="Arial"/>
          <w:szCs w:val="18"/>
        </w:rPr>
      </w:pPr>
      <w:r>
        <w:t>This study analyses causal relationships among business acceptance of hybrid biogas–solar microgrids (BA), perceived business economic viability (BEV), circular bioeconomy orientation (CBO)</w:t>
      </w:r>
      <w:r w:rsidR="00F674A4">
        <w:t>, and expected contribution to emission reduction (CER) for agribusiness and waste-management companies, bridging technical and behavioral</w:t>
      </w:r>
      <w:r>
        <w:t xml:space="preserve"> perspectives in distributed renewable-energy evaluation.</w:t>
      </w:r>
    </w:p>
    <w:p w14:paraId="5741900F" w14:textId="1CBB38A8" w:rsidR="00453E24" w:rsidRDefault="0082567E" w:rsidP="00453E24">
      <w:pPr>
        <w:pStyle w:val="CETHeading1"/>
      </w:pPr>
      <w:r w:rsidRPr="0082567E">
        <w:t>Theoretical Framework</w:t>
      </w:r>
    </w:p>
    <w:p w14:paraId="0636B784" w14:textId="3F980A47" w:rsidR="00453E24" w:rsidRDefault="00B73FA4" w:rsidP="00453E24">
      <w:pPr>
        <w:pStyle w:val="CETheadingx"/>
      </w:pPr>
      <w:r w:rsidRPr="00B73FA4">
        <w:t>Circular Bioeconomy Applied to Decentralized Energy Systems</w:t>
      </w:r>
    </w:p>
    <w:p w14:paraId="4E210F81" w14:textId="005B1F13" w:rsidR="004053C1" w:rsidRDefault="004053C1" w:rsidP="00D97803">
      <w:pPr>
        <w:pStyle w:val="CETBodytext"/>
      </w:pPr>
      <w:r>
        <w:t>The circular bioeconomy operationalizes energy recovery from organic waste alongside the closure of material cycles in production systems, transcending the linear substitution of fossil fuels (Vandenberghe et al., 2022). Decentralized systems materialize these principles by leveraging local resources: mathematical programming of biowaste valorization routes (Giuliano et al., 2024) and sector-coupling analyses (Schipfer et al., 2026) show synergies that exceed the sum of individual benefits, motivating the treatment of hybrid microgrids as sociotechnical systems where technical, economic, and organizational variables interact to shape adoption outcomes.</w:t>
      </w:r>
    </w:p>
    <w:p w14:paraId="18BAFA6F" w14:textId="62721D82" w:rsidR="00453E24" w:rsidRDefault="007D07D8" w:rsidP="00C61EFA">
      <w:pPr>
        <w:pStyle w:val="CETheadingx"/>
        <w:spacing w:before="0" w:after="0"/>
        <w:jc w:val="both"/>
      </w:pPr>
      <w:r>
        <w:t>Hybrid biogas–solar microgrids: technical configuration and storage</w:t>
      </w:r>
    </w:p>
    <w:p w14:paraId="0ADA2BD5" w14:textId="77777777" w:rsidR="00C61EFA" w:rsidRPr="00E47DA9" w:rsidRDefault="00C61EFA" w:rsidP="00C61EFA">
      <w:pPr>
        <w:pStyle w:val="font-claude-response-body"/>
        <w:spacing w:before="0" w:beforeAutospacing="0" w:after="0" w:afterAutospacing="0"/>
        <w:jc w:val="both"/>
        <w:rPr>
          <w:rFonts w:ascii="Arial" w:hAnsi="Arial" w:cs="Arial"/>
          <w:i/>
          <w:iCs/>
          <w:sz w:val="18"/>
          <w:szCs w:val="18"/>
          <w:lang w:val="en-US"/>
        </w:rPr>
      </w:pPr>
      <w:r w:rsidRPr="00E47DA9">
        <w:rPr>
          <w:rStyle w:val="nfasis"/>
          <w:rFonts w:ascii="Arial" w:hAnsi="Arial" w:cs="Arial"/>
          <w:i w:val="0"/>
          <w:iCs w:val="0"/>
          <w:sz w:val="18"/>
          <w:szCs w:val="18"/>
          <w:lang w:val="en-US"/>
        </w:rPr>
        <w:t>Hybrid biogas–solar microgrids combine the programmable availability of biogas with the diurnal profile of photovoltaic generation, improving operational stability and reducing storage requirements compared with purely intermittent configurations. A biomass-based hybrid biogas–solar microgrid implies three complementary storage layers: (</w:t>
      </w:r>
      <w:proofErr w:type="spellStart"/>
      <w:r w:rsidRPr="00E47DA9">
        <w:rPr>
          <w:rStyle w:val="nfasis"/>
          <w:rFonts w:ascii="Arial" w:hAnsi="Arial" w:cs="Arial"/>
          <w:i w:val="0"/>
          <w:iCs w:val="0"/>
          <w:sz w:val="18"/>
          <w:szCs w:val="18"/>
          <w:lang w:val="en-US"/>
        </w:rPr>
        <w:t>i</w:t>
      </w:r>
      <w:proofErr w:type="spellEnd"/>
      <w:r w:rsidRPr="00E47DA9">
        <w:rPr>
          <w:rStyle w:val="nfasis"/>
          <w:rFonts w:ascii="Arial" w:hAnsi="Arial" w:cs="Arial"/>
          <w:i w:val="0"/>
          <w:iCs w:val="0"/>
          <w:sz w:val="18"/>
          <w:szCs w:val="18"/>
          <w:lang w:val="en-US"/>
        </w:rPr>
        <w:t>) biomass storage for feedstock buffering prior to anaerobic digestion, (ii) biogas storage—typically low-pressure gasholders—to decouple digestion kinetics from energy demand, and (iii) electrochemical energy storage to integrate photovoltaic variability with dispatchable biogas generation (Anvari et al., 2025; Cosenza et al., 2025).</w:t>
      </w:r>
    </w:p>
    <w:p w14:paraId="6ED04EF0" w14:textId="77777777" w:rsidR="00C61EFA" w:rsidRPr="00E47DA9" w:rsidRDefault="00C61EFA" w:rsidP="00C61EFA">
      <w:pPr>
        <w:pStyle w:val="font-claude-response-body"/>
        <w:spacing w:before="0" w:beforeAutospacing="0" w:after="0" w:afterAutospacing="0"/>
        <w:jc w:val="both"/>
        <w:rPr>
          <w:rFonts w:ascii="Arial" w:hAnsi="Arial" w:cs="Arial"/>
          <w:i/>
          <w:iCs/>
          <w:sz w:val="18"/>
          <w:szCs w:val="18"/>
          <w:lang w:val="en-US"/>
        </w:rPr>
      </w:pPr>
      <w:r w:rsidRPr="00E47DA9">
        <w:rPr>
          <w:rStyle w:val="nfasis"/>
          <w:rFonts w:ascii="Arial" w:hAnsi="Arial" w:cs="Arial"/>
          <w:i w:val="0"/>
          <w:iCs w:val="0"/>
          <w:sz w:val="18"/>
          <w:szCs w:val="18"/>
          <w:lang w:val="en-US"/>
        </w:rPr>
        <w:t>Optimal design requires maximizing the renewable fraction, minimizing operating costs, ensuring reliable supply, and efficiently managing these heterogeneous storage stages (Cosenza et al., 2025). Photovoltaic–biogas–battery arrangements achieve renewable penetration rates exceeding 80 % with competitive levelized costs in decentralized electrification scenarios (Buller et al., 2022), and their contribution to decarbonization operates through direct substitution of fossil fuels, methane capture from organic waste, and emissions reduction from waste transport and disposal (Kilkis et al., 2024).</w:t>
      </w:r>
    </w:p>
    <w:p w14:paraId="5BCC27EC" w14:textId="5BFF8771" w:rsidR="008D0127" w:rsidRDefault="00425D4A" w:rsidP="008D0127">
      <w:pPr>
        <w:pStyle w:val="CETheadingx"/>
      </w:pPr>
      <w:r w:rsidRPr="00425D4A">
        <w:t>Economic viability as a systemic variable</w:t>
      </w:r>
    </w:p>
    <w:p w14:paraId="05226B2D" w14:textId="0A50B6A6" w:rsidR="00074D09" w:rsidRDefault="00074D09" w:rsidP="008C5A19">
      <w:pPr>
        <w:pStyle w:val="CETBodytext"/>
      </w:pPr>
      <w:r>
        <w:t>Economic viability extends beyond traditional financial indicators to reflect perceptions of profitability, access to financing, and compatibility with circular business models, consistent with the multi-criteria nature of investment decisions in distributed energy infrastructure (Monzer and Bouallou, 2023). Circular business models act as enablers by internalizing benefits traditionally externalized: integrating circular principles transforms waste from an environmental liability into an energy asset, altering the value equation of hybrid microgrids and catalyzing technological innovation (Danish and Senjyu, 2023).</w:t>
      </w:r>
    </w:p>
    <w:p w14:paraId="0839FAD6" w14:textId="519A519D" w:rsidR="008D0127" w:rsidRDefault="00AC6953" w:rsidP="008D359F">
      <w:pPr>
        <w:pStyle w:val="CETheadingx"/>
      </w:pPr>
      <w:r w:rsidRPr="00AC6953">
        <w:t>Organizational acceptance as an enabling factor</w:t>
      </w:r>
    </w:p>
    <w:p w14:paraId="4AB6646B" w14:textId="1D0B05F5" w:rsidR="00E54164" w:rsidRDefault="00E54164" w:rsidP="00925C7C">
      <w:pPr>
        <w:pStyle w:val="CETBodytext"/>
      </w:pPr>
      <w:r>
        <w:t xml:space="preserve">Organizational acceptance is a soft constraint that shapes feasibility beyond techno-economic optimization: perceived operational benefits, assessments of technological risks, and willingness to engage in collaborative schemes are measurable dimensions that predict adoption </w:t>
      </w:r>
      <w:r w:rsidR="00F674A4">
        <w:t>behavior</w:t>
      </w:r>
      <w:r>
        <w:t xml:space="preserve"> (Bendig et al., 2025). Organizational orientation towards circular principles moderates this relationship, as companies with managerial knowledge of circular practices are more receptive to waste-valorization technologies (Kilkis et al., 2023), making the determinants of acceptance particularly relevant for designing policies that accelerate the diffusion of decentralized energy systems in the current critical decade for climate action.</w:t>
      </w:r>
    </w:p>
    <w:p w14:paraId="2E4E525B" w14:textId="77777777" w:rsidR="00E54164" w:rsidRDefault="00E54164" w:rsidP="00925C7C">
      <w:pPr>
        <w:pStyle w:val="CETBodytext"/>
      </w:pPr>
    </w:p>
    <w:p w14:paraId="3BAF54B7" w14:textId="77777777" w:rsidR="00E54164" w:rsidRDefault="00E54164" w:rsidP="00925C7C">
      <w:pPr>
        <w:pStyle w:val="CETBodytext"/>
      </w:pPr>
    </w:p>
    <w:p w14:paraId="16EA7980" w14:textId="58ACE294" w:rsidR="00AB7FB2" w:rsidRDefault="00043F49" w:rsidP="00611E68">
      <w:pPr>
        <w:pStyle w:val="CETheadingx"/>
      </w:pPr>
      <w:r w:rsidRPr="00043F49">
        <w:lastRenderedPageBreak/>
        <w:t>Structural Equation Models in Energy Engineering</w:t>
      </w:r>
    </w:p>
    <w:p w14:paraId="3CF6E3D1" w14:textId="4ACAEA06" w:rsidR="00E54164" w:rsidRDefault="00E54164" w:rsidP="00E96F53">
      <w:pPr>
        <w:pStyle w:val="CETBodytext"/>
      </w:pPr>
      <w:r>
        <w:t xml:space="preserve">PLS-SEM is an appropriate methodological tool for </w:t>
      </w:r>
      <w:r w:rsidR="00F674A4">
        <w:t>analyzing</w:t>
      </w:r>
      <w:r>
        <w:t xml:space="preserve"> complex causal relationships in systems where technical, economic, and organizational variables interact simultaneously, as it allows </w:t>
      </w:r>
      <w:r w:rsidR="00F674A4">
        <w:t xml:space="preserve">the specification of models with latent constructs measured by multiple indicators, the evaluation of direct and indirect effects, and the </w:t>
      </w:r>
      <w:r>
        <w:t>examination of moderating interactions (Hair et al., 2019). The Partial Least Squares technique is particularly suited to exploratory models with moderate sample sizes (Obaideen et al., 2022), and its use here is justified by the need to operationalize complex constructs such as business acceptance and circular orientation, to assess economic mediation and organizational moderation, and to generate predictive implications for technology diffusion in the energy sector.</w:t>
      </w:r>
    </w:p>
    <w:p w14:paraId="677EBFF0" w14:textId="2E3D076A" w:rsidR="00600535" w:rsidRDefault="0080619F" w:rsidP="00600535">
      <w:pPr>
        <w:pStyle w:val="CETHeading1"/>
        <w:tabs>
          <w:tab w:val="right" w:pos="7100"/>
        </w:tabs>
        <w:jc w:val="both"/>
        <w:rPr>
          <w:lang w:val="en-GB"/>
        </w:rPr>
      </w:pPr>
      <w:r w:rsidRPr="0080619F">
        <w:rPr>
          <w:lang w:val="en-GB"/>
        </w:rPr>
        <w:t>Methodology</w:t>
      </w:r>
    </w:p>
    <w:p w14:paraId="05E76262" w14:textId="20E56618" w:rsidR="00D83699" w:rsidRDefault="00D83699" w:rsidP="00D61FA7">
      <w:pPr>
        <w:pStyle w:val="CETBodytext"/>
      </w:pPr>
      <w:r>
        <w:t xml:space="preserve">The study adopts a quantitative, explanatory, and cross-sectional design to </w:t>
      </w:r>
      <w:r w:rsidR="00EF4136">
        <w:t>analyze causal relationships using Partial Least Squares Structural Equation Modeling</w:t>
      </w:r>
      <w:r>
        <w:t xml:space="preserve"> (PLS-SEM). This technique is appropriate given the exploratory–explanatory nature of the model, the presence of latent constructs, and the need to evaluate direct, mediating, and moderating effects simultaneously (Hair et al., 2019). The structural model specifies four constructs: Business Acceptance (BA) as </w:t>
      </w:r>
      <w:r w:rsidR="00EF4136">
        <w:t xml:space="preserve">an exogenous variable, Business Economic Viability (BEV) as a mediator, Contribution to Emission Reduction (CER) as a focal endogenous variable, and Circular Bioeconomy Orientation (CBO) as an </w:t>
      </w:r>
      <w:r>
        <w:t>exogenous variable and moderator. Seven hypotheses are tested: H1 (BA → BEV), H2 (BEV → CER), H3 (BA → CER), H4 (CBO → BA), H5 (CBO × BA → CER, moderation), H6 (BA → BEV → CER, indirect effect) and H7 (CBO → CER, direct). The model's graphical representation is shown in Figure 1.</w:t>
      </w:r>
    </w:p>
    <w:p w14:paraId="0AC9193C" w14:textId="12594637" w:rsidR="00163B7E" w:rsidRDefault="00704974" w:rsidP="00D61FA7">
      <w:pPr>
        <w:pStyle w:val="CETBodytext"/>
        <w:rPr>
          <w:lang w:val="en-GB"/>
        </w:rPr>
      </w:pPr>
      <w:r w:rsidRPr="00D61FA7">
        <w:rPr>
          <w:lang w:val="en-GB"/>
        </w:rPr>
        <w:t>.</w:t>
      </w:r>
    </w:p>
    <w:p w14:paraId="40983D1A" w14:textId="6D88744C" w:rsidR="00163B7E" w:rsidRDefault="00163B7E" w:rsidP="00D61FA7">
      <w:pPr>
        <w:pStyle w:val="CETBodytext"/>
        <w:rPr>
          <w:lang w:val="en-GB"/>
        </w:rPr>
      </w:pPr>
    </w:p>
    <w:p w14:paraId="0C06CAF9" w14:textId="77777777" w:rsidR="00163B7E" w:rsidRDefault="00163B7E" w:rsidP="00D61FA7">
      <w:pPr>
        <w:pStyle w:val="CETBodytext"/>
        <w:rPr>
          <w:lang w:val="en-GB"/>
        </w:rPr>
      </w:pPr>
    </w:p>
    <w:p w14:paraId="1127EBD0" w14:textId="77777777" w:rsidR="00163B7E" w:rsidRDefault="00163B7E" w:rsidP="00D61FA7">
      <w:pPr>
        <w:pStyle w:val="CETBodytext"/>
        <w:rPr>
          <w:lang w:val="en-GB"/>
        </w:rPr>
      </w:pPr>
    </w:p>
    <w:p w14:paraId="4402CAE4" w14:textId="77777777" w:rsidR="00163B7E" w:rsidRDefault="00163B7E" w:rsidP="00D61FA7">
      <w:pPr>
        <w:pStyle w:val="CETBodytext"/>
        <w:rPr>
          <w:lang w:val="en-GB"/>
        </w:rPr>
      </w:pPr>
    </w:p>
    <w:p w14:paraId="1F485543" w14:textId="77777777" w:rsidR="00163B7E" w:rsidRDefault="00163B7E" w:rsidP="00D61FA7">
      <w:pPr>
        <w:pStyle w:val="CETBodytext"/>
        <w:rPr>
          <w:lang w:val="en-GB"/>
        </w:rPr>
      </w:pPr>
    </w:p>
    <w:p w14:paraId="38BFD348" w14:textId="3534DA4B" w:rsidR="00163B7E" w:rsidRDefault="004B4797" w:rsidP="00D61FA7">
      <w:pPr>
        <w:pStyle w:val="CETBodytext"/>
        <w:rPr>
          <w:lang w:val="en-GB"/>
        </w:rPr>
      </w:pPr>
      <w:r>
        <w:rPr>
          <w:noProof/>
          <w:lang w:val="en-GB"/>
        </w:rPr>
        <w:drawing>
          <wp:anchor distT="0" distB="0" distL="114300" distR="114300" simplePos="0" relativeHeight="251658240" behindDoc="1" locked="0" layoutInCell="1" allowOverlap="1" wp14:anchorId="4DFF1324" wp14:editId="1E3AE348">
            <wp:simplePos x="0" y="0"/>
            <wp:positionH relativeFrom="margin">
              <wp:posOffset>405765</wp:posOffset>
            </wp:positionH>
            <wp:positionV relativeFrom="paragraph">
              <wp:posOffset>-691515</wp:posOffset>
            </wp:positionV>
            <wp:extent cx="4739640" cy="3025140"/>
            <wp:effectExtent l="0" t="0" r="0" b="9525"/>
            <wp:wrapNone/>
            <wp:docPr id="5800570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9640" cy="3025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7EF718A0" wp14:editId="1AC6CCDA">
                <wp:extent cx="304800" cy="304800"/>
                <wp:effectExtent l="0" t="0" r="0" b="0"/>
                <wp:docPr id="2008537960"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5EB26"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A132D9" w14:textId="77777777" w:rsidR="00163B7E" w:rsidRDefault="00163B7E" w:rsidP="00D61FA7">
      <w:pPr>
        <w:pStyle w:val="CETBodytext"/>
        <w:rPr>
          <w:lang w:val="en-GB"/>
        </w:rPr>
      </w:pPr>
    </w:p>
    <w:p w14:paraId="7DC33D32" w14:textId="77777777" w:rsidR="00163B7E" w:rsidRDefault="00163B7E" w:rsidP="00D61FA7">
      <w:pPr>
        <w:pStyle w:val="CETBodytext"/>
        <w:rPr>
          <w:lang w:val="en-GB"/>
        </w:rPr>
      </w:pPr>
    </w:p>
    <w:p w14:paraId="5FCE6754" w14:textId="77777777" w:rsidR="00163B7E" w:rsidRDefault="00163B7E" w:rsidP="00D61FA7">
      <w:pPr>
        <w:pStyle w:val="CETBodytext"/>
        <w:rPr>
          <w:lang w:val="en-GB"/>
        </w:rPr>
      </w:pPr>
    </w:p>
    <w:p w14:paraId="2EE3DA4A" w14:textId="77777777" w:rsidR="00163B7E" w:rsidRDefault="00163B7E" w:rsidP="00D61FA7">
      <w:pPr>
        <w:pStyle w:val="CETBodytext"/>
        <w:rPr>
          <w:lang w:val="en-GB"/>
        </w:rPr>
      </w:pPr>
    </w:p>
    <w:p w14:paraId="302A7B2E" w14:textId="77777777" w:rsidR="00163B7E" w:rsidRDefault="00163B7E" w:rsidP="00D61FA7">
      <w:pPr>
        <w:pStyle w:val="CETBodytext"/>
        <w:rPr>
          <w:lang w:val="en-GB"/>
        </w:rPr>
      </w:pPr>
    </w:p>
    <w:p w14:paraId="5249D04A" w14:textId="77777777" w:rsidR="00163B7E" w:rsidRDefault="00163B7E" w:rsidP="00D61FA7">
      <w:pPr>
        <w:pStyle w:val="CETBodytext"/>
        <w:rPr>
          <w:lang w:val="en-GB"/>
        </w:rPr>
      </w:pPr>
    </w:p>
    <w:p w14:paraId="4EADE076" w14:textId="77777777" w:rsidR="00163B7E" w:rsidRDefault="00163B7E" w:rsidP="00D61FA7">
      <w:pPr>
        <w:pStyle w:val="CETBodytext"/>
        <w:rPr>
          <w:lang w:val="en-GB"/>
        </w:rPr>
      </w:pPr>
    </w:p>
    <w:p w14:paraId="40EFC976" w14:textId="77777777" w:rsidR="00163B7E" w:rsidRDefault="00163B7E" w:rsidP="00D61FA7">
      <w:pPr>
        <w:pStyle w:val="CETBodytext"/>
        <w:rPr>
          <w:lang w:val="en-GB"/>
        </w:rPr>
      </w:pPr>
    </w:p>
    <w:p w14:paraId="79E515BB" w14:textId="77777777" w:rsidR="00163B7E" w:rsidRDefault="00163B7E" w:rsidP="00D61FA7">
      <w:pPr>
        <w:pStyle w:val="CETBodytext"/>
        <w:rPr>
          <w:lang w:val="en-GB"/>
        </w:rPr>
      </w:pPr>
    </w:p>
    <w:p w14:paraId="0F1688A8" w14:textId="77777777" w:rsidR="00163B7E" w:rsidRDefault="00163B7E" w:rsidP="00D61FA7">
      <w:pPr>
        <w:pStyle w:val="CETBodytext"/>
        <w:rPr>
          <w:lang w:val="en-GB"/>
        </w:rPr>
      </w:pPr>
    </w:p>
    <w:p w14:paraId="0AF64C7F" w14:textId="77777777" w:rsidR="00163B7E" w:rsidRDefault="00163B7E" w:rsidP="00D61FA7">
      <w:pPr>
        <w:pStyle w:val="CETBodytext"/>
        <w:rPr>
          <w:lang w:val="en-GB"/>
        </w:rPr>
      </w:pPr>
    </w:p>
    <w:p w14:paraId="50F67330" w14:textId="77777777" w:rsidR="00163B7E" w:rsidRDefault="00163B7E" w:rsidP="00D61FA7">
      <w:pPr>
        <w:pStyle w:val="CETBodytext"/>
        <w:rPr>
          <w:lang w:val="en-GB"/>
        </w:rPr>
      </w:pPr>
    </w:p>
    <w:p w14:paraId="3F9EDA7A" w14:textId="77777777" w:rsidR="00163B7E" w:rsidRDefault="00163B7E" w:rsidP="00D61FA7">
      <w:pPr>
        <w:pStyle w:val="CETBodytext"/>
        <w:rPr>
          <w:lang w:val="en-GB"/>
        </w:rPr>
      </w:pPr>
    </w:p>
    <w:p w14:paraId="76A068FA" w14:textId="77777777" w:rsidR="00163B7E" w:rsidRDefault="00163B7E" w:rsidP="00D61FA7">
      <w:pPr>
        <w:pStyle w:val="CETBodytext"/>
        <w:rPr>
          <w:lang w:val="en-GB"/>
        </w:rPr>
      </w:pPr>
    </w:p>
    <w:p w14:paraId="1F34840E" w14:textId="77777777" w:rsidR="00163B7E" w:rsidRDefault="00163B7E" w:rsidP="00D61FA7">
      <w:pPr>
        <w:pStyle w:val="CETBodytext"/>
        <w:rPr>
          <w:lang w:val="en-GB"/>
        </w:rPr>
      </w:pPr>
    </w:p>
    <w:p w14:paraId="7AB69335" w14:textId="09D60D96" w:rsidR="00D61FA7" w:rsidRPr="00F13A71" w:rsidRDefault="00F13A71" w:rsidP="00D61FA7">
      <w:pPr>
        <w:pStyle w:val="CETBodytext"/>
        <w:rPr>
          <w:i/>
          <w:iCs/>
        </w:rPr>
      </w:pPr>
      <w:r>
        <w:t xml:space="preserve">Figure 1: </w:t>
      </w:r>
      <w:r w:rsidRPr="00F13A71">
        <w:rPr>
          <w:i/>
          <w:iCs/>
        </w:rPr>
        <w:t>Structural equation model with path coefficients and p-values (in parentheses) for the seven hypothesized relationships between Business Acceptance (BA), Business Economic Viability (BEV), Contribution to Emission Reduction (CER), and Circular Bioeconomy Orientation (CBO). R² values are displayed within each endogenous construct. The dotted line represents the moderation effect (CBO × BA → CER). Outer loadings p-values are shown next to each indicator. The direct effect CBO → CER (β = 0.662, p &lt; 0.001) is estimated in the model</w:t>
      </w:r>
      <w:r w:rsidR="00EF4136">
        <w:rPr>
          <w:i/>
          <w:iCs/>
        </w:rPr>
        <w:t>,</w:t>
      </w:r>
      <w:r w:rsidRPr="00F13A71">
        <w:rPr>
          <w:i/>
          <w:iCs/>
        </w:rPr>
        <w:t xml:space="preserve"> although not rendered as a separate arrow in the figure for visual clarity (see Table 1). Bootstrap: 5,000 subsamples. SmartPLS 4.0.</w:t>
      </w:r>
    </w:p>
    <w:p w14:paraId="5BDB628E" w14:textId="77777777" w:rsidR="00F13A71" w:rsidRPr="00D61FA7" w:rsidRDefault="00F13A71" w:rsidP="00D61FA7">
      <w:pPr>
        <w:pStyle w:val="CETBodytext"/>
        <w:rPr>
          <w:lang w:val="en-GB"/>
        </w:rPr>
      </w:pPr>
    </w:p>
    <w:p w14:paraId="2B70118C" w14:textId="03960EDA" w:rsidR="00F13A71" w:rsidRDefault="00F13A71" w:rsidP="00D61FA7">
      <w:pPr>
        <w:pStyle w:val="CETBodytext"/>
      </w:pPr>
      <w:r>
        <w:t xml:space="preserve">All constructs were operationalized as reflective latent variables measured on five-point Likert scales. BA comprises indicators of perceived benefits, assessed risks, and collaborative intention (11 items initially developed); BEV includes profitability expectations, access to financing, and compatibility with circular business models (10 items); CER captures expectations of carbon-footprint reduction, fossil-fuel substitution, and waste valorization (5 items); and CBO measures managerial knowledge, strategic commitment, and the implementation of circular practices (9 items). Following Hair et al. (2019), items with outer loadings below 0.708 </w:t>
      </w:r>
      <w:r>
        <w:lastRenderedPageBreak/>
        <w:t xml:space="preserve">were iteratively removed, resulting in a refined measurement model of 22 retained indicators (BA: 5 items, BEV: 6 items, CER: 5 items, CBO: 6 items). The sample (n = 70) comprises agribusiness and waste-management companies with technical potential </w:t>
      </w:r>
      <w:r w:rsidR="00EF4136">
        <w:t>to adopt biogas–solar microgrids, meeting</w:t>
      </w:r>
      <w:r>
        <w:t xml:space="preserve"> the PLS-SEM minimum sample size criterion of 10 times the largest number of structural paths directed at any construct (Hair et al., 2019).</w:t>
      </w:r>
    </w:p>
    <w:p w14:paraId="3D7BA554" w14:textId="251B208A" w:rsidR="00F13A71" w:rsidRDefault="00D41007" w:rsidP="00D61FA7">
      <w:pPr>
        <w:pStyle w:val="CETBodytext"/>
      </w:pPr>
      <w:r>
        <w:t xml:space="preserve">Estimation followed a two-stage protocol. The measurement model was evaluated using the thresholds recommended by Hair et al. (2019): outer loadings &gt; 0.708, composite reliability </w:t>
      </w:r>
      <w:proofErr w:type="spellStart"/>
      <w:r>
        <w:t>ρc</w:t>
      </w:r>
      <w:proofErr w:type="spellEnd"/>
      <w:r>
        <w:t xml:space="preserve"> &gt; 0.70, average variance extracted AVE &gt; 0.50, and HTMT ratio &lt; 0.85 for discriminant validity; the Fornell–Larcker criterion was additionally examined as a complementary test. The structural model was assessed using </w:t>
      </w:r>
      <w:r w:rsidR="00EF4136">
        <w:t>internal model collinearity (VIF &lt; 5), path coefficient</w:t>
      </w:r>
      <w:r>
        <w:t xml:space="preserve"> significance (p &lt; 0.05), coefficient of determination (R²), effect size (f²), and the standardized root mean square residual (SRMR) for overall model fit. Mediating and moderating effects were estimated using a percentile bootstrap with 5,000 subsamples, and post-hoc statistical power was assessed for each hypothesized path. Analyses were performed with SmartPLS 4.0.</w:t>
      </w:r>
    </w:p>
    <w:p w14:paraId="68D26B83" w14:textId="741739F6" w:rsidR="00600535" w:rsidRDefault="00B1699A" w:rsidP="00600535">
      <w:pPr>
        <w:pStyle w:val="CETHeading1"/>
        <w:rPr>
          <w:lang w:val="en-GB"/>
        </w:rPr>
      </w:pPr>
      <w:r w:rsidRPr="00B1699A">
        <w:rPr>
          <w:lang w:val="en-GB"/>
        </w:rPr>
        <w:t>Results</w:t>
      </w:r>
      <w:r w:rsidR="001E2EC0">
        <w:rPr>
          <w:lang w:val="en-GB"/>
        </w:rPr>
        <w:t xml:space="preserve"> and Discussion</w:t>
      </w:r>
    </w:p>
    <w:p w14:paraId="016B4926" w14:textId="2CEF45B6" w:rsidR="00CA524B" w:rsidRDefault="00CA524B" w:rsidP="00CA524B">
      <w:pPr>
        <w:pStyle w:val="CETBodytext"/>
      </w:pPr>
      <w:r>
        <w:t xml:space="preserve">The measurement model demonstrated adequate psychometric properties. Outer loadings ranged from 0.740 to 0.867, all exceeding the 0.708 threshold (Hair et al., 2019). Internal consistency was confirmed by Cronbach's α (0.833–0.874), composite reliability </w:t>
      </w:r>
      <w:proofErr w:type="spellStart"/>
      <w:r w:rsidR="006A6E6D">
        <w:t>ρa</w:t>
      </w:r>
      <w:proofErr w:type="spellEnd"/>
      <w:r w:rsidR="006A6E6D">
        <w:t xml:space="preserve"> (0.839–0.885), and </w:t>
      </w:r>
      <w:proofErr w:type="spellStart"/>
      <w:r w:rsidR="006A6E6D">
        <w:t>ρc</w:t>
      </w:r>
      <w:proofErr w:type="spellEnd"/>
      <w:r w:rsidR="006A6E6D">
        <w:t xml:space="preserve"> (0.882–0.907); average variance extracted (AVE) ranged from 0.591 to 0.662, thereby </w:t>
      </w:r>
      <w:r>
        <w:t>establishing convergent validity. Discriminant validity was supported by the Fornell–Larcker criterion (√AVE values on the diagonal exceeded all inter-construct correlations) and by HTMT ratios below 0.85 for five of six construct pairs. The CBO↔CER pair showed an HTMT of 0.928, exceeding the conservative threshold; however, the Fornell–Larcker criterion was satisfied, indicating conceptually distinct but empirically correlated constructs</w:t>
      </w:r>
      <w:r w:rsidR="006A6E6D">
        <w:t>,</w:t>
      </w:r>
      <w:r>
        <w:t xml:space="preserve"> given that circular orientation and emissions-reduction expectations share a common cognitive origin in the same respondent. The structural model showed no critical collinearity (inner VIF: 1.00–2.83; outer VIF: 1.00–3.02), all below the 5.0 threshold. Model fit was acceptable, with SRMR = 0.105</w:t>
      </w:r>
      <w:r w:rsidR="006A6E6D">
        <w:t xml:space="preserve">, approaching the commonly reported 0.10 upper bound </w:t>
      </w:r>
      <w:r>
        <w:t>for PLS-SEM models (Hair et al., 2019). The model explained substantial variance in all endogenous constructs: R² = 0.342 for BA, R² = 0.582 for BEV, and R² = 0.748 for CER. The structural model results for the seven hypotheses are summarized in Table 1.</w:t>
      </w:r>
    </w:p>
    <w:p w14:paraId="03337F83" w14:textId="77777777" w:rsidR="00CA524B" w:rsidRDefault="00CA524B" w:rsidP="00CA524B">
      <w:pPr>
        <w:pStyle w:val="CETBodytext"/>
      </w:pPr>
    </w:p>
    <w:p w14:paraId="568BC018" w14:textId="77777777" w:rsidR="009971B1" w:rsidRPr="00E47DA9" w:rsidRDefault="009971B1" w:rsidP="009971B1">
      <w:pPr>
        <w:tabs>
          <w:tab w:val="clear" w:pos="7100"/>
        </w:tabs>
        <w:spacing w:beforeAutospacing="1" w:afterAutospacing="1" w:line="240" w:lineRule="auto"/>
        <w:rPr>
          <w:rFonts w:cs="Arial"/>
          <w:szCs w:val="18"/>
          <w:lang w:val="en-US" w:eastAsia="es-PE"/>
        </w:rPr>
      </w:pPr>
      <w:r w:rsidRPr="00E47DA9">
        <w:rPr>
          <w:rFonts w:cs="Arial"/>
          <w:b/>
          <w:bCs/>
          <w:szCs w:val="18"/>
          <w:lang w:val="en-US" w:eastAsia="es-PE"/>
        </w:rPr>
        <w:t>Table 1: Structural model results (7 hypotheses, bootstrap 5,000 subsamples)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
        <w:gridCol w:w="2351"/>
        <w:gridCol w:w="511"/>
        <w:gridCol w:w="511"/>
        <w:gridCol w:w="666"/>
        <w:gridCol w:w="1531"/>
        <w:gridCol w:w="511"/>
        <w:gridCol w:w="1206"/>
      </w:tblGrid>
      <w:tr w:rsidR="009971B1" w:rsidRPr="00EE1834" w14:paraId="23879E71" w14:textId="77777777" w:rsidTr="004969E6">
        <w:trPr>
          <w:tblHeader/>
          <w:tblCellSpacing w:w="15" w:type="dxa"/>
        </w:trPr>
        <w:tc>
          <w:tcPr>
            <w:tcW w:w="0" w:type="auto"/>
            <w:tcBorders>
              <w:top w:val="single" w:sz="12" w:space="0" w:color="00B050"/>
              <w:bottom w:val="single" w:sz="12" w:space="0" w:color="00B050"/>
            </w:tcBorders>
            <w:vAlign w:val="center"/>
            <w:hideMark/>
          </w:tcPr>
          <w:p w14:paraId="45867B53" w14:textId="77777777" w:rsidR="009971B1" w:rsidRPr="00EE1834" w:rsidRDefault="009971B1" w:rsidP="009971B1">
            <w:pPr>
              <w:tabs>
                <w:tab w:val="clear" w:pos="7100"/>
              </w:tabs>
              <w:spacing w:line="240" w:lineRule="auto"/>
              <w:jc w:val="center"/>
              <w:rPr>
                <w:rFonts w:cs="Arial"/>
                <w:b/>
                <w:bCs/>
                <w:szCs w:val="18"/>
                <w:lang w:val="en-US" w:eastAsia="es-PE"/>
              </w:rPr>
            </w:pPr>
            <w:r w:rsidRPr="00EE1834">
              <w:rPr>
                <w:rFonts w:cs="Arial"/>
                <w:b/>
                <w:bCs/>
                <w:szCs w:val="18"/>
                <w:lang w:val="en-US" w:eastAsia="es-PE"/>
              </w:rPr>
              <w:t>Hypothesis</w:t>
            </w:r>
          </w:p>
        </w:tc>
        <w:tc>
          <w:tcPr>
            <w:tcW w:w="0" w:type="auto"/>
            <w:tcBorders>
              <w:top w:val="single" w:sz="12" w:space="0" w:color="00B050"/>
              <w:bottom w:val="single" w:sz="12" w:space="0" w:color="00B050"/>
            </w:tcBorders>
            <w:vAlign w:val="center"/>
            <w:hideMark/>
          </w:tcPr>
          <w:p w14:paraId="5335E702" w14:textId="77777777" w:rsidR="009971B1" w:rsidRPr="00EE1834" w:rsidRDefault="009971B1" w:rsidP="009971B1">
            <w:pPr>
              <w:tabs>
                <w:tab w:val="clear" w:pos="7100"/>
              </w:tabs>
              <w:spacing w:line="240" w:lineRule="auto"/>
              <w:jc w:val="center"/>
              <w:rPr>
                <w:rFonts w:cs="Arial"/>
                <w:b/>
                <w:bCs/>
                <w:szCs w:val="18"/>
                <w:lang w:val="en-US" w:eastAsia="es-PE"/>
              </w:rPr>
            </w:pPr>
            <w:r w:rsidRPr="00EE1834">
              <w:rPr>
                <w:rFonts w:cs="Arial"/>
                <w:b/>
                <w:bCs/>
                <w:szCs w:val="18"/>
                <w:lang w:val="en-US" w:eastAsia="es-PE"/>
              </w:rPr>
              <w:t>Relationship</w:t>
            </w:r>
          </w:p>
        </w:tc>
        <w:tc>
          <w:tcPr>
            <w:tcW w:w="0" w:type="auto"/>
            <w:tcBorders>
              <w:top w:val="single" w:sz="12" w:space="0" w:color="00B050"/>
              <w:bottom w:val="single" w:sz="12" w:space="0" w:color="00B050"/>
            </w:tcBorders>
            <w:vAlign w:val="center"/>
            <w:hideMark/>
          </w:tcPr>
          <w:p w14:paraId="55EC18FC" w14:textId="77777777" w:rsidR="009971B1" w:rsidRPr="00EE1834" w:rsidRDefault="009971B1" w:rsidP="009971B1">
            <w:pPr>
              <w:tabs>
                <w:tab w:val="clear" w:pos="7100"/>
              </w:tabs>
              <w:spacing w:line="240" w:lineRule="auto"/>
              <w:jc w:val="center"/>
              <w:rPr>
                <w:rFonts w:cs="Arial"/>
                <w:b/>
                <w:bCs/>
                <w:szCs w:val="18"/>
                <w:lang w:val="en-US" w:eastAsia="es-PE"/>
              </w:rPr>
            </w:pPr>
            <w:r w:rsidRPr="00EE1834">
              <w:rPr>
                <w:rFonts w:cs="Arial"/>
                <w:b/>
                <w:bCs/>
                <w:szCs w:val="18"/>
                <w:lang w:val="en-US" w:eastAsia="es-PE"/>
              </w:rPr>
              <w:t>β</w:t>
            </w:r>
          </w:p>
        </w:tc>
        <w:tc>
          <w:tcPr>
            <w:tcW w:w="0" w:type="auto"/>
            <w:tcBorders>
              <w:top w:val="single" w:sz="12" w:space="0" w:color="00B050"/>
              <w:bottom w:val="single" w:sz="12" w:space="0" w:color="00B050"/>
            </w:tcBorders>
            <w:vAlign w:val="center"/>
            <w:hideMark/>
          </w:tcPr>
          <w:p w14:paraId="5D874C8B" w14:textId="77777777" w:rsidR="009971B1" w:rsidRPr="00EE1834" w:rsidRDefault="009971B1" w:rsidP="009971B1">
            <w:pPr>
              <w:tabs>
                <w:tab w:val="clear" w:pos="7100"/>
              </w:tabs>
              <w:spacing w:line="240" w:lineRule="auto"/>
              <w:jc w:val="center"/>
              <w:rPr>
                <w:rFonts w:cs="Arial"/>
                <w:b/>
                <w:bCs/>
                <w:szCs w:val="18"/>
                <w:lang w:val="en-US" w:eastAsia="es-PE"/>
              </w:rPr>
            </w:pPr>
            <w:r w:rsidRPr="00EE1834">
              <w:rPr>
                <w:rFonts w:cs="Arial"/>
                <w:b/>
                <w:bCs/>
                <w:szCs w:val="18"/>
                <w:lang w:val="en-US" w:eastAsia="es-PE"/>
              </w:rPr>
              <w:t>t</w:t>
            </w:r>
          </w:p>
        </w:tc>
        <w:tc>
          <w:tcPr>
            <w:tcW w:w="0" w:type="auto"/>
            <w:tcBorders>
              <w:top w:val="single" w:sz="12" w:space="0" w:color="00B050"/>
              <w:bottom w:val="single" w:sz="12" w:space="0" w:color="00B050"/>
            </w:tcBorders>
            <w:vAlign w:val="center"/>
            <w:hideMark/>
          </w:tcPr>
          <w:p w14:paraId="2A9057E6" w14:textId="77777777" w:rsidR="009971B1" w:rsidRPr="00EE1834" w:rsidRDefault="009971B1" w:rsidP="009971B1">
            <w:pPr>
              <w:tabs>
                <w:tab w:val="clear" w:pos="7100"/>
              </w:tabs>
              <w:spacing w:line="240" w:lineRule="auto"/>
              <w:jc w:val="center"/>
              <w:rPr>
                <w:rFonts w:cs="Arial"/>
                <w:b/>
                <w:bCs/>
                <w:szCs w:val="18"/>
                <w:lang w:val="en-US" w:eastAsia="es-PE"/>
              </w:rPr>
            </w:pPr>
            <w:r w:rsidRPr="00EE1834">
              <w:rPr>
                <w:rFonts w:cs="Arial"/>
                <w:b/>
                <w:bCs/>
                <w:szCs w:val="18"/>
                <w:lang w:val="en-US" w:eastAsia="es-PE"/>
              </w:rPr>
              <w:t>p</w:t>
            </w:r>
          </w:p>
        </w:tc>
        <w:tc>
          <w:tcPr>
            <w:tcW w:w="0" w:type="auto"/>
            <w:tcBorders>
              <w:top w:val="single" w:sz="12" w:space="0" w:color="00B050"/>
              <w:bottom w:val="single" w:sz="12" w:space="0" w:color="00B050"/>
            </w:tcBorders>
            <w:vAlign w:val="center"/>
            <w:hideMark/>
          </w:tcPr>
          <w:p w14:paraId="7E88DF81" w14:textId="77777777" w:rsidR="009971B1" w:rsidRPr="00EE1834" w:rsidRDefault="009971B1" w:rsidP="009971B1">
            <w:pPr>
              <w:tabs>
                <w:tab w:val="clear" w:pos="7100"/>
              </w:tabs>
              <w:spacing w:line="240" w:lineRule="auto"/>
              <w:jc w:val="center"/>
              <w:rPr>
                <w:rFonts w:cs="Arial"/>
                <w:b/>
                <w:bCs/>
                <w:szCs w:val="18"/>
                <w:lang w:val="en-US" w:eastAsia="es-PE"/>
              </w:rPr>
            </w:pPr>
            <w:r w:rsidRPr="00EE1834">
              <w:rPr>
                <w:rFonts w:cs="Arial"/>
                <w:b/>
                <w:bCs/>
                <w:szCs w:val="18"/>
                <w:lang w:val="en-US" w:eastAsia="es-PE"/>
              </w:rPr>
              <w:t>CI 95% [2.5; 97.5]</w:t>
            </w:r>
          </w:p>
        </w:tc>
        <w:tc>
          <w:tcPr>
            <w:tcW w:w="0" w:type="auto"/>
            <w:tcBorders>
              <w:top w:val="single" w:sz="12" w:space="0" w:color="00B050"/>
              <w:bottom w:val="single" w:sz="12" w:space="0" w:color="00B050"/>
            </w:tcBorders>
            <w:vAlign w:val="center"/>
            <w:hideMark/>
          </w:tcPr>
          <w:p w14:paraId="63F3469B" w14:textId="77777777" w:rsidR="009971B1" w:rsidRPr="00EE1834" w:rsidRDefault="009971B1" w:rsidP="009971B1">
            <w:pPr>
              <w:tabs>
                <w:tab w:val="clear" w:pos="7100"/>
              </w:tabs>
              <w:spacing w:line="240" w:lineRule="auto"/>
              <w:jc w:val="center"/>
              <w:rPr>
                <w:rFonts w:cs="Arial"/>
                <w:b/>
                <w:bCs/>
                <w:szCs w:val="18"/>
                <w:lang w:val="en-US" w:eastAsia="es-PE"/>
              </w:rPr>
            </w:pPr>
            <w:r w:rsidRPr="00EE1834">
              <w:rPr>
                <w:rFonts w:cs="Arial"/>
                <w:b/>
                <w:bCs/>
                <w:szCs w:val="18"/>
                <w:lang w:val="en-US" w:eastAsia="es-PE"/>
              </w:rPr>
              <w:t>f²</w:t>
            </w:r>
          </w:p>
        </w:tc>
        <w:tc>
          <w:tcPr>
            <w:tcW w:w="0" w:type="auto"/>
            <w:tcBorders>
              <w:top w:val="single" w:sz="12" w:space="0" w:color="00B050"/>
              <w:bottom w:val="single" w:sz="12" w:space="0" w:color="00B050"/>
            </w:tcBorders>
            <w:vAlign w:val="center"/>
            <w:hideMark/>
          </w:tcPr>
          <w:p w14:paraId="06E89422" w14:textId="77777777" w:rsidR="009971B1" w:rsidRPr="00EE1834" w:rsidRDefault="009971B1" w:rsidP="009971B1">
            <w:pPr>
              <w:tabs>
                <w:tab w:val="clear" w:pos="7100"/>
              </w:tabs>
              <w:spacing w:line="240" w:lineRule="auto"/>
              <w:jc w:val="center"/>
              <w:rPr>
                <w:rFonts w:cs="Arial"/>
                <w:b/>
                <w:bCs/>
                <w:szCs w:val="18"/>
                <w:lang w:val="en-US" w:eastAsia="es-PE"/>
              </w:rPr>
            </w:pPr>
            <w:r w:rsidRPr="00EE1834">
              <w:rPr>
                <w:rFonts w:cs="Arial"/>
                <w:b/>
                <w:bCs/>
                <w:szCs w:val="18"/>
                <w:lang w:val="en-US" w:eastAsia="es-PE"/>
              </w:rPr>
              <w:t>Decision</w:t>
            </w:r>
          </w:p>
        </w:tc>
      </w:tr>
      <w:tr w:rsidR="009971B1" w:rsidRPr="00EE1834" w14:paraId="26CC2ED7" w14:textId="77777777" w:rsidTr="009971B1">
        <w:trPr>
          <w:tblCellSpacing w:w="15" w:type="dxa"/>
        </w:trPr>
        <w:tc>
          <w:tcPr>
            <w:tcW w:w="0" w:type="auto"/>
            <w:vAlign w:val="center"/>
            <w:hideMark/>
          </w:tcPr>
          <w:p w14:paraId="24D61079"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H1</w:t>
            </w:r>
          </w:p>
        </w:tc>
        <w:tc>
          <w:tcPr>
            <w:tcW w:w="0" w:type="auto"/>
            <w:vAlign w:val="center"/>
            <w:hideMark/>
          </w:tcPr>
          <w:p w14:paraId="4342A702"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BA → BEV</w:t>
            </w:r>
          </w:p>
        </w:tc>
        <w:tc>
          <w:tcPr>
            <w:tcW w:w="0" w:type="auto"/>
            <w:vAlign w:val="center"/>
            <w:hideMark/>
          </w:tcPr>
          <w:p w14:paraId="6F0DC247"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0.763</w:t>
            </w:r>
          </w:p>
        </w:tc>
        <w:tc>
          <w:tcPr>
            <w:tcW w:w="0" w:type="auto"/>
            <w:vAlign w:val="center"/>
            <w:hideMark/>
          </w:tcPr>
          <w:p w14:paraId="7DE313BA"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13.42</w:t>
            </w:r>
          </w:p>
        </w:tc>
        <w:tc>
          <w:tcPr>
            <w:tcW w:w="0" w:type="auto"/>
            <w:vAlign w:val="center"/>
            <w:hideMark/>
          </w:tcPr>
          <w:p w14:paraId="0B78C32E"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&lt; 0.001</w:t>
            </w:r>
          </w:p>
        </w:tc>
        <w:tc>
          <w:tcPr>
            <w:tcW w:w="0" w:type="auto"/>
            <w:vAlign w:val="center"/>
            <w:hideMark/>
          </w:tcPr>
          <w:p w14:paraId="32E471E3"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[0.644; 0.865]</w:t>
            </w:r>
          </w:p>
        </w:tc>
        <w:tc>
          <w:tcPr>
            <w:tcW w:w="0" w:type="auto"/>
            <w:vAlign w:val="center"/>
            <w:hideMark/>
          </w:tcPr>
          <w:p w14:paraId="00F1D175"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1.391</w:t>
            </w:r>
          </w:p>
        </w:tc>
        <w:tc>
          <w:tcPr>
            <w:tcW w:w="0" w:type="auto"/>
            <w:vAlign w:val="center"/>
            <w:hideMark/>
          </w:tcPr>
          <w:p w14:paraId="57FD2DA0"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Supported</w:t>
            </w:r>
          </w:p>
        </w:tc>
      </w:tr>
      <w:tr w:rsidR="009971B1" w:rsidRPr="00EE1834" w14:paraId="63FE7C82" w14:textId="77777777" w:rsidTr="009971B1">
        <w:trPr>
          <w:tblCellSpacing w:w="15" w:type="dxa"/>
        </w:trPr>
        <w:tc>
          <w:tcPr>
            <w:tcW w:w="0" w:type="auto"/>
            <w:vAlign w:val="center"/>
            <w:hideMark/>
          </w:tcPr>
          <w:p w14:paraId="022DB9A3"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H2</w:t>
            </w:r>
          </w:p>
        </w:tc>
        <w:tc>
          <w:tcPr>
            <w:tcW w:w="0" w:type="auto"/>
            <w:vAlign w:val="center"/>
            <w:hideMark/>
          </w:tcPr>
          <w:p w14:paraId="2F37594A"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BEV → CER</w:t>
            </w:r>
          </w:p>
        </w:tc>
        <w:tc>
          <w:tcPr>
            <w:tcW w:w="0" w:type="auto"/>
            <w:vAlign w:val="center"/>
            <w:hideMark/>
          </w:tcPr>
          <w:p w14:paraId="796932C4"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0.196</w:t>
            </w:r>
          </w:p>
        </w:tc>
        <w:tc>
          <w:tcPr>
            <w:tcW w:w="0" w:type="auto"/>
            <w:vAlign w:val="center"/>
            <w:hideMark/>
          </w:tcPr>
          <w:p w14:paraId="53CD739A"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1.72</w:t>
            </w:r>
          </w:p>
        </w:tc>
        <w:tc>
          <w:tcPr>
            <w:tcW w:w="0" w:type="auto"/>
            <w:vAlign w:val="center"/>
            <w:hideMark/>
          </w:tcPr>
          <w:p w14:paraId="0BD8B217"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0.085</w:t>
            </w:r>
          </w:p>
        </w:tc>
        <w:tc>
          <w:tcPr>
            <w:tcW w:w="0" w:type="auto"/>
            <w:vAlign w:val="center"/>
            <w:hideMark/>
          </w:tcPr>
          <w:p w14:paraId="1334D95A"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[–0.014; 0.436]</w:t>
            </w:r>
          </w:p>
        </w:tc>
        <w:tc>
          <w:tcPr>
            <w:tcW w:w="0" w:type="auto"/>
            <w:vAlign w:val="center"/>
            <w:hideMark/>
          </w:tcPr>
          <w:p w14:paraId="6D82FFA0"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0.054</w:t>
            </w:r>
          </w:p>
        </w:tc>
        <w:tc>
          <w:tcPr>
            <w:tcW w:w="0" w:type="auto"/>
            <w:vAlign w:val="center"/>
            <w:hideMark/>
          </w:tcPr>
          <w:p w14:paraId="5595843A"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Not supported</w:t>
            </w:r>
          </w:p>
        </w:tc>
      </w:tr>
      <w:tr w:rsidR="009971B1" w:rsidRPr="00EE1834" w14:paraId="2BA47575" w14:textId="77777777" w:rsidTr="009971B1">
        <w:trPr>
          <w:tblCellSpacing w:w="15" w:type="dxa"/>
        </w:trPr>
        <w:tc>
          <w:tcPr>
            <w:tcW w:w="0" w:type="auto"/>
            <w:vAlign w:val="center"/>
            <w:hideMark/>
          </w:tcPr>
          <w:p w14:paraId="34FB8675"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H3</w:t>
            </w:r>
          </w:p>
        </w:tc>
        <w:tc>
          <w:tcPr>
            <w:tcW w:w="0" w:type="auto"/>
            <w:vAlign w:val="center"/>
            <w:hideMark/>
          </w:tcPr>
          <w:p w14:paraId="3061FA51"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BA → CER</w:t>
            </w:r>
          </w:p>
        </w:tc>
        <w:tc>
          <w:tcPr>
            <w:tcW w:w="0" w:type="auto"/>
            <w:vAlign w:val="center"/>
            <w:hideMark/>
          </w:tcPr>
          <w:p w14:paraId="39CCB7AA"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0.086</w:t>
            </w:r>
          </w:p>
        </w:tc>
        <w:tc>
          <w:tcPr>
            <w:tcW w:w="0" w:type="auto"/>
            <w:vAlign w:val="center"/>
            <w:hideMark/>
          </w:tcPr>
          <w:p w14:paraId="7DAEBE1C"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0.89</w:t>
            </w:r>
          </w:p>
        </w:tc>
        <w:tc>
          <w:tcPr>
            <w:tcW w:w="0" w:type="auto"/>
            <w:vAlign w:val="center"/>
            <w:hideMark/>
          </w:tcPr>
          <w:p w14:paraId="33C031B5"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0.374</w:t>
            </w:r>
          </w:p>
        </w:tc>
        <w:tc>
          <w:tcPr>
            <w:tcW w:w="0" w:type="auto"/>
            <w:vAlign w:val="center"/>
            <w:hideMark/>
          </w:tcPr>
          <w:p w14:paraId="6F3FB834"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[–0.083; 0.301]</w:t>
            </w:r>
          </w:p>
        </w:tc>
        <w:tc>
          <w:tcPr>
            <w:tcW w:w="0" w:type="auto"/>
            <w:vAlign w:val="center"/>
            <w:hideMark/>
          </w:tcPr>
          <w:p w14:paraId="7A8A9FB8"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0.012</w:t>
            </w:r>
          </w:p>
        </w:tc>
        <w:tc>
          <w:tcPr>
            <w:tcW w:w="0" w:type="auto"/>
            <w:vAlign w:val="center"/>
            <w:hideMark/>
          </w:tcPr>
          <w:p w14:paraId="331E475C"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Not supported</w:t>
            </w:r>
          </w:p>
        </w:tc>
      </w:tr>
      <w:tr w:rsidR="009971B1" w:rsidRPr="00EE1834" w14:paraId="6B6DA107" w14:textId="77777777" w:rsidTr="009971B1">
        <w:trPr>
          <w:tblCellSpacing w:w="15" w:type="dxa"/>
        </w:trPr>
        <w:tc>
          <w:tcPr>
            <w:tcW w:w="0" w:type="auto"/>
            <w:vAlign w:val="center"/>
            <w:hideMark/>
          </w:tcPr>
          <w:p w14:paraId="5F3AC598"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H4</w:t>
            </w:r>
          </w:p>
        </w:tc>
        <w:tc>
          <w:tcPr>
            <w:tcW w:w="0" w:type="auto"/>
            <w:vAlign w:val="center"/>
            <w:hideMark/>
          </w:tcPr>
          <w:p w14:paraId="6CBB4BFB"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CBO → BA</w:t>
            </w:r>
          </w:p>
        </w:tc>
        <w:tc>
          <w:tcPr>
            <w:tcW w:w="0" w:type="auto"/>
            <w:vAlign w:val="center"/>
            <w:hideMark/>
          </w:tcPr>
          <w:p w14:paraId="685ECE5F"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0.585</w:t>
            </w:r>
          </w:p>
        </w:tc>
        <w:tc>
          <w:tcPr>
            <w:tcW w:w="0" w:type="auto"/>
            <w:vAlign w:val="center"/>
            <w:hideMark/>
          </w:tcPr>
          <w:p w14:paraId="18200BD3"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6.13</w:t>
            </w:r>
          </w:p>
        </w:tc>
        <w:tc>
          <w:tcPr>
            <w:tcW w:w="0" w:type="auto"/>
            <w:vAlign w:val="center"/>
            <w:hideMark/>
          </w:tcPr>
          <w:p w14:paraId="2072540D"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&lt; 0.001</w:t>
            </w:r>
          </w:p>
        </w:tc>
        <w:tc>
          <w:tcPr>
            <w:tcW w:w="0" w:type="auto"/>
            <w:vAlign w:val="center"/>
            <w:hideMark/>
          </w:tcPr>
          <w:p w14:paraId="5D0F4B9D"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[0.405; 0.775]</w:t>
            </w:r>
          </w:p>
        </w:tc>
        <w:tc>
          <w:tcPr>
            <w:tcW w:w="0" w:type="auto"/>
            <w:vAlign w:val="center"/>
            <w:hideMark/>
          </w:tcPr>
          <w:p w14:paraId="2ED4BE85"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0.520</w:t>
            </w:r>
          </w:p>
        </w:tc>
        <w:tc>
          <w:tcPr>
            <w:tcW w:w="0" w:type="auto"/>
            <w:vAlign w:val="center"/>
            <w:hideMark/>
          </w:tcPr>
          <w:p w14:paraId="329DD127"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Supported</w:t>
            </w:r>
          </w:p>
        </w:tc>
      </w:tr>
      <w:tr w:rsidR="009971B1" w:rsidRPr="00EE1834" w14:paraId="54E26669" w14:textId="77777777" w:rsidTr="009971B1">
        <w:trPr>
          <w:tblCellSpacing w:w="15" w:type="dxa"/>
        </w:trPr>
        <w:tc>
          <w:tcPr>
            <w:tcW w:w="0" w:type="auto"/>
            <w:vAlign w:val="center"/>
            <w:hideMark/>
          </w:tcPr>
          <w:p w14:paraId="67C77DE8"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H5</w:t>
            </w:r>
          </w:p>
        </w:tc>
        <w:tc>
          <w:tcPr>
            <w:tcW w:w="0" w:type="auto"/>
            <w:vAlign w:val="center"/>
            <w:hideMark/>
          </w:tcPr>
          <w:p w14:paraId="6B360A91"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CBO × BA → CER</w:t>
            </w:r>
          </w:p>
        </w:tc>
        <w:tc>
          <w:tcPr>
            <w:tcW w:w="0" w:type="auto"/>
            <w:vAlign w:val="center"/>
            <w:hideMark/>
          </w:tcPr>
          <w:p w14:paraId="13403BFD"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0.026</w:t>
            </w:r>
          </w:p>
        </w:tc>
        <w:tc>
          <w:tcPr>
            <w:tcW w:w="0" w:type="auto"/>
            <w:vAlign w:val="center"/>
            <w:hideMark/>
          </w:tcPr>
          <w:p w14:paraId="224A0E30"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0.41</w:t>
            </w:r>
          </w:p>
        </w:tc>
        <w:tc>
          <w:tcPr>
            <w:tcW w:w="0" w:type="auto"/>
            <w:vAlign w:val="center"/>
            <w:hideMark/>
          </w:tcPr>
          <w:p w14:paraId="0E0F0089"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0.680</w:t>
            </w:r>
          </w:p>
        </w:tc>
        <w:tc>
          <w:tcPr>
            <w:tcW w:w="0" w:type="auto"/>
            <w:vAlign w:val="center"/>
            <w:hideMark/>
          </w:tcPr>
          <w:p w14:paraId="70944AFA"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[–0.113; 0.133]</w:t>
            </w:r>
          </w:p>
        </w:tc>
        <w:tc>
          <w:tcPr>
            <w:tcW w:w="0" w:type="auto"/>
            <w:vAlign w:val="center"/>
            <w:hideMark/>
          </w:tcPr>
          <w:p w14:paraId="040D5667"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0.002</w:t>
            </w:r>
          </w:p>
        </w:tc>
        <w:tc>
          <w:tcPr>
            <w:tcW w:w="0" w:type="auto"/>
            <w:vAlign w:val="center"/>
            <w:hideMark/>
          </w:tcPr>
          <w:p w14:paraId="0EB87162"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Not supported</w:t>
            </w:r>
          </w:p>
        </w:tc>
      </w:tr>
      <w:tr w:rsidR="009971B1" w:rsidRPr="00EE1834" w14:paraId="5554E51D" w14:textId="77777777" w:rsidTr="009971B1">
        <w:trPr>
          <w:tblCellSpacing w:w="15" w:type="dxa"/>
        </w:trPr>
        <w:tc>
          <w:tcPr>
            <w:tcW w:w="0" w:type="auto"/>
            <w:vAlign w:val="center"/>
            <w:hideMark/>
          </w:tcPr>
          <w:p w14:paraId="0C7FB1A0"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H6</w:t>
            </w:r>
          </w:p>
        </w:tc>
        <w:tc>
          <w:tcPr>
            <w:tcW w:w="0" w:type="auto"/>
            <w:vAlign w:val="center"/>
            <w:hideMark/>
          </w:tcPr>
          <w:p w14:paraId="19CDF4AF"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BA → BEV → CER (indirect)</w:t>
            </w:r>
          </w:p>
        </w:tc>
        <w:tc>
          <w:tcPr>
            <w:tcW w:w="0" w:type="auto"/>
            <w:vAlign w:val="center"/>
            <w:hideMark/>
          </w:tcPr>
          <w:p w14:paraId="0D30A1D6"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0.150</w:t>
            </w:r>
          </w:p>
        </w:tc>
        <w:tc>
          <w:tcPr>
            <w:tcW w:w="0" w:type="auto"/>
            <w:vAlign w:val="center"/>
            <w:hideMark/>
          </w:tcPr>
          <w:p w14:paraId="1DBD546E"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1.75</w:t>
            </w:r>
          </w:p>
        </w:tc>
        <w:tc>
          <w:tcPr>
            <w:tcW w:w="0" w:type="auto"/>
            <w:vAlign w:val="center"/>
            <w:hideMark/>
          </w:tcPr>
          <w:p w14:paraId="035CB098"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0.080</w:t>
            </w:r>
          </w:p>
        </w:tc>
        <w:tc>
          <w:tcPr>
            <w:tcW w:w="0" w:type="auto"/>
            <w:vAlign w:val="center"/>
            <w:hideMark/>
          </w:tcPr>
          <w:p w14:paraId="15EF6647"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[–0.011; 0.329]</w:t>
            </w:r>
          </w:p>
        </w:tc>
        <w:tc>
          <w:tcPr>
            <w:tcW w:w="0" w:type="auto"/>
            <w:vAlign w:val="center"/>
            <w:hideMark/>
          </w:tcPr>
          <w:p w14:paraId="1C3367F8"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w:t>
            </w:r>
          </w:p>
        </w:tc>
        <w:tc>
          <w:tcPr>
            <w:tcW w:w="0" w:type="auto"/>
            <w:vAlign w:val="center"/>
            <w:hideMark/>
          </w:tcPr>
          <w:p w14:paraId="7B285514"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Not supported</w:t>
            </w:r>
          </w:p>
        </w:tc>
      </w:tr>
      <w:tr w:rsidR="009971B1" w:rsidRPr="00EE1834" w14:paraId="3C979A8B" w14:textId="77777777" w:rsidTr="004969E6">
        <w:trPr>
          <w:tblCellSpacing w:w="15" w:type="dxa"/>
        </w:trPr>
        <w:tc>
          <w:tcPr>
            <w:tcW w:w="0" w:type="auto"/>
            <w:tcBorders>
              <w:bottom w:val="single" w:sz="4" w:space="0" w:color="00B050"/>
            </w:tcBorders>
            <w:vAlign w:val="center"/>
            <w:hideMark/>
          </w:tcPr>
          <w:p w14:paraId="34E66553"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H7</w:t>
            </w:r>
          </w:p>
        </w:tc>
        <w:tc>
          <w:tcPr>
            <w:tcW w:w="0" w:type="auto"/>
            <w:tcBorders>
              <w:bottom w:val="single" w:sz="4" w:space="0" w:color="00B050"/>
            </w:tcBorders>
            <w:vAlign w:val="center"/>
            <w:hideMark/>
          </w:tcPr>
          <w:p w14:paraId="05C9E830"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CBO → CER</w:t>
            </w:r>
          </w:p>
        </w:tc>
        <w:tc>
          <w:tcPr>
            <w:tcW w:w="0" w:type="auto"/>
            <w:tcBorders>
              <w:bottom w:val="single" w:sz="4" w:space="0" w:color="00B050"/>
            </w:tcBorders>
            <w:vAlign w:val="center"/>
            <w:hideMark/>
          </w:tcPr>
          <w:p w14:paraId="2DDD3468"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0.662</w:t>
            </w:r>
          </w:p>
        </w:tc>
        <w:tc>
          <w:tcPr>
            <w:tcW w:w="0" w:type="auto"/>
            <w:tcBorders>
              <w:bottom w:val="single" w:sz="4" w:space="0" w:color="00B050"/>
            </w:tcBorders>
            <w:vAlign w:val="center"/>
            <w:hideMark/>
          </w:tcPr>
          <w:p w14:paraId="1A3051C0"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6.42</w:t>
            </w:r>
          </w:p>
        </w:tc>
        <w:tc>
          <w:tcPr>
            <w:tcW w:w="0" w:type="auto"/>
            <w:tcBorders>
              <w:bottom w:val="single" w:sz="4" w:space="0" w:color="00B050"/>
            </w:tcBorders>
            <w:vAlign w:val="center"/>
            <w:hideMark/>
          </w:tcPr>
          <w:p w14:paraId="4ABCEFAB"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&lt; 0.001</w:t>
            </w:r>
          </w:p>
        </w:tc>
        <w:tc>
          <w:tcPr>
            <w:tcW w:w="0" w:type="auto"/>
            <w:tcBorders>
              <w:bottom w:val="single" w:sz="4" w:space="0" w:color="00B050"/>
            </w:tcBorders>
            <w:vAlign w:val="center"/>
            <w:hideMark/>
          </w:tcPr>
          <w:p w14:paraId="4D434072"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[0.430; 0.829]</w:t>
            </w:r>
          </w:p>
        </w:tc>
        <w:tc>
          <w:tcPr>
            <w:tcW w:w="0" w:type="auto"/>
            <w:tcBorders>
              <w:bottom w:val="single" w:sz="4" w:space="0" w:color="00B050"/>
            </w:tcBorders>
            <w:vAlign w:val="center"/>
            <w:hideMark/>
          </w:tcPr>
          <w:p w14:paraId="280C40A3"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1.002</w:t>
            </w:r>
          </w:p>
        </w:tc>
        <w:tc>
          <w:tcPr>
            <w:tcW w:w="0" w:type="auto"/>
            <w:tcBorders>
              <w:bottom w:val="single" w:sz="4" w:space="0" w:color="00B050"/>
            </w:tcBorders>
            <w:vAlign w:val="center"/>
            <w:hideMark/>
          </w:tcPr>
          <w:p w14:paraId="79188447" w14:textId="77777777" w:rsidR="009971B1" w:rsidRPr="00EE1834" w:rsidRDefault="009971B1" w:rsidP="009971B1">
            <w:pPr>
              <w:tabs>
                <w:tab w:val="clear" w:pos="7100"/>
              </w:tabs>
              <w:spacing w:line="240" w:lineRule="auto"/>
              <w:jc w:val="center"/>
              <w:rPr>
                <w:rFonts w:cs="Arial"/>
                <w:szCs w:val="18"/>
                <w:lang w:val="en-US" w:eastAsia="es-PE"/>
              </w:rPr>
            </w:pPr>
            <w:r w:rsidRPr="00EE1834">
              <w:rPr>
                <w:rFonts w:cs="Arial"/>
                <w:szCs w:val="18"/>
                <w:lang w:val="en-US" w:eastAsia="es-PE"/>
              </w:rPr>
              <w:t>Supported</w:t>
            </w:r>
          </w:p>
        </w:tc>
      </w:tr>
    </w:tbl>
    <w:p w14:paraId="0648FF48" w14:textId="5D79833A" w:rsidR="00CA524B" w:rsidRPr="00937EA0" w:rsidRDefault="00937EA0" w:rsidP="00CA524B">
      <w:pPr>
        <w:pStyle w:val="CETBodytext"/>
        <w:rPr>
          <w:i/>
          <w:iCs/>
        </w:rPr>
      </w:pPr>
      <w:r w:rsidRPr="00937EA0">
        <w:rPr>
          <w:i/>
          <w:iCs/>
        </w:rPr>
        <w:t>Note. β = standardized path coefficient; t = t-statistic from bootstrap with 5,000 subsamples; CI = percentile confidence interval; f² = Cohen's effect size (0.02 small, 0.15 medium, 0.35 large). H6 is an indirect effect; f² is not reported for indirect paths.</w:t>
      </w:r>
    </w:p>
    <w:p w14:paraId="0A6783D2" w14:textId="408E4E6A" w:rsidR="00CA524B" w:rsidRDefault="00CA524B" w:rsidP="00730BA5">
      <w:pPr>
        <w:tabs>
          <w:tab w:val="clear" w:pos="7100"/>
        </w:tabs>
        <w:spacing w:line="276" w:lineRule="auto"/>
      </w:pPr>
    </w:p>
    <w:p w14:paraId="2E6313B2" w14:textId="03654390" w:rsidR="00823688" w:rsidRDefault="00823688" w:rsidP="00730BA5">
      <w:pPr>
        <w:tabs>
          <w:tab w:val="clear" w:pos="7100"/>
        </w:tabs>
        <w:spacing w:line="276" w:lineRule="auto"/>
      </w:pPr>
      <w:r>
        <w:t>The confirmation of H1 (BA → BEV), H4 (CBO → BA)</w:t>
      </w:r>
      <w:r w:rsidR="00EE1834">
        <w:t>,</w:t>
      </w:r>
      <w:r>
        <w:t xml:space="preserve"> and H7 (CBO → CER) establishes a pattern consistent with the literature on renewable-technology adoption in organizational contexts. The robust effect of circular bioeconomy orientation on technological acceptance aligns with Näyhä (2019), who identified organizational culture as an essential intangible resource for the transition to circular models in the bioenergy sector, and with Muscat et al. (2021), who argued that organizations drive change through value-chain interventions and access to information on circular practices. The BA → BEV relationship confirms that </w:t>
      </w:r>
      <w:r w:rsidR="00EE1834">
        <w:t>favorable</w:t>
      </w:r>
      <w:r>
        <w:t xml:space="preserve"> perceptions of hybrid microgrids improve economic-viability assessments, consistent with de Jesus and Mendonça (2018), who showed that perceived economic barriers decrease when organizational predisposition towards eco-innovations is present. The direct effect of CBO on CER (H7) is the strongest standardized predictor of environmental expectations in the model (β = 0.662, f² = 1.002), suggesting that the cognitive framing of circular principles shapes emissions-reduction expectations directly, without requiring the economic-viability intermediary step. </w:t>
      </w:r>
      <w:r>
        <w:lastRenderedPageBreak/>
        <w:t xml:space="preserve">This finding reinforces the role of circular orientation as a structural enabler that operates </w:t>
      </w:r>
      <w:r w:rsidR="00711AEA">
        <w:t>across both technological and environmental evaluations</w:t>
      </w:r>
      <w:r>
        <w:t>.</w:t>
      </w:r>
    </w:p>
    <w:p w14:paraId="08517428" w14:textId="5961B34D" w:rsidR="00823688" w:rsidRDefault="00823688" w:rsidP="00730BA5">
      <w:pPr>
        <w:tabs>
          <w:tab w:val="clear" w:pos="7100"/>
        </w:tabs>
        <w:spacing w:line="276" w:lineRule="auto"/>
      </w:pPr>
      <w:r>
        <w:t xml:space="preserve">The non-significance of H2, H3, H5, and H6 exposes a decoupling between pre-implementation economic and environmental perceptions. Two complementary mechanisms explain this pattern: first, the temporal lag documented by Nesta et al. (2014) as a structural feature of renewable-energy innovation, whereby environmental effects emerge over horizons that exceed decision-makers' ex-ante perceptions; and second, the operational dependence of quantifiable emissions reductions on stable operating periods (Calise et al., 2021). At the systemic level, emission reductions </w:t>
      </w:r>
      <w:r w:rsidR="00711AEA">
        <w:t xml:space="preserve">are emergent properties of the operational energy infrastructure rather than </w:t>
      </w:r>
      <w:r>
        <w:t xml:space="preserve">cognitive predictors (Hafiz et al., 2019). Additionally, </w:t>
      </w:r>
      <w:r w:rsidR="000A7A97">
        <w:t xml:space="preserve">post hoc power analysis indicates that at n = 70, the power to detect small-to-moderate effects (such as H2, H3, and H5) is </w:t>
      </w:r>
      <w:r>
        <w:t>limited, which should be considered when interpreting the non-significant paths.</w:t>
      </w:r>
    </w:p>
    <w:p w14:paraId="6921705C" w14:textId="63046DAE" w:rsidR="00823688" w:rsidRPr="00823688" w:rsidRDefault="00823688" w:rsidP="00823688">
      <w:pPr>
        <w:tabs>
          <w:tab w:val="clear" w:pos="7100"/>
        </w:tabs>
        <w:spacing w:line="276" w:lineRule="auto"/>
        <w:rPr>
          <w:b/>
          <w:bCs/>
        </w:rPr>
      </w:pPr>
      <w:r w:rsidRPr="00823688">
        <w:rPr>
          <w:b/>
          <w:bCs/>
        </w:rPr>
        <w:t>Practical and policy implications</w:t>
      </w:r>
    </w:p>
    <w:p w14:paraId="3BF0A944" w14:textId="55968A3F" w:rsidR="00823688" w:rsidRDefault="00823688" w:rsidP="00823688">
      <w:pPr>
        <w:tabs>
          <w:tab w:val="clear" w:pos="7100"/>
        </w:tabs>
        <w:spacing w:line="276" w:lineRule="auto"/>
      </w:pPr>
      <w:r>
        <w:t xml:space="preserve">These findings translate into three actionable insights for the planning of decentralized bioenergy systems. First, demand-side interventions should prioritize </w:t>
      </w:r>
      <w:r w:rsidR="000A7A97">
        <w:t xml:space="preserve">strengthening circular bioeconomy capacities in agribusinesses—managerial training, waste-audit programs, and circular-practice certification—because CBO operates simultaneously as the upstream enabler of technological acceptance (H4) and </w:t>
      </w:r>
      <w:r>
        <w:t xml:space="preserve">the strongest direct predictor of environmental expectations (H7). Second, financial instruments should be structured around demonstrated economic viability (revolving funds, guarantee schemes, pay-for-performance contracts) rather than relying on ex-ante environmental expectations, since perceived economic viability does not predict </w:t>
      </w:r>
      <w:r w:rsidR="000A7A97">
        <w:t xml:space="preserve">perceptions of emissions reductions </w:t>
      </w:r>
      <w:r>
        <w:t xml:space="preserve">at the pre-implementation stage. Third, emissions reductions should be evaluated </w:t>
      </w:r>
      <w:r w:rsidR="000A7A97">
        <w:t>using post-implementation performance indicators for operational microgrids (monitored methane capture, displaced grid electricity, avoided waste-transport emissions) rather than adoption intentions, to inform</w:t>
      </w:r>
      <w:r>
        <w:t xml:space="preserve"> results-based policy design for the energy transition in agro-industrial contexts.</w:t>
      </w:r>
    </w:p>
    <w:p w14:paraId="5BE07A74" w14:textId="36CCAE2B" w:rsidR="00527106" w:rsidRDefault="00C84307" w:rsidP="00B550F0">
      <w:pPr>
        <w:pStyle w:val="CETHeading1"/>
        <w:tabs>
          <w:tab w:val="num" w:pos="360"/>
        </w:tabs>
        <w:rPr>
          <w:lang w:val="en-GB"/>
        </w:rPr>
      </w:pPr>
      <w:r w:rsidRPr="00C84307">
        <w:rPr>
          <w:lang w:val="en-GB"/>
        </w:rPr>
        <w:t>Conclusions</w:t>
      </w:r>
    </w:p>
    <w:p w14:paraId="58BC5CE0" w14:textId="7BA409E1" w:rsidR="009B4396" w:rsidRDefault="009B4396" w:rsidP="00704974">
      <w:pPr>
        <w:spacing w:after="120" w:line="228" w:lineRule="auto"/>
        <w:rPr>
          <w:rFonts w:eastAsia="Arial" w:cs="Arial"/>
          <w:szCs w:val="18"/>
          <w:lang w:val="en-US"/>
        </w:rPr>
      </w:pPr>
      <w:r>
        <w:t>This study shows that the adoption of hybrid biogas–solar microgrids in agribusinesses follows distinct causal pathways for economic and environmental outcomes. Circular bioeconomy orientation operates as a dual enabler, predicting both business acceptance (β = 0.585, p &lt; 0.001) and perceived emission reductions directly (β = 0.662, p &lt; 0.001), while acceptance, in turn, robustly predicts perceived economic viability (β = 0.763, p &lt; 0.001, f² = 1.391). In contrast, neither acceptance nor economic viability directly predicts emission reductions, and the indirect mediation path is non-significant, indicating that pre-implementation economic and environmental perceptions are decoupled. Methodologically, PLS-SEM captures organizational-perceptual relationships that conventional techno-economic analyses do not address. The cross-sectional design, single-region scope, and sample size (n = 70) limit the detection of small effects and the tracking of post-implementation dynamics; future research should incorporate longitudinal designs comparing ex-ante perceptions with operational performance indicators, multi-group analyses across sectors and enterprise scales, and the integration of public-policy and green-finance variables.</w:t>
      </w:r>
    </w:p>
    <w:p w14:paraId="4F1327F8" w14:textId="77777777" w:rsidR="00600535" w:rsidRPr="00B57B36" w:rsidRDefault="00600535" w:rsidP="00600535">
      <w:pPr>
        <w:pStyle w:val="CETReference"/>
      </w:pPr>
      <w:r w:rsidRPr="00B57B36">
        <w:t>References</w:t>
      </w:r>
    </w:p>
    <w:p w14:paraId="69B494D4" w14:textId="1FCE08DB" w:rsidR="00DC2273" w:rsidRDefault="00DC2273" w:rsidP="00DC2273">
      <w:pPr>
        <w:pStyle w:val="CETReferencetext"/>
      </w:pPr>
      <w:r>
        <w:t xml:space="preserve">Anvari S., Medina A., </w:t>
      </w:r>
      <w:proofErr w:type="spellStart"/>
      <w:r>
        <w:t>Merchán</w:t>
      </w:r>
      <w:proofErr w:type="spellEnd"/>
      <w:r>
        <w:t xml:space="preserve"> R</w:t>
      </w:r>
      <w:r w:rsidR="00AA58A8">
        <w:t>.</w:t>
      </w:r>
      <w:r>
        <w:t>P</w:t>
      </w:r>
      <w:r w:rsidR="006B3A7B">
        <w:t>.</w:t>
      </w:r>
      <w:r>
        <w:t>, Calvo Hernández A., 2025, Sustainable solar/biomass/energy storage hybridization for enhanced renewable energy integration in multi-generation systems: A comprehensive review, Renewable and Sustainable Energy Reviews, 223, 115997</w:t>
      </w:r>
    </w:p>
    <w:p w14:paraId="4FBE88EB" w14:textId="77777777" w:rsidR="00DC2273" w:rsidRDefault="00DC2273" w:rsidP="00DC2273">
      <w:pPr>
        <w:pStyle w:val="CETReferencetext"/>
      </w:pPr>
      <w:r>
        <w:t xml:space="preserve">Bendig D., </w:t>
      </w:r>
      <w:proofErr w:type="spellStart"/>
      <w:r>
        <w:t>Brüss</w:t>
      </w:r>
      <w:proofErr w:type="spellEnd"/>
      <w:r>
        <w:t xml:space="preserve"> L., Degen F., 2025, Entrepreneurship in the renewable energy sector: A systematic literature review of types, characteristics, and sustainability impacts, Renewable and Sustainable Energy Reviews, 212, 115337.</w:t>
      </w:r>
    </w:p>
    <w:p w14:paraId="5B977B88" w14:textId="7D86040E" w:rsidR="00DC2273" w:rsidRDefault="00DC2273" w:rsidP="00DC2273">
      <w:pPr>
        <w:pStyle w:val="CETReferencetext"/>
      </w:pPr>
      <w:r>
        <w:t>Buller L</w:t>
      </w:r>
      <w:r w:rsidR="007D21E3">
        <w:t>.</w:t>
      </w:r>
      <w:r>
        <w:t>S</w:t>
      </w:r>
      <w:r w:rsidR="006B3A7B">
        <w:t>.</w:t>
      </w:r>
      <w:r>
        <w:t xml:space="preserve">, </w:t>
      </w:r>
      <w:proofErr w:type="spellStart"/>
      <w:r>
        <w:t>Sganzerla</w:t>
      </w:r>
      <w:proofErr w:type="spellEnd"/>
      <w:r>
        <w:t xml:space="preserve"> W</w:t>
      </w:r>
      <w:r w:rsidR="007D21E3">
        <w:t>.</w:t>
      </w:r>
      <w:r>
        <w:t>G</w:t>
      </w:r>
      <w:r w:rsidR="006B3A7B">
        <w:t>.</w:t>
      </w:r>
      <w:r>
        <w:t>, Berni M</w:t>
      </w:r>
      <w:r w:rsidR="007D21E3">
        <w:t>.</w:t>
      </w:r>
      <w:r>
        <w:t>D</w:t>
      </w:r>
      <w:r w:rsidR="006B3A7B">
        <w:t>.</w:t>
      </w:r>
      <w:r>
        <w:t>, Brignoli S</w:t>
      </w:r>
      <w:r w:rsidR="007D21E3">
        <w:t>.</w:t>
      </w:r>
      <w:r>
        <w:t>C</w:t>
      </w:r>
      <w:r w:rsidR="006B3A7B">
        <w:t>.</w:t>
      </w:r>
      <w:r>
        <w:t>, Forster-Carneiro T., 2022, Design and techno-economic analysis of a hybrid system for energy supply in a wastewater treatment plant: A decentralized energy strategy, Journal of Environmental Management, 305, 114389.</w:t>
      </w:r>
    </w:p>
    <w:p w14:paraId="5D6AFA47" w14:textId="28BC1E87" w:rsidR="00DC2273" w:rsidRDefault="00DC2273" w:rsidP="00DC2273">
      <w:pPr>
        <w:pStyle w:val="CETReferencetext"/>
      </w:pPr>
      <w:r>
        <w:t>Calise F., Cappiello F</w:t>
      </w:r>
      <w:r w:rsidR="007D21E3">
        <w:t>.</w:t>
      </w:r>
      <w:r>
        <w:t>L</w:t>
      </w:r>
      <w:r w:rsidR="006B3A7B">
        <w:t>.</w:t>
      </w:r>
      <w:r>
        <w:t xml:space="preserve">, Cimmino L., </w:t>
      </w:r>
      <w:proofErr w:type="spellStart"/>
      <w:r>
        <w:t>d'Accadia</w:t>
      </w:r>
      <w:proofErr w:type="spellEnd"/>
      <w:r>
        <w:t xml:space="preserve"> M</w:t>
      </w:r>
      <w:r w:rsidR="007D21E3">
        <w:t>.</w:t>
      </w:r>
      <w:r>
        <w:t>D</w:t>
      </w:r>
      <w:r w:rsidR="006B3A7B">
        <w:t>.</w:t>
      </w:r>
      <w:r>
        <w:t>, Vicidomini M., 2021, A review of the state of the art of biomethane production: Recent advancements and integration of renewable energies, Energies, 14(16), 4895.</w:t>
      </w:r>
    </w:p>
    <w:p w14:paraId="6C1068E1" w14:textId="77777777" w:rsidR="00DC2273" w:rsidRDefault="00DC2273" w:rsidP="00DC2273">
      <w:pPr>
        <w:pStyle w:val="CETReferencetext"/>
      </w:pPr>
      <w:r>
        <w:t xml:space="preserve">Cosenza B., </w:t>
      </w:r>
      <w:proofErr w:type="spellStart"/>
      <w:r>
        <w:t>Pannocchia</w:t>
      </w:r>
      <w:proofErr w:type="spellEnd"/>
      <w:r>
        <w:t xml:space="preserve"> G., Vaccari M., 2025, Optimizing Hybrid Renewable Energy Systems for Improved Sustainability and Efficiency in Rural Communities, Chemical Engineering Transactions, 117, 619-624.</w:t>
      </w:r>
    </w:p>
    <w:p w14:paraId="4C947FF1" w14:textId="1CABBCCE" w:rsidR="00DC2273" w:rsidRDefault="00DC2273" w:rsidP="00DC2273">
      <w:pPr>
        <w:pStyle w:val="CETReferencetext"/>
      </w:pPr>
      <w:r>
        <w:t>Danish M</w:t>
      </w:r>
      <w:r w:rsidR="007D21E3">
        <w:t>.</w:t>
      </w:r>
      <w:r>
        <w:t>S</w:t>
      </w:r>
      <w:r w:rsidR="007D21E3">
        <w:t>.</w:t>
      </w:r>
      <w:r>
        <w:t>S</w:t>
      </w:r>
      <w:r w:rsidR="00795F43">
        <w:t>.</w:t>
      </w:r>
      <w:r>
        <w:t>, Senjyu T., 2023, Shaping the future of sustainable energy through AI-enabled circular economy policies, Circular Economy, 2(2), 100040.</w:t>
      </w:r>
    </w:p>
    <w:p w14:paraId="77FD124B" w14:textId="77777777" w:rsidR="00DC2273" w:rsidRDefault="00DC2273" w:rsidP="00DC2273">
      <w:pPr>
        <w:pStyle w:val="CETReferencetext"/>
      </w:pPr>
      <w:r>
        <w:t>de Jesus A., Mendonça S., 2018, Lost in transition? Drivers and barriers in the eco-innovation road to the circular economy, Ecological Economics, 145, 75-89.</w:t>
      </w:r>
    </w:p>
    <w:p w14:paraId="42B3CDF8" w14:textId="77777777" w:rsidR="00DC2273" w:rsidRDefault="00DC2273" w:rsidP="00DC2273">
      <w:pPr>
        <w:pStyle w:val="CETReferencetext"/>
      </w:pPr>
      <w:r>
        <w:lastRenderedPageBreak/>
        <w:t>Giuliano A., Pierro N., De Bari I., 2024, Italian Potential of Residual Biogenic Resources for Energy, Chemical Engineering Transactions, 109, 565-570.</w:t>
      </w:r>
    </w:p>
    <w:p w14:paraId="06F16D5A" w14:textId="71E51832" w:rsidR="00DC2273" w:rsidRDefault="00DC2273" w:rsidP="00DC2273">
      <w:pPr>
        <w:pStyle w:val="CETReferencetext"/>
      </w:pPr>
      <w:r>
        <w:t>Hafiz F., de Queiroz A</w:t>
      </w:r>
      <w:r w:rsidR="00682768">
        <w:t>.</w:t>
      </w:r>
      <w:r>
        <w:t>R</w:t>
      </w:r>
      <w:r w:rsidR="00B264BD">
        <w:t>.</w:t>
      </w:r>
      <w:r>
        <w:t xml:space="preserve">, </w:t>
      </w:r>
      <w:proofErr w:type="spellStart"/>
      <w:r>
        <w:t>Fajri</w:t>
      </w:r>
      <w:proofErr w:type="spellEnd"/>
      <w:r>
        <w:t xml:space="preserve"> P., Husain I., 2019, Energy management and optimal storage sizing for a shared community: A multi-stage stochastic programming approach, Applied Energy, 236, 42-54.</w:t>
      </w:r>
    </w:p>
    <w:p w14:paraId="76FCC965" w14:textId="03D82AE2" w:rsidR="00DC2273" w:rsidRDefault="00DC2273" w:rsidP="00DC2273">
      <w:pPr>
        <w:pStyle w:val="CETReferencetext"/>
      </w:pPr>
      <w:r>
        <w:t>Hair J</w:t>
      </w:r>
      <w:r w:rsidR="007B78AD">
        <w:t>.</w:t>
      </w:r>
      <w:r>
        <w:t>F</w:t>
      </w:r>
      <w:r w:rsidR="00B264BD">
        <w:t>.</w:t>
      </w:r>
      <w:r>
        <w:t>, Risher J</w:t>
      </w:r>
      <w:r w:rsidR="007B78AD">
        <w:t>.</w:t>
      </w:r>
      <w:r>
        <w:t>J</w:t>
      </w:r>
      <w:r w:rsidR="00B264BD">
        <w:t>.</w:t>
      </w:r>
      <w:r>
        <w:t>, Sarstedt M., Ringle C</w:t>
      </w:r>
      <w:r w:rsidR="007B78AD">
        <w:t>.</w:t>
      </w:r>
      <w:r>
        <w:t>M</w:t>
      </w:r>
      <w:r w:rsidR="007B78AD">
        <w:t>.</w:t>
      </w:r>
      <w:r>
        <w:t>, 2019, When to use and how to report the results of PLS-SEM, European Business Review, 31(1), 2-24.</w:t>
      </w:r>
    </w:p>
    <w:p w14:paraId="5AC70E44" w14:textId="5649A1F8" w:rsidR="00DC2273" w:rsidRDefault="00DC2273" w:rsidP="00DC2273">
      <w:pPr>
        <w:pStyle w:val="CETReferencetext"/>
      </w:pPr>
      <w:r>
        <w:t xml:space="preserve">Kilkis S., Krajacic G., </w:t>
      </w:r>
      <w:proofErr w:type="spellStart"/>
      <w:r>
        <w:t>Duic</w:t>
      </w:r>
      <w:proofErr w:type="spellEnd"/>
      <w:r>
        <w:t xml:space="preserve"> N., Rosen M</w:t>
      </w:r>
      <w:r w:rsidR="007B78AD">
        <w:t>.</w:t>
      </w:r>
      <w:r>
        <w:t>A</w:t>
      </w:r>
      <w:r w:rsidR="007B78AD">
        <w:t>.</w:t>
      </w:r>
      <w:r>
        <w:t>, Al-Nimr M</w:t>
      </w:r>
      <w:r w:rsidR="007B78AD">
        <w:t>.</w:t>
      </w:r>
      <w:r>
        <w:t>A</w:t>
      </w:r>
      <w:r w:rsidR="007B78AD">
        <w:t>.</w:t>
      </w:r>
      <w:r>
        <w:t>, 2023, Sustainable development of energy, water and environment systems in the critical decade for climate action, Energy Conversion and Management, 296, 117644.</w:t>
      </w:r>
    </w:p>
    <w:p w14:paraId="217B3A2B" w14:textId="7B752EED" w:rsidR="00DC2273" w:rsidRDefault="00DC2273" w:rsidP="00DC2273">
      <w:pPr>
        <w:pStyle w:val="CETReferencetext"/>
      </w:pPr>
      <w:r>
        <w:t xml:space="preserve">Kilkis S., Krajacic G., </w:t>
      </w:r>
      <w:proofErr w:type="spellStart"/>
      <w:r>
        <w:t>Duic</w:t>
      </w:r>
      <w:proofErr w:type="spellEnd"/>
      <w:r>
        <w:t xml:space="preserve"> N., Rosen M</w:t>
      </w:r>
      <w:r w:rsidR="00D21577">
        <w:t>.</w:t>
      </w:r>
      <w:r>
        <w:t>A</w:t>
      </w:r>
      <w:r w:rsidR="00D21577">
        <w:t>.</w:t>
      </w:r>
      <w:r>
        <w:t>, Al-Nimr M</w:t>
      </w:r>
      <w:r w:rsidR="00D21577">
        <w:t>.</w:t>
      </w:r>
      <w:r>
        <w:t>A</w:t>
      </w:r>
      <w:r w:rsidR="00D21577">
        <w:t>.</w:t>
      </w:r>
      <w:r>
        <w:t>, 2024, Sustainable development of energy, water and environment systems as a key opportunity for decarbonisation, Energy Conversion and Management, 320, 118953.</w:t>
      </w:r>
    </w:p>
    <w:p w14:paraId="0F7359F1" w14:textId="77777777" w:rsidR="00DC2273" w:rsidRDefault="00DC2273" w:rsidP="00DC2273">
      <w:pPr>
        <w:pStyle w:val="CETReferencetext"/>
      </w:pPr>
      <w:r>
        <w:t xml:space="preserve">Monzer D., </w:t>
      </w:r>
      <w:proofErr w:type="spellStart"/>
      <w:r>
        <w:t>Bouallou</w:t>
      </w:r>
      <w:proofErr w:type="spellEnd"/>
      <w:r>
        <w:t xml:space="preserve"> C., 2023, Economic Analysis of the Power to Methane Process Using a High Temperature Molten Carbonates Electrolyzer, Chemical Engineering Transactions, 103, 589-594.</w:t>
      </w:r>
    </w:p>
    <w:p w14:paraId="574E2F9E" w14:textId="367FFB62" w:rsidR="00DC2273" w:rsidRDefault="00DC2273" w:rsidP="00DC2273">
      <w:pPr>
        <w:pStyle w:val="CETReferencetext"/>
      </w:pPr>
      <w:r>
        <w:t>Muscat A., de Olde E</w:t>
      </w:r>
      <w:r w:rsidR="00253824">
        <w:t>.</w:t>
      </w:r>
      <w:r>
        <w:t>M</w:t>
      </w:r>
      <w:r w:rsidR="00253824">
        <w:t>.</w:t>
      </w:r>
      <w:r>
        <w:t>, Ripoll-Bosch R., Van Zanten H</w:t>
      </w:r>
      <w:r w:rsidR="00253824">
        <w:t>.</w:t>
      </w:r>
      <w:r>
        <w:t>H</w:t>
      </w:r>
      <w:r w:rsidR="00253824">
        <w:t>.</w:t>
      </w:r>
      <w:r>
        <w:t>E</w:t>
      </w:r>
      <w:r w:rsidR="00253824">
        <w:t>.</w:t>
      </w:r>
      <w:r>
        <w:t>, Metze T</w:t>
      </w:r>
      <w:r w:rsidR="00253824">
        <w:t>.</w:t>
      </w:r>
      <w:r>
        <w:t>A</w:t>
      </w:r>
      <w:r w:rsidR="00253824">
        <w:t>.</w:t>
      </w:r>
      <w:r>
        <w:t>P</w:t>
      </w:r>
      <w:r w:rsidR="00253824">
        <w:t>.</w:t>
      </w:r>
      <w:r>
        <w:t>, Termeer C</w:t>
      </w:r>
      <w:r w:rsidR="00253824">
        <w:t>.</w:t>
      </w:r>
      <w:r>
        <w:t>J</w:t>
      </w:r>
      <w:r w:rsidR="00253824">
        <w:t>.</w:t>
      </w:r>
      <w:r>
        <w:t>A</w:t>
      </w:r>
      <w:r w:rsidR="00253824">
        <w:t>.</w:t>
      </w:r>
      <w:r>
        <w:t>M</w:t>
      </w:r>
      <w:r w:rsidR="00253824">
        <w:t>.</w:t>
      </w:r>
      <w:r>
        <w:t xml:space="preserve">, van </w:t>
      </w:r>
      <w:proofErr w:type="spellStart"/>
      <w:r>
        <w:t>Ittersum</w:t>
      </w:r>
      <w:proofErr w:type="spellEnd"/>
      <w:r>
        <w:t xml:space="preserve"> M</w:t>
      </w:r>
      <w:r w:rsidR="00253824">
        <w:t>.</w:t>
      </w:r>
      <w:r>
        <w:t>K, de Boer I</w:t>
      </w:r>
      <w:r w:rsidR="00253824">
        <w:t>.</w:t>
      </w:r>
      <w:r>
        <w:t>J</w:t>
      </w:r>
      <w:r w:rsidR="00253824">
        <w:t>.</w:t>
      </w:r>
      <w:r>
        <w:t>M</w:t>
      </w:r>
      <w:r w:rsidR="00253824">
        <w:t>.</w:t>
      </w:r>
      <w:r>
        <w:t>, 2021, Principles, drivers and opportunities of a circular bioeconomy, Nature Food, 2, 561-566.</w:t>
      </w:r>
    </w:p>
    <w:p w14:paraId="6D859BA9" w14:textId="77777777" w:rsidR="00DC2273" w:rsidRDefault="00DC2273" w:rsidP="00DC2273">
      <w:pPr>
        <w:pStyle w:val="CETReferencetext"/>
      </w:pPr>
      <w:r>
        <w:t>Näyhä A., 2019, Finnish forest-based companies in transition to the circular bioeconomy - drivers, organizational resources and innovations, Forest Policy and Economics, 110, 101936.</w:t>
      </w:r>
    </w:p>
    <w:p w14:paraId="39B18560" w14:textId="77777777" w:rsidR="00DC2273" w:rsidRDefault="00DC2273" w:rsidP="00DC2273">
      <w:pPr>
        <w:pStyle w:val="CETReferencetext"/>
      </w:pPr>
      <w:r>
        <w:t>Nesta L., Vona F., Nicolli F., 2014, Environmental policies, competition and innovation in renewable energy, Journal of Environmental Economics and Management, 67(3), 396-411.</w:t>
      </w:r>
    </w:p>
    <w:p w14:paraId="6A568BC3" w14:textId="5DDE41B2" w:rsidR="00DC2273" w:rsidRDefault="00DC2273" w:rsidP="00DC2273">
      <w:pPr>
        <w:pStyle w:val="CETReferencetext"/>
      </w:pPr>
      <w:r>
        <w:t>Obaideen K., Abdelkareem M</w:t>
      </w:r>
      <w:r w:rsidR="00B44795">
        <w:t>.</w:t>
      </w:r>
      <w:r>
        <w:t>A</w:t>
      </w:r>
      <w:r w:rsidR="00431CEB">
        <w:t>.</w:t>
      </w:r>
      <w:r>
        <w:t>, Wilberforce T., Elsaid K., Sayed E</w:t>
      </w:r>
      <w:r w:rsidR="00B44795">
        <w:t>.</w:t>
      </w:r>
      <w:r>
        <w:t>T</w:t>
      </w:r>
      <w:r w:rsidR="00B44795">
        <w:t>.</w:t>
      </w:r>
      <w:r>
        <w:t xml:space="preserve">, </w:t>
      </w:r>
      <w:proofErr w:type="spellStart"/>
      <w:r>
        <w:t>Maghrabie</w:t>
      </w:r>
      <w:proofErr w:type="spellEnd"/>
      <w:r>
        <w:t xml:space="preserve"> H</w:t>
      </w:r>
      <w:r w:rsidR="00B44795">
        <w:t>.</w:t>
      </w:r>
      <w:r>
        <w:t>M</w:t>
      </w:r>
      <w:r w:rsidR="00B44795">
        <w:t>.</w:t>
      </w:r>
      <w:r>
        <w:t>, Olabi A</w:t>
      </w:r>
      <w:r w:rsidR="00B44795">
        <w:t>.</w:t>
      </w:r>
      <w:r>
        <w:t>G</w:t>
      </w:r>
      <w:r w:rsidR="00B44795">
        <w:t>.</w:t>
      </w:r>
      <w:r>
        <w:t>, 2022, Biogas role in achievement of the sustainable development goals: Evaluation, Challenges, and Guidelines, Journal of the Taiwan Institute of Chemical Engineers, 131, 104207.</w:t>
      </w:r>
    </w:p>
    <w:p w14:paraId="153CBA85" w14:textId="01F73BB3" w:rsidR="00DC2273" w:rsidRDefault="00DC2273" w:rsidP="00DC2273">
      <w:pPr>
        <w:pStyle w:val="CETReferencetext"/>
      </w:pPr>
      <w:r>
        <w:t>Rehman A., Sanjari M</w:t>
      </w:r>
      <w:r w:rsidR="009E22E2">
        <w:t>.</w:t>
      </w:r>
      <w:r>
        <w:t>J</w:t>
      </w:r>
      <w:r w:rsidR="009E22E2">
        <w:t>.</w:t>
      </w:r>
      <w:r>
        <w:t>, Elavarasan R</w:t>
      </w:r>
      <w:r w:rsidR="009E22E2">
        <w:t>.</w:t>
      </w:r>
      <w:r>
        <w:t>M</w:t>
      </w:r>
      <w:r w:rsidR="009E22E2">
        <w:t>.</w:t>
      </w:r>
      <w:r>
        <w:t>, Jamal T., 2026, Sustainability-aligned pathways for energy transition: A review of low-carbon energy network solutions, Renewable and Sustainable Energy Reviews, 226(E), 116428.</w:t>
      </w:r>
    </w:p>
    <w:p w14:paraId="55CC2B66" w14:textId="77777777" w:rsidR="00DC2273" w:rsidRDefault="00DC2273" w:rsidP="00DC2273">
      <w:pPr>
        <w:pStyle w:val="CETReferencetext"/>
      </w:pPr>
      <w:proofErr w:type="spellStart"/>
      <w:r>
        <w:t>Schipfer</w:t>
      </w:r>
      <w:proofErr w:type="spellEnd"/>
      <w:r>
        <w:t xml:space="preserve"> F., </w:t>
      </w:r>
      <w:proofErr w:type="spellStart"/>
      <w:r>
        <w:t>Harasek</w:t>
      </w:r>
      <w:proofErr w:type="spellEnd"/>
      <w:r>
        <w:t xml:space="preserve"> M., Tiwari S., Kraxner F., Schmidt J., Wehrle S., </w:t>
      </w:r>
      <w:proofErr w:type="spellStart"/>
      <w:r>
        <w:t>Asasian</w:t>
      </w:r>
      <w:proofErr w:type="spellEnd"/>
      <w:r>
        <w:t xml:space="preserve"> Kolur N., </w:t>
      </w:r>
      <w:proofErr w:type="spellStart"/>
      <w:r>
        <w:t>Thrän</w:t>
      </w:r>
      <w:proofErr w:type="spellEnd"/>
      <w:r>
        <w:t xml:space="preserve"> D., Esmaeili Aliabadi D., Breunig H., 2026, Are we ready to plan for synergies? System Integration Impact Assessment in the Austrian energy system </w:t>
      </w:r>
      <w:proofErr w:type="spellStart"/>
      <w:r>
        <w:t>modeling</w:t>
      </w:r>
      <w:proofErr w:type="spellEnd"/>
      <w:r>
        <w:t xml:space="preserve"> community, Energy Research &amp; Social Science, 131, 104505.</w:t>
      </w:r>
    </w:p>
    <w:p w14:paraId="19C4FC68" w14:textId="6A1599E4" w:rsidR="004628D2" w:rsidRDefault="00DC2273" w:rsidP="004B4797">
      <w:pPr>
        <w:pStyle w:val="CETReferencetext"/>
      </w:pPr>
      <w:r>
        <w:t>Vandenberghe L</w:t>
      </w:r>
      <w:r w:rsidR="003665BD">
        <w:t>.</w:t>
      </w:r>
      <w:r>
        <w:t>P</w:t>
      </w:r>
      <w:r w:rsidR="003665BD">
        <w:t>.</w:t>
      </w:r>
      <w:r>
        <w:t>S</w:t>
      </w:r>
      <w:r w:rsidR="003665BD">
        <w:t>.</w:t>
      </w:r>
      <w:r>
        <w:t>, Valladares-</w:t>
      </w:r>
      <w:proofErr w:type="spellStart"/>
      <w:r>
        <w:t>Diestra</w:t>
      </w:r>
      <w:proofErr w:type="spellEnd"/>
      <w:r>
        <w:t xml:space="preserve"> K</w:t>
      </w:r>
      <w:r w:rsidR="003665BD">
        <w:t>.</w:t>
      </w:r>
      <w:r>
        <w:t>K</w:t>
      </w:r>
      <w:r w:rsidR="003665BD">
        <w:t>.</w:t>
      </w:r>
      <w:r>
        <w:t>, Bittencourt G</w:t>
      </w:r>
      <w:r w:rsidR="003665BD">
        <w:t>.</w:t>
      </w:r>
      <w:r>
        <w:t>A</w:t>
      </w:r>
      <w:r w:rsidR="003665BD">
        <w:t>.</w:t>
      </w:r>
      <w:r>
        <w:t>, Zevallos Torres L</w:t>
      </w:r>
      <w:r w:rsidR="003665BD">
        <w:t>.</w:t>
      </w:r>
      <w:r>
        <w:t>A</w:t>
      </w:r>
      <w:r w:rsidR="003665BD">
        <w:t>.</w:t>
      </w:r>
      <w:r>
        <w:t>, Vieira S., Karp S</w:t>
      </w:r>
      <w:r w:rsidR="003665BD">
        <w:t>.</w:t>
      </w:r>
      <w:r>
        <w:t>G</w:t>
      </w:r>
      <w:r w:rsidR="003665BD">
        <w:t>.</w:t>
      </w:r>
      <w:r>
        <w:t>, Sydney E</w:t>
      </w:r>
      <w:r w:rsidR="003665BD">
        <w:t>.</w:t>
      </w:r>
      <w:r>
        <w:t>B</w:t>
      </w:r>
      <w:r w:rsidR="003665BD">
        <w:t>.</w:t>
      </w:r>
      <w:r>
        <w:t>, de Carvalho J</w:t>
      </w:r>
      <w:r w:rsidR="003665BD">
        <w:t>.</w:t>
      </w:r>
      <w:r>
        <w:t>C</w:t>
      </w:r>
      <w:r w:rsidR="003665BD">
        <w:t>.</w:t>
      </w:r>
      <w:r>
        <w:t xml:space="preserve">, Thomaz </w:t>
      </w:r>
      <w:proofErr w:type="spellStart"/>
      <w:r>
        <w:t>Soccol</w:t>
      </w:r>
      <w:proofErr w:type="spellEnd"/>
      <w:r>
        <w:t xml:space="preserve"> V., </w:t>
      </w:r>
      <w:proofErr w:type="spellStart"/>
      <w:r>
        <w:t>Soccol</w:t>
      </w:r>
      <w:proofErr w:type="spellEnd"/>
      <w:r>
        <w:t xml:space="preserve"> C</w:t>
      </w:r>
      <w:r w:rsidR="003665BD">
        <w:t>.</w:t>
      </w:r>
      <w:r>
        <w:t>R</w:t>
      </w:r>
      <w:r w:rsidR="00BF23B5">
        <w:t>.</w:t>
      </w:r>
      <w:r>
        <w:t>, 2022, Beyond sugar and ethanol: The future of sugarcane biorefineries in Brazil, Renewable and Sustainable Energy Reviews, 167, 112721.</w:t>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CB68" w14:textId="77777777" w:rsidR="00912614" w:rsidRDefault="00912614" w:rsidP="004F5E36">
      <w:r>
        <w:separator/>
      </w:r>
    </w:p>
  </w:endnote>
  <w:endnote w:type="continuationSeparator" w:id="0">
    <w:p w14:paraId="23F965D7" w14:textId="77777777" w:rsidR="00912614" w:rsidRDefault="0091261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6B77" w14:textId="77777777" w:rsidR="00912614" w:rsidRDefault="00912614" w:rsidP="004F5E36">
      <w:r>
        <w:separator/>
      </w:r>
    </w:p>
  </w:footnote>
  <w:footnote w:type="continuationSeparator" w:id="0">
    <w:p w14:paraId="58BEDD00" w14:textId="77777777" w:rsidR="00912614" w:rsidRDefault="00912614"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69495388">
    <w:abstractNumId w:val="10"/>
  </w:num>
  <w:num w:numId="2" w16cid:durableId="849876901">
    <w:abstractNumId w:val="8"/>
  </w:num>
  <w:num w:numId="3" w16cid:durableId="1185023095">
    <w:abstractNumId w:val="3"/>
  </w:num>
  <w:num w:numId="4" w16cid:durableId="986516910">
    <w:abstractNumId w:val="2"/>
  </w:num>
  <w:num w:numId="5" w16cid:durableId="605581356">
    <w:abstractNumId w:val="1"/>
  </w:num>
  <w:num w:numId="6" w16cid:durableId="75367483">
    <w:abstractNumId w:val="0"/>
  </w:num>
  <w:num w:numId="7" w16cid:durableId="102236372">
    <w:abstractNumId w:val="9"/>
  </w:num>
  <w:num w:numId="8" w16cid:durableId="1452212489">
    <w:abstractNumId w:val="7"/>
  </w:num>
  <w:num w:numId="9" w16cid:durableId="1438139121">
    <w:abstractNumId w:val="6"/>
  </w:num>
  <w:num w:numId="10" w16cid:durableId="128282414">
    <w:abstractNumId w:val="5"/>
  </w:num>
  <w:num w:numId="11" w16cid:durableId="1347829663">
    <w:abstractNumId w:val="4"/>
  </w:num>
  <w:num w:numId="12" w16cid:durableId="262149975">
    <w:abstractNumId w:val="17"/>
  </w:num>
  <w:num w:numId="13" w16cid:durableId="1248150216">
    <w:abstractNumId w:val="12"/>
  </w:num>
  <w:num w:numId="14" w16cid:durableId="1318609241">
    <w:abstractNumId w:val="18"/>
  </w:num>
  <w:num w:numId="15" w16cid:durableId="1747876605">
    <w:abstractNumId w:val="20"/>
  </w:num>
  <w:num w:numId="16" w16cid:durableId="1560088418">
    <w:abstractNumId w:val="19"/>
  </w:num>
  <w:num w:numId="17" w16cid:durableId="1065571328">
    <w:abstractNumId w:val="11"/>
  </w:num>
  <w:num w:numId="18" w16cid:durableId="337776557">
    <w:abstractNumId w:val="12"/>
    <w:lvlOverride w:ilvl="0">
      <w:startOverride w:val="1"/>
    </w:lvlOverride>
  </w:num>
  <w:num w:numId="19" w16cid:durableId="1261063580">
    <w:abstractNumId w:val="16"/>
  </w:num>
  <w:num w:numId="20" w16cid:durableId="210071886">
    <w:abstractNumId w:val="15"/>
  </w:num>
  <w:num w:numId="21" w16cid:durableId="1692760123">
    <w:abstractNumId w:val="14"/>
  </w:num>
  <w:num w:numId="22" w16cid:durableId="1603563421">
    <w:abstractNumId w:val="13"/>
  </w:num>
  <w:num w:numId="23" w16cid:durableId="1542863568">
    <w:abstractNumId w:val="10"/>
  </w:num>
  <w:num w:numId="24" w16cid:durableId="1719087255">
    <w:abstractNumId w:val="10"/>
  </w:num>
  <w:num w:numId="25" w16cid:durableId="1850489529">
    <w:abstractNumId w:val="10"/>
  </w:num>
  <w:num w:numId="26" w16cid:durableId="2074039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267D8"/>
    <w:rsid w:val="0003148D"/>
    <w:rsid w:val="00031EEC"/>
    <w:rsid w:val="00043F49"/>
    <w:rsid w:val="0004412E"/>
    <w:rsid w:val="00051566"/>
    <w:rsid w:val="000562A9"/>
    <w:rsid w:val="00057567"/>
    <w:rsid w:val="000600EE"/>
    <w:rsid w:val="00062A9A"/>
    <w:rsid w:val="00065058"/>
    <w:rsid w:val="00074D09"/>
    <w:rsid w:val="00086C39"/>
    <w:rsid w:val="00093BCB"/>
    <w:rsid w:val="000A03B2"/>
    <w:rsid w:val="000A68A0"/>
    <w:rsid w:val="000A7A97"/>
    <w:rsid w:val="000D0268"/>
    <w:rsid w:val="000D1847"/>
    <w:rsid w:val="000D34BE"/>
    <w:rsid w:val="000E102F"/>
    <w:rsid w:val="000E36F1"/>
    <w:rsid w:val="000E3A73"/>
    <w:rsid w:val="000E414A"/>
    <w:rsid w:val="000E75FD"/>
    <w:rsid w:val="000F093C"/>
    <w:rsid w:val="000F787B"/>
    <w:rsid w:val="00101F02"/>
    <w:rsid w:val="0012091F"/>
    <w:rsid w:val="00123660"/>
    <w:rsid w:val="00123B02"/>
    <w:rsid w:val="00124AAD"/>
    <w:rsid w:val="00126BC2"/>
    <w:rsid w:val="001308B6"/>
    <w:rsid w:val="0013121F"/>
    <w:rsid w:val="00131FE6"/>
    <w:rsid w:val="0013263F"/>
    <w:rsid w:val="001331DF"/>
    <w:rsid w:val="00134DE4"/>
    <w:rsid w:val="001402DA"/>
    <w:rsid w:val="0014034D"/>
    <w:rsid w:val="00140FE3"/>
    <w:rsid w:val="00144D16"/>
    <w:rsid w:val="00150E59"/>
    <w:rsid w:val="00152DE3"/>
    <w:rsid w:val="00163B7E"/>
    <w:rsid w:val="00164CF9"/>
    <w:rsid w:val="001667A6"/>
    <w:rsid w:val="00184AD6"/>
    <w:rsid w:val="001A4AF7"/>
    <w:rsid w:val="001B0349"/>
    <w:rsid w:val="001B1E93"/>
    <w:rsid w:val="001B65C1"/>
    <w:rsid w:val="001C260F"/>
    <w:rsid w:val="001C33F1"/>
    <w:rsid w:val="001C684B"/>
    <w:rsid w:val="001D0CFB"/>
    <w:rsid w:val="001D21AF"/>
    <w:rsid w:val="001D53FC"/>
    <w:rsid w:val="001D76E5"/>
    <w:rsid w:val="001E2EC0"/>
    <w:rsid w:val="001F21A4"/>
    <w:rsid w:val="001F42A5"/>
    <w:rsid w:val="001F7B9D"/>
    <w:rsid w:val="00201C93"/>
    <w:rsid w:val="002224B4"/>
    <w:rsid w:val="00240B19"/>
    <w:rsid w:val="00240E23"/>
    <w:rsid w:val="002447EF"/>
    <w:rsid w:val="00245A3F"/>
    <w:rsid w:val="00245D68"/>
    <w:rsid w:val="00251550"/>
    <w:rsid w:val="00253824"/>
    <w:rsid w:val="00263B05"/>
    <w:rsid w:val="0027221A"/>
    <w:rsid w:val="00275B61"/>
    <w:rsid w:val="00280FAF"/>
    <w:rsid w:val="00282656"/>
    <w:rsid w:val="00296B83"/>
    <w:rsid w:val="002B206B"/>
    <w:rsid w:val="002B2F07"/>
    <w:rsid w:val="002B4015"/>
    <w:rsid w:val="002B5C01"/>
    <w:rsid w:val="002B78CE"/>
    <w:rsid w:val="002C2FB6"/>
    <w:rsid w:val="002D6C75"/>
    <w:rsid w:val="002E5FA7"/>
    <w:rsid w:val="002F3309"/>
    <w:rsid w:val="003008CE"/>
    <w:rsid w:val="003009B7"/>
    <w:rsid w:val="00300E56"/>
    <w:rsid w:val="003014B7"/>
    <w:rsid w:val="0030152C"/>
    <w:rsid w:val="0030469C"/>
    <w:rsid w:val="00321AA0"/>
    <w:rsid w:val="00321CA6"/>
    <w:rsid w:val="00323763"/>
    <w:rsid w:val="00323C5F"/>
    <w:rsid w:val="00334C09"/>
    <w:rsid w:val="00364D23"/>
    <w:rsid w:val="003665BD"/>
    <w:rsid w:val="003723D4"/>
    <w:rsid w:val="00381905"/>
    <w:rsid w:val="00384CC8"/>
    <w:rsid w:val="003871FD"/>
    <w:rsid w:val="0038754D"/>
    <w:rsid w:val="003A1E30"/>
    <w:rsid w:val="003A2829"/>
    <w:rsid w:val="003A7D1C"/>
    <w:rsid w:val="003B304B"/>
    <w:rsid w:val="003B3146"/>
    <w:rsid w:val="003B4EA5"/>
    <w:rsid w:val="003D1E02"/>
    <w:rsid w:val="003F015E"/>
    <w:rsid w:val="003F4A3F"/>
    <w:rsid w:val="00400414"/>
    <w:rsid w:val="004053C1"/>
    <w:rsid w:val="0041339C"/>
    <w:rsid w:val="0041446B"/>
    <w:rsid w:val="00425D4A"/>
    <w:rsid w:val="00431CEB"/>
    <w:rsid w:val="00432881"/>
    <w:rsid w:val="0044071E"/>
    <w:rsid w:val="0044329C"/>
    <w:rsid w:val="00453E24"/>
    <w:rsid w:val="00457456"/>
    <w:rsid w:val="004577FE"/>
    <w:rsid w:val="00457B9C"/>
    <w:rsid w:val="0046164A"/>
    <w:rsid w:val="004628D2"/>
    <w:rsid w:val="00462DCD"/>
    <w:rsid w:val="004648AD"/>
    <w:rsid w:val="004703A9"/>
    <w:rsid w:val="004760DE"/>
    <w:rsid w:val="004763D7"/>
    <w:rsid w:val="00493EF4"/>
    <w:rsid w:val="004969E6"/>
    <w:rsid w:val="004A004E"/>
    <w:rsid w:val="004A24CF"/>
    <w:rsid w:val="004A5E57"/>
    <w:rsid w:val="004B4797"/>
    <w:rsid w:val="004C194F"/>
    <w:rsid w:val="004C3D1D"/>
    <w:rsid w:val="004C3D84"/>
    <w:rsid w:val="004C7913"/>
    <w:rsid w:val="004E4DD6"/>
    <w:rsid w:val="004E4FF2"/>
    <w:rsid w:val="004F10A4"/>
    <w:rsid w:val="004F5E36"/>
    <w:rsid w:val="00507B47"/>
    <w:rsid w:val="00507BEF"/>
    <w:rsid w:val="00507CC9"/>
    <w:rsid w:val="005119A5"/>
    <w:rsid w:val="00527106"/>
    <w:rsid w:val="005278B7"/>
    <w:rsid w:val="00532016"/>
    <w:rsid w:val="005346C8"/>
    <w:rsid w:val="00543E7D"/>
    <w:rsid w:val="00547A68"/>
    <w:rsid w:val="005531C9"/>
    <w:rsid w:val="00570C43"/>
    <w:rsid w:val="00592274"/>
    <w:rsid w:val="005B2110"/>
    <w:rsid w:val="005B2E93"/>
    <w:rsid w:val="005B61E6"/>
    <w:rsid w:val="005C77E1"/>
    <w:rsid w:val="005D668A"/>
    <w:rsid w:val="005D6A2F"/>
    <w:rsid w:val="005E0592"/>
    <w:rsid w:val="005E1A82"/>
    <w:rsid w:val="005E794C"/>
    <w:rsid w:val="005F0A28"/>
    <w:rsid w:val="005F0E5E"/>
    <w:rsid w:val="00600535"/>
    <w:rsid w:val="00610CD6"/>
    <w:rsid w:val="00611E68"/>
    <w:rsid w:val="00620DEE"/>
    <w:rsid w:val="00621F92"/>
    <w:rsid w:val="0062280A"/>
    <w:rsid w:val="006231E1"/>
    <w:rsid w:val="00625639"/>
    <w:rsid w:val="00631B33"/>
    <w:rsid w:val="0064184D"/>
    <w:rsid w:val="006422CC"/>
    <w:rsid w:val="00651D18"/>
    <w:rsid w:val="00660E3E"/>
    <w:rsid w:val="00662E74"/>
    <w:rsid w:val="00664F9F"/>
    <w:rsid w:val="00680C23"/>
    <w:rsid w:val="00682768"/>
    <w:rsid w:val="00683E23"/>
    <w:rsid w:val="00693523"/>
    <w:rsid w:val="00693766"/>
    <w:rsid w:val="006A3281"/>
    <w:rsid w:val="006A6E6D"/>
    <w:rsid w:val="006B3A7B"/>
    <w:rsid w:val="006B4888"/>
    <w:rsid w:val="006C2E45"/>
    <w:rsid w:val="006C359C"/>
    <w:rsid w:val="006C5579"/>
    <w:rsid w:val="006D6E8B"/>
    <w:rsid w:val="006D7209"/>
    <w:rsid w:val="006E6D13"/>
    <w:rsid w:val="006E737D"/>
    <w:rsid w:val="006F316E"/>
    <w:rsid w:val="00704974"/>
    <w:rsid w:val="007059B7"/>
    <w:rsid w:val="00707DD1"/>
    <w:rsid w:val="00711AEA"/>
    <w:rsid w:val="00713973"/>
    <w:rsid w:val="007168DE"/>
    <w:rsid w:val="00720A24"/>
    <w:rsid w:val="00730BA5"/>
    <w:rsid w:val="00732386"/>
    <w:rsid w:val="0073514D"/>
    <w:rsid w:val="007447F3"/>
    <w:rsid w:val="00744E81"/>
    <w:rsid w:val="0075499F"/>
    <w:rsid w:val="007617CC"/>
    <w:rsid w:val="0076562D"/>
    <w:rsid w:val="007661C8"/>
    <w:rsid w:val="0077098D"/>
    <w:rsid w:val="00783919"/>
    <w:rsid w:val="00785BF9"/>
    <w:rsid w:val="007931FA"/>
    <w:rsid w:val="00795F43"/>
    <w:rsid w:val="007A4861"/>
    <w:rsid w:val="007A7BBA"/>
    <w:rsid w:val="007B0C50"/>
    <w:rsid w:val="007B48F9"/>
    <w:rsid w:val="007B78AD"/>
    <w:rsid w:val="007C1A43"/>
    <w:rsid w:val="007C53BD"/>
    <w:rsid w:val="007D07D8"/>
    <w:rsid w:val="007D0951"/>
    <w:rsid w:val="007D21E3"/>
    <w:rsid w:val="007D5C92"/>
    <w:rsid w:val="007F27C8"/>
    <w:rsid w:val="0080013E"/>
    <w:rsid w:val="0080619F"/>
    <w:rsid w:val="00811BFD"/>
    <w:rsid w:val="00813288"/>
    <w:rsid w:val="008168FC"/>
    <w:rsid w:val="00822E6F"/>
    <w:rsid w:val="00823688"/>
    <w:rsid w:val="0082567E"/>
    <w:rsid w:val="00830996"/>
    <w:rsid w:val="008314D7"/>
    <w:rsid w:val="008345F1"/>
    <w:rsid w:val="008362AA"/>
    <w:rsid w:val="00865B07"/>
    <w:rsid w:val="00866205"/>
    <w:rsid w:val="008667EA"/>
    <w:rsid w:val="00875202"/>
    <w:rsid w:val="0087637F"/>
    <w:rsid w:val="00877F53"/>
    <w:rsid w:val="00892AD5"/>
    <w:rsid w:val="008A1512"/>
    <w:rsid w:val="008A4420"/>
    <w:rsid w:val="008B733F"/>
    <w:rsid w:val="008C5A19"/>
    <w:rsid w:val="008D0127"/>
    <w:rsid w:val="008D32B9"/>
    <w:rsid w:val="008D359F"/>
    <w:rsid w:val="008D433B"/>
    <w:rsid w:val="008D4A16"/>
    <w:rsid w:val="008E209A"/>
    <w:rsid w:val="008E45BC"/>
    <w:rsid w:val="008E566E"/>
    <w:rsid w:val="008F5DDD"/>
    <w:rsid w:val="0090161A"/>
    <w:rsid w:val="00901EB6"/>
    <w:rsid w:val="009041F8"/>
    <w:rsid w:val="00904C62"/>
    <w:rsid w:val="00912614"/>
    <w:rsid w:val="00916F2B"/>
    <w:rsid w:val="00922BA8"/>
    <w:rsid w:val="00924DAC"/>
    <w:rsid w:val="00925C7C"/>
    <w:rsid w:val="00927058"/>
    <w:rsid w:val="00937EA0"/>
    <w:rsid w:val="0094023F"/>
    <w:rsid w:val="00942750"/>
    <w:rsid w:val="009450CE"/>
    <w:rsid w:val="009459BB"/>
    <w:rsid w:val="00947179"/>
    <w:rsid w:val="0095164B"/>
    <w:rsid w:val="00954090"/>
    <w:rsid w:val="009573E7"/>
    <w:rsid w:val="00963E05"/>
    <w:rsid w:val="00964A45"/>
    <w:rsid w:val="00967843"/>
    <w:rsid w:val="00967D54"/>
    <w:rsid w:val="00971028"/>
    <w:rsid w:val="00980106"/>
    <w:rsid w:val="00993B84"/>
    <w:rsid w:val="00996483"/>
    <w:rsid w:val="00996F5A"/>
    <w:rsid w:val="009971B1"/>
    <w:rsid w:val="009B041A"/>
    <w:rsid w:val="009B4396"/>
    <w:rsid w:val="009C37C3"/>
    <w:rsid w:val="009C5A18"/>
    <w:rsid w:val="009C7C86"/>
    <w:rsid w:val="009D2FF7"/>
    <w:rsid w:val="009E22E2"/>
    <w:rsid w:val="009E7884"/>
    <w:rsid w:val="009E788A"/>
    <w:rsid w:val="009F0E08"/>
    <w:rsid w:val="009F3BA2"/>
    <w:rsid w:val="00A079AE"/>
    <w:rsid w:val="00A1763D"/>
    <w:rsid w:val="00A17CEC"/>
    <w:rsid w:val="00A26CBB"/>
    <w:rsid w:val="00A27EF0"/>
    <w:rsid w:val="00A42361"/>
    <w:rsid w:val="00A50B20"/>
    <w:rsid w:val="00A51390"/>
    <w:rsid w:val="00A60D13"/>
    <w:rsid w:val="00A7223D"/>
    <w:rsid w:val="00A72745"/>
    <w:rsid w:val="00A76EFC"/>
    <w:rsid w:val="00A82AB6"/>
    <w:rsid w:val="00A87D50"/>
    <w:rsid w:val="00A91010"/>
    <w:rsid w:val="00A97F29"/>
    <w:rsid w:val="00AA58A8"/>
    <w:rsid w:val="00AA702E"/>
    <w:rsid w:val="00AA7D26"/>
    <w:rsid w:val="00AB0964"/>
    <w:rsid w:val="00AB5011"/>
    <w:rsid w:val="00AB7FB2"/>
    <w:rsid w:val="00AC6953"/>
    <w:rsid w:val="00AC7368"/>
    <w:rsid w:val="00AD0278"/>
    <w:rsid w:val="00AD16B9"/>
    <w:rsid w:val="00AD18E5"/>
    <w:rsid w:val="00AE377D"/>
    <w:rsid w:val="00AF0EBA"/>
    <w:rsid w:val="00AF26B2"/>
    <w:rsid w:val="00B02C8A"/>
    <w:rsid w:val="00B04627"/>
    <w:rsid w:val="00B1699A"/>
    <w:rsid w:val="00B17FBD"/>
    <w:rsid w:val="00B264BD"/>
    <w:rsid w:val="00B315A6"/>
    <w:rsid w:val="00B31813"/>
    <w:rsid w:val="00B33365"/>
    <w:rsid w:val="00B33E0D"/>
    <w:rsid w:val="00B44795"/>
    <w:rsid w:val="00B550F0"/>
    <w:rsid w:val="00B57804"/>
    <w:rsid w:val="00B57B36"/>
    <w:rsid w:val="00B57E6F"/>
    <w:rsid w:val="00B73FA4"/>
    <w:rsid w:val="00B812C1"/>
    <w:rsid w:val="00B8686D"/>
    <w:rsid w:val="00B900A8"/>
    <w:rsid w:val="00B93F69"/>
    <w:rsid w:val="00BA1151"/>
    <w:rsid w:val="00BB1DDC"/>
    <w:rsid w:val="00BC30C9"/>
    <w:rsid w:val="00BD077D"/>
    <w:rsid w:val="00BE3E58"/>
    <w:rsid w:val="00BE4BC9"/>
    <w:rsid w:val="00BF23B5"/>
    <w:rsid w:val="00BF4CB1"/>
    <w:rsid w:val="00C01616"/>
    <w:rsid w:val="00C0162B"/>
    <w:rsid w:val="00C068ED"/>
    <w:rsid w:val="00C130A5"/>
    <w:rsid w:val="00C16201"/>
    <w:rsid w:val="00C208E9"/>
    <w:rsid w:val="00C22E0C"/>
    <w:rsid w:val="00C345B1"/>
    <w:rsid w:val="00C40142"/>
    <w:rsid w:val="00C45781"/>
    <w:rsid w:val="00C52C3C"/>
    <w:rsid w:val="00C53E77"/>
    <w:rsid w:val="00C57182"/>
    <w:rsid w:val="00C57863"/>
    <w:rsid w:val="00C61EFA"/>
    <w:rsid w:val="00C640AF"/>
    <w:rsid w:val="00C655FD"/>
    <w:rsid w:val="00C75407"/>
    <w:rsid w:val="00C841C6"/>
    <w:rsid w:val="00C84307"/>
    <w:rsid w:val="00C870A8"/>
    <w:rsid w:val="00C94434"/>
    <w:rsid w:val="00CA0D75"/>
    <w:rsid w:val="00CA19E8"/>
    <w:rsid w:val="00CA1C95"/>
    <w:rsid w:val="00CA524B"/>
    <w:rsid w:val="00CA5A9C"/>
    <w:rsid w:val="00CC4C20"/>
    <w:rsid w:val="00CD1C02"/>
    <w:rsid w:val="00CD3517"/>
    <w:rsid w:val="00CD5FE2"/>
    <w:rsid w:val="00CE7C68"/>
    <w:rsid w:val="00CF0841"/>
    <w:rsid w:val="00D02B4C"/>
    <w:rsid w:val="00D040C4"/>
    <w:rsid w:val="00D20AD1"/>
    <w:rsid w:val="00D21577"/>
    <w:rsid w:val="00D2582C"/>
    <w:rsid w:val="00D41007"/>
    <w:rsid w:val="00D45751"/>
    <w:rsid w:val="00D46B7E"/>
    <w:rsid w:val="00D56BEF"/>
    <w:rsid w:val="00D57C84"/>
    <w:rsid w:val="00D6057D"/>
    <w:rsid w:val="00D611BD"/>
    <w:rsid w:val="00D61FA7"/>
    <w:rsid w:val="00D71640"/>
    <w:rsid w:val="00D71747"/>
    <w:rsid w:val="00D83699"/>
    <w:rsid w:val="00D836C5"/>
    <w:rsid w:val="00D84576"/>
    <w:rsid w:val="00D97803"/>
    <w:rsid w:val="00DA1399"/>
    <w:rsid w:val="00DA24C6"/>
    <w:rsid w:val="00DA4D7B"/>
    <w:rsid w:val="00DA73BF"/>
    <w:rsid w:val="00DB09E6"/>
    <w:rsid w:val="00DB4B61"/>
    <w:rsid w:val="00DC2273"/>
    <w:rsid w:val="00DD271C"/>
    <w:rsid w:val="00DD54BA"/>
    <w:rsid w:val="00DE264A"/>
    <w:rsid w:val="00DF5072"/>
    <w:rsid w:val="00E02D18"/>
    <w:rsid w:val="00E041E7"/>
    <w:rsid w:val="00E23CA1"/>
    <w:rsid w:val="00E336C9"/>
    <w:rsid w:val="00E409A8"/>
    <w:rsid w:val="00E47D61"/>
    <w:rsid w:val="00E47DA9"/>
    <w:rsid w:val="00E50C12"/>
    <w:rsid w:val="00E54164"/>
    <w:rsid w:val="00E65B91"/>
    <w:rsid w:val="00E7209D"/>
    <w:rsid w:val="00E72EAD"/>
    <w:rsid w:val="00E77223"/>
    <w:rsid w:val="00E77C3F"/>
    <w:rsid w:val="00E8528B"/>
    <w:rsid w:val="00E85B94"/>
    <w:rsid w:val="00E96F53"/>
    <w:rsid w:val="00E96FBE"/>
    <w:rsid w:val="00E978D0"/>
    <w:rsid w:val="00EA3EF9"/>
    <w:rsid w:val="00EA41D6"/>
    <w:rsid w:val="00EA4613"/>
    <w:rsid w:val="00EA7F91"/>
    <w:rsid w:val="00EB1523"/>
    <w:rsid w:val="00EC05E6"/>
    <w:rsid w:val="00EC0E49"/>
    <w:rsid w:val="00EC101F"/>
    <w:rsid w:val="00EC1D9F"/>
    <w:rsid w:val="00EE0131"/>
    <w:rsid w:val="00EE17B0"/>
    <w:rsid w:val="00EE1834"/>
    <w:rsid w:val="00EF06D9"/>
    <w:rsid w:val="00EF0982"/>
    <w:rsid w:val="00EF4136"/>
    <w:rsid w:val="00F126A5"/>
    <w:rsid w:val="00F13A71"/>
    <w:rsid w:val="00F14E94"/>
    <w:rsid w:val="00F3049E"/>
    <w:rsid w:val="00F30C64"/>
    <w:rsid w:val="00F32BA2"/>
    <w:rsid w:val="00F32CDB"/>
    <w:rsid w:val="00F3348F"/>
    <w:rsid w:val="00F37280"/>
    <w:rsid w:val="00F41EE4"/>
    <w:rsid w:val="00F565FE"/>
    <w:rsid w:val="00F56765"/>
    <w:rsid w:val="00F63A70"/>
    <w:rsid w:val="00F63D8C"/>
    <w:rsid w:val="00F674A4"/>
    <w:rsid w:val="00F7534E"/>
    <w:rsid w:val="00F93EDF"/>
    <w:rsid w:val="00F95914"/>
    <w:rsid w:val="00FA1802"/>
    <w:rsid w:val="00FA21D0"/>
    <w:rsid w:val="00FA5F5F"/>
    <w:rsid w:val="00FB44E7"/>
    <w:rsid w:val="00FB730C"/>
    <w:rsid w:val="00FC2695"/>
    <w:rsid w:val="00FC3E03"/>
    <w:rsid w:val="00FC3FC1"/>
    <w:rsid w:val="00FE3622"/>
    <w:rsid w:val="00FF68A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nfasis">
    <w:name w:val="Emphasis"/>
    <w:basedOn w:val="Fuentedeprrafopredeter"/>
    <w:uiPriority w:val="20"/>
    <w:qFormat/>
    <w:rsid w:val="007C53BD"/>
    <w:rPr>
      <w:i/>
      <w:iCs/>
    </w:rPr>
  </w:style>
  <w:style w:type="paragraph" w:customStyle="1" w:styleId="font-claude-response-body">
    <w:name w:val="font-claude-response-body"/>
    <w:basedOn w:val="Normal"/>
    <w:rsid w:val="00C61EFA"/>
    <w:pPr>
      <w:tabs>
        <w:tab w:val="clear" w:pos="7100"/>
      </w:tabs>
      <w:spacing w:before="100" w:beforeAutospacing="1" w:after="100" w:afterAutospacing="1" w:line="240" w:lineRule="auto"/>
      <w:jc w:val="left"/>
    </w:pPr>
    <w:rPr>
      <w:rFonts w:ascii="Times New Roman" w:hAnsi="Times New Roman"/>
      <w:sz w:val="24"/>
      <w:szCs w:val="24"/>
      <w:lang w:val="es-PE" w:eastAsia="es-PE"/>
    </w:rPr>
  </w:style>
  <w:style w:type="character" w:styleId="Fuerte">
    <w:name w:val="Strong"/>
    <w:basedOn w:val="Fuentedeprrafopredeter"/>
    <w:uiPriority w:val="22"/>
    <w:qFormat/>
    <w:rsid w:val="009971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040011">
      <w:bodyDiv w:val="1"/>
      <w:marLeft w:val="0"/>
      <w:marRight w:val="0"/>
      <w:marTop w:val="0"/>
      <w:marBottom w:val="0"/>
      <w:divBdr>
        <w:top w:val="none" w:sz="0" w:space="0" w:color="auto"/>
        <w:left w:val="none" w:sz="0" w:space="0" w:color="auto"/>
        <w:bottom w:val="none" w:sz="0" w:space="0" w:color="auto"/>
        <w:right w:val="none" w:sz="0" w:space="0" w:color="auto"/>
      </w:divBdr>
    </w:div>
    <w:div w:id="624000931">
      <w:bodyDiv w:val="1"/>
      <w:marLeft w:val="0"/>
      <w:marRight w:val="0"/>
      <w:marTop w:val="0"/>
      <w:marBottom w:val="0"/>
      <w:divBdr>
        <w:top w:val="none" w:sz="0" w:space="0" w:color="auto"/>
        <w:left w:val="none" w:sz="0" w:space="0" w:color="auto"/>
        <w:bottom w:val="none" w:sz="0" w:space="0" w:color="auto"/>
        <w:right w:val="none" w:sz="0" w:space="0" w:color="auto"/>
      </w:divBdr>
      <w:divsChild>
        <w:div w:id="178252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696957">
          <w:marLeft w:val="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41086956">
      <w:bodyDiv w:val="1"/>
      <w:marLeft w:val="0"/>
      <w:marRight w:val="0"/>
      <w:marTop w:val="0"/>
      <w:marBottom w:val="0"/>
      <w:divBdr>
        <w:top w:val="none" w:sz="0" w:space="0" w:color="auto"/>
        <w:left w:val="none" w:sz="0" w:space="0" w:color="auto"/>
        <w:bottom w:val="none" w:sz="0" w:space="0" w:color="auto"/>
        <w:right w:val="none" w:sz="0" w:space="0" w:color="auto"/>
      </w:divBdr>
      <w:divsChild>
        <w:div w:id="137634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3674</Words>
  <Characters>20948</Characters>
  <Application>Microsoft Office Word</Application>
  <DocSecurity>0</DocSecurity>
  <Lines>174</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Danny Alonso Lizarzaburu Aguinaga</cp:lastModifiedBy>
  <cp:revision>42</cp:revision>
  <cp:lastPrinted>2015-05-12T18:31:00Z</cp:lastPrinted>
  <dcterms:created xsi:type="dcterms:W3CDTF">2026-04-17T05:29:00Z</dcterms:created>
  <dcterms:modified xsi:type="dcterms:W3CDTF">2026-04-18T01:35:00Z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2fd5b264-8694-4c0e-afc3-f333ad041265</vt:lpwstr>
  </property>
</Properties>
</file>