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61229B97" w:rsidR="00AA7D26" w:rsidRPr="00F13D41" w:rsidRDefault="004A5E57" w:rsidP="004A5E57">
            <w:pPr>
              <w:ind w:left="-107"/>
              <w:outlineLvl w:val="2"/>
              <w:rPr>
                <w:rFonts w:ascii="Tahoma" w:hAnsi="Tahoma" w:cs="Tahoma"/>
                <w:bCs/>
                <w:color w:val="000000"/>
                <w:sz w:val="14"/>
                <w:szCs w:val="14"/>
                <w:lang w:eastAsia="it-IT"/>
              </w:rPr>
            </w:pPr>
            <w:r w:rsidRPr="00F13D41">
              <w:rPr>
                <w:rFonts w:ascii="Tahoma" w:hAnsi="Tahoma" w:cs="Tahoma"/>
                <w:iCs/>
                <w:color w:val="333333"/>
                <w:sz w:val="14"/>
                <w:szCs w:val="14"/>
                <w:lang w:eastAsia="it-IT"/>
              </w:rPr>
              <w:t>Guest Editors:</w:t>
            </w:r>
            <w:r w:rsidRPr="00F13D41">
              <w:rPr>
                <w:rFonts w:ascii="Tahoma" w:hAnsi="Tahoma" w:cs="Tahoma"/>
                <w:color w:val="000000"/>
                <w:sz w:val="14"/>
                <w:szCs w:val="14"/>
                <w:shd w:val="clear" w:color="auto" w:fill="FFFFFF"/>
              </w:rPr>
              <w:t xml:space="preserve"> </w:t>
            </w:r>
            <w:r w:rsidR="00EA3EF9" w:rsidRPr="00F13D41">
              <w:rPr>
                <w:rFonts w:ascii="Tahoma" w:hAnsi="Tahoma" w:cs="Tahoma"/>
                <w:color w:val="000000"/>
                <w:sz w:val="14"/>
                <w:szCs w:val="14"/>
                <w:shd w:val="clear" w:color="auto" w:fill="FFFFFF"/>
              </w:rPr>
              <w:t xml:space="preserve">Leonardo Tognotti, </w:t>
            </w:r>
            <w:r w:rsidR="00EA3EF9" w:rsidRPr="00F13D41">
              <w:rPr>
                <w:rFonts w:ascii="Tahoma" w:hAnsi="Tahoma" w:cs="Tahoma"/>
                <w:color w:val="000000"/>
                <w:sz w:val="14"/>
                <w:szCs w:val="14"/>
              </w:rPr>
              <w:t>Rubens Maciel Filho</w:t>
            </w:r>
            <w:r w:rsidR="00EA3EF9" w:rsidRPr="00F13D41">
              <w:rPr>
                <w:rFonts w:ascii="Tahoma" w:hAnsi="Tahoma" w:cs="Tahoma"/>
                <w:color w:val="000000"/>
                <w:sz w:val="14"/>
                <w:szCs w:val="14"/>
                <w:shd w:val="clear" w:color="auto" w:fill="FFFFFF"/>
              </w:rPr>
              <w:t xml:space="preserve">, </w:t>
            </w:r>
            <w:r w:rsidR="00EA3EF9" w:rsidRPr="00F13D41">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5A1458B" w:rsidR="00E978D0" w:rsidRPr="00B57B36" w:rsidRDefault="00F87348" w:rsidP="00E978D0">
      <w:pPr>
        <w:pStyle w:val="CETTitle"/>
      </w:pPr>
      <w:r>
        <w:t>Hydrogen-rich syngas from plastic-biomass wastes via innovative thermochemical conversion</w:t>
      </w:r>
    </w:p>
    <w:p w14:paraId="0488FED2" w14:textId="1E477D26" w:rsidR="00B57E6F" w:rsidRPr="00F87348" w:rsidRDefault="00F87348" w:rsidP="00B57E6F">
      <w:pPr>
        <w:pStyle w:val="CETAuthors"/>
        <w:rPr>
          <w:lang w:val="it-IT"/>
        </w:rPr>
      </w:pPr>
      <w:r w:rsidRPr="00F87348">
        <w:rPr>
          <w:lang w:val="it-IT"/>
        </w:rPr>
        <w:t>Mariangela Guastaferro</w:t>
      </w:r>
      <w:r w:rsidR="00B57E6F" w:rsidRPr="00F87348">
        <w:rPr>
          <w:lang w:val="it-IT"/>
        </w:rPr>
        <w:t xml:space="preserve">*, </w:t>
      </w:r>
      <w:r w:rsidRPr="00F87348">
        <w:rPr>
          <w:lang w:val="it-IT"/>
        </w:rPr>
        <w:t>Cristiano Nicolella, L</w:t>
      </w:r>
      <w:r>
        <w:rPr>
          <w:lang w:val="it-IT"/>
        </w:rPr>
        <w:t>eonardo Tognotti</w:t>
      </w:r>
    </w:p>
    <w:p w14:paraId="2F56C871" w14:textId="77777777" w:rsidR="00F87348" w:rsidRPr="00B57B36" w:rsidRDefault="00F87348" w:rsidP="00F87348">
      <w:pPr>
        <w:pStyle w:val="CETAddress"/>
      </w:pPr>
      <w:r w:rsidRPr="006C5A41">
        <w:t>Department of Civil and Industrial Engineering, University of Pisa, Largo Lazzarino 2, 56122 Pisa, Italy</w:t>
      </w:r>
    </w:p>
    <w:p w14:paraId="73F1267A" w14:textId="7869BD79" w:rsidR="00B57E6F" w:rsidRDefault="00F87348" w:rsidP="00B57E6F">
      <w:pPr>
        <w:pStyle w:val="CETemail"/>
        <w:rPr>
          <w:lang w:val="fr-FR"/>
        </w:rPr>
      </w:pPr>
      <w:hyperlink r:id="rId10" w:history="1">
        <w:r w:rsidRPr="00020CA6">
          <w:rPr>
            <w:rStyle w:val="Collegamentoipertestuale"/>
            <w:lang w:val="fr-FR"/>
          </w:rPr>
          <w:t>mariangela.guastaferro@unipi.it</w:t>
        </w:r>
      </w:hyperlink>
    </w:p>
    <w:p w14:paraId="3A501F11" w14:textId="6EEDB9DF" w:rsidR="00F87348" w:rsidRPr="00F87348" w:rsidRDefault="00F87348" w:rsidP="00F87348">
      <w:pPr>
        <w:pStyle w:val="CETBodytext"/>
        <w:rPr>
          <w:b/>
          <w:bCs/>
          <w:sz w:val="20"/>
          <w:szCs w:val="22"/>
        </w:rPr>
      </w:pPr>
      <w:r w:rsidRPr="00F87348">
        <w:rPr>
          <w:b/>
          <w:bCs/>
          <w:sz w:val="20"/>
          <w:szCs w:val="22"/>
        </w:rPr>
        <w:t>Abstract</w:t>
      </w:r>
    </w:p>
    <w:p w14:paraId="7DD04997" w14:textId="0F5FB5CA" w:rsidR="00F87348" w:rsidRPr="00F87348" w:rsidRDefault="00712B0A" w:rsidP="00712B0A">
      <w:pPr>
        <w:pStyle w:val="CETBodytext"/>
      </w:pPr>
      <w:r>
        <w:t xml:space="preserve">This study investigates the production of hydrogen-rich syngas from the co-pyrolysis of lignocellulosic biomass and plastic solid waste through a comparative analysis of conventional pyrolysis and microwave-assisted pyrolysis (MAP). The primary objective is to assess the effectiveness of these thermochemical conversion routes in terms of product distribution, syngas composition, and hydrogen yield, with particular attention to the influence of feedstock composition and heating mechanisms. Laboratory-scale experiments were performed using different biomass-to-plastic ratios under inert conditions, ensuring controlled and comparable operating environments. The results demonstrate that MAP significantly enhances process performance compared to conventional pyrolysis. </w:t>
      </w:r>
      <w:proofErr w:type="gramStart"/>
      <w:r>
        <w:t>In particular, MAP</w:t>
      </w:r>
      <w:proofErr w:type="gramEnd"/>
      <w:r>
        <w:t xml:space="preserve"> promotes higher gas yields and improved syngas quality, with hydrogen concentrations increasing by up to 35% and carbon dioxide emissions decreasing by nearly 40%. The H</w:t>
      </w:r>
      <w:r w:rsidRPr="00712B0A">
        <w:rPr>
          <w:rFonts w:ascii="Cambria Math" w:hAnsi="Cambria Math" w:cs="Cambria Math"/>
          <w:vertAlign w:val="subscript"/>
        </w:rPr>
        <w:t>2</w:t>
      </w:r>
      <w:r>
        <w:t xml:space="preserve">/CO ratio obtained under microwave conditions is notably higher, making the resulting syngas more suitable for downstream applications such as synthetic fuel and chemical production. These improvements are primarily attributed to the unique heating characteristics of MAP, including rapid and volumetric heat transfer, reduced temperature gradients, and the formation of localized high-temperature zones that intensify cracking, reforming, and water–gas shift reactions. Furthermore, the study highlights the presence of significant synergistic interactions during the co-pyrolysis of biomass and plastics. Hydrogen-rich volatiles released from plastics enhance the deoxygenation of biomass-derived compounds, while biomass contributes to improved heat distribution and reaction stability. These interactions result in non-linear increases in gas yield and hydrogen production, exceeding the expected additive behavior of individual feedstocks. In contrast, conventional pyrolysis exhibits slower heat transfer and less uniform temperature profiles, limiting both reaction efficiency and synergy between components. In addition to gas production, notable differences were observed in liquid and solid product distributions. MAP favors the formation of lighter hydrocarbons and reduces the generation of heavy wax fractions, improving the quality and usability of liquid products. Overall, the findings confirm that microwave-assisted pyrolysis is a promising and sustainable technology for the valorization of heterogeneous waste streams. By enhancing hydrogen production and improving syngas quality, MAP offers a viable pathway to support circular </w:t>
      </w:r>
      <w:proofErr w:type="gramStart"/>
      <w:r>
        <w:t>economy</w:t>
      </w:r>
      <w:proofErr w:type="gramEnd"/>
      <w:r>
        <w:t xml:space="preserve"> strategies and the transition toward low-carbon energy systems</w:t>
      </w:r>
    </w:p>
    <w:p w14:paraId="476B2F2E" w14:textId="77777777" w:rsidR="00600535" w:rsidRPr="00B57B36" w:rsidRDefault="00600535" w:rsidP="00600535">
      <w:pPr>
        <w:pStyle w:val="CETHeading1"/>
        <w:rPr>
          <w:lang w:val="en-GB"/>
        </w:rPr>
      </w:pPr>
      <w:r w:rsidRPr="00B57B36">
        <w:rPr>
          <w:lang w:val="en-GB"/>
        </w:rPr>
        <w:t>Introduction</w:t>
      </w:r>
    </w:p>
    <w:p w14:paraId="64A1E133" w14:textId="6A902573" w:rsidR="007931FA" w:rsidRDefault="00F13D41" w:rsidP="00F13D41">
      <w:pPr>
        <w:pStyle w:val="CETListbullets"/>
        <w:ind w:left="0" w:firstLine="0"/>
      </w:pPr>
      <w:r>
        <w:t xml:space="preserve">In recent years, the transition toward more circular and sustainable energy systems has been the main driving force to intensify the investigation and innovation of thermochemical processes. In this context, pyrolysis of lignocellulosic biomass and plastic waste has emerged as a key technology for converting wastes having low heating values into higher energetic co-products, such as syngas, bio-oil, and solid char. Indeed, the growing accumulation of biomass and plastic waste and the need to reduce the dependence on fossil fuels further underlines the importance of developing efficient conversion </w:t>
      </w:r>
      <w:r w:rsidR="008325FB">
        <w:t xml:space="preserve">technologies capable of handling heterogeneous feedstocks, </w:t>
      </w:r>
      <w:proofErr w:type="gramStart"/>
      <w:r w:rsidR="008325FB">
        <w:t>in order to</w:t>
      </w:r>
      <w:proofErr w:type="gramEnd"/>
      <w:r w:rsidR="008325FB">
        <w:t xml:space="preserve"> reduce the variability of process outputs</w:t>
      </w:r>
      <w:r w:rsidR="00712B0A">
        <w:t xml:space="preserve"> (Kan et al., 2016; </w:t>
      </w:r>
      <w:r w:rsidR="00712B0A" w:rsidRPr="00BA7DD9">
        <w:t xml:space="preserve">Nath </w:t>
      </w:r>
      <w:r w:rsidR="00712B0A">
        <w:t>et al. 2024)</w:t>
      </w:r>
      <w:r w:rsidR="008325FB">
        <w:t>.</w:t>
      </w:r>
    </w:p>
    <w:p w14:paraId="1A5020CB" w14:textId="3B5332A1" w:rsidR="008325FB" w:rsidRDefault="008325FB" w:rsidP="00F13D41">
      <w:pPr>
        <w:pStyle w:val="CETListbullets"/>
        <w:ind w:left="0" w:firstLine="0"/>
      </w:pPr>
      <w:r>
        <w:t xml:space="preserve">Conventional pyrolysis has been extensively investigated and applied at both laboratory and industrial scales. However, this technology suffers from several drawbacks, such as its surface heating mechanisms, relying on conduction and </w:t>
      </w:r>
      <w:r w:rsidR="00712B0A">
        <w:t>convection</w:t>
      </w:r>
      <w:r>
        <w:t xml:space="preserve">, which often result in slow heating rates and significant temperature </w:t>
      </w:r>
      <w:r w:rsidR="00496C8E">
        <w:t>gradients</w:t>
      </w:r>
      <w:r>
        <w:t xml:space="preserve"> within </w:t>
      </w:r>
      <w:r>
        <w:lastRenderedPageBreak/>
        <w:t xml:space="preserve">the reactor and pellet materials. Therefore, when heterogeneous feedstocks, such as biomass-plastic blends, characterized also by significant differences in thermal properties, undergo simultaneous thermo-chemical conversion, these limitations become particularly critical. Indeed, they can lead to incomplete degradation, poor product selectivity and the formation of undesirable by-products, ultimately </w:t>
      </w:r>
      <w:r w:rsidR="00496C8E">
        <w:t>reducing</w:t>
      </w:r>
      <w:r>
        <w:t xml:space="preserve"> process efficiency and economic viability</w:t>
      </w:r>
      <w:r w:rsidR="00496C8E">
        <w:t>.</w:t>
      </w:r>
    </w:p>
    <w:p w14:paraId="3E18CE57" w14:textId="1A212135" w:rsidR="00496C8E" w:rsidRDefault="008325FB" w:rsidP="00F13D41">
      <w:pPr>
        <w:pStyle w:val="CETListbullets"/>
        <w:ind w:left="0" w:firstLine="0"/>
      </w:pPr>
      <w:r>
        <w:t xml:space="preserve">In recent years, </w:t>
      </w:r>
      <w:r w:rsidR="003A3410">
        <w:t>microwave-assisted</w:t>
      </w:r>
      <w:r>
        <w:t xml:space="preserve"> pyrolysis (MAP) has been widely investigated at </w:t>
      </w:r>
      <w:r w:rsidR="00496C8E">
        <w:t xml:space="preserve">lab-scale as a promising alternative to conventional thermal processes. </w:t>
      </w:r>
      <w:r w:rsidR="006E2BDB">
        <w:t xml:space="preserve">In contrast to conventional heating mechanisms, microwave-assisted pyrolysis enables rapid and uniform heat transfer. The direct interaction between electromagnetic waves and the material being processed </w:t>
      </w:r>
      <w:r w:rsidR="0031553C">
        <w:t>results in higher heating rates, minimized temperature gradients, and precise control over reaction kinetics.</w:t>
      </w:r>
      <w:r w:rsidR="006E2BDB">
        <w:t xml:space="preserve"> </w:t>
      </w:r>
      <w:r w:rsidR="0031553C">
        <w:t xml:space="preserve">Lignocellulosic biomass is generally characterized by proper dielectric properties, a feature that makes it suitable for being processed through MAP. Otherwise, plastic materials suffer from low absorption capacity and therefore require the presence of an appropriate susceptor to achieve efficient heating. </w:t>
      </w:r>
    </w:p>
    <w:p w14:paraId="3055FBA9" w14:textId="34574A76" w:rsidR="006E2BDB" w:rsidRDefault="0031553C" w:rsidP="00F13D41">
      <w:pPr>
        <w:pStyle w:val="CETListbullets"/>
        <w:ind w:left="0" w:firstLine="0"/>
      </w:pPr>
      <w:r>
        <w:t xml:space="preserve">In addition, MAP has shown notable benefits in terms of product yield and composition. </w:t>
      </w:r>
      <w:r w:rsidR="00712B0A">
        <w:t>According</w:t>
      </w:r>
      <w:r>
        <w:t xml:space="preserve"> to literature investigation, Map </w:t>
      </w:r>
      <w:proofErr w:type="gramStart"/>
      <w:r>
        <w:t>is able to</w:t>
      </w:r>
      <w:proofErr w:type="gramEnd"/>
      <w:r>
        <w:t xml:space="preserve"> guarantee higher gas production, increased hydrogen generation, and lower CO</w:t>
      </w:r>
      <w:r w:rsidRPr="0031553C">
        <w:rPr>
          <w:vertAlign w:val="subscript"/>
        </w:rPr>
        <w:t>2</w:t>
      </w:r>
      <w:r>
        <w:t xml:space="preserve"> emissions compared to conventional pyrolysis. These results could be explained </w:t>
      </w:r>
      <w:r w:rsidR="00712B0A">
        <w:t xml:space="preserve">by </w:t>
      </w:r>
      <w:r>
        <w:t xml:space="preserve">considering the occurrence reduction of secondary reactions and the enhancement of more selective cracking pathways under microwave irradiation. Moreover, it should be considered that co-pyrolysis of lignocellulosic biomasses and plastics can lead to synergistic interactions: hydrogen-rich volatiles released from plastics enhance the deoxygenation of biomass-derived compounds, thereby improving syngas quality and </w:t>
      </w:r>
      <w:r w:rsidR="00703306">
        <w:t>increasing overall energy recovery</w:t>
      </w:r>
      <w:r w:rsidR="00600186">
        <w:t xml:space="preserve"> (</w:t>
      </w:r>
      <w:r w:rsidR="00600186" w:rsidRPr="00A855C9">
        <w:t xml:space="preserve">Saifuddin </w:t>
      </w:r>
      <w:r w:rsidR="00600186">
        <w:t>et al., 2016)</w:t>
      </w:r>
      <w:r w:rsidR="00703306">
        <w:t>.</w:t>
      </w:r>
    </w:p>
    <w:p w14:paraId="18132B74" w14:textId="4DE8A219" w:rsidR="00703306" w:rsidRDefault="00703306" w:rsidP="00F13D41">
      <w:pPr>
        <w:pStyle w:val="CETListbullets"/>
        <w:ind w:left="0" w:firstLine="0"/>
      </w:pPr>
      <w:r>
        <w:t>Nevertheless, despite these advantages, some limitations of MAP implementation and diffusion need to be addressed. Key challenges include reactor design optimization, overall energy efficiency, scalability of the process and achieving uniform distribution of microwave fields within the reactor</w:t>
      </w:r>
      <w:r w:rsidR="00600186">
        <w:t xml:space="preserve"> (Guastaferro et al., 2025; Hasan et al., 2025)</w:t>
      </w:r>
      <w:r>
        <w:t xml:space="preserve">. </w:t>
      </w:r>
      <w:r w:rsidR="00712B0A">
        <w:t>Furthermore</w:t>
      </w:r>
      <w:r w:rsidR="00540C87">
        <w:t xml:space="preserve">, conducting systematic comparison between conventional and innovative heating systems, under well-controlled operative conditions, remains a key point to assess advantages and constraints of both technologies. </w:t>
      </w:r>
    </w:p>
    <w:p w14:paraId="4AA33141" w14:textId="22340D71" w:rsidR="00496C8E" w:rsidRPr="00B57B36" w:rsidRDefault="00496C8E" w:rsidP="00F13D41">
      <w:pPr>
        <w:pStyle w:val="CETListbullets"/>
        <w:ind w:left="0" w:firstLine="0"/>
      </w:pPr>
      <w:r>
        <w:t xml:space="preserve">Within this framework, the present work aims to provide a comprehensive comparative </w:t>
      </w:r>
      <w:r w:rsidR="003A3410">
        <w:t xml:space="preserve">analysis between one-stage conventional pyrolysis and one-stage microwave-assisted pyrolysis applied to biomass and plastic waste. Attention is given to process performance in terms of product distribution, syngas composition and hydrogen production. By highlighting the fundamental differences between these two approaches, this study seeks to contribute to the development of more efficient and sustainable waste-to-energy technologies. </w:t>
      </w:r>
    </w:p>
    <w:p w14:paraId="03CEA04C" w14:textId="5B7F3D0A" w:rsidR="00C52C3C" w:rsidRDefault="0071315F" w:rsidP="00F13D41">
      <w:pPr>
        <w:pStyle w:val="CETHeading1"/>
      </w:pPr>
      <w:r>
        <w:t>Materials and Methods</w:t>
      </w:r>
    </w:p>
    <w:p w14:paraId="5BF3BCB0" w14:textId="3DE9D722" w:rsidR="0071315F" w:rsidRDefault="0071315F" w:rsidP="0071315F">
      <w:pPr>
        <w:pStyle w:val="CETheadingx"/>
      </w:pPr>
      <w:r>
        <w:t>Materials</w:t>
      </w:r>
    </w:p>
    <w:p w14:paraId="30476491" w14:textId="2D9655F3" w:rsidR="0071315F" w:rsidRDefault="0071315F" w:rsidP="0071315F">
      <w:pPr>
        <w:pStyle w:val="CETBodytext"/>
      </w:pPr>
      <w:r>
        <w:t xml:space="preserve">The experimental work was conducted using biomass derived from agricultural </w:t>
      </w:r>
      <w:r w:rsidR="00DB1A8F">
        <w:t xml:space="preserve">lignocellulosic </w:t>
      </w:r>
      <w:r>
        <w:t xml:space="preserve">residues (RLB) and plastic solid waste (PSW). The plastic fraction was mainly constituted by polyolefins, since it is generated from the densified polyolefin production (Guastaferro et al., 2026). Previous analysis, reported in (Guastaferro et al., 2026), showed the thermal degradation behavior of these feedstocks, under an inert atmosphere, analyzed by thermo-gravimetric analysis (TGA). Before the experiments, all feedstocks were ground to particles sizes below approximately 2 mm. This pre-treatment step improves heat transfer and ensures more uniform reaction conditions during pyrolysis. </w:t>
      </w:r>
      <w:r w:rsidR="00DB1A8F">
        <w:t>Moreover, the elemental composition underlines that RLB, due to its high oxygen content and the presence of polar functional groups, can interact synergistically with plastics, that are rich in hydrogen (Guastaferro et al., 2026).</w:t>
      </w:r>
    </w:p>
    <w:p w14:paraId="73B6CBAD" w14:textId="75302711" w:rsidR="0071315F" w:rsidRDefault="0071315F" w:rsidP="0071315F">
      <w:pPr>
        <w:pStyle w:val="CETheadingx"/>
      </w:pPr>
      <w:r>
        <w:t>Methods</w:t>
      </w:r>
    </w:p>
    <w:p w14:paraId="05E9CB7D" w14:textId="40BD21C9" w:rsidR="0071315F" w:rsidRDefault="00DB1A8F" w:rsidP="0071315F">
      <w:pPr>
        <w:pStyle w:val="CETBodytext"/>
      </w:pPr>
      <w:r>
        <w:t xml:space="preserve">Conventional pyrolysis experiments were carried out in a batch reactor heated externally, operating under an inert atmosphere at a temperature of approximately 600 °C. Heat transfer, in this system, occurred mainly by convection and conduction. In parallel, microwave-assisted pyrolysis was performed using a microwave furnace, including a vertical quartz tube and a microwave susceptor (charcoal) that was used to improve heating efficiency. The system operated at 2.45 GHz, with a maximum power range of 2400 W. </w:t>
      </w:r>
    </w:p>
    <w:p w14:paraId="5C6AF8B0" w14:textId="798401F1" w:rsidR="006E550D" w:rsidRDefault="006E550D" w:rsidP="0071315F">
      <w:pPr>
        <w:pStyle w:val="CETBodytext"/>
      </w:pPr>
      <w:r>
        <w:t>For each experiment, about 5 grammes of material</w:t>
      </w:r>
      <w:r w:rsidR="00701503">
        <w:t xml:space="preserve">, comprising biomass and plastic wastes, </w:t>
      </w:r>
      <w:r>
        <w:t>w</w:t>
      </w:r>
      <w:r w:rsidR="00701503">
        <w:t>ere</w:t>
      </w:r>
      <w:r>
        <w:t xml:space="preserve"> loaded in the reactor</w:t>
      </w:r>
      <w:r w:rsidR="00701503">
        <w:t xml:space="preserve"> and different RLB-to-PSW weight ratios were investigated. </w:t>
      </w:r>
      <w:r w:rsidR="0024599A">
        <w:t>Continuous</w:t>
      </w:r>
      <w:r w:rsidR="00701503">
        <w:t xml:space="preserve"> nitrogen flow </w:t>
      </w:r>
      <w:r w:rsidR="008E1B91">
        <w:t xml:space="preserve">of 300 mL/min </w:t>
      </w:r>
      <w:r w:rsidR="00701503">
        <w:t xml:space="preserve">was applied to maintain inert conditions and to carry </w:t>
      </w:r>
      <w:r w:rsidR="008E1B91">
        <w:t>volatile</w:t>
      </w:r>
      <w:r w:rsidR="00701503">
        <w:t xml:space="preserve"> products toward the condensation system. The reaction was considered complete when the outlet gas stream consisted mainly of nitrogen. </w:t>
      </w:r>
    </w:p>
    <w:p w14:paraId="2320D43D" w14:textId="322BFCE8" w:rsidR="00701503" w:rsidRDefault="00701503" w:rsidP="0071315F">
      <w:pPr>
        <w:pStyle w:val="CETBodytext"/>
      </w:pPr>
      <w:r>
        <w:t xml:space="preserve">Condensable vapors were collected using a series of condensers operating at controlled temperatures, enabling separation of liquid products such as bio-oil and wax fractions. Non-condensable gases were captured in </w:t>
      </w:r>
      <w:proofErr w:type="spellStart"/>
      <w:r>
        <w:t>Tedlar</w:t>
      </w:r>
      <w:proofErr w:type="spellEnd"/>
      <w:r>
        <w:t xml:space="preserve"> bags, and gas composition was analyzed by using a micro gas chromatograph (micro-GC) equipped with two </w:t>
      </w:r>
      <w:r>
        <w:lastRenderedPageBreak/>
        <w:t>columns for separating permanent gases. This method allows rapid and reliable quantification of species such as H</w:t>
      </w:r>
      <w:r w:rsidRPr="00701503">
        <w:rPr>
          <w:vertAlign w:val="subscript"/>
        </w:rPr>
        <w:t>2</w:t>
      </w:r>
      <w:r>
        <w:t>, CO, CO</w:t>
      </w:r>
      <w:r w:rsidRPr="00701503">
        <w:rPr>
          <w:vertAlign w:val="subscript"/>
        </w:rPr>
        <w:t>2</w:t>
      </w:r>
      <w:r>
        <w:t>, CH</w:t>
      </w:r>
      <w:r w:rsidRPr="00701503">
        <w:rPr>
          <w:vertAlign w:val="subscript"/>
        </w:rPr>
        <w:t>4</w:t>
      </w:r>
      <w:r>
        <w:t xml:space="preserve">, and other light hydrocarbons. It is particularly effective for </w:t>
      </w:r>
      <w:r w:rsidR="008E1B91">
        <w:t>near-real-time</w:t>
      </w:r>
      <w:r>
        <w:t xml:space="preserve"> pyrolysis gas analysis.</w:t>
      </w:r>
    </w:p>
    <w:p w14:paraId="76E975F6" w14:textId="2BDA7148" w:rsidR="00701503" w:rsidRDefault="0024599A" w:rsidP="0071315F">
      <w:pPr>
        <w:pStyle w:val="CETBodytext"/>
      </w:pPr>
      <w:r>
        <w:t xml:space="preserve">The liquid products were characterized using </w:t>
      </w:r>
      <w:proofErr w:type="gramStart"/>
      <w:r>
        <w:t>a gas</w:t>
      </w:r>
      <w:proofErr w:type="gramEnd"/>
      <w:r>
        <w:t xml:space="preserve"> chromatography-mass spectrometry (GC-MS), providing both qualitative and semi-quantitative information on hydrocarbon composition. Compounds were identified based on their retention times and mass spectra and grouped into carbon number ranges: gasoline fraction (C5-C9), diesel fraction (C10-C19), and heavier waxes (C19+).</w:t>
      </w:r>
    </w:p>
    <w:p w14:paraId="5A29F10D" w14:textId="1E6267C5" w:rsidR="0024599A" w:rsidRDefault="0024599A" w:rsidP="0071315F">
      <w:pPr>
        <w:pStyle w:val="CETBodytext"/>
      </w:pPr>
      <w:r>
        <w:t xml:space="preserve">Finally, the solid residue (char) remaining after each experiment was collected and </w:t>
      </w:r>
      <w:r w:rsidR="008E1B91">
        <w:t>weighed</w:t>
      </w:r>
      <w:r>
        <w:t xml:space="preserve"> to complete the overall mass balance.</w:t>
      </w:r>
    </w:p>
    <w:p w14:paraId="473AE00F" w14:textId="713EC2DC" w:rsidR="00DA76D1" w:rsidRDefault="00DA76D1" w:rsidP="00DA76D1">
      <w:pPr>
        <w:pStyle w:val="CETHeading1"/>
      </w:pPr>
      <w:r>
        <w:t>Results and Discussion</w:t>
      </w:r>
    </w:p>
    <w:p w14:paraId="4B71033C" w14:textId="3A268ADC" w:rsidR="00DA76D1" w:rsidRDefault="00007AC6" w:rsidP="00DA76D1">
      <w:pPr>
        <w:pStyle w:val="CETBodytext"/>
      </w:pPr>
      <w:r>
        <w:t>This section shows the comparison in product distribution, syngas and oil composition between conventional and innovative heating system (MAP). The experiments have been carried out processing RLB and PSW by using the following weight ratios (RLB:PSW):</w:t>
      </w:r>
      <w:r w:rsidR="00763BFC">
        <w:t xml:space="preserve"> </w:t>
      </w:r>
      <w:r>
        <w:t>1:0, 30:70, 50:50, 70:30 and 0:1.</w:t>
      </w:r>
    </w:p>
    <w:p w14:paraId="0BF5EACB" w14:textId="692A2197" w:rsidR="00007AC6" w:rsidRDefault="00007AC6" w:rsidP="00DA76D1">
      <w:pPr>
        <w:pStyle w:val="CETBodytext"/>
      </w:pPr>
    </w:p>
    <w:p w14:paraId="5B216431" w14:textId="663A8281" w:rsidR="00763BFC" w:rsidRDefault="008E1B91" w:rsidP="008E1B91">
      <w:pPr>
        <w:pStyle w:val="CETheadingx"/>
      </w:pPr>
      <w:r>
        <w:t>Product distribution</w:t>
      </w:r>
    </w:p>
    <w:p w14:paraId="02BEA131" w14:textId="25197511" w:rsidR="008E1B91" w:rsidRDefault="008E1B91" w:rsidP="00DA76D1">
      <w:pPr>
        <w:pStyle w:val="CETBodytext"/>
      </w:pPr>
      <w:r>
        <w:t xml:space="preserve">The product distribution obtained under microwave-assisted pyrolysis </w:t>
      </w:r>
      <w:r w:rsidR="009C2214">
        <w:t>and conventional pyrolysis, respectively reported in Table 1 and Table 2,</w:t>
      </w:r>
      <w:r>
        <w:t xml:space="preserve"> shows a clear dependence on feedstock composition and operating parameters. As reported in </w:t>
      </w:r>
      <w:r w:rsidR="009C2214">
        <w:t>the following tables</w:t>
      </w:r>
      <w:r>
        <w:t xml:space="preserve">, </w:t>
      </w:r>
      <w:r w:rsidR="00CC1A7D">
        <w:t xml:space="preserve">among the two considered processes, </w:t>
      </w:r>
      <w:r>
        <w:t xml:space="preserve">significant differences </w:t>
      </w:r>
      <w:r w:rsidR="009C2214">
        <w:t xml:space="preserve">were recorded </w:t>
      </w:r>
      <w:r>
        <w:t xml:space="preserve">in </w:t>
      </w:r>
      <w:r w:rsidR="00CC1A7D">
        <w:t xml:space="preserve">the amount of the </w:t>
      </w:r>
      <w:r w:rsidR="009C2214">
        <w:t xml:space="preserve">recovered </w:t>
      </w:r>
      <w:r>
        <w:t>three main co-products, i.e., gas, liquid and solid</w:t>
      </w:r>
      <w:r w:rsidR="00CC1A7D">
        <w:t xml:space="preserve">. </w:t>
      </w:r>
    </w:p>
    <w:p w14:paraId="1E974B2B" w14:textId="616940BA" w:rsidR="00A62824" w:rsidRPr="00B57B36" w:rsidRDefault="00A62824" w:rsidP="00A62824">
      <w:pPr>
        <w:pStyle w:val="CETTabletitle"/>
      </w:pPr>
      <w:r w:rsidRPr="00B57B36">
        <w:t xml:space="preserve">Table 1: </w:t>
      </w:r>
      <w:r w:rsidR="00CC1A7D">
        <w:t xml:space="preserve">Yield composition vs biomass content (RLB) in the feedstock by performing </w:t>
      </w:r>
      <w:r w:rsidR="009C2214">
        <w:t>microwave-assisted</w:t>
      </w:r>
      <w:r w:rsidR="00CC1A7D">
        <w:t xml:space="preserve"> pyrolysis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gridCol w:w="426"/>
      </w:tblGrid>
      <w:tr w:rsidR="00CC1A7D" w:rsidRPr="00B57B36" w14:paraId="10D10AA0" w14:textId="6B4937DE" w:rsidTr="00CC1A7D">
        <w:tc>
          <w:tcPr>
            <w:tcW w:w="1134" w:type="dxa"/>
            <w:tcBorders>
              <w:top w:val="single" w:sz="12" w:space="0" w:color="008000"/>
              <w:bottom w:val="single" w:sz="6" w:space="0" w:color="008000"/>
            </w:tcBorders>
            <w:shd w:val="clear" w:color="auto" w:fill="FFFFFF"/>
          </w:tcPr>
          <w:p w14:paraId="2D2B661F" w14:textId="521A2BF4" w:rsidR="00CC1A7D" w:rsidRPr="00B57B36" w:rsidRDefault="00CC1A7D" w:rsidP="00CC1A7D">
            <w:pPr>
              <w:pStyle w:val="CETBodytext"/>
              <w:jc w:val="left"/>
              <w:rPr>
                <w:lang w:val="en-GB"/>
              </w:rPr>
            </w:pPr>
            <w:r>
              <w:rPr>
                <w:lang w:val="en-GB"/>
              </w:rPr>
              <w:t xml:space="preserve">RLB </w:t>
            </w:r>
            <w:proofErr w:type="spellStart"/>
            <w:r>
              <w:rPr>
                <w:lang w:val="en-GB"/>
              </w:rPr>
              <w:t>wt</w:t>
            </w:r>
            <w:proofErr w:type="spellEnd"/>
            <w:r>
              <w:rPr>
                <w:lang w:val="en-GB"/>
              </w:rPr>
              <w:t>%</w:t>
            </w:r>
          </w:p>
        </w:tc>
        <w:tc>
          <w:tcPr>
            <w:tcW w:w="1134" w:type="dxa"/>
            <w:tcBorders>
              <w:top w:val="single" w:sz="12" w:space="0" w:color="008000"/>
              <w:bottom w:val="single" w:sz="6" w:space="0" w:color="008000"/>
            </w:tcBorders>
            <w:shd w:val="clear" w:color="auto" w:fill="FFFFFF"/>
          </w:tcPr>
          <w:p w14:paraId="74F98142" w14:textId="03787A1F" w:rsidR="00CC1A7D" w:rsidRPr="00B57B36" w:rsidRDefault="006D20CB" w:rsidP="00CC1A7D">
            <w:pPr>
              <w:pStyle w:val="CETBodytext"/>
              <w:jc w:val="left"/>
              <w:rPr>
                <w:lang w:val="en-GB"/>
              </w:rPr>
            </w:pPr>
            <w:r>
              <w:rPr>
                <w:lang w:val="en-GB"/>
              </w:rPr>
              <w:t xml:space="preserve">  </w:t>
            </w:r>
            <w:r w:rsidR="00CC1A7D">
              <w:rPr>
                <w:lang w:val="en-GB"/>
              </w:rPr>
              <w:t>0</w:t>
            </w:r>
          </w:p>
        </w:tc>
        <w:tc>
          <w:tcPr>
            <w:tcW w:w="1134" w:type="dxa"/>
            <w:tcBorders>
              <w:top w:val="single" w:sz="12" w:space="0" w:color="008000"/>
              <w:bottom w:val="single" w:sz="6" w:space="0" w:color="008000"/>
            </w:tcBorders>
            <w:shd w:val="clear" w:color="auto" w:fill="FFFFFF"/>
          </w:tcPr>
          <w:p w14:paraId="22E0C48E" w14:textId="43297A4C" w:rsidR="00CC1A7D" w:rsidRPr="00B57B36" w:rsidRDefault="00CC1A7D" w:rsidP="00CC1A7D">
            <w:pPr>
              <w:pStyle w:val="CETBodytext"/>
              <w:jc w:val="left"/>
              <w:rPr>
                <w:lang w:val="en-GB"/>
              </w:rPr>
            </w:pPr>
            <w:r>
              <w:rPr>
                <w:lang w:val="en-GB"/>
              </w:rPr>
              <w:t>0.3</w:t>
            </w:r>
          </w:p>
        </w:tc>
        <w:tc>
          <w:tcPr>
            <w:tcW w:w="1134" w:type="dxa"/>
            <w:tcBorders>
              <w:top w:val="single" w:sz="12" w:space="0" w:color="008000"/>
              <w:bottom w:val="single" w:sz="6" w:space="0" w:color="008000"/>
            </w:tcBorders>
            <w:shd w:val="clear" w:color="auto" w:fill="FFFFFF"/>
          </w:tcPr>
          <w:p w14:paraId="23E12D91" w14:textId="6026BBCF" w:rsidR="00CC1A7D" w:rsidRPr="00B57B36" w:rsidRDefault="00CC1A7D" w:rsidP="00CC1A7D">
            <w:pPr>
              <w:pStyle w:val="CETBodytext"/>
              <w:ind w:right="-1"/>
              <w:jc w:val="left"/>
              <w:rPr>
                <w:rFonts w:cs="Arial"/>
                <w:szCs w:val="18"/>
                <w:lang w:val="en-GB"/>
              </w:rPr>
            </w:pPr>
            <w:r>
              <w:rPr>
                <w:rFonts w:cs="Arial"/>
                <w:szCs w:val="18"/>
                <w:lang w:val="en-GB"/>
              </w:rPr>
              <w:t>0.5</w:t>
            </w:r>
          </w:p>
        </w:tc>
        <w:tc>
          <w:tcPr>
            <w:tcW w:w="1134" w:type="dxa"/>
            <w:tcBorders>
              <w:top w:val="single" w:sz="12" w:space="0" w:color="008000"/>
              <w:bottom w:val="single" w:sz="6" w:space="0" w:color="008000"/>
            </w:tcBorders>
            <w:shd w:val="clear" w:color="auto" w:fill="FFFFFF"/>
          </w:tcPr>
          <w:p w14:paraId="109DCD13" w14:textId="155AE3F4" w:rsidR="00CC1A7D" w:rsidRPr="00B57B36" w:rsidRDefault="00CC1A7D" w:rsidP="00CC1A7D">
            <w:pPr>
              <w:pStyle w:val="CETBodytext"/>
              <w:tabs>
                <w:tab w:val="clear" w:pos="7100"/>
                <w:tab w:val="left" w:pos="1040"/>
              </w:tabs>
              <w:ind w:right="-1"/>
              <w:jc w:val="left"/>
              <w:rPr>
                <w:rFonts w:cs="Arial"/>
                <w:szCs w:val="18"/>
                <w:lang w:val="en-GB"/>
              </w:rPr>
            </w:pPr>
            <w:r>
              <w:rPr>
                <w:rFonts w:cs="Arial"/>
                <w:szCs w:val="18"/>
                <w:lang w:val="en-GB"/>
              </w:rPr>
              <w:t>0.7</w:t>
            </w:r>
          </w:p>
        </w:tc>
        <w:tc>
          <w:tcPr>
            <w:tcW w:w="426" w:type="dxa"/>
            <w:tcBorders>
              <w:top w:val="single" w:sz="12" w:space="0" w:color="008000"/>
              <w:bottom w:val="single" w:sz="6" w:space="0" w:color="008000"/>
            </w:tcBorders>
            <w:shd w:val="clear" w:color="auto" w:fill="FFFFFF"/>
          </w:tcPr>
          <w:p w14:paraId="72F13EB9" w14:textId="053DE19A" w:rsidR="00CC1A7D" w:rsidRDefault="006D20CB" w:rsidP="00CC1A7D">
            <w:pPr>
              <w:pStyle w:val="CETBodytext"/>
              <w:tabs>
                <w:tab w:val="clear" w:pos="7100"/>
                <w:tab w:val="left" w:pos="1040"/>
              </w:tabs>
              <w:ind w:right="-1"/>
              <w:jc w:val="left"/>
              <w:rPr>
                <w:rFonts w:cs="Arial"/>
                <w:szCs w:val="18"/>
                <w:lang w:val="en-GB"/>
              </w:rPr>
            </w:pPr>
            <w:r>
              <w:rPr>
                <w:rFonts w:cs="Arial"/>
                <w:szCs w:val="18"/>
                <w:lang w:val="en-GB"/>
              </w:rPr>
              <w:t xml:space="preserve">  </w:t>
            </w:r>
            <w:r w:rsidR="00CC1A7D">
              <w:rPr>
                <w:rFonts w:cs="Arial"/>
                <w:szCs w:val="18"/>
                <w:lang w:val="en-GB"/>
              </w:rPr>
              <w:t>1</w:t>
            </w:r>
          </w:p>
        </w:tc>
      </w:tr>
      <w:tr w:rsidR="00CC1A7D" w:rsidRPr="00B57B36" w14:paraId="63ACE987" w14:textId="2C0041CF" w:rsidTr="00CC1A7D">
        <w:tc>
          <w:tcPr>
            <w:tcW w:w="1134" w:type="dxa"/>
            <w:shd w:val="clear" w:color="auto" w:fill="FFFFFF"/>
          </w:tcPr>
          <w:p w14:paraId="3E9162DC" w14:textId="4404385D" w:rsidR="00CC1A7D" w:rsidRPr="00B57B36" w:rsidRDefault="00CC1A7D" w:rsidP="00CE4067">
            <w:pPr>
              <w:pStyle w:val="CETBodytext"/>
              <w:rPr>
                <w:lang w:val="en-GB"/>
              </w:rPr>
            </w:pPr>
            <w:r>
              <w:rPr>
                <w:lang w:val="en-GB"/>
              </w:rPr>
              <w:t>Gas</w:t>
            </w:r>
          </w:p>
        </w:tc>
        <w:tc>
          <w:tcPr>
            <w:tcW w:w="1134" w:type="dxa"/>
            <w:shd w:val="clear" w:color="auto" w:fill="FFFFFF"/>
          </w:tcPr>
          <w:p w14:paraId="6A8A5761" w14:textId="0A51E986" w:rsidR="00CC1A7D" w:rsidRPr="00B57B36" w:rsidRDefault="006D20CB" w:rsidP="00CE4067">
            <w:pPr>
              <w:pStyle w:val="CETBodytext"/>
              <w:rPr>
                <w:lang w:val="en-GB"/>
              </w:rPr>
            </w:pPr>
            <w:r>
              <w:rPr>
                <w:lang w:val="en-GB"/>
              </w:rPr>
              <w:t xml:space="preserve">  </w:t>
            </w:r>
            <w:r w:rsidR="00CC1A7D">
              <w:rPr>
                <w:lang w:val="en-GB"/>
              </w:rPr>
              <w:t>7</w:t>
            </w:r>
          </w:p>
        </w:tc>
        <w:tc>
          <w:tcPr>
            <w:tcW w:w="1134" w:type="dxa"/>
            <w:shd w:val="clear" w:color="auto" w:fill="FFFFFF"/>
          </w:tcPr>
          <w:p w14:paraId="58470CB0" w14:textId="04492F6E" w:rsidR="00CC1A7D" w:rsidRPr="00B57B36" w:rsidRDefault="00CC1A7D" w:rsidP="00CE4067">
            <w:pPr>
              <w:pStyle w:val="CETBodytext"/>
              <w:rPr>
                <w:lang w:val="en-GB"/>
              </w:rPr>
            </w:pPr>
            <w:r>
              <w:rPr>
                <w:lang w:val="en-GB"/>
              </w:rPr>
              <w:t>23</w:t>
            </w:r>
          </w:p>
        </w:tc>
        <w:tc>
          <w:tcPr>
            <w:tcW w:w="1134" w:type="dxa"/>
            <w:shd w:val="clear" w:color="auto" w:fill="FFFFFF"/>
          </w:tcPr>
          <w:p w14:paraId="38BE9DB8" w14:textId="41BD7EA2" w:rsidR="00CC1A7D" w:rsidRPr="00B57B36" w:rsidRDefault="00CC1A7D" w:rsidP="00CE4067">
            <w:pPr>
              <w:pStyle w:val="CETBodytext"/>
              <w:ind w:right="-1"/>
              <w:rPr>
                <w:rFonts w:cs="Arial"/>
                <w:szCs w:val="18"/>
                <w:lang w:val="en-GB"/>
              </w:rPr>
            </w:pPr>
            <w:r>
              <w:rPr>
                <w:rFonts w:cs="Arial"/>
                <w:szCs w:val="18"/>
                <w:lang w:val="en-GB"/>
              </w:rPr>
              <w:t>21</w:t>
            </w:r>
          </w:p>
        </w:tc>
        <w:tc>
          <w:tcPr>
            <w:tcW w:w="1134" w:type="dxa"/>
            <w:shd w:val="clear" w:color="auto" w:fill="FFFFFF"/>
          </w:tcPr>
          <w:p w14:paraId="03B57743" w14:textId="127B8333" w:rsidR="00CC1A7D" w:rsidRPr="00B57B36" w:rsidRDefault="00CC1A7D" w:rsidP="00CE4067">
            <w:pPr>
              <w:pStyle w:val="CETBodytext"/>
              <w:ind w:right="-1"/>
              <w:rPr>
                <w:rFonts w:cs="Arial"/>
                <w:szCs w:val="18"/>
                <w:lang w:val="en-GB"/>
              </w:rPr>
            </w:pPr>
            <w:r>
              <w:rPr>
                <w:rFonts w:cs="Arial"/>
                <w:szCs w:val="18"/>
                <w:lang w:val="en-GB"/>
              </w:rPr>
              <w:t>19</w:t>
            </w:r>
          </w:p>
        </w:tc>
        <w:tc>
          <w:tcPr>
            <w:tcW w:w="426" w:type="dxa"/>
            <w:shd w:val="clear" w:color="auto" w:fill="FFFFFF"/>
          </w:tcPr>
          <w:p w14:paraId="20E96CC1" w14:textId="6A311CFE" w:rsidR="00CC1A7D" w:rsidRPr="00B57B36" w:rsidRDefault="00CC1A7D" w:rsidP="00CE4067">
            <w:pPr>
              <w:pStyle w:val="CETBodytext"/>
              <w:ind w:right="-1"/>
              <w:rPr>
                <w:rFonts w:cs="Arial"/>
                <w:szCs w:val="18"/>
                <w:lang w:val="en-GB"/>
              </w:rPr>
            </w:pPr>
            <w:r>
              <w:rPr>
                <w:rFonts w:cs="Arial"/>
                <w:szCs w:val="18"/>
                <w:lang w:val="en-GB"/>
              </w:rPr>
              <w:t>34</w:t>
            </w:r>
          </w:p>
        </w:tc>
      </w:tr>
      <w:tr w:rsidR="00CC1A7D" w:rsidRPr="00B57B36" w14:paraId="3139556D" w14:textId="35FDF7B0" w:rsidTr="00CC1A7D">
        <w:tc>
          <w:tcPr>
            <w:tcW w:w="1134" w:type="dxa"/>
            <w:shd w:val="clear" w:color="auto" w:fill="FFFFFF"/>
          </w:tcPr>
          <w:p w14:paraId="7B87D5FA" w14:textId="6801D137" w:rsidR="00CC1A7D" w:rsidRPr="00B57B36" w:rsidRDefault="00CC1A7D" w:rsidP="00CE4067">
            <w:pPr>
              <w:pStyle w:val="CETBodytext"/>
              <w:ind w:right="-1"/>
              <w:rPr>
                <w:rFonts w:cs="Arial"/>
                <w:szCs w:val="18"/>
                <w:lang w:val="en-GB"/>
              </w:rPr>
            </w:pPr>
            <w:r>
              <w:rPr>
                <w:rFonts w:cs="Arial"/>
                <w:szCs w:val="18"/>
                <w:lang w:val="en-GB"/>
              </w:rPr>
              <w:t>Oil</w:t>
            </w:r>
          </w:p>
        </w:tc>
        <w:tc>
          <w:tcPr>
            <w:tcW w:w="1134" w:type="dxa"/>
            <w:shd w:val="clear" w:color="auto" w:fill="FFFFFF"/>
          </w:tcPr>
          <w:p w14:paraId="2528D447" w14:textId="0916B507" w:rsidR="00CC1A7D" w:rsidRPr="00B57B36" w:rsidRDefault="00CC1A7D" w:rsidP="00CE4067">
            <w:pPr>
              <w:pStyle w:val="CETBodytext"/>
              <w:ind w:right="-1"/>
              <w:rPr>
                <w:rFonts w:cs="Arial"/>
                <w:szCs w:val="18"/>
                <w:lang w:val="en-GB"/>
              </w:rPr>
            </w:pPr>
            <w:r>
              <w:rPr>
                <w:rFonts w:cs="Arial"/>
                <w:szCs w:val="18"/>
                <w:lang w:val="en-GB"/>
              </w:rPr>
              <w:t>23</w:t>
            </w:r>
          </w:p>
        </w:tc>
        <w:tc>
          <w:tcPr>
            <w:tcW w:w="1134" w:type="dxa"/>
            <w:shd w:val="clear" w:color="auto" w:fill="FFFFFF"/>
          </w:tcPr>
          <w:p w14:paraId="2A647665" w14:textId="2D2131E7" w:rsidR="00CC1A7D" w:rsidRPr="00B57B36" w:rsidRDefault="00CC1A7D" w:rsidP="00CE4067">
            <w:pPr>
              <w:pStyle w:val="CETBodytext"/>
              <w:ind w:right="-1"/>
              <w:rPr>
                <w:rFonts w:cs="Arial"/>
                <w:szCs w:val="18"/>
                <w:lang w:val="en-GB"/>
              </w:rPr>
            </w:pPr>
            <w:r>
              <w:rPr>
                <w:rFonts w:cs="Arial"/>
                <w:szCs w:val="18"/>
                <w:lang w:val="en-GB"/>
              </w:rPr>
              <w:t>19</w:t>
            </w:r>
          </w:p>
        </w:tc>
        <w:tc>
          <w:tcPr>
            <w:tcW w:w="1134" w:type="dxa"/>
            <w:shd w:val="clear" w:color="auto" w:fill="FFFFFF"/>
          </w:tcPr>
          <w:p w14:paraId="6B1EC8EC" w14:textId="7FDBA9D9" w:rsidR="00CC1A7D" w:rsidRPr="00B57B36" w:rsidRDefault="00CC1A7D" w:rsidP="00CE4067">
            <w:pPr>
              <w:pStyle w:val="CETBodytext"/>
              <w:ind w:right="-1"/>
              <w:rPr>
                <w:rFonts w:cs="Arial"/>
                <w:szCs w:val="18"/>
                <w:lang w:val="en-GB"/>
              </w:rPr>
            </w:pPr>
            <w:r>
              <w:rPr>
                <w:rFonts w:cs="Arial"/>
                <w:szCs w:val="18"/>
                <w:lang w:val="en-GB"/>
              </w:rPr>
              <w:t>34</w:t>
            </w:r>
          </w:p>
        </w:tc>
        <w:tc>
          <w:tcPr>
            <w:tcW w:w="1134" w:type="dxa"/>
            <w:shd w:val="clear" w:color="auto" w:fill="FFFFFF"/>
          </w:tcPr>
          <w:p w14:paraId="170EE379" w14:textId="394A9809" w:rsidR="00CC1A7D" w:rsidRPr="00B57B36" w:rsidRDefault="00CC1A7D" w:rsidP="00CE4067">
            <w:pPr>
              <w:pStyle w:val="CETBodytext"/>
              <w:ind w:right="-1"/>
              <w:rPr>
                <w:rFonts w:cs="Arial"/>
                <w:szCs w:val="18"/>
                <w:lang w:val="en-GB"/>
              </w:rPr>
            </w:pPr>
            <w:r>
              <w:rPr>
                <w:rFonts w:cs="Arial"/>
                <w:szCs w:val="18"/>
                <w:lang w:val="en-GB"/>
              </w:rPr>
              <w:t>2</w:t>
            </w:r>
            <w:r w:rsidR="006D20CB">
              <w:rPr>
                <w:rFonts w:cs="Arial"/>
                <w:szCs w:val="18"/>
                <w:lang w:val="en-GB"/>
              </w:rPr>
              <w:t>3</w:t>
            </w:r>
          </w:p>
        </w:tc>
        <w:tc>
          <w:tcPr>
            <w:tcW w:w="426" w:type="dxa"/>
            <w:shd w:val="clear" w:color="auto" w:fill="FFFFFF"/>
          </w:tcPr>
          <w:p w14:paraId="6B13F107" w14:textId="15D136CF" w:rsidR="00CC1A7D" w:rsidRPr="00B57B36" w:rsidRDefault="00CC1A7D" w:rsidP="00CE4067">
            <w:pPr>
              <w:pStyle w:val="CETBodytext"/>
              <w:ind w:right="-1"/>
              <w:rPr>
                <w:rFonts w:cs="Arial"/>
                <w:szCs w:val="18"/>
                <w:lang w:val="en-GB"/>
              </w:rPr>
            </w:pPr>
            <w:r>
              <w:rPr>
                <w:rFonts w:cs="Arial"/>
                <w:szCs w:val="18"/>
                <w:lang w:val="en-GB"/>
              </w:rPr>
              <w:t>36</w:t>
            </w:r>
          </w:p>
        </w:tc>
      </w:tr>
      <w:tr w:rsidR="00CC1A7D" w:rsidRPr="00B57B36" w14:paraId="7CC5561A" w14:textId="77128E6E" w:rsidTr="00CC1A7D">
        <w:tc>
          <w:tcPr>
            <w:tcW w:w="1134" w:type="dxa"/>
            <w:shd w:val="clear" w:color="auto" w:fill="FFFFFF"/>
          </w:tcPr>
          <w:p w14:paraId="410E8644" w14:textId="6E536EC2" w:rsidR="00CC1A7D" w:rsidRPr="00B57B36" w:rsidRDefault="00CC1A7D" w:rsidP="00CE4067">
            <w:pPr>
              <w:pStyle w:val="CETBodytext"/>
              <w:ind w:right="-1"/>
              <w:rPr>
                <w:rFonts w:cs="Arial"/>
                <w:szCs w:val="18"/>
                <w:lang w:val="en-GB"/>
              </w:rPr>
            </w:pPr>
            <w:r>
              <w:rPr>
                <w:rFonts w:cs="Arial"/>
                <w:szCs w:val="18"/>
                <w:lang w:val="en-GB"/>
              </w:rPr>
              <w:t>Wax</w:t>
            </w:r>
          </w:p>
        </w:tc>
        <w:tc>
          <w:tcPr>
            <w:tcW w:w="1134" w:type="dxa"/>
            <w:shd w:val="clear" w:color="auto" w:fill="FFFFFF"/>
          </w:tcPr>
          <w:p w14:paraId="6541A848" w14:textId="1A599D75" w:rsidR="00CC1A7D" w:rsidRPr="00B57B36" w:rsidRDefault="00CC1A7D" w:rsidP="00CE4067">
            <w:pPr>
              <w:pStyle w:val="CETBodytext"/>
              <w:ind w:right="-1"/>
              <w:rPr>
                <w:rFonts w:cs="Arial"/>
                <w:szCs w:val="18"/>
                <w:lang w:val="en-GB"/>
              </w:rPr>
            </w:pPr>
            <w:r>
              <w:rPr>
                <w:rFonts w:cs="Arial"/>
                <w:szCs w:val="18"/>
                <w:lang w:val="en-GB"/>
              </w:rPr>
              <w:t>36</w:t>
            </w:r>
          </w:p>
        </w:tc>
        <w:tc>
          <w:tcPr>
            <w:tcW w:w="1134" w:type="dxa"/>
            <w:shd w:val="clear" w:color="auto" w:fill="FFFFFF"/>
          </w:tcPr>
          <w:p w14:paraId="22E1BA3C" w14:textId="7A90759A" w:rsidR="00CC1A7D" w:rsidRPr="00B57B36" w:rsidRDefault="00CC1A7D" w:rsidP="00CE4067">
            <w:pPr>
              <w:pStyle w:val="CETBodytext"/>
              <w:ind w:right="-1"/>
              <w:rPr>
                <w:rFonts w:cs="Arial"/>
                <w:szCs w:val="18"/>
                <w:lang w:val="en-GB"/>
              </w:rPr>
            </w:pPr>
            <w:r>
              <w:rPr>
                <w:rFonts w:cs="Arial"/>
                <w:szCs w:val="18"/>
                <w:lang w:val="en-GB"/>
              </w:rPr>
              <w:t>2</w:t>
            </w:r>
            <w:r w:rsidR="006D20CB">
              <w:rPr>
                <w:rFonts w:cs="Arial"/>
                <w:szCs w:val="18"/>
                <w:lang w:val="en-GB"/>
              </w:rPr>
              <w:t>8</w:t>
            </w:r>
          </w:p>
        </w:tc>
        <w:tc>
          <w:tcPr>
            <w:tcW w:w="1134" w:type="dxa"/>
            <w:shd w:val="clear" w:color="auto" w:fill="FFFFFF"/>
          </w:tcPr>
          <w:p w14:paraId="48B24EBD" w14:textId="63C89F0C" w:rsidR="00CC1A7D" w:rsidRPr="00B57B36" w:rsidRDefault="00CC1A7D" w:rsidP="00CE4067">
            <w:pPr>
              <w:pStyle w:val="CETBodytext"/>
              <w:ind w:right="-1"/>
              <w:rPr>
                <w:rFonts w:cs="Arial"/>
                <w:szCs w:val="18"/>
                <w:lang w:val="en-GB"/>
              </w:rPr>
            </w:pPr>
            <w:r>
              <w:rPr>
                <w:rFonts w:cs="Arial"/>
                <w:szCs w:val="18"/>
                <w:lang w:val="en-GB"/>
              </w:rPr>
              <w:t>16</w:t>
            </w:r>
          </w:p>
        </w:tc>
        <w:tc>
          <w:tcPr>
            <w:tcW w:w="1134" w:type="dxa"/>
            <w:shd w:val="clear" w:color="auto" w:fill="FFFFFF"/>
          </w:tcPr>
          <w:p w14:paraId="7B837250" w14:textId="7DD94C99" w:rsidR="00CC1A7D" w:rsidRPr="00B57B36" w:rsidRDefault="00CC1A7D" w:rsidP="00CE4067">
            <w:pPr>
              <w:pStyle w:val="CETBodytext"/>
              <w:ind w:right="-1"/>
              <w:rPr>
                <w:rFonts w:cs="Arial"/>
                <w:szCs w:val="18"/>
                <w:lang w:val="en-GB"/>
              </w:rPr>
            </w:pPr>
            <w:r>
              <w:rPr>
                <w:rFonts w:cs="Arial"/>
                <w:szCs w:val="18"/>
                <w:lang w:val="en-GB"/>
              </w:rPr>
              <w:t>34</w:t>
            </w:r>
          </w:p>
        </w:tc>
        <w:tc>
          <w:tcPr>
            <w:tcW w:w="426" w:type="dxa"/>
            <w:shd w:val="clear" w:color="auto" w:fill="FFFFFF"/>
          </w:tcPr>
          <w:p w14:paraId="1DEEF997" w14:textId="7CF46C9D" w:rsidR="00CC1A7D" w:rsidRPr="00B57B36" w:rsidRDefault="006D20CB" w:rsidP="00CE4067">
            <w:pPr>
              <w:pStyle w:val="CETBodytext"/>
              <w:ind w:right="-1"/>
              <w:rPr>
                <w:rFonts w:cs="Arial"/>
                <w:szCs w:val="18"/>
                <w:lang w:val="en-GB"/>
              </w:rPr>
            </w:pPr>
            <w:r>
              <w:rPr>
                <w:rFonts w:cs="Arial"/>
                <w:szCs w:val="18"/>
                <w:lang w:val="en-GB"/>
              </w:rPr>
              <w:t xml:space="preserve">  </w:t>
            </w:r>
            <w:r w:rsidR="00CC1A7D">
              <w:rPr>
                <w:rFonts w:cs="Arial"/>
                <w:szCs w:val="18"/>
                <w:lang w:val="en-GB"/>
              </w:rPr>
              <w:t>0</w:t>
            </w:r>
          </w:p>
        </w:tc>
      </w:tr>
      <w:tr w:rsidR="00CC1A7D" w:rsidRPr="00B57B36" w14:paraId="1D900D04" w14:textId="73E9D16C" w:rsidTr="00CC1A7D">
        <w:tc>
          <w:tcPr>
            <w:tcW w:w="1134" w:type="dxa"/>
            <w:shd w:val="clear" w:color="auto" w:fill="FFFFFF"/>
          </w:tcPr>
          <w:p w14:paraId="1332D7B3" w14:textId="3666585E" w:rsidR="00CC1A7D" w:rsidRPr="00B57B36" w:rsidRDefault="00CC1A7D" w:rsidP="00CE4067">
            <w:pPr>
              <w:pStyle w:val="CETBodytext"/>
              <w:ind w:right="-1"/>
              <w:rPr>
                <w:rFonts w:cs="Arial"/>
                <w:szCs w:val="18"/>
                <w:lang w:val="en-GB"/>
              </w:rPr>
            </w:pPr>
            <w:r>
              <w:rPr>
                <w:rFonts w:cs="Arial"/>
                <w:szCs w:val="18"/>
                <w:lang w:val="en-GB"/>
              </w:rPr>
              <w:t>Solid</w:t>
            </w:r>
          </w:p>
        </w:tc>
        <w:tc>
          <w:tcPr>
            <w:tcW w:w="1134" w:type="dxa"/>
            <w:shd w:val="clear" w:color="auto" w:fill="FFFFFF"/>
          </w:tcPr>
          <w:p w14:paraId="2089B5D0" w14:textId="5D420F30" w:rsidR="00CC1A7D" w:rsidRPr="00B57B36" w:rsidRDefault="006D20CB" w:rsidP="00CE4067">
            <w:pPr>
              <w:pStyle w:val="CETBodytext"/>
              <w:ind w:right="-1"/>
              <w:rPr>
                <w:rFonts w:cs="Arial"/>
                <w:szCs w:val="18"/>
                <w:lang w:val="en-GB"/>
              </w:rPr>
            </w:pPr>
            <w:r>
              <w:rPr>
                <w:rFonts w:cs="Arial"/>
                <w:szCs w:val="18"/>
                <w:lang w:val="en-GB"/>
              </w:rPr>
              <w:t xml:space="preserve">  </w:t>
            </w:r>
            <w:r w:rsidR="00CC1A7D">
              <w:rPr>
                <w:rFonts w:cs="Arial"/>
                <w:szCs w:val="18"/>
                <w:lang w:val="en-GB"/>
              </w:rPr>
              <w:t>6</w:t>
            </w:r>
          </w:p>
        </w:tc>
        <w:tc>
          <w:tcPr>
            <w:tcW w:w="1134" w:type="dxa"/>
            <w:shd w:val="clear" w:color="auto" w:fill="FFFFFF"/>
          </w:tcPr>
          <w:p w14:paraId="5E10A07C" w14:textId="7E18454E" w:rsidR="00CC1A7D" w:rsidRPr="00B57B36" w:rsidRDefault="006D20CB" w:rsidP="00CE4067">
            <w:pPr>
              <w:pStyle w:val="CETBodytext"/>
              <w:ind w:right="-1"/>
              <w:rPr>
                <w:rFonts w:cs="Arial"/>
                <w:szCs w:val="18"/>
                <w:lang w:val="en-GB"/>
              </w:rPr>
            </w:pPr>
            <w:r>
              <w:rPr>
                <w:rFonts w:cs="Arial"/>
                <w:szCs w:val="18"/>
                <w:lang w:val="en-GB"/>
              </w:rPr>
              <w:t xml:space="preserve">  </w:t>
            </w:r>
            <w:r w:rsidR="00CC1A7D">
              <w:rPr>
                <w:rFonts w:cs="Arial"/>
                <w:szCs w:val="18"/>
                <w:lang w:val="en-GB"/>
              </w:rPr>
              <w:t>2</w:t>
            </w:r>
          </w:p>
        </w:tc>
        <w:tc>
          <w:tcPr>
            <w:tcW w:w="1134" w:type="dxa"/>
            <w:shd w:val="clear" w:color="auto" w:fill="FFFFFF"/>
          </w:tcPr>
          <w:p w14:paraId="3EE9B087" w14:textId="03BD025F" w:rsidR="00CC1A7D" w:rsidRPr="00B57B36" w:rsidRDefault="006D20CB" w:rsidP="00CE4067">
            <w:pPr>
              <w:pStyle w:val="CETBodytext"/>
              <w:ind w:right="-1"/>
              <w:rPr>
                <w:rFonts w:cs="Arial"/>
                <w:szCs w:val="18"/>
                <w:lang w:val="en-GB"/>
              </w:rPr>
            </w:pPr>
            <w:r>
              <w:rPr>
                <w:rFonts w:cs="Arial"/>
                <w:szCs w:val="18"/>
                <w:lang w:val="en-GB"/>
              </w:rPr>
              <w:t xml:space="preserve">  </w:t>
            </w:r>
            <w:r w:rsidR="00CC1A7D">
              <w:rPr>
                <w:rFonts w:cs="Arial"/>
                <w:szCs w:val="18"/>
                <w:lang w:val="en-GB"/>
              </w:rPr>
              <w:t>7</w:t>
            </w:r>
          </w:p>
        </w:tc>
        <w:tc>
          <w:tcPr>
            <w:tcW w:w="1134" w:type="dxa"/>
            <w:shd w:val="clear" w:color="auto" w:fill="FFFFFF"/>
          </w:tcPr>
          <w:p w14:paraId="26261212" w14:textId="69145A93" w:rsidR="00CC1A7D" w:rsidRPr="00B57B36" w:rsidRDefault="006D20CB" w:rsidP="00CE4067">
            <w:pPr>
              <w:pStyle w:val="CETBodytext"/>
              <w:ind w:right="-1"/>
              <w:rPr>
                <w:rFonts w:cs="Arial"/>
                <w:szCs w:val="18"/>
                <w:lang w:val="en-GB"/>
              </w:rPr>
            </w:pPr>
            <w:r>
              <w:rPr>
                <w:rFonts w:cs="Arial"/>
                <w:szCs w:val="18"/>
                <w:lang w:val="en-GB"/>
              </w:rPr>
              <w:t xml:space="preserve">  </w:t>
            </w:r>
            <w:r w:rsidR="00CC1A7D">
              <w:rPr>
                <w:rFonts w:cs="Arial"/>
                <w:szCs w:val="18"/>
                <w:lang w:val="en-GB"/>
              </w:rPr>
              <w:t>4</w:t>
            </w:r>
          </w:p>
        </w:tc>
        <w:tc>
          <w:tcPr>
            <w:tcW w:w="426" w:type="dxa"/>
            <w:shd w:val="clear" w:color="auto" w:fill="FFFFFF"/>
          </w:tcPr>
          <w:p w14:paraId="6C140595" w14:textId="273F6655" w:rsidR="00CC1A7D" w:rsidRPr="00B57B36" w:rsidRDefault="00CC1A7D" w:rsidP="00CE4067">
            <w:pPr>
              <w:pStyle w:val="CETBodytext"/>
              <w:ind w:right="-1"/>
              <w:rPr>
                <w:rFonts w:cs="Arial"/>
                <w:szCs w:val="18"/>
                <w:lang w:val="en-GB"/>
              </w:rPr>
            </w:pPr>
            <w:r>
              <w:rPr>
                <w:rFonts w:cs="Arial"/>
                <w:szCs w:val="18"/>
                <w:lang w:val="en-GB"/>
              </w:rPr>
              <w:t>23</w:t>
            </w:r>
          </w:p>
        </w:tc>
      </w:tr>
    </w:tbl>
    <w:p w14:paraId="271E0DBA" w14:textId="6E49E705" w:rsidR="00CC1A7D" w:rsidRPr="00B57B36" w:rsidRDefault="00CC1A7D" w:rsidP="00CC1A7D">
      <w:pPr>
        <w:pStyle w:val="CETTabletitle"/>
      </w:pPr>
      <w:r w:rsidRPr="00B57B36">
        <w:t xml:space="preserve">Table </w:t>
      </w:r>
      <w:r>
        <w:t>2</w:t>
      </w:r>
      <w:r w:rsidRPr="00B57B36">
        <w:t xml:space="preserve">: </w:t>
      </w:r>
      <w:r>
        <w:t xml:space="preserve">Yield composition vs biomass content (RLB) in the feedstock by performing </w:t>
      </w:r>
      <w:r w:rsidR="009C2214">
        <w:t>conventional</w:t>
      </w:r>
      <w:r>
        <w:t xml:space="preserve"> pyrolysis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gridCol w:w="426"/>
      </w:tblGrid>
      <w:tr w:rsidR="00CC1A7D" w:rsidRPr="00B57B36" w14:paraId="46C1DD44" w14:textId="77777777" w:rsidTr="00CE4067">
        <w:tc>
          <w:tcPr>
            <w:tcW w:w="1134" w:type="dxa"/>
            <w:tcBorders>
              <w:top w:val="single" w:sz="12" w:space="0" w:color="008000"/>
              <w:bottom w:val="single" w:sz="6" w:space="0" w:color="008000"/>
            </w:tcBorders>
            <w:shd w:val="clear" w:color="auto" w:fill="FFFFFF"/>
          </w:tcPr>
          <w:p w14:paraId="47016EF6" w14:textId="77777777" w:rsidR="00CC1A7D" w:rsidRPr="00B57B36" w:rsidRDefault="00CC1A7D" w:rsidP="00CE4067">
            <w:pPr>
              <w:pStyle w:val="CETBodytext"/>
              <w:jc w:val="left"/>
              <w:rPr>
                <w:lang w:val="en-GB"/>
              </w:rPr>
            </w:pPr>
            <w:r>
              <w:rPr>
                <w:lang w:val="en-GB"/>
              </w:rPr>
              <w:t xml:space="preserve">RLB </w:t>
            </w:r>
            <w:proofErr w:type="spellStart"/>
            <w:r>
              <w:rPr>
                <w:lang w:val="en-GB"/>
              </w:rPr>
              <w:t>wt</w:t>
            </w:r>
            <w:proofErr w:type="spellEnd"/>
            <w:r>
              <w:rPr>
                <w:lang w:val="en-GB"/>
              </w:rPr>
              <w:t>%</w:t>
            </w:r>
          </w:p>
        </w:tc>
        <w:tc>
          <w:tcPr>
            <w:tcW w:w="1134" w:type="dxa"/>
            <w:tcBorders>
              <w:top w:val="single" w:sz="12" w:space="0" w:color="008000"/>
              <w:bottom w:val="single" w:sz="6" w:space="0" w:color="008000"/>
            </w:tcBorders>
            <w:shd w:val="clear" w:color="auto" w:fill="FFFFFF"/>
          </w:tcPr>
          <w:p w14:paraId="1D0ABDC5" w14:textId="3A4AD5AB" w:rsidR="00CC1A7D" w:rsidRPr="00B57B36" w:rsidRDefault="006D20CB" w:rsidP="00CE4067">
            <w:pPr>
              <w:pStyle w:val="CETBodytext"/>
              <w:jc w:val="left"/>
              <w:rPr>
                <w:lang w:val="en-GB"/>
              </w:rPr>
            </w:pPr>
            <w:r>
              <w:rPr>
                <w:lang w:val="en-GB"/>
              </w:rPr>
              <w:t xml:space="preserve">  </w:t>
            </w:r>
            <w:r w:rsidR="00CC1A7D">
              <w:rPr>
                <w:lang w:val="en-GB"/>
              </w:rPr>
              <w:t>0</w:t>
            </w:r>
          </w:p>
        </w:tc>
        <w:tc>
          <w:tcPr>
            <w:tcW w:w="1134" w:type="dxa"/>
            <w:tcBorders>
              <w:top w:val="single" w:sz="12" w:space="0" w:color="008000"/>
              <w:bottom w:val="single" w:sz="6" w:space="0" w:color="008000"/>
            </w:tcBorders>
            <w:shd w:val="clear" w:color="auto" w:fill="FFFFFF"/>
          </w:tcPr>
          <w:p w14:paraId="401EDF58" w14:textId="77777777" w:rsidR="00CC1A7D" w:rsidRPr="00B57B36" w:rsidRDefault="00CC1A7D" w:rsidP="00CE4067">
            <w:pPr>
              <w:pStyle w:val="CETBodytext"/>
              <w:jc w:val="left"/>
              <w:rPr>
                <w:lang w:val="en-GB"/>
              </w:rPr>
            </w:pPr>
            <w:r>
              <w:rPr>
                <w:lang w:val="en-GB"/>
              </w:rPr>
              <w:t>0.3</w:t>
            </w:r>
          </w:p>
        </w:tc>
        <w:tc>
          <w:tcPr>
            <w:tcW w:w="1134" w:type="dxa"/>
            <w:tcBorders>
              <w:top w:val="single" w:sz="12" w:space="0" w:color="008000"/>
              <w:bottom w:val="single" w:sz="6" w:space="0" w:color="008000"/>
            </w:tcBorders>
            <w:shd w:val="clear" w:color="auto" w:fill="FFFFFF"/>
          </w:tcPr>
          <w:p w14:paraId="7B6B1652" w14:textId="77777777" w:rsidR="00CC1A7D" w:rsidRPr="00B57B36" w:rsidRDefault="00CC1A7D" w:rsidP="00CE4067">
            <w:pPr>
              <w:pStyle w:val="CETBodytext"/>
              <w:ind w:right="-1"/>
              <w:jc w:val="left"/>
              <w:rPr>
                <w:rFonts w:cs="Arial"/>
                <w:szCs w:val="18"/>
                <w:lang w:val="en-GB"/>
              </w:rPr>
            </w:pPr>
            <w:r>
              <w:rPr>
                <w:rFonts w:cs="Arial"/>
                <w:szCs w:val="18"/>
                <w:lang w:val="en-GB"/>
              </w:rPr>
              <w:t>0.5</w:t>
            </w:r>
          </w:p>
        </w:tc>
        <w:tc>
          <w:tcPr>
            <w:tcW w:w="1134" w:type="dxa"/>
            <w:tcBorders>
              <w:top w:val="single" w:sz="12" w:space="0" w:color="008000"/>
              <w:bottom w:val="single" w:sz="6" w:space="0" w:color="008000"/>
            </w:tcBorders>
            <w:shd w:val="clear" w:color="auto" w:fill="FFFFFF"/>
          </w:tcPr>
          <w:p w14:paraId="56444272" w14:textId="77777777" w:rsidR="00CC1A7D" w:rsidRPr="00B57B36" w:rsidRDefault="00CC1A7D" w:rsidP="00CE4067">
            <w:pPr>
              <w:pStyle w:val="CETBodytext"/>
              <w:tabs>
                <w:tab w:val="clear" w:pos="7100"/>
                <w:tab w:val="left" w:pos="1040"/>
              </w:tabs>
              <w:ind w:right="-1"/>
              <w:jc w:val="left"/>
              <w:rPr>
                <w:rFonts w:cs="Arial"/>
                <w:szCs w:val="18"/>
                <w:lang w:val="en-GB"/>
              </w:rPr>
            </w:pPr>
            <w:r>
              <w:rPr>
                <w:rFonts w:cs="Arial"/>
                <w:szCs w:val="18"/>
                <w:lang w:val="en-GB"/>
              </w:rPr>
              <w:t>0.7</w:t>
            </w:r>
          </w:p>
        </w:tc>
        <w:tc>
          <w:tcPr>
            <w:tcW w:w="426" w:type="dxa"/>
            <w:tcBorders>
              <w:top w:val="single" w:sz="12" w:space="0" w:color="008000"/>
              <w:bottom w:val="single" w:sz="6" w:space="0" w:color="008000"/>
            </w:tcBorders>
            <w:shd w:val="clear" w:color="auto" w:fill="FFFFFF"/>
          </w:tcPr>
          <w:p w14:paraId="13B5F698" w14:textId="56D07CD8" w:rsidR="00CC1A7D" w:rsidRDefault="006D20CB" w:rsidP="00CE4067">
            <w:pPr>
              <w:pStyle w:val="CETBodytext"/>
              <w:tabs>
                <w:tab w:val="clear" w:pos="7100"/>
                <w:tab w:val="left" w:pos="1040"/>
              </w:tabs>
              <w:ind w:right="-1"/>
              <w:jc w:val="left"/>
              <w:rPr>
                <w:rFonts w:cs="Arial"/>
                <w:szCs w:val="18"/>
                <w:lang w:val="en-GB"/>
              </w:rPr>
            </w:pPr>
            <w:r>
              <w:rPr>
                <w:rFonts w:cs="Arial"/>
                <w:szCs w:val="18"/>
                <w:lang w:val="en-GB"/>
              </w:rPr>
              <w:t xml:space="preserve">  </w:t>
            </w:r>
            <w:r w:rsidR="00CC1A7D">
              <w:rPr>
                <w:rFonts w:cs="Arial"/>
                <w:szCs w:val="18"/>
                <w:lang w:val="en-GB"/>
              </w:rPr>
              <w:t>1</w:t>
            </w:r>
          </w:p>
        </w:tc>
      </w:tr>
      <w:tr w:rsidR="00CC1A7D" w:rsidRPr="00B57B36" w14:paraId="3ABE6698" w14:textId="77777777" w:rsidTr="00CE4067">
        <w:tc>
          <w:tcPr>
            <w:tcW w:w="1134" w:type="dxa"/>
            <w:shd w:val="clear" w:color="auto" w:fill="FFFFFF"/>
          </w:tcPr>
          <w:p w14:paraId="16524E73" w14:textId="77777777" w:rsidR="00CC1A7D" w:rsidRPr="00B57B36" w:rsidRDefault="00CC1A7D" w:rsidP="00CE4067">
            <w:pPr>
              <w:pStyle w:val="CETBodytext"/>
              <w:rPr>
                <w:lang w:val="en-GB"/>
              </w:rPr>
            </w:pPr>
            <w:r>
              <w:rPr>
                <w:lang w:val="en-GB"/>
              </w:rPr>
              <w:t>Gas</w:t>
            </w:r>
          </w:p>
        </w:tc>
        <w:tc>
          <w:tcPr>
            <w:tcW w:w="1134" w:type="dxa"/>
            <w:shd w:val="clear" w:color="auto" w:fill="FFFFFF"/>
          </w:tcPr>
          <w:p w14:paraId="6E9855F6" w14:textId="6D3DCD44" w:rsidR="00CC1A7D" w:rsidRPr="00B57B36" w:rsidRDefault="006D20CB" w:rsidP="00CE4067">
            <w:pPr>
              <w:pStyle w:val="CETBodytext"/>
              <w:rPr>
                <w:lang w:val="en-GB"/>
              </w:rPr>
            </w:pPr>
            <w:r>
              <w:rPr>
                <w:lang w:val="en-GB"/>
              </w:rPr>
              <w:t xml:space="preserve">  </w:t>
            </w:r>
            <w:r w:rsidR="00CC1A7D">
              <w:rPr>
                <w:lang w:val="en-GB"/>
              </w:rPr>
              <w:t>9</w:t>
            </w:r>
          </w:p>
        </w:tc>
        <w:tc>
          <w:tcPr>
            <w:tcW w:w="1134" w:type="dxa"/>
            <w:shd w:val="clear" w:color="auto" w:fill="FFFFFF"/>
          </w:tcPr>
          <w:p w14:paraId="6526A372" w14:textId="4B6F5D1B" w:rsidR="00CC1A7D" w:rsidRPr="00B57B36" w:rsidRDefault="00CC1A7D" w:rsidP="00CE4067">
            <w:pPr>
              <w:pStyle w:val="CETBodytext"/>
              <w:rPr>
                <w:lang w:val="en-GB"/>
              </w:rPr>
            </w:pPr>
            <w:r>
              <w:rPr>
                <w:lang w:val="en-GB"/>
              </w:rPr>
              <w:t>10</w:t>
            </w:r>
          </w:p>
        </w:tc>
        <w:tc>
          <w:tcPr>
            <w:tcW w:w="1134" w:type="dxa"/>
            <w:shd w:val="clear" w:color="auto" w:fill="FFFFFF"/>
          </w:tcPr>
          <w:p w14:paraId="1659279B" w14:textId="4591756C" w:rsidR="00CC1A7D" w:rsidRPr="00B57B36" w:rsidRDefault="00CC1A7D" w:rsidP="00CE4067">
            <w:pPr>
              <w:pStyle w:val="CETBodytext"/>
              <w:ind w:right="-1"/>
              <w:rPr>
                <w:rFonts w:cs="Arial"/>
                <w:szCs w:val="18"/>
                <w:lang w:val="en-GB"/>
              </w:rPr>
            </w:pPr>
            <w:r>
              <w:rPr>
                <w:rFonts w:cs="Arial"/>
                <w:szCs w:val="18"/>
                <w:lang w:val="en-GB"/>
              </w:rPr>
              <w:t>11</w:t>
            </w:r>
          </w:p>
        </w:tc>
        <w:tc>
          <w:tcPr>
            <w:tcW w:w="1134" w:type="dxa"/>
            <w:shd w:val="clear" w:color="auto" w:fill="FFFFFF"/>
          </w:tcPr>
          <w:p w14:paraId="75511AF4" w14:textId="0321BAC2" w:rsidR="00CC1A7D" w:rsidRPr="00B57B36" w:rsidRDefault="006D20CB" w:rsidP="00CE4067">
            <w:pPr>
              <w:pStyle w:val="CETBodytext"/>
              <w:ind w:right="-1"/>
              <w:rPr>
                <w:rFonts w:cs="Arial"/>
                <w:szCs w:val="18"/>
                <w:lang w:val="en-GB"/>
              </w:rPr>
            </w:pPr>
            <w:r>
              <w:rPr>
                <w:rFonts w:cs="Arial"/>
                <w:szCs w:val="18"/>
                <w:lang w:val="en-GB"/>
              </w:rPr>
              <w:t>12</w:t>
            </w:r>
          </w:p>
        </w:tc>
        <w:tc>
          <w:tcPr>
            <w:tcW w:w="426" w:type="dxa"/>
            <w:shd w:val="clear" w:color="auto" w:fill="FFFFFF"/>
          </w:tcPr>
          <w:p w14:paraId="438404F1" w14:textId="64D4E20E" w:rsidR="00CC1A7D" w:rsidRPr="00B57B36" w:rsidRDefault="006D20CB" w:rsidP="00CE4067">
            <w:pPr>
              <w:pStyle w:val="CETBodytext"/>
              <w:ind w:right="-1"/>
              <w:rPr>
                <w:rFonts w:cs="Arial"/>
                <w:szCs w:val="18"/>
                <w:lang w:val="en-GB"/>
              </w:rPr>
            </w:pPr>
            <w:r>
              <w:rPr>
                <w:rFonts w:cs="Arial"/>
                <w:szCs w:val="18"/>
                <w:lang w:val="en-GB"/>
              </w:rPr>
              <w:t>13</w:t>
            </w:r>
          </w:p>
        </w:tc>
      </w:tr>
      <w:tr w:rsidR="00CC1A7D" w:rsidRPr="00B57B36" w14:paraId="60C79D87" w14:textId="77777777" w:rsidTr="00CE4067">
        <w:tc>
          <w:tcPr>
            <w:tcW w:w="1134" w:type="dxa"/>
            <w:shd w:val="clear" w:color="auto" w:fill="FFFFFF"/>
          </w:tcPr>
          <w:p w14:paraId="3572B547" w14:textId="41346616" w:rsidR="00CC1A7D" w:rsidRPr="00B57B36" w:rsidRDefault="00CC1A7D" w:rsidP="00CE4067">
            <w:pPr>
              <w:pStyle w:val="CETBodytext"/>
              <w:ind w:right="-1"/>
              <w:rPr>
                <w:rFonts w:cs="Arial"/>
                <w:szCs w:val="18"/>
                <w:lang w:val="en-GB"/>
              </w:rPr>
            </w:pPr>
            <w:r>
              <w:rPr>
                <w:rFonts w:cs="Arial"/>
                <w:szCs w:val="18"/>
                <w:lang w:val="en-GB"/>
              </w:rPr>
              <w:t>Wax/Oil</w:t>
            </w:r>
          </w:p>
        </w:tc>
        <w:tc>
          <w:tcPr>
            <w:tcW w:w="1134" w:type="dxa"/>
            <w:shd w:val="clear" w:color="auto" w:fill="FFFFFF"/>
          </w:tcPr>
          <w:p w14:paraId="0CA13964" w14:textId="516A5F02" w:rsidR="00CC1A7D" w:rsidRPr="00B57B36" w:rsidRDefault="00CC1A7D" w:rsidP="00CE4067">
            <w:pPr>
              <w:pStyle w:val="CETBodytext"/>
              <w:ind w:right="-1"/>
              <w:rPr>
                <w:rFonts w:cs="Arial"/>
                <w:szCs w:val="18"/>
                <w:lang w:val="en-GB"/>
              </w:rPr>
            </w:pPr>
            <w:r>
              <w:rPr>
                <w:rFonts w:cs="Arial"/>
                <w:szCs w:val="18"/>
                <w:lang w:val="en-GB"/>
              </w:rPr>
              <w:t>30</w:t>
            </w:r>
          </w:p>
        </w:tc>
        <w:tc>
          <w:tcPr>
            <w:tcW w:w="1134" w:type="dxa"/>
            <w:shd w:val="clear" w:color="auto" w:fill="FFFFFF"/>
          </w:tcPr>
          <w:p w14:paraId="20236794" w14:textId="32908521" w:rsidR="00CC1A7D" w:rsidRPr="00B57B36" w:rsidRDefault="00CC1A7D" w:rsidP="00CE4067">
            <w:pPr>
              <w:pStyle w:val="CETBodytext"/>
              <w:ind w:right="-1"/>
              <w:rPr>
                <w:rFonts w:cs="Arial"/>
                <w:szCs w:val="18"/>
                <w:lang w:val="en-GB"/>
              </w:rPr>
            </w:pPr>
            <w:r>
              <w:rPr>
                <w:rFonts w:cs="Arial"/>
                <w:szCs w:val="18"/>
                <w:lang w:val="en-GB"/>
              </w:rPr>
              <w:t>22</w:t>
            </w:r>
          </w:p>
        </w:tc>
        <w:tc>
          <w:tcPr>
            <w:tcW w:w="1134" w:type="dxa"/>
            <w:shd w:val="clear" w:color="auto" w:fill="FFFFFF"/>
          </w:tcPr>
          <w:p w14:paraId="09495FBA" w14:textId="2F9D4240" w:rsidR="00CC1A7D" w:rsidRPr="00B57B36" w:rsidRDefault="00CC1A7D" w:rsidP="00CE4067">
            <w:pPr>
              <w:pStyle w:val="CETBodytext"/>
              <w:ind w:right="-1"/>
              <w:rPr>
                <w:rFonts w:cs="Arial"/>
                <w:szCs w:val="18"/>
                <w:lang w:val="en-GB"/>
              </w:rPr>
            </w:pPr>
            <w:r>
              <w:rPr>
                <w:rFonts w:cs="Arial"/>
                <w:szCs w:val="18"/>
                <w:lang w:val="en-GB"/>
              </w:rPr>
              <w:t>15</w:t>
            </w:r>
          </w:p>
        </w:tc>
        <w:tc>
          <w:tcPr>
            <w:tcW w:w="1134" w:type="dxa"/>
            <w:shd w:val="clear" w:color="auto" w:fill="FFFFFF"/>
          </w:tcPr>
          <w:p w14:paraId="5EEA1692" w14:textId="3FC8CFB0" w:rsidR="00CC1A7D" w:rsidRPr="00B57B36" w:rsidRDefault="006D20CB" w:rsidP="00CE4067">
            <w:pPr>
              <w:pStyle w:val="CETBodytext"/>
              <w:ind w:right="-1"/>
              <w:rPr>
                <w:rFonts w:cs="Arial"/>
                <w:szCs w:val="18"/>
                <w:lang w:val="en-GB"/>
              </w:rPr>
            </w:pPr>
            <w:r>
              <w:rPr>
                <w:rFonts w:cs="Arial"/>
                <w:szCs w:val="18"/>
                <w:lang w:val="en-GB"/>
              </w:rPr>
              <w:t xml:space="preserve">  9</w:t>
            </w:r>
          </w:p>
        </w:tc>
        <w:tc>
          <w:tcPr>
            <w:tcW w:w="426" w:type="dxa"/>
            <w:shd w:val="clear" w:color="auto" w:fill="FFFFFF"/>
          </w:tcPr>
          <w:p w14:paraId="5570BB20" w14:textId="796009F8" w:rsidR="00CC1A7D" w:rsidRPr="00B57B36" w:rsidRDefault="006D20CB" w:rsidP="00CE4067">
            <w:pPr>
              <w:pStyle w:val="CETBodytext"/>
              <w:ind w:right="-1"/>
              <w:rPr>
                <w:rFonts w:cs="Arial"/>
                <w:szCs w:val="18"/>
                <w:lang w:val="en-GB"/>
              </w:rPr>
            </w:pPr>
            <w:r>
              <w:rPr>
                <w:rFonts w:cs="Arial"/>
                <w:szCs w:val="18"/>
                <w:lang w:val="en-GB"/>
              </w:rPr>
              <w:t xml:space="preserve">  0</w:t>
            </w:r>
          </w:p>
        </w:tc>
      </w:tr>
      <w:tr w:rsidR="00CC1A7D" w:rsidRPr="00B57B36" w14:paraId="04A0F9A9" w14:textId="77777777" w:rsidTr="00CE4067">
        <w:tc>
          <w:tcPr>
            <w:tcW w:w="1134" w:type="dxa"/>
            <w:shd w:val="clear" w:color="auto" w:fill="FFFFFF"/>
          </w:tcPr>
          <w:p w14:paraId="3B1B28CD" w14:textId="77777777" w:rsidR="00CC1A7D" w:rsidRPr="00B57B36" w:rsidRDefault="00CC1A7D" w:rsidP="00CE4067">
            <w:pPr>
              <w:pStyle w:val="CETBodytext"/>
              <w:ind w:right="-1"/>
              <w:rPr>
                <w:rFonts w:cs="Arial"/>
                <w:szCs w:val="18"/>
                <w:lang w:val="en-GB"/>
              </w:rPr>
            </w:pPr>
            <w:r>
              <w:rPr>
                <w:rFonts w:cs="Arial"/>
                <w:szCs w:val="18"/>
                <w:lang w:val="en-GB"/>
              </w:rPr>
              <w:t>Solid</w:t>
            </w:r>
          </w:p>
        </w:tc>
        <w:tc>
          <w:tcPr>
            <w:tcW w:w="1134" w:type="dxa"/>
            <w:shd w:val="clear" w:color="auto" w:fill="FFFFFF"/>
          </w:tcPr>
          <w:p w14:paraId="1BF9204F" w14:textId="49895D2F" w:rsidR="00CC1A7D" w:rsidRPr="00B57B36" w:rsidRDefault="006D20CB" w:rsidP="00CE4067">
            <w:pPr>
              <w:pStyle w:val="CETBodytext"/>
              <w:ind w:right="-1"/>
              <w:rPr>
                <w:rFonts w:cs="Arial"/>
                <w:szCs w:val="18"/>
                <w:lang w:val="en-GB"/>
              </w:rPr>
            </w:pPr>
            <w:r>
              <w:rPr>
                <w:rFonts w:cs="Arial"/>
                <w:szCs w:val="18"/>
                <w:lang w:val="en-GB"/>
              </w:rPr>
              <w:t xml:space="preserve">  </w:t>
            </w:r>
            <w:r w:rsidR="00CC1A7D">
              <w:rPr>
                <w:rFonts w:cs="Arial"/>
                <w:szCs w:val="18"/>
                <w:lang w:val="en-GB"/>
              </w:rPr>
              <w:t>2</w:t>
            </w:r>
          </w:p>
        </w:tc>
        <w:tc>
          <w:tcPr>
            <w:tcW w:w="1134" w:type="dxa"/>
            <w:shd w:val="clear" w:color="auto" w:fill="FFFFFF"/>
          </w:tcPr>
          <w:p w14:paraId="3F593663" w14:textId="1021AE32" w:rsidR="00CC1A7D" w:rsidRPr="00B57B36" w:rsidRDefault="006D20CB" w:rsidP="00CE4067">
            <w:pPr>
              <w:pStyle w:val="CETBodytext"/>
              <w:ind w:right="-1"/>
              <w:rPr>
                <w:rFonts w:cs="Arial"/>
                <w:szCs w:val="18"/>
                <w:lang w:val="en-GB"/>
              </w:rPr>
            </w:pPr>
            <w:r>
              <w:rPr>
                <w:rFonts w:cs="Arial"/>
                <w:szCs w:val="18"/>
                <w:lang w:val="en-GB"/>
              </w:rPr>
              <w:t xml:space="preserve">  </w:t>
            </w:r>
            <w:r w:rsidR="00CC1A7D">
              <w:rPr>
                <w:rFonts w:cs="Arial"/>
                <w:szCs w:val="18"/>
                <w:lang w:val="en-GB"/>
              </w:rPr>
              <w:t>8</w:t>
            </w:r>
          </w:p>
        </w:tc>
        <w:tc>
          <w:tcPr>
            <w:tcW w:w="1134" w:type="dxa"/>
            <w:shd w:val="clear" w:color="auto" w:fill="FFFFFF"/>
          </w:tcPr>
          <w:p w14:paraId="5C885CF0" w14:textId="2D522D4C" w:rsidR="00CC1A7D" w:rsidRPr="00B57B36" w:rsidRDefault="00CC1A7D" w:rsidP="00CE4067">
            <w:pPr>
              <w:pStyle w:val="CETBodytext"/>
              <w:ind w:right="-1"/>
              <w:rPr>
                <w:rFonts w:cs="Arial"/>
                <w:szCs w:val="18"/>
                <w:lang w:val="en-GB"/>
              </w:rPr>
            </w:pPr>
            <w:r>
              <w:rPr>
                <w:rFonts w:cs="Arial"/>
                <w:szCs w:val="18"/>
                <w:lang w:val="en-GB"/>
              </w:rPr>
              <w:t>12</w:t>
            </w:r>
          </w:p>
        </w:tc>
        <w:tc>
          <w:tcPr>
            <w:tcW w:w="1134" w:type="dxa"/>
            <w:shd w:val="clear" w:color="auto" w:fill="FFFFFF"/>
          </w:tcPr>
          <w:p w14:paraId="76624F62" w14:textId="0605E0B4" w:rsidR="00CC1A7D" w:rsidRPr="00B57B36" w:rsidRDefault="006D20CB" w:rsidP="00CE4067">
            <w:pPr>
              <w:pStyle w:val="CETBodytext"/>
              <w:ind w:right="-1"/>
              <w:rPr>
                <w:rFonts w:cs="Arial"/>
                <w:szCs w:val="18"/>
                <w:lang w:val="en-GB"/>
              </w:rPr>
            </w:pPr>
            <w:r>
              <w:rPr>
                <w:rFonts w:cs="Arial"/>
                <w:szCs w:val="18"/>
                <w:lang w:val="en-GB"/>
              </w:rPr>
              <w:t>15</w:t>
            </w:r>
          </w:p>
        </w:tc>
        <w:tc>
          <w:tcPr>
            <w:tcW w:w="426" w:type="dxa"/>
            <w:shd w:val="clear" w:color="auto" w:fill="FFFFFF"/>
          </w:tcPr>
          <w:p w14:paraId="348C4788" w14:textId="4A7AD7B7" w:rsidR="00CC1A7D" w:rsidRPr="00B57B36" w:rsidRDefault="00CC1A7D" w:rsidP="00CE4067">
            <w:pPr>
              <w:pStyle w:val="CETBodytext"/>
              <w:ind w:right="-1"/>
              <w:rPr>
                <w:rFonts w:cs="Arial"/>
                <w:szCs w:val="18"/>
                <w:lang w:val="en-GB"/>
              </w:rPr>
            </w:pPr>
            <w:r>
              <w:rPr>
                <w:rFonts w:cs="Arial"/>
                <w:szCs w:val="18"/>
                <w:lang w:val="en-GB"/>
              </w:rPr>
              <w:t>2</w:t>
            </w:r>
            <w:r w:rsidR="006D20CB">
              <w:rPr>
                <w:rFonts w:cs="Arial"/>
                <w:szCs w:val="18"/>
                <w:lang w:val="en-GB"/>
              </w:rPr>
              <w:t>0</w:t>
            </w:r>
          </w:p>
        </w:tc>
      </w:tr>
    </w:tbl>
    <w:p w14:paraId="08501A04" w14:textId="77777777" w:rsidR="00CC1A7D" w:rsidRPr="00DA76D1" w:rsidRDefault="00CC1A7D" w:rsidP="00CC1A7D">
      <w:pPr>
        <w:pStyle w:val="CETBodytext"/>
      </w:pPr>
    </w:p>
    <w:p w14:paraId="24D8B082" w14:textId="636B5342" w:rsidR="009C2214" w:rsidRDefault="00B8520B" w:rsidP="00DA76D1">
      <w:pPr>
        <w:pStyle w:val="CETBodytext"/>
        <w:rPr>
          <w:lang w:val="en-GB"/>
        </w:rPr>
      </w:pPr>
      <w:r>
        <w:t xml:space="preserve">Indeed, </w:t>
      </w:r>
      <w:r w:rsidR="00CA7D9B">
        <w:t>for the same residence time in the pyrolysis reactor, plastic-rich feedstocks undergo less extensive devolatilization since, according to TGA (Guastaferro et al., 2026), their degradation begins around 400 °C, and, consequently, they</w:t>
      </w:r>
      <w:r>
        <w:t xml:space="preserve"> tend to </w:t>
      </w:r>
      <w:r w:rsidR="00CA7D9B">
        <w:t>favor</w:t>
      </w:r>
      <w:r>
        <w:t xml:space="preserve"> the formation of condensable hydrocarbon</w:t>
      </w:r>
      <w:r w:rsidR="00CA7D9B">
        <w:t>s</w:t>
      </w:r>
      <w:r w:rsidR="009C2214">
        <w:t>, both in conventional and MAP systems</w:t>
      </w:r>
      <w:r w:rsidR="00CA7D9B">
        <w:t>. Otherwise,</w:t>
      </w:r>
      <w:r>
        <w:t xml:space="preserve"> biomass promotes gas</w:t>
      </w:r>
      <w:r w:rsidR="009C2214">
        <w:t xml:space="preserve"> formation</w:t>
      </w:r>
      <w:r w:rsidR="00CA7D9B">
        <w:t>, i.e., their degradation occurs around 300 °C</w:t>
      </w:r>
      <w:r w:rsidR="008C2980">
        <w:t>,</w:t>
      </w:r>
      <w:r w:rsidR="00CA7D9B">
        <w:t xml:space="preserve"> </w:t>
      </w:r>
      <w:r w:rsidR="008C2980">
        <w:t xml:space="preserve">and, consequently, bio-vapors have undergone cracking reactions for an extended time, enhancing the formation of </w:t>
      </w:r>
      <w:r w:rsidR="009C2214">
        <w:t xml:space="preserve">incondensable gases, mainly constituted by </w:t>
      </w:r>
      <w:r w:rsidR="008C2980">
        <w:t>CO</w:t>
      </w:r>
      <w:r w:rsidR="008C2980" w:rsidRPr="008C2980">
        <w:rPr>
          <w:vertAlign w:val="subscript"/>
        </w:rPr>
        <w:t>2</w:t>
      </w:r>
      <w:r w:rsidR="008C2980">
        <w:t xml:space="preserve"> due to its oxygenated structure. </w:t>
      </w:r>
      <w:r w:rsidR="008C2980" w:rsidRPr="00C53C21">
        <w:rPr>
          <w:lang w:val="en-GB"/>
        </w:rPr>
        <w:t>Char formation is also relatively high</w:t>
      </w:r>
      <w:r w:rsidR="009C2214" w:rsidRPr="00C53C21">
        <w:rPr>
          <w:lang w:val="en-GB"/>
        </w:rPr>
        <w:t xml:space="preserve">, </w:t>
      </w:r>
      <w:r w:rsidR="00A46132">
        <w:rPr>
          <w:lang w:val="en-GB"/>
        </w:rPr>
        <w:t xml:space="preserve">up to </w:t>
      </w:r>
      <w:r w:rsidR="009C2214" w:rsidRPr="00C53C21">
        <w:rPr>
          <w:lang w:val="en-GB"/>
        </w:rPr>
        <w:t>2</w:t>
      </w:r>
      <w:r w:rsidR="00A46132">
        <w:rPr>
          <w:lang w:val="en-GB"/>
        </w:rPr>
        <w:t>3</w:t>
      </w:r>
      <w:r w:rsidR="009C2214" w:rsidRPr="00C53C21">
        <w:rPr>
          <w:lang w:val="en-GB"/>
        </w:rPr>
        <w:t xml:space="preserve"> </w:t>
      </w:r>
      <w:proofErr w:type="spellStart"/>
      <w:r w:rsidR="009C2214" w:rsidRPr="00C53C21">
        <w:rPr>
          <w:lang w:val="en-GB"/>
        </w:rPr>
        <w:t>wt</w:t>
      </w:r>
      <w:proofErr w:type="spellEnd"/>
      <w:r w:rsidR="009C2214" w:rsidRPr="00C53C21">
        <w:rPr>
          <w:lang w:val="en-GB"/>
        </w:rPr>
        <w:t>%,</w:t>
      </w:r>
      <w:r w:rsidR="009C2214">
        <w:rPr>
          <w:lang w:val="en-GB"/>
        </w:rPr>
        <w:t xml:space="preserve"> for biomass processed under conventional and </w:t>
      </w:r>
      <w:r w:rsidR="00A46132">
        <w:rPr>
          <w:lang w:val="en-GB"/>
        </w:rPr>
        <w:t>microwave-assisted</w:t>
      </w:r>
      <w:r w:rsidR="009C2214">
        <w:rPr>
          <w:lang w:val="en-GB"/>
        </w:rPr>
        <w:t xml:space="preserve"> operating conditions, </w:t>
      </w:r>
      <w:r w:rsidR="008C2980" w:rsidRPr="00C53C21">
        <w:rPr>
          <w:lang w:val="en-GB"/>
        </w:rPr>
        <w:t>due to prolonged exposure to elevated temperatures</w:t>
      </w:r>
      <w:r w:rsidR="008C2980">
        <w:rPr>
          <w:lang w:val="en-GB"/>
        </w:rPr>
        <w:t xml:space="preserve"> </w:t>
      </w:r>
      <w:r w:rsidR="008C2980" w:rsidRPr="00C53C21">
        <w:rPr>
          <w:lang w:val="en-GB"/>
        </w:rPr>
        <w:t xml:space="preserve">and </w:t>
      </w:r>
      <w:r w:rsidR="008C2980">
        <w:rPr>
          <w:lang w:val="en-GB"/>
        </w:rPr>
        <w:t>to a possible o</w:t>
      </w:r>
      <w:r w:rsidR="008C2980" w:rsidRPr="00C53C21">
        <w:rPr>
          <w:lang w:val="en-GB"/>
        </w:rPr>
        <w:t>ccurrence of secondary cracking and repolymerization reactions within the reactor.</w:t>
      </w:r>
      <w:r w:rsidR="00A46132">
        <w:rPr>
          <w:lang w:val="en-GB"/>
        </w:rPr>
        <w:t xml:space="preserve"> For biomass, gas and charcoal amounts are also higher during MAP, since local hot spots can be reached in this configuration, further enhancing the </w:t>
      </w:r>
      <w:r w:rsidR="00F87348">
        <w:rPr>
          <w:lang w:val="en-GB"/>
        </w:rPr>
        <w:t>kinetics</w:t>
      </w:r>
      <w:r w:rsidR="00A46132">
        <w:rPr>
          <w:lang w:val="en-GB"/>
        </w:rPr>
        <w:t xml:space="preserve"> of cracking reactions.</w:t>
      </w:r>
    </w:p>
    <w:p w14:paraId="3DBDA150" w14:textId="173B15AE" w:rsidR="009C2214" w:rsidRDefault="009C2214" w:rsidP="00DA76D1">
      <w:pPr>
        <w:pStyle w:val="CETBodytext"/>
        <w:rPr>
          <w:lang w:val="en-GB"/>
        </w:rPr>
      </w:pPr>
      <w:r>
        <w:rPr>
          <w:lang w:val="en-GB"/>
        </w:rPr>
        <w:t>Under conventional pyrolysis conditions, liquid yields</w:t>
      </w:r>
      <w:r w:rsidR="00A46132">
        <w:rPr>
          <w:lang w:val="en-GB"/>
        </w:rPr>
        <w:t>, including oils and waxes,</w:t>
      </w:r>
      <w:r>
        <w:rPr>
          <w:lang w:val="en-GB"/>
        </w:rPr>
        <w:t xml:space="preserve"> </w:t>
      </w:r>
      <w:r w:rsidR="00A46132">
        <w:rPr>
          <w:lang w:val="en-GB"/>
        </w:rPr>
        <w:t xml:space="preserve">are higher compared to other co-products, accounting for approximately 30-15 </w:t>
      </w:r>
      <w:proofErr w:type="spellStart"/>
      <w:r w:rsidR="00A46132">
        <w:rPr>
          <w:lang w:val="en-GB"/>
        </w:rPr>
        <w:t>wt</w:t>
      </w:r>
      <w:proofErr w:type="spellEnd"/>
      <w:r w:rsidR="00A46132">
        <w:rPr>
          <w:lang w:val="en-GB"/>
        </w:rPr>
        <w:t>% of the total recovered fractions</w:t>
      </w:r>
      <w:r w:rsidR="00F87348">
        <w:rPr>
          <w:lang w:val="en-GB"/>
        </w:rPr>
        <w:t>,</w:t>
      </w:r>
      <w:r w:rsidR="00A46132">
        <w:rPr>
          <w:lang w:val="en-GB"/>
        </w:rPr>
        <w:t xml:space="preserve"> when mixed biomass and plastic systems are processed (Table 2). </w:t>
      </w:r>
      <w:r w:rsidR="00F87348" w:rsidRPr="00C53C21">
        <w:rPr>
          <w:lang w:val="en-GB"/>
        </w:rPr>
        <w:t>These liquids are largely composed of heavy hydrocarbons and waxes originating from plastic decomposition, particularly in the C1</w:t>
      </w:r>
      <w:r w:rsidR="002D3714">
        <w:rPr>
          <w:lang w:val="en-GB"/>
        </w:rPr>
        <w:t>5</w:t>
      </w:r>
      <w:r w:rsidR="00F87348" w:rsidRPr="00C53C21">
        <w:rPr>
          <w:lang w:val="en-GB"/>
        </w:rPr>
        <w:t>+ range, as confirmed by GC</w:t>
      </w:r>
      <w:r w:rsidR="00F87348">
        <w:rPr>
          <w:lang w:val="en-GB"/>
        </w:rPr>
        <w:t>-</w:t>
      </w:r>
      <w:r w:rsidR="00F87348" w:rsidRPr="00C53C21">
        <w:rPr>
          <w:lang w:val="en-GB"/>
        </w:rPr>
        <w:t>MS analysis</w:t>
      </w:r>
      <w:r w:rsidR="00F87348">
        <w:rPr>
          <w:lang w:val="en-GB"/>
        </w:rPr>
        <w:t xml:space="preserve"> (Figure 1)</w:t>
      </w:r>
      <w:r w:rsidR="00F87348" w:rsidRPr="00C53C21">
        <w:rPr>
          <w:lang w:val="en-GB"/>
        </w:rPr>
        <w:t xml:space="preserve">. </w:t>
      </w:r>
    </w:p>
    <w:p w14:paraId="4BC3A4AF" w14:textId="01AC6666" w:rsidR="009A0134" w:rsidRDefault="00DC0157" w:rsidP="00DC0157">
      <w:pPr>
        <w:pStyle w:val="CETCaption"/>
      </w:pPr>
      <w:r>
        <w:rPr>
          <w:noProof/>
        </w:rPr>
        <w:lastRenderedPageBreak/>
        <w:drawing>
          <wp:inline distT="0" distB="0" distL="0" distR="0" wp14:anchorId="6A32DCB0" wp14:editId="04D516B0">
            <wp:extent cx="3951755" cy="2473636"/>
            <wp:effectExtent l="0" t="0" r="0" b="0"/>
            <wp:docPr id="117305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8595" cy="2484177"/>
                    </a:xfrm>
                    <a:prstGeom prst="rect">
                      <a:avLst/>
                    </a:prstGeom>
                    <a:noFill/>
                  </pic:spPr>
                </pic:pic>
              </a:graphicData>
            </a:graphic>
          </wp:inline>
        </w:drawing>
      </w:r>
    </w:p>
    <w:p w14:paraId="48CFE228" w14:textId="0D8C45FE" w:rsidR="00DC0157" w:rsidRDefault="00DC0157" w:rsidP="00DC0157">
      <w:pPr>
        <w:pStyle w:val="CETCaption"/>
      </w:pPr>
      <w:r>
        <w:t xml:space="preserve">Figure 1: </w:t>
      </w:r>
      <w:r w:rsidRPr="00DC0157">
        <w:t xml:space="preserve">Compositional analysis of the waxes originating from </w:t>
      </w:r>
      <w:r>
        <w:t>RLB:PSW equal to 0:1 conventional</w:t>
      </w:r>
      <w:r w:rsidRPr="00DC0157">
        <w:t xml:space="preserve"> pyrolysis</w:t>
      </w:r>
      <w:r>
        <w:t xml:space="preserve">. </w:t>
      </w:r>
    </w:p>
    <w:p w14:paraId="129FBFA4" w14:textId="7922908A" w:rsidR="001E6A6A" w:rsidRPr="001E6A6A" w:rsidRDefault="001E6A6A" w:rsidP="001E6A6A">
      <w:pPr>
        <w:pStyle w:val="CETBodytext"/>
      </w:pPr>
      <w:r w:rsidRPr="001E6A6A">
        <w:t>The liquid fraction derived from plastic pyrolysis is mainly composed of hydrocarbons in the C9</w:t>
      </w:r>
      <w:r>
        <w:t>-</w:t>
      </w:r>
      <w:r w:rsidRPr="001E6A6A">
        <w:t xml:space="preserve">C29 range, including alkanes, alkenes, and </w:t>
      </w:r>
      <w:proofErr w:type="gramStart"/>
      <w:r w:rsidRPr="001E6A6A">
        <w:t>dienes</w:t>
      </w:r>
      <w:proofErr w:type="gramEnd"/>
      <w:r w:rsidRPr="001E6A6A">
        <w:t xml:space="preserve">. </w:t>
      </w:r>
      <w:r>
        <w:t>R</w:t>
      </w:r>
      <w:r w:rsidRPr="001E6A6A">
        <w:t xml:space="preserve">esults </w:t>
      </w:r>
      <w:r>
        <w:t xml:space="preserve">in Figure 1 </w:t>
      </w:r>
      <w:r w:rsidRPr="001E6A6A">
        <w:t>indicate that the diesel-range fraction (C10</w:t>
      </w:r>
      <w:r>
        <w:t>-</w:t>
      </w:r>
      <w:r w:rsidRPr="001E6A6A">
        <w:t xml:space="preserve">C19) constitutes approximately 24 </w:t>
      </w:r>
      <w:proofErr w:type="spellStart"/>
      <w:r w:rsidRPr="001E6A6A">
        <w:t>wt</w:t>
      </w:r>
      <w:proofErr w:type="spellEnd"/>
      <w:r w:rsidRPr="001E6A6A">
        <w:t xml:space="preserve">% of the liquid product, </w:t>
      </w:r>
      <w:r>
        <w:t>whereas</w:t>
      </w:r>
      <w:r w:rsidRPr="001E6A6A">
        <w:t xml:space="preserve"> lighter compounds (C5</w:t>
      </w:r>
      <w:r>
        <w:t>-</w:t>
      </w:r>
      <w:r w:rsidRPr="001E6A6A">
        <w:t xml:space="preserve">C9) account for around 5 </w:t>
      </w:r>
      <w:proofErr w:type="spellStart"/>
      <w:r w:rsidRPr="001E6A6A">
        <w:t>wt</w:t>
      </w:r>
      <w:proofErr w:type="spellEnd"/>
      <w:r w:rsidRPr="001E6A6A">
        <w:t xml:space="preserve">%. The remaining portion is largely made up of heavier waxy compounds (C19+). </w:t>
      </w:r>
      <w:r w:rsidRPr="001E6A6A">
        <w:rPr>
          <w:lang w:val="en-GB"/>
        </w:rPr>
        <w:t xml:space="preserve">Moreover, it can be observed that, during conventional pyrolysis, wax and oil cannot be distinguished anymore since they precipitate together in the first condenser; this result can be explained by considering that hot spots reaching temperatures higher than 600 °C, during MAP, could also enhance the waxes cracking reactions into lighter oil fractions. </w:t>
      </w:r>
      <w:r>
        <w:rPr>
          <w:lang w:val="en-GB"/>
        </w:rPr>
        <w:t>Therefore, c</w:t>
      </w:r>
      <w:proofErr w:type="spellStart"/>
      <w:r w:rsidRPr="001E6A6A">
        <w:t>onventional</w:t>
      </w:r>
      <w:proofErr w:type="spellEnd"/>
      <w:r w:rsidRPr="001E6A6A">
        <w:t xml:space="preserve"> pyrolysis tends to promote the formation of oils with higher viscosity and limited fluidity. In contrast, MAP enhances cracking reactions, shifting the product distribution toward lighter hydrocarbons and reducing the formation of heavy waxes. This leads to improved fuel characteristics, such as lower viscosity and greater volatility, which are beneficial for subsequent upgrading and utilization.</w:t>
      </w:r>
    </w:p>
    <w:p w14:paraId="09E7EDEE" w14:textId="7FFEA155" w:rsidR="002D3714" w:rsidRDefault="002D3714" w:rsidP="002D3714">
      <w:pPr>
        <w:pStyle w:val="CETBodytext"/>
      </w:pPr>
      <w:r w:rsidRPr="002D3714">
        <w:t xml:space="preserve">Although waxes and oils are the predominant products of </w:t>
      </w:r>
      <w:r>
        <w:t>both</w:t>
      </w:r>
      <w:r w:rsidRPr="002D3714">
        <w:t xml:space="preserve"> pyrolysis</w:t>
      </w:r>
      <w:r>
        <w:t xml:space="preserve"> systems</w:t>
      </w:r>
      <w:r w:rsidRPr="002D3714">
        <w:t xml:space="preserve">, our focus is on gas production due to its immediate usability without the need for upgrading. </w:t>
      </w:r>
      <w:r>
        <w:t xml:space="preserve">Therefore, the gas compositions </w:t>
      </w:r>
      <w:proofErr w:type="gramStart"/>
      <w:r>
        <w:t>was</w:t>
      </w:r>
      <w:proofErr w:type="gramEnd"/>
      <w:r>
        <w:t xml:space="preserve"> evaluated for gaseous products collected in both configurations.</w:t>
      </w:r>
    </w:p>
    <w:p w14:paraId="2B099A69" w14:textId="456EECEB" w:rsidR="007A1627" w:rsidRPr="007A1627" w:rsidRDefault="007A1627" w:rsidP="007A1627">
      <w:pPr>
        <w:pStyle w:val="CETBodytext"/>
      </w:pPr>
      <w:r w:rsidRPr="007A1627">
        <w:t xml:space="preserve">The gaseous fractions collected in </w:t>
      </w:r>
      <w:proofErr w:type="spellStart"/>
      <w:r w:rsidRPr="007A1627">
        <w:t>Tedlar</w:t>
      </w:r>
      <w:proofErr w:type="spellEnd"/>
      <w:r w:rsidRPr="007A1627">
        <w:t xml:space="preserve"> bags (as described in Section 2) were analyzed by micro-GC, allowing volumetric quantification of permanent gases and light hydrocarbons. The </w:t>
      </w:r>
      <w:r w:rsidR="007064F1">
        <w:t>analyses</w:t>
      </w:r>
      <w:r w:rsidRPr="007A1627">
        <w:t xml:space="preserve"> reported in </w:t>
      </w:r>
      <w:r w:rsidR="001E6A6A">
        <w:t>Table</w:t>
      </w:r>
      <w:r w:rsidRPr="007A1627">
        <w:t xml:space="preserve"> 3 and </w:t>
      </w:r>
      <w:r w:rsidR="001E6A6A">
        <w:t xml:space="preserve">Table </w:t>
      </w:r>
      <w:r w:rsidRPr="007A1627">
        <w:t xml:space="preserve">4 </w:t>
      </w:r>
      <w:r w:rsidR="007064F1">
        <w:t>highlight</w:t>
      </w:r>
      <w:r w:rsidR="003F2BD6">
        <w:t xml:space="preserve"> </w:t>
      </w:r>
      <w:r w:rsidRPr="007A1627">
        <w:t xml:space="preserve">the improvement in syngas composition </w:t>
      </w:r>
      <w:r w:rsidR="00EE0428">
        <w:t>derived from</w:t>
      </w:r>
      <w:r w:rsidRPr="007A1627">
        <w:t xml:space="preserve"> microwave-assisted pyrolysis </w:t>
      </w:r>
      <w:r w:rsidR="007064F1">
        <w:t>compared to</w:t>
      </w:r>
      <w:r w:rsidRPr="007A1627">
        <w:t xml:space="preserve"> conventional thermal pyrolysis. </w:t>
      </w:r>
      <w:r w:rsidR="007064F1" w:rsidRPr="007A1627">
        <w:t>For</w:t>
      </w:r>
      <w:r w:rsidRPr="007A1627">
        <w:t xml:space="preserve"> RLB:PSW equal to 70:30, hydrogen (H</w:t>
      </w:r>
      <w:r w:rsidRPr="007A1627">
        <w:rPr>
          <w:vertAlign w:val="subscript"/>
        </w:rPr>
        <w:t>2</w:t>
      </w:r>
      <w:r w:rsidRPr="007A1627">
        <w:t xml:space="preserve">) concentration reaches approximately 42 vol%, compared to values around 30-31 vol% obtained under conventional heating conditions, corresponding to an increase of about 35%. At the same time, carbon dioxide (CO) concentration decreases from approximately </w:t>
      </w:r>
      <w:r w:rsidR="00527DC9">
        <w:t>47</w:t>
      </w:r>
      <w:r w:rsidRPr="007A1627">
        <w:t xml:space="preserve"> vol%</w:t>
      </w:r>
      <w:r w:rsidR="00527DC9">
        <w:t>, for pure biomass,</w:t>
      </w:r>
      <w:r w:rsidRPr="007A1627">
        <w:t xml:space="preserve"> down to 1</w:t>
      </w:r>
      <w:r w:rsidR="00527DC9">
        <w:t>7</w:t>
      </w:r>
      <w:r w:rsidRPr="007A1627">
        <w:t xml:space="preserve"> vol%</w:t>
      </w:r>
      <w:r w:rsidR="00527DC9">
        <w:t xml:space="preserve"> for the blend RLB:PSW equal to 70:30</w:t>
      </w:r>
      <w:r w:rsidRPr="007A1627">
        <w:t>, representing a reduction of up to 40%. The H</w:t>
      </w:r>
      <w:r w:rsidRPr="007A1627">
        <w:rPr>
          <w:vertAlign w:val="subscript"/>
        </w:rPr>
        <w:t>2</w:t>
      </w:r>
      <w:r w:rsidRPr="007A1627">
        <w:t xml:space="preserve">-to-CO ratio increases from about 1-1.5 in conventional pyrolysis to </w:t>
      </w:r>
      <w:r w:rsidR="00527DC9">
        <w:t xml:space="preserve">a </w:t>
      </w:r>
      <w:r w:rsidR="00527DC9" w:rsidRPr="007A1627">
        <w:t>value</w:t>
      </w:r>
      <w:r w:rsidRPr="007A1627">
        <w:t xml:space="preserve"> between 2</w:t>
      </w:r>
      <w:r w:rsidR="00527DC9">
        <w:t xml:space="preserve"> and </w:t>
      </w:r>
      <w:r w:rsidRPr="007A1627">
        <w:t xml:space="preserve">3 in MAP, which are particularly favorable for downstream synthesis processes, such as methanol </w:t>
      </w:r>
      <w:r w:rsidR="00527DC9">
        <w:t>synthesis</w:t>
      </w:r>
      <w:r w:rsidRPr="007A1627">
        <w:t>.</w:t>
      </w:r>
    </w:p>
    <w:p w14:paraId="47600E13" w14:textId="51D2F4C1" w:rsidR="00527DC9" w:rsidRPr="00B57B36" w:rsidRDefault="00527DC9" w:rsidP="00527DC9">
      <w:pPr>
        <w:pStyle w:val="CETTabletitle"/>
      </w:pPr>
      <w:r w:rsidRPr="00B57B36">
        <w:t xml:space="preserve">Table </w:t>
      </w:r>
      <w:r>
        <w:t>3</w:t>
      </w:r>
      <w:r w:rsidRPr="00B57B36">
        <w:t xml:space="preserve">: </w:t>
      </w:r>
      <w:r>
        <w:t>Gas characterization in terms of vol% for gases produced by performing microwave-assisted pyrolysis for different weight ratios of PSW:RLB</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gridCol w:w="451"/>
      </w:tblGrid>
      <w:tr w:rsidR="00527DC9" w:rsidRPr="00B57B36" w14:paraId="77EDC1B7" w14:textId="77777777" w:rsidTr="00527DC9">
        <w:tc>
          <w:tcPr>
            <w:tcW w:w="1134" w:type="dxa"/>
            <w:tcBorders>
              <w:top w:val="single" w:sz="12" w:space="0" w:color="008000"/>
              <w:bottom w:val="single" w:sz="6" w:space="0" w:color="008000"/>
            </w:tcBorders>
            <w:shd w:val="clear" w:color="auto" w:fill="FFFFFF"/>
          </w:tcPr>
          <w:p w14:paraId="4B08C837" w14:textId="09142513" w:rsidR="00527DC9" w:rsidRPr="00D45645" w:rsidRDefault="00527DC9" w:rsidP="00CE4067">
            <w:pPr>
              <w:pStyle w:val="CETBodytext"/>
              <w:jc w:val="left"/>
              <w:rPr>
                <w:b/>
                <w:bCs/>
                <w:lang w:val="en-GB"/>
              </w:rPr>
            </w:pPr>
            <w:proofErr w:type="gramStart"/>
            <w:r w:rsidRPr="00D45645">
              <w:rPr>
                <w:b/>
                <w:bCs/>
                <w:lang w:val="en-GB"/>
              </w:rPr>
              <w:t>PSW:RLB</w:t>
            </w:r>
            <w:proofErr w:type="gramEnd"/>
          </w:p>
        </w:tc>
        <w:tc>
          <w:tcPr>
            <w:tcW w:w="1134" w:type="dxa"/>
            <w:tcBorders>
              <w:top w:val="single" w:sz="12" w:space="0" w:color="008000"/>
              <w:bottom w:val="single" w:sz="6" w:space="0" w:color="008000"/>
            </w:tcBorders>
            <w:shd w:val="clear" w:color="auto" w:fill="FFFFFF"/>
          </w:tcPr>
          <w:p w14:paraId="2AF5D39A" w14:textId="22DCCD35" w:rsidR="00527DC9" w:rsidRPr="00B57B36" w:rsidRDefault="00527DC9" w:rsidP="00CE4067">
            <w:pPr>
              <w:pStyle w:val="CETBodytext"/>
              <w:jc w:val="left"/>
              <w:rPr>
                <w:lang w:val="en-GB"/>
              </w:rPr>
            </w:pPr>
            <w:r>
              <w:rPr>
                <w:lang w:val="en-GB"/>
              </w:rPr>
              <w:t>100:0</w:t>
            </w:r>
          </w:p>
        </w:tc>
        <w:tc>
          <w:tcPr>
            <w:tcW w:w="1134" w:type="dxa"/>
            <w:tcBorders>
              <w:top w:val="single" w:sz="12" w:space="0" w:color="008000"/>
              <w:bottom w:val="single" w:sz="6" w:space="0" w:color="008000"/>
            </w:tcBorders>
            <w:shd w:val="clear" w:color="auto" w:fill="FFFFFF"/>
          </w:tcPr>
          <w:p w14:paraId="33C38AD2" w14:textId="78E34F05" w:rsidR="00527DC9" w:rsidRPr="00B57B36" w:rsidRDefault="00527DC9" w:rsidP="00CE4067">
            <w:pPr>
              <w:pStyle w:val="CETBodytext"/>
              <w:jc w:val="left"/>
              <w:rPr>
                <w:lang w:val="en-GB"/>
              </w:rPr>
            </w:pPr>
            <w:r>
              <w:rPr>
                <w:lang w:val="en-GB"/>
              </w:rPr>
              <w:t>70:30</w:t>
            </w:r>
          </w:p>
        </w:tc>
        <w:tc>
          <w:tcPr>
            <w:tcW w:w="1134" w:type="dxa"/>
            <w:tcBorders>
              <w:top w:val="single" w:sz="12" w:space="0" w:color="008000"/>
              <w:bottom w:val="single" w:sz="6" w:space="0" w:color="008000"/>
            </w:tcBorders>
            <w:shd w:val="clear" w:color="auto" w:fill="FFFFFF"/>
          </w:tcPr>
          <w:p w14:paraId="6FB165E4" w14:textId="4FE5C176" w:rsidR="00527DC9" w:rsidRPr="00B57B36" w:rsidRDefault="00527DC9" w:rsidP="00CE4067">
            <w:pPr>
              <w:pStyle w:val="CETBodytext"/>
              <w:ind w:right="-1"/>
              <w:jc w:val="left"/>
              <w:rPr>
                <w:rFonts w:cs="Arial"/>
                <w:szCs w:val="18"/>
                <w:lang w:val="en-GB"/>
              </w:rPr>
            </w:pPr>
            <w:r>
              <w:rPr>
                <w:rFonts w:cs="Arial"/>
                <w:szCs w:val="18"/>
                <w:lang w:val="en-GB"/>
              </w:rPr>
              <w:t>50:50</w:t>
            </w:r>
          </w:p>
        </w:tc>
        <w:tc>
          <w:tcPr>
            <w:tcW w:w="1134" w:type="dxa"/>
            <w:tcBorders>
              <w:top w:val="single" w:sz="12" w:space="0" w:color="008000"/>
              <w:bottom w:val="single" w:sz="6" w:space="0" w:color="008000"/>
            </w:tcBorders>
            <w:shd w:val="clear" w:color="auto" w:fill="FFFFFF"/>
          </w:tcPr>
          <w:p w14:paraId="039EC03C" w14:textId="6054C2C7" w:rsidR="00527DC9" w:rsidRPr="00B57B36" w:rsidRDefault="00527DC9" w:rsidP="00CE4067">
            <w:pPr>
              <w:pStyle w:val="CETBodytext"/>
              <w:tabs>
                <w:tab w:val="clear" w:pos="7100"/>
                <w:tab w:val="left" w:pos="1040"/>
              </w:tabs>
              <w:ind w:right="-1"/>
              <w:jc w:val="left"/>
              <w:rPr>
                <w:rFonts w:cs="Arial"/>
                <w:szCs w:val="18"/>
                <w:lang w:val="en-GB"/>
              </w:rPr>
            </w:pPr>
            <w:r>
              <w:rPr>
                <w:rFonts w:cs="Arial"/>
                <w:szCs w:val="18"/>
                <w:lang w:val="en-GB"/>
              </w:rPr>
              <w:t>30:70</w:t>
            </w:r>
          </w:p>
        </w:tc>
        <w:tc>
          <w:tcPr>
            <w:tcW w:w="451" w:type="dxa"/>
            <w:tcBorders>
              <w:top w:val="single" w:sz="12" w:space="0" w:color="008000"/>
              <w:bottom w:val="single" w:sz="6" w:space="0" w:color="008000"/>
            </w:tcBorders>
            <w:shd w:val="clear" w:color="auto" w:fill="FFFFFF"/>
          </w:tcPr>
          <w:p w14:paraId="7C41808E" w14:textId="58BBF4D6" w:rsidR="00527DC9" w:rsidRDefault="00527DC9" w:rsidP="00CE4067">
            <w:pPr>
              <w:pStyle w:val="CETBodytext"/>
              <w:tabs>
                <w:tab w:val="clear" w:pos="7100"/>
                <w:tab w:val="left" w:pos="1040"/>
              </w:tabs>
              <w:ind w:right="-1"/>
              <w:jc w:val="left"/>
              <w:rPr>
                <w:rFonts w:cs="Arial"/>
                <w:szCs w:val="18"/>
                <w:lang w:val="en-GB"/>
              </w:rPr>
            </w:pPr>
            <w:r>
              <w:rPr>
                <w:rFonts w:cs="Arial"/>
                <w:szCs w:val="18"/>
                <w:lang w:val="en-GB"/>
              </w:rPr>
              <w:t>0:100</w:t>
            </w:r>
          </w:p>
        </w:tc>
      </w:tr>
      <w:tr w:rsidR="00527DC9" w:rsidRPr="00B57B36" w14:paraId="5553CACA" w14:textId="77777777" w:rsidTr="00527DC9">
        <w:tc>
          <w:tcPr>
            <w:tcW w:w="1134" w:type="dxa"/>
            <w:shd w:val="clear" w:color="auto" w:fill="FFFFFF"/>
          </w:tcPr>
          <w:p w14:paraId="772D8CAD" w14:textId="0DCA1F4D" w:rsidR="00527DC9" w:rsidRPr="00D45645" w:rsidRDefault="00527DC9" w:rsidP="00CE4067">
            <w:pPr>
              <w:pStyle w:val="CETBodytext"/>
              <w:rPr>
                <w:b/>
                <w:bCs/>
                <w:lang w:val="en-GB"/>
              </w:rPr>
            </w:pPr>
            <w:r w:rsidRPr="00D45645">
              <w:rPr>
                <w:b/>
                <w:bCs/>
                <w:lang w:val="en-GB"/>
              </w:rPr>
              <w:t>H</w:t>
            </w:r>
            <w:r w:rsidRPr="00D45645">
              <w:rPr>
                <w:b/>
                <w:bCs/>
                <w:vertAlign w:val="subscript"/>
                <w:lang w:val="en-GB"/>
              </w:rPr>
              <w:t>2</w:t>
            </w:r>
          </w:p>
        </w:tc>
        <w:tc>
          <w:tcPr>
            <w:tcW w:w="1134" w:type="dxa"/>
            <w:shd w:val="clear" w:color="auto" w:fill="FFFFFF"/>
          </w:tcPr>
          <w:p w14:paraId="297ACB26" w14:textId="779FA000" w:rsidR="00527DC9" w:rsidRPr="00B57B36" w:rsidRDefault="00D45645" w:rsidP="00CE4067">
            <w:pPr>
              <w:pStyle w:val="CETBodytext"/>
              <w:rPr>
                <w:lang w:val="en-GB"/>
              </w:rPr>
            </w:pPr>
            <w:r>
              <w:rPr>
                <w:lang w:val="en-GB"/>
              </w:rPr>
              <w:t>56.94</w:t>
            </w:r>
          </w:p>
        </w:tc>
        <w:tc>
          <w:tcPr>
            <w:tcW w:w="1134" w:type="dxa"/>
            <w:shd w:val="clear" w:color="auto" w:fill="FFFFFF"/>
          </w:tcPr>
          <w:p w14:paraId="66D045D9" w14:textId="5B4D5034" w:rsidR="00527DC9" w:rsidRPr="00B57B36" w:rsidRDefault="00D45645" w:rsidP="00CE4067">
            <w:pPr>
              <w:pStyle w:val="CETBodytext"/>
              <w:rPr>
                <w:lang w:val="en-GB"/>
              </w:rPr>
            </w:pPr>
            <w:r>
              <w:rPr>
                <w:lang w:val="en-GB"/>
              </w:rPr>
              <w:t>42.12</w:t>
            </w:r>
          </w:p>
        </w:tc>
        <w:tc>
          <w:tcPr>
            <w:tcW w:w="1134" w:type="dxa"/>
            <w:shd w:val="clear" w:color="auto" w:fill="FFFFFF"/>
          </w:tcPr>
          <w:p w14:paraId="5F1475E3" w14:textId="75207257" w:rsidR="00527DC9" w:rsidRPr="00B57B36" w:rsidRDefault="00D45645" w:rsidP="00CE4067">
            <w:pPr>
              <w:pStyle w:val="CETBodytext"/>
              <w:ind w:right="-1"/>
              <w:rPr>
                <w:rFonts w:cs="Arial"/>
                <w:szCs w:val="18"/>
                <w:lang w:val="en-GB"/>
              </w:rPr>
            </w:pPr>
            <w:r>
              <w:rPr>
                <w:rFonts w:cs="Arial"/>
                <w:szCs w:val="18"/>
                <w:lang w:val="en-GB"/>
              </w:rPr>
              <w:t>37.10</w:t>
            </w:r>
          </w:p>
        </w:tc>
        <w:tc>
          <w:tcPr>
            <w:tcW w:w="1134" w:type="dxa"/>
            <w:shd w:val="clear" w:color="auto" w:fill="FFFFFF"/>
          </w:tcPr>
          <w:p w14:paraId="2EFB806C" w14:textId="67CCE564" w:rsidR="00527DC9" w:rsidRPr="00B57B36" w:rsidRDefault="00D45645" w:rsidP="00CE4067">
            <w:pPr>
              <w:pStyle w:val="CETBodytext"/>
              <w:ind w:right="-1"/>
              <w:rPr>
                <w:rFonts w:cs="Arial"/>
                <w:szCs w:val="18"/>
                <w:lang w:val="en-GB"/>
              </w:rPr>
            </w:pPr>
            <w:r>
              <w:rPr>
                <w:rFonts w:cs="Arial"/>
                <w:szCs w:val="18"/>
                <w:lang w:val="en-GB"/>
              </w:rPr>
              <w:t>35.88</w:t>
            </w:r>
          </w:p>
        </w:tc>
        <w:tc>
          <w:tcPr>
            <w:tcW w:w="451" w:type="dxa"/>
            <w:shd w:val="clear" w:color="auto" w:fill="FFFFFF"/>
          </w:tcPr>
          <w:p w14:paraId="017A8BDA" w14:textId="2B061ECA" w:rsidR="00527DC9" w:rsidRPr="00B57B36" w:rsidRDefault="00D45645" w:rsidP="00CE4067">
            <w:pPr>
              <w:pStyle w:val="CETBodytext"/>
              <w:ind w:right="-1"/>
              <w:rPr>
                <w:rFonts w:cs="Arial"/>
                <w:szCs w:val="18"/>
                <w:lang w:val="en-GB"/>
              </w:rPr>
            </w:pPr>
            <w:r>
              <w:rPr>
                <w:rFonts w:cs="Arial"/>
                <w:szCs w:val="18"/>
                <w:lang w:val="en-GB"/>
              </w:rPr>
              <w:t>39.06</w:t>
            </w:r>
          </w:p>
        </w:tc>
      </w:tr>
      <w:tr w:rsidR="00527DC9" w:rsidRPr="00B57B36" w14:paraId="023584DC" w14:textId="77777777" w:rsidTr="00527DC9">
        <w:tc>
          <w:tcPr>
            <w:tcW w:w="1134" w:type="dxa"/>
            <w:shd w:val="clear" w:color="auto" w:fill="FFFFFF"/>
          </w:tcPr>
          <w:p w14:paraId="0A9781C0" w14:textId="73A9015F" w:rsidR="00527DC9" w:rsidRPr="00D45645" w:rsidRDefault="00527DC9" w:rsidP="00CE4067">
            <w:pPr>
              <w:pStyle w:val="CETBodytext"/>
              <w:ind w:right="-1"/>
              <w:rPr>
                <w:rFonts w:cs="Arial"/>
                <w:b/>
                <w:bCs/>
                <w:szCs w:val="18"/>
                <w:lang w:val="en-GB"/>
              </w:rPr>
            </w:pPr>
            <w:r w:rsidRPr="00D45645">
              <w:rPr>
                <w:rFonts w:cs="Arial"/>
                <w:b/>
                <w:bCs/>
                <w:szCs w:val="18"/>
                <w:lang w:val="en-GB"/>
              </w:rPr>
              <w:t>CH</w:t>
            </w:r>
            <w:r w:rsidRPr="00D45645">
              <w:rPr>
                <w:rFonts w:cs="Arial"/>
                <w:b/>
                <w:bCs/>
                <w:szCs w:val="18"/>
                <w:vertAlign w:val="subscript"/>
                <w:lang w:val="en-GB"/>
              </w:rPr>
              <w:t>4</w:t>
            </w:r>
          </w:p>
        </w:tc>
        <w:tc>
          <w:tcPr>
            <w:tcW w:w="1134" w:type="dxa"/>
            <w:shd w:val="clear" w:color="auto" w:fill="FFFFFF"/>
          </w:tcPr>
          <w:p w14:paraId="715963EF" w14:textId="0C386FFD" w:rsidR="00527DC9" w:rsidRPr="00B57B36" w:rsidRDefault="00D45645" w:rsidP="00CE4067">
            <w:pPr>
              <w:pStyle w:val="CETBodytext"/>
              <w:ind w:right="-1"/>
              <w:rPr>
                <w:rFonts w:cs="Arial"/>
                <w:szCs w:val="18"/>
                <w:lang w:val="en-GB"/>
              </w:rPr>
            </w:pPr>
            <w:r>
              <w:rPr>
                <w:rFonts w:cs="Arial"/>
                <w:szCs w:val="18"/>
                <w:lang w:val="en-GB"/>
              </w:rPr>
              <w:t>12.64</w:t>
            </w:r>
          </w:p>
        </w:tc>
        <w:tc>
          <w:tcPr>
            <w:tcW w:w="1134" w:type="dxa"/>
            <w:shd w:val="clear" w:color="auto" w:fill="FFFFFF"/>
          </w:tcPr>
          <w:p w14:paraId="0D5BC914" w14:textId="5C23AEAF" w:rsidR="00527DC9" w:rsidRPr="00B57B36" w:rsidRDefault="00D45645" w:rsidP="00CE4067">
            <w:pPr>
              <w:pStyle w:val="CETBodytext"/>
              <w:ind w:right="-1"/>
              <w:rPr>
                <w:rFonts w:cs="Arial"/>
                <w:szCs w:val="18"/>
                <w:lang w:val="en-GB"/>
              </w:rPr>
            </w:pPr>
            <w:r>
              <w:rPr>
                <w:rFonts w:cs="Arial"/>
                <w:szCs w:val="18"/>
                <w:lang w:val="en-GB"/>
              </w:rPr>
              <w:t>13.63</w:t>
            </w:r>
          </w:p>
        </w:tc>
        <w:tc>
          <w:tcPr>
            <w:tcW w:w="1134" w:type="dxa"/>
            <w:shd w:val="clear" w:color="auto" w:fill="FFFFFF"/>
          </w:tcPr>
          <w:p w14:paraId="153DC47B" w14:textId="56AE05E0" w:rsidR="00527DC9" w:rsidRPr="00B57B36" w:rsidRDefault="00D45645" w:rsidP="00CE4067">
            <w:pPr>
              <w:pStyle w:val="CETBodytext"/>
              <w:ind w:right="-1"/>
              <w:rPr>
                <w:rFonts w:cs="Arial"/>
                <w:szCs w:val="18"/>
                <w:lang w:val="en-GB"/>
              </w:rPr>
            </w:pPr>
            <w:r>
              <w:rPr>
                <w:rFonts w:cs="Arial"/>
                <w:szCs w:val="18"/>
                <w:lang w:val="en-GB"/>
              </w:rPr>
              <w:t>6.57</w:t>
            </w:r>
          </w:p>
        </w:tc>
        <w:tc>
          <w:tcPr>
            <w:tcW w:w="1134" w:type="dxa"/>
            <w:shd w:val="clear" w:color="auto" w:fill="FFFFFF"/>
          </w:tcPr>
          <w:p w14:paraId="7DA76FB5" w14:textId="7342C69B" w:rsidR="00527DC9" w:rsidRPr="00B57B36" w:rsidRDefault="00D45645" w:rsidP="00CE4067">
            <w:pPr>
              <w:pStyle w:val="CETBodytext"/>
              <w:ind w:right="-1"/>
              <w:rPr>
                <w:rFonts w:cs="Arial"/>
                <w:szCs w:val="18"/>
                <w:lang w:val="en-GB"/>
              </w:rPr>
            </w:pPr>
            <w:r>
              <w:rPr>
                <w:rFonts w:cs="Arial"/>
                <w:szCs w:val="18"/>
                <w:lang w:val="en-GB"/>
              </w:rPr>
              <w:t>9.48</w:t>
            </w:r>
          </w:p>
        </w:tc>
        <w:tc>
          <w:tcPr>
            <w:tcW w:w="451" w:type="dxa"/>
            <w:shd w:val="clear" w:color="auto" w:fill="FFFFFF"/>
          </w:tcPr>
          <w:p w14:paraId="1B756878" w14:textId="4352122A" w:rsidR="00527DC9" w:rsidRPr="00B57B36" w:rsidRDefault="00D45645" w:rsidP="00CE4067">
            <w:pPr>
              <w:pStyle w:val="CETBodytext"/>
              <w:ind w:right="-1"/>
              <w:rPr>
                <w:rFonts w:cs="Arial"/>
                <w:szCs w:val="18"/>
                <w:lang w:val="en-GB"/>
              </w:rPr>
            </w:pPr>
            <w:r>
              <w:rPr>
                <w:rFonts w:cs="Arial"/>
                <w:szCs w:val="18"/>
                <w:lang w:val="en-GB"/>
              </w:rPr>
              <w:t>6.40</w:t>
            </w:r>
          </w:p>
        </w:tc>
      </w:tr>
      <w:tr w:rsidR="00527DC9" w:rsidRPr="00B57B36" w14:paraId="5E3C2C94" w14:textId="77777777" w:rsidTr="00527DC9">
        <w:tc>
          <w:tcPr>
            <w:tcW w:w="1134" w:type="dxa"/>
            <w:shd w:val="clear" w:color="auto" w:fill="FFFFFF"/>
          </w:tcPr>
          <w:p w14:paraId="5A36A76A" w14:textId="3BFE6523" w:rsidR="00527DC9" w:rsidRPr="00D45645" w:rsidRDefault="00527DC9" w:rsidP="00CE4067">
            <w:pPr>
              <w:pStyle w:val="CETBodytext"/>
              <w:ind w:right="-1"/>
              <w:rPr>
                <w:rFonts w:cs="Arial"/>
                <w:b/>
                <w:bCs/>
                <w:szCs w:val="18"/>
                <w:lang w:val="en-GB"/>
              </w:rPr>
            </w:pPr>
            <w:r w:rsidRPr="00D45645">
              <w:rPr>
                <w:rFonts w:cs="Arial"/>
                <w:b/>
                <w:bCs/>
                <w:szCs w:val="18"/>
                <w:lang w:val="en-GB"/>
              </w:rPr>
              <w:t>CO</w:t>
            </w:r>
          </w:p>
        </w:tc>
        <w:tc>
          <w:tcPr>
            <w:tcW w:w="1134" w:type="dxa"/>
            <w:shd w:val="clear" w:color="auto" w:fill="FFFFFF"/>
          </w:tcPr>
          <w:p w14:paraId="7DC16FE3" w14:textId="3DE46DC6" w:rsidR="00527DC9" w:rsidRPr="00B57B36" w:rsidRDefault="00D45645" w:rsidP="00CE4067">
            <w:pPr>
              <w:pStyle w:val="CETBodytext"/>
              <w:ind w:right="-1"/>
              <w:rPr>
                <w:rFonts w:cs="Arial"/>
                <w:szCs w:val="18"/>
                <w:lang w:val="en-GB"/>
              </w:rPr>
            </w:pPr>
            <w:r>
              <w:rPr>
                <w:rFonts w:cs="Arial"/>
                <w:szCs w:val="18"/>
                <w:lang w:val="en-GB"/>
              </w:rPr>
              <w:t>6.86</w:t>
            </w:r>
          </w:p>
        </w:tc>
        <w:tc>
          <w:tcPr>
            <w:tcW w:w="1134" w:type="dxa"/>
            <w:shd w:val="clear" w:color="auto" w:fill="FFFFFF"/>
          </w:tcPr>
          <w:p w14:paraId="00EE5B45" w14:textId="55269FA3" w:rsidR="00527DC9" w:rsidRPr="00B57B36" w:rsidRDefault="00D45645" w:rsidP="00CE4067">
            <w:pPr>
              <w:pStyle w:val="CETBodytext"/>
              <w:ind w:right="-1"/>
              <w:rPr>
                <w:rFonts w:cs="Arial"/>
                <w:szCs w:val="18"/>
                <w:lang w:val="en-GB"/>
              </w:rPr>
            </w:pPr>
            <w:r>
              <w:rPr>
                <w:rFonts w:cs="Arial"/>
                <w:szCs w:val="18"/>
                <w:lang w:val="en-GB"/>
              </w:rPr>
              <w:t>16.64</w:t>
            </w:r>
          </w:p>
        </w:tc>
        <w:tc>
          <w:tcPr>
            <w:tcW w:w="1134" w:type="dxa"/>
            <w:shd w:val="clear" w:color="auto" w:fill="FFFFFF"/>
          </w:tcPr>
          <w:p w14:paraId="533006A9" w14:textId="4CD1E519" w:rsidR="00527DC9" w:rsidRPr="00B57B36" w:rsidRDefault="00D45645" w:rsidP="00CE4067">
            <w:pPr>
              <w:pStyle w:val="CETBodytext"/>
              <w:ind w:right="-1"/>
              <w:rPr>
                <w:rFonts w:cs="Arial"/>
                <w:szCs w:val="18"/>
                <w:lang w:val="en-GB"/>
              </w:rPr>
            </w:pPr>
            <w:r>
              <w:rPr>
                <w:rFonts w:cs="Arial"/>
                <w:szCs w:val="18"/>
                <w:lang w:val="en-GB"/>
              </w:rPr>
              <w:t>32.46</w:t>
            </w:r>
          </w:p>
        </w:tc>
        <w:tc>
          <w:tcPr>
            <w:tcW w:w="1134" w:type="dxa"/>
            <w:shd w:val="clear" w:color="auto" w:fill="FFFFFF"/>
          </w:tcPr>
          <w:p w14:paraId="747C5BC2" w14:textId="1246A849" w:rsidR="00527DC9" w:rsidRPr="00B57B36" w:rsidRDefault="00D45645" w:rsidP="00CE4067">
            <w:pPr>
              <w:pStyle w:val="CETBodytext"/>
              <w:ind w:right="-1"/>
              <w:rPr>
                <w:rFonts w:cs="Arial"/>
                <w:szCs w:val="18"/>
                <w:lang w:val="en-GB"/>
              </w:rPr>
            </w:pPr>
            <w:r>
              <w:rPr>
                <w:rFonts w:cs="Arial"/>
                <w:szCs w:val="18"/>
                <w:lang w:val="en-GB"/>
              </w:rPr>
              <w:t>38.24</w:t>
            </w:r>
          </w:p>
        </w:tc>
        <w:tc>
          <w:tcPr>
            <w:tcW w:w="451" w:type="dxa"/>
            <w:shd w:val="clear" w:color="auto" w:fill="FFFFFF"/>
          </w:tcPr>
          <w:p w14:paraId="61D90907" w14:textId="49E89F44" w:rsidR="00527DC9" w:rsidRPr="00B57B36" w:rsidRDefault="00D45645" w:rsidP="00CE4067">
            <w:pPr>
              <w:pStyle w:val="CETBodytext"/>
              <w:ind w:right="-1"/>
              <w:rPr>
                <w:rFonts w:cs="Arial"/>
                <w:szCs w:val="18"/>
                <w:lang w:val="en-GB"/>
              </w:rPr>
            </w:pPr>
            <w:r>
              <w:rPr>
                <w:rFonts w:cs="Arial"/>
                <w:szCs w:val="18"/>
                <w:lang w:val="en-GB"/>
              </w:rPr>
              <w:t>46.61</w:t>
            </w:r>
          </w:p>
        </w:tc>
      </w:tr>
      <w:tr w:rsidR="00527DC9" w:rsidRPr="00B57B36" w14:paraId="3A4388F5" w14:textId="77777777" w:rsidTr="00527DC9">
        <w:tc>
          <w:tcPr>
            <w:tcW w:w="1134" w:type="dxa"/>
            <w:shd w:val="clear" w:color="auto" w:fill="FFFFFF"/>
          </w:tcPr>
          <w:p w14:paraId="45871E34" w14:textId="50DCF771" w:rsidR="00527DC9" w:rsidRPr="00D45645" w:rsidRDefault="00527DC9" w:rsidP="00CE4067">
            <w:pPr>
              <w:pStyle w:val="CETBodytext"/>
              <w:ind w:right="-1"/>
              <w:rPr>
                <w:rFonts w:cs="Arial"/>
                <w:b/>
                <w:bCs/>
                <w:szCs w:val="18"/>
                <w:lang w:val="en-GB"/>
              </w:rPr>
            </w:pPr>
            <w:r w:rsidRPr="00D45645">
              <w:rPr>
                <w:rFonts w:cs="Arial"/>
                <w:b/>
                <w:bCs/>
                <w:szCs w:val="18"/>
                <w:lang w:val="en-GB"/>
              </w:rPr>
              <w:t>CO</w:t>
            </w:r>
            <w:r w:rsidRPr="00D45645">
              <w:rPr>
                <w:rFonts w:cs="Arial"/>
                <w:b/>
                <w:bCs/>
                <w:szCs w:val="18"/>
                <w:vertAlign w:val="subscript"/>
                <w:lang w:val="en-GB"/>
              </w:rPr>
              <w:t>2</w:t>
            </w:r>
          </w:p>
        </w:tc>
        <w:tc>
          <w:tcPr>
            <w:tcW w:w="1134" w:type="dxa"/>
            <w:shd w:val="clear" w:color="auto" w:fill="FFFFFF"/>
          </w:tcPr>
          <w:p w14:paraId="6B9E9511" w14:textId="3B30EB07" w:rsidR="00527DC9" w:rsidRPr="00B57B36" w:rsidRDefault="00D45645" w:rsidP="00CE4067">
            <w:pPr>
              <w:pStyle w:val="CETBodytext"/>
              <w:ind w:right="-1"/>
              <w:rPr>
                <w:rFonts w:cs="Arial"/>
                <w:szCs w:val="18"/>
                <w:lang w:val="en-GB"/>
              </w:rPr>
            </w:pPr>
            <w:r>
              <w:rPr>
                <w:rFonts w:cs="Arial"/>
                <w:szCs w:val="18"/>
                <w:lang w:val="en-GB"/>
              </w:rPr>
              <w:t>13.06</w:t>
            </w:r>
          </w:p>
        </w:tc>
        <w:tc>
          <w:tcPr>
            <w:tcW w:w="1134" w:type="dxa"/>
            <w:shd w:val="clear" w:color="auto" w:fill="FFFFFF"/>
          </w:tcPr>
          <w:p w14:paraId="3DC9A7C2" w14:textId="360FEBFA" w:rsidR="00527DC9" w:rsidRPr="00B57B36" w:rsidRDefault="00D45645" w:rsidP="00CE4067">
            <w:pPr>
              <w:pStyle w:val="CETBodytext"/>
              <w:ind w:right="-1"/>
              <w:rPr>
                <w:rFonts w:cs="Arial"/>
                <w:szCs w:val="18"/>
                <w:lang w:val="en-GB"/>
              </w:rPr>
            </w:pPr>
            <w:r>
              <w:rPr>
                <w:rFonts w:cs="Arial"/>
                <w:szCs w:val="18"/>
                <w:lang w:val="en-GB"/>
              </w:rPr>
              <w:t xml:space="preserve"> 9.84</w:t>
            </w:r>
          </w:p>
        </w:tc>
        <w:tc>
          <w:tcPr>
            <w:tcW w:w="1134" w:type="dxa"/>
            <w:shd w:val="clear" w:color="auto" w:fill="FFFFFF"/>
          </w:tcPr>
          <w:p w14:paraId="7C359D9B" w14:textId="7057467E" w:rsidR="00527DC9" w:rsidRPr="00B57B36" w:rsidRDefault="00D45645" w:rsidP="00CE4067">
            <w:pPr>
              <w:pStyle w:val="CETBodytext"/>
              <w:ind w:right="-1"/>
              <w:rPr>
                <w:rFonts w:cs="Arial"/>
                <w:szCs w:val="18"/>
                <w:lang w:val="en-GB"/>
              </w:rPr>
            </w:pPr>
            <w:r>
              <w:rPr>
                <w:rFonts w:cs="Arial"/>
                <w:szCs w:val="18"/>
                <w:lang w:val="en-GB"/>
              </w:rPr>
              <w:t>16.89</w:t>
            </w:r>
          </w:p>
        </w:tc>
        <w:tc>
          <w:tcPr>
            <w:tcW w:w="1134" w:type="dxa"/>
            <w:shd w:val="clear" w:color="auto" w:fill="FFFFFF"/>
          </w:tcPr>
          <w:p w14:paraId="2FEC453C" w14:textId="43B001B4" w:rsidR="00527DC9" w:rsidRPr="00B57B36" w:rsidRDefault="00D45645" w:rsidP="00CE4067">
            <w:pPr>
              <w:pStyle w:val="CETBodytext"/>
              <w:ind w:right="-1"/>
              <w:rPr>
                <w:rFonts w:cs="Arial"/>
                <w:szCs w:val="18"/>
                <w:lang w:val="en-GB"/>
              </w:rPr>
            </w:pPr>
            <w:r>
              <w:rPr>
                <w:rFonts w:cs="Arial"/>
                <w:szCs w:val="18"/>
                <w:lang w:val="en-GB"/>
              </w:rPr>
              <w:t>8.52</w:t>
            </w:r>
          </w:p>
        </w:tc>
        <w:tc>
          <w:tcPr>
            <w:tcW w:w="451" w:type="dxa"/>
            <w:shd w:val="clear" w:color="auto" w:fill="FFFFFF"/>
          </w:tcPr>
          <w:p w14:paraId="1628E771" w14:textId="0770C088" w:rsidR="00527DC9" w:rsidRPr="00B57B36" w:rsidRDefault="00D45645" w:rsidP="00CE4067">
            <w:pPr>
              <w:pStyle w:val="CETBodytext"/>
              <w:ind w:right="-1"/>
              <w:rPr>
                <w:rFonts w:cs="Arial"/>
                <w:szCs w:val="18"/>
                <w:lang w:val="en-GB"/>
              </w:rPr>
            </w:pPr>
            <w:r>
              <w:rPr>
                <w:rFonts w:cs="Arial"/>
                <w:szCs w:val="18"/>
                <w:lang w:val="en-GB"/>
              </w:rPr>
              <w:t>5.17</w:t>
            </w:r>
          </w:p>
        </w:tc>
      </w:tr>
      <w:tr w:rsidR="00527DC9" w:rsidRPr="00B57B36" w14:paraId="0C1E8FB0" w14:textId="77777777" w:rsidTr="00527DC9">
        <w:tc>
          <w:tcPr>
            <w:tcW w:w="1134" w:type="dxa"/>
            <w:shd w:val="clear" w:color="auto" w:fill="FFFFFF"/>
          </w:tcPr>
          <w:p w14:paraId="4F53C1B1" w14:textId="4D7965A9" w:rsidR="00527DC9" w:rsidRPr="00D45645" w:rsidRDefault="00527DC9" w:rsidP="00CE4067">
            <w:pPr>
              <w:pStyle w:val="CETBodytext"/>
              <w:ind w:right="-1"/>
              <w:rPr>
                <w:rFonts w:cs="Arial"/>
                <w:b/>
                <w:bCs/>
                <w:szCs w:val="18"/>
                <w:lang w:val="en-GB"/>
              </w:rPr>
            </w:pPr>
            <w:r w:rsidRPr="00D45645">
              <w:rPr>
                <w:rFonts w:cs="Arial"/>
                <w:b/>
                <w:bCs/>
                <w:szCs w:val="18"/>
                <w:lang w:val="en-GB"/>
              </w:rPr>
              <w:t>C</w:t>
            </w:r>
            <w:r w:rsidRPr="00D45645">
              <w:rPr>
                <w:rFonts w:cs="Arial"/>
                <w:b/>
                <w:bCs/>
                <w:szCs w:val="18"/>
                <w:vertAlign w:val="subscript"/>
                <w:lang w:val="en-GB"/>
              </w:rPr>
              <w:t>2</w:t>
            </w:r>
            <w:r w:rsidRPr="00D45645">
              <w:rPr>
                <w:rFonts w:cs="Arial"/>
                <w:b/>
                <w:bCs/>
                <w:szCs w:val="18"/>
                <w:lang w:val="en-GB"/>
              </w:rPr>
              <w:t>H</w:t>
            </w:r>
            <w:r w:rsidRPr="00D45645">
              <w:rPr>
                <w:rFonts w:cs="Arial"/>
                <w:b/>
                <w:bCs/>
                <w:szCs w:val="18"/>
                <w:vertAlign w:val="subscript"/>
                <w:lang w:val="en-GB"/>
              </w:rPr>
              <w:t>4</w:t>
            </w:r>
          </w:p>
        </w:tc>
        <w:tc>
          <w:tcPr>
            <w:tcW w:w="1134" w:type="dxa"/>
            <w:shd w:val="clear" w:color="auto" w:fill="FFFFFF"/>
          </w:tcPr>
          <w:p w14:paraId="5B3A8BE6" w14:textId="1A690EBA" w:rsidR="00527DC9" w:rsidRDefault="00D45645" w:rsidP="00CE4067">
            <w:pPr>
              <w:pStyle w:val="CETBodytext"/>
              <w:ind w:right="-1"/>
              <w:rPr>
                <w:rFonts w:cs="Arial"/>
                <w:szCs w:val="18"/>
                <w:lang w:val="en-GB"/>
              </w:rPr>
            </w:pPr>
            <w:r>
              <w:rPr>
                <w:rFonts w:cs="Arial"/>
                <w:szCs w:val="18"/>
                <w:lang w:val="en-GB"/>
              </w:rPr>
              <w:t>5.83</w:t>
            </w:r>
          </w:p>
        </w:tc>
        <w:tc>
          <w:tcPr>
            <w:tcW w:w="1134" w:type="dxa"/>
            <w:shd w:val="clear" w:color="auto" w:fill="FFFFFF"/>
          </w:tcPr>
          <w:p w14:paraId="7015E645" w14:textId="5DFD15C9" w:rsidR="00527DC9" w:rsidRDefault="00D45645" w:rsidP="00CE4067">
            <w:pPr>
              <w:pStyle w:val="CETBodytext"/>
              <w:ind w:right="-1"/>
              <w:rPr>
                <w:rFonts w:cs="Arial"/>
                <w:szCs w:val="18"/>
                <w:lang w:val="en-GB"/>
              </w:rPr>
            </w:pPr>
            <w:r>
              <w:rPr>
                <w:rFonts w:cs="Arial"/>
                <w:szCs w:val="18"/>
                <w:lang w:val="en-GB"/>
              </w:rPr>
              <w:t>12.68</w:t>
            </w:r>
          </w:p>
        </w:tc>
        <w:tc>
          <w:tcPr>
            <w:tcW w:w="1134" w:type="dxa"/>
            <w:shd w:val="clear" w:color="auto" w:fill="FFFFFF"/>
          </w:tcPr>
          <w:p w14:paraId="132FDE9A" w14:textId="6BD9FADE" w:rsidR="00527DC9" w:rsidRDefault="00D45645" w:rsidP="00CE4067">
            <w:pPr>
              <w:pStyle w:val="CETBodytext"/>
              <w:ind w:right="-1"/>
              <w:rPr>
                <w:rFonts w:cs="Arial"/>
                <w:szCs w:val="18"/>
                <w:lang w:val="en-GB"/>
              </w:rPr>
            </w:pPr>
            <w:r>
              <w:rPr>
                <w:rFonts w:cs="Arial"/>
                <w:szCs w:val="18"/>
                <w:lang w:val="en-GB"/>
              </w:rPr>
              <w:t>4.84</w:t>
            </w:r>
          </w:p>
        </w:tc>
        <w:tc>
          <w:tcPr>
            <w:tcW w:w="1134" w:type="dxa"/>
            <w:shd w:val="clear" w:color="auto" w:fill="FFFFFF"/>
          </w:tcPr>
          <w:p w14:paraId="2E7B8566" w14:textId="7A66F9AA" w:rsidR="00527DC9" w:rsidRDefault="00D45645" w:rsidP="00CE4067">
            <w:pPr>
              <w:pStyle w:val="CETBodytext"/>
              <w:ind w:right="-1"/>
              <w:rPr>
                <w:rFonts w:cs="Arial"/>
                <w:szCs w:val="18"/>
                <w:lang w:val="en-GB"/>
              </w:rPr>
            </w:pPr>
            <w:r>
              <w:rPr>
                <w:rFonts w:cs="Arial"/>
                <w:szCs w:val="18"/>
                <w:lang w:val="en-GB"/>
              </w:rPr>
              <w:t>4.60</w:t>
            </w:r>
          </w:p>
        </w:tc>
        <w:tc>
          <w:tcPr>
            <w:tcW w:w="451" w:type="dxa"/>
            <w:shd w:val="clear" w:color="auto" w:fill="FFFFFF"/>
          </w:tcPr>
          <w:p w14:paraId="53B97085" w14:textId="66EE937E" w:rsidR="00527DC9" w:rsidRDefault="00D45645" w:rsidP="00CE4067">
            <w:pPr>
              <w:pStyle w:val="CETBodytext"/>
              <w:ind w:right="-1"/>
              <w:rPr>
                <w:rFonts w:cs="Arial"/>
                <w:szCs w:val="18"/>
                <w:lang w:val="en-GB"/>
              </w:rPr>
            </w:pPr>
            <w:r>
              <w:rPr>
                <w:rFonts w:cs="Arial"/>
                <w:szCs w:val="18"/>
                <w:lang w:val="en-GB"/>
              </w:rPr>
              <w:t>1.81</w:t>
            </w:r>
          </w:p>
        </w:tc>
      </w:tr>
      <w:tr w:rsidR="00527DC9" w:rsidRPr="00B57B36" w14:paraId="4CBE7A8B" w14:textId="77777777" w:rsidTr="00527DC9">
        <w:tc>
          <w:tcPr>
            <w:tcW w:w="1134" w:type="dxa"/>
            <w:shd w:val="clear" w:color="auto" w:fill="FFFFFF"/>
          </w:tcPr>
          <w:p w14:paraId="0B7AFF99" w14:textId="04968A51" w:rsidR="00527DC9" w:rsidRPr="00D45645" w:rsidRDefault="00527DC9" w:rsidP="00CE4067">
            <w:pPr>
              <w:pStyle w:val="CETBodytext"/>
              <w:ind w:right="-1"/>
              <w:rPr>
                <w:rFonts w:cs="Arial"/>
                <w:b/>
                <w:bCs/>
                <w:szCs w:val="18"/>
                <w:lang w:val="en-GB"/>
              </w:rPr>
            </w:pPr>
            <w:r w:rsidRPr="00D45645">
              <w:rPr>
                <w:rFonts w:cs="Arial"/>
                <w:b/>
                <w:bCs/>
                <w:szCs w:val="18"/>
                <w:lang w:val="en-GB"/>
              </w:rPr>
              <w:t>C</w:t>
            </w:r>
            <w:r w:rsidRPr="00D45645">
              <w:rPr>
                <w:rFonts w:cs="Arial"/>
                <w:b/>
                <w:bCs/>
                <w:szCs w:val="18"/>
                <w:vertAlign w:val="subscript"/>
                <w:lang w:val="en-GB"/>
              </w:rPr>
              <w:t>2</w:t>
            </w:r>
            <w:r w:rsidRPr="00D45645">
              <w:rPr>
                <w:rFonts w:cs="Arial"/>
                <w:b/>
                <w:bCs/>
                <w:szCs w:val="18"/>
                <w:lang w:val="en-GB"/>
              </w:rPr>
              <w:t>H</w:t>
            </w:r>
            <w:r w:rsidRPr="00D45645">
              <w:rPr>
                <w:rFonts w:cs="Arial"/>
                <w:b/>
                <w:bCs/>
                <w:szCs w:val="18"/>
                <w:vertAlign w:val="subscript"/>
                <w:lang w:val="en-GB"/>
              </w:rPr>
              <w:t>6</w:t>
            </w:r>
          </w:p>
        </w:tc>
        <w:tc>
          <w:tcPr>
            <w:tcW w:w="1134" w:type="dxa"/>
            <w:shd w:val="clear" w:color="auto" w:fill="FFFFFF"/>
          </w:tcPr>
          <w:p w14:paraId="08AC4DF4" w14:textId="0BB9E770" w:rsidR="00527DC9" w:rsidRDefault="00D45645" w:rsidP="00CE4067">
            <w:pPr>
              <w:pStyle w:val="CETBodytext"/>
              <w:ind w:right="-1"/>
              <w:rPr>
                <w:rFonts w:cs="Arial"/>
                <w:szCs w:val="18"/>
                <w:lang w:val="en-GB"/>
              </w:rPr>
            </w:pPr>
            <w:r>
              <w:rPr>
                <w:rFonts w:cs="Arial"/>
                <w:szCs w:val="18"/>
                <w:lang w:val="en-GB"/>
              </w:rPr>
              <w:t>1.04</w:t>
            </w:r>
          </w:p>
        </w:tc>
        <w:tc>
          <w:tcPr>
            <w:tcW w:w="1134" w:type="dxa"/>
            <w:shd w:val="clear" w:color="auto" w:fill="FFFFFF"/>
          </w:tcPr>
          <w:p w14:paraId="5537340D" w14:textId="4CAD85A6" w:rsidR="00527DC9" w:rsidRDefault="00D45645" w:rsidP="00CE4067">
            <w:pPr>
              <w:pStyle w:val="CETBodytext"/>
              <w:ind w:right="-1"/>
              <w:rPr>
                <w:rFonts w:cs="Arial"/>
                <w:szCs w:val="18"/>
                <w:lang w:val="en-GB"/>
              </w:rPr>
            </w:pPr>
            <w:r>
              <w:rPr>
                <w:rFonts w:cs="Arial"/>
                <w:szCs w:val="18"/>
                <w:lang w:val="en-GB"/>
              </w:rPr>
              <w:t>1.37</w:t>
            </w:r>
          </w:p>
        </w:tc>
        <w:tc>
          <w:tcPr>
            <w:tcW w:w="1134" w:type="dxa"/>
            <w:shd w:val="clear" w:color="auto" w:fill="FFFFFF"/>
          </w:tcPr>
          <w:p w14:paraId="41D4A938" w14:textId="257A1419" w:rsidR="00527DC9" w:rsidRDefault="00D45645" w:rsidP="00CE4067">
            <w:pPr>
              <w:pStyle w:val="CETBodytext"/>
              <w:ind w:right="-1"/>
              <w:rPr>
                <w:rFonts w:cs="Arial"/>
                <w:szCs w:val="18"/>
                <w:lang w:val="en-GB"/>
              </w:rPr>
            </w:pPr>
            <w:r>
              <w:rPr>
                <w:rFonts w:cs="Arial"/>
                <w:szCs w:val="18"/>
                <w:lang w:val="en-GB"/>
              </w:rPr>
              <w:t>0.48</w:t>
            </w:r>
          </w:p>
        </w:tc>
        <w:tc>
          <w:tcPr>
            <w:tcW w:w="1134" w:type="dxa"/>
            <w:shd w:val="clear" w:color="auto" w:fill="FFFFFF"/>
          </w:tcPr>
          <w:p w14:paraId="166CA2A9" w14:textId="2F77A4E9" w:rsidR="00527DC9" w:rsidRDefault="00D45645" w:rsidP="00CE4067">
            <w:pPr>
              <w:pStyle w:val="CETBodytext"/>
              <w:ind w:right="-1"/>
              <w:rPr>
                <w:rFonts w:cs="Arial"/>
                <w:szCs w:val="18"/>
                <w:lang w:val="en-GB"/>
              </w:rPr>
            </w:pPr>
            <w:r>
              <w:rPr>
                <w:rFonts w:cs="Arial"/>
                <w:szCs w:val="18"/>
                <w:lang w:val="en-GB"/>
              </w:rPr>
              <w:t>0.39</w:t>
            </w:r>
          </w:p>
        </w:tc>
        <w:tc>
          <w:tcPr>
            <w:tcW w:w="451" w:type="dxa"/>
            <w:shd w:val="clear" w:color="auto" w:fill="FFFFFF"/>
          </w:tcPr>
          <w:p w14:paraId="60A8F4A6" w14:textId="6BEFCF88" w:rsidR="00527DC9" w:rsidRDefault="00D45645" w:rsidP="00CE4067">
            <w:pPr>
              <w:pStyle w:val="CETBodytext"/>
              <w:ind w:right="-1"/>
              <w:rPr>
                <w:rFonts w:cs="Arial"/>
                <w:szCs w:val="18"/>
                <w:lang w:val="en-GB"/>
              </w:rPr>
            </w:pPr>
            <w:r>
              <w:rPr>
                <w:rFonts w:cs="Arial"/>
                <w:szCs w:val="18"/>
                <w:lang w:val="en-GB"/>
              </w:rPr>
              <w:t>0.30</w:t>
            </w:r>
          </w:p>
        </w:tc>
      </w:tr>
      <w:tr w:rsidR="00527DC9" w:rsidRPr="00B57B36" w14:paraId="0453332C" w14:textId="77777777" w:rsidTr="00527DC9">
        <w:tc>
          <w:tcPr>
            <w:tcW w:w="1134" w:type="dxa"/>
            <w:shd w:val="clear" w:color="auto" w:fill="FFFFFF"/>
          </w:tcPr>
          <w:p w14:paraId="426FF219" w14:textId="0688A456" w:rsidR="00527DC9" w:rsidRPr="00D45645" w:rsidRDefault="00527DC9" w:rsidP="00CE4067">
            <w:pPr>
              <w:pStyle w:val="CETBodytext"/>
              <w:ind w:right="-1"/>
              <w:rPr>
                <w:rFonts w:cs="Arial"/>
                <w:b/>
                <w:bCs/>
                <w:szCs w:val="18"/>
                <w:lang w:val="en-GB"/>
              </w:rPr>
            </w:pPr>
            <w:r w:rsidRPr="00D45645">
              <w:rPr>
                <w:rFonts w:cs="Arial"/>
                <w:b/>
                <w:bCs/>
                <w:szCs w:val="18"/>
                <w:lang w:val="en-GB"/>
              </w:rPr>
              <w:t>C</w:t>
            </w:r>
            <w:r w:rsidRPr="00D45645">
              <w:rPr>
                <w:rFonts w:cs="Arial"/>
                <w:b/>
                <w:bCs/>
                <w:szCs w:val="18"/>
                <w:vertAlign w:val="subscript"/>
                <w:lang w:val="en-GB"/>
              </w:rPr>
              <w:t>2</w:t>
            </w:r>
            <w:r w:rsidRPr="00D45645">
              <w:rPr>
                <w:rFonts w:cs="Arial"/>
                <w:b/>
                <w:bCs/>
                <w:szCs w:val="18"/>
                <w:lang w:val="en-GB"/>
              </w:rPr>
              <w:t>H</w:t>
            </w:r>
            <w:r w:rsidRPr="00D45645">
              <w:rPr>
                <w:rFonts w:cs="Arial"/>
                <w:b/>
                <w:bCs/>
                <w:szCs w:val="18"/>
                <w:vertAlign w:val="subscript"/>
                <w:lang w:val="en-GB"/>
              </w:rPr>
              <w:t>2</w:t>
            </w:r>
          </w:p>
        </w:tc>
        <w:tc>
          <w:tcPr>
            <w:tcW w:w="1134" w:type="dxa"/>
            <w:shd w:val="clear" w:color="auto" w:fill="FFFFFF"/>
          </w:tcPr>
          <w:p w14:paraId="5BA78D7C" w14:textId="496C7FEE" w:rsidR="00527DC9" w:rsidRDefault="00D45645" w:rsidP="00CE4067">
            <w:pPr>
              <w:pStyle w:val="CETBodytext"/>
              <w:ind w:right="-1"/>
              <w:rPr>
                <w:rFonts w:cs="Arial"/>
                <w:szCs w:val="18"/>
                <w:lang w:val="en-GB"/>
              </w:rPr>
            </w:pPr>
            <w:r>
              <w:rPr>
                <w:rFonts w:cs="Arial"/>
                <w:szCs w:val="18"/>
                <w:lang w:val="en-GB"/>
              </w:rPr>
              <w:t>2.26</w:t>
            </w:r>
          </w:p>
        </w:tc>
        <w:tc>
          <w:tcPr>
            <w:tcW w:w="1134" w:type="dxa"/>
            <w:shd w:val="clear" w:color="auto" w:fill="FFFFFF"/>
          </w:tcPr>
          <w:p w14:paraId="45EBB72C" w14:textId="572DF77A" w:rsidR="00527DC9" w:rsidRDefault="00D45645" w:rsidP="00CE4067">
            <w:pPr>
              <w:pStyle w:val="CETBodytext"/>
              <w:ind w:right="-1"/>
              <w:rPr>
                <w:rFonts w:cs="Arial"/>
                <w:szCs w:val="18"/>
                <w:lang w:val="en-GB"/>
              </w:rPr>
            </w:pPr>
            <w:r>
              <w:rPr>
                <w:rFonts w:cs="Arial"/>
                <w:szCs w:val="18"/>
                <w:lang w:val="en-GB"/>
              </w:rPr>
              <w:t>1.90</w:t>
            </w:r>
          </w:p>
        </w:tc>
        <w:tc>
          <w:tcPr>
            <w:tcW w:w="1134" w:type="dxa"/>
            <w:shd w:val="clear" w:color="auto" w:fill="FFFFFF"/>
          </w:tcPr>
          <w:p w14:paraId="7EDEE6C0" w14:textId="5D9D4607" w:rsidR="00527DC9" w:rsidRDefault="00D45645" w:rsidP="00CE4067">
            <w:pPr>
              <w:pStyle w:val="CETBodytext"/>
              <w:ind w:right="-1"/>
              <w:rPr>
                <w:rFonts w:cs="Arial"/>
                <w:szCs w:val="18"/>
                <w:lang w:val="en-GB"/>
              </w:rPr>
            </w:pPr>
            <w:r>
              <w:rPr>
                <w:rFonts w:cs="Arial"/>
                <w:szCs w:val="18"/>
                <w:lang w:val="en-GB"/>
              </w:rPr>
              <w:t>1.05</w:t>
            </w:r>
          </w:p>
        </w:tc>
        <w:tc>
          <w:tcPr>
            <w:tcW w:w="1134" w:type="dxa"/>
            <w:shd w:val="clear" w:color="auto" w:fill="FFFFFF"/>
          </w:tcPr>
          <w:p w14:paraId="484756CD" w14:textId="617CBC9C" w:rsidR="00527DC9" w:rsidRDefault="00D45645" w:rsidP="00CE4067">
            <w:pPr>
              <w:pStyle w:val="CETBodytext"/>
              <w:ind w:right="-1"/>
              <w:rPr>
                <w:rFonts w:cs="Arial"/>
                <w:szCs w:val="18"/>
                <w:lang w:val="en-GB"/>
              </w:rPr>
            </w:pPr>
            <w:r>
              <w:rPr>
                <w:rFonts w:cs="Arial"/>
                <w:szCs w:val="18"/>
                <w:lang w:val="en-GB"/>
              </w:rPr>
              <w:t>2.30</w:t>
            </w:r>
          </w:p>
        </w:tc>
        <w:tc>
          <w:tcPr>
            <w:tcW w:w="451" w:type="dxa"/>
            <w:shd w:val="clear" w:color="auto" w:fill="FFFFFF"/>
          </w:tcPr>
          <w:p w14:paraId="73D9C478" w14:textId="245FB0F4" w:rsidR="00527DC9" w:rsidRDefault="00D45645" w:rsidP="00CE4067">
            <w:pPr>
              <w:pStyle w:val="CETBodytext"/>
              <w:ind w:right="-1"/>
              <w:rPr>
                <w:rFonts w:cs="Arial"/>
                <w:szCs w:val="18"/>
                <w:lang w:val="en-GB"/>
              </w:rPr>
            </w:pPr>
            <w:r>
              <w:rPr>
                <w:rFonts w:cs="Arial"/>
                <w:szCs w:val="18"/>
                <w:lang w:val="en-GB"/>
              </w:rPr>
              <w:t>0.43</w:t>
            </w:r>
          </w:p>
        </w:tc>
      </w:tr>
      <w:tr w:rsidR="00527DC9" w:rsidRPr="00B57B36" w14:paraId="244472D5" w14:textId="77777777" w:rsidTr="00D45645">
        <w:tc>
          <w:tcPr>
            <w:tcW w:w="1134" w:type="dxa"/>
            <w:tcBorders>
              <w:bottom w:val="single" w:sz="4" w:space="0" w:color="auto"/>
            </w:tcBorders>
            <w:shd w:val="clear" w:color="auto" w:fill="FFFFFF"/>
          </w:tcPr>
          <w:p w14:paraId="06DED0F7" w14:textId="1F4838AE" w:rsidR="00527DC9" w:rsidRPr="00D45645" w:rsidRDefault="00527DC9" w:rsidP="00CE4067">
            <w:pPr>
              <w:pStyle w:val="CETBodytext"/>
              <w:ind w:right="-1"/>
              <w:rPr>
                <w:rFonts w:cs="Arial"/>
                <w:b/>
                <w:bCs/>
                <w:szCs w:val="18"/>
                <w:lang w:val="en-GB"/>
              </w:rPr>
            </w:pPr>
            <w:r w:rsidRPr="00D45645">
              <w:rPr>
                <w:rFonts w:cs="Arial"/>
                <w:b/>
                <w:bCs/>
                <w:szCs w:val="18"/>
                <w:lang w:val="en-GB"/>
              </w:rPr>
              <w:t>C</w:t>
            </w:r>
            <w:r w:rsidRPr="00D45645">
              <w:rPr>
                <w:rFonts w:cs="Arial"/>
                <w:b/>
                <w:bCs/>
                <w:szCs w:val="18"/>
                <w:vertAlign w:val="subscript"/>
                <w:lang w:val="en-GB"/>
              </w:rPr>
              <w:t>3</w:t>
            </w:r>
          </w:p>
        </w:tc>
        <w:tc>
          <w:tcPr>
            <w:tcW w:w="1134" w:type="dxa"/>
            <w:tcBorders>
              <w:bottom w:val="single" w:sz="4" w:space="0" w:color="auto"/>
            </w:tcBorders>
            <w:shd w:val="clear" w:color="auto" w:fill="FFFFFF"/>
          </w:tcPr>
          <w:p w14:paraId="2D034D21" w14:textId="68F63626" w:rsidR="00527DC9" w:rsidRDefault="00D45645" w:rsidP="00CE4067">
            <w:pPr>
              <w:pStyle w:val="CETBodytext"/>
              <w:ind w:right="-1"/>
              <w:rPr>
                <w:rFonts w:cs="Arial"/>
                <w:szCs w:val="18"/>
                <w:lang w:val="en-GB"/>
              </w:rPr>
            </w:pPr>
            <w:r>
              <w:rPr>
                <w:rFonts w:cs="Arial"/>
                <w:szCs w:val="18"/>
                <w:lang w:val="en-GB"/>
              </w:rPr>
              <w:t>1.36</w:t>
            </w:r>
          </w:p>
        </w:tc>
        <w:tc>
          <w:tcPr>
            <w:tcW w:w="1134" w:type="dxa"/>
            <w:tcBorders>
              <w:bottom w:val="single" w:sz="4" w:space="0" w:color="auto"/>
            </w:tcBorders>
            <w:shd w:val="clear" w:color="auto" w:fill="FFFFFF"/>
          </w:tcPr>
          <w:p w14:paraId="72B2A3B5" w14:textId="037200CE" w:rsidR="00527DC9" w:rsidRDefault="00D45645" w:rsidP="00CE4067">
            <w:pPr>
              <w:pStyle w:val="CETBodytext"/>
              <w:ind w:right="-1"/>
              <w:rPr>
                <w:rFonts w:cs="Arial"/>
                <w:szCs w:val="18"/>
                <w:lang w:val="en-GB"/>
              </w:rPr>
            </w:pPr>
            <w:r>
              <w:rPr>
                <w:rFonts w:cs="Arial"/>
                <w:szCs w:val="18"/>
                <w:lang w:val="en-GB"/>
              </w:rPr>
              <w:t>1.83</w:t>
            </w:r>
          </w:p>
        </w:tc>
        <w:tc>
          <w:tcPr>
            <w:tcW w:w="1134" w:type="dxa"/>
            <w:tcBorders>
              <w:bottom w:val="single" w:sz="4" w:space="0" w:color="auto"/>
            </w:tcBorders>
            <w:shd w:val="clear" w:color="auto" w:fill="FFFFFF"/>
          </w:tcPr>
          <w:p w14:paraId="4A3F43D9" w14:textId="5560BE05" w:rsidR="00527DC9" w:rsidRDefault="00D45645" w:rsidP="00CE4067">
            <w:pPr>
              <w:pStyle w:val="CETBodytext"/>
              <w:ind w:right="-1"/>
              <w:rPr>
                <w:rFonts w:cs="Arial"/>
                <w:szCs w:val="18"/>
                <w:lang w:val="en-GB"/>
              </w:rPr>
            </w:pPr>
            <w:r>
              <w:rPr>
                <w:rFonts w:cs="Arial"/>
                <w:szCs w:val="18"/>
                <w:lang w:val="en-GB"/>
              </w:rPr>
              <w:t>0.60</w:t>
            </w:r>
          </w:p>
        </w:tc>
        <w:tc>
          <w:tcPr>
            <w:tcW w:w="1134" w:type="dxa"/>
            <w:tcBorders>
              <w:bottom w:val="single" w:sz="4" w:space="0" w:color="auto"/>
            </w:tcBorders>
            <w:shd w:val="clear" w:color="auto" w:fill="FFFFFF"/>
          </w:tcPr>
          <w:p w14:paraId="781AC7A7" w14:textId="7DC9DB3E" w:rsidR="00527DC9" w:rsidRDefault="00D45645" w:rsidP="00CE4067">
            <w:pPr>
              <w:pStyle w:val="CETBodytext"/>
              <w:ind w:right="-1"/>
              <w:rPr>
                <w:rFonts w:cs="Arial"/>
                <w:szCs w:val="18"/>
                <w:lang w:val="en-GB"/>
              </w:rPr>
            </w:pPr>
            <w:r>
              <w:rPr>
                <w:rFonts w:cs="Arial"/>
                <w:szCs w:val="18"/>
                <w:lang w:val="en-GB"/>
              </w:rPr>
              <w:t>0.59</w:t>
            </w:r>
          </w:p>
        </w:tc>
        <w:tc>
          <w:tcPr>
            <w:tcW w:w="451" w:type="dxa"/>
            <w:tcBorders>
              <w:bottom w:val="single" w:sz="4" w:space="0" w:color="auto"/>
            </w:tcBorders>
            <w:shd w:val="clear" w:color="auto" w:fill="FFFFFF"/>
          </w:tcPr>
          <w:p w14:paraId="366A3A1E" w14:textId="38307547" w:rsidR="00527DC9" w:rsidRDefault="00D45645" w:rsidP="00CE4067">
            <w:pPr>
              <w:pStyle w:val="CETBodytext"/>
              <w:ind w:right="-1"/>
              <w:rPr>
                <w:rFonts w:cs="Arial"/>
                <w:szCs w:val="18"/>
                <w:lang w:val="en-GB"/>
              </w:rPr>
            </w:pPr>
            <w:r>
              <w:rPr>
                <w:rFonts w:cs="Arial"/>
                <w:szCs w:val="18"/>
                <w:lang w:val="en-GB"/>
              </w:rPr>
              <w:t>0.21</w:t>
            </w:r>
          </w:p>
        </w:tc>
      </w:tr>
      <w:tr w:rsidR="00D45645" w:rsidRPr="00B57B36" w14:paraId="32028354" w14:textId="77777777" w:rsidTr="00D45645">
        <w:tc>
          <w:tcPr>
            <w:tcW w:w="1134" w:type="dxa"/>
            <w:tcBorders>
              <w:top w:val="single" w:sz="4" w:space="0" w:color="auto"/>
              <w:bottom w:val="single" w:sz="4" w:space="0" w:color="auto"/>
            </w:tcBorders>
            <w:shd w:val="clear" w:color="auto" w:fill="FFFFFF"/>
          </w:tcPr>
          <w:p w14:paraId="7CE12D1E" w14:textId="04266610" w:rsidR="00D45645" w:rsidRPr="00D45645" w:rsidRDefault="00D45645" w:rsidP="00CE4067">
            <w:pPr>
              <w:pStyle w:val="CETBodytext"/>
              <w:ind w:right="-1"/>
              <w:rPr>
                <w:rFonts w:cs="Arial"/>
                <w:b/>
                <w:bCs/>
                <w:szCs w:val="18"/>
                <w:lang w:val="en-GB"/>
              </w:rPr>
            </w:pPr>
            <w:r w:rsidRPr="00D45645">
              <w:rPr>
                <w:rFonts w:cs="Arial"/>
                <w:b/>
                <w:bCs/>
                <w:szCs w:val="18"/>
                <w:lang w:val="en-GB"/>
              </w:rPr>
              <w:t>Gas yield*</w:t>
            </w:r>
          </w:p>
        </w:tc>
        <w:tc>
          <w:tcPr>
            <w:tcW w:w="1134" w:type="dxa"/>
            <w:tcBorders>
              <w:top w:val="single" w:sz="4" w:space="0" w:color="auto"/>
              <w:bottom w:val="single" w:sz="4" w:space="0" w:color="auto"/>
            </w:tcBorders>
            <w:shd w:val="clear" w:color="auto" w:fill="FFFFFF"/>
          </w:tcPr>
          <w:p w14:paraId="658CCBE3" w14:textId="0D6374AC" w:rsidR="00D45645" w:rsidRDefault="00D45645" w:rsidP="00CE4067">
            <w:pPr>
              <w:pStyle w:val="CETBodytext"/>
              <w:ind w:right="-1"/>
              <w:rPr>
                <w:rFonts w:cs="Arial"/>
                <w:szCs w:val="18"/>
                <w:lang w:val="en-GB"/>
              </w:rPr>
            </w:pPr>
            <w:r>
              <w:rPr>
                <w:rFonts w:cs="Arial"/>
                <w:szCs w:val="18"/>
                <w:lang w:val="en-GB"/>
              </w:rPr>
              <w:t>6</w:t>
            </w:r>
          </w:p>
        </w:tc>
        <w:tc>
          <w:tcPr>
            <w:tcW w:w="1134" w:type="dxa"/>
            <w:tcBorders>
              <w:top w:val="single" w:sz="4" w:space="0" w:color="auto"/>
              <w:bottom w:val="single" w:sz="4" w:space="0" w:color="auto"/>
            </w:tcBorders>
            <w:shd w:val="clear" w:color="auto" w:fill="FFFFFF"/>
          </w:tcPr>
          <w:p w14:paraId="6576A432" w14:textId="2CA497F8" w:rsidR="00D45645" w:rsidRDefault="00D45645" w:rsidP="00CE4067">
            <w:pPr>
              <w:pStyle w:val="CETBodytext"/>
              <w:ind w:right="-1"/>
              <w:rPr>
                <w:rFonts w:cs="Arial"/>
                <w:szCs w:val="18"/>
                <w:lang w:val="en-GB"/>
              </w:rPr>
            </w:pPr>
            <w:r>
              <w:rPr>
                <w:rFonts w:cs="Arial"/>
                <w:szCs w:val="18"/>
                <w:lang w:val="en-GB"/>
              </w:rPr>
              <w:t>23</w:t>
            </w:r>
          </w:p>
        </w:tc>
        <w:tc>
          <w:tcPr>
            <w:tcW w:w="1134" w:type="dxa"/>
            <w:tcBorders>
              <w:top w:val="single" w:sz="4" w:space="0" w:color="auto"/>
              <w:bottom w:val="single" w:sz="4" w:space="0" w:color="auto"/>
            </w:tcBorders>
            <w:shd w:val="clear" w:color="auto" w:fill="FFFFFF"/>
          </w:tcPr>
          <w:p w14:paraId="1385FF1D" w14:textId="1EC333B1" w:rsidR="00D45645" w:rsidRDefault="00D45645" w:rsidP="00CE4067">
            <w:pPr>
              <w:pStyle w:val="CETBodytext"/>
              <w:ind w:right="-1"/>
              <w:rPr>
                <w:rFonts w:cs="Arial"/>
                <w:szCs w:val="18"/>
                <w:lang w:val="en-GB"/>
              </w:rPr>
            </w:pPr>
            <w:r>
              <w:rPr>
                <w:rFonts w:cs="Arial"/>
                <w:szCs w:val="18"/>
                <w:lang w:val="en-GB"/>
              </w:rPr>
              <w:t>21</w:t>
            </w:r>
          </w:p>
        </w:tc>
        <w:tc>
          <w:tcPr>
            <w:tcW w:w="1134" w:type="dxa"/>
            <w:tcBorders>
              <w:top w:val="single" w:sz="4" w:space="0" w:color="auto"/>
              <w:bottom w:val="single" w:sz="4" w:space="0" w:color="auto"/>
            </w:tcBorders>
            <w:shd w:val="clear" w:color="auto" w:fill="FFFFFF"/>
          </w:tcPr>
          <w:p w14:paraId="1698B30F" w14:textId="20C6AA8C" w:rsidR="00D45645" w:rsidRDefault="00D45645" w:rsidP="00CE4067">
            <w:pPr>
              <w:pStyle w:val="CETBodytext"/>
              <w:ind w:right="-1"/>
              <w:rPr>
                <w:rFonts w:cs="Arial"/>
                <w:szCs w:val="18"/>
                <w:lang w:val="en-GB"/>
              </w:rPr>
            </w:pPr>
            <w:r>
              <w:rPr>
                <w:rFonts w:cs="Arial"/>
                <w:szCs w:val="18"/>
                <w:lang w:val="en-GB"/>
              </w:rPr>
              <w:t>19</w:t>
            </w:r>
          </w:p>
        </w:tc>
        <w:tc>
          <w:tcPr>
            <w:tcW w:w="451" w:type="dxa"/>
            <w:tcBorders>
              <w:top w:val="single" w:sz="4" w:space="0" w:color="auto"/>
              <w:bottom w:val="single" w:sz="4" w:space="0" w:color="auto"/>
            </w:tcBorders>
            <w:shd w:val="clear" w:color="auto" w:fill="FFFFFF"/>
          </w:tcPr>
          <w:p w14:paraId="7B1A10C6" w14:textId="3425F6A7" w:rsidR="00D45645" w:rsidRDefault="00D45645" w:rsidP="00CE4067">
            <w:pPr>
              <w:pStyle w:val="CETBodytext"/>
              <w:ind w:right="-1"/>
              <w:rPr>
                <w:rFonts w:cs="Arial"/>
                <w:szCs w:val="18"/>
                <w:lang w:val="en-GB"/>
              </w:rPr>
            </w:pPr>
            <w:r>
              <w:rPr>
                <w:rFonts w:cs="Arial"/>
                <w:szCs w:val="18"/>
                <w:lang w:val="en-GB"/>
              </w:rPr>
              <w:t>34</w:t>
            </w:r>
          </w:p>
        </w:tc>
      </w:tr>
      <w:tr w:rsidR="00D45645" w:rsidRPr="00B57B36" w14:paraId="26DAC78E" w14:textId="77777777" w:rsidTr="00D45645">
        <w:tc>
          <w:tcPr>
            <w:tcW w:w="1134" w:type="dxa"/>
            <w:tcBorders>
              <w:top w:val="single" w:sz="4" w:space="0" w:color="auto"/>
              <w:bottom w:val="single" w:sz="12" w:space="0" w:color="008000"/>
            </w:tcBorders>
            <w:shd w:val="clear" w:color="auto" w:fill="FFFFFF"/>
          </w:tcPr>
          <w:p w14:paraId="6E945561" w14:textId="4CFDB833" w:rsidR="00D45645" w:rsidRPr="00D45645" w:rsidRDefault="00D45645" w:rsidP="00CE4067">
            <w:pPr>
              <w:pStyle w:val="CETBodytext"/>
              <w:ind w:right="-1"/>
              <w:rPr>
                <w:rFonts w:cs="Arial"/>
                <w:b/>
                <w:bCs/>
                <w:szCs w:val="18"/>
                <w:lang w:val="en-GB"/>
              </w:rPr>
            </w:pPr>
            <w:r w:rsidRPr="00D45645">
              <w:rPr>
                <w:rFonts w:cs="Arial"/>
                <w:b/>
                <w:bCs/>
                <w:szCs w:val="18"/>
                <w:lang w:val="en-GB"/>
              </w:rPr>
              <w:lastRenderedPageBreak/>
              <w:t>LHV [MJ/kg]</w:t>
            </w:r>
          </w:p>
        </w:tc>
        <w:tc>
          <w:tcPr>
            <w:tcW w:w="1134" w:type="dxa"/>
            <w:tcBorders>
              <w:top w:val="single" w:sz="4" w:space="0" w:color="auto"/>
              <w:bottom w:val="single" w:sz="12" w:space="0" w:color="008000"/>
            </w:tcBorders>
            <w:shd w:val="clear" w:color="auto" w:fill="FFFFFF"/>
          </w:tcPr>
          <w:p w14:paraId="4B9C63C6" w14:textId="16A37487" w:rsidR="00D45645" w:rsidRDefault="00D45645" w:rsidP="00CE4067">
            <w:pPr>
              <w:pStyle w:val="CETBodytext"/>
              <w:ind w:right="-1"/>
              <w:rPr>
                <w:rFonts w:cs="Arial"/>
                <w:szCs w:val="18"/>
                <w:lang w:val="en-GB"/>
              </w:rPr>
            </w:pPr>
            <w:r>
              <w:rPr>
                <w:rFonts w:cs="Arial"/>
                <w:szCs w:val="18"/>
                <w:lang w:val="en-GB"/>
              </w:rPr>
              <w:t>46</w:t>
            </w:r>
          </w:p>
        </w:tc>
        <w:tc>
          <w:tcPr>
            <w:tcW w:w="1134" w:type="dxa"/>
            <w:tcBorders>
              <w:top w:val="single" w:sz="4" w:space="0" w:color="auto"/>
              <w:bottom w:val="single" w:sz="12" w:space="0" w:color="008000"/>
            </w:tcBorders>
            <w:shd w:val="clear" w:color="auto" w:fill="FFFFFF"/>
          </w:tcPr>
          <w:p w14:paraId="49AC6E62" w14:textId="57EC8F6B" w:rsidR="00D45645" w:rsidRDefault="00D45645" w:rsidP="00CE4067">
            <w:pPr>
              <w:pStyle w:val="CETBodytext"/>
              <w:ind w:right="-1"/>
              <w:rPr>
                <w:rFonts w:cs="Arial"/>
                <w:szCs w:val="18"/>
                <w:lang w:val="en-GB"/>
              </w:rPr>
            </w:pPr>
            <w:r>
              <w:rPr>
                <w:rFonts w:cs="Arial"/>
                <w:szCs w:val="18"/>
                <w:lang w:val="en-GB"/>
              </w:rPr>
              <w:t>29</w:t>
            </w:r>
          </w:p>
        </w:tc>
        <w:tc>
          <w:tcPr>
            <w:tcW w:w="1134" w:type="dxa"/>
            <w:tcBorders>
              <w:top w:val="single" w:sz="4" w:space="0" w:color="auto"/>
              <w:bottom w:val="single" w:sz="12" w:space="0" w:color="008000"/>
            </w:tcBorders>
            <w:shd w:val="clear" w:color="auto" w:fill="FFFFFF"/>
          </w:tcPr>
          <w:p w14:paraId="77137C11" w14:textId="206157AF" w:rsidR="00D45645" w:rsidRDefault="00D45645" w:rsidP="00CE4067">
            <w:pPr>
              <w:pStyle w:val="CETBodytext"/>
              <w:ind w:right="-1"/>
              <w:rPr>
                <w:rFonts w:cs="Arial"/>
                <w:szCs w:val="18"/>
                <w:lang w:val="en-GB"/>
              </w:rPr>
            </w:pPr>
            <w:r>
              <w:rPr>
                <w:rFonts w:cs="Arial"/>
                <w:szCs w:val="18"/>
                <w:lang w:val="en-GB"/>
              </w:rPr>
              <w:t>15</w:t>
            </w:r>
          </w:p>
        </w:tc>
        <w:tc>
          <w:tcPr>
            <w:tcW w:w="1134" w:type="dxa"/>
            <w:tcBorders>
              <w:top w:val="single" w:sz="4" w:space="0" w:color="auto"/>
              <w:bottom w:val="single" w:sz="12" w:space="0" w:color="008000"/>
            </w:tcBorders>
            <w:shd w:val="clear" w:color="auto" w:fill="FFFFFF"/>
          </w:tcPr>
          <w:p w14:paraId="418B898B" w14:textId="74D7CC0F" w:rsidR="00D45645" w:rsidRDefault="00D45645" w:rsidP="00CE4067">
            <w:pPr>
              <w:pStyle w:val="CETBodytext"/>
              <w:ind w:right="-1"/>
              <w:rPr>
                <w:rFonts w:cs="Arial"/>
                <w:szCs w:val="18"/>
                <w:lang w:val="en-GB"/>
              </w:rPr>
            </w:pPr>
            <w:r>
              <w:rPr>
                <w:rFonts w:cs="Arial"/>
                <w:szCs w:val="18"/>
                <w:lang w:val="en-GB"/>
              </w:rPr>
              <w:t>19</w:t>
            </w:r>
          </w:p>
        </w:tc>
        <w:tc>
          <w:tcPr>
            <w:tcW w:w="451" w:type="dxa"/>
            <w:tcBorders>
              <w:top w:val="single" w:sz="4" w:space="0" w:color="auto"/>
              <w:bottom w:val="single" w:sz="12" w:space="0" w:color="008000"/>
            </w:tcBorders>
            <w:shd w:val="clear" w:color="auto" w:fill="FFFFFF"/>
          </w:tcPr>
          <w:p w14:paraId="21286C98" w14:textId="76D85E9E" w:rsidR="00D45645" w:rsidRDefault="00D45645" w:rsidP="00CE4067">
            <w:pPr>
              <w:pStyle w:val="CETBodytext"/>
              <w:ind w:right="-1"/>
              <w:rPr>
                <w:rFonts w:cs="Arial"/>
                <w:szCs w:val="18"/>
                <w:lang w:val="en-GB"/>
              </w:rPr>
            </w:pPr>
            <w:r>
              <w:rPr>
                <w:rFonts w:cs="Arial"/>
                <w:szCs w:val="18"/>
                <w:lang w:val="en-GB"/>
              </w:rPr>
              <w:t>17</w:t>
            </w:r>
          </w:p>
        </w:tc>
      </w:tr>
    </w:tbl>
    <w:p w14:paraId="2A758A31" w14:textId="54CD9AC7" w:rsidR="007A1627" w:rsidRPr="007A1627" w:rsidRDefault="00D45645" w:rsidP="007A1627">
      <w:pPr>
        <w:pStyle w:val="CETBodytext"/>
      </w:pPr>
      <w:r>
        <w:t>*</w:t>
      </w:r>
      <w:proofErr w:type="gramStart"/>
      <w:r>
        <w:t>expressed</w:t>
      </w:r>
      <w:proofErr w:type="gramEnd"/>
      <w:r>
        <w:t xml:space="preserve"> in </w:t>
      </w:r>
      <w:proofErr w:type="spellStart"/>
      <w:r>
        <w:t>wt</w:t>
      </w:r>
      <w:proofErr w:type="spellEnd"/>
      <w:r>
        <w:t>%.</w:t>
      </w:r>
    </w:p>
    <w:p w14:paraId="21DF3B49" w14:textId="1BFB3611" w:rsidR="00D45645" w:rsidRPr="00B57B36" w:rsidRDefault="00D45645" w:rsidP="00D45645">
      <w:pPr>
        <w:pStyle w:val="CETTabletitle"/>
      </w:pPr>
      <w:r w:rsidRPr="00B57B36">
        <w:t xml:space="preserve">Table </w:t>
      </w:r>
      <w:r>
        <w:t>4</w:t>
      </w:r>
      <w:r w:rsidRPr="00B57B36">
        <w:t xml:space="preserve">: </w:t>
      </w:r>
      <w:r>
        <w:t>Gas characterization in terms of vol% for gases produced by performing conventional pyrolysis for different weight ratios of PSW:RLB</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gridCol w:w="451"/>
      </w:tblGrid>
      <w:tr w:rsidR="00D45645" w:rsidRPr="00B57B36" w14:paraId="72A6B07D" w14:textId="77777777" w:rsidTr="00CE4067">
        <w:tc>
          <w:tcPr>
            <w:tcW w:w="1134" w:type="dxa"/>
            <w:tcBorders>
              <w:top w:val="single" w:sz="12" w:space="0" w:color="008000"/>
              <w:bottom w:val="single" w:sz="6" w:space="0" w:color="008000"/>
            </w:tcBorders>
            <w:shd w:val="clear" w:color="auto" w:fill="FFFFFF"/>
          </w:tcPr>
          <w:p w14:paraId="0BF230D2" w14:textId="77777777" w:rsidR="00D45645" w:rsidRPr="00D45645" w:rsidRDefault="00D45645" w:rsidP="00CE4067">
            <w:pPr>
              <w:pStyle w:val="CETBodytext"/>
              <w:jc w:val="left"/>
              <w:rPr>
                <w:b/>
                <w:bCs/>
                <w:lang w:val="en-GB"/>
              </w:rPr>
            </w:pPr>
            <w:proofErr w:type="gramStart"/>
            <w:r w:rsidRPr="00D45645">
              <w:rPr>
                <w:b/>
                <w:bCs/>
                <w:lang w:val="en-GB"/>
              </w:rPr>
              <w:t>PSW:RLB</w:t>
            </w:r>
            <w:proofErr w:type="gramEnd"/>
          </w:p>
        </w:tc>
        <w:tc>
          <w:tcPr>
            <w:tcW w:w="1134" w:type="dxa"/>
            <w:tcBorders>
              <w:top w:val="single" w:sz="12" w:space="0" w:color="008000"/>
              <w:bottom w:val="single" w:sz="6" w:space="0" w:color="008000"/>
            </w:tcBorders>
            <w:shd w:val="clear" w:color="auto" w:fill="FFFFFF"/>
          </w:tcPr>
          <w:p w14:paraId="65479ED6" w14:textId="77777777" w:rsidR="00D45645" w:rsidRPr="00B57B36" w:rsidRDefault="00D45645" w:rsidP="00CE4067">
            <w:pPr>
              <w:pStyle w:val="CETBodytext"/>
              <w:jc w:val="left"/>
              <w:rPr>
                <w:lang w:val="en-GB"/>
              </w:rPr>
            </w:pPr>
            <w:r>
              <w:rPr>
                <w:lang w:val="en-GB"/>
              </w:rPr>
              <w:t>100:0</w:t>
            </w:r>
          </w:p>
        </w:tc>
        <w:tc>
          <w:tcPr>
            <w:tcW w:w="1134" w:type="dxa"/>
            <w:tcBorders>
              <w:top w:val="single" w:sz="12" w:space="0" w:color="008000"/>
              <w:bottom w:val="single" w:sz="6" w:space="0" w:color="008000"/>
            </w:tcBorders>
            <w:shd w:val="clear" w:color="auto" w:fill="FFFFFF"/>
          </w:tcPr>
          <w:p w14:paraId="07A55A94" w14:textId="77777777" w:rsidR="00D45645" w:rsidRPr="00B57B36" w:rsidRDefault="00D45645" w:rsidP="00CE4067">
            <w:pPr>
              <w:pStyle w:val="CETBodytext"/>
              <w:jc w:val="left"/>
              <w:rPr>
                <w:lang w:val="en-GB"/>
              </w:rPr>
            </w:pPr>
            <w:r>
              <w:rPr>
                <w:lang w:val="en-GB"/>
              </w:rPr>
              <w:t>70:30</w:t>
            </w:r>
          </w:p>
        </w:tc>
        <w:tc>
          <w:tcPr>
            <w:tcW w:w="1134" w:type="dxa"/>
            <w:tcBorders>
              <w:top w:val="single" w:sz="12" w:space="0" w:color="008000"/>
              <w:bottom w:val="single" w:sz="6" w:space="0" w:color="008000"/>
            </w:tcBorders>
            <w:shd w:val="clear" w:color="auto" w:fill="FFFFFF"/>
          </w:tcPr>
          <w:p w14:paraId="6D908347" w14:textId="77777777" w:rsidR="00D45645" w:rsidRPr="00B57B36" w:rsidRDefault="00D45645" w:rsidP="00CE4067">
            <w:pPr>
              <w:pStyle w:val="CETBodytext"/>
              <w:ind w:right="-1"/>
              <w:jc w:val="left"/>
              <w:rPr>
                <w:rFonts w:cs="Arial"/>
                <w:szCs w:val="18"/>
                <w:lang w:val="en-GB"/>
              </w:rPr>
            </w:pPr>
            <w:r>
              <w:rPr>
                <w:rFonts w:cs="Arial"/>
                <w:szCs w:val="18"/>
                <w:lang w:val="en-GB"/>
              </w:rPr>
              <w:t>50:50</w:t>
            </w:r>
          </w:p>
        </w:tc>
        <w:tc>
          <w:tcPr>
            <w:tcW w:w="1134" w:type="dxa"/>
            <w:tcBorders>
              <w:top w:val="single" w:sz="12" w:space="0" w:color="008000"/>
              <w:bottom w:val="single" w:sz="6" w:space="0" w:color="008000"/>
            </w:tcBorders>
            <w:shd w:val="clear" w:color="auto" w:fill="FFFFFF"/>
          </w:tcPr>
          <w:p w14:paraId="5C093EBE" w14:textId="77777777" w:rsidR="00D45645" w:rsidRPr="00B57B36" w:rsidRDefault="00D45645" w:rsidP="00CE4067">
            <w:pPr>
              <w:pStyle w:val="CETBodytext"/>
              <w:tabs>
                <w:tab w:val="clear" w:pos="7100"/>
                <w:tab w:val="left" w:pos="1040"/>
              </w:tabs>
              <w:ind w:right="-1"/>
              <w:jc w:val="left"/>
              <w:rPr>
                <w:rFonts w:cs="Arial"/>
                <w:szCs w:val="18"/>
                <w:lang w:val="en-GB"/>
              </w:rPr>
            </w:pPr>
            <w:r>
              <w:rPr>
                <w:rFonts w:cs="Arial"/>
                <w:szCs w:val="18"/>
                <w:lang w:val="en-GB"/>
              </w:rPr>
              <w:t>30:70</w:t>
            </w:r>
          </w:p>
        </w:tc>
        <w:tc>
          <w:tcPr>
            <w:tcW w:w="451" w:type="dxa"/>
            <w:tcBorders>
              <w:top w:val="single" w:sz="12" w:space="0" w:color="008000"/>
              <w:bottom w:val="single" w:sz="6" w:space="0" w:color="008000"/>
            </w:tcBorders>
            <w:shd w:val="clear" w:color="auto" w:fill="FFFFFF"/>
          </w:tcPr>
          <w:p w14:paraId="69B8D3EA" w14:textId="77777777" w:rsidR="00D45645" w:rsidRDefault="00D45645" w:rsidP="00CE4067">
            <w:pPr>
              <w:pStyle w:val="CETBodytext"/>
              <w:tabs>
                <w:tab w:val="clear" w:pos="7100"/>
                <w:tab w:val="left" w:pos="1040"/>
              </w:tabs>
              <w:ind w:right="-1"/>
              <w:jc w:val="left"/>
              <w:rPr>
                <w:rFonts w:cs="Arial"/>
                <w:szCs w:val="18"/>
                <w:lang w:val="en-GB"/>
              </w:rPr>
            </w:pPr>
            <w:r>
              <w:rPr>
                <w:rFonts w:cs="Arial"/>
                <w:szCs w:val="18"/>
                <w:lang w:val="en-GB"/>
              </w:rPr>
              <w:t>0:100</w:t>
            </w:r>
          </w:p>
        </w:tc>
      </w:tr>
      <w:tr w:rsidR="00D45645" w:rsidRPr="00B57B36" w14:paraId="112E7B09" w14:textId="77777777" w:rsidTr="00CE4067">
        <w:tc>
          <w:tcPr>
            <w:tcW w:w="1134" w:type="dxa"/>
            <w:shd w:val="clear" w:color="auto" w:fill="FFFFFF"/>
          </w:tcPr>
          <w:p w14:paraId="7FCDAE9B" w14:textId="77777777" w:rsidR="00D45645" w:rsidRPr="00D45645" w:rsidRDefault="00D45645" w:rsidP="00CE4067">
            <w:pPr>
              <w:pStyle w:val="CETBodytext"/>
              <w:rPr>
                <w:b/>
                <w:bCs/>
                <w:lang w:val="en-GB"/>
              </w:rPr>
            </w:pPr>
            <w:r w:rsidRPr="00D45645">
              <w:rPr>
                <w:b/>
                <w:bCs/>
                <w:lang w:val="en-GB"/>
              </w:rPr>
              <w:t>H</w:t>
            </w:r>
            <w:r w:rsidRPr="00D45645">
              <w:rPr>
                <w:b/>
                <w:bCs/>
                <w:vertAlign w:val="subscript"/>
                <w:lang w:val="en-GB"/>
              </w:rPr>
              <w:t>2</w:t>
            </w:r>
          </w:p>
        </w:tc>
        <w:tc>
          <w:tcPr>
            <w:tcW w:w="1134" w:type="dxa"/>
            <w:shd w:val="clear" w:color="auto" w:fill="FFFFFF"/>
          </w:tcPr>
          <w:p w14:paraId="10B0729D" w14:textId="06F6BB5A" w:rsidR="00D45645" w:rsidRPr="00B57B36" w:rsidRDefault="00D45645" w:rsidP="003907B0">
            <w:pPr>
              <w:pStyle w:val="CETBodytext"/>
              <w:rPr>
                <w:lang w:val="en-GB"/>
              </w:rPr>
            </w:pPr>
            <w:r>
              <w:rPr>
                <w:lang w:val="en-GB"/>
              </w:rPr>
              <w:t>11.5</w:t>
            </w:r>
          </w:p>
        </w:tc>
        <w:tc>
          <w:tcPr>
            <w:tcW w:w="1134" w:type="dxa"/>
            <w:shd w:val="clear" w:color="auto" w:fill="FFFFFF"/>
          </w:tcPr>
          <w:p w14:paraId="5C299FB7" w14:textId="1D5776E3" w:rsidR="00D45645" w:rsidRPr="00B57B36" w:rsidRDefault="00D45645" w:rsidP="003907B0">
            <w:pPr>
              <w:pStyle w:val="CETBodytext"/>
              <w:rPr>
                <w:lang w:val="en-GB"/>
              </w:rPr>
            </w:pPr>
            <w:r>
              <w:rPr>
                <w:lang w:val="en-GB"/>
              </w:rPr>
              <w:t>15.2</w:t>
            </w:r>
          </w:p>
        </w:tc>
        <w:tc>
          <w:tcPr>
            <w:tcW w:w="1134" w:type="dxa"/>
            <w:shd w:val="clear" w:color="auto" w:fill="FFFFFF"/>
          </w:tcPr>
          <w:p w14:paraId="43E10F8A" w14:textId="2F38F0C2" w:rsidR="00D45645" w:rsidRPr="00B57B36" w:rsidRDefault="00D45645" w:rsidP="003907B0">
            <w:pPr>
              <w:pStyle w:val="CETBodytext"/>
              <w:ind w:right="-1"/>
              <w:rPr>
                <w:rFonts w:cs="Arial"/>
                <w:szCs w:val="18"/>
                <w:lang w:val="en-GB"/>
              </w:rPr>
            </w:pPr>
            <w:r>
              <w:rPr>
                <w:rFonts w:cs="Arial"/>
                <w:szCs w:val="18"/>
                <w:lang w:val="en-GB"/>
              </w:rPr>
              <w:t>15.9</w:t>
            </w:r>
          </w:p>
        </w:tc>
        <w:tc>
          <w:tcPr>
            <w:tcW w:w="1134" w:type="dxa"/>
            <w:shd w:val="clear" w:color="auto" w:fill="FFFFFF"/>
          </w:tcPr>
          <w:p w14:paraId="2C1DF5BA" w14:textId="31AABE88" w:rsidR="00D45645" w:rsidRPr="00B57B36" w:rsidRDefault="00D45645" w:rsidP="003907B0">
            <w:pPr>
              <w:pStyle w:val="CETBodytext"/>
              <w:ind w:right="-1"/>
              <w:rPr>
                <w:rFonts w:cs="Arial"/>
                <w:szCs w:val="18"/>
                <w:lang w:val="en-GB"/>
              </w:rPr>
            </w:pPr>
            <w:r>
              <w:rPr>
                <w:rFonts w:cs="Arial"/>
                <w:szCs w:val="18"/>
                <w:lang w:val="en-GB"/>
              </w:rPr>
              <w:t>15.4</w:t>
            </w:r>
          </w:p>
        </w:tc>
        <w:tc>
          <w:tcPr>
            <w:tcW w:w="451" w:type="dxa"/>
            <w:shd w:val="clear" w:color="auto" w:fill="FFFFFF"/>
          </w:tcPr>
          <w:p w14:paraId="1468BD2F" w14:textId="55A025DC" w:rsidR="00D45645" w:rsidRPr="00B57B36" w:rsidRDefault="00D45645" w:rsidP="003907B0">
            <w:pPr>
              <w:pStyle w:val="CETBodytext"/>
              <w:ind w:right="-1"/>
              <w:rPr>
                <w:rFonts w:cs="Arial"/>
                <w:szCs w:val="18"/>
                <w:lang w:val="en-GB"/>
              </w:rPr>
            </w:pPr>
            <w:r>
              <w:rPr>
                <w:rFonts w:cs="Arial"/>
                <w:szCs w:val="18"/>
                <w:lang w:val="en-GB"/>
              </w:rPr>
              <w:t>15.5</w:t>
            </w:r>
          </w:p>
        </w:tc>
      </w:tr>
      <w:tr w:rsidR="00D45645" w:rsidRPr="00B57B36" w14:paraId="2C248EB9" w14:textId="77777777" w:rsidTr="00CE4067">
        <w:tc>
          <w:tcPr>
            <w:tcW w:w="1134" w:type="dxa"/>
            <w:shd w:val="clear" w:color="auto" w:fill="FFFFFF"/>
          </w:tcPr>
          <w:p w14:paraId="3F32BC45" w14:textId="77777777" w:rsidR="00D45645" w:rsidRPr="00D45645" w:rsidRDefault="00D45645" w:rsidP="00CE4067">
            <w:pPr>
              <w:pStyle w:val="CETBodytext"/>
              <w:ind w:right="-1"/>
              <w:rPr>
                <w:rFonts w:cs="Arial"/>
                <w:b/>
                <w:bCs/>
                <w:szCs w:val="18"/>
                <w:lang w:val="en-GB"/>
              </w:rPr>
            </w:pPr>
            <w:r w:rsidRPr="00D45645">
              <w:rPr>
                <w:rFonts w:cs="Arial"/>
                <w:b/>
                <w:bCs/>
                <w:szCs w:val="18"/>
                <w:lang w:val="en-GB"/>
              </w:rPr>
              <w:t>CH</w:t>
            </w:r>
            <w:r w:rsidRPr="00D45645">
              <w:rPr>
                <w:rFonts w:cs="Arial"/>
                <w:b/>
                <w:bCs/>
                <w:szCs w:val="18"/>
                <w:vertAlign w:val="subscript"/>
                <w:lang w:val="en-GB"/>
              </w:rPr>
              <w:t>4</w:t>
            </w:r>
          </w:p>
        </w:tc>
        <w:tc>
          <w:tcPr>
            <w:tcW w:w="1134" w:type="dxa"/>
            <w:shd w:val="clear" w:color="auto" w:fill="FFFFFF"/>
          </w:tcPr>
          <w:p w14:paraId="186D7F28" w14:textId="627FECAE" w:rsidR="00D45645" w:rsidRPr="00B57B36" w:rsidRDefault="00D45645" w:rsidP="003907B0">
            <w:pPr>
              <w:pStyle w:val="CETBodytext"/>
              <w:ind w:right="-1"/>
              <w:rPr>
                <w:rFonts w:cs="Arial"/>
                <w:szCs w:val="18"/>
                <w:lang w:val="en-GB"/>
              </w:rPr>
            </w:pPr>
            <w:r>
              <w:rPr>
                <w:rFonts w:cs="Arial"/>
                <w:szCs w:val="18"/>
                <w:lang w:val="en-GB"/>
              </w:rPr>
              <w:t>8.18</w:t>
            </w:r>
          </w:p>
        </w:tc>
        <w:tc>
          <w:tcPr>
            <w:tcW w:w="1134" w:type="dxa"/>
            <w:shd w:val="clear" w:color="auto" w:fill="FFFFFF"/>
          </w:tcPr>
          <w:p w14:paraId="3BB3DE13" w14:textId="513BD398" w:rsidR="00D45645" w:rsidRPr="00B57B36" w:rsidRDefault="00D45645" w:rsidP="003907B0">
            <w:pPr>
              <w:pStyle w:val="CETBodytext"/>
              <w:ind w:right="-1"/>
              <w:rPr>
                <w:rFonts w:cs="Arial"/>
                <w:szCs w:val="18"/>
                <w:lang w:val="en-GB"/>
              </w:rPr>
            </w:pPr>
            <w:r>
              <w:rPr>
                <w:rFonts w:cs="Arial"/>
                <w:szCs w:val="18"/>
                <w:lang w:val="en-GB"/>
              </w:rPr>
              <w:t>10.5</w:t>
            </w:r>
          </w:p>
        </w:tc>
        <w:tc>
          <w:tcPr>
            <w:tcW w:w="1134" w:type="dxa"/>
            <w:shd w:val="clear" w:color="auto" w:fill="FFFFFF"/>
          </w:tcPr>
          <w:p w14:paraId="7E5B4FBF" w14:textId="5F40CDF9" w:rsidR="00D45645" w:rsidRPr="00B57B36" w:rsidRDefault="00D45645" w:rsidP="003907B0">
            <w:pPr>
              <w:pStyle w:val="CETBodytext"/>
              <w:ind w:right="-1"/>
              <w:rPr>
                <w:rFonts w:cs="Arial"/>
                <w:szCs w:val="18"/>
                <w:lang w:val="en-GB"/>
              </w:rPr>
            </w:pPr>
            <w:r>
              <w:rPr>
                <w:rFonts w:cs="Arial"/>
                <w:szCs w:val="18"/>
                <w:lang w:val="en-GB"/>
              </w:rPr>
              <w:t>11.1</w:t>
            </w:r>
          </w:p>
        </w:tc>
        <w:tc>
          <w:tcPr>
            <w:tcW w:w="1134" w:type="dxa"/>
            <w:shd w:val="clear" w:color="auto" w:fill="FFFFFF"/>
          </w:tcPr>
          <w:p w14:paraId="100F5238" w14:textId="513E9632" w:rsidR="00D45645" w:rsidRPr="00B57B36" w:rsidRDefault="00D45645" w:rsidP="003907B0">
            <w:pPr>
              <w:pStyle w:val="CETBodytext"/>
              <w:ind w:right="-1"/>
              <w:rPr>
                <w:rFonts w:cs="Arial"/>
                <w:szCs w:val="18"/>
                <w:lang w:val="en-GB"/>
              </w:rPr>
            </w:pPr>
            <w:r>
              <w:rPr>
                <w:rFonts w:cs="Arial"/>
                <w:szCs w:val="18"/>
                <w:lang w:val="en-GB"/>
              </w:rPr>
              <w:t>11.8</w:t>
            </w:r>
          </w:p>
        </w:tc>
        <w:tc>
          <w:tcPr>
            <w:tcW w:w="451" w:type="dxa"/>
            <w:shd w:val="clear" w:color="auto" w:fill="FFFFFF"/>
          </w:tcPr>
          <w:p w14:paraId="36D1DD53" w14:textId="33A57D75" w:rsidR="00D45645" w:rsidRPr="00B57B36" w:rsidRDefault="00D45645" w:rsidP="003907B0">
            <w:pPr>
              <w:pStyle w:val="CETBodytext"/>
              <w:ind w:right="-1"/>
              <w:rPr>
                <w:rFonts w:cs="Arial"/>
                <w:szCs w:val="18"/>
                <w:lang w:val="en-GB"/>
              </w:rPr>
            </w:pPr>
            <w:r>
              <w:rPr>
                <w:rFonts w:cs="Arial"/>
                <w:szCs w:val="18"/>
                <w:lang w:val="en-GB"/>
              </w:rPr>
              <w:t>11.7</w:t>
            </w:r>
          </w:p>
        </w:tc>
      </w:tr>
      <w:tr w:rsidR="00D45645" w:rsidRPr="00B57B36" w14:paraId="38CF1DA0" w14:textId="77777777" w:rsidTr="00CE4067">
        <w:tc>
          <w:tcPr>
            <w:tcW w:w="1134" w:type="dxa"/>
            <w:shd w:val="clear" w:color="auto" w:fill="FFFFFF"/>
          </w:tcPr>
          <w:p w14:paraId="11841352" w14:textId="77777777" w:rsidR="00D45645" w:rsidRPr="00D45645" w:rsidRDefault="00D45645" w:rsidP="00CE4067">
            <w:pPr>
              <w:pStyle w:val="CETBodytext"/>
              <w:ind w:right="-1"/>
              <w:rPr>
                <w:rFonts w:cs="Arial"/>
                <w:b/>
                <w:bCs/>
                <w:szCs w:val="18"/>
                <w:lang w:val="en-GB"/>
              </w:rPr>
            </w:pPr>
            <w:r w:rsidRPr="00D45645">
              <w:rPr>
                <w:rFonts w:cs="Arial"/>
                <w:b/>
                <w:bCs/>
                <w:szCs w:val="18"/>
                <w:lang w:val="en-GB"/>
              </w:rPr>
              <w:t>CO</w:t>
            </w:r>
          </w:p>
        </w:tc>
        <w:tc>
          <w:tcPr>
            <w:tcW w:w="1134" w:type="dxa"/>
            <w:shd w:val="clear" w:color="auto" w:fill="FFFFFF"/>
          </w:tcPr>
          <w:p w14:paraId="12E5E88A" w14:textId="6F1E3F8E" w:rsidR="00D45645" w:rsidRPr="00B57B36" w:rsidRDefault="00D45645" w:rsidP="003907B0">
            <w:pPr>
              <w:pStyle w:val="CETBodytext"/>
              <w:ind w:right="-1"/>
              <w:rPr>
                <w:rFonts w:cs="Arial"/>
                <w:szCs w:val="18"/>
                <w:lang w:val="en-GB"/>
              </w:rPr>
            </w:pPr>
            <w:r>
              <w:rPr>
                <w:rFonts w:cs="Arial"/>
                <w:szCs w:val="18"/>
                <w:lang w:val="en-GB"/>
              </w:rPr>
              <w:t>12.9</w:t>
            </w:r>
          </w:p>
        </w:tc>
        <w:tc>
          <w:tcPr>
            <w:tcW w:w="1134" w:type="dxa"/>
            <w:shd w:val="clear" w:color="auto" w:fill="FFFFFF"/>
          </w:tcPr>
          <w:p w14:paraId="1916AF02" w14:textId="3A358FBB" w:rsidR="00D45645" w:rsidRPr="00B57B36" w:rsidRDefault="00D45645" w:rsidP="003907B0">
            <w:pPr>
              <w:pStyle w:val="CETBodytext"/>
              <w:ind w:right="-1"/>
              <w:rPr>
                <w:rFonts w:cs="Arial"/>
                <w:szCs w:val="18"/>
                <w:lang w:val="en-GB"/>
              </w:rPr>
            </w:pPr>
            <w:r>
              <w:rPr>
                <w:rFonts w:cs="Arial"/>
                <w:szCs w:val="18"/>
                <w:lang w:val="en-GB"/>
              </w:rPr>
              <w:t>22.1</w:t>
            </w:r>
          </w:p>
        </w:tc>
        <w:tc>
          <w:tcPr>
            <w:tcW w:w="1134" w:type="dxa"/>
            <w:shd w:val="clear" w:color="auto" w:fill="FFFFFF"/>
          </w:tcPr>
          <w:p w14:paraId="16448E09" w14:textId="183C2B93" w:rsidR="00D45645" w:rsidRPr="00B57B36" w:rsidRDefault="00D45645" w:rsidP="003907B0">
            <w:pPr>
              <w:pStyle w:val="CETBodytext"/>
              <w:ind w:right="-1"/>
              <w:rPr>
                <w:rFonts w:cs="Arial"/>
                <w:szCs w:val="18"/>
                <w:lang w:val="en-GB"/>
              </w:rPr>
            </w:pPr>
            <w:r>
              <w:rPr>
                <w:rFonts w:cs="Arial"/>
                <w:szCs w:val="18"/>
                <w:lang w:val="en-GB"/>
              </w:rPr>
              <w:t>25.7</w:t>
            </w:r>
          </w:p>
        </w:tc>
        <w:tc>
          <w:tcPr>
            <w:tcW w:w="1134" w:type="dxa"/>
            <w:shd w:val="clear" w:color="auto" w:fill="FFFFFF"/>
          </w:tcPr>
          <w:p w14:paraId="5F09AC7C" w14:textId="3E528C44" w:rsidR="00D45645" w:rsidRPr="00B57B36" w:rsidRDefault="00D45645" w:rsidP="003907B0">
            <w:pPr>
              <w:pStyle w:val="CETBodytext"/>
              <w:ind w:right="-1"/>
              <w:rPr>
                <w:rFonts w:cs="Arial"/>
                <w:szCs w:val="18"/>
                <w:lang w:val="en-GB"/>
              </w:rPr>
            </w:pPr>
            <w:r>
              <w:rPr>
                <w:rFonts w:cs="Arial"/>
                <w:szCs w:val="18"/>
                <w:lang w:val="en-GB"/>
              </w:rPr>
              <w:t>34.0</w:t>
            </w:r>
          </w:p>
        </w:tc>
        <w:tc>
          <w:tcPr>
            <w:tcW w:w="451" w:type="dxa"/>
            <w:shd w:val="clear" w:color="auto" w:fill="FFFFFF"/>
          </w:tcPr>
          <w:p w14:paraId="112AFA40" w14:textId="7F745A36" w:rsidR="00D45645" w:rsidRPr="00B57B36" w:rsidRDefault="00D45645" w:rsidP="003907B0">
            <w:pPr>
              <w:pStyle w:val="CETBodytext"/>
              <w:ind w:right="-1"/>
              <w:rPr>
                <w:rFonts w:cs="Arial"/>
                <w:szCs w:val="18"/>
                <w:lang w:val="en-GB"/>
              </w:rPr>
            </w:pPr>
            <w:r>
              <w:rPr>
                <w:rFonts w:cs="Arial"/>
                <w:szCs w:val="18"/>
                <w:lang w:val="en-GB"/>
              </w:rPr>
              <w:t>37.2</w:t>
            </w:r>
          </w:p>
        </w:tc>
      </w:tr>
      <w:tr w:rsidR="00D45645" w:rsidRPr="00B57B36" w14:paraId="1F27E11D" w14:textId="77777777" w:rsidTr="00CE4067">
        <w:tc>
          <w:tcPr>
            <w:tcW w:w="1134" w:type="dxa"/>
            <w:shd w:val="clear" w:color="auto" w:fill="FFFFFF"/>
          </w:tcPr>
          <w:p w14:paraId="7CB05BB0" w14:textId="77777777" w:rsidR="00D45645" w:rsidRPr="00D45645" w:rsidRDefault="00D45645" w:rsidP="00CE4067">
            <w:pPr>
              <w:pStyle w:val="CETBodytext"/>
              <w:ind w:right="-1"/>
              <w:rPr>
                <w:rFonts w:cs="Arial"/>
                <w:b/>
                <w:bCs/>
                <w:szCs w:val="18"/>
                <w:lang w:val="en-GB"/>
              </w:rPr>
            </w:pPr>
            <w:r w:rsidRPr="00D45645">
              <w:rPr>
                <w:rFonts w:cs="Arial"/>
                <w:b/>
                <w:bCs/>
                <w:szCs w:val="18"/>
                <w:lang w:val="en-GB"/>
              </w:rPr>
              <w:t>CO</w:t>
            </w:r>
            <w:r w:rsidRPr="00D45645">
              <w:rPr>
                <w:rFonts w:cs="Arial"/>
                <w:b/>
                <w:bCs/>
                <w:szCs w:val="18"/>
                <w:vertAlign w:val="subscript"/>
                <w:lang w:val="en-GB"/>
              </w:rPr>
              <w:t>2</w:t>
            </w:r>
          </w:p>
        </w:tc>
        <w:tc>
          <w:tcPr>
            <w:tcW w:w="1134" w:type="dxa"/>
            <w:shd w:val="clear" w:color="auto" w:fill="FFFFFF"/>
          </w:tcPr>
          <w:p w14:paraId="14BA639B" w14:textId="3F6ACBE6" w:rsidR="00D45645" w:rsidRPr="00B57B36" w:rsidRDefault="003907B0" w:rsidP="003907B0">
            <w:pPr>
              <w:pStyle w:val="CETBodytext"/>
              <w:ind w:right="-1"/>
              <w:rPr>
                <w:rFonts w:cs="Arial"/>
                <w:szCs w:val="18"/>
                <w:lang w:val="en-GB"/>
              </w:rPr>
            </w:pPr>
            <w:r>
              <w:rPr>
                <w:rFonts w:cs="Arial"/>
                <w:szCs w:val="18"/>
                <w:lang w:val="en-GB"/>
              </w:rPr>
              <w:t>40.4</w:t>
            </w:r>
          </w:p>
        </w:tc>
        <w:tc>
          <w:tcPr>
            <w:tcW w:w="1134" w:type="dxa"/>
            <w:shd w:val="clear" w:color="auto" w:fill="FFFFFF"/>
          </w:tcPr>
          <w:p w14:paraId="4D8BDDBE" w14:textId="0900F416" w:rsidR="00D45645" w:rsidRPr="00B57B36" w:rsidRDefault="003907B0" w:rsidP="003907B0">
            <w:pPr>
              <w:pStyle w:val="CETBodytext"/>
              <w:ind w:right="-1"/>
              <w:rPr>
                <w:rFonts w:cs="Arial"/>
                <w:szCs w:val="18"/>
                <w:lang w:val="en-GB"/>
              </w:rPr>
            </w:pPr>
            <w:r>
              <w:rPr>
                <w:rFonts w:cs="Arial"/>
                <w:szCs w:val="18"/>
                <w:lang w:val="en-GB"/>
              </w:rPr>
              <w:t>32.2</w:t>
            </w:r>
          </w:p>
        </w:tc>
        <w:tc>
          <w:tcPr>
            <w:tcW w:w="1134" w:type="dxa"/>
            <w:shd w:val="clear" w:color="auto" w:fill="FFFFFF"/>
          </w:tcPr>
          <w:p w14:paraId="09C690DA" w14:textId="324CFAC5" w:rsidR="00D45645" w:rsidRPr="00B57B36" w:rsidRDefault="003907B0" w:rsidP="003907B0">
            <w:pPr>
              <w:pStyle w:val="CETBodytext"/>
              <w:ind w:right="-1"/>
              <w:rPr>
                <w:rFonts w:cs="Arial"/>
                <w:szCs w:val="18"/>
                <w:lang w:val="en-GB"/>
              </w:rPr>
            </w:pPr>
            <w:r>
              <w:rPr>
                <w:rFonts w:cs="Arial"/>
                <w:szCs w:val="18"/>
                <w:lang w:val="en-GB"/>
              </w:rPr>
              <w:t>33.6</w:t>
            </w:r>
          </w:p>
        </w:tc>
        <w:tc>
          <w:tcPr>
            <w:tcW w:w="1134" w:type="dxa"/>
            <w:shd w:val="clear" w:color="auto" w:fill="FFFFFF"/>
          </w:tcPr>
          <w:p w14:paraId="21AFB1F8" w14:textId="056646E0" w:rsidR="00D45645" w:rsidRPr="00B57B36" w:rsidRDefault="003907B0" w:rsidP="003907B0">
            <w:pPr>
              <w:pStyle w:val="CETBodytext"/>
              <w:ind w:right="-1"/>
              <w:rPr>
                <w:rFonts w:cs="Arial"/>
                <w:szCs w:val="18"/>
                <w:lang w:val="en-GB"/>
              </w:rPr>
            </w:pPr>
            <w:r>
              <w:rPr>
                <w:rFonts w:cs="Arial"/>
                <w:szCs w:val="18"/>
                <w:lang w:val="en-GB"/>
              </w:rPr>
              <w:t>30.7</w:t>
            </w:r>
          </w:p>
        </w:tc>
        <w:tc>
          <w:tcPr>
            <w:tcW w:w="451" w:type="dxa"/>
            <w:shd w:val="clear" w:color="auto" w:fill="FFFFFF"/>
          </w:tcPr>
          <w:p w14:paraId="6C4B4877" w14:textId="01A72567" w:rsidR="00D45645" w:rsidRPr="00B57B36" w:rsidRDefault="003907B0" w:rsidP="003907B0">
            <w:pPr>
              <w:pStyle w:val="CETBodytext"/>
              <w:ind w:right="-1"/>
              <w:rPr>
                <w:rFonts w:cs="Arial"/>
                <w:szCs w:val="18"/>
                <w:lang w:val="en-GB"/>
              </w:rPr>
            </w:pPr>
            <w:r>
              <w:rPr>
                <w:rFonts w:cs="Arial"/>
                <w:szCs w:val="18"/>
                <w:lang w:val="en-GB"/>
              </w:rPr>
              <w:t>33.2</w:t>
            </w:r>
          </w:p>
        </w:tc>
      </w:tr>
      <w:tr w:rsidR="00D45645" w:rsidRPr="00B57B36" w14:paraId="63DCA3BB" w14:textId="77777777" w:rsidTr="00CE4067">
        <w:tc>
          <w:tcPr>
            <w:tcW w:w="1134" w:type="dxa"/>
            <w:shd w:val="clear" w:color="auto" w:fill="FFFFFF"/>
          </w:tcPr>
          <w:p w14:paraId="57F3CDF4" w14:textId="77777777" w:rsidR="00D45645" w:rsidRPr="00D45645" w:rsidRDefault="00D45645" w:rsidP="00D45645">
            <w:pPr>
              <w:pStyle w:val="CETBodytext"/>
              <w:ind w:right="-1"/>
              <w:rPr>
                <w:rFonts w:cs="Arial"/>
                <w:b/>
                <w:bCs/>
                <w:szCs w:val="18"/>
                <w:lang w:val="en-GB"/>
              </w:rPr>
            </w:pPr>
            <w:r w:rsidRPr="00D45645">
              <w:rPr>
                <w:rFonts w:cs="Arial"/>
                <w:b/>
                <w:bCs/>
                <w:szCs w:val="18"/>
                <w:lang w:val="en-GB"/>
              </w:rPr>
              <w:t>C</w:t>
            </w:r>
            <w:r w:rsidRPr="00D45645">
              <w:rPr>
                <w:rFonts w:cs="Arial"/>
                <w:b/>
                <w:bCs/>
                <w:szCs w:val="18"/>
                <w:vertAlign w:val="subscript"/>
                <w:lang w:val="en-GB"/>
              </w:rPr>
              <w:t>2</w:t>
            </w:r>
            <w:r w:rsidRPr="00D45645">
              <w:rPr>
                <w:rFonts w:cs="Arial"/>
                <w:b/>
                <w:bCs/>
                <w:szCs w:val="18"/>
                <w:lang w:val="en-GB"/>
              </w:rPr>
              <w:t>H</w:t>
            </w:r>
            <w:r w:rsidRPr="00D45645">
              <w:rPr>
                <w:rFonts w:cs="Arial"/>
                <w:b/>
                <w:bCs/>
                <w:szCs w:val="18"/>
                <w:vertAlign w:val="subscript"/>
                <w:lang w:val="en-GB"/>
              </w:rPr>
              <w:t>4</w:t>
            </w:r>
          </w:p>
        </w:tc>
        <w:tc>
          <w:tcPr>
            <w:tcW w:w="1134" w:type="dxa"/>
            <w:shd w:val="clear" w:color="auto" w:fill="FFFFFF"/>
          </w:tcPr>
          <w:p w14:paraId="3F31013A" w14:textId="6F1397C6" w:rsidR="00D45645" w:rsidRDefault="00D45645" w:rsidP="003907B0">
            <w:pPr>
              <w:pStyle w:val="CETBodytext"/>
              <w:ind w:right="-1"/>
              <w:rPr>
                <w:rFonts w:cs="Arial"/>
                <w:szCs w:val="18"/>
                <w:lang w:val="en-GB"/>
              </w:rPr>
            </w:pPr>
            <w:r>
              <w:rPr>
                <w:rFonts w:cs="Arial"/>
                <w:szCs w:val="18"/>
                <w:lang w:val="en-GB"/>
              </w:rPr>
              <w:t>15.4</w:t>
            </w:r>
          </w:p>
        </w:tc>
        <w:tc>
          <w:tcPr>
            <w:tcW w:w="1134" w:type="dxa"/>
            <w:shd w:val="clear" w:color="auto" w:fill="FFFFFF"/>
          </w:tcPr>
          <w:p w14:paraId="5608E403" w14:textId="22DA8D6A" w:rsidR="00D45645" w:rsidRDefault="00D45645" w:rsidP="003907B0">
            <w:pPr>
              <w:pStyle w:val="CETBodytext"/>
              <w:ind w:right="-1"/>
              <w:rPr>
                <w:rFonts w:cs="Arial"/>
                <w:szCs w:val="18"/>
                <w:lang w:val="en-GB"/>
              </w:rPr>
            </w:pPr>
            <w:r>
              <w:rPr>
                <w:rFonts w:cs="Arial"/>
                <w:szCs w:val="18"/>
                <w:lang w:val="en-GB"/>
              </w:rPr>
              <w:t>11.3</w:t>
            </w:r>
          </w:p>
        </w:tc>
        <w:tc>
          <w:tcPr>
            <w:tcW w:w="1134" w:type="dxa"/>
            <w:shd w:val="clear" w:color="auto" w:fill="FFFFFF"/>
          </w:tcPr>
          <w:p w14:paraId="2E202E0B" w14:textId="1F7DF309" w:rsidR="00D45645" w:rsidRDefault="00D45645" w:rsidP="003907B0">
            <w:pPr>
              <w:pStyle w:val="CETBodytext"/>
              <w:ind w:right="-1"/>
              <w:rPr>
                <w:rFonts w:cs="Arial"/>
                <w:szCs w:val="18"/>
                <w:lang w:val="en-GB"/>
              </w:rPr>
            </w:pPr>
            <w:r>
              <w:rPr>
                <w:rFonts w:cs="Arial"/>
                <w:szCs w:val="18"/>
                <w:lang w:val="en-GB"/>
              </w:rPr>
              <w:t>7.96</w:t>
            </w:r>
          </w:p>
        </w:tc>
        <w:tc>
          <w:tcPr>
            <w:tcW w:w="1134" w:type="dxa"/>
            <w:shd w:val="clear" w:color="auto" w:fill="FFFFFF"/>
          </w:tcPr>
          <w:p w14:paraId="23932581" w14:textId="0D83BC71" w:rsidR="00D45645" w:rsidRDefault="00D45645" w:rsidP="003907B0">
            <w:pPr>
              <w:pStyle w:val="CETBodytext"/>
              <w:ind w:right="-1"/>
              <w:rPr>
                <w:rFonts w:cs="Arial"/>
                <w:szCs w:val="18"/>
                <w:lang w:val="en-GB"/>
              </w:rPr>
            </w:pPr>
            <w:r>
              <w:rPr>
                <w:rFonts w:cs="Arial"/>
                <w:szCs w:val="18"/>
                <w:lang w:val="en-GB"/>
              </w:rPr>
              <w:t>4.04</w:t>
            </w:r>
          </w:p>
        </w:tc>
        <w:tc>
          <w:tcPr>
            <w:tcW w:w="451" w:type="dxa"/>
            <w:shd w:val="clear" w:color="auto" w:fill="FFFFFF"/>
          </w:tcPr>
          <w:p w14:paraId="5F12809B" w14:textId="7FDA83CD" w:rsidR="00D45645" w:rsidRDefault="00D45645" w:rsidP="003907B0">
            <w:pPr>
              <w:pStyle w:val="CETBodytext"/>
              <w:ind w:right="-1"/>
              <w:rPr>
                <w:rFonts w:cs="Arial"/>
                <w:szCs w:val="18"/>
                <w:lang w:val="en-GB"/>
              </w:rPr>
            </w:pPr>
            <w:r>
              <w:rPr>
                <w:rFonts w:cs="Arial"/>
                <w:szCs w:val="18"/>
                <w:lang w:val="en-GB"/>
              </w:rPr>
              <w:t>1.45</w:t>
            </w:r>
          </w:p>
        </w:tc>
      </w:tr>
      <w:tr w:rsidR="00D45645" w:rsidRPr="00B57B36" w14:paraId="42824E58" w14:textId="77777777" w:rsidTr="00CE4067">
        <w:tc>
          <w:tcPr>
            <w:tcW w:w="1134" w:type="dxa"/>
            <w:shd w:val="clear" w:color="auto" w:fill="FFFFFF"/>
          </w:tcPr>
          <w:p w14:paraId="22822C94" w14:textId="77777777" w:rsidR="00D45645" w:rsidRPr="00D45645" w:rsidRDefault="00D45645" w:rsidP="00D45645">
            <w:pPr>
              <w:pStyle w:val="CETBodytext"/>
              <w:ind w:right="-1"/>
              <w:rPr>
                <w:rFonts w:cs="Arial"/>
                <w:b/>
                <w:bCs/>
                <w:szCs w:val="18"/>
                <w:lang w:val="en-GB"/>
              </w:rPr>
            </w:pPr>
            <w:r w:rsidRPr="00D45645">
              <w:rPr>
                <w:rFonts w:cs="Arial"/>
                <w:b/>
                <w:bCs/>
                <w:szCs w:val="18"/>
                <w:lang w:val="en-GB"/>
              </w:rPr>
              <w:t>C</w:t>
            </w:r>
            <w:r w:rsidRPr="00D45645">
              <w:rPr>
                <w:rFonts w:cs="Arial"/>
                <w:b/>
                <w:bCs/>
                <w:szCs w:val="18"/>
                <w:vertAlign w:val="subscript"/>
                <w:lang w:val="en-GB"/>
              </w:rPr>
              <w:t>2</w:t>
            </w:r>
            <w:r w:rsidRPr="00D45645">
              <w:rPr>
                <w:rFonts w:cs="Arial"/>
                <w:b/>
                <w:bCs/>
                <w:szCs w:val="18"/>
                <w:lang w:val="en-GB"/>
              </w:rPr>
              <w:t>H</w:t>
            </w:r>
            <w:r w:rsidRPr="00D45645">
              <w:rPr>
                <w:rFonts w:cs="Arial"/>
                <w:b/>
                <w:bCs/>
                <w:szCs w:val="18"/>
                <w:vertAlign w:val="subscript"/>
                <w:lang w:val="en-GB"/>
              </w:rPr>
              <w:t>6</w:t>
            </w:r>
          </w:p>
        </w:tc>
        <w:tc>
          <w:tcPr>
            <w:tcW w:w="1134" w:type="dxa"/>
            <w:shd w:val="clear" w:color="auto" w:fill="FFFFFF"/>
          </w:tcPr>
          <w:p w14:paraId="76F4F5F7" w14:textId="6B6F3CB2" w:rsidR="00D45645" w:rsidRDefault="00D45645" w:rsidP="003907B0">
            <w:pPr>
              <w:pStyle w:val="CETBodytext"/>
              <w:ind w:right="-1"/>
              <w:rPr>
                <w:rFonts w:cs="Arial"/>
                <w:szCs w:val="18"/>
                <w:lang w:val="en-GB"/>
              </w:rPr>
            </w:pPr>
            <w:r>
              <w:rPr>
                <w:rFonts w:cs="Arial"/>
                <w:szCs w:val="18"/>
                <w:lang w:val="en-GB"/>
              </w:rPr>
              <w:t>5.49</w:t>
            </w:r>
          </w:p>
        </w:tc>
        <w:tc>
          <w:tcPr>
            <w:tcW w:w="1134" w:type="dxa"/>
            <w:shd w:val="clear" w:color="auto" w:fill="FFFFFF"/>
          </w:tcPr>
          <w:p w14:paraId="2E8CFA85" w14:textId="18014293" w:rsidR="00D45645" w:rsidRDefault="00D45645" w:rsidP="003907B0">
            <w:pPr>
              <w:pStyle w:val="CETBodytext"/>
              <w:ind w:right="-1"/>
              <w:rPr>
                <w:rFonts w:cs="Arial"/>
                <w:szCs w:val="18"/>
                <w:lang w:val="en-GB"/>
              </w:rPr>
            </w:pPr>
            <w:r>
              <w:rPr>
                <w:rFonts w:cs="Arial"/>
                <w:szCs w:val="18"/>
                <w:lang w:val="en-GB"/>
              </w:rPr>
              <w:t>4.47</w:t>
            </w:r>
          </w:p>
        </w:tc>
        <w:tc>
          <w:tcPr>
            <w:tcW w:w="1134" w:type="dxa"/>
            <w:shd w:val="clear" w:color="auto" w:fill="FFFFFF"/>
          </w:tcPr>
          <w:p w14:paraId="71738878" w14:textId="22B49233" w:rsidR="00D45645" w:rsidRDefault="00D45645" w:rsidP="003907B0">
            <w:pPr>
              <w:pStyle w:val="CETBodytext"/>
              <w:ind w:right="-1"/>
              <w:rPr>
                <w:rFonts w:cs="Arial"/>
                <w:szCs w:val="18"/>
                <w:lang w:val="en-GB"/>
              </w:rPr>
            </w:pPr>
            <w:r>
              <w:rPr>
                <w:rFonts w:cs="Arial"/>
                <w:szCs w:val="18"/>
                <w:lang w:val="en-GB"/>
              </w:rPr>
              <w:t>3.04</w:t>
            </w:r>
          </w:p>
        </w:tc>
        <w:tc>
          <w:tcPr>
            <w:tcW w:w="1134" w:type="dxa"/>
            <w:shd w:val="clear" w:color="auto" w:fill="FFFFFF"/>
          </w:tcPr>
          <w:p w14:paraId="784760B9" w14:textId="73DAF47D" w:rsidR="00D45645" w:rsidRDefault="00D45645" w:rsidP="003907B0">
            <w:pPr>
              <w:pStyle w:val="CETBodytext"/>
              <w:ind w:right="-1"/>
              <w:rPr>
                <w:rFonts w:cs="Arial"/>
                <w:szCs w:val="18"/>
                <w:lang w:val="en-GB"/>
              </w:rPr>
            </w:pPr>
            <w:r>
              <w:rPr>
                <w:rFonts w:cs="Arial"/>
                <w:szCs w:val="18"/>
                <w:lang w:val="en-GB"/>
              </w:rPr>
              <w:t>2.21</w:t>
            </w:r>
          </w:p>
        </w:tc>
        <w:tc>
          <w:tcPr>
            <w:tcW w:w="451" w:type="dxa"/>
            <w:shd w:val="clear" w:color="auto" w:fill="FFFFFF"/>
          </w:tcPr>
          <w:p w14:paraId="6556803B" w14:textId="54A5F9EB" w:rsidR="00D45645" w:rsidRDefault="00D45645" w:rsidP="003907B0">
            <w:pPr>
              <w:pStyle w:val="CETBodytext"/>
              <w:ind w:right="-1"/>
              <w:rPr>
                <w:rFonts w:cs="Arial"/>
                <w:szCs w:val="18"/>
                <w:lang w:val="en-GB"/>
              </w:rPr>
            </w:pPr>
            <w:r>
              <w:rPr>
                <w:rFonts w:cs="Arial"/>
                <w:szCs w:val="18"/>
                <w:lang w:val="en-GB"/>
              </w:rPr>
              <w:t>0.95</w:t>
            </w:r>
          </w:p>
        </w:tc>
      </w:tr>
      <w:tr w:rsidR="00D45645" w:rsidRPr="00B57B36" w14:paraId="1894E851" w14:textId="77777777" w:rsidTr="00CE4067">
        <w:tc>
          <w:tcPr>
            <w:tcW w:w="1134" w:type="dxa"/>
            <w:shd w:val="clear" w:color="auto" w:fill="FFFFFF"/>
          </w:tcPr>
          <w:p w14:paraId="1C0469ED" w14:textId="77777777" w:rsidR="00D45645" w:rsidRPr="00D45645" w:rsidRDefault="00D45645" w:rsidP="00CE4067">
            <w:pPr>
              <w:pStyle w:val="CETBodytext"/>
              <w:ind w:right="-1"/>
              <w:rPr>
                <w:rFonts w:cs="Arial"/>
                <w:b/>
                <w:bCs/>
                <w:szCs w:val="18"/>
                <w:lang w:val="en-GB"/>
              </w:rPr>
            </w:pPr>
            <w:r w:rsidRPr="00D45645">
              <w:rPr>
                <w:rFonts w:cs="Arial"/>
                <w:b/>
                <w:bCs/>
                <w:szCs w:val="18"/>
                <w:lang w:val="en-GB"/>
              </w:rPr>
              <w:t>C</w:t>
            </w:r>
            <w:r w:rsidRPr="00D45645">
              <w:rPr>
                <w:rFonts w:cs="Arial"/>
                <w:b/>
                <w:bCs/>
                <w:szCs w:val="18"/>
                <w:vertAlign w:val="subscript"/>
                <w:lang w:val="en-GB"/>
              </w:rPr>
              <w:t>2</w:t>
            </w:r>
            <w:r w:rsidRPr="00D45645">
              <w:rPr>
                <w:rFonts w:cs="Arial"/>
                <w:b/>
                <w:bCs/>
                <w:szCs w:val="18"/>
                <w:lang w:val="en-GB"/>
              </w:rPr>
              <w:t>H</w:t>
            </w:r>
            <w:r w:rsidRPr="00D45645">
              <w:rPr>
                <w:rFonts w:cs="Arial"/>
                <w:b/>
                <w:bCs/>
                <w:szCs w:val="18"/>
                <w:vertAlign w:val="subscript"/>
                <w:lang w:val="en-GB"/>
              </w:rPr>
              <w:t>2</w:t>
            </w:r>
          </w:p>
        </w:tc>
        <w:tc>
          <w:tcPr>
            <w:tcW w:w="1134" w:type="dxa"/>
            <w:shd w:val="clear" w:color="auto" w:fill="FFFFFF"/>
          </w:tcPr>
          <w:p w14:paraId="70606869" w14:textId="1C0E5AF2" w:rsidR="00D45645" w:rsidRDefault="003907B0" w:rsidP="003907B0">
            <w:pPr>
              <w:pStyle w:val="CETBodytext"/>
              <w:ind w:right="-1"/>
              <w:rPr>
                <w:rFonts w:cs="Arial"/>
                <w:szCs w:val="18"/>
                <w:lang w:val="en-GB"/>
              </w:rPr>
            </w:pPr>
            <w:r>
              <w:rPr>
                <w:rFonts w:cs="Arial"/>
                <w:szCs w:val="18"/>
                <w:lang w:val="en-GB"/>
              </w:rPr>
              <w:t>0.44</w:t>
            </w:r>
          </w:p>
        </w:tc>
        <w:tc>
          <w:tcPr>
            <w:tcW w:w="1134" w:type="dxa"/>
            <w:shd w:val="clear" w:color="auto" w:fill="FFFFFF"/>
          </w:tcPr>
          <w:p w14:paraId="3D9270A4" w14:textId="66673D05" w:rsidR="00D45645" w:rsidRDefault="003907B0" w:rsidP="003907B0">
            <w:pPr>
              <w:pStyle w:val="CETBodytext"/>
              <w:ind w:right="-1"/>
              <w:rPr>
                <w:rFonts w:cs="Arial"/>
                <w:szCs w:val="18"/>
                <w:lang w:val="en-GB"/>
              </w:rPr>
            </w:pPr>
            <w:r>
              <w:rPr>
                <w:rFonts w:cs="Arial"/>
                <w:szCs w:val="18"/>
                <w:lang w:val="en-GB"/>
              </w:rPr>
              <w:t>0.11</w:t>
            </w:r>
          </w:p>
        </w:tc>
        <w:tc>
          <w:tcPr>
            <w:tcW w:w="1134" w:type="dxa"/>
            <w:shd w:val="clear" w:color="auto" w:fill="FFFFFF"/>
          </w:tcPr>
          <w:p w14:paraId="35F81E04" w14:textId="240B0D0D" w:rsidR="00D45645" w:rsidRDefault="003907B0" w:rsidP="003907B0">
            <w:pPr>
              <w:pStyle w:val="CETBodytext"/>
              <w:ind w:right="-1"/>
              <w:rPr>
                <w:rFonts w:cs="Arial"/>
                <w:szCs w:val="18"/>
                <w:lang w:val="en-GB"/>
              </w:rPr>
            </w:pPr>
            <w:r>
              <w:rPr>
                <w:rFonts w:cs="Arial"/>
                <w:szCs w:val="18"/>
                <w:lang w:val="en-GB"/>
              </w:rPr>
              <w:t>0.07</w:t>
            </w:r>
          </w:p>
        </w:tc>
        <w:tc>
          <w:tcPr>
            <w:tcW w:w="1134" w:type="dxa"/>
            <w:shd w:val="clear" w:color="auto" w:fill="FFFFFF"/>
          </w:tcPr>
          <w:p w14:paraId="0AA46283" w14:textId="101DAD34" w:rsidR="00D45645" w:rsidRDefault="003907B0" w:rsidP="003907B0">
            <w:pPr>
              <w:pStyle w:val="CETBodytext"/>
              <w:ind w:right="-1"/>
              <w:rPr>
                <w:rFonts w:cs="Arial"/>
                <w:szCs w:val="18"/>
                <w:lang w:val="en-GB"/>
              </w:rPr>
            </w:pPr>
            <w:r>
              <w:rPr>
                <w:rFonts w:cs="Arial"/>
                <w:szCs w:val="18"/>
                <w:lang w:val="en-GB"/>
              </w:rPr>
              <w:t>0.04</w:t>
            </w:r>
          </w:p>
        </w:tc>
        <w:tc>
          <w:tcPr>
            <w:tcW w:w="451" w:type="dxa"/>
            <w:shd w:val="clear" w:color="auto" w:fill="FFFFFF"/>
          </w:tcPr>
          <w:p w14:paraId="5F63F402" w14:textId="2DC9585D" w:rsidR="00D45645" w:rsidRDefault="003907B0" w:rsidP="003907B0">
            <w:pPr>
              <w:pStyle w:val="CETBodytext"/>
              <w:ind w:right="-1"/>
              <w:rPr>
                <w:rFonts w:cs="Arial"/>
                <w:szCs w:val="18"/>
                <w:lang w:val="en-GB"/>
              </w:rPr>
            </w:pPr>
            <w:r>
              <w:rPr>
                <w:rFonts w:cs="Arial"/>
                <w:szCs w:val="18"/>
                <w:lang w:val="en-GB"/>
              </w:rPr>
              <w:t>0.01</w:t>
            </w:r>
          </w:p>
        </w:tc>
      </w:tr>
      <w:tr w:rsidR="00D45645" w:rsidRPr="00B57B36" w14:paraId="23096EDE" w14:textId="77777777" w:rsidTr="00CE4067">
        <w:tc>
          <w:tcPr>
            <w:tcW w:w="1134" w:type="dxa"/>
            <w:tcBorders>
              <w:bottom w:val="single" w:sz="4" w:space="0" w:color="auto"/>
            </w:tcBorders>
            <w:shd w:val="clear" w:color="auto" w:fill="FFFFFF"/>
          </w:tcPr>
          <w:p w14:paraId="23A11B02" w14:textId="77777777" w:rsidR="00D45645" w:rsidRPr="00D45645" w:rsidRDefault="00D45645" w:rsidP="00CE4067">
            <w:pPr>
              <w:pStyle w:val="CETBodytext"/>
              <w:ind w:right="-1"/>
              <w:rPr>
                <w:rFonts w:cs="Arial"/>
                <w:b/>
                <w:bCs/>
                <w:szCs w:val="18"/>
                <w:lang w:val="en-GB"/>
              </w:rPr>
            </w:pPr>
            <w:r w:rsidRPr="00D45645">
              <w:rPr>
                <w:rFonts w:cs="Arial"/>
                <w:b/>
                <w:bCs/>
                <w:szCs w:val="18"/>
                <w:lang w:val="en-GB"/>
              </w:rPr>
              <w:t>C</w:t>
            </w:r>
            <w:r w:rsidRPr="00D45645">
              <w:rPr>
                <w:rFonts w:cs="Arial"/>
                <w:b/>
                <w:bCs/>
                <w:szCs w:val="18"/>
                <w:vertAlign w:val="subscript"/>
                <w:lang w:val="en-GB"/>
              </w:rPr>
              <w:t>3</w:t>
            </w:r>
          </w:p>
        </w:tc>
        <w:tc>
          <w:tcPr>
            <w:tcW w:w="1134" w:type="dxa"/>
            <w:tcBorders>
              <w:bottom w:val="single" w:sz="4" w:space="0" w:color="auto"/>
            </w:tcBorders>
            <w:shd w:val="clear" w:color="auto" w:fill="FFFFFF"/>
          </w:tcPr>
          <w:p w14:paraId="7695DC50" w14:textId="072EFAAD" w:rsidR="00D45645" w:rsidRDefault="003907B0" w:rsidP="003907B0">
            <w:pPr>
              <w:pStyle w:val="CETBodytext"/>
              <w:ind w:right="-1"/>
              <w:rPr>
                <w:rFonts w:cs="Arial"/>
                <w:szCs w:val="18"/>
                <w:lang w:val="en-GB"/>
              </w:rPr>
            </w:pPr>
            <w:r>
              <w:rPr>
                <w:rFonts w:cs="Arial"/>
                <w:szCs w:val="18"/>
                <w:lang w:val="en-GB"/>
              </w:rPr>
              <w:t>5.65</w:t>
            </w:r>
          </w:p>
        </w:tc>
        <w:tc>
          <w:tcPr>
            <w:tcW w:w="1134" w:type="dxa"/>
            <w:tcBorders>
              <w:bottom w:val="single" w:sz="4" w:space="0" w:color="auto"/>
            </w:tcBorders>
            <w:shd w:val="clear" w:color="auto" w:fill="FFFFFF"/>
          </w:tcPr>
          <w:p w14:paraId="6E31D8EE" w14:textId="32B6416A" w:rsidR="00D45645" w:rsidRDefault="003907B0" w:rsidP="003907B0">
            <w:pPr>
              <w:pStyle w:val="CETBodytext"/>
              <w:ind w:right="-1"/>
              <w:rPr>
                <w:rFonts w:cs="Arial"/>
                <w:szCs w:val="18"/>
                <w:lang w:val="en-GB"/>
              </w:rPr>
            </w:pPr>
            <w:r>
              <w:rPr>
                <w:rFonts w:cs="Arial"/>
                <w:szCs w:val="18"/>
                <w:lang w:val="en-GB"/>
              </w:rPr>
              <w:t>4.04</w:t>
            </w:r>
          </w:p>
        </w:tc>
        <w:tc>
          <w:tcPr>
            <w:tcW w:w="1134" w:type="dxa"/>
            <w:tcBorders>
              <w:bottom w:val="single" w:sz="4" w:space="0" w:color="auto"/>
            </w:tcBorders>
            <w:shd w:val="clear" w:color="auto" w:fill="FFFFFF"/>
          </w:tcPr>
          <w:p w14:paraId="095C03A6" w14:textId="6EDC2FB8" w:rsidR="00D45645" w:rsidRDefault="003907B0" w:rsidP="003907B0">
            <w:pPr>
              <w:pStyle w:val="CETBodytext"/>
              <w:ind w:right="-1"/>
              <w:rPr>
                <w:rFonts w:cs="Arial"/>
                <w:szCs w:val="18"/>
                <w:lang w:val="en-GB"/>
              </w:rPr>
            </w:pPr>
            <w:r>
              <w:rPr>
                <w:rFonts w:cs="Arial"/>
                <w:szCs w:val="18"/>
                <w:lang w:val="en-GB"/>
              </w:rPr>
              <w:t>2.46</w:t>
            </w:r>
          </w:p>
        </w:tc>
        <w:tc>
          <w:tcPr>
            <w:tcW w:w="1134" w:type="dxa"/>
            <w:tcBorders>
              <w:bottom w:val="single" w:sz="4" w:space="0" w:color="auto"/>
            </w:tcBorders>
            <w:shd w:val="clear" w:color="auto" w:fill="FFFFFF"/>
          </w:tcPr>
          <w:p w14:paraId="2A049B0C" w14:textId="724B97ED" w:rsidR="00D45645" w:rsidRDefault="003907B0" w:rsidP="003907B0">
            <w:pPr>
              <w:pStyle w:val="CETBodytext"/>
              <w:ind w:right="-1"/>
              <w:rPr>
                <w:rFonts w:cs="Arial"/>
                <w:szCs w:val="18"/>
                <w:lang w:val="en-GB"/>
              </w:rPr>
            </w:pPr>
            <w:r>
              <w:rPr>
                <w:rFonts w:cs="Arial"/>
                <w:szCs w:val="18"/>
                <w:lang w:val="en-GB"/>
              </w:rPr>
              <w:t>1.71</w:t>
            </w:r>
          </w:p>
        </w:tc>
        <w:tc>
          <w:tcPr>
            <w:tcW w:w="451" w:type="dxa"/>
            <w:tcBorders>
              <w:bottom w:val="single" w:sz="4" w:space="0" w:color="auto"/>
            </w:tcBorders>
            <w:shd w:val="clear" w:color="auto" w:fill="FFFFFF"/>
          </w:tcPr>
          <w:p w14:paraId="0DBCE77D" w14:textId="7A34133F" w:rsidR="00D45645" w:rsidRDefault="003907B0" w:rsidP="003907B0">
            <w:pPr>
              <w:pStyle w:val="CETBodytext"/>
              <w:ind w:right="-1"/>
              <w:rPr>
                <w:rFonts w:cs="Arial"/>
                <w:szCs w:val="18"/>
                <w:lang w:val="en-GB"/>
              </w:rPr>
            </w:pPr>
            <w:r>
              <w:rPr>
                <w:rFonts w:cs="Arial"/>
                <w:szCs w:val="18"/>
                <w:lang w:val="en-GB"/>
              </w:rPr>
              <w:t>0.00</w:t>
            </w:r>
          </w:p>
        </w:tc>
      </w:tr>
      <w:tr w:rsidR="00D45645" w:rsidRPr="00B57B36" w14:paraId="0216BC80" w14:textId="77777777" w:rsidTr="00CE4067">
        <w:tc>
          <w:tcPr>
            <w:tcW w:w="1134" w:type="dxa"/>
            <w:tcBorders>
              <w:top w:val="single" w:sz="4" w:space="0" w:color="auto"/>
              <w:bottom w:val="single" w:sz="4" w:space="0" w:color="auto"/>
            </w:tcBorders>
            <w:shd w:val="clear" w:color="auto" w:fill="FFFFFF"/>
          </w:tcPr>
          <w:p w14:paraId="3BEF06ED" w14:textId="77777777" w:rsidR="00D45645" w:rsidRPr="00D45645" w:rsidRDefault="00D45645" w:rsidP="00CE4067">
            <w:pPr>
              <w:pStyle w:val="CETBodytext"/>
              <w:ind w:right="-1"/>
              <w:rPr>
                <w:rFonts w:cs="Arial"/>
                <w:b/>
                <w:bCs/>
                <w:szCs w:val="18"/>
                <w:lang w:val="en-GB"/>
              </w:rPr>
            </w:pPr>
            <w:r w:rsidRPr="00D45645">
              <w:rPr>
                <w:rFonts w:cs="Arial"/>
                <w:b/>
                <w:bCs/>
                <w:szCs w:val="18"/>
                <w:lang w:val="en-GB"/>
              </w:rPr>
              <w:t>Gas yield*</w:t>
            </w:r>
          </w:p>
        </w:tc>
        <w:tc>
          <w:tcPr>
            <w:tcW w:w="1134" w:type="dxa"/>
            <w:tcBorders>
              <w:top w:val="single" w:sz="4" w:space="0" w:color="auto"/>
              <w:bottom w:val="single" w:sz="4" w:space="0" w:color="auto"/>
            </w:tcBorders>
            <w:shd w:val="clear" w:color="auto" w:fill="FFFFFF"/>
          </w:tcPr>
          <w:p w14:paraId="5BE9887D" w14:textId="733BA28B" w:rsidR="00D45645" w:rsidRDefault="003907B0" w:rsidP="00CE4067">
            <w:pPr>
              <w:pStyle w:val="CETBodytext"/>
              <w:ind w:right="-1"/>
              <w:rPr>
                <w:rFonts w:cs="Arial"/>
                <w:szCs w:val="18"/>
                <w:lang w:val="en-GB"/>
              </w:rPr>
            </w:pPr>
            <w:r>
              <w:rPr>
                <w:rFonts w:cs="Arial"/>
                <w:szCs w:val="18"/>
                <w:lang w:val="en-GB"/>
              </w:rPr>
              <w:t>9</w:t>
            </w:r>
          </w:p>
        </w:tc>
        <w:tc>
          <w:tcPr>
            <w:tcW w:w="1134" w:type="dxa"/>
            <w:tcBorders>
              <w:top w:val="single" w:sz="4" w:space="0" w:color="auto"/>
              <w:bottom w:val="single" w:sz="4" w:space="0" w:color="auto"/>
            </w:tcBorders>
            <w:shd w:val="clear" w:color="auto" w:fill="FFFFFF"/>
          </w:tcPr>
          <w:p w14:paraId="29260DCF" w14:textId="257E8686" w:rsidR="00D45645" w:rsidRDefault="003907B0" w:rsidP="00CE4067">
            <w:pPr>
              <w:pStyle w:val="CETBodytext"/>
              <w:ind w:right="-1"/>
              <w:rPr>
                <w:rFonts w:cs="Arial"/>
                <w:szCs w:val="18"/>
                <w:lang w:val="en-GB"/>
              </w:rPr>
            </w:pPr>
            <w:r>
              <w:rPr>
                <w:rFonts w:cs="Arial"/>
                <w:szCs w:val="18"/>
                <w:lang w:val="en-GB"/>
              </w:rPr>
              <w:t>10</w:t>
            </w:r>
          </w:p>
        </w:tc>
        <w:tc>
          <w:tcPr>
            <w:tcW w:w="1134" w:type="dxa"/>
            <w:tcBorders>
              <w:top w:val="single" w:sz="4" w:space="0" w:color="auto"/>
              <w:bottom w:val="single" w:sz="4" w:space="0" w:color="auto"/>
            </w:tcBorders>
            <w:shd w:val="clear" w:color="auto" w:fill="FFFFFF"/>
          </w:tcPr>
          <w:p w14:paraId="33EC9558" w14:textId="2A9ECE86" w:rsidR="00D45645" w:rsidRDefault="003907B0" w:rsidP="00CE4067">
            <w:pPr>
              <w:pStyle w:val="CETBodytext"/>
              <w:ind w:right="-1"/>
              <w:rPr>
                <w:rFonts w:cs="Arial"/>
                <w:szCs w:val="18"/>
                <w:lang w:val="en-GB"/>
              </w:rPr>
            </w:pPr>
            <w:r>
              <w:rPr>
                <w:rFonts w:cs="Arial"/>
                <w:szCs w:val="18"/>
                <w:lang w:val="en-GB"/>
              </w:rPr>
              <w:t>11</w:t>
            </w:r>
          </w:p>
        </w:tc>
        <w:tc>
          <w:tcPr>
            <w:tcW w:w="1134" w:type="dxa"/>
            <w:tcBorders>
              <w:top w:val="single" w:sz="4" w:space="0" w:color="auto"/>
              <w:bottom w:val="single" w:sz="4" w:space="0" w:color="auto"/>
            </w:tcBorders>
            <w:shd w:val="clear" w:color="auto" w:fill="FFFFFF"/>
          </w:tcPr>
          <w:p w14:paraId="162A0DF7" w14:textId="4F47FEC1" w:rsidR="00D45645" w:rsidRDefault="003907B0" w:rsidP="00CE4067">
            <w:pPr>
              <w:pStyle w:val="CETBodytext"/>
              <w:ind w:right="-1"/>
              <w:rPr>
                <w:rFonts w:cs="Arial"/>
                <w:szCs w:val="18"/>
                <w:lang w:val="en-GB"/>
              </w:rPr>
            </w:pPr>
            <w:r>
              <w:rPr>
                <w:rFonts w:cs="Arial"/>
                <w:szCs w:val="18"/>
                <w:lang w:val="en-GB"/>
              </w:rPr>
              <w:t>12</w:t>
            </w:r>
          </w:p>
        </w:tc>
        <w:tc>
          <w:tcPr>
            <w:tcW w:w="451" w:type="dxa"/>
            <w:tcBorders>
              <w:top w:val="single" w:sz="4" w:space="0" w:color="auto"/>
              <w:bottom w:val="single" w:sz="4" w:space="0" w:color="auto"/>
            </w:tcBorders>
            <w:shd w:val="clear" w:color="auto" w:fill="FFFFFF"/>
          </w:tcPr>
          <w:p w14:paraId="66666AA9" w14:textId="207DDCC1" w:rsidR="00D45645" w:rsidRDefault="003907B0" w:rsidP="00CE4067">
            <w:pPr>
              <w:pStyle w:val="CETBodytext"/>
              <w:ind w:right="-1"/>
              <w:rPr>
                <w:rFonts w:cs="Arial"/>
                <w:szCs w:val="18"/>
                <w:lang w:val="en-GB"/>
              </w:rPr>
            </w:pPr>
            <w:r>
              <w:rPr>
                <w:rFonts w:cs="Arial"/>
                <w:szCs w:val="18"/>
                <w:lang w:val="en-GB"/>
              </w:rPr>
              <w:t>13</w:t>
            </w:r>
          </w:p>
        </w:tc>
      </w:tr>
      <w:tr w:rsidR="00D45645" w:rsidRPr="00B57B36" w14:paraId="1898E700" w14:textId="77777777" w:rsidTr="00CE4067">
        <w:tc>
          <w:tcPr>
            <w:tcW w:w="1134" w:type="dxa"/>
            <w:tcBorders>
              <w:top w:val="single" w:sz="4" w:space="0" w:color="auto"/>
              <w:bottom w:val="single" w:sz="12" w:space="0" w:color="008000"/>
            </w:tcBorders>
            <w:shd w:val="clear" w:color="auto" w:fill="FFFFFF"/>
          </w:tcPr>
          <w:p w14:paraId="3D4A2B94" w14:textId="77777777" w:rsidR="00D45645" w:rsidRPr="00D45645" w:rsidRDefault="00D45645" w:rsidP="00CE4067">
            <w:pPr>
              <w:pStyle w:val="CETBodytext"/>
              <w:ind w:right="-1"/>
              <w:rPr>
                <w:rFonts w:cs="Arial"/>
                <w:b/>
                <w:bCs/>
                <w:szCs w:val="18"/>
                <w:lang w:val="en-GB"/>
              </w:rPr>
            </w:pPr>
            <w:r w:rsidRPr="00D45645">
              <w:rPr>
                <w:rFonts w:cs="Arial"/>
                <w:b/>
                <w:bCs/>
                <w:szCs w:val="18"/>
                <w:lang w:val="en-GB"/>
              </w:rPr>
              <w:t>LHV [MJ/kg]</w:t>
            </w:r>
          </w:p>
        </w:tc>
        <w:tc>
          <w:tcPr>
            <w:tcW w:w="1134" w:type="dxa"/>
            <w:tcBorders>
              <w:top w:val="single" w:sz="4" w:space="0" w:color="auto"/>
              <w:bottom w:val="single" w:sz="12" w:space="0" w:color="008000"/>
            </w:tcBorders>
            <w:shd w:val="clear" w:color="auto" w:fill="FFFFFF"/>
          </w:tcPr>
          <w:p w14:paraId="6176A5A2" w14:textId="64E22EFD" w:rsidR="00D45645" w:rsidRDefault="0029717F" w:rsidP="00CE4067">
            <w:pPr>
              <w:pStyle w:val="CETBodytext"/>
              <w:ind w:right="-1"/>
              <w:rPr>
                <w:rFonts w:cs="Arial"/>
                <w:szCs w:val="18"/>
                <w:lang w:val="en-GB"/>
              </w:rPr>
            </w:pPr>
            <w:r>
              <w:rPr>
                <w:rFonts w:cs="Arial"/>
                <w:szCs w:val="18"/>
                <w:lang w:val="en-GB"/>
              </w:rPr>
              <w:t>24</w:t>
            </w:r>
          </w:p>
        </w:tc>
        <w:tc>
          <w:tcPr>
            <w:tcW w:w="1134" w:type="dxa"/>
            <w:tcBorders>
              <w:top w:val="single" w:sz="4" w:space="0" w:color="auto"/>
              <w:bottom w:val="single" w:sz="12" w:space="0" w:color="008000"/>
            </w:tcBorders>
            <w:shd w:val="clear" w:color="auto" w:fill="FFFFFF"/>
          </w:tcPr>
          <w:p w14:paraId="1FBD12AB" w14:textId="4428DC60" w:rsidR="00D45645" w:rsidRDefault="0029717F" w:rsidP="00CE4067">
            <w:pPr>
              <w:pStyle w:val="CETBodytext"/>
              <w:ind w:right="-1"/>
              <w:rPr>
                <w:rFonts w:cs="Arial"/>
                <w:szCs w:val="18"/>
                <w:lang w:val="en-GB"/>
              </w:rPr>
            </w:pPr>
            <w:r>
              <w:rPr>
                <w:rFonts w:cs="Arial"/>
                <w:szCs w:val="18"/>
                <w:lang w:val="en-GB"/>
              </w:rPr>
              <w:t>22</w:t>
            </w:r>
          </w:p>
        </w:tc>
        <w:tc>
          <w:tcPr>
            <w:tcW w:w="1134" w:type="dxa"/>
            <w:tcBorders>
              <w:top w:val="single" w:sz="4" w:space="0" w:color="auto"/>
              <w:bottom w:val="single" w:sz="12" w:space="0" w:color="008000"/>
            </w:tcBorders>
            <w:shd w:val="clear" w:color="auto" w:fill="FFFFFF"/>
          </w:tcPr>
          <w:p w14:paraId="3381E34B" w14:textId="460B3954" w:rsidR="00D45645" w:rsidRDefault="0029717F" w:rsidP="00CE4067">
            <w:pPr>
              <w:pStyle w:val="CETBodytext"/>
              <w:ind w:right="-1"/>
              <w:rPr>
                <w:rFonts w:cs="Arial"/>
                <w:szCs w:val="18"/>
                <w:lang w:val="en-GB"/>
              </w:rPr>
            </w:pPr>
            <w:r>
              <w:rPr>
                <w:rFonts w:cs="Arial"/>
                <w:szCs w:val="18"/>
                <w:lang w:val="en-GB"/>
              </w:rPr>
              <w:t>18</w:t>
            </w:r>
          </w:p>
        </w:tc>
        <w:tc>
          <w:tcPr>
            <w:tcW w:w="1134" w:type="dxa"/>
            <w:tcBorders>
              <w:top w:val="single" w:sz="4" w:space="0" w:color="auto"/>
              <w:bottom w:val="single" w:sz="12" w:space="0" w:color="008000"/>
            </w:tcBorders>
            <w:shd w:val="clear" w:color="auto" w:fill="FFFFFF"/>
          </w:tcPr>
          <w:p w14:paraId="18F97E6E" w14:textId="7BBAAB0F" w:rsidR="00D45645" w:rsidRDefault="0029717F" w:rsidP="00CE4067">
            <w:pPr>
              <w:pStyle w:val="CETBodytext"/>
              <w:ind w:right="-1"/>
              <w:rPr>
                <w:rFonts w:cs="Arial"/>
                <w:szCs w:val="18"/>
                <w:lang w:val="en-GB"/>
              </w:rPr>
            </w:pPr>
            <w:r>
              <w:rPr>
                <w:rFonts w:cs="Arial"/>
                <w:szCs w:val="18"/>
                <w:lang w:val="en-GB"/>
              </w:rPr>
              <w:t>16</w:t>
            </w:r>
          </w:p>
        </w:tc>
        <w:tc>
          <w:tcPr>
            <w:tcW w:w="451" w:type="dxa"/>
            <w:tcBorders>
              <w:top w:val="single" w:sz="4" w:space="0" w:color="auto"/>
              <w:bottom w:val="single" w:sz="12" w:space="0" w:color="008000"/>
            </w:tcBorders>
            <w:shd w:val="clear" w:color="auto" w:fill="FFFFFF"/>
          </w:tcPr>
          <w:p w14:paraId="3673EEB2" w14:textId="4ED6297C" w:rsidR="00D45645" w:rsidRDefault="0029717F" w:rsidP="00CE4067">
            <w:pPr>
              <w:pStyle w:val="CETBodytext"/>
              <w:ind w:right="-1"/>
              <w:rPr>
                <w:rFonts w:cs="Arial"/>
                <w:szCs w:val="18"/>
                <w:lang w:val="en-GB"/>
              </w:rPr>
            </w:pPr>
            <w:r>
              <w:rPr>
                <w:rFonts w:cs="Arial"/>
                <w:szCs w:val="18"/>
                <w:lang w:val="en-GB"/>
              </w:rPr>
              <w:t>12</w:t>
            </w:r>
          </w:p>
        </w:tc>
      </w:tr>
    </w:tbl>
    <w:p w14:paraId="3CE2B7A7" w14:textId="77777777" w:rsidR="00D45645" w:rsidRPr="007A1627" w:rsidRDefault="00D45645" w:rsidP="00D45645">
      <w:pPr>
        <w:pStyle w:val="CETBodytext"/>
      </w:pPr>
      <w:r>
        <w:t>*</w:t>
      </w:r>
      <w:proofErr w:type="gramStart"/>
      <w:r>
        <w:t>expressed</w:t>
      </w:r>
      <w:proofErr w:type="gramEnd"/>
      <w:r>
        <w:t xml:space="preserve"> in </w:t>
      </w:r>
      <w:proofErr w:type="spellStart"/>
      <w:r>
        <w:t>wt</w:t>
      </w:r>
      <w:proofErr w:type="spellEnd"/>
      <w:r>
        <w:t>%.</w:t>
      </w:r>
    </w:p>
    <w:p w14:paraId="00BDA0EB" w14:textId="77777777" w:rsidR="007A1627" w:rsidRPr="007A1627" w:rsidRDefault="007A1627" w:rsidP="007A1627">
      <w:pPr>
        <w:pStyle w:val="CETBodytext"/>
      </w:pPr>
    </w:p>
    <w:p w14:paraId="05D308C1" w14:textId="3B46EE07" w:rsidR="007A1627" w:rsidRPr="007A1627" w:rsidRDefault="007A1627" w:rsidP="007A1627">
      <w:pPr>
        <w:pStyle w:val="CETBodytext"/>
      </w:pPr>
      <w:r w:rsidRPr="007A1627">
        <w:t xml:space="preserve">The enhanced </w:t>
      </w:r>
      <w:r w:rsidR="0029717F">
        <w:t>H</w:t>
      </w:r>
      <w:r w:rsidR="0029717F" w:rsidRPr="0029717F">
        <w:rPr>
          <w:vertAlign w:val="subscript"/>
        </w:rPr>
        <w:t>2</w:t>
      </w:r>
      <w:r w:rsidRPr="007A1627">
        <w:t xml:space="preserve"> generation observed during microwave-assisted pyrolysis (MAP) arises from the combined effect of several interacting mechanisms. The formation of localized high-temperature zones promotes the cleavage of C</w:t>
      </w:r>
      <w:r w:rsidR="0029717F">
        <w:t>-</w:t>
      </w:r>
      <w:r w:rsidRPr="007A1627">
        <w:t>H bonds, leading to the production of reactive hydrogen radicals (H•) that subsequently recombine into molecular hydrogen (H</w:t>
      </w:r>
      <w:r w:rsidRPr="007A1627">
        <w:rPr>
          <w:rFonts w:ascii="Cambria Math" w:hAnsi="Cambria Math" w:cs="Cambria Math"/>
        </w:rPr>
        <w:t>₂</w:t>
      </w:r>
      <w:r w:rsidRPr="007A1627">
        <w:t>). Simultaneously, the rapid and volumetric heating characteristic of MAP favors endothermic pathways such as dehydrogenation, steam reforming, and the water–gas shift reaction, which are further supported by the inherent moisture present in biomass and residual char</w:t>
      </w:r>
      <w:r w:rsidR="00FA040C">
        <w:t>, used as susceptor</w:t>
      </w:r>
      <w:r w:rsidRPr="007A1627">
        <w:t>.</w:t>
      </w:r>
    </w:p>
    <w:p w14:paraId="0C037C21" w14:textId="637B0D63" w:rsidR="007A1627" w:rsidRPr="007A1627" w:rsidRDefault="007A1627" w:rsidP="007A1627">
      <w:pPr>
        <w:pStyle w:val="CETBodytext"/>
      </w:pPr>
      <w:r w:rsidRPr="007A1627">
        <w:t xml:space="preserve">Compared to conventional heating, the reduced residence time of intermediates under MAP limits secondary recombination and char-forming reactions, thereby enhancing volatile release and promoting gas-phase transformations. </w:t>
      </w:r>
    </w:p>
    <w:p w14:paraId="7CBDBCCF" w14:textId="3D22B052" w:rsidR="007A1627" w:rsidRPr="007A1627" w:rsidRDefault="007A1627" w:rsidP="007A1627">
      <w:pPr>
        <w:pStyle w:val="CETBodytext"/>
      </w:pPr>
      <w:r w:rsidRPr="007A1627">
        <w:t>Further evidence of these mechanisms is provided by char</w:t>
      </w:r>
      <w:r w:rsidR="00FA040C">
        <w:t>coal-susceptor</w:t>
      </w:r>
      <w:r w:rsidRPr="007A1627">
        <w:t xml:space="preserve"> gasification experiments conducted under microwave conditions, which highlight the </w:t>
      </w:r>
      <w:r w:rsidR="00FA040C">
        <w:t>effect</w:t>
      </w:r>
      <w:r w:rsidRPr="007A1627">
        <w:t xml:space="preserve"> of stea</w:t>
      </w:r>
      <w:r w:rsidR="00FA040C">
        <w:t>m-</w:t>
      </w:r>
      <w:r w:rsidRPr="007A1627">
        <w:t>carbon reactions. These tests</w:t>
      </w:r>
      <w:r w:rsidR="00FA040C">
        <w:t xml:space="preserve">, performed by using only charcoal, </w:t>
      </w:r>
      <w:r w:rsidRPr="007A1627">
        <w:t xml:space="preserve">produced </w:t>
      </w:r>
      <w:r w:rsidR="00542021" w:rsidRPr="007A1627">
        <w:t>syngas</w:t>
      </w:r>
      <w:r w:rsidRPr="007A1627">
        <w:t xml:space="preserve"> characterized by high </w:t>
      </w:r>
      <w:r w:rsidR="00FA040C">
        <w:t>H</w:t>
      </w:r>
      <w:r w:rsidR="00FA040C" w:rsidRPr="00FA040C">
        <w:rPr>
          <w:vertAlign w:val="subscript"/>
        </w:rPr>
        <w:t>2</w:t>
      </w:r>
      <w:r w:rsidRPr="007A1627">
        <w:t xml:space="preserve"> content (up to </w:t>
      </w:r>
      <w:r w:rsidR="00FA040C">
        <w:t>60</w:t>
      </w:r>
      <w:r w:rsidRPr="007A1627">
        <w:t xml:space="preserve"> vol%) and </w:t>
      </w:r>
      <w:r w:rsidR="00FA040C">
        <w:t>CO</w:t>
      </w:r>
      <w:r w:rsidRPr="007A1627">
        <w:t xml:space="preserve">, with only </w:t>
      </w:r>
      <w:r w:rsidR="00FA040C">
        <w:t>few</w:t>
      </w:r>
      <w:r w:rsidRPr="007A1627">
        <w:t xml:space="preserve"> amounts of CO</w:t>
      </w:r>
      <w:r w:rsidR="00FA040C" w:rsidRPr="00FA040C">
        <w:rPr>
          <w:vertAlign w:val="subscript"/>
        </w:rPr>
        <w:t>2</w:t>
      </w:r>
      <w:r w:rsidRPr="007A1627">
        <w:t xml:space="preserve">. The agreement between water consumption and hydrogen production observed in mass balance calculations reinforces the role of char-mediated reforming processes. Overall, MAP led to an increase in hydrogen yield of up to 35% while simultaneously reducing </w:t>
      </w:r>
      <w:r w:rsidR="00FA040C" w:rsidRPr="007A1627">
        <w:t>CO</w:t>
      </w:r>
      <w:r w:rsidR="00FA040C" w:rsidRPr="00FA040C">
        <w:rPr>
          <w:vertAlign w:val="subscript"/>
        </w:rPr>
        <w:t>2</w:t>
      </w:r>
      <w:r w:rsidRPr="007A1627">
        <w:t xml:space="preserve"> emissions by nearly 40% compared to conventional pyrolysis, resulting in a cleaner and more application-ready syngas.</w:t>
      </w:r>
    </w:p>
    <w:p w14:paraId="16014253" w14:textId="0C70CA42" w:rsidR="007A1627" w:rsidRPr="007A1627" w:rsidRDefault="00FA040C" w:rsidP="007A1627">
      <w:pPr>
        <w:pStyle w:val="CETBodytext"/>
      </w:pPr>
      <w:r w:rsidRPr="007A1627">
        <w:t>In addition, synergistic interactions between hydrogen-rich compounds derived from plastics and oxygenated species originating from biomass facilitate deoxygenation reactions, contributing to lower CO</w:t>
      </w:r>
      <w:r w:rsidRPr="007A1627">
        <w:rPr>
          <w:rFonts w:ascii="Cambria Math" w:hAnsi="Cambria Math" w:cs="Cambria Math"/>
        </w:rPr>
        <w:t>₂</w:t>
      </w:r>
      <w:r w:rsidRPr="007A1627">
        <w:t xml:space="preserve"> formation and </w:t>
      </w:r>
      <w:r>
        <w:t>improving</w:t>
      </w:r>
      <w:r w:rsidRPr="007A1627">
        <w:t xml:space="preserve"> syngas composition.</w:t>
      </w:r>
      <w:r>
        <w:t xml:space="preserve"> Indeed</w:t>
      </w:r>
      <w:r w:rsidR="007A1627" w:rsidRPr="007A1627">
        <w:t xml:space="preserve">, the co-pyrolysis of biomass and plastics exhibits distinctly non-linear behavior, indicating the presence of synergistic effects. The gas yields obtained from mixed feedstocks </w:t>
      </w:r>
      <w:r>
        <w:t>overcome</w:t>
      </w:r>
      <w:r w:rsidR="007A1627" w:rsidRPr="007A1627">
        <w:t xml:space="preserve"> those predicted by simple additive models based on the individual components. For example, mixtures containing 70 </w:t>
      </w:r>
      <w:proofErr w:type="spellStart"/>
      <w:r w:rsidR="007A1627" w:rsidRPr="007A1627">
        <w:t>wt</w:t>
      </w:r>
      <w:proofErr w:type="spellEnd"/>
      <w:r w:rsidR="007A1627" w:rsidRPr="007A1627">
        <w:t xml:space="preserve">% plastic and 30 </w:t>
      </w:r>
      <w:proofErr w:type="spellStart"/>
      <w:r w:rsidR="007A1627" w:rsidRPr="007A1627">
        <w:t>wt</w:t>
      </w:r>
      <w:proofErr w:type="spellEnd"/>
      <w:r w:rsidR="007A1627" w:rsidRPr="007A1627">
        <w:t>% biomass show higher gas production and enhanced hydrogen concentration than either feedstock processed independently</w:t>
      </w:r>
      <w:r>
        <w:t xml:space="preserve"> by using those specific amounts</w:t>
      </w:r>
      <w:r w:rsidR="007A1627" w:rsidRPr="007A1627">
        <w:t>. This phenomenon can be attributed to the complementary roles of the two materials: plastics supply hydrogen-rich volatiles that enhance cracking and deoxygenation reactions, while biomass improves heat distribution within the reactor bed and mitigates operational challenges such as agglomeration and coke formation. In contrast, conventional single-stage thermal processes display weaker synergy due to slower heat transfer and less uniform temperature profiles, which limit effective interactions between feedstock components.</w:t>
      </w:r>
    </w:p>
    <w:p w14:paraId="70E70326" w14:textId="77777777" w:rsidR="002D3714" w:rsidRDefault="002D3714" w:rsidP="002D3714">
      <w:pPr>
        <w:pStyle w:val="CETBodytext"/>
      </w:pPr>
    </w:p>
    <w:p w14:paraId="0E6408E3" w14:textId="17569C7E" w:rsidR="00542021" w:rsidRDefault="00542021" w:rsidP="00542021">
      <w:pPr>
        <w:pStyle w:val="CETHeading1"/>
      </w:pPr>
      <w:r>
        <w:t>Conclusions</w:t>
      </w:r>
    </w:p>
    <w:p w14:paraId="1767FB86" w14:textId="7A9B783D" w:rsidR="00542021" w:rsidRDefault="00542021" w:rsidP="00542021">
      <w:pPr>
        <w:pStyle w:val="CETBodytext"/>
      </w:pPr>
      <w:r>
        <w:t xml:space="preserve">The comparison between one-stage conventional pyrolysis and microwave assisted pyrolysis showed significant differences in product distribution and overall performance. Although conventional pyrolysis is a well-established and widely adopted technology, it suffers from several limitations, such as slow heat transfer, thermal gradients and limited efficiency in converting heterogeneous feedstock (such </w:t>
      </w:r>
      <w:proofErr w:type="gramStart"/>
      <w:r>
        <w:t>as,</w:t>
      </w:r>
      <w:proofErr w:type="gramEnd"/>
      <w:r>
        <w:t xml:space="preserve"> biomass and plastic) in hydrogen-rich syngas. Indeed, it tends to produce higher liquid yields rich in heavy hydrocarbons, along with increased char formation and less control over reaction pathways. </w:t>
      </w:r>
    </w:p>
    <w:p w14:paraId="0B2909D1" w14:textId="77777777" w:rsidR="00542021" w:rsidRDefault="00542021" w:rsidP="00542021">
      <w:pPr>
        <w:pStyle w:val="CETBodytext"/>
      </w:pPr>
      <w:r>
        <w:t xml:space="preserve">By contrast, microwave-assisted pyrolysis offers several advantages due to its ability to promote </w:t>
      </w:r>
      <w:proofErr w:type="gramStart"/>
      <w:r>
        <w:t>a rapid</w:t>
      </w:r>
      <w:proofErr w:type="gramEnd"/>
      <w:r>
        <w:t xml:space="preserve"> volumetric heating, leading to a more homogeneous temperature profiles, faster reaction kinetics, and shorter </w:t>
      </w:r>
      <w:r>
        <w:lastRenderedPageBreak/>
        <w:t xml:space="preserve">residence times. Under these operative conditions, gas production is enhanced and syngas quality </w:t>
      </w:r>
      <w:proofErr w:type="gramStart"/>
      <w:r>
        <w:t>improves;</w:t>
      </w:r>
      <w:proofErr w:type="gramEnd"/>
      <w:r>
        <w:t xml:space="preserve"> i.e., the resulting H</w:t>
      </w:r>
      <w:r w:rsidRPr="00542021">
        <w:rPr>
          <w:vertAlign w:val="subscript"/>
        </w:rPr>
        <w:t>2</w:t>
      </w:r>
      <w:r>
        <w:t xml:space="preserve"> enrichment and favorable H</w:t>
      </w:r>
      <w:r w:rsidRPr="00542021">
        <w:rPr>
          <w:vertAlign w:val="subscript"/>
        </w:rPr>
        <w:t>2</w:t>
      </w:r>
      <w:r>
        <w:t>/CO ratios highlight the suitability of this process for downstream applications, including synthetic fuel production.</w:t>
      </w:r>
    </w:p>
    <w:p w14:paraId="406A4B00" w14:textId="77777777" w:rsidR="00542021" w:rsidRDefault="00542021" w:rsidP="00542021">
      <w:pPr>
        <w:pStyle w:val="CETBodytext"/>
      </w:pPr>
      <w:r>
        <w:t>The composition of the liquid fraction further supports the benefits of microwave heating, as it promotes more extensive cracking reactions and thus favors the formation of lighter, higher-value hydrocarbons compared to the heavier waxes typically associated with conventional processes. At the same time, char yields are generally reduced, although their characteristics remain dependent on both feedstock composition and operating parameters.</w:t>
      </w:r>
    </w:p>
    <w:p w14:paraId="48CC220E" w14:textId="77777777" w:rsidR="00542021" w:rsidRDefault="00542021" w:rsidP="00542021">
      <w:pPr>
        <w:pStyle w:val="CETBodytext"/>
      </w:pPr>
      <w:r>
        <w:t>A key finding of this work is the presence of synergistic interactions during the co-pyrolysis of biomass and plastics under microwave conditions; otherwise, they are completely absent during conventional pyrolysis. These interactions contribute to enhanced product quality, underlying the importance of feedstock coupling in process optimization. Microwave-assisted systems also appear more energetically efficient due to lower heat losses and more effective energy transfer. In environmental terms, reduced greenhouse gas emissions and the generation of cleaner, hydrogen-rich syngas further strengthen the case for this technology.</w:t>
      </w:r>
    </w:p>
    <w:p w14:paraId="3A84059D" w14:textId="0A9A919D" w:rsidR="00542021" w:rsidRDefault="00542021" w:rsidP="00542021">
      <w:pPr>
        <w:pStyle w:val="CETBodytext"/>
      </w:pPr>
      <w:r>
        <w:t>Despite these advantages, several challenges must still be addressed before large-scale implementation becomes feasible. These include reactor design, scale-up constraints, and the need for suitable microwave absorbers when processing materials with low dielectric properties, such as many plastics. Overall, however, the results indicate that microwave-assisted pyrolysis is a promising alternative to conventional methods, with considerable potential for supporting sustainable waste valorization and advancing circular energy systems.</w:t>
      </w:r>
    </w:p>
    <w:p w14:paraId="5419BD89" w14:textId="77777777" w:rsidR="00712B0A" w:rsidRDefault="00712B0A" w:rsidP="00712B0A">
      <w:pPr>
        <w:pStyle w:val="CETReferencetext"/>
      </w:pPr>
    </w:p>
    <w:p w14:paraId="131B240F" w14:textId="30CA187A" w:rsidR="00712B0A" w:rsidRDefault="00712B0A" w:rsidP="00712B0A">
      <w:pPr>
        <w:pStyle w:val="CETReferencetext"/>
      </w:pPr>
      <w:r w:rsidRPr="00FB64FD">
        <w:t>Kan T.</w:t>
      </w:r>
      <w:r>
        <w:t>,</w:t>
      </w:r>
      <w:r w:rsidRPr="00FB64FD">
        <w:t xml:space="preserve"> </w:t>
      </w:r>
      <w:proofErr w:type="spellStart"/>
      <w:r w:rsidRPr="00FB64FD">
        <w:t>Strezov</w:t>
      </w:r>
      <w:proofErr w:type="spellEnd"/>
      <w:r w:rsidRPr="00FB64FD">
        <w:t xml:space="preserve"> V.</w:t>
      </w:r>
      <w:r>
        <w:t>,</w:t>
      </w:r>
      <w:r w:rsidRPr="00FB64FD">
        <w:t xml:space="preserve"> Evans T.J.</w:t>
      </w:r>
      <w:r>
        <w:t>,</w:t>
      </w:r>
      <w:r w:rsidRPr="00FB64FD">
        <w:t xml:space="preserve"> Lignocellulosic Biomass Pyrolysis: A Review of Product Properties and Effects of Pyrolysis Parameters</w:t>
      </w:r>
      <w:r>
        <w:t>,</w:t>
      </w:r>
      <w:r w:rsidRPr="00FB64FD">
        <w:t xml:space="preserve"> Renewable and Sustainable Energy Reviews, 57, 1126–1140.</w:t>
      </w:r>
      <w:r>
        <w:t xml:space="preserve"> </w:t>
      </w:r>
    </w:p>
    <w:p w14:paraId="13431A1C" w14:textId="77777777" w:rsidR="00712B0A" w:rsidRDefault="00712B0A" w:rsidP="00712B0A">
      <w:pPr>
        <w:pStyle w:val="CETReferencetext"/>
      </w:pPr>
      <w:r w:rsidRPr="00BA7DD9">
        <w:t>Nath B.</w:t>
      </w:r>
      <w:r>
        <w:t>,</w:t>
      </w:r>
      <w:r w:rsidRPr="00BA7DD9">
        <w:t xml:space="preserve"> Chen G.</w:t>
      </w:r>
      <w:r>
        <w:t>,</w:t>
      </w:r>
      <w:r w:rsidRPr="00BA7DD9">
        <w:t xml:space="preserve"> Bowtell L.</w:t>
      </w:r>
      <w:r>
        <w:t>,</w:t>
      </w:r>
      <w:r w:rsidRPr="00BA7DD9">
        <w:t xml:space="preserve"> Nguyen-Huy T.</w:t>
      </w:r>
      <w:r>
        <w:t>,</w:t>
      </w:r>
      <w:r w:rsidRPr="00BA7DD9">
        <w:t xml:space="preserve"> Pyrolysis of Wheat Straw Pellets in a Pilot-scale Reactor: Effect of Temperature and Residence Time</w:t>
      </w:r>
      <w:r>
        <w:t xml:space="preserve">, </w:t>
      </w:r>
      <w:r w:rsidRPr="00BA7DD9">
        <w:t>Energy Science &amp; Engineering,12, 3524–3539.</w:t>
      </w:r>
      <w:r>
        <w:t xml:space="preserve"> </w:t>
      </w:r>
    </w:p>
    <w:p w14:paraId="104D62AA" w14:textId="77777777" w:rsidR="00712B0A" w:rsidRDefault="00712B0A" w:rsidP="00712B0A">
      <w:pPr>
        <w:pStyle w:val="CETReferencetext"/>
      </w:pPr>
      <w:r w:rsidRPr="00A855C9">
        <w:t>Saifuddin N.</w:t>
      </w:r>
      <w:r>
        <w:t>,</w:t>
      </w:r>
      <w:r w:rsidRPr="00A855C9">
        <w:t xml:space="preserve"> </w:t>
      </w:r>
      <w:proofErr w:type="spellStart"/>
      <w:r w:rsidRPr="00A855C9">
        <w:t>Priatharsini</w:t>
      </w:r>
      <w:proofErr w:type="spellEnd"/>
      <w:r w:rsidRPr="00A855C9">
        <w:t xml:space="preserve"> P.</w:t>
      </w:r>
      <w:r>
        <w:t>,</w:t>
      </w:r>
      <w:r w:rsidRPr="00A855C9">
        <w:t xml:space="preserve"> Hakim S.B.</w:t>
      </w:r>
      <w:r>
        <w:t>,</w:t>
      </w:r>
      <w:r w:rsidRPr="00A855C9">
        <w:t xml:space="preserve"> Microwave-Assisted Co-Pyrolysis of Bamboo Biomass with Plastic Waste for Hydrogen-Rich Syngas Production</w:t>
      </w:r>
      <w:r>
        <w:t>,</w:t>
      </w:r>
      <w:r w:rsidRPr="00A855C9">
        <w:t xml:space="preserve"> American Journal of Applied Sciences, 13, 511–521. </w:t>
      </w:r>
    </w:p>
    <w:p w14:paraId="03CED9F8" w14:textId="77777777" w:rsidR="00712B0A" w:rsidRDefault="00712B0A" w:rsidP="00712B0A">
      <w:pPr>
        <w:pStyle w:val="CETReferencetext"/>
      </w:pPr>
      <w:r w:rsidRPr="00FB64FD">
        <w:rPr>
          <w:lang w:val="en-US"/>
        </w:rPr>
        <w:t xml:space="preserve">Guastaferro M., Vaccari M., Rossi F., </w:t>
      </w:r>
      <w:proofErr w:type="spellStart"/>
      <w:r w:rsidRPr="00FB64FD">
        <w:rPr>
          <w:lang w:val="en-US"/>
        </w:rPr>
        <w:t>Tognotti</w:t>
      </w:r>
      <w:proofErr w:type="spellEnd"/>
      <w:r w:rsidRPr="00FB64FD">
        <w:rPr>
          <w:lang w:val="en-US"/>
        </w:rPr>
        <w:t xml:space="preserve"> </w:t>
      </w:r>
      <w:proofErr w:type="gramStart"/>
      <w:r w:rsidRPr="00FB64FD">
        <w:rPr>
          <w:lang w:val="en-US"/>
        </w:rPr>
        <w:t>L.,</w:t>
      </w:r>
      <w:proofErr w:type="gramEnd"/>
      <w:r w:rsidRPr="00FB64FD">
        <w:rPr>
          <w:lang w:val="en-US"/>
        </w:rPr>
        <w:t xml:space="preserve"> How bubbles formation and growth affect plastic pyrolysis process: A phenomenological investigation through dimensionless numbers</w:t>
      </w:r>
      <w:r>
        <w:rPr>
          <w:lang w:val="en-US"/>
        </w:rPr>
        <w:t xml:space="preserve">, </w:t>
      </w:r>
      <w:r w:rsidRPr="00FB64FD">
        <w:t>Chemical Engineering Journal</w:t>
      </w:r>
      <w:r>
        <w:t>,</w:t>
      </w:r>
      <w:r w:rsidRPr="00FB64FD">
        <w:t xml:space="preserve"> 519, 165598</w:t>
      </w:r>
      <w:r>
        <w:t xml:space="preserve">. </w:t>
      </w:r>
    </w:p>
    <w:p w14:paraId="318CBA23" w14:textId="77777777" w:rsidR="00712B0A" w:rsidRPr="00EC2E16" w:rsidRDefault="00712B0A" w:rsidP="00712B0A">
      <w:pPr>
        <w:pStyle w:val="CETReferencetext"/>
        <w:rPr>
          <w:lang w:val="it-IT"/>
        </w:rPr>
      </w:pPr>
      <w:r w:rsidRPr="00EC2E16">
        <w:rPr>
          <w:lang w:val="it-IT"/>
        </w:rPr>
        <w:t xml:space="preserve">Guastaferro M., Marchetti L., </w:t>
      </w:r>
      <w:r>
        <w:rPr>
          <w:lang w:val="it-IT"/>
        </w:rPr>
        <w:t xml:space="preserve">Baglioni F., Bellucci C., Annunzi F., Vaccari M., </w:t>
      </w:r>
      <w:proofErr w:type="spellStart"/>
      <w:r>
        <w:rPr>
          <w:lang w:val="it-IT"/>
        </w:rPr>
        <w:t>Tognotti</w:t>
      </w:r>
      <w:proofErr w:type="spellEnd"/>
      <w:r>
        <w:rPr>
          <w:lang w:val="it-IT"/>
        </w:rPr>
        <w:t xml:space="preserve"> L., Nicolella C., </w:t>
      </w:r>
      <w:proofErr w:type="spellStart"/>
      <w:r w:rsidRPr="00EC2E16">
        <w:rPr>
          <w:lang w:val="it-IT"/>
        </w:rPr>
        <w:t>Efficient</w:t>
      </w:r>
      <w:proofErr w:type="spellEnd"/>
      <w:r w:rsidRPr="00EC2E16">
        <w:rPr>
          <w:lang w:val="it-IT"/>
        </w:rPr>
        <w:t xml:space="preserve"> syngas generation from </w:t>
      </w:r>
      <w:proofErr w:type="spellStart"/>
      <w:r w:rsidRPr="00EC2E16">
        <w:rPr>
          <w:lang w:val="it-IT"/>
        </w:rPr>
        <w:t>heterogeneous</w:t>
      </w:r>
      <w:proofErr w:type="spellEnd"/>
      <w:r w:rsidRPr="00EC2E16">
        <w:rPr>
          <w:lang w:val="it-IT"/>
        </w:rPr>
        <w:t xml:space="preserve"> </w:t>
      </w:r>
      <w:proofErr w:type="spellStart"/>
      <w:r w:rsidRPr="00EC2E16">
        <w:rPr>
          <w:lang w:val="it-IT"/>
        </w:rPr>
        <w:t>waste</w:t>
      </w:r>
      <w:proofErr w:type="spellEnd"/>
      <w:r w:rsidRPr="00EC2E16">
        <w:rPr>
          <w:lang w:val="it-IT"/>
        </w:rPr>
        <w:t xml:space="preserve"> for low-carbon </w:t>
      </w:r>
      <w:proofErr w:type="spellStart"/>
      <w:r w:rsidRPr="00EC2E16">
        <w:rPr>
          <w:lang w:val="it-IT"/>
        </w:rPr>
        <w:t>methanol</w:t>
      </w:r>
      <w:proofErr w:type="spellEnd"/>
      <w:r w:rsidRPr="00EC2E16">
        <w:rPr>
          <w:lang w:val="it-IT"/>
        </w:rPr>
        <w:t xml:space="preserve"> </w:t>
      </w:r>
      <w:proofErr w:type="spellStart"/>
      <w:r w:rsidRPr="00EC2E16">
        <w:rPr>
          <w:lang w:val="it-IT"/>
        </w:rPr>
        <w:t>synthesis</w:t>
      </w:r>
      <w:proofErr w:type="spellEnd"/>
      <w:r>
        <w:rPr>
          <w:lang w:val="it-IT"/>
        </w:rPr>
        <w:t xml:space="preserve">, Fuel, 420, </w:t>
      </w:r>
      <w:r w:rsidRPr="00EC2E16">
        <w:rPr>
          <w:lang w:val="it-IT"/>
        </w:rPr>
        <w:t>138952</w:t>
      </w:r>
      <w:r>
        <w:rPr>
          <w:lang w:val="it-IT"/>
        </w:rPr>
        <w:t xml:space="preserve">. </w:t>
      </w:r>
    </w:p>
    <w:p w14:paraId="7ECDAFA5" w14:textId="77777777" w:rsidR="00712B0A" w:rsidRPr="000D56D6" w:rsidRDefault="00712B0A" w:rsidP="00712B0A">
      <w:pPr>
        <w:pStyle w:val="CETReferencetext"/>
      </w:pPr>
      <w:r>
        <w:t>Hasan M.M., Haque R., Jahirul M.I., Rasul M.G., Pyrolysis of plastic waste for sustainable energy Recovery: Technological advancements and environmental impacts, Energy Conversion and Management, 326, 119511.</w:t>
      </w:r>
    </w:p>
    <w:p w14:paraId="587138BD" w14:textId="77777777" w:rsidR="00542021" w:rsidRPr="00712B0A" w:rsidRDefault="00542021" w:rsidP="00542021">
      <w:pPr>
        <w:pStyle w:val="CETBodytext"/>
        <w:rPr>
          <w:lang w:val="en-GB"/>
        </w:rPr>
      </w:pPr>
    </w:p>
    <w:sectPr w:rsidR="00542021" w:rsidRPr="00712B0A"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E3ED" w14:textId="77777777" w:rsidR="00B107A2" w:rsidRDefault="00B107A2" w:rsidP="004F5E36">
      <w:r>
        <w:separator/>
      </w:r>
    </w:p>
  </w:endnote>
  <w:endnote w:type="continuationSeparator" w:id="0">
    <w:p w14:paraId="174C399C" w14:textId="77777777" w:rsidR="00B107A2" w:rsidRDefault="00B107A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BC88" w14:textId="77777777" w:rsidR="00B107A2" w:rsidRDefault="00B107A2" w:rsidP="004F5E36">
      <w:r>
        <w:separator/>
      </w:r>
    </w:p>
  </w:footnote>
  <w:footnote w:type="continuationSeparator" w:id="0">
    <w:p w14:paraId="74F81788" w14:textId="77777777" w:rsidR="00B107A2" w:rsidRDefault="00B107A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07AC6"/>
    <w:rsid w:val="000117CB"/>
    <w:rsid w:val="0003148D"/>
    <w:rsid w:val="00031EEC"/>
    <w:rsid w:val="00051566"/>
    <w:rsid w:val="000562A9"/>
    <w:rsid w:val="00062A9A"/>
    <w:rsid w:val="00065058"/>
    <w:rsid w:val="00086C39"/>
    <w:rsid w:val="000A03B2"/>
    <w:rsid w:val="000D0268"/>
    <w:rsid w:val="000D34BE"/>
    <w:rsid w:val="000E102F"/>
    <w:rsid w:val="000E36F1"/>
    <w:rsid w:val="000E3A73"/>
    <w:rsid w:val="000E414A"/>
    <w:rsid w:val="000E75FD"/>
    <w:rsid w:val="000F093C"/>
    <w:rsid w:val="000F787B"/>
    <w:rsid w:val="00101F02"/>
    <w:rsid w:val="00103E0C"/>
    <w:rsid w:val="0012091F"/>
    <w:rsid w:val="00124AAD"/>
    <w:rsid w:val="00126BC2"/>
    <w:rsid w:val="001308B6"/>
    <w:rsid w:val="0013121F"/>
    <w:rsid w:val="00131FE6"/>
    <w:rsid w:val="0013263F"/>
    <w:rsid w:val="001331DF"/>
    <w:rsid w:val="00134DE4"/>
    <w:rsid w:val="0014034D"/>
    <w:rsid w:val="00140FE3"/>
    <w:rsid w:val="00142184"/>
    <w:rsid w:val="00144D16"/>
    <w:rsid w:val="00150E59"/>
    <w:rsid w:val="00152DE3"/>
    <w:rsid w:val="00164CF9"/>
    <w:rsid w:val="001667A6"/>
    <w:rsid w:val="00184AD6"/>
    <w:rsid w:val="001A4AF7"/>
    <w:rsid w:val="001B0349"/>
    <w:rsid w:val="001B1E93"/>
    <w:rsid w:val="001B65C1"/>
    <w:rsid w:val="001C260F"/>
    <w:rsid w:val="001C33F1"/>
    <w:rsid w:val="001C684B"/>
    <w:rsid w:val="001D0CFB"/>
    <w:rsid w:val="001D21AF"/>
    <w:rsid w:val="001D53FC"/>
    <w:rsid w:val="001E3340"/>
    <w:rsid w:val="001E6A6A"/>
    <w:rsid w:val="001F42A5"/>
    <w:rsid w:val="001F7B9D"/>
    <w:rsid w:val="00201C93"/>
    <w:rsid w:val="002224B4"/>
    <w:rsid w:val="00240B19"/>
    <w:rsid w:val="002447EF"/>
    <w:rsid w:val="0024599A"/>
    <w:rsid w:val="00251550"/>
    <w:rsid w:val="00263B05"/>
    <w:rsid w:val="0027221A"/>
    <w:rsid w:val="00275B61"/>
    <w:rsid w:val="00280FAF"/>
    <w:rsid w:val="00282656"/>
    <w:rsid w:val="00296B83"/>
    <w:rsid w:val="0029717F"/>
    <w:rsid w:val="002B1319"/>
    <w:rsid w:val="002B4015"/>
    <w:rsid w:val="002B5C01"/>
    <w:rsid w:val="002B78CE"/>
    <w:rsid w:val="002C2FB6"/>
    <w:rsid w:val="002C3D71"/>
    <w:rsid w:val="002D3714"/>
    <w:rsid w:val="002E5FA7"/>
    <w:rsid w:val="002F3309"/>
    <w:rsid w:val="003008CE"/>
    <w:rsid w:val="003009B7"/>
    <w:rsid w:val="00300E56"/>
    <w:rsid w:val="0030152C"/>
    <w:rsid w:val="0030469C"/>
    <w:rsid w:val="0031553C"/>
    <w:rsid w:val="00321CA6"/>
    <w:rsid w:val="00323763"/>
    <w:rsid w:val="00323C5F"/>
    <w:rsid w:val="00334C09"/>
    <w:rsid w:val="003457B8"/>
    <w:rsid w:val="00353C12"/>
    <w:rsid w:val="003723D4"/>
    <w:rsid w:val="00381905"/>
    <w:rsid w:val="00384CC8"/>
    <w:rsid w:val="003871FD"/>
    <w:rsid w:val="003907B0"/>
    <w:rsid w:val="003A1E30"/>
    <w:rsid w:val="003A2829"/>
    <w:rsid w:val="003A3410"/>
    <w:rsid w:val="003A7D1C"/>
    <w:rsid w:val="003B304B"/>
    <w:rsid w:val="003B3146"/>
    <w:rsid w:val="003B4EA5"/>
    <w:rsid w:val="003D1E02"/>
    <w:rsid w:val="003F015E"/>
    <w:rsid w:val="003F2BD6"/>
    <w:rsid w:val="00400414"/>
    <w:rsid w:val="0041446B"/>
    <w:rsid w:val="0044071E"/>
    <w:rsid w:val="0044329C"/>
    <w:rsid w:val="00453E24"/>
    <w:rsid w:val="00457456"/>
    <w:rsid w:val="004577FE"/>
    <w:rsid w:val="00457B9C"/>
    <w:rsid w:val="0046164A"/>
    <w:rsid w:val="004628D2"/>
    <w:rsid w:val="00462DCD"/>
    <w:rsid w:val="004648AD"/>
    <w:rsid w:val="004703A9"/>
    <w:rsid w:val="004760DE"/>
    <w:rsid w:val="004763D7"/>
    <w:rsid w:val="00493EF4"/>
    <w:rsid w:val="00496C8E"/>
    <w:rsid w:val="004A004E"/>
    <w:rsid w:val="004A24CF"/>
    <w:rsid w:val="004A5E57"/>
    <w:rsid w:val="004C194F"/>
    <w:rsid w:val="004C3D1D"/>
    <w:rsid w:val="004C3D84"/>
    <w:rsid w:val="004C7913"/>
    <w:rsid w:val="004E4DD6"/>
    <w:rsid w:val="004F5E36"/>
    <w:rsid w:val="00507B47"/>
    <w:rsid w:val="00507BEF"/>
    <w:rsid w:val="00507CC9"/>
    <w:rsid w:val="005119A5"/>
    <w:rsid w:val="005278B7"/>
    <w:rsid w:val="00527DC9"/>
    <w:rsid w:val="00532016"/>
    <w:rsid w:val="005346C8"/>
    <w:rsid w:val="00540C87"/>
    <w:rsid w:val="00542021"/>
    <w:rsid w:val="00543E7D"/>
    <w:rsid w:val="00547A68"/>
    <w:rsid w:val="005531C9"/>
    <w:rsid w:val="00570C43"/>
    <w:rsid w:val="00580866"/>
    <w:rsid w:val="00592274"/>
    <w:rsid w:val="005B2110"/>
    <w:rsid w:val="005B61E6"/>
    <w:rsid w:val="005C77E1"/>
    <w:rsid w:val="005D668A"/>
    <w:rsid w:val="005D6A2F"/>
    <w:rsid w:val="005E0592"/>
    <w:rsid w:val="005E1A82"/>
    <w:rsid w:val="005E794C"/>
    <w:rsid w:val="005F0A28"/>
    <w:rsid w:val="005F0E5E"/>
    <w:rsid w:val="00600186"/>
    <w:rsid w:val="00600535"/>
    <w:rsid w:val="00610CD6"/>
    <w:rsid w:val="00620DEE"/>
    <w:rsid w:val="00621F92"/>
    <w:rsid w:val="0062280A"/>
    <w:rsid w:val="006231E1"/>
    <w:rsid w:val="00625639"/>
    <w:rsid w:val="00631B33"/>
    <w:rsid w:val="0064184D"/>
    <w:rsid w:val="006422CC"/>
    <w:rsid w:val="00651D18"/>
    <w:rsid w:val="00660E3E"/>
    <w:rsid w:val="00662E74"/>
    <w:rsid w:val="00664F9F"/>
    <w:rsid w:val="00680C23"/>
    <w:rsid w:val="00683E23"/>
    <w:rsid w:val="00693766"/>
    <w:rsid w:val="006A3281"/>
    <w:rsid w:val="006B4888"/>
    <w:rsid w:val="006C2E45"/>
    <w:rsid w:val="006C359C"/>
    <w:rsid w:val="006C5579"/>
    <w:rsid w:val="006D20CB"/>
    <w:rsid w:val="006D6E8B"/>
    <w:rsid w:val="006D7209"/>
    <w:rsid w:val="006E2BDB"/>
    <w:rsid w:val="006E550D"/>
    <w:rsid w:val="006E737D"/>
    <w:rsid w:val="00701503"/>
    <w:rsid w:val="00703306"/>
    <w:rsid w:val="007064F1"/>
    <w:rsid w:val="00707DD1"/>
    <w:rsid w:val="00711C36"/>
    <w:rsid w:val="00712B0A"/>
    <w:rsid w:val="0071315F"/>
    <w:rsid w:val="00713973"/>
    <w:rsid w:val="00720A24"/>
    <w:rsid w:val="00732386"/>
    <w:rsid w:val="0073514D"/>
    <w:rsid w:val="007447F3"/>
    <w:rsid w:val="0075499F"/>
    <w:rsid w:val="007617CC"/>
    <w:rsid w:val="00763BFC"/>
    <w:rsid w:val="007661C8"/>
    <w:rsid w:val="0077098D"/>
    <w:rsid w:val="00785BF9"/>
    <w:rsid w:val="007931FA"/>
    <w:rsid w:val="007A1627"/>
    <w:rsid w:val="007A4861"/>
    <w:rsid w:val="007A7BBA"/>
    <w:rsid w:val="007B0C50"/>
    <w:rsid w:val="007B48F9"/>
    <w:rsid w:val="007C1A43"/>
    <w:rsid w:val="007D0951"/>
    <w:rsid w:val="007F27C8"/>
    <w:rsid w:val="0080013E"/>
    <w:rsid w:val="00813288"/>
    <w:rsid w:val="008168FC"/>
    <w:rsid w:val="00830996"/>
    <w:rsid w:val="008314D7"/>
    <w:rsid w:val="008325FB"/>
    <w:rsid w:val="008345F1"/>
    <w:rsid w:val="00865B07"/>
    <w:rsid w:val="008667EA"/>
    <w:rsid w:val="0087637F"/>
    <w:rsid w:val="0089298F"/>
    <w:rsid w:val="00892AD5"/>
    <w:rsid w:val="008A1512"/>
    <w:rsid w:val="008C2980"/>
    <w:rsid w:val="008D32B9"/>
    <w:rsid w:val="008D433B"/>
    <w:rsid w:val="008D4A16"/>
    <w:rsid w:val="008E1B91"/>
    <w:rsid w:val="008E209A"/>
    <w:rsid w:val="008E45BC"/>
    <w:rsid w:val="008E566E"/>
    <w:rsid w:val="0090161A"/>
    <w:rsid w:val="00901EB6"/>
    <w:rsid w:val="009041F8"/>
    <w:rsid w:val="00904C62"/>
    <w:rsid w:val="0090748E"/>
    <w:rsid w:val="00917082"/>
    <w:rsid w:val="00922BA8"/>
    <w:rsid w:val="00924DAC"/>
    <w:rsid w:val="00927058"/>
    <w:rsid w:val="00942750"/>
    <w:rsid w:val="009450CE"/>
    <w:rsid w:val="009459BB"/>
    <w:rsid w:val="00945E84"/>
    <w:rsid w:val="00947179"/>
    <w:rsid w:val="0095164B"/>
    <w:rsid w:val="00954090"/>
    <w:rsid w:val="009573E7"/>
    <w:rsid w:val="00963E05"/>
    <w:rsid w:val="00964A45"/>
    <w:rsid w:val="00967843"/>
    <w:rsid w:val="00967D54"/>
    <w:rsid w:val="00971028"/>
    <w:rsid w:val="00993B84"/>
    <w:rsid w:val="00996483"/>
    <w:rsid w:val="00996F5A"/>
    <w:rsid w:val="009A0134"/>
    <w:rsid w:val="009B041A"/>
    <w:rsid w:val="009C2214"/>
    <w:rsid w:val="009C37C3"/>
    <w:rsid w:val="009C7C86"/>
    <w:rsid w:val="009D2FF7"/>
    <w:rsid w:val="009E7884"/>
    <w:rsid w:val="009E788A"/>
    <w:rsid w:val="009F0E08"/>
    <w:rsid w:val="00A079AE"/>
    <w:rsid w:val="00A1763D"/>
    <w:rsid w:val="00A17CEC"/>
    <w:rsid w:val="00A26CBB"/>
    <w:rsid w:val="00A27EF0"/>
    <w:rsid w:val="00A42361"/>
    <w:rsid w:val="00A46132"/>
    <w:rsid w:val="00A50B20"/>
    <w:rsid w:val="00A51390"/>
    <w:rsid w:val="00A60D13"/>
    <w:rsid w:val="00A62824"/>
    <w:rsid w:val="00A7223D"/>
    <w:rsid w:val="00A72745"/>
    <w:rsid w:val="00A76EFC"/>
    <w:rsid w:val="00A87D50"/>
    <w:rsid w:val="00A91010"/>
    <w:rsid w:val="00A97F29"/>
    <w:rsid w:val="00AA702E"/>
    <w:rsid w:val="00AA7D26"/>
    <w:rsid w:val="00AB0964"/>
    <w:rsid w:val="00AB5011"/>
    <w:rsid w:val="00AC7368"/>
    <w:rsid w:val="00AD0278"/>
    <w:rsid w:val="00AD16B9"/>
    <w:rsid w:val="00AE377D"/>
    <w:rsid w:val="00AF0EBA"/>
    <w:rsid w:val="00B02C8A"/>
    <w:rsid w:val="00B04627"/>
    <w:rsid w:val="00B107A2"/>
    <w:rsid w:val="00B17FBD"/>
    <w:rsid w:val="00B315A6"/>
    <w:rsid w:val="00B31813"/>
    <w:rsid w:val="00B33365"/>
    <w:rsid w:val="00B475C1"/>
    <w:rsid w:val="00B57B36"/>
    <w:rsid w:val="00B57E6F"/>
    <w:rsid w:val="00B8520B"/>
    <w:rsid w:val="00B8686D"/>
    <w:rsid w:val="00B93F69"/>
    <w:rsid w:val="00BB1DDC"/>
    <w:rsid w:val="00BC30C9"/>
    <w:rsid w:val="00BD077D"/>
    <w:rsid w:val="00BD4312"/>
    <w:rsid w:val="00BE3E58"/>
    <w:rsid w:val="00C01616"/>
    <w:rsid w:val="00C0162B"/>
    <w:rsid w:val="00C068ED"/>
    <w:rsid w:val="00C208E9"/>
    <w:rsid w:val="00C22E0C"/>
    <w:rsid w:val="00C345B1"/>
    <w:rsid w:val="00C40142"/>
    <w:rsid w:val="00C52C3C"/>
    <w:rsid w:val="00C57182"/>
    <w:rsid w:val="00C57863"/>
    <w:rsid w:val="00C640AF"/>
    <w:rsid w:val="00C655FD"/>
    <w:rsid w:val="00C75407"/>
    <w:rsid w:val="00C841C6"/>
    <w:rsid w:val="00C870A8"/>
    <w:rsid w:val="00C94434"/>
    <w:rsid w:val="00CA0D75"/>
    <w:rsid w:val="00CA1C95"/>
    <w:rsid w:val="00CA5A9C"/>
    <w:rsid w:val="00CA7D9B"/>
    <w:rsid w:val="00CC1A7D"/>
    <w:rsid w:val="00CC4C20"/>
    <w:rsid w:val="00CD3517"/>
    <w:rsid w:val="00CD5FE2"/>
    <w:rsid w:val="00CE7C68"/>
    <w:rsid w:val="00D02B4C"/>
    <w:rsid w:val="00D040C4"/>
    <w:rsid w:val="00D20AD1"/>
    <w:rsid w:val="00D2582C"/>
    <w:rsid w:val="00D45645"/>
    <w:rsid w:val="00D46B7E"/>
    <w:rsid w:val="00D57C84"/>
    <w:rsid w:val="00D6057D"/>
    <w:rsid w:val="00D71640"/>
    <w:rsid w:val="00D836C5"/>
    <w:rsid w:val="00D84576"/>
    <w:rsid w:val="00DA1399"/>
    <w:rsid w:val="00DA24C6"/>
    <w:rsid w:val="00DA4D7B"/>
    <w:rsid w:val="00DA76D1"/>
    <w:rsid w:val="00DB1A8F"/>
    <w:rsid w:val="00DC0157"/>
    <w:rsid w:val="00DD271C"/>
    <w:rsid w:val="00DE264A"/>
    <w:rsid w:val="00DF5072"/>
    <w:rsid w:val="00E02D18"/>
    <w:rsid w:val="00E041E7"/>
    <w:rsid w:val="00E23CA1"/>
    <w:rsid w:val="00E409A8"/>
    <w:rsid w:val="00E47D61"/>
    <w:rsid w:val="00E50C12"/>
    <w:rsid w:val="00E65B91"/>
    <w:rsid w:val="00E7209D"/>
    <w:rsid w:val="00E72EAD"/>
    <w:rsid w:val="00E77223"/>
    <w:rsid w:val="00E8528B"/>
    <w:rsid w:val="00E85B94"/>
    <w:rsid w:val="00E978D0"/>
    <w:rsid w:val="00EA3EF9"/>
    <w:rsid w:val="00EA4613"/>
    <w:rsid w:val="00EA7F91"/>
    <w:rsid w:val="00EB1523"/>
    <w:rsid w:val="00EC0E49"/>
    <w:rsid w:val="00EC101F"/>
    <w:rsid w:val="00EC1D9F"/>
    <w:rsid w:val="00EE0131"/>
    <w:rsid w:val="00EE0428"/>
    <w:rsid w:val="00EE17B0"/>
    <w:rsid w:val="00EF06D9"/>
    <w:rsid w:val="00EF0982"/>
    <w:rsid w:val="00F110B7"/>
    <w:rsid w:val="00F126A5"/>
    <w:rsid w:val="00F13D41"/>
    <w:rsid w:val="00F3049E"/>
    <w:rsid w:val="00F30C64"/>
    <w:rsid w:val="00F32BA2"/>
    <w:rsid w:val="00F32CDB"/>
    <w:rsid w:val="00F3348F"/>
    <w:rsid w:val="00F37280"/>
    <w:rsid w:val="00F41EE4"/>
    <w:rsid w:val="00F565FE"/>
    <w:rsid w:val="00F62531"/>
    <w:rsid w:val="00F63A70"/>
    <w:rsid w:val="00F63D8C"/>
    <w:rsid w:val="00F7534E"/>
    <w:rsid w:val="00F87348"/>
    <w:rsid w:val="00F93EDF"/>
    <w:rsid w:val="00FA040C"/>
    <w:rsid w:val="00FA1802"/>
    <w:rsid w:val="00FA21D0"/>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F87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mariangela.guastaferro@unipi.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3239</Words>
  <Characters>20216</Characters>
  <Application>Microsoft Office Word</Application>
  <DocSecurity>0</DocSecurity>
  <Lines>440</Lines>
  <Paragraphs>248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Mariangela Guastaferro</cp:lastModifiedBy>
  <cp:revision>3</cp:revision>
  <cp:lastPrinted>2015-05-12T18:31:00Z</cp:lastPrinted>
  <dcterms:created xsi:type="dcterms:W3CDTF">2026-04-14T13:47:00Z</dcterms:created>
  <dcterms:modified xsi:type="dcterms:W3CDTF">2026-04-14T13:51:00Z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6af975c9-1b01-4298-a85b-48110aee86b3</vt:lpwstr>
  </property>
</Properties>
</file>