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61229B97" w:rsidR="00AA7D26" w:rsidRPr="00D66E27" w:rsidRDefault="004A5E57" w:rsidP="004A5E57">
            <w:pPr>
              <w:ind w:left="-107"/>
              <w:outlineLvl w:val="2"/>
              <w:rPr>
                <w:rFonts w:ascii="Tahoma" w:hAnsi="Tahoma" w:cs="Tahoma"/>
                <w:bCs/>
                <w:color w:val="000000"/>
                <w:sz w:val="14"/>
                <w:szCs w:val="14"/>
                <w:lang w:eastAsia="it-IT"/>
              </w:rPr>
            </w:pPr>
            <w:r w:rsidRPr="00D66E27">
              <w:rPr>
                <w:rFonts w:ascii="Tahoma" w:hAnsi="Tahoma" w:cs="Tahoma"/>
                <w:iCs/>
                <w:color w:val="333333"/>
                <w:sz w:val="14"/>
                <w:szCs w:val="14"/>
                <w:lang w:eastAsia="it-IT"/>
              </w:rPr>
              <w:t>Guest Editors:</w:t>
            </w:r>
            <w:r w:rsidRPr="00D66E27">
              <w:rPr>
                <w:rFonts w:ascii="Tahoma" w:hAnsi="Tahoma" w:cs="Tahoma"/>
                <w:color w:val="000000"/>
                <w:sz w:val="14"/>
                <w:szCs w:val="14"/>
                <w:shd w:val="clear" w:color="auto" w:fill="FFFFFF"/>
              </w:rPr>
              <w:t xml:space="preserve"> </w:t>
            </w:r>
            <w:r w:rsidR="00EA3EF9" w:rsidRPr="00D66E27">
              <w:rPr>
                <w:rFonts w:ascii="Tahoma" w:hAnsi="Tahoma" w:cs="Tahoma"/>
                <w:color w:val="000000"/>
                <w:sz w:val="14"/>
                <w:szCs w:val="14"/>
                <w:shd w:val="clear" w:color="auto" w:fill="FFFFFF"/>
              </w:rPr>
              <w:t xml:space="preserve">Leonardo Tognotti, </w:t>
            </w:r>
            <w:r w:rsidR="00EA3EF9" w:rsidRPr="00D66E27">
              <w:rPr>
                <w:rFonts w:ascii="Tahoma" w:hAnsi="Tahoma" w:cs="Tahoma"/>
                <w:color w:val="000000"/>
                <w:sz w:val="14"/>
                <w:szCs w:val="14"/>
              </w:rPr>
              <w:t>Rubens Maciel Filho</w:t>
            </w:r>
            <w:r w:rsidR="00EA3EF9" w:rsidRPr="00D66E27">
              <w:rPr>
                <w:rFonts w:ascii="Tahoma" w:hAnsi="Tahoma" w:cs="Tahoma"/>
                <w:color w:val="000000"/>
                <w:sz w:val="14"/>
                <w:szCs w:val="14"/>
                <w:shd w:val="clear" w:color="auto" w:fill="FFFFFF"/>
              </w:rPr>
              <w:t xml:space="preserve">, </w:t>
            </w:r>
            <w:r w:rsidR="00EA3EF9" w:rsidRPr="00D66E27">
              <w:rPr>
                <w:rFonts w:ascii="Tahoma" w:hAnsi="Tahoma" w:cs="Tahoma"/>
                <w:color w:val="000000"/>
                <w:sz w:val="14"/>
                <w:szCs w:val="14"/>
              </w:rPr>
              <w:t>Viatcheslav Kafarov</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4EB77A0D" w:rsidR="00E978D0" w:rsidRPr="00B57B36" w:rsidRDefault="005D5FC8" w:rsidP="00E978D0">
      <w:pPr>
        <w:pStyle w:val="CETTitle"/>
      </w:pPr>
      <w:r w:rsidRPr="005D5FC8">
        <w:t>Optimization of biomass-to-biofuels supply chains in geographical target areas</w:t>
      </w:r>
    </w:p>
    <w:p w14:paraId="0488FED2" w14:textId="718918F8" w:rsidR="00B57E6F" w:rsidRPr="00BA4740" w:rsidRDefault="00A96BF7" w:rsidP="00B57E6F">
      <w:pPr>
        <w:pStyle w:val="CETAuthors"/>
        <w:rPr>
          <w:lang w:val="it-IT"/>
        </w:rPr>
      </w:pPr>
      <w:r w:rsidRPr="00BA4740">
        <w:rPr>
          <w:lang w:val="it-IT"/>
        </w:rPr>
        <w:t>Aristide Giuliano</w:t>
      </w:r>
      <w:r w:rsidRPr="00BA4740">
        <w:rPr>
          <w:vertAlign w:val="superscript"/>
          <w:lang w:val="it-IT"/>
        </w:rPr>
        <w:t>a,</w:t>
      </w:r>
      <w:r w:rsidRPr="00BA4740">
        <w:rPr>
          <w:lang w:val="it-IT"/>
        </w:rPr>
        <w:t>*, Nicola Pierro</w:t>
      </w:r>
      <w:r w:rsidRPr="00BA4740">
        <w:rPr>
          <w:vertAlign w:val="superscript"/>
          <w:lang w:val="it-IT"/>
        </w:rPr>
        <w:t>a</w:t>
      </w:r>
      <w:r w:rsidRPr="00BA4740">
        <w:rPr>
          <w:lang w:val="it-IT"/>
        </w:rPr>
        <w:t>, Maria Letizia Farabella</w:t>
      </w:r>
      <w:r w:rsidRPr="00BA4740">
        <w:rPr>
          <w:vertAlign w:val="superscript"/>
          <w:lang w:val="it-IT"/>
        </w:rPr>
        <w:t>b</w:t>
      </w:r>
      <w:r w:rsidRPr="00BA4740">
        <w:rPr>
          <w:lang w:val="it-IT"/>
        </w:rPr>
        <w:t>, Diego Barletta</w:t>
      </w:r>
      <w:r w:rsidRPr="00BA4740">
        <w:rPr>
          <w:vertAlign w:val="superscript"/>
          <w:lang w:val="it-IT"/>
        </w:rPr>
        <w:t>b</w:t>
      </w:r>
      <w:r w:rsidRPr="00BA4740">
        <w:rPr>
          <w:lang w:val="it-IT"/>
        </w:rPr>
        <w:t>, Isabella De Bari</w:t>
      </w:r>
      <w:r w:rsidRPr="00BA4740">
        <w:rPr>
          <w:vertAlign w:val="superscript"/>
          <w:lang w:val="it-IT"/>
        </w:rPr>
        <w:t>a</w:t>
      </w:r>
    </w:p>
    <w:p w14:paraId="6B2D21B3" w14:textId="74E7270B" w:rsidR="00B57E6F" w:rsidRPr="00D35844" w:rsidRDefault="00B57E6F" w:rsidP="00B57E6F">
      <w:pPr>
        <w:pStyle w:val="CETAddress"/>
        <w:rPr>
          <w:lang w:val="it-IT"/>
        </w:rPr>
      </w:pPr>
      <w:r w:rsidRPr="00D35844">
        <w:rPr>
          <w:vertAlign w:val="superscript"/>
          <w:lang w:val="it-IT"/>
        </w:rPr>
        <w:t>a</w:t>
      </w:r>
      <w:r w:rsidR="00D35844" w:rsidRPr="00D35844">
        <w:rPr>
          <w:lang w:val="it-IT"/>
        </w:rPr>
        <w:t>ENEA, C.R. Trisaia, S.S. 106 Ionica, km 419+500, Rotondella (MT), Italy</w:t>
      </w:r>
    </w:p>
    <w:p w14:paraId="3D72B0B0" w14:textId="00ADB0BD" w:rsidR="00B57E6F" w:rsidRPr="00B57B36" w:rsidRDefault="00B57E6F" w:rsidP="00B57E6F">
      <w:pPr>
        <w:pStyle w:val="CETAddress"/>
      </w:pPr>
      <w:r w:rsidRPr="00B57B36">
        <w:rPr>
          <w:vertAlign w:val="superscript"/>
        </w:rPr>
        <w:t>b</w:t>
      </w:r>
      <w:r w:rsidR="00E93E62" w:rsidRPr="00E93E62">
        <w:t>Department of Industrial Engineering, University of Salerno, Fisciano (SA), 84084, Italy</w:t>
      </w:r>
    </w:p>
    <w:p w14:paraId="73F1267A" w14:textId="40383C1F" w:rsidR="00B57E6F" w:rsidRPr="003B4EA5" w:rsidRDefault="00E93E62" w:rsidP="00B57E6F">
      <w:pPr>
        <w:pStyle w:val="CETemail"/>
        <w:rPr>
          <w:lang w:val="fr-FR"/>
        </w:rPr>
      </w:pPr>
      <w:r>
        <w:rPr>
          <w:lang w:val="fr-FR"/>
        </w:rPr>
        <w:t>aristide</w:t>
      </w:r>
      <w:r w:rsidR="00B57E6F" w:rsidRPr="003B4EA5">
        <w:rPr>
          <w:lang w:val="fr-FR"/>
        </w:rPr>
        <w:t>.</w:t>
      </w:r>
      <w:r>
        <w:rPr>
          <w:lang w:val="fr-FR"/>
        </w:rPr>
        <w:t>giuliano@enea.it</w:t>
      </w:r>
      <w:r w:rsidR="00B57E6F" w:rsidRPr="003B4EA5">
        <w:rPr>
          <w:lang w:val="fr-FR"/>
        </w:rPr>
        <w:t>]</w:t>
      </w:r>
    </w:p>
    <w:p w14:paraId="37A61FCE" w14:textId="19BDDA1E" w:rsidR="00DA24C6" w:rsidRDefault="00716980" w:rsidP="00716980">
      <w:pPr>
        <w:pStyle w:val="CETBodytext"/>
      </w:pPr>
      <w:r w:rsidRPr="00716980">
        <w:rPr>
          <w:lang w:val="en-GB"/>
        </w:rPr>
        <w:t xml:space="preserve">In this study, an integrated </w:t>
      </w:r>
      <w:r w:rsidR="00627F3F">
        <w:rPr>
          <w:lang w:val="en-GB"/>
        </w:rPr>
        <w:t xml:space="preserve">Geographic </w:t>
      </w:r>
      <w:r w:rsidR="00F37698">
        <w:rPr>
          <w:lang w:val="en-GB"/>
        </w:rPr>
        <w:t>Information System – Mixed Integer Linear Programming</w:t>
      </w:r>
      <w:r w:rsidR="001D6C1B">
        <w:rPr>
          <w:lang w:val="en-GB"/>
        </w:rPr>
        <w:t xml:space="preserve"> </w:t>
      </w:r>
      <w:r w:rsidRPr="00716980">
        <w:rPr>
          <w:lang w:val="en-GB"/>
        </w:rPr>
        <w:t>framework was developed for the spatial analysis and optimization of biomass-to-biofuels supply chains across four Italian regions, supporting E</w:t>
      </w:r>
      <w:r w:rsidR="001D6C1B">
        <w:rPr>
          <w:lang w:val="en-GB"/>
        </w:rPr>
        <w:t>uropean</w:t>
      </w:r>
      <w:r w:rsidRPr="00716980">
        <w:rPr>
          <w:lang w:val="en-GB"/>
        </w:rPr>
        <w:t xml:space="preserve"> </w:t>
      </w:r>
      <w:r w:rsidR="001D6C1B" w:rsidRPr="72905D90">
        <w:rPr>
          <w:rFonts w:eastAsia="Arial" w:cs="Arial"/>
          <w:szCs w:val="18"/>
        </w:rPr>
        <w:t xml:space="preserve">Renewable Energy Directive </w:t>
      </w:r>
      <w:r w:rsidRPr="00716980">
        <w:rPr>
          <w:lang w:val="en-GB"/>
        </w:rPr>
        <w:t xml:space="preserve">III and Italy's </w:t>
      </w:r>
      <w:r w:rsidR="00896EA0" w:rsidRPr="72905D90">
        <w:rPr>
          <w:rFonts w:eastAsia="Arial" w:cs="Arial"/>
          <w:szCs w:val="18"/>
        </w:rPr>
        <w:t xml:space="preserve">National Integrated Energy and Climate Plan </w:t>
      </w:r>
      <w:r w:rsidRPr="00716980">
        <w:rPr>
          <w:lang w:val="en-GB"/>
        </w:rPr>
        <w:t xml:space="preserve">targets for advanced biofuels by 2030. High-resolution </w:t>
      </w:r>
      <w:r w:rsidRPr="004E337B">
        <w:rPr>
          <w:lang w:val="en-GB"/>
        </w:rPr>
        <w:t xml:space="preserve">data from </w:t>
      </w:r>
      <w:r w:rsidR="00FE56CE" w:rsidRPr="004E337B">
        <w:rPr>
          <w:lang w:val="en-GB"/>
        </w:rPr>
        <w:t>Italian National Agency for New Technologies, Energy and Sustainable Economic Development</w:t>
      </w:r>
      <w:r w:rsidRPr="004E337B">
        <w:rPr>
          <w:lang w:val="en-GB"/>
        </w:rPr>
        <w:t xml:space="preserve">'s Atlante delle </w:t>
      </w:r>
      <w:proofErr w:type="spellStart"/>
      <w:r w:rsidRPr="004E337B">
        <w:rPr>
          <w:lang w:val="en-GB"/>
        </w:rPr>
        <w:t>Biomasse</w:t>
      </w:r>
      <w:proofErr w:type="spellEnd"/>
      <w:r w:rsidRPr="004E337B">
        <w:rPr>
          <w:lang w:val="en-GB"/>
        </w:rPr>
        <w:t xml:space="preserve"> mapped</w:t>
      </w:r>
      <w:r w:rsidRPr="00716980">
        <w:rPr>
          <w:lang w:val="en-GB"/>
        </w:rPr>
        <w:t xml:space="preserve"> municipal-level availability of residual feedstocks—pruning residues (Emilia-Romagna), vegetable oils from contaminated soils (Marche), </w:t>
      </w:r>
      <w:r w:rsidR="00F42A51">
        <w:rPr>
          <w:lang w:val="en-GB"/>
        </w:rPr>
        <w:t>Organic Fraction of Municipal Solid Waste</w:t>
      </w:r>
      <w:r w:rsidRPr="00716980">
        <w:rPr>
          <w:lang w:val="en-GB"/>
        </w:rPr>
        <w:t xml:space="preserve"> (Campania), and cereal straw (Puglia)—alongside transport networks and conversion sites. A multi-period </w:t>
      </w:r>
      <w:r w:rsidR="00F42A51">
        <w:rPr>
          <w:lang w:val="en-GB"/>
        </w:rPr>
        <w:t xml:space="preserve">Mixed Integer Linear Programming </w:t>
      </w:r>
      <w:r w:rsidRPr="00716980">
        <w:rPr>
          <w:lang w:val="en-GB"/>
        </w:rPr>
        <w:t>model then optimized biorefinery locations, capacities, and logistics to minimize production costs under resource, infrastructure, and scale constraints.</w:t>
      </w:r>
      <w:r>
        <w:rPr>
          <w:lang w:val="en-GB"/>
        </w:rPr>
        <w:t xml:space="preserve"> </w:t>
      </w:r>
      <w:r w:rsidRPr="00716980">
        <w:rPr>
          <w:lang w:val="en-GB"/>
        </w:rPr>
        <w:t xml:space="preserve">Results reveal feedstock-driven topologies: low-density/wet </w:t>
      </w:r>
      <w:r w:rsidR="00F42A51">
        <w:rPr>
          <w:lang w:val="en-GB"/>
        </w:rPr>
        <w:t>Organic Fraction of Municipal Solid Waste</w:t>
      </w:r>
      <w:r w:rsidR="00F42A51" w:rsidRPr="00716980">
        <w:rPr>
          <w:lang w:val="en-GB"/>
        </w:rPr>
        <w:t xml:space="preserve"> </w:t>
      </w:r>
      <w:proofErr w:type="spellStart"/>
      <w:r w:rsidRPr="00716980">
        <w:rPr>
          <w:lang w:val="en-GB"/>
        </w:rPr>
        <w:t>favors</w:t>
      </w:r>
      <w:proofErr w:type="spellEnd"/>
      <w:r w:rsidRPr="00716980">
        <w:rPr>
          <w:lang w:val="en-GB"/>
        </w:rPr>
        <w:t xml:space="preserve"> distributed networks (7 plants at 80 kt/y in Campania); high-density oils enable single large-scale facilities (92 kt/</w:t>
      </w:r>
      <w:r w:rsidRPr="00690C8A">
        <w:rPr>
          <w:lang w:val="en-GB"/>
        </w:rPr>
        <w:t xml:space="preserve">y </w:t>
      </w:r>
      <w:r w:rsidR="0074671B" w:rsidRPr="00690C8A">
        <w:rPr>
          <w:lang w:val="en-GB"/>
        </w:rPr>
        <w:t>fatty acid methyl ester</w:t>
      </w:r>
      <w:r w:rsidRPr="00716980">
        <w:rPr>
          <w:lang w:val="en-GB"/>
        </w:rPr>
        <w:t xml:space="preserve"> in Marche); concentrated </w:t>
      </w:r>
      <w:proofErr w:type="spellStart"/>
      <w:r w:rsidRPr="00716980">
        <w:rPr>
          <w:lang w:val="en-GB"/>
        </w:rPr>
        <w:t>prunings</w:t>
      </w:r>
      <w:proofErr w:type="spellEnd"/>
      <w:r w:rsidRPr="00716980">
        <w:rPr>
          <w:lang w:val="en-GB"/>
        </w:rPr>
        <w:t xml:space="preserve"> yield two 84 kt/y methanol plants (Emilia-Romagna); northern Puglia straw supports one 400 kt/y ethanol plant. Total output reaches 234 kt/y advanced biofuels from ~20% regional potentials, cutting logistics costs up to 40% of </w:t>
      </w:r>
      <w:r w:rsidR="005637F3">
        <w:rPr>
          <w:lang w:val="en-GB"/>
        </w:rPr>
        <w:t>operating costs</w:t>
      </w:r>
      <w:r w:rsidRPr="00716980">
        <w:rPr>
          <w:lang w:val="en-GB"/>
        </w:rPr>
        <w:t>.</w:t>
      </w:r>
      <w:r>
        <w:rPr>
          <w:lang w:val="en-GB"/>
        </w:rPr>
        <w:t xml:space="preserve"> </w:t>
      </w:r>
      <w:r w:rsidRPr="00716980">
        <w:rPr>
          <w:lang w:val="en-GB"/>
        </w:rPr>
        <w:t xml:space="preserve">The </w:t>
      </w:r>
      <w:r w:rsidR="005637F3">
        <w:rPr>
          <w:lang w:val="en-GB"/>
        </w:rPr>
        <w:t>Web</w:t>
      </w:r>
      <w:r w:rsidR="00690C8A">
        <w:rPr>
          <w:lang w:val="en-GB"/>
        </w:rPr>
        <w:t xml:space="preserve"> </w:t>
      </w:r>
      <w:r w:rsidR="005637F3">
        <w:rPr>
          <w:lang w:val="en-GB"/>
        </w:rPr>
        <w:t xml:space="preserve">Geographic Information System – Mixed Integer Linear Programming </w:t>
      </w:r>
      <w:r w:rsidRPr="00716980">
        <w:rPr>
          <w:lang w:val="en-GB"/>
        </w:rPr>
        <w:t>approach captures interactions between biomass traits, terrain morphology, and supply-chain design, outperforming prior models through granular multi-feedstock flexibility. It provides actionable decision support for regional biofuel strategies, circular economy deployment, and net-zero infrastructure planning.</w:t>
      </w:r>
    </w:p>
    <w:p w14:paraId="476B2F2E" w14:textId="77777777" w:rsidR="00600535" w:rsidRPr="00B57B36" w:rsidRDefault="00600535" w:rsidP="00600535">
      <w:pPr>
        <w:pStyle w:val="CETHeading1"/>
        <w:rPr>
          <w:lang w:val="en-GB"/>
        </w:rPr>
      </w:pPr>
      <w:r w:rsidRPr="00B57B36">
        <w:rPr>
          <w:lang w:val="en-GB"/>
        </w:rPr>
        <w:t>Introduction</w:t>
      </w:r>
    </w:p>
    <w:p w14:paraId="41FF0985" w14:textId="38111DA8" w:rsidR="00CC36C3" w:rsidRPr="004A2E4E" w:rsidRDefault="28D132B3" w:rsidP="006C719E">
      <w:r w:rsidRPr="72905D90">
        <w:rPr>
          <w:rFonts w:eastAsia="Arial" w:cs="Arial"/>
          <w:szCs w:val="18"/>
          <w:lang w:val="en-US"/>
        </w:rPr>
        <w:t>The European Union's energy strategy, as defined by the revised Renewable Energy Directive III (</w:t>
      </w:r>
      <w:r w:rsidRPr="00EE60AF">
        <w:rPr>
          <w:rFonts w:eastAsia="Arial" w:cs="Arial"/>
          <w:szCs w:val="18"/>
          <w:lang w:val="en-US"/>
        </w:rPr>
        <w:t>RED III</w:t>
      </w:r>
      <w:r w:rsidRPr="72905D90">
        <w:rPr>
          <w:rFonts w:eastAsia="Arial" w:cs="Arial"/>
          <w:szCs w:val="18"/>
          <w:lang w:val="en-US"/>
        </w:rPr>
        <w:t>) [] and the Italian National Integrated Energy and Climate Plan (</w:t>
      </w:r>
      <w:proofErr w:type="spellStart"/>
      <w:r w:rsidRPr="72905D90">
        <w:rPr>
          <w:rFonts w:eastAsia="Arial" w:cs="Arial"/>
          <w:szCs w:val="18"/>
          <w:lang w:val="en-US"/>
        </w:rPr>
        <w:t>PNIEC</w:t>
      </w:r>
      <w:proofErr w:type="spellEnd"/>
      <w:r w:rsidRPr="72905D90">
        <w:rPr>
          <w:rFonts w:eastAsia="Arial" w:cs="Arial"/>
          <w:szCs w:val="18"/>
          <w:lang w:val="en-US"/>
        </w:rPr>
        <w:t xml:space="preserve">) establish highly ambitious targets for renewable energy penetration by 2030 to fulfill the EU’s commitment to becoming the first continent with net-zero emissions by 2050. Among the most challenging objectives are those in the transport sector, where according to RED III, at EU scale, Member States are required to choose either a binding share of at least 29% renewables in final energy consumption for transport or a binding reduction of greenhouse gas intensity in transport by 14.5% by 2030. </w:t>
      </w:r>
      <w:r w:rsidRPr="72905D90">
        <w:rPr>
          <w:rFonts w:eastAsia="Arial" w:cs="Arial"/>
          <w:szCs w:val="18"/>
        </w:rPr>
        <w:t>Specifically, the plan foresees achieving a 34.2% share of energy from renewable sources in final consumption in transport by 2030, with a contribution of 11.6% from advanced biofuels and renewable fuels of non-biological origin (</w:t>
      </w:r>
      <w:proofErr w:type="spellStart"/>
      <w:r w:rsidRPr="72905D90">
        <w:rPr>
          <w:rFonts w:eastAsia="Arial" w:cs="Arial"/>
          <w:szCs w:val="18"/>
        </w:rPr>
        <w:t>RFNBOs</w:t>
      </w:r>
      <w:proofErr w:type="spellEnd"/>
      <w:r w:rsidRPr="72905D90">
        <w:rPr>
          <w:rFonts w:eastAsia="Arial" w:cs="Arial"/>
          <w:szCs w:val="18"/>
        </w:rPr>
        <w:t xml:space="preserve">) to gross final consumption. By 2030, liquid biofuels are expected to represent approximately 64% of renewable energy in the transport sector. This emphasizes the importance of the availability of sustainable biomass suitable for energy use </w:t>
      </w:r>
      <w:proofErr w:type="gramStart"/>
      <w:r w:rsidRPr="72905D90">
        <w:rPr>
          <w:rFonts w:eastAsia="Arial" w:cs="Arial"/>
          <w:szCs w:val="18"/>
        </w:rPr>
        <w:t>in order to</w:t>
      </w:r>
      <w:proofErr w:type="gramEnd"/>
      <w:r w:rsidRPr="72905D90">
        <w:rPr>
          <w:rFonts w:eastAsia="Arial" w:cs="Arial"/>
          <w:szCs w:val="18"/>
        </w:rPr>
        <w:t xml:space="preserve"> achieve the set targets.</w:t>
      </w:r>
      <w:r w:rsidR="006C719E">
        <w:rPr>
          <w:rFonts w:eastAsia="Arial" w:cs="Arial"/>
          <w:szCs w:val="18"/>
        </w:rPr>
        <w:t xml:space="preserve"> </w:t>
      </w:r>
      <w:r w:rsidR="006F0E72" w:rsidRPr="006F0E72">
        <w:rPr>
          <w:rFonts w:eastAsia="Arial" w:cs="Arial"/>
          <w:szCs w:val="18"/>
        </w:rPr>
        <w:t>Within this framework, many innovative biorefinery process approaches are being developed, particularly for the production of sustainable triglyceride sources</w:t>
      </w:r>
      <w:r w:rsidR="006F0E72">
        <w:rPr>
          <w:rFonts w:eastAsia="Arial" w:cs="Arial"/>
          <w:szCs w:val="18"/>
        </w:rPr>
        <w:t xml:space="preserve"> </w:t>
      </w:r>
      <w:r w:rsidR="006F0E72">
        <w:rPr>
          <w:rFonts w:eastAsia="Arial" w:cs="Arial"/>
          <w:szCs w:val="18"/>
        </w:rPr>
        <w:fldChar w:fldCharType="begin"/>
      </w:r>
      <w:r w:rsidR="006F0E72">
        <w:rPr>
          <w:rFonts w:eastAsia="Arial" w:cs="Arial"/>
          <w:szCs w:val="18"/>
        </w:rPr>
        <w:instrText xml:space="preserve"> ADDIN ZOTERO_ITEM CSL_CITATION {"citationID":"GajPFn9G","properties":{"formattedCitation":"(Caporusso et al., 2022)","plainCitation":"(Caporusso et al., 2022)","noteIndex":0},"citationItems":[{"id":83,"uris":["http://zotero.org/users/10649518/items/E78JSSWN"],"itemData":{"id":83,"type":"article-journal","container-title":"Chemical Engineering Transactions","DOI":"10.3303/CET2292107","language":"en","page":"637-642","source":"DOI.org (CSL JSON)","title":"Techno-economic Analysis of a Lignocellulosic Biorefinery Producing Microbial Oils by Oleaginous Yeasts","volume":"92","author":[{"family":"Caporusso","given":"Antonio"},{"family":"Giuliano","given":"Aristide"},{"family":"Liuzzi","given":"Federico"},{"family":"De Bari","given":"Isabella"}],"issued":{"date-parts":[["2022",6]]}}}],"schema":"https://github.com/citation-style-language/schema/raw/master/csl-citation.json"} </w:instrText>
      </w:r>
      <w:r w:rsidR="006F0E72">
        <w:rPr>
          <w:rFonts w:eastAsia="Arial" w:cs="Arial"/>
          <w:szCs w:val="18"/>
        </w:rPr>
        <w:fldChar w:fldCharType="separate"/>
      </w:r>
      <w:r w:rsidR="006F0E72" w:rsidRPr="006F0E72">
        <w:rPr>
          <w:rFonts w:eastAsia="Arial" w:cs="Arial"/>
        </w:rPr>
        <w:t>(Caporusso et al., 2022)</w:t>
      </w:r>
      <w:r w:rsidR="006F0E72">
        <w:rPr>
          <w:rFonts w:eastAsia="Arial" w:cs="Arial"/>
          <w:szCs w:val="18"/>
        </w:rPr>
        <w:fldChar w:fldCharType="end"/>
      </w:r>
      <w:r w:rsidR="006F0E72" w:rsidRPr="006F0E72">
        <w:rPr>
          <w:rFonts w:eastAsia="Arial" w:cs="Arial"/>
          <w:szCs w:val="18"/>
        </w:rPr>
        <w:t>.</w:t>
      </w:r>
      <w:r w:rsidR="006F0E72">
        <w:rPr>
          <w:rFonts w:eastAsia="Arial" w:cs="Arial"/>
          <w:szCs w:val="18"/>
        </w:rPr>
        <w:t xml:space="preserve"> </w:t>
      </w:r>
      <w:r w:rsidRPr="72905D90">
        <w:rPr>
          <w:rFonts w:eastAsia="Arial" w:cs="Arial"/>
          <w:szCs w:val="18"/>
          <w:lang w:val="en-US"/>
        </w:rPr>
        <w:t xml:space="preserve">For several years, </w:t>
      </w:r>
      <w:r w:rsidR="00DC7D25" w:rsidRPr="00DC7D25">
        <w:t>Italian National Agency for New Technologies, Energy and Sustainable Economic Development</w:t>
      </w:r>
      <w:r w:rsidR="00DC7D25" w:rsidRPr="00DC7D25">
        <w:rPr>
          <w:rFonts w:eastAsia="Arial" w:cs="Arial"/>
          <w:szCs w:val="18"/>
          <w:lang w:val="en-US"/>
        </w:rPr>
        <w:t xml:space="preserve"> (</w:t>
      </w:r>
      <w:r w:rsidR="00DC7D25">
        <w:rPr>
          <w:rFonts w:eastAsia="Arial" w:cs="Arial"/>
          <w:szCs w:val="18"/>
          <w:lang w:val="en-US"/>
        </w:rPr>
        <w:t xml:space="preserve">ENEA) </w:t>
      </w:r>
      <w:r w:rsidRPr="72905D90">
        <w:rPr>
          <w:rFonts w:eastAsia="Arial" w:cs="Arial"/>
          <w:szCs w:val="18"/>
          <w:lang w:val="en-US"/>
        </w:rPr>
        <w:t>has been developing national estimates, with provincial-level detail, on the potential availability of sustainable residual biomass that can be used for energy purposes at the national scale</w:t>
      </w:r>
      <w:r w:rsidR="00432981">
        <w:rPr>
          <w:rFonts w:eastAsia="Arial" w:cs="Arial"/>
          <w:szCs w:val="18"/>
          <w:lang w:val="en-US"/>
        </w:rPr>
        <w:t xml:space="preserve"> </w:t>
      </w:r>
      <w:r w:rsidR="00FD04F7">
        <w:rPr>
          <w:rFonts w:eastAsia="Arial" w:cs="Arial"/>
          <w:szCs w:val="18"/>
          <w:lang w:val="en-US"/>
        </w:rPr>
        <w:fldChar w:fldCharType="begin"/>
      </w:r>
      <w:r w:rsidR="00FD04F7">
        <w:rPr>
          <w:rFonts w:eastAsia="Arial" w:cs="Arial"/>
          <w:szCs w:val="18"/>
          <w:lang w:val="en-US"/>
        </w:rPr>
        <w:instrText xml:space="preserve"> ADDIN ZOTERO_ITEM CSL_CITATION {"citationID":"S55orBhF","properties":{"formattedCitation":"(Pierro et al., 2021)","plainCitation":"(Pierro et al., 2021)","noteIndex":0},"citationItems":[{"id":4135,"uris":["http://zotero.org/users/10649518/items/YQA2PKTQ"],"itemData":{"id":4135,"type":"webpage","title":"Valutazione disponibilità biomasse agro-industriali a livello nazionale e loro pubblicazione sul portale Webgis atlante delle biomasse","URL":"https://iris.enea.it/handle/20.500.12079/56881","author":[{"family":"Pierro","given":"Nicola"},{"family":"Giocoli","given":"Alessandro"},{"family":"Motola","given":"Vincenzo"},{"family":"Dipinto","given":"Sebastiano"}],"accessed":{"date-parts":[["2023",10,17]]},"issued":{"date-parts":[["2021"]]}}}],"schema":"https://github.com/citation-style-language/schema/raw/master/csl-citation.json"} </w:instrText>
      </w:r>
      <w:r w:rsidR="00FD04F7">
        <w:rPr>
          <w:rFonts w:eastAsia="Arial" w:cs="Arial"/>
          <w:szCs w:val="18"/>
          <w:lang w:val="en-US"/>
        </w:rPr>
        <w:fldChar w:fldCharType="separate"/>
      </w:r>
      <w:r w:rsidR="00FD04F7" w:rsidRPr="00FD04F7">
        <w:rPr>
          <w:rFonts w:eastAsia="Arial" w:cs="Arial"/>
        </w:rPr>
        <w:t>(Pierro et al., 2021)</w:t>
      </w:r>
      <w:r w:rsidR="00FD04F7">
        <w:rPr>
          <w:rFonts w:eastAsia="Arial" w:cs="Arial"/>
          <w:szCs w:val="18"/>
          <w:lang w:val="en-US"/>
        </w:rPr>
        <w:fldChar w:fldCharType="end"/>
      </w:r>
      <w:r w:rsidRPr="72905D90">
        <w:rPr>
          <w:rFonts w:eastAsia="Arial" w:cs="Arial"/>
          <w:szCs w:val="18"/>
          <w:lang w:val="en-US"/>
        </w:rPr>
        <w:t xml:space="preserve">. According to the most recent data </w:t>
      </w:r>
      <w:r w:rsidRPr="72905D90">
        <w:rPr>
          <w:rFonts w:eastAsia="Arial" w:cs="Arial"/>
          <w:szCs w:val="18"/>
          <w:lang w:val="en-US"/>
        </w:rPr>
        <w:lastRenderedPageBreak/>
        <w:t xml:space="preserve">available from the ENEA </w:t>
      </w:r>
      <w:r w:rsidR="001D6C1B">
        <w:rPr>
          <w:rFonts w:eastAsia="Arial" w:cs="Arial"/>
          <w:szCs w:val="18"/>
          <w:lang w:val="en-US"/>
        </w:rPr>
        <w:t xml:space="preserve">Web </w:t>
      </w:r>
      <w:r w:rsidR="001D6C1B">
        <w:t>Geographic Information System (GIS)</w:t>
      </w:r>
      <w:r w:rsidRPr="72905D90">
        <w:rPr>
          <w:rFonts w:eastAsia="Arial" w:cs="Arial"/>
          <w:szCs w:val="18"/>
          <w:lang w:val="en-US"/>
        </w:rPr>
        <w:t xml:space="preserve"> portal Atlante delle </w:t>
      </w:r>
      <w:proofErr w:type="spellStart"/>
      <w:r w:rsidRPr="72905D90">
        <w:rPr>
          <w:rFonts w:eastAsia="Arial" w:cs="Arial"/>
          <w:szCs w:val="18"/>
          <w:lang w:val="en-US"/>
        </w:rPr>
        <w:t>Biomasse</w:t>
      </w:r>
      <w:proofErr w:type="spellEnd"/>
      <w:r w:rsidRPr="72905D90">
        <w:rPr>
          <w:rFonts w:eastAsia="Arial" w:cs="Arial"/>
          <w:szCs w:val="18"/>
          <w:lang w:val="en-US"/>
        </w:rPr>
        <w:t xml:space="preserve">, nearly 20 million </w:t>
      </w:r>
      <w:proofErr w:type="spellStart"/>
      <w:r w:rsidRPr="72905D90">
        <w:rPr>
          <w:rFonts w:eastAsia="Arial" w:cs="Arial"/>
          <w:szCs w:val="18"/>
          <w:lang w:val="en-US"/>
        </w:rPr>
        <w:t>tonnes</w:t>
      </w:r>
      <w:proofErr w:type="spellEnd"/>
      <w:r w:rsidRPr="72905D90">
        <w:rPr>
          <w:rFonts w:eastAsia="Arial" w:cs="Arial"/>
          <w:szCs w:val="18"/>
          <w:lang w:val="en-US"/>
        </w:rPr>
        <w:t xml:space="preserve"> of biomass (dry matter) are potentially available in Italy.</w:t>
      </w:r>
      <w:r w:rsidR="006C719E">
        <w:rPr>
          <w:rFonts w:eastAsia="Arial" w:cs="Arial"/>
          <w:szCs w:val="18"/>
          <w:lang w:val="en-US"/>
        </w:rPr>
        <w:t xml:space="preserve"> </w:t>
      </w:r>
      <w:r w:rsidR="00D318F1" w:rsidRPr="0067622F">
        <w:rPr>
          <w:lang w:val="en-US"/>
        </w:rPr>
        <w:t xml:space="preserve">Due to the </w:t>
      </w:r>
      <w:r w:rsidR="00113B0B" w:rsidRPr="0067622F">
        <w:rPr>
          <w:lang w:val="en-US"/>
        </w:rPr>
        <w:t>spatial dispersion</w:t>
      </w:r>
      <w:r w:rsidR="00D318F1" w:rsidRPr="0067622F">
        <w:rPr>
          <w:lang w:val="en-US"/>
        </w:rPr>
        <w:t xml:space="preserve"> of the biomass on the territory, </w:t>
      </w:r>
      <w:r w:rsidR="00246C2E" w:rsidRPr="0067622F">
        <w:rPr>
          <w:lang w:val="en-US"/>
        </w:rPr>
        <w:t>the development of a mathematical model is required to optimize the logistical aspects of supply chains within biorefinery networks</w:t>
      </w:r>
      <w:r w:rsidR="00DF4394">
        <w:rPr>
          <w:lang w:val="en-US"/>
        </w:rPr>
        <w:t xml:space="preserve"> </w:t>
      </w:r>
      <w:r w:rsidR="00DF4394">
        <w:rPr>
          <w:lang w:val="en-US"/>
        </w:rPr>
        <w:fldChar w:fldCharType="begin"/>
      </w:r>
      <w:r w:rsidR="00DF4394">
        <w:rPr>
          <w:lang w:val="en-US"/>
        </w:rPr>
        <w:instrText xml:space="preserve"> ADDIN ZOTERO_ITEM CSL_CITATION {"citationID":"42Tjqx0V","properties":{"formattedCitation":"(Jegede et al., 2025)","plainCitation":"(Jegede et al., 2025)","noteIndex":0},"citationItems":[{"id":4963,"uris":["http://zotero.org/users/10649518/items/SEPI432X"],"itemData":{"id":4963,"type":"article-journal","abstract":"This work develops a mixed-integer linear programming (MILP) optimisation model for reduction of total annual cost (TAC) and associated carbon emissions for several neighbouring communities (prosumers) within a region sharing resources for off-grid hybrid power generation. Hybrid power caters for the intermittency of renewable energy sources, ensuring sufficient and reliable power supply. The off-grid hybrid power network comprises photovoltaic (PV), lithium batteries, diesel generator, as well as several supply chain biomass resources and technologies generating power for a region of neighbouring communities. The biomass resources available includes animal dung, human waste, crop residue, and fuel wood. A biomass gasifier and steam turbine are technologies available for biomass power generation. Resource sharing ensures a more holistic network optimisation that promotes economies of scale of power conversion technologies. Excess energy generated by a community can be transferred to one or more communities within the region. This has the potential to reduce the integrated network’s overall cost and carbon emissions. For the case study considered, which comprises seven co-located communities, results show levelised cost and carbon emission reduction of up to 61.6 % and 73.6 % respectively when resources are shared, compared to single community power generation. Copyright © 2025, AIDIC Servizi S.r.l.","container-title":"Chemical Engineering Transactions","DOI":"10.3303/CET25120005","ISSN":"2283-9216","journalAbbreviation":"Chem. Eng. Trans.","language":"English","page":"25-30","publisher":"Italian Association of Chemical Engineering - AIDIC","source":"Scopus","title":"Integrated Off-Grid Resource Sharing and Energy Network Optimisation for Several Co-Located Rural Communities in Namibia","volume":"120","author":[{"family":"Jegede","given":"Kemi"},{"family":"Isafiade","given":"Adeniyi J."},{"family":"Short","given":"Michael"}],"issued":{"date-parts":[["2025"]]}}}],"schema":"https://github.com/citation-style-language/schema/raw/master/csl-citation.json"} </w:instrText>
      </w:r>
      <w:r w:rsidR="00DF4394">
        <w:rPr>
          <w:lang w:val="en-US"/>
        </w:rPr>
        <w:fldChar w:fldCharType="separate"/>
      </w:r>
      <w:r w:rsidR="00DF4394" w:rsidRPr="00DF4394">
        <w:rPr>
          <w:rFonts w:cs="Arial"/>
        </w:rPr>
        <w:t>(Jegede et al., 2025)</w:t>
      </w:r>
      <w:r w:rsidR="00DF4394">
        <w:rPr>
          <w:lang w:val="en-US"/>
        </w:rPr>
        <w:fldChar w:fldCharType="end"/>
      </w:r>
      <w:r w:rsidR="00970689" w:rsidRPr="0067622F">
        <w:rPr>
          <w:lang w:val="en-US"/>
        </w:rPr>
        <w:t>.</w:t>
      </w:r>
      <w:r w:rsidR="003F07D7" w:rsidRPr="0067622F">
        <w:rPr>
          <w:lang w:val="en-US"/>
        </w:rPr>
        <w:t xml:space="preserve"> In</w:t>
      </w:r>
      <w:r w:rsidR="00246C2E" w:rsidRPr="0067622F">
        <w:rPr>
          <w:lang w:val="en-US"/>
        </w:rPr>
        <w:t xml:space="preserve"> </w:t>
      </w:r>
      <w:r w:rsidR="003F07D7" w:rsidRPr="0067622F">
        <w:rPr>
          <w:lang w:val="en-US"/>
        </w:rPr>
        <w:t>fact,</w:t>
      </w:r>
      <w:r w:rsidR="00C826F6" w:rsidRPr="0067622F">
        <w:rPr>
          <w:lang w:val="en-US"/>
        </w:rPr>
        <w:t xml:space="preserve"> the design and the optimization of biorefinery processes </w:t>
      </w:r>
      <w:r w:rsidR="00435523" w:rsidRPr="0067622F">
        <w:rPr>
          <w:lang w:val="en-US"/>
        </w:rPr>
        <w:t>involve</w:t>
      </w:r>
      <w:r w:rsidR="00C826F6" w:rsidRPr="0067622F">
        <w:rPr>
          <w:lang w:val="en-US"/>
        </w:rPr>
        <w:t xml:space="preserve"> </w:t>
      </w:r>
      <w:r w:rsidR="00981A97" w:rsidRPr="0067622F">
        <w:rPr>
          <w:lang w:val="en-US"/>
        </w:rPr>
        <w:t>the choice of the optimal size of the plants</w:t>
      </w:r>
      <w:r w:rsidR="009805BB" w:rsidRPr="0067622F">
        <w:rPr>
          <w:lang w:val="en-US"/>
        </w:rPr>
        <w:t xml:space="preserve">, </w:t>
      </w:r>
      <w:r w:rsidR="00D628C4" w:rsidRPr="0067622F">
        <w:rPr>
          <w:lang w:val="en-US"/>
        </w:rPr>
        <w:t>accounting for</w:t>
      </w:r>
      <w:r w:rsidR="009805BB" w:rsidRPr="0067622F">
        <w:rPr>
          <w:lang w:val="en-US"/>
        </w:rPr>
        <w:t xml:space="preserve"> the su</w:t>
      </w:r>
      <w:r w:rsidR="00435523" w:rsidRPr="0067622F">
        <w:rPr>
          <w:lang w:val="en-US"/>
        </w:rPr>
        <w:t>p</w:t>
      </w:r>
      <w:r w:rsidR="009805BB" w:rsidRPr="0067622F">
        <w:rPr>
          <w:lang w:val="en-US"/>
        </w:rPr>
        <w:t>ply chain of feedstock and products. In particular</w:t>
      </w:r>
      <w:r w:rsidR="00147054" w:rsidRPr="0067622F">
        <w:rPr>
          <w:lang w:val="en-US"/>
        </w:rPr>
        <w:t>,</w:t>
      </w:r>
      <w:r w:rsidR="007937C4" w:rsidRPr="0067622F">
        <w:rPr>
          <w:lang w:val="en-US"/>
        </w:rPr>
        <w:t xml:space="preserve"> </w:t>
      </w:r>
      <w:r w:rsidR="00A7749F" w:rsidRPr="0067622F">
        <w:rPr>
          <w:lang w:val="en-US"/>
        </w:rPr>
        <w:t xml:space="preserve">the </w:t>
      </w:r>
      <w:r w:rsidR="00F86739" w:rsidRPr="0067622F">
        <w:rPr>
          <w:lang w:val="en-US"/>
        </w:rPr>
        <w:t xml:space="preserve">transportation costs and the topology of the territory </w:t>
      </w:r>
      <w:r w:rsidR="00147054" w:rsidRPr="0067622F">
        <w:rPr>
          <w:lang w:val="en-US"/>
        </w:rPr>
        <w:t>must be carefully considered</w:t>
      </w:r>
      <w:r w:rsidR="00AF65F3">
        <w:rPr>
          <w:lang w:val="en-US"/>
        </w:rPr>
        <w:t xml:space="preserve"> </w:t>
      </w:r>
      <w:r w:rsidR="00AF65F3">
        <w:rPr>
          <w:lang w:val="en-US"/>
        </w:rPr>
        <w:fldChar w:fldCharType="begin"/>
      </w:r>
      <w:r w:rsidR="00AF65F3">
        <w:rPr>
          <w:lang w:val="en-US"/>
        </w:rPr>
        <w:instrText xml:space="preserve"> ADDIN ZOTERO_ITEM CSL_CITATION {"citationID":"5KufFNyz","properties":{"formattedCitation":"(Giuliano et al., 2024)","plainCitation":"(Giuliano et al., 2024)","noteIndex":0},"citationItems":[{"id":3871,"uris":["http://zotero.org/users/10649518/items/4L2AKSPY"],"itemData":{"id":3871,"type":"article-journal","abstract":"To achieve sustainable development, the transition from a fossil-based economy to a circular economy is essential. The use of renewable energy sources to make the overall carbon foot print more favorable is an important pre-requisite. In this context, it is crucial to valorize all renewable resources through an optimized local integration. One opportunity arises through the synergy between bioresources and green hydrogen. Through techno-economic assessments, this work analyzes four local case studies that integrate bio-based processes with green hydrogen produced via electrolysis using renewable energy sources. An analysis of the use of webGIS tools (i.e., Atlas of Biorefineries of IEA Bioenergy) to identify existing biorefineries that require hydrogen in relation to territories with a potential availability of green hydrogen, has never been conducted before. This paper provides an evaluation of the production costs of the target products as a function of the local green hydrogen supply costs. The results revealed that the impact of green hydrogen costs could vary widely, ranging from 1% to 95% of the total production costs, depending on the bio-based target product evaluated. Additionally, hydrogen demand in the target area could require an installed variable renewable energy capacity of 20 MW and 500 MW. On the whole, the local integration of biorefineries and green hydrogen could represent an optimal opportunity to make hydrogenated bio-based products 100% renewable.","container-title":"Energies","DOI":"10.3390/en17235966","ISSN":"1996-1073","issue":"23","journalAbbreviation":"Energies","language":"en","license":"https://creativecommons.org/licenses/by/4.0/","page":"5966","source":"DOI.org (Crossref)","title":"Techno-Economic Analysis of Territorial Case Studies for the Integration of Biorefineries and Green Hydrogen","volume":"17","author":[{"family":"Giuliano","given":"Aristide"},{"family":"Stichnothe","given":"Heinz"},{"family":"Pierro","given":"Nicola"},{"family":"De Bari","given":"Isabella"}],"issued":{"date-parts":[["2024",11,27]]}}}],"schema":"https://github.com/citation-style-language/schema/raw/master/csl-citation.json"} </w:instrText>
      </w:r>
      <w:r w:rsidR="00AF65F3">
        <w:rPr>
          <w:lang w:val="en-US"/>
        </w:rPr>
        <w:fldChar w:fldCharType="separate"/>
      </w:r>
      <w:r w:rsidR="00AF65F3" w:rsidRPr="00AF65F3">
        <w:rPr>
          <w:rFonts w:cs="Arial"/>
        </w:rPr>
        <w:t>(Giuliano et al., 2024)</w:t>
      </w:r>
      <w:r w:rsidR="00AF65F3">
        <w:rPr>
          <w:lang w:val="en-US"/>
        </w:rPr>
        <w:fldChar w:fldCharType="end"/>
      </w:r>
      <w:r w:rsidR="00F86739" w:rsidRPr="0067622F">
        <w:rPr>
          <w:lang w:val="en-US"/>
        </w:rPr>
        <w:t>.</w:t>
      </w:r>
      <w:r w:rsidR="005A4EEA" w:rsidRPr="0067622F">
        <w:rPr>
          <w:lang w:val="en-US"/>
        </w:rPr>
        <w:t xml:space="preserve"> </w:t>
      </w:r>
      <w:r w:rsidR="00922463" w:rsidRPr="0067622F">
        <w:rPr>
          <w:lang w:val="en-US"/>
        </w:rPr>
        <w:t xml:space="preserve">One of the most suitable optimization </w:t>
      </w:r>
      <w:r w:rsidR="00D628C4" w:rsidRPr="0067622F">
        <w:rPr>
          <w:lang w:val="en-US"/>
        </w:rPr>
        <w:t>approaches</w:t>
      </w:r>
      <w:r w:rsidR="00922463" w:rsidRPr="0067622F">
        <w:rPr>
          <w:lang w:val="en-US"/>
        </w:rPr>
        <w:t xml:space="preserve"> is a multiperiod </w:t>
      </w:r>
      <w:r w:rsidR="00147054" w:rsidRPr="0067622F">
        <w:rPr>
          <w:lang w:val="en-US"/>
        </w:rPr>
        <w:t>M</w:t>
      </w:r>
      <w:r w:rsidR="00922463" w:rsidRPr="0067622F">
        <w:rPr>
          <w:lang w:val="en-US"/>
        </w:rPr>
        <w:t>ixed-</w:t>
      </w:r>
      <w:r w:rsidR="00CF176E" w:rsidRPr="0067622F">
        <w:rPr>
          <w:lang w:val="en-US"/>
        </w:rPr>
        <w:t>I</w:t>
      </w:r>
      <w:r w:rsidR="00922463" w:rsidRPr="0067622F">
        <w:rPr>
          <w:lang w:val="en-US"/>
        </w:rPr>
        <w:t xml:space="preserve">nteger </w:t>
      </w:r>
      <w:r w:rsidR="00CF176E" w:rsidRPr="0067622F">
        <w:rPr>
          <w:lang w:val="en-US"/>
        </w:rPr>
        <w:t>L</w:t>
      </w:r>
      <w:r w:rsidR="00922463" w:rsidRPr="0067622F">
        <w:rPr>
          <w:lang w:val="en-US"/>
        </w:rPr>
        <w:t xml:space="preserve">inear </w:t>
      </w:r>
      <w:r w:rsidR="00CF176E" w:rsidRPr="0067622F">
        <w:rPr>
          <w:lang w:val="en-US"/>
        </w:rPr>
        <w:t>P</w:t>
      </w:r>
      <w:r w:rsidR="00922463" w:rsidRPr="0067622F">
        <w:rPr>
          <w:lang w:val="en-US"/>
        </w:rPr>
        <w:t>rogram</w:t>
      </w:r>
      <w:r w:rsidR="00673F51" w:rsidRPr="0067622F">
        <w:rPr>
          <w:lang w:val="en-US"/>
        </w:rPr>
        <w:t>ming (</w:t>
      </w:r>
      <w:proofErr w:type="spellStart"/>
      <w:r w:rsidR="00673F51" w:rsidRPr="0067622F">
        <w:rPr>
          <w:lang w:val="en-US"/>
        </w:rPr>
        <w:t>MILP</w:t>
      </w:r>
      <w:proofErr w:type="spellEnd"/>
      <w:r w:rsidR="00673F51" w:rsidRPr="0067622F">
        <w:rPr>
          <w:lang w:val="en-US"/>
        </w:rPr>
        <w:t>)</w:t>
      </w:r>
      <w:r w:rsidR="00013770">
        <w:rPr>
          <w:lang w:val="en-US"/>
        </w:rPr>
        <w:t xml:space="preserve"> </w:t>
      </w:r>
      <w:r w:rsidR="00690187">
        <w:rPr>
          <w:lang w:val="en-US"/>
        </w:rPr>
        <w:fldChar w:fldCharType="begin"/>
      </w:r>
      <w:r w:rsidR="00690187">
        <w:rPr>
          <w:lang w:val="en-US"/>
        </w:rPr>
        <w:instrText xml:space="preserve"> ADDIN ZOTERO_ITEM CSL_CITATION {"citationID":"MBojsjD5","properties":{"formattedCitation":"(Giuliano et al., 2014)","plainCitation":"(Giuliano et al., 2014)","noteIndex":0},"citationItems":[{"id":3447,"uris":["http://zotero.org/users/10649518/items/92C94V7A"],"itemData":{"id":3447,"type":"article-journal","container-title":"Computer Aided Chemical Engineering","DOI":"10.1016/B978-0-444-63455-9.50072-6","page":"1423–1428","title":"Optimization of a Multiproduct Lignocellulosic Biorefinery using a MILP Approximation","author":[{"family":"Giuliano","given":"Aristide"},{"family":"Cerulli","given":"Raffaele"},{"family":"Poletto","given":"Massimo"},{"family":"Raiconi","given":"Giancarlo"},{"family":"Barletta","given":"Diego"}],"issued":{"date-parts":[["2014"]]}}}],"schema":"https://github.com/citation-style-language/schema/raw/master/csl-citation.json"} </w:instrText>
      </w:r>
      <w:r w:rsidR="00690187">
        <w:rPr>
          <w:lang w:val="en-US"/>
        </w:rPr>
        <w:fldChar w:fldCharType="separate"/>
      </w:r>
      <w:r w:rsidR="00690187" w:rsidRPr="00690187">
        <w:rPr>
          <w:rFonts w:cs="Arial"/>
        </w:rPr>
        <w:t>(Giuliano et al., 2014)</w:t>
      </w:r>
      <w:r w:rsidR="00690187">
        <w:rPr>
          <w:lang w:val="en-US"/>
        </w:rPr>
        <w:fldChar w:fldCharType="end"/>
      </w:r>
      <w:r w:rsidR="00673F51" w:rsidRPr="0067622F">
        <w:rPr>
          <w:lang w:val="en-US"/>
        </w:rPr>
        <w:t>, which integrates decision-making across multiple temp</w:t>
      </w:r>
      <w:r w:rsidR="00F20D12" w:rsidRPr="0067622F">
        <w:rPr>
          <w:lang w:val="en-US"/>
        </w:rPr>
        <w:t>o</w:t>
      </w:r>
      <w:r w:rsidR="00673F51" w:rsidRPr="0067622F">
        <w:rPr>
          <w:lang w:val="en-US"/>
        </w:rPr>
        <w:t>ral and spatial scales</w:t>
      </w:r>
      <w:r w:rsidR="00BF24B9" w:rsidRPr="0067622F">
        <w:rPr>
          <w:lang w:val="en-US"/>
        </w:rPr>
        <w:t xml:space="preserve">, </w:t>
      </w:r>
      <w:r w:rsidR="00CF176E" w:rsidRPr="0067622F">
        <w:rPr>
          <w:lang w:val="en-US"/>
        </w:rPr>
        <w:t>enabling the identification of the optimal</w:t>
      </w:r>
      <w:r w:rsidR="00BF24B9" w:rsidRPr="0067622F">
        <w:rPr>
          <w:lang w:val="en-US"/>
        </w:rPr>
        <w:t xml:space="preserve"> network design, facility location</w:t>
      </w:r>
      <w:r w:rsidR="00CF176E" w:rsidRPr="0067622F">
        <w:rPr>
          <w:lang w:val="en-US"/>
        </w:rPr>
        <w:t>s</w:t>
      </w:r>
      <w:r w:rsidR="00B0110A" w:rsidRPr="0067622F">
        <w:rPr>
          <w:lang w:val="en-US"/>
        </w:rPr>
        <w:t xml:space="preserve"> and logistics management decisions</w:t>
      </w:r>
      <w:r w:rsidR="00CA746C" w:rsidRPr="0067622F">
        <w:rPr>
          <w:lang w:val="en-US"/>
        </w:rPr>
        <w:t xml:space="preserve">. </w:t>
      </w:r>
      <w:r w:rsidR="00C40A26">
        <w:rPr>
          <w:lang w:val="en-US"/>
        </w:rPr>
        <w:fldChar w:fldCharType="begin"/>
      </w:r>
      <w:r w:rsidR="00C40A26">
        <w:rPr>
          <w:lang w:val="en-US"/>
        </w:rPr>
        <w:instrText xml:space="preserve"> ADDIN ZOTERO_ITEM CSL_CITATION {"citationID":"C14noLEZ","properties":{"formattedCitation":"(Galanopoulos et al., 2018)","plainCitation":"(Galanopoulos et al., 2018)","noteIndex":0},"citationItems":[{"id":2963,"uris":["http://zotero.org/users/10649518/items/VY2V4N8B"],"itemData":{"id":2963,"type":"article-journal","abstract":"In this work, a biomass supply chain model, for the region of Lower Saxony and Bremen in northern Germany, has been developed. Because of Germany's high demand for biofuels, the production and distribution of levulinic acid and bioethanol by wheat straw is studied. An illustrative bio-based supply chain model is developed and implemented in the Advanced Interactive Multidimensional Modeling (AIMMS) software. Then, this model is used to study the logistics, network optimization, transportation and inventory management, and the resulting environmental and economic impacts. In the end, a sensitivity analysis is conducted to evaluate the influence of key model parameters on these impacts. The results showed that a wheat straw supply chain network is profitable in the area of Bremen and Lower Saxony even though the bioproducts demand is not fully covered and that the transportation costs did not have a strong impact on the supply chain network.","container-title":"Computers and Chemical Engineering","DOI":"10.1016/j.compchemeng.2018.03.024","ISSN":"00981354","page":"233–242","publisher":"Elsevier Ltd","title":"A decision support platform for a bio-based supply chain: Application to the region of Lower Saxony and Bremen (Germany).","volume":"115","author":[{"family":"Galanopoulos","given":"Christos"},{"family":"Barletta","given":"Diego"},{"family":"Zondervan","given":"Edwin"}],"issued":{"date-parts":[["2018"]]}}}],"schema":"https://github.com/citation-style-language/schema/raw/master/csl-citation.json"} </w:instrText>
      </w:r>
      <w:r w:rsidR="00C40A26">
        <w:rPr>
          <w:lang w:val="en-US"/>
        </w:rPr>
        <w:fldChar w:fldCharType="separate"/>
      </w:r>
      <w:r w:rsidR="00C40A26" w:rsidRPr="00C40A26">
        <w:rPr>
          <w:rFonts w:cs="Arial"/>
        </w:rPr>
        <w:t xml:space="preserve">Galanopoulos et al. </w:t>
      </w:r>
      <w:r w:rsidR="00C40A26">
        <w:rPr>
          <w:rFonts w:cs="Arial"/>
        </w:rPr>
        <w:t>(</w:t>
      </w:r>
      <w:r w:rsidR="00C40A26" w:rsidRPr="00C40A26">
        <w:rPr>
          <w:rFonts w:cs="Arial"/>
        </w:rPr>
        <w:t>2018)</w:t>
      </w:r>
      <w:r w:rsidR="00C40A26">
        <w:rPr>
          <w:lang w:val="en-US"/>
        </w:rPr>
        <w:fldChar w:fldCharType="end"/>
      </w:r>
      <w:r w:rsidR="00CA746C" w:rsidRPr="0067622F">
        <w:rPr>
          <w:lang w:val="en-US"/>
        </w:rPr>
        <w:t xml:space="preserve"> </w:t>
      </w:r>
      <w:r w:rsidR="00DA55B8" w:rsidRPr="0067622F">
        <w:rPr>
          <w:lang w:val="en-US"/>
        </w:rPr>
        <w:t xml:space="preserve">developed a </w:t>
      </w:r>
      <w:r w:rsidR="00ED6035" w:rsidRPr="0067622F">
        <w:rPr>
          <w:lang w:val="en-US"/>
        </w:rPr>
        <w:t xml:space="preserve">biomass supply chain model for the region of Lower Saxony and Bremen, in Germany, </w:t>
      </w:r>
      <w:proofErr w:type="gramStart"/>
      <w:r w:rsidR="00ED6035" w:rsidRPr="0067622F">
        <w:rPr>
          <w:lang w:val="en-US"/>
        </w:rPr>
        <w:t>in order to</w:t>
      </w:r>
      <w:proofErr w:type="gramEnd"/>
      <w:r w:rsidR="00ED6035" w:rsidRPr="0067622F">
        <w:rPr>
          <w:lang w:val="en-US"/>
        </w:rPr>
        <w:t xml:space="preserve"> valorize </w:t>
      </w:r>
      <w:r w:rsidR="00BB5A10" w:rsidRPr="0067622F">
        <w:rPr>
          <w:lang w:val="en-US"/>
        </w:rPr>
        <w:t>the wheat straw produced to obtain levulinic acid</w:t>
      </w:r>
      <w:r w:rsidR="001442AB" w:rsidRPr="0067622F">
        <w:rPr>
          <w:lang w:val="en-US"/>
        </w:rPr>
        <w:t xml:space="preserve">, which is the main product, </w:t>
      </w:r>
      <w:r w:rsidR="00BB5A10" w:rsidRPr="0067622F">
        <w:rPr>
          <w:lang w:val="en-US"/>
        </w:rPr>
        <w:t>and bioethanol</w:t>
      </w:r>
      <w:r w:rsidR="0066276A" w:rsidRPr="0067622F">
        <w:rPr>
          <w:lang w:val="en-US"/>
        </w:rPr>
        <w:t xml:space="preserve">, considered ad a byproduct. </w:t>
      </w:r>
      <w:r w:rsidR="00BA60A9" w:rsidRPr="0067622F">
        <w:rPr>
          <w:lang w:val="en-US"/>
        </w:rPr>
        <w:t xml:space="preserve">The </w:t>
      </w:r>
      <w:r w:rsidR="00742980" w:rsidRPr="0067622F">
        <w:rPr>
          <w:lang w:val="en-US"/>
        </w:rPr>
        <w:t>mathematical model obtained was</w:t>
      </w:r>
      <w:r w:rsidR="000D331F" w:rsidRPr="0067622F">
        <w:rPr>
          <w:lang w:val="en-US"/>
        </w:rPr>
        <w:t xml:space="preserve"> </w:t>
      </w:r>
      <w:r w:rsidR="0006614D" w:rsidRPr="0067622F">
        <w:rPr>
          <w:lang w:val="en-US"/>
        </w:rPr>
        <w:t>Non-Linear</w:t>
      </w:r>
      <w:r w:rsidR="00700BA3" w:rsidRPr="0067622F">
        <w:rPr>
          <w:lang w:val="en-US"/>
        </w:rPr>
        <w:t xml:space="preserve"> Programming, which bec</w:t>
      </w:r>
      <w:r w:rsidR="0006614D" w:rsidRPr="0067622F">
        <w:rPr>
          <w:lang w:val="en-US"/>
        </w:rPr>
        <w:t>a</w:t>
      </w:r>
      <w:r w:rsidR="00700BA3" w:rsidRPr="0067622F">
        <w:rPr>
          <w:lang w:val="en-US"/>
        </w:rPr>
        <w:t xml:space="preserve">me </w:t>
      </w:r>
      <w:r w:rsidR="006C6C1E" w:rsidRPr="0067622F">
        <w:rPr>
          <w:lang w:val="en-US"/>
        </w:rPr>
        <w:t xml:space="preserve">a </w:t>
      </w:r>
      <w:r w:rsidR="000D331F" w:rsidRPr="0067622F">
        <w:rPr>
          <w:lang w:val="en-US"/>
        </w:rPr>
        <w:t xml:space="preserve">Mixed-Integer Linear Programming </w:t>
      </w:r>
      <w:r w:rsidR="006C6C1E" w:rsidRPr="0067622F">
        <w:rPr>
          <w:lang w:val="en-US"/>
        </w:rPr>
        <w:t xml:space="preserve">using the </w:t>
      </w:r>
      <w:r w:rsidR="006C6C1E" w:rsidRPr="76995192">
        <w:rPr>
          <w:rFonts w:cs="Arial"/>
          <w:lang w:val="it-IT"/>
        </w:rPr>
        <w:t>λ</w:t>
      </w:r>
      <w:r w:rsidR="006C6C1E" w:rsidRPr="0067622F">
        <w:rPr>
          <w:lang w:val="en-US"/>
        </w:rPr>
        <w:t>-</w:t>
      </w:r>
      <w:r w:rsidR="00BB4C8A" w:rsidRPr="0067622F">
        <w:rPr>
          <w:lang w:val="en-US"/>
        </w:rPr>
        <w:t>formulation as piecewise linearization method</w:t>
      </w:r>
      <w:r w:rsidR="0006614D" w:rsidRPr="0067622F">
        <w:rPr>
          <w:lang w:val="en-US"/>
        </w:rPr>
        <w:t xml:space="preserve">; </w:t>
      </w:r>
      <w:r w:rsidR="000D331F" w:rsidRPr="0067622F">
        <w:rPr>
          <w:lang w:val="en-US"/>
        </w:rPr>
        <w:t xml:space="preserve">the objective </w:t>
      </w:r>
      <w:r w:rsidR="0006614D" w:rsidRPr="0067622F">
        <w:rPr>
          <w:lang w:val="en-US"/>
        </w:rPr>
        <w:t xml:space="preserve">of the mathematical model </w:t>
      </w:r>
      <w:r w:rsidR="000D331F" w:rsidRPr="0067622F">
        <w:rPr>
          <w:lang w:val="en-US"/>
        </w:rPr>
        <w:t>was to maximize the annual profit.</w:t>
      </w:r>
      <w:r w:rsidR="00851941" w:rsidRPr="0067622F">
        <w:rPr>
          <w:lang w:val="en-US"/>
        </w:rPr>
        <w:t xml:space="preserve"> </w:t>
      </w:r>
      <w:r w:rsidR="00857359">
        <w:rPr>
          <w:lang w:val="en-US"/>
        </w:rPr>
        <w:fldChar w:fldCharType="begin"/>
      </w:r>
      <w:r w:rsidR="00857359">
        <w:rPr>
          <w:lang w:val="en-US"/>
        </w:rPr>
        <w:instrText xml:space="preserve"> ADDIN ZOTERO_ITEM CSL_CITATION {"citationID":"pdCUhmoa","properties":{"formattedCitation":"(\\uc0\\u268{}u\\uc0\\u269{}ek et al., 2014)","plainCitation":"(Čuček et al., 2014)","noteIndex":0},"citationItems":[{"id":5022,"uris":["http://zotero.org/users/10649518/items/VMC4AVWE"],"itemData":{"id":5022,"type":"article-journal","abstract":"This contribution addresses the multi-period synthesis of an optimally integrated regional biomass and bioenergy supply network through a mixed-integer linear programing (MILP) approach. The production processes from different sources of biomass include first, second, and third generations of biofuels like bioethanol, biodiesel, hydrogen, Fischer Tropsch diesel, and green gasoline. The aim is to maximize the sustainably viable utilization of resources by accounting for the competition between fuels and food production. An MILP model for efficient bioenergy network optimization based on four layers is extended to include several features, such as seasonality and availability of resources, enabling recycles of products and total site heat integration in order to address real-world applications with a systematic decision-making approach. The multi-period optimization of a heat-integrated biorefinery's supply network is performed through maximization of the economic performance. Economically efficient solutions are obtained with optimal selection of raw materials, technologies, intermediate and final product flows, and reduced greenhouse-gas emissions.","collection-title":"Selected papers from ESCAPE-23 (European Symposium on Computer Aided Process Engineering - 23), 9-12 June 2013, Lappeenranta, Finland","container-title":"Computers &amp; Chemical Engineering","DOI":"10.1016/j.compchemeng.2014.02.020","ISSN":"0098-1354","journalAbbreviation":"Computers &amp; Chemical Engineering","page":"57-70","source":"ScienceDirect","title":"Multi-period synthesis of optimally integrated biomass and bioenergy supply network","volume":"66","author":[{"family":"Čuček","given":"Lidija"},{"family":"Martín","given":"Mariano"},{"family":"Grossmann","given":"Ignacio E."},{"family":"Kravanja","given":"Zdravko"}],"issued":{"date-parts":[["2014",7,4]]}}}],"schema":"https://github.com/citation-style-language/schema/raw/master/csl-citation.json"} </w:instrText>
      </w:r>
      <w:r w:rsidR="00857359">
        <w:rPr>
          <w:lang w:val="en-US"/>
        </w:rPr>
        <w:fldChar w:fldCharType="separate"/>
      </w:r>
      <w:r w:rsidR="00857359" w:rsidRPr="00857359">
        <w:rPr>
          <w:rFonts w:cs="Arial"/>
        </w:rPr>
        <w:t xml:space="preserve">Čuček et al. </w:t>
      </w:r>
      <w:r w:rsidR="00857359">
        <w:rPr>
          <w:rFonts w:cs="Arial"/>
        </w:rPr>
        <w:t>(</w:t>
      </w:r>
      <w:r w:rsidR="00857359" w:rsidRPr="00857359">
        <w:rPr>
          <w:rFonts w:cs="Arial"/>
        </w:rPr>
        <w:t>2014)</w:t>
      </w:r>
      <w:r w:rsidR="00857359">
        <w:rPr>
          <w:lang w:val="en-US"/>
        </w:rPr>
        <w:fldChar w:fldCharType="end"/>
      </w:r>
      <w:r w:rsidR="00857359">
        <w:rPr>
          <w:lang w:val="en-US"/>
        </w:rPr>
        <w:t xml:space="preserve"> </w:t>
      </w:r>
      <w:r w:rsidR="00851941" w:rsidRPr="0067622F">
        <w:rPr>
          <w:lang w:val="en-US"/>
        </w:rPr>
        <w:t>developed</w:t>
      </w:r>
      <w:r w:rsidR="00EA3A40" w:rsidRPr="0067622F">
        <w:rPr>
          <w:lang w:val="en-US"/>
        </w:rPr>
        <w:t xml:space="preserve"> a </w:t>
      </w:r>
      <w:proofErr w:type="spellStart"/>
      <w:r w:rsidR="00EA3A40" w:rsidRPr="0067622F">
        <w:rPr>
          <w:lang w:val="en-US"/>
        </w:rPr>
        <w:t>MILP</w:t>
      </w:r>
      <w:proofErr w:type="spellEnd"/>
      <w:r w:rsidR="00EA3A40" w:rsidRPr="0067622F">
        <w:rPr>
          <w:lang w:val="en-US"/>
        </w:rPr>
        <w:t xml:space="preserve"> model taking account of different types of biomass</w:t>
      </w:r>
      <w:r w:rsidR="00704E1D" w:rsidRPr="0067622F">
        <w:rPr>
          <w:lang w:val="en-US"/>
        </w:rPr>
        <w:t xml:space="preserve"> and</w:t>
      </w:r>
      <w:r w:rsidR="005C6D56" w:rsidRPr="0067622F">
        <w:rPr>
          <w:lang w:val="en-US"/>
        </w:rPr>
        <w:t xml:space="preserve"> considering first, second and third generation biofuels, in order to maximize the economic profit</w:t>
      </w:r>
      <w:r w:rsidR="002F55B8">
        <w:rPr>
          <w:lang w:val="en-US"/>
        </w:rPr>
        <w:t xml:space="preserve">. </w:t>
      </w:r>
      <w:r w:rsidR="002F55B8">
        <w:rPr>
          <w:lang w:val="en-US"/>
        </w:rPr>
        <w:fldChar w:fldCharType="begin"/>
      </w:r>
      <w:r w:rsidR="002F55B8">
        <w:rPr>
          <w:lang w:val="en-US"/>
        </w:rPr>
        <w:instrText xml:space="preserve"> ADDIN ZOTERO_ITEM CSL_CITATION {"citationID":"tmLPVx1I","properties":{"formattedCitation":"(Kostin et al., 2018)","plainCitation":"(Kostin et al., 2018)","noteIndex":0},"citationItems":[{"id":3024,"uris":["http://zotero.org/users/10649518/items/VQEWVI73"],"itemData":{"id":3024,"type":"article-journal","container-title":"Computers &amp; Chemical Engineering","page":"121–132","title":"Optimization-based approach for maximizing profitability of bioethanol supply chain in Brazil","volume":"115","author":[{"family":"Kostin","given":"Andrei"},{"family":"Macowski","given":"Diogo H."},{"family":"Pietrobelli","given":"Juliana M.T.A."},{"family":"Guillén-Gosálbez","given":"Gonzalo"},{"family":"Jiménez","given":"Laureano"},{"family":"Ravagnani","given":"Mauro A.S.S."}],"issued":{"date-parts":[["2018"]]}}}],"schema":"https://github.com/citation-style-language/schema/raw/master/csl-citation.json"} </w:instrText>
      </w:r>
      <w:r w:rsidR="002F55B8">
        <w:rPr>
          <w:lang w:val="en-US"/>
        </w:rPr>
        <w:fldChar w:fldCharType="separate"/>
      </w:r>
      <w:r w:rsidR="002F55B8" w:rsidRPr="002F55B8">
        <w:rPr>
          <w:rFonts w:cs="Arial"/>
        </w:rPr>
        <w:t xml:space="preserve">Kostin et al., </w:t>
      </w:r>
      <w:r w:rsidR="002F55B8">
        <w:rPr>
          <w:rFonts w:cs="Arial"/>
        </w:rPr>
        <w:t>(</w:t>
      </w:r>
      <w:r w:rsidR="002F55B8" w:rsidRPr="002F55B8">
        <w:rPr>
          <w:rFonts w:cs="Arial"/>
        </w:rPr>
        <w:t>2018)</w:t>
      </w:r>
      <w:r w:rsidR="002F55B8">
        <w:rPr>
          <w:lang w:val="en-US"/>
        </w:rPr>
        <w:fldChar w:fldCharType="end"/>
      </w:r>
      <w:r w:rsidR="00FF5C7B" w:rsidRPr="0067622F">
        <w:rPr>
          <w:lang w:val="en-US"/>
        </w:rPr>
        <w:t xml:space="preserve"> formulated a </w:t>
      </w:r>
      <w:proofErr w:type="spellStart"/>
      <w:r w:rsidR="00FF5C7B" w:rsidRPr="0067622F">
        <w:rPr>
          <w:lang w:val="en-US"/>
        </w:rPr>
        <w:t>MILP</w:t>
      </w:r>
      <w:proofErr w:type="spellEnd"/>
      <w:r w:rsidR="00FF5C7B" w:rsidRPr="0067622F">
        <w:rPr>
          <w:lang w:val="en-US"/>
        </w:rPr>
        <w:t xml:space="preserve"> model for the maximization of the </w:t>
      </w:r>
      <w:r w:rsidR="0086555D" w:rsidRPr="0067622F">
        <w:rPr>
          <w:lang w:val="en-US"/>
        </w:rPr>
        <w:t>N</w:t>
      </w:r>
      <w:r w:rsidR="00FF5C7B" w:rsidRPr="0067622F">
        <w:rPr>
          <w:lang w:val="en-US"/>
        </w:rPr>
        <w:t xml:space="preserve">et </w:t>
      </w:r>
      <w:r w:rsidR="0086555D" w:rsidRPr="0067622F">
        <w:rPr>
          <w:lang w:val="en-US"/>
        </w:rPr>
        <w:t>P</w:t>
      </w:r>
      <w:r w:rsidR="00FF5C7B" w:rsidRPr="0067622F">
        <w:rPr>
          <w:lang w:val="en-US"/>
        </w:rPr>
        <w:t xml:space="preserve">resent </w:t>
      </w:r>
      <w:r w:rsidR="0086555D" w:rsidRPr="0067622F">
        <w:rPr>
          <w:lang w:val="en-US"/>
        </w:rPr>
        <w:t>V</w:t>
      </w:r>
      <w:r w:rsidR="00FF5C7B" w:rsidRPr="0067622F">
        <w:rPr>
          <w:lang w:val="en-US"/>
        </w:rPr>
        <w:t>alue (NPV)</w:t>
      </w:r>
      <w:r w:rsidR="007E6EB1" w:rsidRPr="0067622F">
        <w:rPr>
          <w:lang w:val="en-US"/>
        </w:rPr>
        <w:t xml:space="preserve"> </w:t>
      </w:r>
      <w:proofErr w:type="gramStart"/>
      <w:r w:rsidR="007E6EB1" w:rsidRPr="0067622F">
        <w:rPr>
          <w:lang w:val="en-US"/>
        </w:rPr>
        <w:t>in order to</w:t>
      </w:r>
      <w:proofErr w:type="gramEnd"/>
      <w:r w:rsidR="007E6EB1" w:rsidRPr="0067622F">
        <w:rPr>
          <w:lang w:val="en-US"/>
        </w:rPr>
        <w:t xml:space="preserve"> optimize the supply chain of the bioethanol in Brazil, </w:t>
      </w:r>
      <w:proofErr w:type="gramStart"/>
      <w:r w:rsidR="007E6EB1" w:rsidRPr="0067622F">
        <w:rPr>
          <w:lang w:val="en-US"/>
        </w:rPr>
        <w:t>taking into accou</w:t>
      </w:r>
      <w:r w:rsidR="008879E1" w:rsidRPr="0067622F">
        <w:rPr>
          <w:lang w:val="en-US"/>
        </w:rPr>
        <w:t>n</w:t>
      </w:r>
      <w:r w:rsidR="007E6EB1" w:rsidRPr="0067622F">
        <w:rPr>
          <w:lang w:val="en-US"/>
        </w:rPr>
        <w:t>t</w:t>
      </w:r>
      <w:proofErr w:type="gramEnd"/>
      <w:r w:rsidR="007E6EB1" w:rsidRPr="0067622F">
        <w:rPr>
          <w:lang w:val="en-US"/>
        </w:rPr>
        <w:t xml:space="preserve"> seven different production technology, two different storage facilities</w:t>
      </w:r>
      <w:r w:rsidR="00502D96" w:rsidRPr="0067622F">
        <w:rPr>
          <w:lang w:val="en-US"/>
        </w:rPr>
        <w:t>, three types of transportation modes and seven exportation options.</w:t>
      </w:r>
      <w:r w:rsidR="00E310A7" w:rsidRPr="0067622F">
        <w:rPr>
          <w:lang w:val="en-US"/>
        </w:rPr>
        <w:t xml:space="preserve"> </w:t>
      </w:r>
      <w:r w:rsidR="00BE28E3" w:rsidRPr="00BE28E3">
        <w:rPr>
          <w:lang w:val="en-US"/>
        </w:rPr>
        <w:t xml:space="preserve">However, </w:t>
      </w:r>
      <w:proofErr w:type="gramStart"/>
      <w:r w:rsidR="00BE28E3" w:rsidRPr="00BE28E3">
        <w:rPr>
          <w:lang w:val="en-US"/>
        </w:rPr>
        <w:t>the scientific</w:t>
      </w:r>
      <w:proofErr w:type="gramEnd"/>
      <w:r w:rsidR="00BE28E3" w:rsidRPr="00BE28E3">
        <w:rPr>
          <w:lang w:val="en-US"/>
        </w:rPr>
        <w:t xml:space="preserve"> literature has not yet succeeded in examining biorefinery supply chains based on actual bioresource availability and rigorous modeling approaches, in terms of feedstock conversion yields and costs, to identify optimal plant locations and scales.</w:t>
      </w:r>
      <w:r w:rsidR="00BE28E3" w:rsidRPr="00BE28E3">
        <w:rPr>
          <w:lang w:val="en-US"/>
        </w:rPr>
        <w:t xml:space="preserve"> </w:t>
      </w:r>
      <w:r w:rsidR="004A2E4E">
        <w:t xml:space="preserve">The purpose of this work is precisely to make available an application of a methodology that integrates real or potential data on the availability of bioresources with supply chain models, </w:t>
      </w:r>
      <w:proofErr w:type="gramStart"/>
      <w:r w:rsidR="004A2E4E">
        <w:t>in order to</w:t>
      </w:r>
      <w:proofErr w:type="gramEnd"/>
      <w:r w:rsidR="004A2E4E">
        <w:t xml:space="preserve"> identify the optimal location and scale of biorefineries. Specifically, four Italian regions (Emilia Romagna, Marche, Campania, and Puglia) were </w:t>
      </w:r>
      <w:proofErr w:type="spellStart"/>
      <w:r w:rsidR="004A2E4E">
        <w:t>analyzed</w:t>
      </w:r>
      <w:proofErr w:type="spellEnd"/>
      <w:r w:rsidR="004A2E4E">
        <w:t xml:space="preserve"> with biomass availability at the municipal level and four types of biorefinery processes (methan</w:t>
      </w:r>
      <w:r w:rsidR="004714E3">
        <w:t>ol synthesis</w:t>
      </w:r>
      <w:r w:rsidR="004A2E4E">
        <w:t>, transesterification, anaerobic digestion and alcoholic fermentation).</w:t>
      </w:r>
    </w:p>
    <w:p w14:paraId="5741900F" w14:textId="592F5B4A" w:rsidR="00453E24" w:rsidRDefault="00E820B9" w:rsidP="00453E24">
      <w:pPr>
        <w:pStyle w:val="CETHeading1"/>
      </w:pPr>
      <w:r>
        <w:t>Methodology</w:t>
      </w:r>
    </w:p>
    <w:p w14:paraId="09406386" w14:textId="03F2E31C" w:rsidR="00453E24" w:rsidRDefault="00983C68" w:rsidP="00983C68">
      <w:pPr>
        <w:pStyle w:val="CETBodytext"/>
      </w:pPr>
      <w:r w:rsidRPr="00983C68">
        <w:t xml:space="preserve">The methodology applied in this study is depicted </w:t>
      </w:r>
      <w:r w:rsidR="00F97496">
        <w:t>like this, i</w:t>
      </w:r>
      <w:r w:rsidRPr="00983C68">
        <w:t xml:space="preserve">n </w:t>
      </w:r>
      <w:r w:rsidR="00F97496">
        <w:t>a</w:t>
      </w:r>
      <w:r w:rsidRPr="00983C68">
        <w:t xml:space="preserve"> first phase, Italian regions with a significant presence of the </w:t>
      </w:r>
      <w:r w:rsidR="00B43076">
        <w:t>bioresources</w:t>
      </w:r>
      <w:r w:rsidRPr="00983C68">
        <w:t xml:space="preserve"> were identified. The related biowaste streams were quantified and georeferenced at the municipal scale. Subsequently, the conversion technologies were assessed considering both their technical performance and their capital and operating costs. Target products were then defined, and the corresponding process yields were incorporated. Finally, the algorithm carried out an initial optimization of the supply chain network for a territory divided into municipalities, using data obtained from the national “Atlante delle </w:t>
      </w:r>
      <w:proofErr w:type="spellStart"/>
      <w:r w:rsidRPr="00983C68">
        <w:t>Biomasse</w:t>
      </w:r>
      <w:proofErr w:type="spellEnd"/>
      <w:r w:rsidRPr="00983C68">
        <w:t>” database</w:t>
      </w:r>
      <w:r w:rsidR="00674245">
        <w:t xml:space="preserve"> </w:t>
      </w:r>
      <w:r w:rsidR="00674245">
        <w:rPr>
          <w:rFonts w:eastAsia="Arial" w:cs="Arial"/>
          <w:szCs w:val="18"/>
        </w:rPr>
        <w:fldChar w:fldCharType="begin"/>
      </w:r>
      <w:r w:rsidR="00674245">
        <w:rPr>
          <w:rFonts w:eastAsia="Arial" w:cs="Arial"/>
          <w:szCs w:val="18"/>
        </w:rPr>
        <w:instrText xml:space="preserve"> ADDIN ZOTERO_ITEM CSL_CITATION {"citationID":"iI9Q2dd8","properties":{"formattedCitation":"(Pierro et al., 2021)","plainCitation":"(Pierro et al., 2021)","noteIndex":0},"citationItems":[{"id":4135,"uris":["http://zotero.org/users/10649518/items/YQA2PKTQ"],"itemData":{"id":4135,"type":"webpage","title":"Valutazione disponibilità biomasse agro-industriali a livello nazionale e loro pubblicazione sul portale Webgis atlante delle biomasse","URL":"https://iris.enea.it/handle/20.500.12079/56881","author":[{"family":"Pierro","given":"Nicola"},{"family":"Giocoli","given":"Alessandro"},{"family":"Motola","given":"Vincenzo"},{"family":"Dipinto","given":"Sebastiano"}],"accessed":{"date-parts":[["2023",10,17]]},"issued":{"date-parts":[["2021"]]}}}],"schema":"https://github.com/citation-style-language/schema/raw/master/csl-citation.json"} </w:instrText>
      </w:r>
      <w:r w:rsidR="00674245">
        <w:rPr>
          <w:rFonts w:eastAsia="Arial" w:cs="Arial"/>
          <w:szCs w:val="18"/>
        </w:rPr>
        <w:fldChar w:fldCharType="separate"/>
      </w:r>
      <w:r w:rsidR="00674245" w:rsidRPr="00674245">
        <w:rPr>
          <w:rFonts w:eastAsia="Arial" w:cs="Arial"/>
        </w:rPr>
        <w:t>(Pierro et al., 2021)</w:t>
      </w:r>
      <w:r w:rsidR="00674245">
        <w:rPr>
          <w:rFonts w:eastAsia="Arial" w:cs="Arial"/>
          <w:szCs w:val="18"/>
        </w:rPr>
        <w:fldChar w:fldCharType="end"/>
      </w:r>
      <w:r w:rsidRPr="00983C68">
        <w:t>.</w:t>
      </w:r>
    </w:p>
    <w:p w14:paraId="0636B784" w14:textId="569655D5" w:rsidR="00453E24" w:rsidRDefault="007D2EE2" w:rsidP="00453E24">
      <w:pPr>
        <w:pStyle w:val="CETheadingx"/>
      </w:pPr>
      <w:r w:rsidRPr="007D2EE2">
        <w:t>GIS-Based Forecasting of Regional Biomass Supply for Biorefineries</w:t>
      </w:r>
    </w:p>
    <w:p w14:paraId="640EB3FA" w14:textId="10F2D093" w:rsidR="00062BAB" w:rsidRDefault="6FB3D1BD">
      <w:pPr>
        <w:rPr>
          <w:rFonts w:eastAsia="Arial" w:cs="Arial"/>
          <w:szCs w:val="18"/>
          <w:lang w:val="en-US"/>
        </w:rPr>
      </w:pPr>
      <w:r w:rsidRPr="72905D90">
        <w:rPr>
          <w:rFonts w:eastAsia="Arial" w:cs="Arial"/>
          <w:szCs w:val="18"/>
          <w:lang w:val="en-US"/>
        </w:rPr>
        <w:t>The selection of case studies was performed using a multi-criteria approach, considering not only the highest absolute values in the dataset but also indicators reflecting the structural relevance and spatial distribution of each biomass or waste stream. In particular, the analysis considered territorial density (t/</w:t>
      </w:r>
      <w:proofErr w:type="spellStart"/>
      <w:r w:rsidRPr="72905D90">
        <w:rPr>
          <w:rFonts w:eastAsia="Arial" w:cs="Arial"/>
          <w:szCs w:val="18"/>
          <w:lang w:val="en-US"/>
        </w:rPr>
        <w:t>km²</w:t>
      </w:r>
      <w:proofErr w:type="spellEnd"/>
      <w:r w:rsidRPr="72905D90">
        <w:rPr>
          <w:rFonts w:eastAsia="Arial" w:cs="Arial"/>
          <w:szCs w:val="18"/>
          <w:lang w:val="en-US"/>
        </w:rPr>
        <w:t>), per-capita availability (t/ab), and average quantity per municipality (t/municipality), which together provide an indication of resource concentration, logistical feasibility, and potential supply chain organization. In addition, the selection aimed to ensure a geographically balanced and analytically comparable set of cases, avoiding the concentration of all analyses within the same macro-regional context.</w:t>
      </w:r>
      <w:r w:rsidR="0075194B">
        <w:rPr>
          <w:rFonts w:eastAsia="Arial" w:cs="Arial"/>
          <w:szCs w:val="18"/>
          <w:lang w:val="en-US"/>
        </w:rPr>
        <w:t xml:space="preserve"> </w:t>
      </w:r>
      <w:r w:rsidRPr="72905D90">
        <w:rPr>
          <w:rFonts w:eastAsia="Arial" w:cs="Arial"/>
          <w:szCs w:val="18"/>
          <w:lang w:val="en-US"/>
        </w:rPr>
        <w:t xml:space="preserve">Within this framework, Puglia was selected for straw residues due to its high overall availability and particularly large mass per municipality (3966 t/municipality), which indicates strong aggregation potential and favorable conditions for the development of a structured biomass supply chain. Campania was chosen for </w:t>
      </w:r>
      <w:r w:rsidR="00F42A51">
        <w:rPr>
          <w:rFonts w:eastAsia="Arial" w:cs="Arial"/>
          <w:szCs w:val="18"/>
          <w:lang w:val="en-US"/>
        </w:rPr>
        <w:t>Organic Fraction of Municipal Solid Waste (</w:t>
      </w:r>
      <w:proofErr w:type="spellStart"/>
      <w:r w:rsidR="002C15CC">
        <w:rPr>
          <w:rFonts w:eastAsia="Arial" w:cs="Arial"/>
          <w:szCs w:val="18"/>
          <w:lang w:val="en-US"/>
        </w:rPr>
        <w:t>OFMSW</w:t>
      </w:r>
      <w:proofErr w:type="spellEnd"/>
      <w:r w:rsidR="00F42A51">
        <w:rPr>
          <w:rFonts w:eastAsia="Arial" w:cs="Arial"/>
          <w:szCs w:val="18"/>
          <w:lang w:val="en-US"/>
        </w:rPr>
        <w:t>)</w:t>
      </w:r>
      <w:r w:rsidRPr="72905D90">
        <w:rPr>
          <w:rFonts w:eastAsia="Arial" w:cs="Arial"/>
          <w:szCs w:val="18"/>
          <w:lang w:val="en-US"/>
        </w:rPr>
        <w:t xml:space="preserve"> because it presents the highest territorial density among the regions analyzed (64.10 t/</w:t>
      </w:r>
      <w:proofErr w:type="spellStart"/>
      <w:r w:rsidRPr="72905D90">
        <w:rPr>
          <w:rFonts w:eastAsia="Arial" w:cs="Arial"/>
          <w:szCs w:val="18"/>
          <w:lang w:val="en-US"/>
        </w:rPr>
        <w:t>km²</w:t>
      </w:r>
      <w:proofErr w:type="spellEnd"/>
      <w:r w:rsidRPr="72905D90">
        <w:rPr>
          <w:rFonts w:eastAsia="Arial" w:cs="Arial"/>
          <w:szCs w:val="18"/>
          <w:lang w:val="en-US"/>
        </w:rPr>
        <w:t>), making it a particularly relevant context for assessing collection logistics and treatment infrastructure in high-intensity organic waste systems.</w:t>
      </w:r>
      <w:r w:rsidR="00D0775A">
        <w:rPr>
          <w:rFonts w:eastAsia="Arial" w:cs="Arial"/>
          <w:szCs w:val="18"/>
          <w:lang w:val="en-US"/>
        </w:rPr>
        <w:t xml:space="preserve"> </w:t>
      </w:r>
      <w:r w:rsidR="00D0775A" w:rsidRPr="5CCF4BFD">
        <w:rPr>
          <w:rFonts w:eastAsia="Arial" w:cs="Arial"/>
          <w:szCs w:val="18"/>
          <w:lang w:val="en-US"/>
        </w:rPr>
        <w:t>Emilia-Romagna was selected for pruning residues not because it represents the maximum value in the dataset, but because it combines substantial resource availability (214,694 t) with well-established agricultural and organizational conditions, making it a representative and potentially replicable context for biomass valorization pathways.</w:t>
      </w:r>
      <w:r w:rsidR="00D0775A">
        <w:rPr>
          <w:rFonts w:eastAsia="Arial" w:cs="Arial"/>
          <w:szCs w:val="18"/>
          <w:lang w:val="en-US"/>
        </w:rPr>
        <w:t xml:space="preserve"> </w:t>
      </w:r>
      <w:r w:rsidR="00D0775A" w:rsidRPr="5CCF4BFD">
        <w:rPr>
          <w:rFonts w:eastAsia="Arial" w:cs="Arial"/>
          <w:szCs w:val="18"/>
          <w:lang w:val="en-US"/>
        </w:rPr>
        <w:t>Similarly, the Marche region was selected for oil from contaminated land as an intermediate yet significant case (4.95 t/</w:t>
      </w:r>
      <w:proofErr w:type="spellStart"/>
      <w:r w:rsidR="00D0775A" w:rsidRPr="5CCF4BFD">
        <w:rPr>
          <w:rFonts w:eastAsia="Arial" w:cs="Arial"/>
          <w:szCs w:val="18"/>
          <w:lang w:val="en-US"/>
        </w:rPr>
        <w:t>km²</w:t>
      </w:r>
      <w:proofErr w:type="spellEnd"/>
      <w:r w:rsidR="00D0775A" w:rsidRPr="5CCF4BFD">
        <w:rPr>
          <w:rFonts w:eastAsia="Arial" w:cs="Arial"/>
          <w:szCs w:val="18"/>
          <w:lang w:val="en-US"/>
        </w:rPr>
        <w:t>), contributing to the inclusion of a central Italian territorial context and supporting the development of a balanced and diversified set of case studies.</w:t>
      </w:r>
      <w:r w:rsidR="00095AC9">
        <w:rPr>
          <w:rFonts w:eastAsia="Arial" w:cs="Arial"/>
          <w:szCs w:val="18"/>
          <w:lang w:val="en-US"/>
        </w:rPr>
        <w:t xml:space="preserve"> </w:t>
      </w:r>
      <w:r w:rsidR="00095AC9" w:rsidRPr="72905D90">
        <w:rPr>
          <w:rFonts w:eastAsia="Arial" w:cs="Arial"/>
          <w:szCs w:val="18"/>
          <w:lang w:val="en-US"/>
        </w:rPr>
        <w:t>The methodology developed and applied in this study enabled the assessment of the potential availability of different biomass streams across Italian regions.</w:t>
      </w:r>
      <w:r w:rsidR="00095AC9">
        <w:rPr>
          <w:rFonts w:eastAsia="Arial" w:cs="Arial"/>
          <w:szCs w:val="18"/>
          <w:lang w:val="en-US"/>
        </w:rPr>
        <w:t xml:space="preserve"> </w:t>
      </w:r>
    </w:p>
    <w:p w14:paraId="1D3403E7" w14:textId="77777777" w:rsidR="00F230AC" w:rsidRPr="0067622F" w:rsidRDefault="00F230AC" w:rsidP="00F230AC">
      <w:pPr>
        <w:pStyle w:val="CETTabletitle"/>
        <w:rPr>
          <w:lang w:val="en-US"/>
        </w:rPr>
      </w:pPr>
      <w:r w:rsidRPr="0067622F">
        <w:rPr>
          <w:lang w:val="en-US"/>
        </w:rPr>
        <w:lastRenderedPageBreak/>
        <w:t>Table 1: Biomass availability</w:t>
      </w:r>
      <w:r>
        <w:rPr>
          <w:lang w:val="en-US"/>
        </w:rPr>
        <w:t xml:space="preserve"> (</w:t>
      </w:r>
      <w:r w:rsidRPr="0067622F">
        <w:rPr>
          <w:lang w:val="en-US"/>
        </w:rPr>
        <w:t>*</w:t>
      </w:r>
      <w:r w:rsidRPr="00CA3B58">
        <w:rPr>
          <w:lang w:val="en-US"/>
        </w:rPr>
        <w:t>potentials in contaminated soils</w:t>
      </w:r>
      <w:r>
        <w:rPr>
          <w:lang w:val="en-US"/>
        </w:rPr>
        <w:t>)</w:t>
      </w:r>
      <w:r w:rsidRPr="0067622F">
        <w:rPr>
          <w:lang w:val="en-US"/>
        </w:rPr>
        <w:t xml:space="preserve"> in the </w:t>
      </w:r>
      <w:r w:rsidRPr="00CA3B58">
        <w:rPr>
          <w:lang w:val="en-US"/>
        </w:rPr>
        <w:t>analyzed</w:t>
      </w:r>
      <w:r w:rsidRPr="0067622F">
        <w:rPr>
          <w:lang w:val="en-US"/>
        </w:rPr>
        <w:t xml:space="preserve"> target regions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26"/>
        <w:gridCol w:w="1842"/>
        <w:gridCol w:w="1844"/>
        <w:gridCol w:w="1701"/>
        <w:gridCol w:w="1274"/>
      </w:tblGrid>
      <w:tr w:rsidR="00F230AC" w:rsidRPr="00B57B36" w14:paraId="31D7EE31" w14:textId="77777777" w:rsidTr="00A97F53">
        <w:tc>
          <w:tcPr>
            <w:tcW w:w="1210" w:type="pct"/>
            <w:tcBorders>
              <w:top w:val="single" w:sz="12" w:space="0" w:color="008000"/>
              <w:bottom w:val="single" w:sz="6" w:space="0" w:color="008000"/>
            </w:tcBorders>
            <w:shd w:val="clear" w:color="auto" w:fill="FFFFFF" w:themeFill="background1"/>
          </w:tcPr>
          <w:p w14:paraId="6F8682B1" w14:textId="77777777" w:rsidR="00F230AC" w:rsidRPr="00B57B36" w:rsidRDefault="00F230AC" w:rsidP="00A97F53">
            <w:pPr>
              <w:pStyle w:val="CETBodytext"/>
              <w:rPr>
                <w:lang w:val="en-GB"/>
              </w:rPr>
            </w:pPr>
            <w:proofErr w:type="spellStart"/>
            <w:r w:rsidRPr="00B57B36">
              <w:rPr>
                <w:lang w:val="en-GB"/>
              </w:rPr>
              <w:t>Heading1</w:t>
            </w:r>
            <w:proofErr w:type="spellEnd"/>
            <w:r w:rsidRPr="00B57B36">
              <w:rPr>
                <w:lang w:val="en-GB"/>
              </w:rPr>
              <w:t xml:space="preserve"> </w:t>
            </w:r>
          </w:p>
        </w:tc>
        <w:tc>
          <w:tcPr>
            <w:tcW w:w="1048" w:type="pct"/>
            <w:tcBorders>
              <w:top w:val="single" w:sz="12" w:space="0" w:color="008000"/>
              <w:bottom w:val="single" w:sz="6" w:space="0" w:color="008000"/>
            </w:tcBorders>
            <w:shd w:val="clear" w:color="auto" w:fill="FFFFFF" w:themeFill="background1"/>
          </w:tcPr>
          <w:p w14:paraId="1650AEF9" w14:textId="77777777" w:rsidR="00F230AC" w:rsidRDefault="00F230AC" w:rsidP="00A97F53">
            <w:pPr>
              <w:pStyle w:val="CETBodytext"/>
              <w:rPr>
                <w:lang w:val="en-GB"/>
              </w:rPr>
            </w:pPr>
            <w:r>
              <w:rPr>
                <w:lang w:val="en-GB"/>
              </w:rPr>
              <w:t>Emilia Romagna</w:t>
            </w:r>
          </w:p>
          <w:p w14:paraId="305544E0" w14:textId="77777777" w:rsidR="00F230AC" w:rsidRPr="00B57B36" w:rsidRDefault="00F230AC" w:rsidP="00A97F53">
            <w:pPr>
              <w:pStyle w:val="CETBodytext"/>
              <w:rPr>
                <w:lang w:val="en-GB"/>
              </w:rPr>
            </w:pPr>
            <w:r>
              <w:rPr>
                <w:lang w:val="en-GB"/>
              </w:rPr>
              <w:t>(</w:t>
            </w:r>
            <w:proofErr w:type="spellStart"/>
            <w:r>
              <w:rPr>
                <w:lang w:val="en-GB"/>
              </w:rPr>
              <w:t>prunings</w:t>
            </w:r>
            <w:proofErr w:type="spellEnd"/>
            <w:r>
              <w:rPr>
                <w:lang w:val="en-GB"/>
              </w:rPr>
              <w:t>)</w:t>
            </w:r>
          </w:p>
        </w:tc>
        <w:tc>
          <w:tcPr>
            <w:tcW w:w="1049" w:type="pct"/>
            <w:tcBorders>
              <w:top w:val="single" w:sz="12" w:space="0" w:color="008000"/>
              <w:bottom w:val="single" w:sz="6" w:space="0" w:color="008000"/>
            </w:tcBorders>
            <w:shd w:val="clear" w:color="auto" w:fill="FFFFFF" w:themeFill="background1"/>
          </w:tcPr>
          <w:p w14:paraId="5240049D" w14:textId="77777777" w:rsidR="00F230AC" w:rsidRDefault="00F230AC" w:rsidP="00A97F53">
            <w:pPr>
              <w:pStyle w:val="CETBodytext"/>
              <w:rPr>
                <w:lang w:val="en-GB"/>
              </w:rPr>
            </w:pPr>
            <w:r>
              <w:rPr>
                <w:lang w:val="en-GB"/>
              </w:rPr>
              <w:t>Marche</w:t>
            </w:r>
          </w:p>
          <w:p w14:paraId="7CFDE08F" w14:textId="77777777" w:rsidR="00F230AC" w:rsidRPr="00B57B36" w:rsidRDefault="00F230AC" w:rsidP="00A97F53">
            <w:pPr>
              <w:pStyle w:val="CETBodytext"/>
              <w:rPr>
                <w:lang w:val="en-GB"/>
              </w:rPr>
            </w:pPr>
            <w:r>
              <w:rPr>
                <w:lang w:val="en-GB"/>
              </w:rPr>
              <w:t>(vegetable oil*)</w:t>
            </w:r>
          </w:p>
        </w:tc>
        <w:tc>
          <w:tcPr>
            <w:tcW w:w="968" w:type="pct"/>
            <w:tcBorders>
              <w:top w:val="single" w:sz="12" w:space="0" w:color="008000"/>
              <w:bottom w:val="single" w:sz="6" w:space="0" w:color="008000"/>
            </w:tcBorders>
            <w:shd w:val="clear" w:color="auto" w:fill="FFFFFF" w:themeFill="background1"/>
          </w:tcPr>
          <w:p w14:paraId="329CD2E0" w14:textId="77777777" w:rsidR="00F230AC" w:rsidRDefault="00F230AC" w:rsidP="00A97F53">
            <w:pPr>
              <w:pStyle w:val="CETBodytext"/>
              <w:ind w:right="-1"/>
              <w:rPr>
                <w:rFonts w:cs="Arial"/>
                <w:szCs w:val="18"/>
                <w:lang w:val="en-GB"/>
              </w:rPr>
            </w:pPr>
            <w:r>
              <w:rPr>
                <w:rFonts w:cs="Arial"/>
                <w:szCs w:val="18"/>
                <w:lang w:val="en-GB"/>
              </w:rPr>
              <w:t>Campania</w:t>
            </w:r>
          </w:p>
          <w:p w14:paraId="455297D8" w14:textId="77777777" w:rsidR="00F230AC" w:rsidRPr="00B57B36" w:rsidRDefault="00F230AC" w:rsidP="00A97F53">
            <w:pPr>
              <w:pStyle w:val="CETBodytext"/>
              <w:ind w:right="-1"/>
              <w:rPr>
                <w:rFonts w:cs="Arial"/>
                <w:szCs w:val="18"/>
                <w:lang w:val="en-GB"/>
              </w:rPr>
            </w:pPr>
            <w:r>
              <w:rPr>
                <w:rFonts w:cs="Arial"/>
                <w:szCs w:val="18"/>
                <w:lang w:val="en-GB"/>
              </w:rPr>
              <w:t>(</w:t>
            </w:r>
            <w:proofErr w:type="spellStart"/>
            <w:r>
              <w:rPr>
                <w:rFonts w:cs="Arial"/>
                <w:szCs w:val="18"/>
                <w:lang w:val="en-GB"/>
              </w:rPr>
              <w:t>OFMSW</w:t>
            </w:r>
            <w:proofErr w:type="spellEnd"/>
            <w:r>
              <w:rPr>
                <w:rFonts w:cs="Arial"/>
                <w:szCs w:val="18"/>
                <w:lang w:val="en-GB"/>
              </w:rPr>
              <w:t>)</w:t>
            </w:r>
          </w:p>
        </w:tc>
        <w:tc>
          <w:tcPr>
            <w:tcW w:w="725" w:type="pct"/>
            <w:tcBorders>
              <w:top w:val="single" w:sz="12" w:space="0" w:color="008000"/>
              <w:bottom w:val="single" w:sz="6" w:space="0" w:color="008000"/>
            </w:tcBorders>
            <w:shd w:val="clear" w:color="auto" w:fill="FFFFFF" w:themeFill="background1"/>
          </w:tcPr>
          <w:p w14:paraId="0C98035A" w14:textId="77777777" w:rsidR="00F230AC" w:rsidRDefault="00F230AC" w:rsidP="00A97F53">
            <w:pPr>
              <w:pStyle w:val="CETBodytext"/>
              <w:ind w:right="-1"/>
              <w:rPr>
                <w:rFonts w:cs="Arial"/>
                <w:szCs w:val="18"/>
                <w:lang w:val="en-GB"/>
              </w:rPr>
            </w:pPr>
            <w:r>
              <w:rPr>
                <w:rFonts w:cs="Arial"/>
                <w:szCs w:val="18"/>
                <w:lang w:val="en-GB"/>
              </w:rPr>
              <w:t>Puglia</w:t>
            </w:r>
          </w:p>
          <w:p w14:paraId="3EC54AEB" w14:textId="77777777" w:rsidR="00F230AC" w:rsidRPr="00B57B36" w:rsidRDefault="00F230AC" w:rsidP="00A97F53">
            <w:pPr>
              <w:pStyle w:val="CETBodytext"/>
              <w:ind w:right="-1"/>
              <w:rPr>
                <w:rFonts w:cs="Arial"/>
                <w:szCs w:val="18"/>
                <w:lang w:val="en-GB"/>
              </w:rPr>
            </w:pPr>
            <w:r>
              <w:rPr>
                <w:rFonts w:cs="Arial"/>
                <w:szCs w:val="18"/>
                <w:lang w:val="en-GB"/>
              </w:rPr>
              <w:t>(straw)</w:t>
            </w:r>
          </w:p>
        </w:tc>
      </w:tr>
      <w:tr w:rsidR="00F230AC" w:rsidRPr="00B57B36" w14:paraId="2C255E2C" w14:textId="77777777" w:rsidTr="00A97F53">
        <w:tc>
          <w:tcPr>
            <w:tcW w:w="1210" w:type="pct"/>
            <w:shd w:val="clear" w:color="auto" w:fill="FFFFFF" w:themeFill="background1"/>
          </w:tcPr>
          <w:p w14:paraId="43D998F4" w14:textId="77777777" w:rsidR="00F230AC" w:rsidRPr="0075194B" w:rsidRDefault="00F230AC" w:rsidP="00A97F53">
            <w:pPr>
              <w:pStyle w:val="CETBodytext"/>
              <w:rPr>
                <w:lang w:val="en-GB"/>
              </w:rPr>
            </w:pPr>
            <w:r w:rsidRPr="0075194B">
              <w:rPr>
                <w:lang w:val="en-GB"/>
              </w:rPr>
              <w:t>Total availability (</w:t>
            </w:r>
            <w:proofErr w:type="spellStart"/>
            <w:r w:rsidRPr="0075194B">
              <w:rPr>
                <w:lang w:val="en-GB"/>
              </w:rPr>
              <w:t>kt</w:t>
            </w:r>
            <w:r w:rsidRPr="0075194B">
              <w:rPr>
                <w:vertAlign w:val="subscript"/>
                <w:lang w:val="en-GB"/>
              </w:rPr>
              <w:t>DRY</w:t>
            </w:r>
            <w:proofErr w:type="spellEnd"/>
            <w:r w:rsidRPr="0075194B">
              <w:rPr>
                <w:lang w:val="en-GB"/>
              </w:rPr>
              <w:t>/y)</w:t>
            </w:r>
          </w:p>
        </w:tc>
        <w:tc>
          <w:tcPr>
            <w:tcW w:w="1048" w:type="pct"/>
            <w:shd w:val="clear" w:color="auto" w:fill="FFFFFF" w:themeFill="background1"/>
          </w:tcPr>
          <w:p w14:paraId="0DCDA99A" w14:textId="77777777" w:rsidR="00F230AC" w:rsidRPr="0075194B" w:rsidRDefault="00F230AC" w:rsidP="00A97F53">
            <w:pPr>
              <w:pStyle w:val="CETBodytext"/>
              <w:rPr>
                <w:lang w:val="en-GB"/>
              </w:rPr>
            </w:pPr>
            <w:r w:rsidRPr="0075194B">
              <w:rPr>
                <w:lang w:val="en-GB"/>
              </w:rPr>
              <w:t>168</w:t>
            </w:r>
          </w:p>
        </w:tc>
        <w:tc>
          <w:tcPr>
            <w:tcW w:w="1049" w:type="pct"/>
            <w:shd w:val="clear" w:color="auto" w:fill="FFFFFF" w:themeFill="background1"/>
          </w:tcPr>
          <w:p w14:paraId="25F02E12" w14:textId="77777777" w:rsidR="00F230AC" w:rsidRPr="0067622F" w:rsidRDefault="00F230AC" w:rsidP="00A97F53">
            <w:pPr>
              <w:pStyle w:val="CETBodytext"/>
              <w:rPr>
                <w:lang w:val="en-GB"/>
              </w:rPr>
            </w:pPr>
            <w:r w:rsidRPr="0075194B">
              <w:rPr>
                <w:lang w:val="en-GB"/>
              </w:rPr>
              <w:t>93</w:t>
            </w:r>
          </w:p>
        </w:tc>
        <w:tc>
          <w:tcPr>
            <w:tcW w:w="968" w:type="pct"/>
            <w:shd w:val="clear" w:color="auto" w:fill="FFFFFF" w:themeFill="background1"/>
          </w:tcPr>
          <w:p w14:paraId="0A243A11" w14:textId="77777777" w:rsidR="00F230AC" w:rsidRPr="0075194B" w:rsidRDefault="00F230AC" w:rsidP="00A97F53">
            <w:pPr>
              <w:pStyle w:val="CETBodytext"/>
              <w:ind w:right="-1"/>
              <w:rPr>
                <w:rFonts w:cs="Arial"/>
                <w:lang w:val="en-GB"/>
              </w:rPr>
            </w:pPr>
            <w:r w:rsidRPr="0075194B">
              <w:rPr>
                <w:rFonts w:cs="Arial"/>
                <w:lang w:val="en-GB"/>
              </w:rPr>
              <w:t>133</w:t>
            </w:r>
          </w:p>
        </w:tc>
        <w:tc>
          <w:tcPr>
            <w:tcW w:w="725" w:type="pct"/>
            <w:shd w:val="clear" w:color="auto" w:fill="FFFFFF" w:themeFill="background1"/>
          </w:tcPr>
          <w:p w14:paraId="2AD44344" w14:textId="77777777" w:rsidR="00F230AC" w:rsidRPr="0075194B" w:rsidRDefault="00F230AC" w:rsidP="00A97F53">
            <w:pPr>
              <w:pStyle w:val="CETBodytext"/>
              <w:ind w:right="-1"/>
              <w:rPr>
                <w:rFonts w:cs="Arial"/>
              </w:rPr>
            </w:pPr>
            <w:r w:rsidRPr="0067622F">
              <w:rPr>
                <w:rFonts w:cs="Arial"/>
                <w:lang w:val="en-GB"/>
              </w:rPr>
              <w:t>411</w:t>
            </w:r>
          </w:p>
        </w:tc>
      </w:tr>
      <w:tr w:rsidR="00F230AC" w:rsidRPr="00B57B36" w14:paraId="294BB7DF" w14:textId="77777777" w:rsidTr="00A97F53">
        <w:tc>
          <w:tcPr>
            <w:tcW w:w="1210" w:type="pct"/>
            <w:shd w:val="clear" w:color="auto" w:fill="FFFFFF" w:themeFill="background1"/>
          </w:tcPr>
          <w:p w14:paraId="309A88FD" w14:textId="77777777" w:rsidR="00F230AC" w:rsidRPr="0075194B" w:rsidRDefault="00F230AC" w:rsidP="00A97F53">
            <w:pPr>
              <w:pStyle w:val="CETBodytext"/>
              <w:ind w:right="-1"/>
              <w:rPr>
                <w:rFonts w:cs="Arial"/>
                <w:lang w:val="en-GB"/>
              </w:rPr>
            </w:pPr>
            <w:r w:rsidRPr="0067622F">
              <w:rPr>
                <w:lang w:val="en-GB"/>
              </w:rPr>
              <w:t>Humidity considered (%</w:t>
            </w:r>
            <w:r w:rsidRPr="0067622F">
              <w:rPr>
                <w:vertAlign w:val="subscript"/>
                <w:lang w:val="en-GB"/>
              </w:rPr>
              <w:t>wet</w:t>
            </w:r>
            <w:r w:rsidRPr="0067622F">
              <w:rPr>
                <w:lang w:val="en-GB"/>
              </w:rPr>
              <w:t>)</w:t>
            </w:r>
          </w:p>
        </w:tc>
        <w:tc>
          <w:tcPr>
            <w:tcW w:w="1048" w:type="pct"/>
            <w:shd w:val="clear" w:color="auto" w:fill="FFFFFF" w:themeFill="background1"/>
          </w:tcPr>
          <w:p w14:paraId="338624EF" w14:textId="77777777" w:rsidR="00F230AC" w:rsidRPr="0075194B" w:rsidRDefault="00F230AC" w:rsidP="00A97F53">
            <w:pPr>
              <w:pStyle w:val="CETBodytext"/>
              <w:ind w:right="-1"/>
              <w:rPr>
                <w:rFonts w:cs="Arial"/>
                <w:lang w:val="en-GB"/>
              </w:rPr>
            </w:pPr>
            <w:r w:rsidRPr="0075194B">
              <w:rPr>
                <w:rFonts w:cs="Arial"/>
                <w:lang w:val="en-GB"/>
              </w:rPr>
              <w:t>35-40%</w:t>
            </w:r>
          </w:p>
        </w:tc>
        <w:tc>
          <w:tcPr>
            <w:tcW w:w="1049" w:type="pct"/>
            <w:shd w:val="clear" w:color="auto" w:fill="FFFFFF" w:themeFill="background1"/>
          </w:tcPr>
          <w:p w14:paraId="3C43A231" w14:textId="77777777" w:rsidR="00F230AC" w:rsidRPr="0075194B" w:rsidRDefault="00F230AC" w:rsidP="00A97F53">
            <w:pPr>
              <w:pStyle w:val="CETBodytext"/>
              <w:ind w:right="-1"/>
              <w:rPr>
                <w:rFonts w:cs="Arial"/>
                <w:szCs w:val="18"/>
                <w:lang w:val="en-GB"/>
              </w:rPr>
            </w:pPr>
            <w:r w:rsidRPr="0075194B">
              <w:rPr>
                <w:rFonts w:cs="Arial"/>
                <w:szCs w:val="18"/>
                <w:lang w:val="en-GB"/>
              </w:rPr>
              <w:t>0%</w:t>
            </w:r>
          </w:p>
        </w:tc>
        <w:tc>
          <w:tcPr>
            <w:tcW w:w="968" w:type="pct"/>
            <w:shd w:val="clear" w:color="auto" w:fill="FFFFFF" w:themeFill="background1"/>
          </w:tcPr>
          <w:p w14:paraId="09B20294" w14:textId="77777777" w:rsidR="00F230AC" w:rsidRPr="0075194B" w:rsidRDefault="00F230AC" w:rsidP="00A97F53">
            <w:pPr>
              <w:pStyle w:val="CETBodytext"/>
              <w:ind w:right="-1"/>
              <w:rPr>
                <w:rFonts w:cs="Arial"/>
                <w:lang w:val="en-GB"/>
              </w:rPr>
            </w:pPr>
            <w:r w:rsidRPr="0075194B">
              <w:rPr>
                <w:rFonts w:cs="Arial"/>
                <w:lang w:val="en-GB"/>
              </w:rPr>
              <w:t>22%</w:t>
            </w:r>
          </w:p>
        </w:tc>
        <w:tc>
          <w:tcPr>
            <w:tcW w:w="725" w:type="pct"/>
            <w:shd w:val="clear" w:color="auto" w:fill="FFFFFF" w:themeFill="background1"/>
          </w:tcPr>
          <w:p w14:paraId="0D1993E7" w14:textId="77777777" w:rsidR="00F230AC" w:rsidRPr="0075194B" w:rsidRDefault="00F230AC" w:rsidP="00A97F53">
            <w:pPr>
              <w:pStyle w:val="CETBodytext"/>
              <w:ind w:right="-1"/>
              <w:rPr>
                <w:rFonts w:cs="Arial"/>
                <w:lang w:val="en-GB"/>
              </w:rPr>
            </w:pPr>
            <w:r w:rsidRPr="0075194B">
              <w:rPr>
                <w:rFonts w:cs="Arial"/>
                <w:lang w:val="en-GB"/>
              </w:rPr>
              <w:t>15-20%</w:t>
            </w:r>
          </w:p>
        </w:tc>
      </w:tr>
    </w:tbl>
    <w:p w14:paraId="6280765E" w14:textId="77777777" w:rsidR="00D0775A" w:rsidRDefault="00D0775A" w:rsidP="00F230AC">
      <w:pPr>
        <w:pStyle w:val="CETBodytext"/>
        <w:rPr>
          <w:rFonts w:eastAsia="Arial" w:cs="Arial"/>
          <w:szCs w:val="18"/>
        </w:rPr>
      </w:pPr>
    </w:p>
    <w:p w14:paraId="79886C7F" w14:textId="08DFE8CE" w:rsidR="3B99E087" w:rsidRDefault="3B99E087" w:rsidP="00F230AC">
      <w:pPr>
        <w:pStyle w:val="CETBodytext"/>
        <w:rPr>
          <w:rFonts w:eastAsia="Arial" w:cs="Arial"/>
          <w:szCs w:val="18"/>
        </w:rPr>
      </w:pPr>
      <w:r w:rsidRPr="72905D90">
        <w:rPr>
          <w:rFonts w:eastAsia="Arial" w:cs="Arial"/>
          <w:szCs w:val="18"/>
        </w:rPr>
        <w:t>Data on the production of the organic fraction of municipal solid waste (</w:t>
      </w:r>
      <w:proofErr w:type="spellStart"/>
      <w:r w:rsidRPr="72905D90">
        <w:rPr>
          <w:rFonts w:eastAsia="Arial" w:cs="Arial"/>
          <w:szCs w:val="18"/>
        </w:rPr>
        <w:t>OFMSW</w:t>
      </w:r>
      <w:proofErr w:type="spellEnd"/>
      <w:r w:rsidRPr="72905D90">
        <w:rPr>
          <w:rFonts w:eastAsia="Arial" w:cs="Arial"/>
          <w:szCs w:val="18"/>
        </w:rPr>
        <w:t>) were obtained from the Italian Institute for Environmental Protection and Research (</w:t>
      </w:r>
      <w:proofErr w:type="spellStart"/>
      <w:r w:rsidRPr="72905D90">
        <w:rPr>
          <w:rFonts w:eastAsia="Arial" w:cs="Arial"/>
          <w:szCs w:val="18"/>
        </w:rPr>
        <w:t>ISPRA</w:t>
      </w:r>
      <w:proofErr w:type="spellEnd"/>
      <w:r w:rsidRPr="72905D90">
        <w:rPr>
          <w:rFonts w:eastAsia="Arial" w:cs="Arial"/>
          <w:szCs w:val="18"/>
        </w:rPr>
        <w:t>), the national public authority responsible for monitoring and reporting waste generation. The potential oil production from energy crops cultivated on contaminated land was estimated using georeferenced data on heavy metal concentrations in European soils provided by the European Soil Data Centre (</w:t>
      </w:r>
      <w:proofErr w:type="spellStart"/>
      <w:r w:rsidRPr="72905D90">
        <w:rPr>
          <w:rFonts w:eastAsia="Arial" w:cs="Arial"/>
          <w:szCs w:val="18"/>
        </w:rPr>
        <w:t>ESDAC</w:t>
      </w:r>
      <w:proofErr w:type="spellEnd"/>
      <w:r w:rsidRPr="72905D90">
        <w:rPr>
          <w:rFonts w:eastAsia="Arial" w:cs="Arial"/>
          <w:szCs w:val="18"/>
        </w:rPr>
        <w:t>). Using GIS tools, the dataset was filtered for the regions of interest and limited to agricultural land through the Corine Land Cover (</w:t>
      </w:r>
      <w:proofErr w:type="spellStart"/>
      <w:r w:rsidRPr="72905D90">
        <w:rPr>
          <w:rFonts w:eastAsia="Arial" w:cs="Arial"/>
          <w:szCs w:val="18"/>
        </w:rPr>
        <w:t>CLC</w:t>
      </w:r>
      <w:proofErr w:type="spellEnd"/>
      <w:r w:rsidRPr="72905D90">
        <w:rPr>
          <w:rFonts w:eastAsia="Arial" w:cs="Arial"/>
          <w:szCs w:val="18"/>
        </w:rPr>
        <w:t xml:space="preserve">) map. Legal threshold values for heavy metal concentrations were applied to identify contaminated soils. Brassica </w:t>
      </w:r>
      <w:proofErr w:type="spellStart"/>
      <w:r w:rsidRPr="72905D90">
        <w:rPr>
          <w:rFonts w:eastAsia="Arial" w:cs="Arial"/>
          <w:szCs w:val="18"/>
        </w:rPr>
        <w:t>carinata</w:t>
      </w:r>
      <w:proofErr w:type="spellEnd"/>
      <w:r w:rsidRPr="72905D90">
        <w:rPr>
          <w:rFonts w:eastAsia="Arial" w:cs="Arial"/>
          <w:szCs w:val="18"/>
        </w:rPr>
        <w:t xml:space="preserve"> was then considered a potential energy crop. Assuming a seed yield of 2.96–3.55 t/ha and an oil content of 35–50%, the potential oil production for the Marche region was estimated. Finally, provincial biomass quantities were spatially disaggregated to the municipal level using land-use data from the 7th ISTAT Agricultural Census, allocating biomass proportionally to crop areas while preserving provincial totals</w:t>
      </w:r>
      <w:r w:rsidR="004D6C26">
        <w:rPr>
          <w:rFonts w:eastAsia="Arial" w:cs="Arial"/>
          <w:szCs w:val="18"/>
        </w:rPr>
        <w:t xml:space="preserve"> (Table 1)</w:t>
      </w:r>
      <w:r w:rsidRPr="72905D90">
        <w:rPr>
          <w:rFonts w:eastAsia="Arial" w:cs="Arial"/>
          <w:szCs w:val="18"/>
        </w:rPr>
        <w:t>.</w:t>
      </w:r>
    </w:p>
    <w:p w14:paraId="18BAFA6F" w14:textId="1FA705C1" w:rsidR="00453E24" w:rsidRPr="00B57B36" w:rsidRDefault="00353617" w:rsidP="00453E24">
      <w:pPr>
        <w:pStyle w:val="CETheadingx"/>
      </w:pPr>
      <w:r>
        <w:t>Biomass-to-Biorefinery s</w:t>
      </w:r>
      <w:r w:rsidR="001B0B42">
        <w:t xml:space="preserve">upply chain </w:t>
      </w:r>
      <w:r>
        <w:t>modelling</w:t>
      </w:r>
    </w:p>
    <w:p w14:paraId="582642C6" w14:textId="0C3DB289" w:rsidR="00453E24" w:rsidRDefault="00D6568D" w:rsidP="00453E24">
      <w:pPr>
        <w:pStyle w:val="CETBodytext"/>
        <w:rPr>
          <w:lang w:val="en-GB"/>
        </w:rPr>
      </w:pPr>
      <w:r w:rsidRPr="00D6568D">
        <w:rPr>
          <w:lang w:val="en-GB"/>
        </w:rPr>
        <w:t>The residual biomass is assumed to be transported from its municipality of origin to a biorefinery, where it is converted into target products</w:t>
      </w:r>
      <w:r w:rsidR="00917667">
        <w:rPr>
          <w:lang w:val="en-GB"/>
        </w:rPr>
        <w:t xml:space="preserve">: </w:t>
      </w:r>
      <w:proofErr w:type="spellStart"/>
      <w:r w:rsidR="00A53B43">
        <w:rPr>
          <w:lang w:val="en-GB"/>
        </w:rPr>
        <w:t>biomethanol</w:t>
      </w:r>
      <w:proofErr w:type="spellEnd"/>
      <w:r w:rsidRPr="00D6568D">
        <w:rPr>
          <w:lang w:val="en-GB"/>
        </w:rPr>
        <w:t xml:space="preserve">, </w:t>
      </w:r>
      <w:r w:rsidR="00917667">
        <w:rPr>
          <w:lang w:val="en-GB"/>
        </w:rPr>
        <w:t>fatty acid methyl ester (FAME)</w:t>
      </w:r>
      <w:r w:rsidR="00A53B43">
        <w:rPr>
          <w:lang w:val="en-GB"/>
        </w:rPr>
        <w:t xml:space="preserve">, </w:t>
      </w:r>
      <w:r w:rsidRPr="00D6568D">
        <w:rPr>
          <w:lang w:val="en-GB"/>
        </w:rPr>
        <w:t xml:space="preserve">biomethane and </w:t>
      </w:r>
      <w:r w:rsidR="00A53B43">
        <w:rPr>
          <w:lang w:val="en-GB"/>
        </w:rPr>
        <w:t>bioethanol</w:t>
      </w:r>
      <w:r w:rsidRPr="00D6568D">
        <w:rPr>
          <w:lang w:val="en-GB"/>
        </w:rPr>
        <w:t>. The problem is formulated as follows: given a one-year time horizon divided into 12 months, the available waste quantities and their locations each month, the types of bioproducts, and the distances between all possible location pairs are known. Each municipality is constrained to host at most one biorefinery. The biorefinery locations and processing capacities, storage capacities, and monthly biomass flows from collection sites to biorefineries are determined in such a way as to maximize the total annual profit. The mathematical model is formulated as a Mixed Integer Linear Programming (</w:t>
      </w:r>
      <w:proofErr w:type="spellStart"/>
      <w:r w:rsidRPr="00D6568D">
        <w:rPr>
          <w:lang w:val="en-GB"/>
        </w:rPr>
        <w:t>MILP</w:t>
      </w:r>
      <w:proofErr w:type="spellEnd"/>
      <w:r w:rsidRPr="00D6568D">
        <w:rPr>
          <w:lang w:val="en-GB"/>
        </w:rPr>
        <w:t>) problem, following the approach of</w:t>
      </w:r>
      <w:r w:rsidR="000368E4">
        <w:rPr>
          <w:lang w:val="en-GB"/>
        </w:rPr>
        <w:t xml:space="preserve"> </w:t>
      </w:r>
      <w:r w:rsidR="000368E4">
        <w:rPr>
          <w:lang w:val="en-GB"/>
        </w:rPr>
        <w:fldChar w:fldCharType="begin"/>
      </w:r>
      <w:r w:rsidR="000368E4">
        <w:rPr>
          <w:lang w:val="en-GB"/>
        </w:rPr>
        <w:instrText xml:space="preserve"> ADDIN ZOTERO_ITEM CSL_CITATION {"citationID":"E7SUvZVH","properties":{"formattedCitation":"(Galanopoulos et al., 2018)","plainCitation":"(Galanopoulos et al., 2018)","noteIndex":0},"citationItems":[{"id":2963,"uris":["http://zotero.org/users/10649518/items/VY2V4N8B"],"itemData":{"id":2963,"type":"article-journal","abstract":"In this work, a biomass supply chain model, for the region of Lower Saxony and Bremen in northern Germany, has been developed. Because of Germany's high demand for biofuels, the production and distribution of levulinic acid and bioethanol by wheat straw is studied. An illustrative bio-based supply chain model is developed and implemented in the Advanced Interactive Multidimensional Modeling (AIMMS) software. Then, this model is used to study the logistics, network optimization, transportation and inventory management, and the resulting environmental and economic impacts. In the end, a sensitivity analysis is conducted to evaluate the influence of key model parameters on these impacts. The results showed that a wheat straw supply chain network is profitable in the area of Bremen and Lower Saxony even though the bioproducts demand is not fully covered and that the transportation costs did not have a strong impact on the supply chain network.","container-title":"Computers and Chemical Engineering","DOI":"10.1016/j.compchemeng.2018.03.024","ISSN":"00981354","page":"233–242","publisher":"Elsevier Ltd","title":"A decision support platform for a bio-based supply chain: Application to the region of Lower Saxony and Bremen (Germany).","volume":"115","author":[{"family":"Galanopoulos","given":"Christos"},{"family":"Barletta","given":"Diego"},{"family":"Zondervan","given":"Edwin"}],"issued":{"date-parts":[["2018"]]}}}],"schema":"https://github.com/citation-style-language/schema/raw/master/csl-citation.json"} </w:instrText>
      </w:r>
      <w:r w:rsidR="000368E4">
        <w:rPr>
          <w:lang w:val="en-GB"/>
        </w:rPr>
        <w:fldChar w:fldCharType="separate"/>
      </w:r>
      <w:r w:rsidR="000368E4" w:rsidRPr="000368E4">
        <w:rPr>
          <w:rFonts w:cs="Arial"/>
        </w:rPr>
        <w:t>(Galanopoulos et al., 2018)</w:t>
      </w:r>
      <w:r w:rsidR="000368E4">
        <w:rPr>
          <w:lang w:val="en-GB"/>
        </w:rPr>
        <w:fldChar w:fldCharType="end"/>
      </w:r>
      <w:r w:rsidR="00D31ADA">
        <w:rPr>
          <w:lang w:val="en-GB"/>
        </w:rPr>
        <w:t>.</w:t>
      </w:r>
    </w:p>
    <w:p w14:paraId="38E5499E" w14:textId="2C5CE9CD" w:rsidR="00752E4C" w:rsidRPr="00B57B36" w:rsidRDefault="00752E4C" w:rsidP="00752E4C">
      <w:pPr>
        <w:pStyle w:val="CETheadingx"/>
      </w:pPr>
      <w:r>
        <w:t xml:space="preserve">Biorefinery process </w:t>
      </w:r>
      <w:r w:rsidR="004A274E">
        <w:t>performances</w:t>
      </w:r>
    </w:p>
    <w:p w14:paraId="798A6303" w14:textId="66CA29CA" w:rsidR="00C1425D" w:rsidRDefault="00C1425D" w:rsidP="00752E4C">
      <w:pPr>
        <w:pStyle w:val="CETBodytext"/>
      </w:pPr>
      <w:r w:rsidRPr="00C1425D">
        <w:t xml:space="preserve">The biorefinery processes considered are listed in Table </w:t>
      </w:r>
      <w:r w:rsidR="00E76157">
        <w:t>2</w:t>
      </w:r>
      <w:r w:rsidRPr="00C1425D">
        <w:t>, which shows that the fermentable feedstock (</w:t>
      </w:r>
      <w:proofErr w:type="spellStart"/>
      <w:r w:rsidRPr="00C1425D">
        <w:t>OFMSW</w:t>
      </w:r>
      <w:proofErr w:type="spellEnd"/>
      <w:r w:rsidRPr="00C1425D">
        <w:t>) was assumed to be converted into biomethane through anaerobic digestion and biogas upgrading processes</w:t>
      </w:r>
      <w:r w:rsidR="000368E4">
        <w:t xml:space="preserve"> </w:t>
      </w:r>
      <w:r w:rsidR="000368E4">
        <w:fldChar w:fldCharType="begin"/>
      </w:r>
      <w:r w:rsidR="000368E4">
        <w:instrText xml:space="preserve"> ADDIN ZOTERO_ITEM CSL_CITATION {"citationID":"Mdtlw5hZ","properties":{"formattedCitation":"(Caposciutti et al., 2020)","plainCitation":"(Caposciutti et al., 2020)","noteIndex":0},"citationItems":[{"id":91,"uris":["http://zotero.org/users/10649518/items/U4VBEG4B"],"itemData":{"id":91,"type":"article-journal","abstract":"Biogas is a fuel obtained from organic waste fermentation and can be an interesting solution for producing electric energy, heat and fuel. Recently, many European countries have incentivized the production of biomethane to be injected into natural gas grids or compressed and used as biofuel in vehicles. The introduction of an upgrading unit into an existing anaerobic digestion plant to convert biogas to biomethane may have a strong impact on the overall energy balance of the systems. The amount of biomethane produced may be optimized from several points of view (i.e., energy, environmental and economic). In this paper, the mass and energy ﬂuxes of an anaerobic digestion plant were analyzed as a function of the biogas percentage sent to the upgrading system and the amount of biomethane produced. A numerical model of an anaerobic digestion plant was developed by considering an existing case study. The mass and energy balance of the digesters, cogeneration unit, upgrading system and auxiliary boiler were estimated when the amount of produced biomethane was varied. An internal combustion engine was adopted as the cogeneration unit and a CO2 absorption system was assumed for biogas upgrading. Results demonstrated that the energy balance of the plant is strictly dependent on the biomethane production and that an excess of biomethane production makes the plant totally dependent on external energy sources. As for the environmental impact, an optimal level of biomethane production exists that minimizes the emissions of equivalent CO2. However, high biomethane subsides can encourage plant managers to increase biomethane production and thus reduce CO2 savings.","container-title":"Energies","DOI":"10.3390/en13030743","ISSN":"1996-1073","issue":"3","journalAbbreviation":"Energies","language":"en","page":"743","source":"DOI.org (Crossref)","title":"Biogas from Anaerobic Digestion: Power Generation or Biomethane Production?","title-short":"Biogas from Anaerobic Digestion","volume":"13","author":[{"family":"Caposciutti","given":"Gianluca"},{"family":"Baccioli","given":"Andrea"},{"family":"Ferrari","given":"Lorenzo"},{"family":"Desideri","given":"Umberto"}],"issued":{"date-parts":[["2020",2,8]]}}}],"schema":"https://github.com/citation-style-language/schema/raw/master/csl-citation.json"} </w:instrText>
      </w:r>
      <w:r w:rsidR="000368E4">
        <w:fldChar w:fldCharType="separate"/>
      </w:r>
      <w:r w:rsidR="000368E4" w:rsidRPr="000368E4">
        <w:rPr>
          <w:rFonts w:cs="Arial"/>
        </w:rPr>
        <w:t>(Caposciutti et al., 2020)</w:t>
      </w:r>
      <w:r w:rsidR="000368E4">
        <w:fldChar w:fldCharType="end"/>
      </w:r>
      <w:r w:rsidRPr="00C1425D">
        <w:t>. Moreover, starting from pruning residues, a syngas with an H</w:t>
      </w:r>
      <w:r w:rsidRPr="00C1425D">
        <w:rPr>
          <w:rFonts w:ascii="Cambria Math" w:hAnsi="Cambria Math" w:cs="Cambria Math"/>
        </w:rPr>
        <w:t>₂</w:t>
      </w:r>
      <w:r w:rsidRPr="00C1425D">
        <w:t>/CO/CO</w:t>
      </w:r>
      <w:r w:rsidRPr="00C1425D">
        <w:rPr>
          <w:rFonts w:ascii="Cambria Math" w:hAnsi="Cambria Math" w:cs="Cambria Math"/>
        </w:rPr>
        <w:t>₂</w:t>
      </w:r>
      <w:r w:rsidRPr="00C1425D">
        <w:t xml:space="preserve"> composition of 1/1/1 can be obtained via gasification</w:t>
      </w:r>
      <w:r w:rsidR="000368E4">
        <w:t xml:space="preserve"> </w:t>
      </w:r>
      <w:r w:rsidR="000368E4">
        <w:fldChar w:fldCharType="begin"/>
      </w:r>
      <w:r w:rsidR="000368E4">
        <w:instrText xml:space="preserve"> ADDIN ZOTERO_ITEM CSL_CITATION {"citationID":"LXRjmDA9","properties":{"formattedCitation":"(Lombardelli et al., 2024)","plainCitation":"(Lombardelli et al., 2024)","noteIndex":0},"citationItems":[{"id":4930,"uris":["http://zotero.org/users/10649518/items/R23USM2V"],"itemData":{"id":4930,"type":"article-journal","abstract":"The paper presents a techno-economic comparison among five alternative process configurations for biomethanol production from the gasification of residual forestry biomass. Process design and simulations are performed in Aspen Plus for mass and energy balance calculation, followed by preliminary sizing and economic analysis. Process schemes include a gasification island (state-of-the-art low-pressure gasification compared against a high-pressure gasifier) with syngas conditioning and compression, heat recovery, syngas composition adjustment (by CO2 capture or addition of hydrogen produced by electrolysis), methanol synthesis and purification and a heat recovery cycle for power generation. CO2 capture is performed with conventional chemical absorption in the benchmark cases, while low-temperature partial condensation of CO2 is modeled in the advanced scenario. Methanol output is 14–15 kt/y in the CO2 capture cases and 36 kt/y in the H2 addition option.","container-title":"Biomass and Bioenergy","DOI":"10.1016/j.biombioe.2024.107315","ISSN":"09619534","journalAbbreviation":"Biomass and Bioenergy","language":"en","page":"107315","source":"DOI.org (Crossref)","title":"Bio-methanol with negative CO2 emissions from residual forestry biomass gasification: Modelling and techno-economic assessment of different process configurations","title-short":"Bio-methanol with negative CO2 emissions from residual forestry biomass gasification","volume":"188","author":[{"family":"Lombardelli","given":"Giorgia"},{"family":"Scaccabarozzi","given":"Roberto"},{"family":"Conversano","given":"Antonio"},{"family":"Gatti","given":"Manuele"}],"issued":{"date-parts":[["2024",9]]}}}],"schema":"https://github.com/citation-style-language/schema/raw/master/csl-citation.json"} </w:instrText>
      </w:r>
      <w:r w:rsidR="000368E4">
        <w:fldChar w:fldCharType="separate"/>
      </w:r>
      <w:r w:rsidR="000368E4" w:rsidRPr="000368E4">
        <w:rPr>
          <w:rFonts w:cs="Arial"/>
        </w:rPr>
        <w:t>(Lombardelli et al., 2024)</w:t>
      </w:r>
      <w:r w:rsidR="000368E4">
        <w:fldChar w:fldCharType="end"/>
      </w:r>
      <w:r w:rsidRPr="00C1425D">
        <w:t>, which is then directed to methanol synthesis. Methanol was considered as a reactant in the transesterification reactor of vegetable oil for the production of FAME</w:t>
      </w:r>
      <w:r>
        <w:t xml:space="preserve"> </w:t>
      </w:r>
      <w:r w:rsidR="000368E4">
        <w:fldChar w:fldCharType="begin"/>
      </w:r>
      <w:r w:rsidR="000368E4">
        <w:instrText xml:space="preserve"> ADDIN ZOTERO_ITEM CSL_CITATION {"citationID":"MQb2YbVK","properties":{"formattedCitation":"(Fiore et al., 2022)","plainCitation":"(Fiore et al., 2022)","noteIndex":0},"citationItems":[{"id":4940,"uris":["http://zotero.org/users/10649518/items/RBETISX3"],"itemData":{"id":4940,"type":"article-journal","abstract":"Biodiesel obtained through the transesteriﬁcation in methanol of vegetable oils, such as soybean oil (SO) and waste cooking oil (WCO), cannot be used as a biofuel for automotive applications due to the presence of polyunsaturated fatty esters, which have a detrimental effect on oxidation stability (OS). A method of upgrading this material is the catalytic partial hydrogenation of the fatty acid methyl ester (FAME) mixture. The target molecule of the partial hydrogenation reaction is monounsaturated methyl oleate (C18:1), which represents a good compromise between OS and the cold ﬁlter plugging point (CFPP) value, which becomes too high if the biodiesel consists of unsaturated fatty esters only. In the present work, polymer-supported palladium (Pd-pol) and nickel (Ni-pol) nanoparticles were separately tested as catalysts for upgrading SO and WCO biodiesels under mild conditions (room temperature for Pd-pol and T = 100 ◦C for Ni-pol) using dihydrogen (p = 10 bar) as the reductant. Both catalysts were obtained through co-polymerization of the metal containing monomer M(AAEMA)2 (M = Pd, Ni; AEEMA− = deprotonated form of 2-(acetoacetoxy)ethyl methacrylate)) with co-monomers (ethyl methacrylate for Pd and N,N-dimethylacrilamide for Ni) and cross-linkers (ethylene glycol dimethacrylate for Pd and N,N’-methylene bis-acrylamide for Ni), followed by reduction. The Pd-pol system became very active in the hydrogenation of C=C double bonds, but poorly selective towards the desirable C18:1 product. The Ni-pol catalyst was less active than Pd-pol, but very selective towards the mono-unsaturated product. Recyclability tests demonstrated that the Ni-based system retained its activity and selectivity with both the SO and WCO substrates for at least ﬁve subsequent runs, thus representing an opportunity for waste biomass valorization.","container-title":"Catalysts","DOI":"10.3390/catal12050506","ISSN":"2073-4344","issue":"5","journalAbbreviation":"Catalysts","language":"en","page":"506","source":"DOI.org (Crossref)","title":"Partial Hydrogenation of Soybean and Waste Cooking Oil Biodiesel over Recyclable-Polymer-Supported Pd and Ni Nanoparticles","volume":"12","author":[{"family":"Fiore","given":"Ambra Maria"},{"family":"Romanazzi","given":"Giuseppe"},{"family":"Leonelli","given":"Cristina"},{"family":"Mastrorilli","given":"Piero"},{"family":"Dell’Anna","given":"Maria Michela"}],"issued":{"date-parts":[["2022",4,30]]}}}],"schema":"https://github.com/citation-style-language/schema/raw/master/csl-citation.json"} </w:instrText>
      </w:r>
      <w:r w:rsidR="000368E4">
        <w:fldChar w:fldCharType="separate"/>
      </w:r>
      <w:r w:rsidR="000368E4" w:rsidRPr="000368E4">
        <w:rPr>
          <w:rFonts w:cs="Arial"/>
        </w:rPr>
        <w:t>(Fiore et al., 2022)</w:t>
      </w:r>
      <w:r w:rsidR="000368E4">
        <w:fldChar w:fldCharType="end"/>
      </w:r>
      <w:r w:rsidRPr="00C1425D">
        <w:t>. Straw, on the other hand, can be valorized through the second-generation sugar platform (i.e., steam explosion pretreatment, enzymatic hydrolysis, and alcoholic fermentation) to produce ethanol</w:t>
      </w:r>
      <w:r w:rsidR="00046AD0">
        <w:t xml:space="preserve"> </w:t>
      </w:r>
      <w:r w:rsidR="00046AD0">
        <w:fldChar w:fldCharType="begin"/>
      </w:r>
      <w:r w:rsidR="00046AD0">
        <w:instrText xml:space="preserve"> ADDIN ZOTERO_ITEM CSL_CITATION {"citationID":"1bLNZSGq","properties":{"formattedCitation":"(Giuliano et al., 2025)","plainCitation":"(Giuliano et al., 2025)","noteIndex":0},"citationItems":[{"id":4850,"uris":["http://zotero.org/users/10649518/items/2C8EQAVV"],"itemData":{"id":4850,"type":"article-journal","abstract":"An insightful methodology employing the Pareto front approach and a mixed indicator (equivalent carbon dioxide saving cost) to assess the trade-offs between economic and environmental objectives is described to design, optimize, and interpret the complex superstructure of 54 multiproduct lignocellulosic biorefineries. Through a Mixed-Integer Nonlinear Programming (MINLP) strategy, full valorization of all three biomass components is demonstrated, comparing eucalyptus residues, wheat straw, and olive pruning residues across different plant sizes (50 and 150 t/h) and product market price scenarios, considering equivalent carbon dioxide saving cost, particularly emphasizing high-value lignin products. Key results indicate that larger plant capacities and favorable prices for products such as vanillin and levulinic acid maximize economic returns, achieving a net present value of 120−130 €/t. Wheat straw demonstrates superior environmental performance, achieving 1,200−1,500 kg CO2eq savings/t. The evaluation of CO2 saving costs reveals that smaller biorefinery sizes (approximately 300−400 €/t CO2eq savings), the production of levulinic acid (around 100−200 €/t CO2eq), and phenol formaldehyde resins from lignin (approximately 300−400 €/t CO2eq) yield the most favorable results. However, our analysis suggests that it may be necessary for a significant 10-fold increment of the current carbon taxation levels to make environmentally optimal biorefinery options economically competitive. The criteria analyzed here serve as a practical tool for stakeholders, balancing profitability with sustainability in biorefinery investments.","container-title":"ACS Sustainable Chemistry &amp; Engineering","DOI":"10.1021/acssuschemeng.4c06590","ISSN":"2168-0485, 2168-0485","issue":"5","journalAbbreviation":"ACS Sustainable Chem. Eng.","language":"en","license":"https://creativecommons.org/licenses/by/4.0/","page":"1961-1973","source":"DOI.org (Crossref)","title":"Integrating Techno-Economic and Environmental Criteria in the Design and Optimization of a Full Utilization Multiproduct Lignocellulosic Biorefinery","volume":"13","author":[{"family":"Giuliano","given":"Aristide"},{"family":"Robinson Medici","given":"Ada"},{"family":"Barletta","given":"Diego"}],"issued":{"date-parts":[["2025",2,10]]}}}],"schema":"https://github.com/citation-style-language/schema/raw/master/csl-citation.json"} </w:instrText>
      </w:r>
      <w:r w:rsidR="00046AD0">
        <w:fldChar w:fldCharType="separate"/>
      </w:r>
      <w:r w:rsidR="00046AD0" w:rsidRPr="00046AD0">
        <w:rPr>
          <w:rFonts w:cs="Arial"/>
        </w:rPr>
        <w:t>(Giuliano et al., 2025)</w:t>
      </w:r>
      <w:r w:rsidR="00046AD0">
        <w:fldChar w:fldCharType="end"/>
      </w:r>
      <w:r w:rsidRPr="00C1425D">
        <w:t>.</w:t>
      </w:r>
    </w:p>
    <w:p w14:paraId="677EBFF0" w14:textId="5DA4C699" w:rsidR="00600535" w:rsidRPr="00B57B36" w:rsidRDefault="0037693A" w:rsidP="00600535">
      <w:pPr>
        <w:pStyle w:val="CETHeading1"/>
        <w:tabs>
          <w:tab w:val="clear" w:pos="360"/>
          <w:tab w:val="right" w:pos="7100"/>
        </w:tabs>
        <w:jc w:val="both"/>
        <w:rPr>
          <w:lang w:val="en-GB"/>
        </w:rPr>
      </w:pPr>
      <w:r>
        <w:rPr>
          <w:lang w:val="en-GB"/>
        </w:rPr>
        <w:t>Results</w:t>
      </w:r>
    </w:p>
    <w:p w14:paraId="04963A06" w14:textId="4D584795" w:rsidR="00600535" w:rsidRPr="00B57B36" w:rsidRDefault="00A966D4" w:rsidP="00FA5F5F">
      <w:pPr>
        <w:pStyle w:val="CETheadingx"/>
      </w:pPr>
      <w:r>
        <w:t>Bioresource a</w:t>
      </w:r>
      <w:r w:rsidR="0037693A">
        <w:t xml:space="preserve">vailability </w:t>
      </w:r>
    </w:p>
    <w:p w14:paraId="408B6A94" w14:textId="77777777" w:rsidR="00095AC9" w:rsidRDefault="009070A3" w:rsidP="004C35E2">
      <w:pPr>
        <w:pStyle w:val="CETBodytext"/>
        <w:rPr>
          <w:lang w:val="en-GB"/>
        </w:rPr>
      </w:pPr>
      <w:r w:rsidRPr="009070A3">
        <w:rPr>
          <w:lang w:val="en-GB"/>
        </w:rPr>
        <w:t xml:space="preserve">Figure 1's municipal georeferencing from ENEA's Atlante delle </w:t>
      </w:r>
      <w:proofErr w:type="spellStart"/>
      <w:r w:rsidRPr="009070A3">
        <w:rPr>
          <w:lang w:val="en-GB"/>
        </w:rPr>
        <w:t>Biomasse</w:t>
      </w:r>
      <w:proofErr w:type="spellEnd"/>
      <w:r w:rsidRPr="009070A3">
        <w:rPr>
          <w:lang w:val="en-GB"/>
        </w:rPr>
        <w:t xml:space="preserve"> and </w:t>
      </w:r>
      <w:proofErr w:type="spellStart"/>
      <w:r w:rsidRPr="009070A3">
        <w:rPr>
          <w:lang w:val="en-GB"/>
        </w:rPr>
        <w:t>ISPRA</w:t>
      </w:r>
      <w:proofErr w:type="spellEnd"/>
      <w:r w:rsidRPr="009070A3">
        <w:rPr>
          <w:lang w:val="en-GB"/>
        </w:rPr>
        <w:t xml:space="preserve"> datasets exposes profound spatial disparities that dictate biorefinery siting in the four case studies. In Emilia-Romagna (panel a), pruning residues exhibit bimodal clustering primarily in Ravenna, Reggio Emilia, and Bologna provinces, driven by intensive fruit arboriculture and urban green maintenance, with many municipalities contributing negligibly due to sectoral specialization over blanket rural productivity. </w:t>
      </w:r>
    </w:p>
    <w:p w14:paraId="659A33F6" w14:textId="77777777" w:rsidR="00095AC9" w:rsidRPr="00087FAE" w:rsidRDefault="00095AC9" w:rsidP="00095AC9">
      <w:pPr>
        <w:pStyle w:val="CETTabletitle"/>
        <w:rPr>
          <w:lang w:val="en-US"/>
        </w:rPr>
      </w:pPr>
      <w:r w:rsidRPr="00087FAE">
        <w:rPr>
          <w:lang w:val="en-US"/>
        </w:rPr>
        <w:t>Table 2: Main parameters and key information on biorefinery processes</w:t>
      </w:r>
    </w:p>
    <w:tbl>
      <w:tblPr>
        <w:tblW w:w="5000" w:type="pct"/>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6"/>
        <w:gridCol w:w="1416"/>
        <w:gridCol w:w="3828"/>
        <w:gridCol w:w="1084"/>
        <w:gridCol w:w="1323"/>
      </w:tblGrid>
      <w:tr w:rsidR="00095AC9" w:rsidRPr="00B57B36" w14:paraId="5D23432C" w14:textId="77777777" w:rsidTr="00A97F53">
        <w:trPr>
          <w:jc w:val="center"/>
        </w:trPr>
        <w:tc>
          <w:tcPr>
            <w:tcW w:w="646" w:type="pct"/>
            <w:tcBorders>
              <w:top w:val="single" w:sz="12" w:space="0" w:color="008000"/>
              <w:bottom w:val="single" w:sz="6" w:space="0" w:color="008000"/>
            </w:tcBorders>
            <w:shd w:val="clear" w:color="auto" w:fill="FFFFFF"/>
          </w:tcPr>
          <w:p w14:paraId="67C84D57" w14:textId="77777777" w:rsidR="00095AC9" w:rsidRPr="00F67B48" w:rsidRDefault="00095AC9" w:rsidP="00A97F53">
            <w:pPr>
              <w:pStyle w:val="CETBodytext"/>
              <w:jc w:val="center"/>
            </w:pPr>
            <w:r w:rsidRPr="00F67B48">
              <w:t>Biofuel</w:t>
            </w:r>
          </w:p>
        </w:tc>
        <w:tc>
          <w:tcPr>
            <w:tcW w:w="806" w:type="pct"/>
            <w:tcBorders>
              <w:top w:val="single" w:sz="12" w:space="0" w:color="008000"/>
              <w:bottom w:val="single" w:sz="6" w:space="0" w:color="008000"/>
            </w:tcBorders>
            <w:shd w:val="clear" w:color="auto" w:fill="FFFFFF"/>
          </w:tcPr>
          <w:p w14:paraId="0A4BEECE" w14:textId="77777777" w:rsidR="00095AC9" w:rsidRPr="00F67B48" w:rsidRDefault="00095AC9" w:rsidP="00A97F53">
            <w:pPr>
              <w:pStyle w:val="CETBodytext"/>
              <w:jc w:val="center"/>
            </w:pPr>
            <w:r w:rsidRPr="00F67B48">
              <w:t>Raw material</w:t>
            </w:r>
          </w:p>
        </w:tc>
        <w:tc>
          <w:tcPr>
            <w:tcW w:w="2178" w:type="pct"/>
            <w:tcBorders>
              <w:top w:val="single" w:sz="12" w:space="0" w:color="008000"/>
              <w:bottom w:val="single" w:sz="6" w:space="0" w:color="008000"/>
            </w:tcBorders>
            <w:shd w:val="clear" w:color="auto" w:fill="FFFFFF"/>
          </w:tcPr>
          <w:p w14:paraId="1E151367" w14:textId="77777777" w:rsidR="00095AC9" w:rsidRPr="00F67B48" w:rsidRDefault="00095AC9" w:rsidP="00A97F53">
            <w:pPr>
              <w:pStyle w:val="CETBodytext"/>
              <w:jc w:val="center"/>
              <w:rPr>
                <w:lang w:val="en-GB"/>
              </w:rPr>
            </w:pPr>
            <w:r w:rsidRPr="00F67B48">
              <w:t>Main Processes</w:t>
            </w:r>
          </w:p>
        </w:tc>
        <w:tc>
          <w:tcPr>
            <w:tcW w:w="617" w:type="pct"/>
            <w:tcBorders>
              <w:top w:val="single" w:sz="12" w:space="0" w:color="008000"/>
              <w:bottom w:val="single" w:sz="6" w:space="0" w:color="008000"/>
            </w:tcBorders>
            <w:shd w:val="clear" w:color="auto" w:fill="FFFFFF"/>
          </w:tcPr>
          <w:p w14:paraId="29962399" w14:textId="77777777" w:rsidR="00095AC9" w:rsidRPr="00F67B48" w:rsidRDefault="00095AC9" w:rsidP="00A97F53">
            <w:pPr>
              <w:pStyle w:val="CETBodytext"/>
              <w:jc w:val="center"/>
              <w:rPr>
                <w:lang w:val="en-GB"/>
              </w:rPr>
            </w:pPr>
            <w:r w:rsidRPr="00F67B48">
              <w:t>Biofuel yield (t/</w:t>
            </w:r>
            <w:proofErr w:type="spellStart"/>
            <w:proofErr w:type="gramStart"/>
            <w:r w:rsidRPr="00F67B48">
              <w:t>t</w:t>
            </w:r>
            <w:r w:rsidRPr="00F67B48">
              <w:rPr>
                <w:vertAlign w:val="subscript"/>
              </w:rPr>
              <w:t>F,DRY</w:t>
            </w:r>
            <w:proofErr w:type="spellEnd"/>
            <w:proofErr w:type="gramEnd"/>
            <w:r w:rsidRPr="00F67B48">
              <w:t>)</w:t>
            </w:r>
          </w:p>
        </w:tc>
        <w:tc>
          <w:tcPr>
            <w:tcW w:w="753" w:type="pct"/>
            <w:tcBorders>
              <w:top w:val="single" w:sz="12" w:space="0" w:color="008000"/>
              <w:bottom w:val="single" w:sz="6" w:space="0" w:color="008000"/>
            </w:tcBorders>
            <w:shd w:val="clear" w:color="auto" w:fill="FFFFFF"/>
          </w:tcPr>
          <w:p w14:paraId="7FE05B80" w14:textId="77777777" w:rsidR="00095AC9" w:rsidRPr="0067622F" w:rsidRDefault="00095AC9" w:rsidP="00A97F53">
            <w:pPr>
              <w:pStyle w:val="CETBodytext"/>
              <w:ind w:right="-1"/>
              <w:jc w:val="center"/>
              <w:rPr>
                <w:rFonts w:cs="Arial"/>
                <w:szCs w:val="18"/>
                <w:lang w:val="en-GB"/>
              </w:rPr>
            </w:pPr>
            <w:r w:rsidRPr="0067622F">
              <w:t>Baseline size (</w:t>
            </w:r>
            <w:proofErr w:type="spellStart"/>
            <w:proofErr w:type="gramStart"/>
            <w:r w:rsidRPr="0067622F">
              <w:t>kt</w:t>
            </w:r>
            <w:r w:rsidRPr="0067622F">
              <w:rPr>
                <w:vertAlign w:val="subscript"/>
              </w:rPr>
              <w:t>F,DRY</w:t>
            </w:r>
            <w:proofErr w:type="spellEnd"/>
            <w:proofErr w:type="gramEnd"/>
            <w:r w:rsidRPr="0067622F">
              <w:t>/y)</w:t>
            </w:r>
          </w:p>
        </w:tc>
      </w:tr>
      <w:tr w:rsidR="00095AC9" w:rsidRPr="002F4090" w14:paraId="6C1E63DC" w14:textId="77777777" w:rsidTr="00A97F53">
        <w:trPr>
          <w:jc w:val="center"/>
        </w:trPr>
        <w:tc>
          <w:tcPr>
            <w:tcW w:w="646" w:type="pct"/>
            <w:shd w:val="clear" w:color="auto" w:fill="FFFFFF"/>
            <w:vAlign w:val="center"/>
          </w:tcPr>
          <w:p w14:paraId="2CD4CAA0" w14:textId="77777777" w:rsidR="00095AC9" w:rsidRPr="00F67B48" w:rsidRDefault="00095AC9" w:rsidP="00A97F53">
            <w:pPr>
              <w:pStyle w:val="CETBodytext"/>
              <w:jc w:val="center"/>
            </w:pPr>
            <w:r w:rsidRPr="00F67B48">
              <w:t>MeOH</w:t>
            </w:r>
          </w:p>
        </w:tc>
        <w:tc>
          <w:tcPr>
            <w:tcW w:w="806" w:type="pct"/>
            <w:shd w:val="clear" w:color="auto" w:fill="FFFFFF"/>
            <w:vAlign w:val="center"/>
          </w:tcPr>
          <w:p w14:paraId="7A6E1538" w14:textId="77777777" w:rsidR="00095AC9" w:rsidRPr="00F67B48" w:rsidRDefault="00095AC9" w:rsidP="00A97F53">
            <w:pPr>
              <w:pStyle w:val="CETBodytext"/>
              <w:jc w:val="center"/>
            </w:pPr>
            <w:r w:rsidRPr="00F67B48">
              <w:t>Pruning</w:t>
            </w:r>
          </w:p>
        </w:tc>
        <w:tc>
          <w:tcPr>
            <w:tcW w:w="2178" w:type="pct"/>
            <w:shd w:val="clear" w:color="auto" w:fill="FFFFFF"/>
          </w:tcPr>
          <w:p w14:paraId="6C30EEEA" w14:textId="77777777" w:rsidR="00095AC9" w:rsidRPr="00F67B48" w:rsidRDefault="00095AC9" w:rsidP="00A97F53">
            <w:pPr>
              <w:pStyle w:val="CETBodytext"/>
              <w:jc w:val="center"/>
            </w:pPr>
            <w:r w:rsidRPr="00F67B48">
              <w:t>Gasification + Purification &amp; Conditioning + Synthesis</w:t>
            </w:r>
          </w:p>
        </w:tc>
        <w:tc>
          <w:tcPr>
            <w:tcW w:w="617" w:type="pct"/>
            <w:shd w:val="clear" w:color="auto" w:fill="FFFFFF"/>
          </w:tcPr>
          <w:p w14:paraId="2C4A84AA" w14:textId="77777777" w:rsidR="00095AC9" w:rsidRPr="00F67B48" w:rsidRDefault="00095AC9" w:rsidP="00A97F53">
            <w:pPr>
              <w:pStyle w:val="CETBodytext"/>
              <w:jc w:val="center"/>
            </w:pPr>
            <w:r w:rsidRPr="00F67B48">
              <w:t>20%</w:t>
            </w:r>
          </w:p>
        </w:tc>
        <w:tc>
          <w:tcPr>
            <w:tcW w:w="753" w:type="pct"/>
            <w:shd w:val="clear" w:color="auto" w:fill="FFFFFF"/>
          </w:tcPr>
          <w:p w14:paraId="41D038C3" w14:textId="77777777" w:rsidR="00095AC9" w:rsidRPr="0067622F" w:rsidRDefault="00095AC9" w:rsidP="00A97F53">
            <w:pPr>
              <w:pStyle w:val="CETBodytext"/>
              <w:ind w:right="-1"/>
              <w:jc w:val="center"/>
            </w:pPr>
            <w:r>
              <w:t>10</w:t>
            </w:r>
            <w:r w:rsidRPr="0067622F">
              <w:t>0</w:t>
            </w:r>
          </w:p>
        </w:tc>
      </w:tr>
      <w:tr w:rsidR="00095AC9" w:rsidRPr="00B57B36" w14:paraId="28AC3056" w14:textId="77777777" w:rsidTr="00A97F53">
        <w:trPr>
          <w:jc w:val="center"/>
        </w:trPr>
        <w:tc>
          <w:tcPr>
            <w:tcW w:w="646" w:type="pct"/>
            <w:shd w:val="clear" w:color="auto" w:fill="FFFFFF"/>
            <w:vAlign w:val="center"/>
          </w:tcPr>
          <w:p w14:paraId="64E9D2A6" w14:textId="77777777" w:rsidR="00095AC9" w:rsidRPr="00F67B48" w:rsidRDefault="00095AC9" w:rsidP="00A97F53">
            <w:pPr>
              <w:pStyle w:val="CETBodytext"/>
              <w:jc w:val="center"/>
            </w:pPr>
            <w:r w:rsidRPr="00F67B48">
              <w:t>FAME</w:t>
            </w:r>
          </w:p>
        </w:tc>
        <w:tc>
          <w:tcPr>
            <w:tcW w:w="806" w:type="pct"/>
            <w:shd w:val="clear" w:color="auto" w:fill="FFFFFF"/>
            <w:vAlign w:val="center"/>
          </w:tcPr>
          <w:p w14:paraId="79432183" w14:textId="77777777" w:rsidR="00095AC9" w:rsidRPr="00F67B48" w:rsidRDefault="00095AC9" w:rsidP="00A97F53">
            <w:pPr>
              <w:pStyle w:val="CETBodytext"/>
              <w:jc w:val="center"/>
            </w:pPr>
            <w:r w:rsidRPr="00F67B48">
              <w:t>Vegetable Oil</w:t>
            </w:r>
          </w:p>
        </w:tc>
        <w:tc>
          <w:tcPr>
            <w:tcW w:w="2178" w:type="pct"/>
            <w:shd w:val="clear" w:color="auto" w:fill="FFFFFF"/>
            <w:vAlign w:val="center"/>
          </w:tcPr>
          <w:p w14:paraId="1F699E6B" w14:textId="77777777" w:rsidR="00095AC9" w:rsidRPr="00F67B48" w:rsidRDefault="00095AC9" w:rsidP="00A97F53">
            <w:pPr>
              <w:pStyle w:val="CETBodytext"/>
              <w:jc w:val="center"/>
            </w:pPr>
            <w:r w:rsidRPr="00F67B48">
              <w:t>Transesterification</w:t>
            </w:r>
          </w:p>
        </w:tc>
        <w:tc>
          <w:tcPr>
            <w:tcW w:w="617" w:type="pct"/>
            <w:shd w:val="clear" w:color="auto" w:fill="FFFFFF"/>
            <w:vAlign w:val="center"/>
          </w:tcPr>
          <w:p w14:paraId="31EF4437" w14:textId="77777777" w:rsidR="00095AC9" w:rsidRPr="00F67B48" w:rsidRDefault="00095AC9" w:rsidP="00A97F53">
            <w:pPr>
              <w:pStyle w:val="CETBodytext"/>
              <w:jc w:val="center"/>
            </w:pPr>
            <w:r w:rsidRPr="00F67B48">
              <w:t>96%</w:t>
            </w:r>
          </w:p>
        </w:tc>
        <w:tc>
          <w:tcPr>
            <w:tcW w:w="753" w:type="pct"/>
            <w:shd w:val="clear" w:color="auto" w:fill="FFFFFF"/>
            <w:vAlign w:val="center"/>
          </w:tcPr>
          <w:p w14:paraId="4318C78C" w14:textId="77777777" w:rsidR="00095AC9" w:rsidRPr="0067622F" w:rsidRDefault="00095AC9" w:rsidP="00A97F53">
            <w:pPr>
              <w:pStyle w:val="CETBodytext"/>
              <w:ind w:right="-1"/>
              <w:jc w:val="center"/>
            </w:pPr>
            <w:r w:rsidRPr="0067622F">
              <w:t>600</w:t>
            </w:r>
          </w:p>
        </w:tc>
      </w:tr>
      <w:tr w:rsidR="00095AC9" w:rsidRPr="00B57B36" w14:paraId="59B34309" w14:textId="77777777" w:rsidTr="00A97F53">
        <w:trPr>
          <w:jc w:val="center"/>
        </w:trPr>
        <w:tc>
          <w:tcPr>
            <w:tcW w:w="646" w:type="pct"/>
            <w:shd w:val="clear" w:color="auto" w:fill="FFFFFF"/>
            <w:vAlign w:val="center"/>
          </w:tcPr>
          <w:p w14:paraId="70C70AFC" w14:textId="77777777" w:rsidR="00095AC9" w:rsidRPr="00F67B48" w:rsidRDefault="00095AC9" w:rsidP="00A97F53">
            <w:pPr>
              <w:pStyle w:val="CETBodytext"/>
              <w:jc w:val="center"/>
            </w:pPr>
            <w:r w:rsidRPr="00F67B48">
              <w:t>Methane</w:t>
            </w:r>
          </w:p>
        </w:tc>
        <w:tc>
          <w:tcPr>
            <w:tcW w:w="806" w:type="pct"/>
            <w:shd w:val="clear" w:color="auto" w:fill="FFFFFF"/>
            <w:vAlign w:val="center"/>
          </w:tcPr>
          <w:p w14:paraId="1EFD6B25" w14:textId="77777777" w:rsidR="00095AC9" w:rsidRPr="00F67B48" w:rsidRDefault="00095AC9" w:rsidP="00A97F53">
            <w:pPr>
              <w:pStyle w:val="CETBodytext"/>
              <w:jc w:val="center"/>
            </w:pPr>
            <w:proofErr w:type="spellStart"/>
            <w:r w:rsidRPr="00F67B48">
              <w:t>OFMSW</w:t>
            </w:r>
            <w:proofErr w:type="spellEnd"/>
          </w:p>
        </w:tc>
        <w:tc>
          <w:tcPr>
            <w:tcW w:w="2178" w:type="pct"/>
            <w:shd w:val="clear" w:color="auto" w:fill="FFFFFF"/>
          </w:tcPr>
          <w:p w14:paraId="7B043F2F" w14:textId="77777777" w:rsidR="00095AC9" w:rsidRPr="00F67B48" w:rsidRDefault="00095AC9" w:rsidP="00A97F53">
            <w:pPr>
              <w:pStyle w:val="CETBodytext"/>
              <w:jc w:val="center"/>
              <w:rPr>
                <w:lang w:val="en-GB"/>
              </w:rPr>
            </w:pPr>
            <w:r w:rsidRPr="00F67B48">
              <w:t>Anaerobic Digestion + CO</w:t>
            </w:r>
            <w:r w:rsidRPr="0067622F">
              <w:rPr>
                <w:vertAlign w:val="subscript"/>
              </w:rPr>
              <w:t>2</w:t>
            </w:r>
            <w:r w:rsidRPr="00F67B48">
              <w:t xml:space="preserve"> removal</w:t>
            </w:r>
          </w:p>
        </w:tc>
        <w:tc>
          <w:tcPr>
            <w:tcW w:w="617" w:type="pct"/>
            <w:shd w:val="clear" w:color="auto" w:fill="FFFFFF"/>
          </w:tcPr>
          <w:p w14:paraId="6CF8D89F" w14:textId="77777777" w:rsidR="00095AC9" w:rsidRPr="00F67B48" w:rsidRDefault="00095AC9" w:rsidP="00A97F53">
            <w:pPr>
              <w:pStyle w:val="CETBodytext"/>
              <w:jc w:val="center"/>
              <w:rPr>
                <w:lang w:val="en-GB"/>
              </w:rPr>
            </w:pPr>
            <w:r w:rsidRPr="0067622F">
              <w:t>5%</w:t>
            </w:r>
          </w:p>
        </w:tc>
        <w:tc>
          <w:tcPr>
            <w:tcW w:w="753" w:type="pct"/>
            <w:shd w:val="clear" w:color="auto" w:fill="FFFFFF"/>
          </w:tcPr>
          <w:p w14:paraId="219B30FE" w14:textId="77777777" w:rsidR="00095AC9" w:rsidRPr="0067622F" w:rsidRDefault="00095AC9" w:rsidP="00A97F53">
            <w:pPr>
              <w:pStyle w:val="CETBodytext"/>
              <w:ind w:right="-1"/>
              <w:jc w:val="center"/>
              <w:rPr>
                <w:rFonts w:cs="Arial"/>
                <w:szCs w:val="18"/>
                <w:lang w:val="en-GB"/>
              </w:rPr>
            </w:pPr>
            <w:r w:rsidRPr="0067622F">
              <w:t>40</w:t>
            </w:r>
          </w:p>
        </w:tc>
      </w:tr>
      <w:tr w:rsidR="00095AC9" w:rsidRPr="00B57B36" w14:paraId="7FA83580" w14:textId="77777777" w:rsidTr="00A97F53">
        <w:trPr>
          <w:jc w:val="center"/>
        </w:trPr>
        <w:tc>
          <w:tcPr>
            <w:tcW w:w="646" w:type="pct"/>
            <w:shd w:val="clear" w:color="auto" w:fill="FFFFFF"/>
            <w:vAlign w:val="center"/>
          </w:tcPr>
          <w:p w14:paraId="4D1F840A" w14:textId="77777777" w:rsidR="00095AC9" w:rsidRPr="00F67B48" w:rsidRDefault="00095AC9" w:rsidP="00A97F53">
            <w:pPr>
              <w:pStyle w:val="CETBodytext"/>
              <w:ind w:right="-1"/>
              <w:jc w:val="center"/>
            </w:pPr>
            <w:r w:rsidRPr="00F67B48">
              <w:t>EtOH</w:t>
            </w:r>
          </w:p>
        </w:tc>
        <w:tc>
          <w:tcPr>
            <w:tcW w:w="806" w:type="pct"/>
            <w:shd w:val="clear" w:color="auto" w:fill="FFFFFF"/>
            <w:vAlign w:val="center"/>
          </w:tcPr>
          <w:p w14:paraId="4D195052" w14:textId="77777777" w:rsidR="00095AC9" w:rsidRPr="00F67B48" w:rsidRDefault="00095AC9" w:rsidP="00A97F53">
            <w:pPr>
              <w:pStyle w:val="CETBodytext"/>
              <w:ind w:right="-1"/>
              <w:jc w:val="center"/>
            </w:pPr>
            <w:r w:rsidRPr="00F67B48">
              <w:t>Straw</w:t>
            </w:r>
          </w:p>
        </w:tc>
        <w:tc>
          <w:tcPr>
            <w:tcW w:w="2178" w:type="pct"/>
            <w:shd w:val="clear" w:color="auto" w:fill="FFFFFF"/>
          </w:tcPr>
          <w:p w14:paraId="5F2B27B7" w14:textId="77777777" w:rsidR="00095AC9" w:rsidRPr="00F67B48" w:rsidRDefault="00095AC9" w:rsidP="00A97F53">
            <w:pPr>
              <w:pStyle w:val="CETBodytext"/>
              <w:ind w:right="-1"/>
              <w:jc w:val="center"/>
              <w:rPr>
                <w:rFonts w:cs="Arial"/>
                <w:szCs w:val="18"/>
                <w:lang w:val="en-GB"/>
              </w:rPr>
            </w:pPr>
            <w:r w:rsidRPr="00F67B48">
              <w:t xml:space="preserve">Pretreatment + </w:t>
            </w:r>
            <w:proofErr w:type="gramStart"/>
            <w:r w:rsidRPr="00F67B48">
              <w:t>Hydrolysis  +</w:t>
            </w:r>
            <w:proofErr w:type="gramEnd"/>
            <w:r w:rsidRPr="00F67B48">
              <w:t xml:space="preserve"> Fermentation</w:t>
            </w:r>
          </w:p>
        </w:tc>
        <w:tc>
          <w:tcPr>
            <w:tcW w:w="617" w:type="pct"/>
            <w:shd w:val="clear" w:color="auto" w:fill="FFFFFF"/>
          </w:tcPr>
          <w:p w14:paraId="159F6DBA" w14:textId="77777777" w:rsidR="00095AC9" w:rsidRPr="00F67B48" w:rsidRDefault="00095AC9" w:rsidP="00A97F53">
            <w:pPr>
              <w:pStyle w:val="CETBodytext"/>
              <w:ind w:right="-1"/>
              <w:jc w:val="center"/>
              <w:rPr>
                <w:rFonts w:cs="Arial"/>
                <w:szCs w:val="18"/>
                <w:lang w:val="en-GB"/>
              </w:rPr>
            </w:pPr>
            <w:r w:rsidRPr="00F67B48">
              <w:t>20%</w:t>
            </w:r>
          </w:p>
        </w:tc>
        <w:tc>
          <w:tcPr>
            <w:tcW w:w="753" w:type="pct"/>
            <w:shd w:val="clear" w:color="auto" w:fill="FFFFFF"/>
          </w:tcPr>
          <w:p w14:paraId="20412EAC" w14:textId="77777777" w:rsidR="00095AC9" w:rsidRPr="0067622F" w:rsidRDefault="00095AC9" w:rsidP="00A97F53">
            <w:pPr>
              <w:pStyle w:val="CETBodytext"/>
              <w:ind w:right="-1"/>
              <w:jc w:val="center"/>
              <w:rPr>
                <w:rFonts w:cs="Arial"/>
                <w:szCs w:val="18"/>
                <w:lang w:val="en-GB"/>
              </w:rPr>
            </w:pPr>
            <w:r w:rsidRPr="0067622F">
              <w:t>250</w:t>
            </w:r>
          </w:p>
        </w:tc>
      </w:tr>
    </w:tbl>
    <w:p w14:paraId="5A46B4FD" w14:textId="77777777" w:rsidR="00095AC9" w:rsidRDefault="00095AC9" w:rsidP="004C35E2">
      <w:pPr>
        <w:pStyle w:val="CETBodytext"/>
        <w:rPr>
          <w:lang w:val="en-GB"/>
        </w:rPr>
      </w:pPr>
    </w:p>
    <w:p w14:paraId="5C9B9A39" w14:textId="4D6D3DAB" w:rsidR="00325709" w:rsidRDefault="009070A3" w:rsidP="004C35E2">
      <w:pPr>
        <w:pStyle w:val="CETBodytext"/>
        <w:rPr>
          <w:lang w:val="en-GB"/>
        </w:rPr>
      </w:pPr>
      <w:r w:rsidRPr="009070A3">
        <w:rPr>
          <w:lang w:val="en-GB"/>
        </w:rPr>
        <w:lastRenderedPageBreak/>
        <w:t xml:space="preserve">Marche (panel b) presents Brassica </w:t>
      </w:r>
      <w:proofErr w:type="spellStart"/>
      <w:r w:rsidRPr="009070A3">
        <w:rPr>
          <w:lang w:val="en-GB"/>
        </w:rPr>
        <w:t>carinata</w:t>
      </w:r>
      <w:proofErr w:type="spellEnd"/>
      <w:r w:rsidRPr="009070A3">
        <w:rPr>
          <w:lang w:val="en-GB"/>
        </w:rPr>
        <w:t xml:space="preserve"> oil potentials confined to Macerata's contaminated or marginal soils, strategically avoiding prime cropland and exemplifying land-use complementarity in circular systems. Campania's </w:t>
      </w:r>
      <w:proofErr w:type="spellStart"/>
      <w:r w:rsidRPr="009070A3">
        <w:rPr>
          <w:lang w:val="en-GB"/>
        </w:rPr>
        <w:t>OFMSW</w:t>
      </w:r>
      <w:proofErr w:type="spellEnd"/>
      <w:r w:rsidRPr="009070A3">
        <w:rPr>
          <w:lang w:val="en-GB"/>
        </w:rPr>
        <w:t xml:space="preserve"> (panel c) surges in Naples and Salerno's urban agglomerates, </w:t>
      </w:r>
      <w:proofErr w:type="gramStart"/>
      <w:r w:rsidRPr="009070A3">
        <w:rPr>
          <w:lang w:val="en-GB"/>
        </w:rPr>
        <w:t>where</w:t>
      </w:r>
      <w:proofErr w:type="gramEnd"/>
      <w:r w:rsidRPr="009070A3">
        <w:rPr>
          <w:lang w:val="en-GB"/>
        </w:rPr>
        <w:t xml:space="preserve"> demographic density correlates directly with organic waste volumes, contrasting sharply with hinterland sparsity. Puglia's straw (panel d) consolidates in Foggia's cereal heartland, diminishing seaward amid urbanization, reflective of rainfed arable dominance.</w:t>
      </w:r>
      <w:r w:rsidR="00987AEC">
        <w:rPr>
          <w:lang w:val="en-GB"/>
        </w:rPr>
        <w:t xml:space="preserve"> </w:t>
      </w:r>
      <w:r w:rsidR="005D5429" w:rsidRPr="009070A3">
        <w:rPr>
          <w:lang w:val="en-GB"/>
        </w:rPr>
        <w:t xml:space="preserve">These anisotropies territorial density, per-capita yields, municipal aggregates prefigure </w:t>
      </w:r>
      <w:proofErr w:type="spellStart"/>
      <w:r w:rsidR="005D5429" w:rsidRPr="009070A3">
        <w:rPr>
          <w:lang w:val="en-GB"/>
        </w:rPr>
        <w:t>MILP</w:t>
      </w:r>
      <w:proofErr w:type="spellEnd"/>
      <w:r w:rsidR="005D5429" w:rsidRPr="009070A3">
        <w:rPr>
          <w:lang w:val="en-GB"/>
        </w:rPr>
        <w:t xml:space="preserve"> solutions, where Table 2's process envelopes collide with logistics realities</w:t>
      </w:r>
      <w:r w:rsidR="005D5429" w:rsidRPr="004C35E2">
        <w:rPr>
          <w:lang w:val="en-GB"/>
        </w:rPr>
        <w:t>.</w:t>
      </w:r>
      <w:r w:rsidR="005D5429">
        <w:rPr>
          <w:lang w:val="en-GB"/>
        </w:rPr>
        <w:t xml:space="preserve"> </w:t>
      </w:r>
      <w:r w:rsidR="0007049E" w:rsidRPr="0007049E">
        <w:rPr>
          <w:lang w:val="en-GB"/>
        </w:rPr>
        <w:t xml:space="preserve">Table 3 crystallizes </w:t>
      </w:r>
      <w:proofErr w:type="spellStart"/>
      <w:r w:rsidR="0007049E" w:rsidRPr="0007049E">
        <w:rPr>
          <w:lang w:val="en-GB"/>
        </w:rPr>
        <w:t>MILP</w:t>
      </w:r>
      <w:proofErr w:type="spellEnd"/>
      <w:r w:rsidR="0007049E" w:rsidRPr="0007049E">
        <w:rPr>
          <w:lang w:val="en-GB"/>
        </w:rPr>
        <w:t xml:space="preserve"> outputs: average capacities, plant counts, and biofuel yields benchmarked against Table 2 baselines. Methanol from Emilia-Romagna </w:t>
      </w:r>
      <w:proofErr w:type="spellStart"/>
      <w:r w:rsidR="0007049E" w:rsidRPr="0007049E">
        <w:rPr>
          <w:lang w:val="en-GB"/>
        </w:rPr>
        <w:t>prunings</w:t>
      </w:r>
      <w:proofErr w:type="spellEnd"/>
      <w:r w:rsidR="0007049E" w:rsidRPr="0007049E">
        <w:rPr>
          <w:lang w:val="en-GB"/>
        </w:rPr>
        <w:t xml:space="preserve"> averages 84 kt/y across two facilities (37 kt/y total MeOH); FAME from Marche oils hits 92 kt/y in one plant (88 kt/y FAME); methane from Campania </w:t>
      </w:r>
      <w:proofErr w:type="spellStart"/>
      <w:r w:rsidR="0007049E" w:rsidRPr="0007049E">
        <w:rPr>
          <w:lang w:val="en-GB"/>
        </w:rPr>
        <w:t>OFMSW</w:t>
      </w:r>
      <w:proofErr w:type="spellEnd"/>
      <w:r w:rsidR="0007049E" w:rsidRPr="0007049E">
        <w:rPr>
          <w:lang w:val="en-GB"/>
        </w:rPr>
        <w:t xml:space="preserve"> averages 80 kt/y over seven sites (28 kt/y </w:t>
      </w:r>
      <w:proofErr w:type="spellStart"/>
      <w:r w:rsidR="0007049E" w:rsidRPr="0007049E">
        <w:rPr>
          <w:lang w:val="en-GB"/>
        </w:rPr>
        <w:t>CH4</w:t>
      </w:r>
      <w:proofErr w:type="spellEnd"/>
      <w:r w:rsidR="0007049E" w:rsidRPr="0007049E">
        <w:rPr>
          <w:lang w:val="en-GB"/>
        </w:rPr>
        <w:t>); ethanol from Puglia straw reaches 400 kt/y in solitary mode (81 kt/y EtOH). These diverge strategically from baselines gasification's 100 kt/y, transesterification's 600 kt/y, digestion's 40 kt/y, ethanol's 250 kt/y revealing constraint navigation artistry.</w:t>
      </w:r>
      <w:r w:rsidR="002C10BA">
        <w:rPr>
          <w:lang w:val="en-GB"/>
        </w:rPr>
        <w:t xml:space="preserve"> </w:t>
      </w:r>
      <w:r w:rsidR="0007049E" w:rsidRPr="0007049E">
        <w:rPr>
          <w:lang w:val="en-GB"/>
        </w:rPr>
        <w:t xml:space="preserve">Emilia-Romagna's dual 84 kt/y methanol plants epitomize nuanced optimization artistry. Correggio anchors Ravenna-Reggio's pruning </w:t>
      </w:r>
      <w:proofErr w:type="spellStart"/>
      <w:r w:rsidR="0007049E" w:rsidRPr="0007049E">
        <w:rPr>
          <w:lang w:val="en-GB"/>
        </w:rPr>
        <w:t>epicenter</w:t>
      </w:r>
      <w:proofErr w:type="spellEnd"/>
      <w:r w:rsidR="0007049E" w:rsidRPr="0007049E">
        <w:rPr>
          <w:lang w:val="en-GB"/>
        </w:rPr>
        <w:t xml:space="preserve"> (Figure </w:t>
      </w:r>
      <w:proofErr w:type="spellStart"/>
      <w:r w:rsidR="0007049E" w:rsidRPr="0007049E">
        <w:rPr>
          <w:lang w:val="en-GB"/>
        </w:rPr>
        <w:t>1a</w:t>
      </w:r>
      <w:proofErr w:type="spellEnd"/>
      <w:r w:rsidR="0007049E" w:rsidRPr="0007049E">
        <w:rPr>
          <w:lang w:val="en-GB"/>
        </w:rPr>
        <w:t xml:space="preserve">), minimizing haulage from high-density orchards via Euclidean-optimal radii. Alto Reno Terme, offset southward by 50-70 km, aggregates Bologna's secondary cluster plus southern fringes, achieving scale synergies without municipal overreach. At 84 kt/y 16% below 100 kt/y baseline each exploits 20% gasification yield (syngas H2/CO/CO2 = 1/1/1), their separation optimizing procurement against one-plant-per-municipality caps while yielding 37 kt/y MeOH primed for downstream FAME via inter-regional methanol piping or trucking. Figure </w:t>
      </w:r>
      <w:proofErr w:type="spellStart"/>
      <w:r w:rsidR="0007049E" w:rsidRPr="0007049E">
        <w:rPr>
          <w:lang w:val="en-GB"/>
        </w:rPr>
        <w:t>2a's</w:t>
      </w:r>
      <w:proofErr w:type="spellEnd"/>
      <w:r w:rsidR="0007049E" w:rsidRPr="0007049E">
        <w:rPr>
          <w:lang w:val="en-GB"/>
        </w:rPr>
        <w:t xml:space="preserve"> transverse placement captures pruning bimodality perfectly, balancing </w:t>
      </w:r>
      <w:r w:rsidR="001D3E3A">
        <w:rPr>
          <w:lang w:val="en-GB"/>
        </w:rPr>
        <w:t>capital cost (CAPEX)</w:t>
      </w:r>
      <w:r w:rsidR="0007049E" w:rsidRPr="0007049E">
        <w:rPr>
          <w:lang w:val="en-GB"/>
        </w:rPr>
        <w:t xml:space="preserve"> amortization with transport </w:t>
      </w:r>
      <w:r w:rsidR="001D3E3A">
        <w:rPr>
          <w:lang w:val="en-GB"/>
        </w:rPr>
        <w:t>operating cost (</w:t>
      </w:r>
      <w:r w:rsidR="0007049E" w:rsidRPr="0007049E">
        <w:rPr>
          <w:lang w:val="en-GB"/>
        </w:rPr>
        <w:t>OPEX</w:t>
      </w:r>
      <w:r w:rsidR="001D3E3A">
        <w:rPr>
          <w:lang w:val="en-GB"/>
        </w:rPr>
        <w:t>)CAPEX</w:t>
      </w:r>
      <w:r w:rsidR="0007049E" w:rsidRPr="0007049E">
        <w:rPr>
          <w:lang w:val="en-GB"/>
        </w:rPr>
        <w:t xml:space="preserve"> in a manner unmatched by provincial aggregates.</w:t>
      </w:r>
      <w:r w:rsidR="002C10BA">
        <w:rPr>
          <w:lang w:val="en-GB"/>
        </w:rPr>
        <w:t xml:space="preserve"> </w:t>
      </w:r>
    </w:p>
    <w:p w14:paraId="0A4344BF" w14:textId="77777777" w:rsidR="0037198B" w:rsidRPr="00AB200A" w:rsidRDefault="0037198B" w:rsidP="004C35E2">
      <w:pPr>
        <w:pStyle w:val="CETBodytext"/>
      </w:pPr>
    </w:p>
    <w:p w14:paraId="02FA3DD6" w14:textId="36E7755E" w:rsidR="00431BDA" w:rsidRDefault="00CC39FF" w:rsidP="0067622F">
      <w:pPr>
        <w:pStyle w:val="CETBodytext"/>
        <w:rPr>
          <w:lang w:val="en-GB"/>
        </w:rPr>
      </w:pPr>
      <w:r w:rsidRPr="00E1658B">
        <w:rPr>
          <w:noProof/>
          <w:lang w:val="en-GB"/>
        </w:rPr>
        <mc:AlternateContent>
          <mc:Choice Requires="wps">
            <w:drawing>
              <wp:anchor distT="45720" distB="45720" distL="114300" distR="114300" simplePos="0" relativeHeight="251646976" behindDoc="0" locked="0" layoutInCell="1" allowOverlap="1" wp14:anchorId="00327D17" wp14:editId="55CF013B">
                <wp:simplePos x="0" y="0"/>
                <wp:positionH relativeFrom="column">
                  <wp:posOffset>5071745</wp:posOffset>
                </wp:positionH>
                <wp:positionV relativeFrom="paragraph">
                  <wp:posOffset>139065</wp:posOffset>
                </wp:positionV>
                <wp:extent cx="345440" cy="1404620"/>
                <wp:effectExtent l="0" t="0" r="0" b="2540"/>
                <wp:wrapNone/>
                <wp:docPr id="3613538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404620"/>
                        </a:xfrm>
                        <a:prstGeom prst="rect">
                          <a:avLst/>
                        </a:prstGeom>
                        <a:noFill/>
                        <a:ln w="9525">
                          <a:noFill/>
                          <a:miter lim="800000"/>
                          <a:headEnd/>
                          <a:tailEnd/>
                        </a:ln>
                      </wps:spPr>
                      <wps:txbx>
                        <w:txbxContent>
                          <w:p w14:paraId="331AE8D1" w14:textId="23C7FAAA" w:rsidR="006C683C" w:rsidRPr="0067622F" w:rsidRDefault="006C683C" w:rsidP="006C683C">
                            <w:pPr>
                              <w:rPr>
                                <w:lang w:val="it-IT"/>
                              </w:rPr>
                            </w:pPr>
                            <w:r>
                              <w:rPr>
                                <w:rStyle w:val="CETCaptionCarattere"/>
                                <w:lang w:val="en-U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327D17" id="_x0000_t202" coordsize="21600,21600" o:spt="202" path="m,l,21600r21600,l21600,xe">
                <v:stroke joinstyle="miter"/>
                <v:path gradientshapeok="t" o:connecttype="rect"/>
              </v:shapetype>
              <v:shape id="Casella di testo 2" o:spid="_x0000_s1026" type="#_x0000_t202" style="position:absolute;left:0;text-align:left;margin-left:399.35pt;margin-top:10.95pt;width:27.2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" filled="f" stroked="f">
                <v:textbox style="mso-fit-shape-to-text:t">
                  <w:txbxContent>
                    <w:p w14:paraId="331AE8D1" w14:textId="23C7FAAA" w:rsidR="006C683C" w:rsidRPr="0067622F" w:rsidRDefault="006C683C" w:rsidP="006C683C">
                      <w:pPr>
                        <w:rPr>
                          <w:lang w:val="it-IT"/>
                        </w:rPr>
                      </w:pPr>
                      <w:r>
                        <w:rPr>
                          <w:rStyle w:val="CETCaptionCarattere"/>
                          <w:lang w:val="en-US"/>
                        </w:rPr>
                        <w:t>(b)</w:t>
                      </w:r>
                    </w:p>
                  </w:txbxContent>
                </v:textbox>
              </v:shape>
            </w:pict>
          </mc:Fallback>
        </mc:AlternateContent>
      </w:r>
      <w:r w:rsidR="00201C1E" w:rsidRPr="00E1658B">
        <w:rPr>
          <w:noProof/>
          <w:lang w:val="en-GB"/>
        </w:rPr>
        <mc:AlternateContent>
          <mc:Choice Requires="wps">
            <w:drawing>
              <wp:anchor distT="45720" distB="45720" distL="114300" distR="114300" simplePos="0" relativeHeight="251641856" behindDoc="0" locked="0" layoutInCell="1" allowOverlap="1" wp14:anchorId="7D7A1ABA" wp14:editId="26569C2E">
                <wp:simplePos x="0" y="0"/>
                <wp:positionH relativeFrom="column">
                  <wp:posOffset>2389505</wp:posOffset>
                </wp:positionH>
                <wp:positionV relativeFrom="paragraph">
                  <wp:posOffset>140335</wp:posOffset>
                </wp:positionV>
                <wp:extent cx="335280" cy="1404620"/>
                <wp:effectExtent l="0" t="0" r="0" b="254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1ABEAB13" w14:textId="187EFD69" w:rsidR="00E1658B" w:rsidRPr="0067622F" w:rsidRDefault="006C683C">
                            <w:pPr>
                              <w:rPr>
                                <w:lang w:val="it-IT"/>
                              </w:rPr>
                            </w:pPr>
                            <w:r>
                              <w:rPr>
                                <w:rStyle w:val="CETCaptionCarattere"/>
                                <w:lang w:val="en-U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A1ABA" id="_x0000_s1027" type="#_x0000_t202" style="position:absolute;left:0;text-align:left;margin-left:188.15pt;margin-top:11.05pt;width:26.4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" filled="f" stroked="f">
                <v:textbox style="mso-fit-shape-to-text:t">
                  <w:txbxContent>
                    <w:p w14:paraId="1ABEAB13" w14:textId="187EFD69" w:rsidR="00E1658B" w:rsidRPr="0067622F" w:rsidRDefault="006C683C">
                      <w:pPr>
                        <w:rPr>
                          <w:lang w:val="it-IT"/>
                        </w:rPr>
                      </w:pPr>
                      <w:r>
                        <w:rPr>
                          <w:rStyle w:val="CETCaptionCarattere"/>
                          <w:lang w:val="en-US"/>
                        </w:rPr>
                        <w:t>(a)</w:t>
                      </w:r>
                    </w:p>
                  </w:txbxContent>
                </v:textbox>
              </v:shape>
            </w:pict>
          </mc:Fallback>
        </mc:AlternateContent>
      </w:r>
      <w:r w:rsidR="00431BDA">
        <w:rPr>
          <w:noProof/>
        </w:rPr>
        <w:drawing>
          <wp:inline distT="0" distB="0" distL="0" distR="0" wp14:anchorId="0000E2D1" wp14:editId="72108C30">
            <wp:extent cx="2710453" cy="1938020"/>
            <wp:effectExtent l="0" t="0" r="0" b="5080"/>
            <wp:docPr id="12759847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25713" name="Picture 1274325713"/>
                    <pic:cNvPicPr/>
                  </pic:nvPicPr>
                  <pic:blipFill>
                    <a:blip r:embed="rId10">
                      <a:extLst>
                        <a:ext uri="{28A0092B-C50C-407E-A947-70E740481C1C}">
                          <a14:useLocalDpi xmlns:a14="http://schemas.microsoft.com/office/drawing/2010/main"/>
                        </a:ext>
                      </a:extLst>
                    </a:blip>
                    <a:stretch>
                      <a:fillRect/>
                    </a:stretch>
                  </pic:blipFill>
                  <pic:spPr>
                    <a:xfrm>
                      <a:off x="0" y="0"/>
                      <a:ext cx="2745430" cy="1963029"/>
                    </a:xfrm>
                    <a:prstGeom prst="rect">
                      <a:avLst/>
                    </a:prstGeom>
                  </pic:spPr>
                </pic:pic>
              </a:graphicData>
            </a:graphic>
          </wp:inline>
        </w:drawing>
      </w:r>
      <w:r w:rsidR="00431BDA">
        <w:rPr>
          <w:noProof/>
        </w:rPr>
        <w:drawing>
          <wp:inline distT="0" distB="0" distL="0" distR="0" wp14:anchorId="794D02CF" wp14:editId="18B677F9">
            <wp:extent cx="2743200" cy="1938029"/>
            <wp:effectExtent l="0" t="0" r="0" b="5080"/>
            <wp:docPr id="4891298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97243" name="Picture 1100697243"/>
                    <pic:cNvPicPr/>
                  </pic:nvPicPr>
                  <pic:blipFill>
                    <a:blip r:embed="rId11">
                      <a:extLst>
                        <a:ext uri="{28A0092B-C50C-407E-A947-70E740481C1C}">
                          <a14:useLocalDpi xmlns:a14="http://schemas.microsoft.com/office/drawing/2010/main"/>
                        </a:ext>
                      </a:extLst>
                    </a:blip>
                    <a:stretch>
                      <a:fillRect/>
                    </a:stretch>
                  </pic:blipFill>
                  <pic:spPr>
                    <a:xfrm>
                      <a:off x="0" y="0"/>
                      <a:ext cx="2755462" cy="1946692"/>
                    </a:xfrm>
                    <a:prstGeom prst="rect">
                      <a:avLst/>
                    </a:prstGeom>
                  </pic:spPr>
                </pic:pic>
              </a:graphicData>
            </a:graphic>
          </wp:inline>
        </w:drawing>
      </w:r>
    </w:p>
    <w:p w14:paraId="3859D478" w14:textId="08B0CA24" w:rsidR="72905D90" w:rsidRDefault="00201C1E" w:rsidP="72905D90">
      <w:pPr>
        <w:pStyle w:val="CETBodytext"/>
      </w:pPr>
      <w:r w:rsidRPr="00E1658B">
        <w:rPr>
          <w:noProof/>
        </w:rPr>
        <mc:AlternateContent>
          <mc:Choice Requires="wps">
            <w:drawing>
              <wp:anchor distT="45720" distB="45720" distL="114300" distR="114300" simplePos="0" relativeHeight="251657216" behindDoc="0" locked="0" layoutInCell="1" allowOverlap="1" wp14:anchorId="4A87A1EC" wp14:editId="0560AE92">
                <wp:simplePos x="0" y="0"/>
                <wp:positionH relativeFrom="column">
                  <wp:posOffset>5071745</wp:posOffset>
                </wp:positionH>
                <wp:positionV relativeFrom="paragraph">
                  <wp:posOffset>12700</wp:posOffset>
                </wp:positionV>
                <wp:extent cx="345440" cy="1404620"/>
                <wp:effectExtent l="0" t="0" r="0" b="2540"/>
                <wp:wrapNone/>
                <wp:docPr id="32835240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404620"/>
                        </a:xfrm>
                        <a:prstGeom prst="rect">
                          <a:avLst/>
                        </a:prstGeom>
                        <a:noFill/>
                        <a:ln w="9525">
                          <a:noFill/>
                          <a:miter lim="800000"/>
                          <a:headEnd/>
                          <a:tailEnd/>
                        </a:ln>
                      </wps:spPr>
                      <wps:txbx>
                        <w:txbxContent>
                          <w:p w14:paraId="2D3D0CF6" w14:textId="1759B85E" w:rsidR="006C683C" w:rsidRPr="0067622F" w:rsidRDefault="006C683C" w:rsidP="006C683C">
                            <w:pPr>
                              <w:rPr>
                                <w:lang w:val="it-IT"/>
                              </w:rPr>
                            </w:pPr>
                            <w:r>
                              <w:rPr>
                                <w:rStyle w:val="CETCaptionCarattere"/>
                                <w:lang w:val="en-US"/>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7A1EC" id="_x0000_s1028" type="#_x0000_t202" style="position:absolute;left:0;text-align:left;margin-left:399.35pt;margin-top:1pt;width:27.2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" filled="f" stroked="f">
                <v:textbox style="mso-fit-shape-to-text:t">
                  <w:txbxContent>
                    <w:p w14:paraId="2D3D0CF6" w14:textId="1759B85E" w:rsidR="006C683C" w:rsidRPr="0067622F" w:rsidRDefault="006C683C" w:rsidP="006C683C">
                      <w:pPr>
                        <w:rPr>
                          <w:lang w:val="it-IT"/>
                        </w:rPr>
                      </w:pPr>
                      <w:r>
                        <w:rPr>
                          <w:rStyle w:val="CETCaptionCarattere"/>
                          <w:lang w:val="en-US"/>
                        </w:rPr>
                        <w:t>(d)</w:t>
                      </w:r>
                    </w:p>
                  </w:txbxContent>
                </v:textbox>
              </v:shape>
            </w:pict>
          </mc:Fallback>
        </mc:AlternateContent>
      </w:r>
      <w:r w:rsidRPr="00E1658B">
        <w:rPr>
          <w:noProof/>
        </w:rPr>
        <mc:AlternateContent>
          <mc:Choice Requires="wps">
            <w:drawing>
              <wp:anchor distT="45720" distB="45720" distL="114300" distR="114300" simplePos="0" relativeHeight="251652096" behindDoc="0" locked="0" layoutInCell="1" allowOverlap="1" wp14:anchorId="784AA9A5" wp14:editId="66715C54">
                <wp:simplePos x="0" y="0"/>
                <wp:positionH relativeFrom="column">
                  <wp:posOffset>2399665</wp:posOffset>
                </wp:positionH>
                <wp:positionV relativeFrom="paragraph">
                  <wp:posOffset>12700</wp:posOffset>
                </wp:positionV>
                <wp:extent cx="325120" cy="1404620"/>
                <wp:effectExtent l="0" t="0" r="0" b="2540"/>
                <wp:wrapNone/>
                <wp:docPr id="120422604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404620"/>
                        </a:xfrm>
                        <a:prstGeom prst="rect">
                          <a:avLst/>
                        </a:prstGeom>
                        <a:noFill/>
                        <a:ln w="9525">
                          <a:noFill/>
                          <a:miter lim="800000"/>
                          <a:headEnd/>
                          <a:tailEnd/>
                        </a:ln>
                      </wps:spPr>
                      <wps:txbx>
                        <w:txbxContent>
                          <w:p w14:paraId="693164D5" w14:textId="148756EC" w:rsidR="006C683C" w:rsidRPr="0067622F" w:rsidRDefault="006C683C" w:rsidP="006C683C">
                            <w:pPr>
                              <w:rPr>
                                <w:lang w:val="it-IT"/>
                              </w:rPr>
                            </w:pPr>
                            <w:r>
                              <w:rPr>
                                <w:rStyle w:val="CETCaptionCarattere"/>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AA9A5" id="_x0000_s1029" type="#_x0000_t202" style="position:absolute;left:0;text-align:left;margin-left:188.95pt;margin-top:1pt;width:25.6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" filled="f" stroked="f">
                <v:textbox style="mso-fit-shape-to-text:t">
                  <w:txbxContent>
                    <w:p w14:paraId="693164D5" w14:textId="148756EC" w:rsidR="006C683C" w:rsidRPr="0067622F" w:rsidRDefault="006C683C" w:rsidP="006C683C">
                      <w:pPr>
                        <w:rPr>
                          <w:lang w:val="it-IT"/>
                        </w:rPr>
                      </w:pPr>
                      <w:r>
                        <w:rPr>
                          <w:rStyle w:val="CETCaptionCarattere"/>
                          <w:lang w:val="en-US"/>
                        </w:rPr>
                        <w:t>(c)</w:t>
                      </w:r>
                    </w:p>
                  </w:txbxContent>
                </v:textbox>
              </v:shape>
            </w:pict>
          </mc:Fallback>
        </mc:AlternateContent>
      </w:r>
      <w:r w:rsidR="00431BDA">
        <w:rPr>
          <w:noProof/>
        </w:rPr>
        <w:drawing>
          <wp:inline distT="0" distB="0" distL="0" distR="0" wp14:anchorId="4572E86C" wp14:editId="4A6D1008">
            <wp:extent cx="2717560" cy="1943100"/>
            <wp:effectExtent l="0" t="0" r="6985" b="0"/>
            <wp:docPr id="19599987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18580" name="Picture 1705018580"/>
                    <pic:cNvPicPr/>
                  </pic:nvPicPr>
                  <pic:blipFill>
                    <a:blip r:embed="rId12">
                      <a:extLst>
                        <a:ext uri="{28A0092B-C50C-407E-A947-70E740481C1C}">
                          <a14:useLocalDpi xmlns:a14="http://schemas.microsoft.com/office/drawing/2010/main"/>
                        </a:ext>
                      </a:extLst>
                    </a:blip>
                    <a:stretch>
                      <a:fillRect/>
                    </a:stretch>
                  </pic:blipFill>
                  <pic:spPr>
                    <a:xfrm>
                      <a:off x="0" y="0"/>
                      <a:ext cx="2721102" cy="1945632"/>
                    </a:xfrm>
                    <a:prstGeom prst="rect">
                      <a:avLst/>
                    </a:prstGeom>
                  </pic:spPr>
                </pic:pic>
              </a:graphicData>
            </a:graphic>
          </wp:inline>
        </w:drawing>
      </w:r>
      <w:r w:rsidR="00431BDA">
        <w:rPr>
          <w:noProof/>
        </w:rPr>
        <w:drawing>
          <wp:inline distT="0" distB="0" distL="0" distR="0" wp14:anchorId="5292DF88" wp14:editId="290AA21C">
            <wp:extent cx="2706397" cy="1935120"/>
            <wp:effectExtent l="0" t="0" r="0" b="8255"/>
            <wp:docPr id="12146203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80971" name="Picture 1367080971"/>
                    <pic:cNvPicPr/>
                  </pic:nvPicPr>
                  <pic:blipFill>
                    <a:blip r:embed="rId13">
                      <a:extLst>
                        <a:ext uri="{28A0092B-C50C-407E-A947-70E740481C1C}">
                          <a14:useLocalDpi xmlns:a14="http://schemas.microsoft.com/office/drawing/2010/main"/>
                        </a:ext>
                      </a:extLst>
                    </a:blip>
                    <a:stretch>
                      <a:fillRect/>
                    </a:stretch>
                  </pic:blipFill>
                  <pic:spPr>
                    <a:xfrm>
                      <a:off x="0" y="0"/>
                      <a:ext cx="2723631" cy="1947443"/>
                    </a:xfrm>
                    <a:prstGeom prst="rect">
                      <a:avLst/>
                    </a:prstGeom>
                  </pic:spPr>
                </pic:pic>
              </a:graphicData>
            </a:graphic>
          </wp:inline>
        </w:drawing>
      </w:r>
    </w:p>
    <w:p w14:paraId="7FD42486" w14:textId="22BC356C" w:rsidR="00600535" w:rsidRDefault="003A454A" w:rsidP="0067622F">
      <w:pPr>
        <w:pStyle w:val="CETBodytext"/>
        <w:rPr>
          <w:rStyle w:val="CETCaptionCarattere"/>
          <w:lang w:val="en-US"/>
        </w:rPr>
      </w:pPr>
      <w:r w:rsidRPr="0067622F">
        <w:rPr>
          <w:rStyle w:val="CETCaptionCarattere"/>
          <w:lang w:val="en-US"/>
        </w:rPr>
        <w:t xml:space="preserve">Figure 1: </w:t>
      </w:r>
      <w:r w:rsidR="00B93606" w:rsidRPr="0067622F">
        <w:rPr>
          <w:rStyle w:val="CETCaptionCarattere"/>
          <w:lang w:val="en-US"/>
        </w:rPr>
        <w:t xml:space="preserve">Case studies indicating the type and municipal quantities of biomass for </w:t>
      </w:r>
      <w:r w:rsidR="003335EF">
        <w:rPr>
          <w:rStyle w:val="CETCaptionCarattere"/>
          <w:lang w:val="en-US"/>
        </w:rPr>
        <w:t>(a) Emilia Romagna</w:t>
      </w:r>
      <w:r w:rsidR="00534575">
        <w:rPr>
          <w:rStyle w:val="CETCaptionCarattere"/>
          <w:lang w:val="en-US"/>
        </w:rPr>
        <w:t xml:space="preserve">, </w:t>
      </w:r>
      <w:r w:rsidR="00CB1F33">
        <w:rPr>
          <w:rStyle w:val="CETCaptionCarattere"/>
          <w:lang w:val="en-US"/>
        </w:rPr>
        <w:t>(b) Marche, (c) Campania</w:t>
      </w:r>
      <w:r w:rsidR="0057400C">
        <w:rPr>
          <w:rStyle w:val="CETCaptionCarattere"/>
          <w:lang w:val="en-US"/>
        </w:rPr>
        <w:t xml:space="preserve"> and (d) Puglia</w:t>
      </w:r>
    </w:p>
    <w:p w14:paraId="4AA02D04" w14:textId="2F737F81" w:rsidR="009920FE" w:rsidRPr="00CC39FF" w:rsidRDefault="00B26979" w:rsidP="009920FE">
      <w:pPr>
        <w:pStyle w:val="CETCaption"/>
        <w:keepNext/>
        <w:spacing w:before="100" w:beforeAutospacing="1" w:after="0" w:line="240" w:lineRule="auto"/>
      </w:pPr>
      <w:r w:rsidRPr="00E1658B">
        <w:rPr>
          <w:noProof/>
        </w:rPr>
        <w:lastRenderedPageBreak/>
        <mc:AlternateContent>
          <mc:Choice Requires="wps">
            <w:drawing>
              <wp:anchor distT="45720" distB="45720" distL="114300" distR="114300" simplePos="0" relativeHeight="251653120" behindDoc="0" locked="0" layoutInCell="1" allowOverlap="1" wp14:anchorId="6F28D600" wp14:editId="26F7340B">
                <wp:simplePos x="0" y="0"/>
                <wp:positionH relativeFrom="column">
                  <wp:posOffset>45085</wp:posOffset>
                </wp:positionH>
                <wp:positionV relativeFrom="paragraph">
                  <wp:posOffset>2678154</wp:posOffset>
                </wp:positionV>
                <wp:extent cx="335280" cy="1404620"/>
                <wp:effectExtent l="0" t="0" r="0" b="2540"/>
                <wp:wrapNone/>
                <wp:docPr id="3814423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7D6A7146" w14:textId="77777777" w:rsidR="009920FE" w:rsidRPr="0067622F" w:rsidRDefault="009920FE" w:rsidP="009920FE">
                            <w:pPr>
                              <w:rPr>
                                <w:lang w:val="it-IT"/>
                              </w:rPr>
                            </w:pPr>
                            <w:r>
                              <w:rPr>
                                <w:rStyle w:val="CETCaptionCarattere"/>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28D600" id="_x0000_s1030" type="#_x0000_t202" style="position:absolute;left:0;text-align:left;margin-left:3.55pt;margin-top:210.9pt;width:26.4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" filled="f" stroked="f">
                <v:textbox style="mso-fit-shape-to-text:t">
                  <w:txbxContent>
                    <w:p w14:paraId="7D6A7146" w14:textId="77777777" w:rsidR="009920FE" w:rsidRPr="0067622F" w:rsidRDefault="009920FE" w:rsidP="009920FE">
                      <w:pPr>
                        <w:rPr>
                          <w:lang w:val="it-IT"/>
                        </w:rPr>
                      </w:pPr>
                      <w:r>
                        <w:rPr>
                          <w:rStyle w:val="CETCaptionCarattere"/>
                          <w:lang w:val="en-US"/>
                        </w:rPr>
                        <w:t>(c)</w:t>
                      </w:r>
                    </w:p>
                  </w:txbxContent>
                </v:textbox>
              </v:shape>
            </w:pict>
          </mc:Fallback>
        </mc:AlternateContent>
      </w:r>
      <w:r w:rsidRPr="00E1658B">
        <w:rPr>
          <w:noProof/>
        </w:rPr>
        <mc:AlternateContent>
          <mc:Choice Requires="wps">
            <w:drawing>
              <wp:anchor distT="45720" distB="45720" distL="114300" distR="114300" simplePos="0" relativeHeight="251672576" behindDoc="0" locked="0" layoutInCell="1" allowOverlap="1" wp14:anchorId="5C0E93A3" wp14:editId="3CAC5DB1">
                <wp:simplePos x="0" y="0"/>
                <wp:positionH relativeFrom="column">
                  <wp:posOffset>2875280</wp:posOffset>
                </wp:positionH>
                <wp:positionV relativeFrom="paragraph">
                  <wp:posOffset>2670975</wp:posOffset>
                </wp:positionV>
                <wp:extent cx="335280" cy="1404620"/>
                <wp:effectExtent l="0" t="0" r="0" b="2540"/>
                <wp:wrapNone/>
                <wp:docPr id="11854150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4C888A3A" w14:textId="77777777" w:rsidR="009920FE" w:rsidRPr="0067622F" w:rsidRDefault="009920FE" w:rsidP="009920FE">
                            <w:pPr>
                              <w:rPr>
                                <w:lang w:val="it-IT"/>
                              </w:rPr>
                            </w:pPr>
                            <w:r>
                              <w:rPr>
                                <w:rStyle w:val="CETCaptionCarattere"/>
                                <w:lang w:val="en-US"/>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E93A3" id="_x0000_s1031" type="#_x0000_t202" style="position:absolute;left:0;text-align:left;margin-left:226.4pt;margin-top:210.3pt;width:26.4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" filled="f" stroked="f">
                <v:textbox style="mso-fit-shape-to-text:t">
                  <w:txbxContent>
                    <w:p w14:paraId="4C888A3A" w14:textId="77777777" w:rsidR="009920FE" w:rsidRPr="0067622F" w:rsidRDefault="009920FE" w:rsidP="009920FE">
                      <w:pPr>
                        <w:rPr>
                          <w:lang w:val="it-IT"/>
                        </w:rPr>
                      </w:pPr>
                      <w:r>
                        <w:rPr>
                          <w:rStyle w:val="CETCaptionCarattere"/>
                          <w:lang w:val="en-US"/>
                        </w:rPr>
                        <w:t>(d)</w:t>
                      </w:r>
                    </w:p>
                  </w:txbxContent>
                </v:textbox>
              </v:shape>
            </w:pict>
          </mc:Fallback>
        </mc:AlternateContent>
      </w:r>
      <w:r w:rsidRPr="00E1658B">
        <w:rPr>
          <w:noProof/>
        </w:rPr>
        <mc:AlternateContent>
          <mc:Choice Requires="wps">
            <w:drawing>
              <wp:anchor distT="45720" distB="45720" distL="114300" distR="114300" simplePos="0" relativeHeight="251640832" behindDoc="0" locked="0" layoutInCell="1" allowOverlap="1" wp14:anchorId="3AE1F54E" wp14:editId="299C551B">
                <wp:simplePos x="0" y="0"/>
                <wp:positionH relativeFrom="column">
                  <wp:posOffset>2881630</wp:posOffset>
                </wp:positionH>
                <wp:positionV relativeFrom="paragraph">
                  <wp:posOffset>1274555</wp:posOffset>
                </wp:positionV>
                <wp:extent cx="335280" cy="1404620"/>
                <wp:effectExtent l="0" t="0" r="0" b="2540"/>
                <wp:wrapNone/>
                <wp:docPr id="56333422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2D2B9E73" w14:textId="77777777" w:rsidR="009920FE" w:rsidRPr="0067622F" w:rsidRDefault="009920FE" w:rsidP="009920FE">
                            <w:pPr>
                              <w:rPr>
                                <w:lang w:val="it-IT"/>
                              </w:rPr>
                            </w:pPr>
                            <w:r>
                              <w:rPr>
                                <w:rStyle w:val="CETCaptionCarattere"/>
                                <w:lang w:val="en-U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1F54E" id="_x0000_s1032" type="#_x0000_t202" style="position:absolute;left:0;text-align:left;margin-left:226.9pt;margin-top:100.35pt;width:26.4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" filled="f" stroked="f">
                <v:textbox style="mso-fit-shape-to-text:t">
                  <w:txbxContent>
                    <w:p w14:paraId="2D2B9E73" w14:textId="77777777" w:rsidR="009920FE" w:rsidRPr="0067622F" w:rsidRDefault="009920FE" w:rsidP="009920FE">
                      <w:pPr>
                        <w:rPr>
                          <w:lang w:val="it-IT"/>
                        </w:rPr>
                      </w:pPr>
                      <w:r>
                        <w:rPr>
                          <w:rStyle w:val="CETCaptionCarattere"/>
                          <w:lang w:val="en-US"/>
                        </w:rPr>
                        <w:t>(b)</w:t>
                      </w:r>
                    </w:p>
                  </w:txbxContent>
                </v:textbox>
              </v:shape>
            </w:pict>
          </mc:Fallback>
        </mc:AlternateContent>
      </w:r>
      <w:r w:rsidRPr="00E1658B">
        <w:rPr>
          <w:noProof/>
        </w:rPr>
        <mc:AlternateContent>
          <mc:Choice Requires="wps">
            <w:drawing>
              <wp:anchor distT="45720" distB="45720" distL="114300" distR="114300" simplePos="0" relativeHeight="251628544" behindDoc="0" locked="0" layoutInCell="1" allowOverlap="1" wp14:anchorId="72A5309A" wp14:editId="5CB08F65">
                <wp:simplePos x="0" y="0"/>
                <wp:positionH relativeFrom="column">
                  <wp:posOffset>45720</wp:posOffset>
                </wp:positionH>
                <wp:positionV relativeFrom="paragraph">
                  <wp:posOffset>1258653</wp:posOffset>
                </wp:positionV>
                <wp:extent cx="335280" cy="1404620"/>
                <wp:effectExtent l="0" t="0" r="0" b="2540"/>
                <wp:wrapNone/>
                <wp:docPr id="84559736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404620"/>
                        </a:xfrm>
                        <a:prstGeom prst="rect">
                          <a:avLst/>
                        </a:prstGeom>
                        <a:noFill/>
                        <a:ln w="9525">
                          <a:noFill/>
                          <a:miter lim="800000"/>
                          <a:headEnd/>
                          <a:tailEnd/>
                        </a:ln>
                      </wps:spPr>
                      <wps:txbx>
                        <w:txbxContent>
                          <w:p w14:paraId="77887FEA" w14:textId="77777777" w:rsidR="009920FE" w:rsidRPr="0067622F" w:rsidRDefault="009920FE" w:rsidP="009920FE">
                            <w:pPr>
                              <w:rPr>
                                <w:lang w:val="it-IT"/>
                              </w:rPr>
                            </w:pPr>
                            <w:r>
                              <w:rPr>
                                <w:rStyle w:val="CETCaptionCarattere"/>
                                <w:lang w:val="en-U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5309A" id="_x0000_s1033" type="#_x0000_t202" style="position:absolute;left:0;text-align:left;margin-left:3.6pt;margin-top:99.1pt;width:26.4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" filled="f" stroked="f">
                <v:textbox style="mso-fit-shape-to-text:t">
                  <w:txbxContent>
                    <w:p w14:paraId="77887FEA" w14:textId="77777777" w:rsidR="009920FE" w:rsidRPr="0067622F" w:rsidRDefault="009920FE" w:rsidP="009920FE">
                      <w:pPr>
                        <w:rPr>
                          <w:lang w:val="it-IT"/>
                        </w:rPr>
                      </w:pPr>
                      <w:r>
                        <w:rPr>
                          <w:rStyle w:val="CETCaptionCarattere"/>
                          <w:lang w:val="en-US"/>
                        </w:rPr>
                        <w:t>(a)</w:t>
                      </w:r>
                    </w:p>
                  </w:txbxContent>
                </v:textbox>
              </v:shape>
            </w:pict>
          </mc:Fallback>
        </mc:AlternateContent>
      </w:r>
      <w:r w:rsidR="009920FE">
        <w:rPr>
          <w:noProof/>
        </w:rPr>
        <w:drawing>
          <wp:inline distT="0" distB="0" distL="0" distR="0" wp14:anchorId="18F826C3" wp14:editId="02F3B73F">
            <wp:extent cx="5599529" cy="2912551"/>
            <wp:effectExtent l="0" t="0" r="1270" b="2540"/>
            <wp:docPr id="160835482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8712" cy="2927730"/>
                    </a:xfrm>
                    <a:prstGeom prst="rect">
                      <a:avLst/>
                    </a:prstGeom>
                    <a:noFill/>
                  </pic:spPr>
                </pic:pic>
              </a:graphicData>
            </a:graphic>
          </wp:inline>
        </w:drawing>
      </w:r>
    </w:p>
    <w:p w14:paraId="38E53755" w14:textId="240965E0" w:rsidR="009920FE" w:rsidRDefault="009920FE" w:rsidP="009920FE">
      <w:pPr>
        <w:pStyle w:val="CETCaption"/>
        <w:rPr>
          <w:rStyle w:val="CETCaptionCarattere"/>
          <w:i/>
          <w:lang w:val="en-US"/>
        </w:rPr>
      </w:pPr>
      <w:r w:rsidRPr="0067622F">
        <w:rPr>
          <w:rStyle w:val="CETCaptionCarattere"/>
          <w:i/>
          <w:lang w:val="en-US"/>
        </w:rPr>
        <w:t xml:space="preserve">Figure 2: </w:t>
      </w:r>
      <w:r w:rsidRPr="00C74562">
        <w:rPr>
          <w:rStyle w:val="CETCaptionCarattere"/>
          <w:i/>
          <w:lang w:val="en-US"/>
        </w:rPr>
        <w:t>Optimal Biorefinery localization in (a) Emilia Romagna, (b) Marche, (c) Campania and (d) Puglia</w:t>
      </w:r>
    </w:p>
    <w:p w14:paraId="6E297170" w14:textId="1868BF2A" w:rsidR="00095AC9" w:rsidRDefault="00B26979" w:rsidP="00095AC9">
      <w:pPr>
        <w:pStyle w:val="CETBodytext"/>
        <w:rPr>
          <w:lang w:val="en-GB"/>
        </w:rPr>
      </w:pPr>
      <w:r w:rsidRPr="0007049E">
        <w:rPr>
          <w:lang w:val="en-GB"/>
        </w:rPr>
        <w:t xml:space="preserve">Marche's lone 92 kt/y transesterification plant, despite 600 kt/y baseline, maximizes regional oil potentials from contaminated lands (Figure </w:t>
      </w:r>
      <w:proofErr w:type="spellStart"/>
      <w:r w:rsidRPr="0007049E">
        <w:rPr>
          <w:lang w:val="en-GB"/>
        </w:rPr>
        <w:t>1b</w:t>
      </w:r>
      <w:proofErr w:type="spellEnd"/>
      <w:r w:rsidRPr="0007049E">
        <w:rPr>
          <w:lang w:val="en-GB"/>
        </w:rPr>
        <w:t xml:space="preserve">, 93 kt/y total). Sited amid Macerata's high-yield pockets, it leverages 96% yields, zero-humidity logistics (Table 1), and minimal methanol reagent needs, undercutting scale via finite feedstock yet delivering 88 kt/y FAME nearly matching input mass. Figure </w:t>
      </w:r>
      <w:proofErr w:type="spellStart"/>
      <w:r w:rsidRPr="0007049E">
        <w:rPr>
          <w:lang w:val="en-GB"/>
        </w:rPr>
        <w:t>2b's</w:t>
      </w:r>
      <w:proofErr w:type="spellEnd"/>
      <w:r w:rsidRPr="0007049E">
        <w:rPr>
          <w:lang w:val="en-GB"/>
        </w:rPr>
        <w:t xml:space="preserve"> central-adjacent locus affirms high-density centralization canon transport OPEX 5-10% of total vs. 40% elsewhere with regional constraints dominating CAPEX leverage. This </w:t>
      </w:r>
      <w:proofErr w:type="spellStart"/>
      <w:r w:rsidRPr="0007049E">
        <w:rPr>
          <w:lang w:val="en-GB"/>
        </w:rPr>
        <w:t>undersizing</w:t>
      </w:r>
      <w:proofErr w:type="spellEnd"/>
      <w:r w:rsidRPr="0007049E">
        <w:rPr>
          <w:lang w:val="en-GB"/>
        </w:rPr>
        <w:t xml:space="preserve"> 85% below reference reflects supply-limited reality, positioning Marche as FAME hub consuming Emilia-Romagna MeOH.</w:t>
      </w:r>
      <w:r>
        <w:rPr>
          <w:lang w:val="en-GB"/>
        </w:rPr>
        <w:t xml:space="preserve"> </w:t>
      </w:r>
      <w:r w:rsidR="00095AC9" w:rsidRPr="0007049E">
        <w:rPr>
          <w:lang w:val="en-GB"/>
        </w:rPr>
        <w:t xml:space="preserve">Campania's seven 80 kt/y digesters double Table 2's 40 kt/y norm, clustering near Naples-Salerno </w:t>
      </w:r>
      <w:proofErr w:type="spellStart"/>
      <w:r w:rsidR="00095AC9" w:rsidRPr="0007049E">
        <w:rPr>
          <w:lang w:val="en-GB"/>
        </w:rPr>
        <w:t>OFMSW</w:t>
      </w:r>
      <w:proofErr w:type="spellEnd"/>
      <w:r w:rsidR="00095AC9" w:rsidRPr="0007049E">
        <w:rPr>
          <w:lang w:val="en-GB"/>
        </w:rPr>
        <w:t xml:space="preserve"> peaks (Figure </w:t>
      </w:r>
      <w:proofErr w:type="spellStart"/>
      <w:r w:rsidR="00095AC9" w:rsidRPr="0007049E">
        <w:rPr>
          <w:lang w:val="en-GB"/>
        </w:rPr>
        <w:t>1c</w:t>
      </w:r>
      <w:proofErr w:type="spellEnd"/>
      <w:r w:rsidR="00095AC9" w:rsidRPr="0007049E">
        <w:rPr>
          <w:lang w:val="en-GB"/>
        </w:rPr>
        <w:t>-d).</w:t>
      </w:r>
      <w:r w:rsidR="00095AC9">
        <w:rPr>
          <w:lang w:val="en-GB"/>
        </w:rPr>
        <w:t xml:space="preserve"> </w:t>
      </w:r>
      <w:r w:rsidR="00095AC9" w:rsidRPr="0007049E">
        <w:rPr>
          <w:lang w:val="en-GB"/>
        </w:rPr>
        <w:t>Each doubles baseline to counter 5% methane yields and 22% moisture Table 1, but proliferation slashes wet-haul costs (1.22 t/</w:t>
      </w:r>
      <w:proofErr w:type="spellStart"/>
      <w:r w:rsidR="00095AC9" w:rsidRPr="0007049E">
        <w:rPr>
          <w:lang w:val="en-GB"/>
        </w:rPr>
        <w:t>m3</w:t>
      </w:r>
      <w:proofErr w:type="spellEnd"/>
      <w:r w:rsidR="00095AC9" w:rsidRPr="0007049E">
        <w:rPr>
          <w:lang w:val="en-GB"/>
        </w:rPr>
        <w:t xml:space="preserve"> bulk, 40-50% OPEX).</w:t>
      </w:r>
      <w:r w:rsidR="00095AC9">
        <w:rPr>
          <w:lang w:val="en-GB"/>
        </w:rPr>
        <w:t xml:space="preserve"> </w:t>
      </w:r>
      <w:r w:rsidR="00095AC9" w:rsidRPr="0007049E">
        <w:rPr>
          <w:lang w:val="en-GB"/>
        </w:rPr>
        <w:t xml:space="preserve">Positioned in high-waste municipalities or adjacencies, they mirror demographic gradients Figure </w:t>
      </w:r>
      <w:proofErr w:type="spellStart"/>
      <w:r w:rsidR="00095AC9" w:rsidRPr="0007049E">
        <w:rPr>
          <w:lang w:val="en-GB"/>
        </w:rPr>
        <w:t>2c's</w:t>
      </w:r>
      <w:proofErr w:type="spellEnd"/>
      <w:r w:rsidR="00095AC9" w:rsidRPr="0007049E">
        <w:rPr>
          <w:lang w:val="en-GB"/>
        </w:rPr>
        <w:t xml:space="preserve"> dispersion vs. hypothetical singular 560 kt/y prioritizes proximity, where bulk penalizes distance exponentially (cost/km 3-</w:t>
      </w:r>
      <w:proofErr w:type="spellStart"/>
      <w:r w:rsidR="00095AC9" w:rsidRPr="0007049E">
        <w:rPr>
          <w:lang w:val="en-GB"/>
        </w:rPr>
        <w:t>5x</w:t>
      </w:r>
      <w:proofErr w:type="spellEnd"/>
      <w:r w:rsidR="00095AC9" w:rsidRPr="0007049E">
        <w:rPr>
          <w:lang w:val="en-GB"/>
        </w:rPr>
        <w:t xml:space="preserve"> oils). Yielding 28 kt/y biomethane, this grid embodies wet-feed imperatives, co-locating conversion with generation to abate landfill emissions under RED III waste hierarchy.</w:t>
      </w:r>
      <w:r w:rsidR="00095AC9">
        <w:rPr>
          <w:lang w:val="en-GB"/>
        </w:rPr>
        <w:t xml:space="preserve"> </w:t>
      </w:r>
      <w:r w:rsidR="00095AC9" w:rsidRPr="0007049E">
        <w:rPr>
          <w:lang w:val="en-GB"/>
        </w:rPr>
        <w:t xml:space="preserve">Puglia's 400 kt/y ethanol behemoth, 60% above 250 kt/y baseline, crowns Foggia's straw nucleus (Figure </w:t>
      </w:r>
      <w:proofErr w:type="spellStart"/>
      <w:r w:rsidR="00095AC9" w:rsidRPr="0007049E">
        <w:rPr>
          <w:lang w:val="en-GB"/>
        </w:rPr>
        <w:t>1d</w:t>
      </w:r>
      <w:proofErr w:type="spellEnd"/>
      <w:r w:rsidR="00095AC9" w:rsidRPr="0007049E">
        <w:rPr>
          <w:lang w:val="en-GB"/>
        </w:rPr>
        <w:t xml:space="preserve">). Despite 15-20% wet and low density (0.25 GJ/ton vs. oils' 37 GJ/ton), northern concentration Foggia-Bari-Barlett enables oversizing, amortizing steam-explosion pretreatment energetics via 20% yields for 81 kt/y EtOH. Figure </w:t>
      </w:r>
      <w:proofErr w:type="spellStart"/>
      <w:r w:rsidR="00095AC9" w:rsidRPr="0007049E">
        <w:rPr>
          <w:lang w:val="en-GB"/>
        </w:rPr>
        <w:t>2d's</w:t>
      </w:r>
      <w:proofErr w:type="spellEnd"/>
      <w:r w:rsidR="00095AC9" w:rsidRPr="0007049E">
        <w:rPr>
          <w:lang w:val="en-GB"/>
        </w:rPr>
        <w:t xml:space="preserve"> northern locus exploits regional elongation, trading peripheral dilution Bari-Andria-Trani for CAPEX leverage (unit cost 20-30% below decentralized). This outlier singular despite sprawl validates aggregation where spatial autocorrelation trumps physics, with 411 kt/y straw sustaining full utilization.</w:t>
      </w:r>
    </w:p>
    <w:p w14:paraId="0CFCB00A" w14:textId="77777777" w:rsidR="00095AC9" w:rsidRPr="00087FAE" w:rsidRDefault="00095AC9" w:rsidP="00095AC9">
      <w:pPr>
        <w:pStyle w:val="CETTabletitle"/>
        <w:rPr>
          <w:lang w:val="en-US"/>
        </w:rPr>
      </w:pPr>
      <w:r w:rsidRPr="00087FAE">
        <w:rPr>
          <w:lang w:val="en-US"/>
        </w:rPr>
        <w:t xml:space="preserve">Table </w:t>
      </w:r>
      <w:r>
        <w:rPr>
          <w:lang w:val="en-US"/>
        </w:rPr>
        <w:t>3</w:t>
      </w:r>
      <w:r w:rsidRPr="00087FAE">
        <w:rPr>
          <w:lang w:val="en-US"/>
        </w:rPr>
        <w:t xml:space="preserve">: </w:t>
      </w:r>
      <w:r>
        <w:rPr>
          <w:lang w:val="en-US"/>
        </w:rPr>
        <w:t>Optimal average size of the biorefineries</w:t>
      </w:r>
    </w:p>
    <w:tbl>
      <w:tblPr>
        <w:tblW w:w="5000" w:type="pct"/>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6"/>
        <w:gridCol w:w="1416"/>
        <w:gridCol w:w="3260"/>
        <w:gridCol w:w="1652"/>
        <w:gridCol w:w="1323"/>
      </w:tblGrid>
      <w:tr w:rsidR="00095AC9" w:rsidRPr="00B57B36" w14:paraId="0A1DA8B1" w14:textId="77777777" w:rsidTr="00A97F53">
        <w:trPr>
          <w:jc w:val="center"/>
        </w:trPr>
        <w:tc>
          <w:tcPr>
            <w:tcW w:w="646" w:type="pct"/>
            <w:tcBorders>
              <w:top w:val="single" w:sz="12" w:space="0" w:color="008000"/>
              <w:bottom w:val="single" w:sz="6" w:space="0" w:color="008000"/>
            </w:tcBorders>
            <w:shd w:val="clear" w:color="auto" w:fill="FFFFFF"/>
          </w:tcPr>
          <w:p w14:paraId="54FA274E" w14:textId="77777777" w:rsidR="00095AC9" w:rsidRPr="00F67B48" w:rsidRDefault="00095AC9" w:rsidP="00A97F53">
            <w:pPr>
              <w:pStyle w:val="CETBodytext"/>
              <w:keepNext/>
              <w:jc w:val="center"/>
            </w:pPr>
            <w:r w:rsidRPr="00F67B48">
              <w:t>Biofuel</w:t>
            </w:r>
          </w:p>
        </w:tc>
        <w:tc>
          <w:tcPr>
            <w:tcW w:w="806" w:type="pct"/>
            <w:tcBorders>
              <w:top w:val="single" w:sz="12" w:space="0" w:color="008000"/>
              <w:bottom w:val="single" w:sz="6" w:space="0" w:color="008000"/>
            </w:tcBorders>
            <w:shd w:val="clear" w:color="auto" w:fill="FFFFFF"/>
          </w:tcPr>
          <w:p w14:paraId="1BC2B39B" w14:textId="77777777" w:rsidR="00095AC9" w:rsidRPr="00F67B48" w:rsidRDefault="00095AC9" w:rsidP="00A97F53">
            <w:pPr>
              <w:pStyle w:val="CETBodytext"/>
              <w:keepNext/>
              <w:jc w:val="center"/>
            </w:pPr>
            <w:r>
              <w:t>Region</w:t>
            </w:r>
          </w:p>
        </w:tc>
        <w:tc>
          <w:tcPr>
            <w:tcW w:w="1855" w:type="pct"/>
            <w:tcBorders>
              <w:top w:val="single" w:sz="12" w:space="0" w:color="008000"/>
              <w:bottom w:val="single" w:sz="6" w:space="0" w:color="008000"/>
            </w:tcBorders>
            <w:shd w:val="clear" w:color="auto" w:fill="FFFFFF"/>
          </w:tcPr>
          <w:p w14:paraId="1770F3BD" w14:textId="77777777" w:rsidR="00095AC9" w:rsidRPr="00F67B48" w:rsidRDefault="00095AC9" w:rsidP="00A97F53">
            <w:pPr>
              <w:pStyle w:val="CETBodytext"/>
              <w:keepNext/>
              <w:jc w:val="center"/>
              <w:rPr>
                <w:lang w:val="en-GB"/>
              </w:rPr>
            </w:pPr>
            <w:r w:rsidRPr="00F67B48">
              <w:t>Main Processes</w:t>
            </w:r>
          </w:p>
        </w:tc>
        <w:tc>
          <w:tcPr>
            <w:tcW w:w="940" w:type="pct"/>
            <w:tcBorders>
              <w:top w:val="single" w:sz="12" w:space="0" w:color="008000"/>
              <w:bottom w:val="single" w:sz="6" w:space="0" w:color="008000"/>
            </w:tcBorders>
            <w:shd w:val="clear" w:color="auto" w:fill="FFFFFF"/>
          </w:tcPr>
          <w:p w14:paraId="63435680" w14:textId="77777777" w:rsidR="00095AC9" w:rsidRPr="00F67B48" w:rsidRDefault="00095AC9" w:rsidP="00A97F53">
            <w:pPr>
              <w:pStyle w:val="CETBodytext"/>
              <w:keepNext/>
              <w:jc w:val="center"/>
              <w:rPr>
                <w:lang w:val="en-GB"/>
              </w:rPr>
            </w:pPr>
            <w:r w:rsidRPr="00A030AB">
              <w:t>Average Size (</w:t>
            </w:r>
            <w:proofErr w:type="spellStart"/>
            <w:proofErr w:type="gramStart"/>
            <w:r w:rsidRPr="000258B0">
              <w:t>kt</w:t>
            </w:r>
            <w:r w:rsidRPr="000258B0">
              <w:rPr>
                <w:vertAlign w:val="subscript"/>
              </w:rPr>
              <w:t>F,DRY</w:t>
            </w:r>
            <w:proofErr w:type="spellEnd"/>
            <w:proofErr w:type="gramEnd"/>
            <w:r w:rsidRPr="000258B0">
              <w:t>/y</w:t>
            </w:r>
            <w:r w:rsidRPr="00A030AB">
              <w:t>)</w:t>
            </w:r>
          </w:p>
        </w:tc>
        <w:tc>
          <w:tcPr>
            <w:tcW w:w="753" w:type="pct"/>
            <w:tcBorders>
              <w:top w:val="single" w:sz="12" w:space="0" w:color="008000"/>
              <w:bottom w:val="single" w:sz="6" w:space="0" w:color="008000"/>
            </w:tcBorders>
            <w:shd w:val="clear" w:color="auto" w:fill="FFFFFF"/>
          </w:tcPr>
          <w:p w14:paraId="295A5939" w14:textId="77777777" w:rsidR="00095AC9" w:rsidRPr="000258B0" w:rsidRDefault="00095AC9" w:rsidP="00A97F53">
            <w:pPr>
              <w:pStyle w:val="CETBodytext"/>
              <w:keepNext/>
              <w:ind w:right="-1"/>
              <w:jc w:val="center"/>
              <w:rPr>
                <w:rFonts w:cs="Arial"/>
                <w:szCs w:val="18"/>
                <w:lang w:val="en-GB"/>
              </w:rPr>
            </w:pPr>
            <w:r>
              <w:t>Regional Biofuel production</w:t>
            </w:r>
            <w:r w:rsidRPr="000258B0">
              <w:t xml:space="preserve"> (</w:t>
            </w:r>
            <w:proofErr w:type="spellStart"/>
            <w:r w:rsidRPr="000258B0">
              <w:t>kt</w:t>
            </w:r>
            <w:r>
              <w:rPr>
                <w:vertAlign w:val="subscript"/>
              </w:rPr>
              <w:t>Biofuel</w:t>
            </w:r>
            <w:proofErr w:type="spellEnd"/>
            <w:r w:rsidRPr="000258B0">
              <w:t>/y)</w:t>
            </w:r>
          </w:p>
        </w:tc>
      </w:tr>
      <w:tr w:rsidR="00095AC9" w:rsidRPr="002F4090" w14:paraId="06416E0F" w14:textId="77777777" w:rsidTr="00A97F53">
        <w:trPr>
          <w:jc w:val="center"/>
        </w:trPr>
        <w:tc>
          <w:tcPr>
            <w:tcW w:w="646" w:type="pct"/>
            <w:shd w:val="clear" w:color="auto" w:fill="FFFFFF"/>
            <w:vAlign w:val="center"/>
          </w:tcPr>
          <w:p w14:paraId="2EDD3EA2" w14:textId="77777777" w:rsidR="00095AC9" w:rsidRPr="00F67B48" w:rsidRDefault="00095AC9" w:rsidP="00A97F53">
            <w:pPr>
              <w:pStyle w:val="CETBodytext"/>
              <w:keepNext/>
              <w:jc w:val="center"/>
            </w:pPr>
            <w:r w:rsidRPr="00F67B48">
              <w:t>MeOH</w:t>
            </w:r>
          </w:p>
        </w:tc>
        <w:tc>
          <w:tcPr>
            <w:tcW w:w="806" w:type="pct"/>
            <w:shd w:val="clear" w:color="auto" w:fill="FFFFFF"/>
            <w:vAlign w:val="center"/>
          </w:tcPr>
          <w:p w14:paraId="78B88665" w14:textId="77777777" w:rsidR="00095AC9" w:rsidRPr="00F67B48" w:rsidRDefault="00095AC9" w:rsidP="00A97F53">
            <w:pPr>
              <w:pStyle w:val="CETBodytext"/>
              <w:keepNext/>
              <w:jc w:val="center"/>
            </w:pPr>
            <w:r w:rsidRPr="00F67B48">
              <w:t>Pruning</w:t>
            </w:r>
          </w:p>
        </w:tc>
        <w:tc>
          <w:tcPr>
            <w:tcW w:w="1855" w:type="pct"/>
            <w:shd w:val="clear" w:color="auto" w:fill="FFFFFF"/>
          </w:tcPr>
          <w:p w14:paraId="5A08BDB6" w14:textId="77777777" w:rsidR="00095AC9" w:rsidRPr="00F67B48" w:rsidRDefault="00095AC9" w:rsidP="00A97F53">
            <w:pPr>
              <w:pStyle w:val="CETBodytext"/>
              <w:keepNext/>
              <w:jc w:val="center"/>
            </w:pPr>
            <w:r w:rsidRPr="00F67B48">
              <w:t>Gasification + Purification &amp; Conditioning + Synthesis</w:t>
            </w:r>
          </w:p>
        </w:tc>
        <w:tc>
          <w:tcPr>
            <w:tcW w:w="940" w:type="pct"/>
            <w:shd w:val="clear" w:color="auto" w:fill="FFFFFF"/>
          </w:tcPr>
          <w:p w14:paraId="1C62D40C" w14:textId="77777777" w:rsidR="00095AC9" w:rsidRPr="00F67B48" w:rsidRDefault="00095AC9" w:rsidP="00A97F53">
            <w:pPr>
              <w:pStyle w:val="CETBodytext"/>
              <w:keepNext/>
              <w:jc w:val="center"/>
            </w:pPr>
            <w:r>
              <w:t>84</w:t>
            </w:r>
            <w:r w:rsidRPr="0067622F">
              <w:t xml:space="preserve"> (on </w:t>
            </w:r>
            <w:r>
              <w:t>2</w:t>
            </w:r>
            <w:r w:rsidRPr="0067622F">
              <w:t xml:space="preserve"> plants)</w:t>
            </w:r>
          </w:p>
        </w:tc>
        <w:tc>
          <w:tcPr>
            <w:tcW w:w="753" w:type="pct"/>
            <w:shd w:val="clear" w:color="auto" w:fill="FFFFFF"/>
          </w:tcPr>
          <w:p w14:paraId="166D9D8A" w14:textId="77777777" w:rsidR="00095AC9" w:rsidRPr="000258B0" w:rsidRDefault="00095AC9" w:rsidP="00A97F53">
            <w:pPr>
              <w:pStyle w:val="CETBodytext"/>
              <w:keepNext/>
              <w:ind w:right="-1"/>
              <w:jc w:val="center"/>
            </w:pPr>
            <w:r>
              <w:t>37</w:t>
            </w:r>
          </w:p>
        </w:tc>
      </w:tr>
      <w:tr w:rsidR="00095AC9" w:rsidRPr="00B57B36" w14:paraId="1C288C5F" w14:textId="77777777" w:rsidTr="00A97F53">
        <w:trPr>
          <w:jc w:val="center"/>
        </w:trPr>
        <w:tc>
          <w:tcPr>
            <w:tcW w:w="646" w:type="pct"/>
            <w:shd w:val="clear" w:color="auto" w:fill="FFFFFF"/>
            <w:vAlign w:val="center"/>
          </w:tcPr>
          <w:p w14:paraId="1727EE66" w14:textId="77777777" w:rsidR="00095AC9" w:rsidRPr="00F67B48" w:rsidRDefault="00095AC9" w:rsidP="00A97F53">
            <w:pPr>
              <w:pStyle w:val="CETBodytext"/>
              <w:keepNext/>
              <w:jc w:val="center"/>
            </w:pPr>
            <w:r w:rsidRPr="00F67B48">
              <w:t>FAME</w:t>
            </w:r>
          </w:p>
        </w:tc>
        <w:tc>
          <w:tcPr>
            <w:tcW w:w="806" w:type="pct"/>
            <w:shd w:val="clear" w:color="auto" w:fill="FFFFFF"/>
            <w:vAlign w:val="center"/>
          </w:tcPr>
          <w:p w14:paraId="71F17453" w14:textId="77777777" w:rsidR="00095AC9" w:rsidRPr="00F67B48" w:rsidRDefault="00095AC9" w:rsidP="00A97F53">
            <w:pPr>
              <w:pStyle w:val="CETBodytext"/>
              <w:keepNext/>
              <w:jc w:val="center"/>
            </w:pPr>
            <w:r w:rsidRPr="00F67B48">
              <w:t>Vegetable Oil</w:t>
            </w:r>
          </w:p>
        </w:tc>
        <w:tc>
          <w:tcPr>
            <w:tcW w:w="1855" w:type="pct"/>
            <w:shd w:val="clear" w:color="auto" w:fill="FFFFFF"/>
            <w:vAlign w:val="center"/>
          </w:tcPr>
          <w:p w14:paraId="570899F9" w14:textId="77777777" w:rsidR="00095AC9" w:rsidRPr="00F67B48" w:rsidRDefault="00095AC9" w:rsidP="00A97F53">
            <w:pPr>
              <w:pStyle w:val="CETBodytext"/>
              <w:keepNext/>
              <w:jc w:val="center"/>
            </w:pPr>
            <w:r w:rsidRPr="00F67B48">
              <w:t>Transesterification</w:t>
            </w:r>
          </w:p>
        </w:tc>
        <w:tc>
          <w:tcPr>
            <w:tcW w:w="940" w:type="pct"/>
            <w:shd w:val="clear" w:color="auto" w:fill="FFFFFF"/>
            <w:vAlign w:val="center"/>
          </w:tcPr>
          <w:p w14:paraId="0007CF2F" w14:textId="77777777" w:rsidR="00095AC9" w:rsidRPr="00F67B48" w:rsidRDefault="00095AC9" w:rsidP="00A97F53">
            <w:pPr>
              <w:pStyle w:val="CETBodytext"/>
              <w:keepNext/>
              <w:jc w:val="center"/>
            </w:pPr>
            <w:r>
              <w:t>92</w:t>
            </w:r>
          </w:p>
        </w:tc>
        <w:tc>
          <w:tcPr>
            <w:tcW w:w="753" w:type="pct"/>
            <w:shd w:val="clear" w:color="auto" w:fill="FFFFFF"/>
            <w:vAlign w:val="center"/>
          </w:tcPr>
          <w:p w14:paraId="46A3FCDD" w14:textId="77777777" w:rsidR="00095AC9" w:rsidRPr="000258B0" w:rsidRDefault="00095AC9" w:rsidP="00A97F53">
            <w:pPr>
              <w:pStyle w:val="CETBodytext"/>
              <w:keepNext/>
              <w:ind w:right="-1"/>
              <w:jc w:val="center"/>
            </w:pPr>
            <w:r>
              <w:t>88</w:t>
            </w:r>
          </w:p>
        </w:tc>
      </w:tr>
      <w:tr w:rsidR="00095AC9" w:rsidRPr="00B57B36" w14:paraId="57601155" w14:textId="77777777" w:rsidTr="00A97F53">
        <w:trPr>
          <w:jc w:val="center"/>
        </w:trPr>
        <w:tc>
          <w:tcPr>
            <w:tcW w:w="646" w:type="pct"/>
            <w:shd w:val="clear" w:color="auto" w:fill="FFFFFF"/>
            <w:vAlign w:val="center"/>
          </w:tcPr>
          <w:p w14:paraId="5A9DD0B5" w14:textId="77777777" w:rsidR="00095AC9" w:rsidRPr="00F67B48" w:rsidRDefault="00095AC9" w:rsidP="00A97F53">
            <w:pPr>
              <w:pStyle w:val="CETBodytext"/>
              <w:keepNext/>
              <w:jc w:val="center"/>
            </w:pPr>
            <w:r w:rsidRPr="00F67B48">
              <w:t>Methane</w:t>
            </w:r>
          </w:p>
        </w:tc>
        <w:tc>
          <w:tcPr>
            <w:tcW w:w="806" w:type="pct"/>
            <w:shd w:val="clear" w:color="auto" w:fill="FFFFFF"/>
            <w:vAlign w:val="center"/>
          </w:tcPr>
          <w:p w14:paraId="735C926F" w14:textId="77777777" w:rsidR="00095AC9" w:rsidRPr="00F67B48" w:rsidRDefault="00095AC9" w:rsidP="00A97F53">
            <w:pPr>
              <w:pStyle w:val="CETBodytext"/>
              <w:keepNext/>
              <w:jc w:val="center"/>
            </w:pPr>
            <w:proofErr w:type="spellStart"/>
            <w:r w:rsidRPr="00F67B48">
              <w:t>OFMSW</w:t>
            </w:r>
            <w:proofErr w:type="spellEnd"/>
          </w:p>
        </w:tc>
        <w:tc>
          <w:tcPr>
            <w:tcW w:w="1855" w:type="pct"/>
            <w:shd w:val="clear" w:color="auto" w:fill="FFFFFF"/>
          </w:tcPr>
          <w:p w14:paraId="416A8EA1" w14:textId="77777777" w:rsidR="00095AC9" w:rsidRPr="00F67B48" w:rsidRDefault="00095AC9" w:rsidP="00A97F53">
            <w:pPr>
              <w:pStyle w:val="CETBodytext"/>
              <w:keepNext/>
              <w:jc w:val="center"/>
              <w:rPr>
                <w:lang w:val="en-GB"/>
              </w:rPr>
            </w:pPr>
            <w:r w:rsidRPr="00F67B48">
              <w:t>Anaerobic Digestion + CO</w:t>
            </w:r>
            <w:r w:rsidRPr="000258B0">
              <w:rPr>
                <w:vertAlign w:val="subscript"/>
              </w:rPr>
              <w:t>2</w:t>
            </w:r>
            <w:r w:rsidRPr="00F67B48">
              <w:t xml:space="preserve"> removal</w:t>
            </w:r>
          </w:p>
        </w:tc>
        <w:tc>
          <w:tcPr>
            <w:tcW w:w="940" w:type="pct"/>
            <w:shd w:val="clear" w:color="auto" w:fill="FFFFFF"/>
          </w:tcPr>
          <w:p w14:paraId="2FEE9C51" w14:textId="77777777" w:rsidR="00095AC9" w:rsidRPr="00F67B48" w:rsidRDefault="00095AC9" w:rsidP="00A97F53">
            <w:pPr>
              <w:pStyle w:val="CETBodytext"/>
              <w:keepNext/>
              <w:jc w:val="center"/>
              <w:rPr>
                <w:lang w:val="en-GB"/>
              </w:rPr>
            </w:pPr>
            <w:r>
              <w:t>80</w:t>
            </w:r>
            <w:r w:rsidRPr="000258B0">
              <w:t xml:space="preserve"> (on 7 plants)</w:t>
            </w:r>
          </w:p>
        </w:tc>
        <w:tc>
          <w:tcPr>
            <w:tcW w:w="753" w:type="pct"/>
            <w:shd w:val="clear" w:color="auto" w:fill="FFFFFF"/>
          </w:tcPr>
          <w:p w14:paraId="6FEFA37E" w14:textId="77777777" w:rsidR="00095AC9" w:rsidRPr="000258B0" w:rsidRDefault="00095AC9" w:rsidP="00A97F53">
            <w:pPr>
              <w:pStyle w:val="CETBodytext"/>
              <w:keepNext/>
              <w:ind w:right="-1"/>
              <w:jc w:val="center"/>
              <w:rPr>
                <w:rFonts w:cs="Arial"/>
                <w:szCs w:val="18"/>
                <w:lang w:val="en-GB"/>
              </w:rPr>
            </w:pPr>
            <w:r>
              <w:t>28</w:t>
            </w:r>
          </w:p>
        </w:tc>
      </w:tr>
      <w:tr w:rsidR="00095AC9" w:rsidRPr="00B57B36" w14:paraId="26CAB5B4" w14:textId="77777777" w:rsidTr="00A97F53">
        <w:trPr>
          <w:jc w:val="center"/>
        </w:trPr>
        <w:tc>
          <w:tcPr>
            <w:tcW w:w="646" w:type="pct"/>
            <w:shd w:val="clear" w:color="auto" w:fill="FFFFFF"/>
            <w:vAlign w:val="center"/>
          </w:tcPr>
          <w:p w14:paraId="1B85CDC3" w14:textId="77777777" w:rsidR="00095AC9" w:rsidRPr="00F67B48" w:rsidRDefault="00095AC9" w:rsidP="00A97F53">
            <w:pPr>
              <w:pStyle w:val="CETBodytext"/>
              <w:ind w:right="-1"/>
              <w:jc w:val="center"/>
            </w:pPr>
            <w:r w:rsidRPr="00F67B48">
              <w:t>EtOH</w:t>
            </w:r>
          </w:p>
        </w:tc>
        <w:tc>
          <w:tcPr>
            <w:tcW w:w="806" w:type="pct"/>
            <w:shd w:val="clear" w:color="auto" w:fill="FFFFFF"/>
            <w:vAlign w:val="center"/>
          </w:tcPr>
          <w:p w14:paraId="77336A2F" w14:textId="77777777" w:rsidR="00095AC9" w:rsidRPr="00F67B48" w:rsidRDefault="00095AC9" w:rsidP="00A97F53">
            <w:pPr>
              <w:pStyle w:val="CETBodytext"/>
              <w:ind w:right="-1"/>
              <w:jc w:val="center"/>
            </w:pPr>
            <w:r w:rsidRPr="00F67B48">
              <w:t>Straw</w:t>
            </w:r>
          </w:p>
        </w:tc>
        <w:tc>
          <w:tcPr>
            <w:tcW w:w="1855" w:type="pct"/>
            <w:shd w:val="clear" w:color="auto" w:fill="FFFFFF"/>
          </w:tcPr>
          <w:p w14:paraId="0A7D7DB2" w14:textId="77777777" w:rsidR="00095AC9" w:rsidRPr="00F67B48" w:rsidRDefault="00095AC9" w:rsidP="00A97F53">
            <w:pPr>
              <w:pStyle w:val="CETBodytext"/>
              <w:ind w:right="-1"/>
              <w:jc w:val="center"/>
              <w:rPr>
                <w:rFonts w:cs="Arial"/>
                <w:szCs w:val="18"/>
                <w:lang w:val="en-GB"/>
              </w:rPr>
            </w:pPr>
            <w:r w:rsidRPr="00F67B48">
              <w:t xml:space="preserve">Pretreatment + </w:t>
            </w:r>
            <w:proofErr w:type="gramStart"/>
            <w:r w:rsidRPr="00F67B48">
              <w:t>Hydrolysis  +</w:t>
            </w:r>
            <w:proofErr w:type="gramEnd"/>
            <w:r w:rsidRPr="00F67B48">
              <w:t xml:space="preserve"> Fermentation</w:t>
            </w:r>
          </w:p>
        </w:tc>
        <w:tc>
          <w:tcPr>
            <w:tcW w:w="940" w:type="pct"/>
            <w:shd w:val="clear" w:color="auto" w:fill="FFFFFF"/>
          </w:tcPr>
          <w:p w14:paraId="0B4BC971" w14:textId="77777777" w:rsidR="00095AC9" w:rsidRPr="00F67B48" w:rsidRDefault="00095AC9" w:rsidP="00A97F53">
            <w:pPr>
              <w:pStyle w:val="CETBodytext"/>
              <w:ind w:right="-1"/>
              <w:jc w:val="center"/>
              <w:rPr>
                <w:rFonts w:cs="Arial"/>
                <w:szCs w:val="18"/>
                <w:lang w:val="en-GB"/>
              </w:rPr>
            </w:pPr>
            <w:r>
              <w:t>400</w:t>
            </w:r>
          </w:p>
        </w:tc>
        <w:tc>
          <w:tcPr>
            <w:tcW w:w="753" w:type="pct"/>
            <w:shd w:val="clear" w:color="auto" w:fill="FFFFFF"/>
          </w:tcPr>
          <w:p w14:paraId="757BBB3B" w14:textId="77777777" w:rsidR="00095AC9" w:rsidRPr="000258B0" w:rsidRDefault="00095AC9" w:rsidP="00A97F53">
            <w:pPr>
              <w:pStyle w:val="CETBodytext"/>
              <w:ind w:right="-1"/>
              <w:jc w:val="center"/>
              <w:rPr>
                <w:rFonts w:cs="Arial"/>
                <w:szCs w:val="18"/>
                <w:lang w:val="en-GB"/>
              </w:rPr>
            </w:pPr>
            <w:r>
              <w:t>81</w:t>
            </w:r>
          </w:p>
        </w:tc>
      </w:tr>
    </w:tbl>
    <w:p w14:paraId="49A98A30" w14:textId="77777777" w:rsidR="00095AC9" w:rsidRDefault="00095AC9" w:rsidP="00095AC9">
      <w:pPr>
        <w:pStyle w:val="CETBodytext"/>
        <w:rPr>
          <w:rStyle w:val="CETCaptionCarattere"/>
          <w:lang w:val="en-US"/>
        </w:rPr>
      </w:pPr>
    </w:p>
    <w:p w14:paraId="68D26B83" w14:textId="77777777" w:rsidR="00600535" w:rsidRPr="00B57B36" w:rsidRDefault="00600535" w:rsidP="00600535">
      <w:pPr>
        <w:pStyle w:val="CETHeading1"/>
        <w:rPr>
          <w:lang w:val="en-GB"/>
        </w:rPr>
      </w:pPr>
      <w:r w:rsidRPr="00B57B36">
        <w:rPr>
          <w:lang w:val="en-GB"/>
        </w:rPr>
        <w:lastRenderedPageBreak/>
        <w:t>Conclusions</w:t>
      </w:r>
    </w:p>
    <w:p w14:paraId="52DAFDE0" w14:textId="4B6C9BCF" w:rsidR="001D0CFB" w:rsidRDefault="00551816" w:rsidP="00551816">
      <w:pPr>
        <w:pStyle w:val="CETBodytext"/>
        <w:rPr>
          <w:lang w:val="en-GB"/>
        </w:rPr>
      </w:pPr>
      <w:r w:rsidRPr="00551816">
        <w:rPr>
          <w:lang w:val="en-GB"/>
        </w:rPr>
        <w:t xml:space="preserve">This study integrates ENEA's Atlante delle </w:t>
      </w:r>
      <w:proofErr w:type="spellStart"/>
      <w:r w:rsidRPr="00551816">
        <w:rPr>
          <w:lang w:val="en-GB"/>
        </w:rPr>
        <w:t>Biomasse</w:t>
      </w:r>
      <w:proofErr w:type="spellEnd"/>
      <w:r w:rsidRPr="00551816">
        <w:rPr>
          <w:lang w:val="en-GB"/>
        </w:rPr>
        <w:t xml:space="preserve"> GIS data with multi-period </w:t>
      </w:r>
      <w:proofErr w:type="spellStart"/>
      <w:r w:rsidRPr="00551816">
        <w:rPr>
          <w:lang w:val="en-GB"/>
        </w:rPr>
        <w:t>MILP</w:t>
      </w:r>
      <w:proofErr w:type="spellEnd"/>
      <w:r w:rsidRPr="00551816">
        <w:rPr>
          <w:lang w:val="en-GB"/>
        </w:rPr>
        <w:t xml:space="preserve"> optimization to design optimal biorefinery networks in four Italian regions</w:t>
      </w:r>
      <w:r w:rsidR="00D92B78">
        <w:rPr>
          <w:lang w:val="en-GB"/>
        </w:rPr>
        <w:t xml:space="preserve">. </w:t>
      </w:r>
      <w:r w:rsidRPr="00551816">
        <w:rPr>
          <w:lang w:val="en-GB"/>
        </w:rPr>
        <w:t>Results show feedstock-driven topologies: centralized 92 kt/y FAME plant (Marche); seven 80 kt/y digesters (Campania); two 84 kt/y methanol plants (Emilia-Romagna); single 400 kt/y ethanol facility (Puglia). Total output: 234 kt/y advanced biofuels from ~20% regional potentials.</w:t>
      </w:r>
      <w:r w:rsidR="00771B3B">
        <w:rPr>
          <w:lang w:val="en-GB"/>
        </w:rPr>
        <w:t xml:space="preserve"> </w:t>
      </w:r>
      <w:r w:rsidRPr="00551816">
        <w:rPr>
          <w:lang w:val="en-GB"/>
        </w:rPr>
        <w:t xml:space="preserve">These support Italy's </w:t>
      </w:r>
      <w:proofErr w:type="spellStart"/>
      <w:r w:rsidRPr="00551816">
        <w:rPr>
          <w:lang w:val="en-GB"/>
        </w:rPr>
        <w:t>PNIEC</w:t>
      </w:r>
      <w:proofErr w:type="spellEnd"/>
      <w:r w:rsidRPr="00551816">
        <w:rPr>
          <w:lang w:val="en-GB"/>
        </w:rPr>
        <w:t xml:space="preserve"> (34.2% transport renewables; 11.6% advanced fuels) and RED III targets (≥5.5% advanced biofuels), advancing circular bioeconomy and net-zero goals. The granular, flexible approach aids policy and investment; future extensions may include dynamic pricing or carbon costs.</w:t>
      </w:r>
    </w:p>
    <w:p w14:paraId="459D05E6" w14:textId="77777777" w:rsidR="00600535" w:rsidRPr="00B57B36" w:rsidRDefault="00600535" w:rsidP="0086579B">
      <w:pPr>
        <w:pStyle w:val="CETAcknowledgementstitle"/>
        <w:keepNext/>
      </w:pPr>
      <w:r w:rsidRPr="00B57B36">
        <w:t>Acknowledgments</w:t>
      </w:r>
    </w:p>
    <w:p w14:paraId="33F8138F" w14:textId="6B0E25FB" w:rsidR="00600535" w:rsidRPr="00B57B36" w:rsidRDefault="008E1148" w:rsidP="00600535">
      <w:pPr>
        <w:pStyle w:val="CETBodytext"/>
        <w:rPr>
          <w:lang w:val="en-GB"/>
        </w:rPr>
      </w:pPr>
      <w:r w:rsidRPr="001C3293">
        <w:rPr>
          <w:lang w:val="en-GB"/>
        </w:rPr>
        <w:t>The present work was funded by the Italian Ministry of Environment and Energy Security through the “National Electric System Research” Program–Project 1.10 “</w:t>
      </w:r>
      <w:proofErr w:type="spellStart"/>
      <w:r w:rsidRPr="001C3293">
        <w:rPr>
          <w:lang w:val="en-GB"/>
        </w:rPr>
        <w:t>Bioenergie</w:t>
      </w:r>
      <w:proofErr w:type="spellEnd"/>
      <w:r w:rsidRPr="001C3293">
        <w:rPr>
          <w:lang w:val="en-GB"/>
        </w:rPr>
        <w:t>” 2025–2027 implementation plan and is part of the</w:t>
      </w:r>
      <w:r w:rsidR="0044273C" w:rsidRPr="001C3293">
        <w:rPr>
          <w:lang w:val="en-GB"/>
        </w:rPr>
        <w:t xml:space="preserve"> </w:t>
      </w:r>
      <w:proofErr w:type="spellStart"/>
      <w:r w:rsidR="00440612" w:rsidRPr="001C3293">
        <w:rPr>
          <w:lang w:val="en-GB"/>
        </w:rPr>
        <w:t>PNRR</w:t>
      </w:r>
      <w:proofErr w:type="spellEnd"/>
      <w:r w:rsidR="00440612" w:rsidRPr="001C3293">
        <w:rPr>
          <w:lang w:val="en-GB"/>
        </w:rPr>
        <w:t xml:space="preserve"> project</w:t>
      </w:r>
      <w:r w:rsidR="00314F5C" w:rsidRPr="001C3293">
        <w:rPr>
          <w:lang w:val="en-GB"/>
        </w:rPr>
        <w:t xml:space="preserve"> Network 4 Energy Sustainable Transition (NEST)</w:t>
      </w:r>
      <w:r w:rsidR="00440612" w:rsidRPr="001C3293">
        <w:rPr>
          <w:lang w:val="en-GB"/>
        </w:rPr>
        <w:t xml:space="preserve"> – Spoke 3</w:t>
      </w:r>
      <w:r w:rsidR="00314F5C" w:rsidRPr="001C3293">
        <w:rPr>
          <w:lang w:val="en-GB"/>
        </w:rPr>
        <w:t>.</w:t>
      </w:r>
    </w:p>
    <w:p w14:paraId="4F1327F8" w14:textId="77777777" w:rsidR="00600535" w:rsidRPr="00B57B36" w:rsidRDefault="00600535" w:rsidP="00600535">
      <w:pPr>
        <w:pStyle w:val="CETReference"/>
      </w:pPr>
      <w:r w:rsidRPr="00B57B36">
        <w:t>References</w:t>
      </w:r>
    </w:p>
    <w:p w14:paraId="123595FA" w14:textId="289E8138" w:rsidR="00AF65F3" w:rsidRPr="00AF65F3" w:rsidRDefault="000368E4" w:rsidP="00AF65F3">
      <w:pPr>
        <w:pStyle w:val="Bibliografia"/>
        <w:rPr>
          <w:rFonts w:cs="Arial"/>
        </w:rPr>
      </w:pPr>
      <w:r>
        <w:fldChar w:fldCharType="begin"/>
      </w:r>
      <w:r w:rsidRPr="00AE2C95">
        <w:rPr>
          <w:lang w:val="en-US"/>
        </w:rPr>
        <w:instrText xml:space="preserve"> ADDIN ZOTERO_BIBL {"uncited":[],"omitted":[],"custom":[]} CSL_BIBLIOGRAPHY </w:instrText>
      </w:r>
      <w:r>
        <w:fldChar w:fldCharType="separate"/>
      </w:r>
      <w:r w:rsidR="00AF65F3" w:rsidRPr="00AE2C95">
        <w:rPr>
          <w:rFonts w:cs="Arial"/>
          <w:lang w:val="en-US"/>
        </w:rPr>
        <w:t>Caporusso A., Giuliano A., Liuzzi F., De Bari I., 2022</w:t>
      </w:r>
      <w:r w:rsidR="002B7FC8" w:rsidRPr="00AE2C95">
        <w:rPr>
          <w:rFonts w:cs="Arial"/>
          <w:lang w:val="en-US"/>
        </w:rPr>
        <w:t>,</w:t>
      </w:r>
      <w:r w:rsidR="00AF65F3" w:rsidRPr="00AE2C95">
        <w:rPr>
          <w:rFonts w:cs="Arial"/>
          <w:lang w:val="en-US"/>
        </w:rPr>
        <w:t xml:space="preserve"> </w:t>
      </w:r>
      <w:r w:rsidR="00AF65F3" w:rsidRPr="00AF65F3">
        <w:rPr>
          <w:rFonts w:cs="Arial"/>
        </w:rPr>
        <w:t>Techno-economic Analysis of a Lignocellulosic Biorefinery Producing Microbial Oils by Oleaginous Yeasts</w:t>
      </w:r>
      <w:r w:rsidR="002B7FC8">
        <w:rPr>
          <w:rFonts w:cs="Arial"/>
        </w:rPr>
        <w:t>,</w:t>
      </w:r>
      <w:r w:rsidR="00AF65F3" w:rsidRPr="00AF65F3">
        <w:rPr>
          <w:rFonts w:cs="Arial"/>
        </w:rPr>
        <w:t xml:space="preserve"> Chemical Engineering Transactions</w:t>
      </w:r>
      <w:r w:rsidR="002B7FC8">
        <w:rPr>
          <w:rFonts w:cs="Arial"/>
        </w:rPr>
        <w:t>,</w:t>
      </w:r>
      <w:r w:rsidR="00AF65F3" w:rsidRPr="00AF65F3">
        <w:rPr>
          <w:rFonts w:cs="Arial"/>
        </w:rPr>
        <w:t xml:space="preserve"> 92, 637–642. </w:t>
      </w:r>
    </w:p>
    <w:p w14:paraId="2CC74215" w14:textId="3FD56116" w:rsidR="00AF65F3" w:rsidRPr="00AF65F3" w:rsidRDefault="00AF65F3" w:rsidP="00AF65F3">
      <w:pPr>
        <w:pStyle w:val="Bibliografia"/>
        <w:rPr>
          <w:rFonts w:cs="Arial"/>
        </w:rPr>
      </w:pPr>
      <w:proofErr w:type="spellStart"/>
      <w:r w:rsidRPr="00AE2C95">
        <w:rPr>
          <w:rFonts w:cs="Arial"/>
          <w:lang w:val="en-US"/>
        </w:rPr>
        <w:t>Caposciutti</w:t>
      </w:r>
      <w:proofErr w:type="spellEnd"/>
      <w:r w:rsidRPr="00AE2C95">
        <w:rPr>
          <w:rFonts w:cs="Arial"/>
          <w:lang w:val="en-US"/>
        </w:rPr>
        <w:t xml:space="preserve"> G., </w:t>
      </w:r>
      <w:proofErr w:type="spellStart"/>
      <w:r w:rsidRPr="00AE2C95">
        <w:rPr>
          <w:rFonts w:cs="Arial"/>
          <w:lang w:val="en-US"/>
        </w:rPr>
        <w:t>Baccioli</w:t>
      </w:r>
      <w:proofErr w:type="spellEnd"/>
      <w:r w:rsidRPr="00AE2C95">
        <w:rPr>
          <w:rFonts w:cs="Arial"/>
          <w:lang w:val="en-US"/>
        </w:rPr>
        <w:t xml:space="preserve"> A., Ferrari L., </w:t>
      </w:r>
      <w:proofErr w:type="spellStart"/>
      <w:r w:rsidRPr="00AE2C95">
        <w:rPr>
          <w:rFonts w:cs="Arial"/>
          <w:lang w:val="en-US"/>
        </w:rPr>
        <w:t>Desideri</w:t>
      </w:r>
      <w:proofErr w:type="spellEnd"/>
      <w:r w:rsidRPr="00AE2C95">
        <w:rPr>
          <w:rFonts w:cs="Arial"/>
          <w:lang w:val="en-US"/>
        </w:rPr>
        <w:t xml:space="preserve"> U., 2020</w:t>
      </w:r>
      <w:r w:rsidR="002B7FC8" w:rsidRPr="00AE2C95">
        <w:rPr>
          <w:rFonts w:cs="Arial"/>
          <w:lang w:val="en-US"/>
        </w:rPr>
        <w:t>,</w:t>
      </w:r>
      <w:r w:rsidRPr="00AE2C95">
        <w:rPr>
          <w:rFonts w:cs="Arial"/>
          <w:lang w:val="en-US"/>
        </w:rPr>
        <w:t xml:space="preserve"> </w:t>
      </w:r>
      <w:r w:rsidRPr="00AF65F3">
        <w:rPr>
          <w:rFonts w:cs="Arial"/>
        </w:rPr>
        <w:t xml:space="preserve">Biogas from Anaerobic Digestion: Power Generation or Biomethane </w:t>
      </w:r>
      <w:proofErr w:type="gramStart"/>
      <w:r w:rsidRPr="00AF65F3">
        <w:rPr>
          <w:rFonts w:cs="Arial"/>
        </w:rPr>
        <w:t>Production?</w:t>
      </w:r>
      <w:r w:rsidR="002B7FC8">
        <w:rPr>
          <w:rFonts w:cs="Arial"/>
        </w:rPr>
        <w:t>,</w:t>
      </w:r>
      <w:proofErr w:type="gramEnd"/>
      <w:r w:rsidRPr="00AF65F3">
        <w:rPr>
          <w:rFonts w:cs="Arial"/>
        </w:rPr>
        <w:t xml:space="preserve"> Energies</w:t>
      </w:r>
      <w:r w:rsidR="00CD65E1">
        <w:rPr>
          <w:rFonts w:cs="Arial"/>
        </w:rPr>
        <w:t>,</w:t>
      </w:r>
      <w:r w:rsidRPr="00AF65F3">
        <w:rPr>
          <w:rFonts w:cs="Arial"/>
        </w:rPr>
        <w:t xml:space="preserve"> 13, 743. </w:t>
      </w:r>
    </w:p>
    <w:p w14:paraId="733EE42F" w14:textId="77FA57D0" w:rsidR="00AF65F3" w:rsidRPr="00AF65F3" w:rsidRDefault="00AF65F3" w:rsidP="00AF65F3">
      <w:pPr>
        <w:pStyle w:val="Bibliografia"/>
        <w:rPr>
          <w:rFonts w:cs="Arial"/>
        </w:rPr>
      </w:pPr>
      <w:r w:rsidRPr="00AF65F3">
        <w:rPr>
          <w:rFonts w:cs="Arial"/>
        </w:rPr>
        <w:t>Čuček L., Martín M., Grossmann I.E., Kravanja Z., 2014</w:t>
      </w:r>
      <w:r w:rsidR="002B7FC8">
        <w:rPr>
          <w:rFonts w:cs="Arial"/>
        </w:rPr>
        <w:t>,</w:t>
      </w:r>
      <w:r w:rsidRPr="00AF65F3">
        <w:rPr>
          <w:rFonts w:cs="Arial"/>
        </w:rPr>
        <w:t xml:space="preserve"> Multi-period synthesis of optimally integrated biomass and bioenergy supply network</w:t>
      </w:r>
      <w:r w:rsidR="006F551C">
        <w:rPr>
          <w:rFonts w:cs="Arial"/>
        </w:rPr>
        <w:t>,</w:t>
      </w:r>
      <w:r w:rsidRPr="00AF65F3">
        <w:rPr>
          <w:rFonts w:cs="Arial"/>
        </w:rPr>
        <w:t xml:space="preserve"> Computers &amp; Chemical Engineering, Selected papers from ESCAPE-23 (European Symposium on Computer Aided Process Engineering - 23), 9-12 June 2013, Lappeenranta, Finland 66, 57–70. </w:t>
      </w:r>
    </w:p>
    <w:p w14:paraId="4EC4E6FE" w14:textId="2E8D7064" w:rsidR="00AF65F3" w:rsidRPr="00AF65F3" w:rsidRDefault="00AF65F3" w:rsidP="00AF65F3">
      <w:pPr>
        <w:pStyle w:val="Bibliografia"/>
        <w:rPr>
          <w:rFonts w:cs="Arial"/>
        </w:rPr>
      </w:pPr>
      <w:r w:rsidRPr="00AE2C95">
        <w:rPr>
          <w:rFonts w:cs="Arial"/>
          <w:lang w:val="en-US"/>
        </w:rPr>
        <w:t xml:space="preserve">Fiore A.M., </w:t>
      </w:r>
      <w:proofErr w:type="spellStart"/>
      <w:r w:rsidRPr="00AE2C95">
        <w:rPr>
          <w:rFonts w:cs="Arial"/>
          <w:lang w:val="en-US"/>
        </w:rPr>
        <w:t>Romanazzi</w:t>
      </w:r>
      <w:proofErr w:type="spellEnd"/>
      <w:r w:rsidRPr="00AE2C95">
        <w:rPr>
          <w:rFonts w:cs="Arial"/>
          <w:lang w:val="en-US"/>
        </w:rPr>
        <w:t xml:space="preserve"> G., Leonelli C., Mastrorilli P., Dell’Anna M.M., 2022</w:t>
      </w:r>
      <w:r w:rsidR="002B7FC8" w:rsidRPr="00AE2C95">
        <w:rPr>
          <w:rFonts w:cs="Arial"/>
          <w:lang w:val="en-US"/>
        </w:rPr>
        <w:t>,</w:t>
      </w:r>
      <w:r w:rsidRPr="00AE2C95">
        <w:rPr>
          <w:rFonts w:cs="Arial"/>
          <w:lang w:val="en-US"/>
        </w:rPr>
        <w:t xml:space="preserve"> </w:t>
      </w:r>
      <w:r w:rsidRPr="00AF65F3">
        <w:rPr>
          <w:rFonts w:cs="Arial"/>
        </w:rPr>
        <w:t>Partial Hydrogenation of Soybean and Waste Cooking Oil Biodiesel over Recyclable-Polymer-Supported Pd and Ni Nanoparticles</w:t>
      </w:r>
      <w:r w:rsidR="006F551C">
        <w:rPr>
          <w:rFonts w:cs="Arial"/>
        </w:rPr>
        <w:t>,</w:t>
      </w:r>
      <w:r w:rsidRPr="00AF65F3">
        <w:rPr>
          <w:rFonts w:cs="Arial"/>
        </w:rPr>
        <w:t xml:space="preserve"> Catalysts</w:t>
      </w:r>
      <w:r w:rsidR="00CD65E1">
        <w:rPr>
          <w:rFonts w:cs="Arial"/>
        </w:rPr>
        <w:t xml:space="preserve">, </w:t>
      </w:r>
      <w:r w:rsidRPr="00AF65F3">
        <w:rPr>
          <w:rFonts w:cs="Arial"/>
        </w:rPr>
        <w:t xml:space="preserve">12, 506. </w:t>
      </w:r>
    </w:p>
    <w:p w14:paraId="72DE8B4B" w14:textId="1E80137E" w:rsidR="00AF65F3" w:rsidRPr="00AF65F3" w:rsidRDefault="00AF65F3" w:rsidP="00AF65F3">
      <w:pPr>
        <w:pStyle w:val="Bibliografia"/>
        <w:rPr>
          <w:rFonts w:cs="Arial"/>
        </w:rPr>
      </w:pPr>
      <w:r w:rsidRPr="00AE2C95">
        <w:rPr>
          <w:rFonts w:cs="Arial"/>
          <w:lang w:val="en-US"/>
        </w:rPr>
        <w:t>Galanopoulos C., Barletta D., Zondervan E., 2018</w:t>
      </w:r>
      <w:r w:rsidR="002B7FC8" w:rsidRPr="00AE2C95">
        <w:rPr>
          <w:rFonts w:cs="Arial"/>
          <w:lang w:val="en-US"/>
        </w:rPr>
        <w:t>,</w:t>
      </w:r>
      <w:r w:rsidRPr="00AE2C95">
        <w:rPr>
          <w:rFonts w:cs="Arial"/>
          <w:lang w:val="en-US"/>
        </w:rPr>
        <w:t xml:space="preserve"> </w:t>
      </w:r>
      <w:r w:rsidRPr="00AF65F3">
        <w:rPr>
          <w:rFonts w:cs="Arial"/>
        </w:rPr>
        <w:t>A decision support platform for a bio-based supply chain: Application to the region of Lower Saxony and Bremen (Germany)</w:t>
      </w:r>
      <w:r w:rsidR="006F551C">
        <w:rPr>
          <w:rFonts w:cs="Arial"/>
        </w:rPr>
        <w:t>,</w:t>
      </w:r>
      <w:r w:rsidRPr="00AF65F3">
        <w:rPr>
          <w:rFonts w:cs="Arial"/>
        </w:rPr>
        <w:t xml:space="preserve"> Computers and Chemical Engineering</w:t>
      </w:r>
      <w:r w:rsidR="00CD65E1">
        <w:rPr>
          <w:rFonts w:cs="Arial"/>
        </w:rPr>
        <w:t>,</w:t>
      </w:r>
      <w:r w:rsidRPr="00AF65F3">
        <w:rPr>
          <w:rFonts w:cs="Arial"/>
        </w:rPr>
        <w:t xml:space="preserve"> 115, 233–242. </w:t>
      </w:r>
    </w:p>
    <w:p w14:paraId="5E92A119" w14:textId="57F235FF" w:rsidR="00AF65F3" w:rsidRPr="00AF65F3" w:rsidRDefault="00AF65F3" w:rsidP="00AF65F3">
      <w:pPr>
        <w:pStyle w:val="Bibliografia"/>
        <w:rPr>
          <w:rFonts w:cs="Arial"/>
        </w:rPr>
      </w:pPr>
      <w:r w:rsidRPr="00AE2C95">
        <w:rPr>
          <w:rFonts w:cs="Arial"/>
          <w:lang w:val="en-US"/>
        </w:rPr>
        <w:t xml:space="preserve">Giuliano A., Cerulli R., Poletto M., </w:t>
      </w:r>
      <w:proofErr w:type="spellStart"/>
      <w:r w:rsidRPr="00AE2C95">
        <w:rPr>
          <w:rFonts w:cs="Arial"/>
          <w:lang w:val="en-US"/>
        </w:rPr>
        <w:t>Raiconi</w:t>
      </w:r>
      <w:proofErr w:type="spellEnd"/>
      <w:r w:rsidRPr="00AE2C95">
        <w:rPr>
          <w:rFonts w:cs="Arial"/>
          <w:lang w:val="en-US"/>
        </w:rPr>
        <w:t xml:space="preserve"> G., Barletta D., 2014</w:t>
      </w:r>
      <w:r w:rsidR="002B7FC8" w:rsidRPr="00AE2C95">
        <w:rPr>
          <w:rFonts w:cs="Arial"/>
          <w:lang w:val="en-US"/>
        </w:rPr>
        <w:t xml:space="preserve">, </w:t>
      </w:r>
      <w:r w:rsidRPr="00AF65F3">
        <w:rPr>
          <w:rFonts w:cs="Arial"/>
        </w:rPr>
        <w:t>Optimization of a Multiproduct Lignocellulosic Biorefinery using a MILP Approximation</w:t>
      </w:r>
      <w:r w:rsidR="006F551C">
        <w:rPr>
          <w:rFonts w:cs="Arial"/>
        </w:rPr>
        <w:t>,</w:t>
      </w:r>
      <w:r w:rsidRPr="00AF65F3">
        <w:rPr>
          <w:rFonts w:cs="Arial"/>
        </w:rPr>
        <w:t xml:space="preserve"> Computer Aided Chemical Engineering</w:t>
      </w:r>
      <w:r w:rsidR="00CD65E1">
        <w:rPr>
          <w:rFonts w:cs="Arial"/>
        </w:rPr>
        <w:t>,</w:t>
      </w:r>
      <w:r w:rsidRPr="00AF65F3">
        <w:rPr>
          <w:rFonts w:cs="Arial"/>
        </w:rPr>
        <w:t xml:space="preserve"> 1423–1428. </w:t>
      </w:r>
    </w:p>
    <w:p w14:paraId="3A3B28CE" w14:textId="5EACDF7A" w:rsidR="00AF65F3" w:rsidRPr="00AF65F3" w:rsidRDefault="00AF65F3" w:rsidP="00AF65F3">
      <w:pPr>
        <w:pStyle w:val="Bibliografia"/>
        <w:rPr>
          <w:rFonts w:cs="Arial"/>
        </w:rPr>
      </w:pPr>
      <w:r w:rsidRPr="00AE2C95">
        <w:rPr>
          <w:rFonts w:cs="Arial"/>
          <w:lang w:val="en-US"/>
        </w:rPr>
        <w:t>Giuliano A., Robinson Medici A., Barletta D., 2025</w:t>
      </w:r>
      <w:r w:rsidR="002B7FC8" w:rsidRPr="00AE2C95">
        <w:rPr>
          <w:rFonts w:cs="Arial"/>
          <w:lang w:val="en-US"/>
        </w:rPr>
        <w:t>,</w:t>
      </w:r>
      <w:r w:rsidRPr="00AE2C95">
        <w:rPr>
          <w:rFonts w:cs="Arial"/>
          <w:lang w:val="en-US"/>
        </w:rPr>
        <w:t xml:space="preserve"> </w:t>
      </w:r>
      <w:r w:rsidRPr="00AF65F3">
        <w:rPr>
          <w:rFonts w:cs="Arial"/>
        </w:rPr>
        <w:t>Integrating Techno-Economic and Environmental Criteria in the Design and Optimization of a Full Utilization Multiproduct Lignocellulosic Biorefinery</w:t>
      </w:r>
      <w:r w:rsidR="006F551C">
        <w:rPr>
          <w:rFonts w:cs="Arial"/>
        </w:rPr>
        <w:t>,</w:t>
      </w:r>
      <w:r w:rsidRPr="00AF65F3">
        <w:rPr>
          <w:rFonts w:cs="Arial"/>
        </w:rPr>
        <w:t xml:space="preserve"> ACS Sustainable Chem. Eng.</w:t>
      </w:r>
      <w:r w:rsidR="00CD65E1">
        <w:rPr>
          <w:rFonts w:cs="Arial"/>
        </w:rPr>
        <w:t>,</w:t>
      </w:r>
      <w:r w:rsidRPr="00AF65F3">
        <w:rPr>
          <w:rFonts w:cs="Arial"/>
        </w:rPr>
        <w:t xml:space="preserve">13, 1961–1973. </w:t>
      </w:r>
    </w:p>
    <w:p w14:paraId="0A992FD2" w14:textId="29063772" w:rsidR="00AF65F3" w:rsidRPr="00AF65F3" w:rsidRDefault="00AF65F3" w:rsidP="00AF65F3">
      <w:pPr>
        <w:pStyle w:val="Bibliografia"/>
        <w:rPr>
          <w:rFonts w:cs="Arial"/>
        </w:rPr>
      </w:pPr>
      <w:r w:rsidRPr="00AE2C95">
        <w:rPr>
          <w:rFonts w:cs="Arial"/>
          <w:lang w:val="en-US"/>
        </w:rPr>
        <w:t>Giuliano A., Stichnothe H., Pierro N., De Bari I., 2024</w:t>
      </w:r>
      <w:r w:rsidR="002B7FC8" w:rsidRPr="00AE2C95">
        <w:rPr>
          <w:rFonts w:cs="Arial"/>
          <w:lang w:val="en-US"/>
        </w:rPr>
        <w:t>,</w:t>
      </w:r>
      <w:r w:rsidRPr="00AE2C95">
        <w:rPr>
          <w:rFonts w:cs="Arial"/>
          <w:lang w:val="en-US"/>
        </w:rPr>
        <w:t xml:space="preserve"> </w:t>
      </w:r>
      <w:r w:rsidRPr="00AF65F3">
        <w:rPr>
          <w:rFonts w:cs="Arial"/>
        </w:rPr>
        <w:t>Techno-Economic Analysis of Territorial Case Studies for the Integration of Biorefineries and Green Hydrogen</w:t>
      </w:r>
      <w:r w:rsidR="00CD65E1">
        <w:rPr>
          <w:rFonts w:cs="Arial"/>
        </w:rPr>
        <w:t>,</w:t>
      </w:r>
      <w:r w:rsidRPr="00AF65F3">
        <w:rPr>
          <w:rFonts w:cs="Arial"/>
        </w:rPr>
        <w:t xml:space="preserve"> Energies</w:t>
      </w:r>
      <w:r w:rsidR="00CD65E1">
        <w:rPr>
          <w:rFonts w:cs="Arial"/>
        </w:rPr>
        <w:t xml:space="preserve">, </w:t>
      </w:r>
      <w:r w:rsidRPr="00AF65F3">
        <w:rPr>
          <w:rFonts w:cs="Arial"/>
        </w:rPr>
        <w:t xml:space="preserve">17, 5966. </w:t>
      </w:r>
    </w:p>
    <w:p w14:paraId="31CC3B9E" w14:textId="36CAEC63" w:rsidR="00AF65F3" w:rsidRPr="00AF65F3" w:rsidRDefault="00AF65F3" w:rsidP="00AF65F3">
      <w:pPr>
        <w:pStyle w:val="Bibliografia"/>
        <w:rPr>
          <w:rFonts w:cs="Arial"/>
        </w:rPr>
      </w:pPr>
      <w:r w:rsidRPr="00AF65F3">
        <w:rPr>
          <w:rFonts w:cs="Arial"/>
        </w:rPr>
        <w:t>Jegede K., Isafiade A.J., Short M., 2025</w:t>
      </w:r>
      <w:r w:rsidR="002B7FC8">
        <w:rPr>
          <w:rFonts w:cs="Arial"/>
        </w:rPr>
        <w:t>,</w:t>
      </w:r>
      <w:r w:rsidRPr="00AF65F3">
        <w:rPr>
          <w:rFonts w:cs="Arial"/>
        </w:rPr>
        <w:t xml:space="preserve"> Integrated Off-Grid Resource Sharing and Energy Network Optimisation for Several Co-Located Rural Communities in Namibia</w:t>
      </w:r>
      <w:r w:rsidR="00CD65E1">
        <w:rPr>
          <w:rFonts w:cs="Arial"/>
        </w:rPr>
        <w:t>,</w:t>
      </w:r>
      <w:r w:rsidRPr="00AF65F3">
        <w:rPr>
          <w:rFonts w:cs="Arial"/>
        </w:rPr>
        <w:t xml:space="preserve"> Chem. Eng. Trans.</w:t>
      </w:r>
      <w:r w:rsidR="00CD65E1">
        <w:rPr>
          <w:rFonts w:cs="Arial"/>
        </w:rPr>
        <w:t>,</w:t>
      </w:r>
      <w:r w:rsidRPr="00AF65F3">
        <w:rPr>
          <w:rFonts w:cs="Arial"/>
        </w:rPr>
        <w:t xml:space="preserve"> 120, 25–30. </w:t>
      </w:r>
    </w:p>
    <w:p w14:paraId="0317FC50" w14:textId="21DB6EF4" w:rsidR="00AF65F3" w:rsidRPr="00AE2C95" w:rsidRDefault="00AF65F3" w:rsidP="00AF65F3">
      <w:pPr>
        <w:pStyle w:val="Bibliografia"/>
        <w:rPr>
          <w:rFonts w:cs="Arial"/>
          <w:lang w:val="en-US"/>
        </w:rPr>
      </w:pPr>
      <w:r w:rsidRPr="00AF65F3">
        <w:rPr>
          <w:rFonts w:cs="Arial"/>
        </w:rPr>
        <w:t>Kostin A., Macowski D.H., Pietrobelli J.M.T.A., Guillén-Gosálbez G., Jiménez L., Ravagnani M.A.S.S., 2018</w:t>
      </w:r>
      <w:r w:rsidR="002B7FC8">
        <w:rPr>
          <w:rFonts w:cs="Arial"/>
        </w:rPr>
        <w:t>,</w:t>
      </w:r>
      <w:r w:rsidRPr="00AF65F3">
        <w:rPr>
          <w:rFonts w:cs="Arial"/>
        </w:rPr>
        <w:t xml:space="preserve"> Optimization-based approach for maximizing profitability of bioethanol supply chain in Brazil</w:t>
      </w:r>
      <w:r w:rsidR="00CD65E1">
        <w:rPr>
          <w:rFonts w:cs="Arial"/>
        </w:rPr>
        <w:t>,</w:t>
      </w:r>
      <w:r w:rsidRPr="00AF65F3">
        <w:rPr>
          <w:rFonts w:cs="Arial"/>
        </w:rPr>
        <w:t xml:space="preserve"> </w:t>
      </w:r>
      <w:r w:rsidRPr="00AE2C95">
        <w:rPr>
          <w:rFonts w:cs="Arial"/>
          <w:lang w:val="en-US"/>
        </w:rPr>
        <w:t>Computers &amp; Chemical Engineering</w:t>
      </w:r>
      <w:r w:rsidR="00CD65E1" w:rsidRPr="00AE2C95">
        <w:rPr>
          <w:rFonts w:cs="Arial"/>
          <w:lang w:val="en-US"/>
        </w:rPr>
        <w:t>,</w:t>
      </w:r>
      <w:r w:rsidRPr="00AE2C95">
        <w:rPr>
          <w:rFonts w:cs="Arial"/>
          <w:lang w:val="en-US"/>
        </w:rPr>
        <w:t xml:space="preserve"> 115, 121–132.</w:t>
      </w:r>
    </w:p>
    <w:p w14:paraId="4A37295B" w14:textId="75F2A705" w:rsidR="00AF65F3" w:rsidRPr="00AE2C95" w:rsidRDefault="00AF65F3" w:rsidP="00AF65F3">
      <w:pPr>
        <w:pStyle w:val="Bibliografia"/>
        <w:rPr>
          <w:rFonts w:cs="Arial"/>
          <w:lang w:val="en-US"/>
        </w:rPr>
      </w:pPr>
      <w:proofErr w:type="spellStart"/>
      <w:r w:rsidRPr="00AE2C95">
        <w:rPr>
          <w:rFonts w:cs="Arial"/>
          <w:lang w:val="en-US"/>
        </w:rPr>
        <w:t>Lombardelli</w:t>
      </w:r>
      <w:proofErr w:type="spellEnd"/>
      <w:r w:rsidRPr="00AE2C95">
        <w:rPr>
          <w:rFonts w:cs="Arial"/>
          <w:lang w:val="en-US"/>
        </w:rPr>
        <w:t xml:space="preserve"> G., </w:t>
      </w:r>
      <w:proofErr w:type="spellStart"/>
      <w:r w:rsidRPr="00AE2C95">
        <w:rPr>
          <w:rFonts w:cs="Arial"/>
          <w:lang w:val="en-US"/>
        </w:rPr>
        <w:t>Scaccabarozzi</w:t>
      </w:r>
      <w:proofErr w:type="spellEnd"/>
      <w:r w:rsidRPr="00AE2C95">
        <w:rPr>
          <w:rFonts w:cs="Arial"/>
          <w:lang w:val="en-US"/>
        </w:rPr>
        <w:t xml:space="preserve"> R., Conversano A., Gatti M., 2024</w:t>
      </w:r>
      <w:r w:rsidR="002B7FC8" w:rsidRPr="00AE2C95">
        <w:rPr>
          <w:rFonts w:cs="Arial"/>
          <w:lang w:val="en-US"/>
        </w:rPr>
        <w:t>,</w:t>
      </w:r>
      <w:r w:rsidRPr="00AE2C95">
        <w:rPr>
          <w:rFonts w:cs="Arial"/>
          <w:lang w:val="en-US"/>
        </w:rPr>
        <w:t xml:space="preserve"> </w:t>
      </w:r>
      <w:r w:rsidRPr="00AF65F3">
        <w:rPr>
          <w:rFonts w:cs="Arial"/>
        </w:rPr>
        <w:t>Bio-methanol with negative CO2 emissions from residual forestry biomass gasification: Modelling and techno-economic assessment of different process configurations</w:t>
      </w:r>
      <w:r w:rsidR="00CD65E1">
        <w:rPr>
          <w:rFonts w:cs="Arial"/>
        </w:rPr>
        <w:t>,</w:t>
      </w:r>
      <w:r w:rsidRPr="00AF65F3">
        <w:rPr>
          <w:rFonts w:cs="Arial"/>
        </w:rPr>
        <w:t xml:space="preserve"> </w:t>
      </w:r>
      <w:r w:rsidRPr="00AE2C95">
        <w:rPr>
          <w:rFonts w:cs="Arial"/>
          <w:lang w:val="en-US"/>
        </w:rPr>
        <w:t>Biomass and Bioenergy</w:t>
      </w:r>
      <w:r w:rsidR="00CD65E1" w:rsidRPr="00AE2C95">
        <w:rPr>
          <w:rFonts w:cs="Arial"/>
          <w:lang w:val="en-US"/>
        </w:rPr>
        <w:t>,</w:t>
      </w:r>
      <w:r w:rsidRPr="00AE2C95">
        <w:rPr>
          <w:rFonts w:cs="Arial"/>
          <w:lang w:val="en-US"/>
        </w:rPr>
        <w:t xml:space="preserve"> 188, 107315. </w:t>
      </w:r>
    </w:p>
    <w:p w14:paraId="413A6CEA" w14:textId="6188979D" w:rsidR="00AF65F3" w:rsidRPr="00AF65F3" w:rsidRDefault="00AF65F3" w:rsidP="00AF65F3">
      <w:pPr>
        <w:pStyle w:val="Bibliografia"/>
        <w:rPr>
          <w:rFonts w:cs="Arial"/>
        </w:rPr>
      </w:pPr>
      <w:r w:rsidRPr="00AF65F3">
        <w:rPr>
          <w:rFonts w:cs="Arial"/>
          <w:lang w:val="it-IT"/>
        </w:rPr>
        <w:t>Pierro N., Giocoli A., Motola V., Dipinto S., 2021</w:t>
      </w:r>
      <w:r w:rsidR="002B7FC8">
        <w:rPr>
          <w:rFonts w:cs="Arial"/>
          <w:lang w:val="it-IT"/>
        </w:rPr>
        <w:t>,</w:t>
      </w:r>
      <w:r w:rsidRPr="00AF65F3">
        <w:rPr>
          <w:rFonts w:cs="Arial"/>
          <w:lang w:val="it-IT"/>
        </w:rPr>
        <w:t xml:space="preserve"> Valutazione disponibilità biomasse agro-industriali a livello nazionale e loro pubblicazione sul portale Webgis atlante delle biomasse [WWW Document]. </w:t>
      </w:r>
      <w:r w:rsidRPr="00AF65F3">
        <w:rPr>
          <w:rFonts w:cs="Arial"/>
        </w:rPr>
        <w:t>URL https://iris.enea.it/handle/20.500.12079/56881 (accessed 10.17.23).</w:t>
      </w:r>
    </w:p>
    <w:p w14:paraId="465556E7" w14:textId="54A1DF68" w:rsidR="000368E4" w:rsidRDefault="000368E4" w:rsidP="00E65B91">
      <w:pPr>
        <w:pStyle w:val="CETReferencetext"/>
      </w:pPr>
      <w:r>
        <w:fldChar w:fldCharType="end"/>
      </w:r>
    </w:p>
    <w:sectPr w:rsidR="000368E4"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B7FBE" w14:textId="77777777" w:rsidR="00D814C8" w:rsidRDefault="00D814C8" w:rsidP="004F5E36">
      <w:r>
        <w:separator/>
      </w:r>
    </w:p>
  </w:endnote>
  <w:endnote w:type="continuationSeparator" w:id="0">
    <w:p w14:paraId="6E2CBDA1" w14:textId="77777777" w:rsidR="00D814C8" w:rsidRDefault="00D814C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1EE66" w14:textId="77777777" w:rsidR="00D814C8" w:rsidRDefault="00D814C8" w:rsidP="004F5E36">
      <w:r>
        <w:separator/>
      </w:r>
    </w:p>
  </w:footnote>
  <w:footnote w:type="continuationSeparator" w:id="0">
    <w:p w14:paraId="69B3F241" w14:textId="77777777" w:rsidR="00D814C8" w:rsidRDefault="00D814C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BAA"/>
    <w:rsid w:val="00004095"/>
    <w:rsid w:val="00004F92"/>
    <w:rsid w:val="000052FB"/>
    <w:rsid w:val="00005884"/>
    <w:rsid w:val="00005A19"/>
    <w:rsid w:val="000102CB"/>
    <w:rsid w:val="00011343"/>
    <w:rsid w:val="000117CB"/>
    <w:rsid w:val="00013770"/>
    <w:rsid w:val="00015515"/>
    <w:rsid w:val="00017749"/>
    <w:rsid w:val="00023584"/>
    <w:rsid w:val="00027A62"/>
    <w:rsid w:val="000313EA"/>
    <w:rsid w:val="0003148D"/>
    <w:rsid w:val="00031EEC"/>
    <w:rsid w:val="00032781"/>
    <w:rsid w:val="000368E4"/>
    <w:rsid w:val="00046AD0"/>
    <w:rsid w:val="000508D3"/>
    <w:rsid w:val="00051566"/>
    <w:rsid w:val="000537F4"/>
    <w:rsid w:val="00054DC4"/>
    <w:rsid w:val="000562A9"/>
    <w:rsid w:val="00056328"/>
    <w:rsid w:val="00060E71"/>
    <w:rsid w:val="0006101D"/>
    <w:rsid w:val="000610D7"/>
    <w:rsid w:val="00061493"/>
    <w:rsid w:val="0006178B"/>
    <w:rsid w:val="00062A9A"/>
    <w:rsid w:val="00062BAB"/>
    <w:rsid w:val="00065058"/>
    <w:rsid w:val="0006614D"/>
    <w:rsid w:val="0007049E"/>
    <w:rsid w:val="00073788"/>
    <w:rsid w:val="000744BE"/>
    <w:rsid w:val="0007E2BF"/>
    <w:rsid w:val="000804FE"/>
    <w:rsid w:val="000852EF"/>
    <w:rsid w:val="000861B3"/>
    <w:rsid w:val="00086C39"/>
    <w:rsid w:val="0008794F"/>
    <w:rsid w:val="00087FAE"/>
    <w:rsid w:val="000947D9"/>
    <w:rsid w:val="00095AC9"/>
    <w:rsid w:val="00095DC6"/>
    <w:rsid w:val="000A03B2"/>
    <w:rsid w:val="000A409B"/>
    <w:rsid w:val="000B0768"/>
    <w:rsid w:val="000B2FDE"/>
    <w:rsid w:val="000B4010"/>
    <w:rsid w:val="000B4141"/>
    <w:rsid w:val="000B6447"/>
    <w:rsid w:val="000C232A"/>
    <w:rsid w:val="000D0268"/>
    <w:rsid w:val="000D03A2"/>
    <w:rsid w:val="000D331F"/>
    <w:rsid w:val="000D34BE"/>
    <w:rsid w:val="000E102F"/>
    <w:rsid w:val="000E36F1"/>
    <w:rsid w:val="000E3A73"/>
    <w:rsid w:val="000E414A"/>
    <w:rsid w:val="000E75FD"/>
    <w:rsid w:val="000F093C"/>
    <w:rsid w:val="000F3A17"/>
    <w:rsid w:val="000F787B"/>
    <w:rsid w:val="00101671"/>
    <w:rsid w:val="00101F02"/>
    <w:rsid w:val="00102700"/>
    <w:rsid w:val="001038FF"/>
    <w:rsid w:val="00110DF0"/>
    <w:rsid w:val="00111BCF"/>
    <w:rsid w:val="00113B0B"/>
    <w:rsid w:val="001154EA"/>
    <w:rsid w:val="001200A1"/>
    <w:rsid w:val="0012091F"/>
    <w:rsid w:val="00121007"/>
    <w:rsid w:val="0012358E"/>
    <w:rsid w:val="00124AAD"/>
    <w:rsid w:val="00126BC2"/>
    <w:rsid w:val="00127BD5"/>
    <w:rsid w:val="001308B6"/>
    <w:rsid w:val="0013121F"/>
    <w:rsid w:val="00131FE6"/>
    <w:rsid w:val="0013263F"/>
    <w:rsid w:val="001331DF"/>
    <w:rsid w:val="001348EB"/>
    <w:rsid w:val="00134DE4"/>
    <w:rsid w:val="00135C06"/>
    <w:rsid w:val="00137EBA"/>
    <w:rsid w:val="0014034D"/>
    <w:rsid w:val="00140FE3"/>
    <w:rsid w:val="001428DC"/>
    <w:rsid w:val="001442AB"/>
    <w:rsid w:val="00144D16"/>
    <w:rsid w:val="00147054"/>
    <w:rsid w:val="00150E59"/>
    <w:rsid w:val="00152DE3"/>
    <w:rsid w:val="00154008"/>
    <w:rsid w:val="00155C4F"/>
    <w:rsid w:val="00156B7F"/>
    <w:rsid w:val="00157AD7"/>
    <w:rsid w:val="00164CF9"/>
    <w:rsid w:val="001667A6"/>
    <w:rsid w:val="001709FA"/>
    <w:rsid w:val="001778A1"/>
    <w:rsid w:val="00184AD6"/>
    <w:rsid w:val="00190B83"/>
    <w:rsid w:val="00194209"/>
    <w:rsid w:val="001A080C"/>
    <w:rsid w:val="001A4AF7"/>
    <w:rsid w:val="001B0349"/>
    <w:rsid w:val="001B0B42"/>
    <w:rsid w:val="001B1E93"/>
    <w:rsid w:val="001B2554"/>
    <w:rsid w:val="001B3C26"/>
    <w:rsid w:val="001B65C1"/>
    <w:rsid w:val="001C0A42"/>
    <w:rsid w:val="001C260F"/>
    <w:rsid w:val="001C3293"/>
    <w:rsid w:val="001C33F1"/>
    <w:rsid w:val="001C3F8F"/>
    <w:rsid w:val="001C684B"/>
    <w:rsid w:val="001D0588"/>
    <w:rsid w:val="001D0CFB"/>
    <w:rsid w:val="001D21AF"/>
    <w:rsid w:val="001D3E3A"/>
    <w:rsid w:val="001D53FC"/>
    <w:rsid w:val="001D6C1B"/>
    <w:rsid w:val="001D76D8"/>
    <w:rsid w:val="001E5990"/>
    <w:rsid w:val="001E64BA"/>
    <w:rsid w:val="001F297C"/>
    <w:rsid w:val="001F42A5"/>
    <w:rsid w:val="001F7B9D"/>
    <w:rsid w:val="002018DB"/>
    <w:rsid w:val="00201C1E"/>
    <w:rsid w:val="00201C93"/>
    <w:rsid w:val="0020526A"/>
    <w:rsid w:val="0020536D"/>
    <w:rsid w:val="00215B08"/>
    <w:rsid w:val="00215FE4"/>
    <w:rsid w:val="002170EA"/>
    <w:rsid w:val="00220966"/>
    <w:rsid w:val="002224B4"/>
    <w:rsid w:val="0022643B"/>
    <w:rsid w:val="00230888"/>
    <w:rsid w:val="00240B19"/>
    <w:rsid w:val="00241C38"/>
    <w:rsid w:val="002447EF"/>
    <w:rsid w:val="00246649"/>
    <w:rsid w:val="00246C2E"/>
    <w:rsid w:val="00251550"/>
    <w:rsid w:val="002531DA"/>
    <w:rsid w:val="00262C81"/>
    <w:rsid w:val="00263B05"/>
    <w:rsid w:val="00267B7F"/>
    <w:rsid w:val="0027221A"/>
    <w:rsid w:val="002755F7"/>
    <w:rsid w:val="00275B61"/>
    <w:rsid w:val="00280FAF"/>
    <w:rsid w:val="00282656"/>
    <w:rsid w:val="002827BE"/>
    <w:rsid w:val="0028309E"/>
    <w:rsid w:val="0029369B"/>
    <w:rsid w:val="00293F76"/>
    <w:rsid w:val="00295B2E"/>
    <w:rsid w:val="00296B83"/>
    <w:rsid w:val="002B4015"/>
    <w:rsid w:val="002B54A9"/>
    <w:rsid w:val="002B5C01"/>
    <w:rsid w:val="002B74A5"/>
    <w:rsid w:val="002B75FB"/>
    <w:rsid w:val="002B78CE"/>
    <w:rsid w:val="002B7FC8"/>
    <w:rsid w:val="002C10BA"/>
    <w:rsid w:val="002C15CC"/>
    <w:rsid w:val="002C2FB6"/>
    <w:rsid w:val="002E5FA7"/>
    <w:rsid w:val="002F134B"/>
    <w:rsid w:val="002F237E"/>
    <w:rsid w:val="002F3309"/>
    <w:rsid w:val="002F55B8"/>
    <w:rsid w:val="003008CE"/>
    <w:rsid w:val="003009B7"/>
    <w:rsid w:val="00300E56"/>
    <w:rsid w:val="0030152C"/>
    <w:rsid w:val="003031C3"/>
    <w:rsid w:val="0030354B"/>
    <w:rsid w:val="0030469C"/>
    <w:rsid w:val="00307169"/>
    <w:rsid w:val="00314F5C"/>
    <w:rsid w:val="003162DD"/>
    <w:rsid w:val="00321038"/>
    <w:rsid w:val="00321CA6"/>
    <w:rsid w:val="00323763"/>
    <w:rsid w:val="00323C5F"/>
    <w:rsid w:val="00325709"/>
    <w:rsid w:val="00331922"/>
    <w:rsid w:val="00332AD4"/>
    <w:rsid w:val="00332C74"/>
    <w:rsid w:val="003335EF"/>
    <w:rsid w:val="00334893"/>
    <w:rsid w:val="003349A3"/>
    <w:rsid w:val="00334C09"/>
    <w:rsid w:val="00334D8F"/>
    <w:rsid w:val="00341D3F"/>
    <w:rsid w:val="003519F8"/>
    <w:rsid w:val="00352BDC"/>
    <w:rsid w:val="00353617"/>
    <w:rsid w:val="00354890"/>
    <w:rsid w:val="00362E09"/>
    <w:rsid w:val="00363B02"/>
    <w:rsid w:val="003641D2"/>
    <w:rsid w:val="00365D94"/>
    <w:rsid w:val="0037198B"/>
    <w:rsid w:val="003719C7"/>
    <w:rsid w:val="003723D4"/>
    <w:rsid w:val="0037693A"/>
    <w:rsid w:val="003804DB"/>
    <w:rsid w:val="00381905"/>
    <w:rsid w:val="00382461"/>
    <w:rsid w:val="00384CC8"/>
    <w:rsid w:val="003871FD"/>
    <w:rsid w:val="003A1694"/>
    <w:rsid w:val="003A1E30"/>
    <w:rsid w:val="003A2829"/>
    <w:rsid w:val="003A454A"/>
    <w:rsid w:val="003A7D1C"/>
    <w:rsid w:val="003B304B"/>
    <w:rsid w:val="003B3146"/>
    <w:rsid w:val="003B4539"/>
    <w:rsid w:val="003B4EA5"/>
    <w:rsid w:val="003B64CC"/>
    <w:rsid w:val="003C4B82"/>
    <w:rsid w:val="003C6164"/>
    <w:rsid w:val="003C6695"/>
    <w:rsid w:val="003C741B"/>
    <w:rsid w:val="003D0823"/>
    <w:rsid w:val="003D1E02"/>
    <w:rsid w:val="003D6ABE"/>
    <w:rsid w:val="003E1F73"/>
    <w:rsid w:val="003E5949"/>
    <w:rsid w:val="003E6FF4"/>
    <w:rsid w:val="003F015E"/>
    <w:rsid w:val="003F07D7"/>
    <w:rsid w:val="003F5F22"/>
    <w:rsid w:val="00400414"/>
    <w:rsid w:val="00406559"/>
    <w:rsid w:val="0040752E"/>
    <w:rsid w:val="004103A1"/>
    <w:rsid w:val="00411D64"/>
    <w:rsid w:val="0041446B"/>
    <w:rsid w:val="004166DF"/>
    <w:rsid w:val="00417705"/>
    <w:rsid w:val="0042098B"/>
    <w:rsid w:val="00423E27"/>
    <w:rsid w:val="00425251"/>
    <w:rsid w:val="004252AB"/>
    <w:rsid w:val="004274D2"/>
    <w:rsid w:val="00430A13"/>
    <w:rsid w:val="00431BDA"/>
    <w:rsid w:val="00432981"/>
    <w:rsid w:val="004336DF"/>
    <w:rsid w:val="00435523"/>
    <w:rsid w:val="004356CC"/>
    <w:rsid w:val="00440612"/>
    <w:rsid w:val="0044071E"/>
    <w:rsid w:val="0044273C"/>
    <w:rsid w:val="0044329C"/>
    <w:rsid w:val="00453E24"/>
    <w:rsid w:val="00455763"/>
    <w:rsid w:val="00457456"/>
    <w:rsid w:val="004577FE"/>
    <w:rsid w:val="00457B9C"/>
    <w:rsid w:val="0046164A"/>
    <w:rsid w:val="004624D2"/>
    <w:rsid w:val="004628D2"/>
    <w:rsid w:val="00462DCD"/>
    <w:rsid w:val="004631B0"/>
    <w:rsid w:val="004648AD"/>
    <w:rsid w:val="004703A9"/>
    <w:rsid w:val="00470F22"/>
    <w:rsid w:val="004714E3"/>
    <w:rsid w:val="004760DE"/>
    <w:rsid w:val="004763D7"/>
    <w:rsid w:val="00480B27"/>
    <w:rsid w:val="0048157C"/>
    <w:rsid w:val="00493EF4"/>
    <w:rsid w:val="004A004E"/>
    <w:rsid w:val="004A24CF"/>
    <w:rsid w:val="004A274E"/>
    <w:rsid w:val="004A2E4E"/>
    <w:rsid w:val="004A5E57"/>
    <w:rsid w:val="004B4829"/>
    <w:rsid w:val="004C194F"/>
    <w:rsid w:val="004C1C64"/>
    <w:rsid w:val="004C35E2"/>
    <w:rsid w:val="004C3D1D"/>
    <w:rsid w:val="004C3D84"/>
    <w:rsid w:val="004C55D2"/>
    <w:rsid w:val="004C66E0"/>
    <w:rsid w:val="004C7694"/>
    <w:rsid w:val="004C7913"/>
    <w:rsid w:val="004C7D89"/>
    <w:rsid w:val="004C7EF1"/>
    <w:rsid w:val="004D1C9E"/>
    <w:rsid w:val="004D2C8C"/>
    <w:rsid w:val="004D4383"/>
    <w:rsid w:val="004D6AB4"/>
    <w:rsid w:val="004D6C26"/>
    <w:rsid w:val="004E12E8"/>
    <w:rsid w:val="004E337B"/>
    <w:rsid w:val="004E4DD6"/>
    <w:rsid w:val="004F0F73"/>
    <w:rsid w:val="004F3D94"/>
    <w:rsid w:val="004F44D5"/>
    <w:rsid w:val="004F54DC"/>
    <w:rsid w:val="004F5E36"/>
    <w:rsid w:val="00502D96"/>
    <w:rsid w:val="00503152"/>
    <w:rsid w:val="00504FAC"/>
    <w:rsid w:val="00507B47"/>
    <w:rsid w:val="00507BEF"/>
    <w:rsid w:val="00507CC9"/>
    <w:rsid w:val="005119A5"/>
    <w:rsid w:val="00513286"/>
    <w:rsid w:val="00513EA7"/>
    <w:rsid w:val="00517283"/>
    <w:rsid w:val="0052371B"/>
    <w:rsid w:val="00524EC7"/>
    <w:rsid w:val="00526EBE"/>
    <w:rsid w:val="005278B7"/>
    <w:rsid w:val="00530D6C"/>
    <w:rsid w:val="00532016"/>
    <w:rsid w:val="00533038"/>
    <w:rsid w:val="00534575"/>
    <w:rsid w:val="005346C8"/>
    <w:rsid w:val="00542999"/>
    <w:rsid w:val="005430C9"/>
    <w:rsid w:val="0054380D"/>
    <w:rsid w:val="00543E7D"/>
    <w:rsid w:val="00545132"/>
    <w:rsid w:val="00545F89"/>
    <w:rsid w:val="0054722A"/>
    <w:rsid w:val="00547A68"/>
    <w:rsid w:val="005504C7"/>
    <w:rsid w:val="00551816"/>
    <w:rsid w:val="0055252C"/>
    <w:rsid w:val="005531C9"/>
    <w:rsid w:val="0055550C"/>
    <w:rsid w:val="00555881"/>
    <w:rsid w:val="00562557"/>
    <w:rsid w:val="00563043"/>
    <w:rsid w:val="005637F3"/>
    <w:rsid w:val="00567EB6"/>
    <w:rsid w:val="00570C43"/>
    <w:rsid w:val="0057400C"/>
    <w:rsid w:val="00577474"/>
    <w:rsid w:val="00581724"/>
    <w:rsid w:val="0058179C"/>
    <w:rsid w:val="005820B8"/>
    <w:rsid w:val="005847E6"/>
    <w:rsid w:val="00592274"/>
    <w:rsid w:val="0059545E"/>
    <w:rsid w:val="005961E6"/>
    <w:rsid w:val="005977B1"/>
    <w:rsid w:val="005A048B"/>
    <w:rsid w:val="005A4511"/>
    <w:rsid w:val="005A4EEA"/>
    <w:rsid w:val="005A4F50"/>
    <w:rsid w:val="005A5F15"/>
    <w:rsid w:val="005A72E9"/>
    <w:rsid w:val="005B2110"/>
    <w:rsid w:val="005B5C82"/>
    <w:rsid w:val="005B61E6"/>
    <w:rsid w:val="005B6C47"/>
    <w:rsid w:val="005C27C8"/>
    <w:rsid w:val="005C6D56"/>
    <w:rsid w:val="005C77E1"/>
    <w:rsid w:val="005D1DA8"/>
    <w:rsid w:val="005D5429"/>
    <w:rsid w:val="005D5FC8"/>
    <w:rsid w:val="005D668A"/>
    <w:rsid w:val="005D6A2F"/>
    <w:rsid w:val="005E0592"/>
    <w:rsid w:val="005E1A82"/>
    <w:rsid w:val="005E2B15"/>
    <w:rsid w:val="005E2C35"/>
    <w:rsid w:val="005E794C"/>
    <w:rsid w:val="005F0464"/>
    <w:rsid w:val="005F0A28"/>
    <w:rsid w:val="005F0E5E"/>
    <w:rsid w:val="005F253A"/>
    <w:rsid w:val="005F276D"/>
    <w:rsid w:val="005F30D0"/>
    <w:rsid w:val="00600535"/>
    <w:rsid w:val="00610CD6"/>
    <w:rsid w:val="006130D0"/>
    <w:rsid w:val="00614E4E"/>
    <w:rsid w:val="00620069"/>
    <w:rsid w:val="00620DEE"/>
    <w:rsid w:val="00621F92"/>
    <w:rsid w:val="006220BF"/>
    <w:rsid w:val="0062280A"/>
    <w:rsid w:val="006231E1"/>
    <w:rsid w:val="00623D13"/>
    <w:rsid w:val="00624A53"/>
    <w:rsid w:val="00625639"/>
    <w:rsid w:val="00627227"/>
    <w:rsid w:val="00627F3F"/>
    <w:rsid w:val="00631B33"/>
    <w:rsid w:val="00632851"/>
    <w:rsid w:val="006416A3"/>
    <w:rsid w:val="0064184D"/>
    <w:rsid w:val="006422CC"/>
    <w:rsid w:val="006423D3"/>
    <w:rsid w:val="00642D69"/>
    <w:rsid w:val="00643399"/>
    <w:rsid w:val="00644718"/>
    <w:rsid w:val="00645BFC"/>
    <w:rsid w:val="00646B26"/>
    <w:rsid w:val="006473DB"/>
    <w:rsid w:val="00651D18"/>
    <w:rsid w:val="00660E3E"/>
    <w:rsid w:val="0066276A"/>
    <w:rsid w:val="00662E74"/>
    <w:rsid w:val="00664F9F"/>
    <w:rsid w:val="00672637"/>
    <w:rsid w:val="00673F51"/>
    <w:rsid w:val="00674245"/>
    <w:rsid w:val="00675210"/>
    <w:rsid w:val="0067622F"/>
    <w:rsid w:val="00677CF1"/>
    <w:rsid w:val="00680C23"/>
    <w:rsid w:val="00681BD1"/>
    <w:rsid w:val="00682D30"/>
    <w:rsid w:val="00683E23"/>
    <w:rsid w:val="006853A6"/>
    <w:rsid w:val="00690187"/>
    <w:rsid w:val="00690C8A"/>
    <w:rsid w:val="00693766"/>
    <w:rsid w:val="00693AB3"/>
    <w:rsid w:val="006A3281"/>
    <w:rsid w:val="006A78CE"/>
    <w:rsid w:val="006A7A0D"/>
    <w:rsid w:val="006B316E"/>
    <w:rsid w:val="006B4533"/>
    <w:rsid w:val="006B4888"/>
    <w:rsid w:val="006B6E2B"/>
    <w:rsid w:val="006C06C3"/>
    <w:rsid w:val="006C22CA"/>
    <w:rsid w:val="006C2E45"/>
    <w:rsid w:val="006C359C"/>
    <w:rsid w:val="006C5579"/>
    <w:rsid w:val="006C683C"/>
    <w:rsid w:val="006C6C1E"/>
    <w:rsid w:val="006C719E"/>
    <w:rsid w:val="006D2B3D"/>
    <w:rsid w:val="006D40D8"/>
    <w:rsid w:val="006D53C8"/>
    <w:rsid w:val="006D6E8B"/>
    <w:rsid w:val="006D7209"/>
    <w:rsid w:val="006E1A9F"/>
    <w:rsid w:val="006E737D"/>
    <w:rsid w:val="006F00EB"/>
    <w:rsid w:val="006F0E72"/>
    <w:rsid w:val="006F1168"/>
    <w:rsid w:val="006F551C"/>
    <w:rsid w:val="006F6EE1"/>
    <w:rsid w:val="00700BA3"/>
    <w:rsid w:val="00704E1D"/>
    <w:rsid w:val="00704F7E"/>
    <w:rsid w:val="007054EA"/>
    <w:rsid w:val="00707DD1"/>
    <w:rsid w:val="007100BF"/>
    <w:rsid w:val="0071079F"/>
    <w:rsid w:val="00713973"/>
    <w:rsid w:val="0071668B"/>
    <w:rsid w:val="00716980"/>
    <w:rsid w:val="00720A24"/>
    <w:rsid w:val="00730BA5"/>
    <w:rsid w:val="00730D1B"/>
    <w:rsid w:val="00732386"/>
    <w:rsid w:val="007327F1"/>
    <w:rsid w:val="0073514D"/>
    <w:rsid w:val="00742980"/>
    <w:rsid w:val="007447F3"/>
    <w:rsid w:val="007450C8"/>
    <w:rsid w:val="00745D58"/>
    <w:rsid w:val="0074671B"/>
    <w:rsid w:val="0075194B"/>
    <w:rsid w:val="00751B18"/>
    <w:rsid w:val="00752E4C"/>
    <w:rsid w:val="007534A9"/>
    <w:rsid w:val="0075499F"/>
    <w:rsid w:val="007617CC"/>
    <w:rsid w:val="007621AE"/>
    <w:rsid w:val="007661C8"/>
    <w:rsid w:val="0077098D"/>
    <w:rsid w:val="00770C37"/>
    <w:rsid w:val="00771B3B"/>
    <w:rsid w:val="00771BC9"/>
    <w:rsid w:val="00773879"/>
    <w:rsid w:val="00775691"/>
    <w:rsid w:val="007813DF"/>
    <w:rsid w:val="00783646"/>
    <w:rsid w:val="007836D4"/>
    <w:rsid w:val="00785BF9"/>
    <w:rsid w:val="00785CCC"/>
    <w:rsid w:val="007871FF"/>
    <w:rsid w:val="007931FA"/>
    <w:rsid w:val="007937C4"/>
    <w:rsid w:val="00793977"/>
    <w:rsid w:val="00794E06"/>
    <w:rsid w:val="00797FFA"/>
    <w:rsid w:val="007A271F"/>
    <w:rsid w:val="007A4861"/>
    <w:rsid w:val="007A4D29"/>
    <w:rsid w:val="007A5276"/>
    <w:rsid w:val="007A60FF"/>
    <w:rsid w:val="007A66AF"/>
    <w:rsid w:val="007A7BBA"/>
    <w:rsid w:val="007B0C50"/>
    <w:rsid w:val="007B30B8"/>
    <w:rsid w:val="007B3E2A"/>
    <w:rsid w:val="007B48F9"/>
    <w:rsid w:val="007B7A96"/>
    <w:rsid w:val="007C1A43"/>
    <w:rsid w:val="007C5FAC"/>
    <w:rsid w:val="007C7946"/>
    <w:rsid w:val="007D0951"/>
    <w:rsid w:val="007D2726"/>
    <w:rsid w:val="007D2EE2"/>
    <w:rsid w:val="007D3D40"/>
    <w:rsid w:val="007D4EC7"/>
    <w:rsid w:val="007D786C"/>
    <w:rsid w:val="007E450B"/>
    <w:rsid w:val="007E6EB1"/>
    <w:rsid w:val="007E73F3"/>
    <w:rsid w:val="007F0FA4"/>
    <w:rsid w:val="007F27C8"/>
    <w:rsid w:val="0080013E"/>
    <w:rsid w:val="008004A4"/>
    <w:rsid w:val="008010D5"/>
    <w:rsid w:val="00813288"/>
    <w:rsid w:val="008168FC"/>
    <w:rsid w:val="008224CA"/>
    <w:rsid w:val="00824158"/>
    <w:rsid w:val="00826723"/>
    <w:rsid w:val="0082766E"/>
    <w:rsid w:val="00830511"/>
    <w:rsid w:val="00830996"/>
    <w:rsid w:val="008314D7"/>
    <w:rsid w:val="00832530"/>
    <w:rsid w:val="008345F1"/>
    <w:rsid w:val="00836A68"/>
    <w:rsid w:val="00846B79"/>
    <w:rsid w:val="00847B68"/>
    <w:rsid w:val="008513E2"/>
    <w:rsid w:val="00851941"/>
    <w:rsid w:val="00853AAB"/>
    <w:rsid w:val="00853E80"/>
    <w:rsid w:val="0085607F"/>
    <w:rsid w:val="00857359"/>
    <w:rsid w:val="008602AE"/>
    <w:rsid w:val="0086540E"/>
    <w:rsid w:val="0086555D"/>
    <w:rsid w:val="0086579B"/>
    <w:rsid w:val="00865B07"/>
    <w:rsid w:val="008667EA"/>
    <w:rsid w:val="00870049"/>
    <w:rsid w:val="0087637F"/>
    <w:rsid w:val="00882599"/>
    <w:rsid w:val="00884312"/>
    <w:rsid w:val="008879E1"/>
    <w:rsid w:val="00892AD5"/>
    <w:rsid w:val="00896EA0"/>
    <w:rsid w:val="0089721E"/>
    <w:rsid w:val="008A1512"/>
    <w:rsid w:val="008A2898"/>
    <w:rsid w:val="008A5A7D"/>
    <w:rsid w:val="008B0F0F"/>
    <w:rsid w:val="008B2763"/>
    <w:rsid w:val="008B4B16"/>
    <w:rsid w:val="008C302B"/>
    <w:rsid w:val="008C75C7"/>
    <w:rsid w:val="008C77DB"/>
    <w:rsid w:val="008D32B9"/>
    <w:rsid w:val="008D433B"/>
    <w:rsid w:val="008D4A16"/>
    <w:rsid w:val="008E1148"/>
    <w:rsid w:val="008E209A"/>
    <w:rsid w:val="008E45BC"/>
    <w:rsid w:val="008E566E"/>
    <w:rsid w:val="008F1035"/>
    <w:rsid w:val="0090161A"/>
    <w:rsid w:val="00901EB6"/>
    <w:rsid w:val="00902E1F"/>
    <w:rsid w:val="009041F8"/>
    <w:rsid w:val="009044D7"/>
    <w:rsid w:val="00904C62"/>
    <w:rsid w:val="009070A3"/>
    <w:rsid w:val="00915B7F"/>
    <w:rsid w:val="00917667"/>
    <w:rsid w:val="00917EA8"/>
    <w:rsid w:val="00921214"/>
    <w:rsid w:val="00922463"/>
    <w:rsid w:val="00922BA8"/>
    <w:rsid w:val="009238A0"/>
    <w:rsid w:val="00923933"/>
    <w:rsid w:val="009246F8"/>
    <w:rsid w:val="00924DAC"/>
    <w:rsid w:val="00927058"/>
    <w:rsid w:val="00936DAA"/>
    <w:rsid w:val="00942750"/>
    <w:rsid w:val="0094390A"/>
    <w:rsid w:val="009450CE"/>
    <w:rsid w:val="009459BB"/>
    <w:rsid w:val="0094604C"/>
    <w:rsid w:val="00947179"/>
    <w:rsid w:val="00950475"/>
    <w:rsid w:val="00950D7E"/>
    <w:rsid w:val="0095164B"/>
    <w:rsid w:val="00954090"/>
    <w:rsid w:val="009573E7"/>
    <w:rsid w:val="0096282D"/>
    <w:rsid w:val="00962A39"/>
    <w:rsid w:val="00963E05"/>
    <w:rsid w:val="00964A45"/>
    <w:rsid w:val="00965F7E"/>
    <w:rsid w:val="00967843"/>
    <w:rsid w:val="00967D54"/>
    <w:rsid w:val="00970689"/>
    <w:rsid w:val="00971028"/>
    <w:rsid w:val="009805BB"/>
    <w:rsid w:val="009817ED"/>
    <w:rsid w:val="00981A97"/>
    <w:rsid w:val="00983C68"/>
    <w:rsid w:val="00987AEC"/>
    <w:rsid w:val="009920FE"/>
    <w:rsid w:val="00993B0E"/>
    <w:rsid w:val="00993B84"/>
    <w:rsid w:val="00994602"/>
    <w:rsid w:val="00996483"/>
    <w:rsid w:val="00996F5A"/>
    <w:rsid w:val="009A0750"/>
    <w:rsid w:val="009A1912"/>
    <w:rsid w:val="009A4D96"/>
    <w:rsid w:val="009A6087"/>
    <w:rsid w:val="009B041A"/>
    <w:rsid w:val="009B18B0"/>
    <w:rsid w:val="009B4F86"/>
    <w:rsid w:val="009C37C3"/>
    <w:rsid w:val="009C6452"/>
    <w:rsid w:val="009C7AFF"/>
    <w:rsid w:val="009C7C86"/>
    <w:rsid w:val="009C7CE2"/>
    <w:rsid w:val="009D2FF7"/>
    <w:rsid w:val="009E7884"/>
    <w:rsid w:val="009E788A"/>
    <w:rsid w:val="009F0E08"/>
    <w:rsid w:val="00A02798"/>
    <w:rsid w:val="00A030AB"/>
    <w:rsid w:val="00A03E07"/>
    <w:rsid w:val="00A0661C"/>
    <w:rsid w:val="00A079AE"/>
    <w:rsid w:val="00A1203B"/>
    <w:rsid w:val="00A121EB"/>
    <w:rsid w:val="00A133C9"/>
    <w:rsid w:val="00A1763D"/>
    <w:rsid w:val="00A17CEC"/>
    <w:rsid w:val="00A254A6"/>
    <w:rsid w:val="00A25F00"/>
    <w:rsid w:val="00A26016"/>
    <w:rsid w:val="00A26CBB"/>
    <w:rsid w:val="00A27EF0"/>
    <w:rsid w:val="00A35157"/>
    <w:rsid w:val="00A42361"/>
    <w:rsid w:val="00A43453"/>
    <w:rsid w:val="00A46582"/>
    <w:rsid w:val="00A46BB9"/>
    <w:rsid w:val="00A47290"/>
    <w:rsid w:val="00A50B20"/>
    <w:rsid w:val="00A51390"/>
    <w:rsid w:val="00A51FEA"/>
    <w:rsid w:val="00A53B43"/>
    <w:rsid w:val="00A55F43"/>
    <w:rsid w:val="00A60D13"/>
    <w:rsid w:val="00A65E1E"/>
    <w:rsid w:val="00A700B5"/>
    <w:rsid w:val="00A7208A"/>
    <w:rsid w:val="00A7223D"/>
    <w:rsid w:val="00A72745"/>
    <w:rsid w:val="00A74D9E"/>
    <w:rsid w:val="00A75263"/>
    <w:rsid w:val="00A76EFC"/>
    <w:rsid w:val="00A7749F"/>
    <w:rsid w:val="00A87D50"/>
    <w:rsid w:val="00A89497"/>
    <w:rsid w:val="00A91010"/>
    <w:rsid w:val="00A93796"/>
    <w:rsid w:val="00A9570C"/>
    <w:rsid w:val="00A966D4"/>
    <w:rsid w:val="00A96BF7"/>
    <w:rsid w:val="00A97F29"/>
    <w:rsid w:val="00AA6734"/>
    <w:rsid w:val="00AA702E"/>
    <w:rsid w:val="00AA7C07"/>
    <w:rsid w:val="00AA7D26"/>
    <w:rsid w:val="00AB0964"/>
    <w:rsid w:val="00AB0E46"/>
    <w:rsid w:val="00AB200A"/>
    <w:rsid w:val="00AB5011"/>
    <w:rsid w:val="00AB65FA"/>
    <w:rsid w:val="00AC35EF"/>
    <w:rsid w:val="00AC7368"/>
    <w:rsid w:val="00AD0278"/>
    <w:rsid w:val="00AD16B9"/>
    <w:rsid w:val="00AD528B"/>
    <w:rsid w:val="00AD7856"/>
    <w:rsid w:val="00AE28CE"/>
    <w:rsid w:val="00AE2A18"/>
    <w:rsid w:val="00AE2C95"/>
    <w:rsid w:val="00AE377D"/>
    <w:rsid w:val="00AF0EBA"/>
    <w:rsid w:val="00AF1F3A"/>
    <w:rsid w:val="00AF3485"/>
    <w:rsid w:val="00AF4E83"/>
    <w:rsid w:val="00AF65F3"/>
    <w:rsid w:val="00B0110A"/>
    <w:rsid w:val="00B02C8A"/>
    <w:rsid w:val="00B04627"/>
    <w:rsid w:val="00B06761"/>
    <w:rsid w:val="00B113D2"/>
    <w:rsid w:val="00B15027"/>
    <w:rsid w:val="00B17FBD"/>
    <w:rsid w:val="00B234FC"/>
    <w:rsid w:val="00B24E86"/>
    <w:rsid w:val="00B258CE"/>
    <w:rsid w:val="00B26979"/>
    <w:rsid w:val="00B315A6"/>
    <w:rsid w:val="00B31813"/>
    <w:rsid w:val="00B33365"/>
    <w:rsid w:val="00B3523F"/>
    <w:rsid w:val="00B35D41"/>
    <w:rsid w:val="00B43076"/>
    <w:rsid w:val="00B4574E"/>
    <w:rsid w:val="00B45F93"/>
    <w:rsid w:val="00B52080"/>
    <w:rsid w:val="00B56820"/>
    <w:rsid w:val="00B57B36"/>
    <w:rsid w:val="00B57E6F"/>
    <w:rsid w:val="00B61014"/>
    <w:rsid w:val="00B70DA0"/>
    <w:rsid w:val="00B739FA"/>
    <w:rsid w:val="00B8042C"/>
    <w:rsid w:val="00B81882"/>
    <w:rsid w:val="00B82C2E"/>
    <w:rsid w:val="00B8686D"/>
    <w:rsid w:val="00B87AA0"/>
    <w:rsid w:val="00B90A6B"/>
    <w:rsid w:val="00B9261E"/>
    <w:rsid w:val="00B93606"/>
    <w:rsid w:val="00B93F69"/>
    <w:rsid w:val="00B94E57"/>
    <w:rsid w:val="00BA27A8"/>
    <w:rsid w:val="00BA35BA"/>
    <w:rsid w:val="00BA4740"/>
    <w:rsid w:val="00BA60A9"/>
    <w:rsid w:val="00BA7ADC"/>
    <w:rsid w:val="00BB1DDC"/>
    <w:rsid w:val="00BB4A55"/>
    <w:rsid w:val="00BB4C8A"/>
    <w:rsid w:val="00BB5A10"/>
    <w:rsid w:val="00BC30C9"/>
    <w:rsid w:val="00BC37F1"/>
    <w:rsid w:val="00BC47DC"/>
    <w:rsid w:val="00BC55F2"/>
    <w:rsid w:val="00BD077D"/>
    <w:rsid w:val="00BD479A"/>
    <w:rsid w:val="00BE032B"/>
    <w:rsid w:val="00BE28E3"/>
    <w:rsid w:val="00BE3E58"/>
    <w:rsid w:val="00BE6100"/>
    <w:rsid w:val="00BF0BA8"/>
    <w:rsid w:val="00BF0E67"/>
    <w:rsid w:val="00BF24B9"/>
    <w:rsid w:val="00BF7F57"/>
    <w:rsid w:val="00C011BE"/>
    <w:rsid w:val="00C01616"/>
    <w:rsid w:val="00C0162B"/>
    <w:rsid w:val="00C057A8"/>
    <w:rsid w:val="00C068ED"/>
    <w:rsid w:val="00C10259"/>
    <w:rsid w:val="00C1425D"/>
    <w:rsid w:val="00C1621A"/>
    <w:rsid w:val="00C169A7"/>
    <w:rsid w:val="00C208E9"/>
    <w:rsid w:val="00C209B8"/>
    <w:rsid w:val="00C21C30"/>
    <w:rsid w:val="00C22E0C"/>
    <w:rsid w:val="00C238A2"/>
    <w:rsid w:val="00C24E5C"/>
    <w:rsid w:val="00C261B9"/>
    <w:rsid w:val="00C26E58"/>
    <w:rsid w:val="00C345B1"/>
    <w:rsid w:val="00C40142"/>
    <w:rsid w:val="00C40A26"/>
    <w:rsid w:val="00C41CED"/>
    <w:rsid w:val="00C46E29"/>
    <w:rsid w:val="00C47189"/>
    <w:rsid w:val="00C52C3C"/>
    <w:rsid w:val="00C57182"/>
    <w:rsid w:val="00C57863"/>
    <w:rsid w:val="00C6382B"/>
    <w:rsid w:val="00C640AF"/>
    <w:rsid w:val="00C655FD"/>
    <w:rsid w:val="00C74562"/>
    <w:rsid w:val="00C7484C"/>
    <w:rsid w:val="00C75407"/>
    <w:rsid w:val="00C810CF"/>
    <w:rsid w:val="00C826F6"/>
    <w:rsid w:val="00C841C6"/>
    <w:rsid w:val="00C857E0"/>
    <w:rsid w:val="00C870A8"/>
    <w:rsid w:val="00C94434"/>
    <w:rsid w:val="00C96A9C"/>
    <w:rsid w:val="00CA0D75"/>
    <w:rsid w:val="00CA1C95"/>
    <w:rsid w:val="00CA29A9"/>
    <w:rsid w:val="00CA3B58"/>
    <w:rsid w:val="00CA5A9C"/>
    <w:rsid w:val="00CA746C"/>
    <w:rsid w:val="00CB1F33"/>
    <w:rsid w:val="00CB3D7B"/>
    <w:rsid w:val="00CB48E6"/>
    <w:rsid w:val="00CB6735"/>
    <w:rsid w:val="00CB6DFB"/>
    <w:rsid w:val="00CC36C3"/>
    <w:rsid w:val="00CC39FF"/>
    <w:rsid w:val="00CC4BF3"/>
    <w:rsid w:val="00CC4C20"/>
    <w:rsid w:val="00CD0ADC"/>
    <w:rsid w:val="00CD3517"/>
    <w:rsid w:val="00CD5FE2"/>
    <w:rsid w:val="00CD65E1"/>
    <w:rsid w:val="00CE0E7B"/>
    <w:rsid w:val="00CE7C68"/>
    <w:rsid w:val="00CF1596"/>
    <w:rsid w:val="00CF176E"/>
    <w:rsid w:val="00D02B4C"/>
    <w:rsid w:val="00D0308E"/>
    <w:rsid w:val="00D034EB"/>
    <w:rsid w:val="00D040C4"/>
    <w:rsid w:val="00D06A44"/>
    <w:rsid w:val="00D07592"/>
    <w:rsid w:val="00D0775A"/>
    <w:rsid w:val="00D129DF"/>
    <w:rsid w:val="00D20AD1"/>
    <w:rsid w:val="00D244B4"/>
    <w:rsid w:val="00D2582C"/>
    <w:rsid w:val="00D3020C"/>
    <w:rsid w:val="00D30510"/>
    <w:rsid w:val="00D318F1"/>
    <w:rsid w:val="00D31ADA"/>
    <w:rsid w:val="00D33E49"/>
    <w:rsid w:val="00D351BF"/>
    <w:rsid w:val="00D35844"/>
    <w:rsid w:val="00D37B07"/>
    <w:rsid w:val="00D43435"/>
    <w:rsid w:val="00D45E38"/>
    <w:rsid w:val="00D46B7E"/>
    <w:rsid w:val="00D47CE1"/>
    <w:rsid w:val="00D57C84"/>
    <w:rsid w:val="00D57E05"/>
    <w:rsid w:val="00D6057D"/>
    <w:rsid w:val="00D628C4"/>
    <w:rsid w:val="00D6568D"/>
    <w:rsid w:val="00D66E27"/>
    <w:rsid w:val="00D66ECE"/>
    <w:rsid w:val="00D71640"/>
    <w:rsid w:val="00D71A04"/>
    <w:rsid w:val="00D814C8"/>
    <w:rsid w:val="00D82640"/>
    <w:rsid w:val="00D836C5"/>
    <w:rsid w:val="00D84576"/>
    <w:rsid w:val="00D86B8F"/>
    <w:rsid w:val="00D8769A"/>
    <w:rsid w:val="00D90E94"/>
    <w:rsid w:val="00D91652"/>
    <w:rsid w:val="00D92B78"/>
    <w:rsid w:val="00DA1399"/>
    <w:rsid w:val="00DA24C6"/>
    <w:rsid w:val="00DA4D7B"/>
    <w:rsid w:val="00DA55B8"/>
    <w:rsid w:val="00DB5775"/>
    <w:rsid w:val="00DB5FB5"/>
    <w:rsid w:val="00DC1795"/>
    <w:rsid w:val="00DC1900"/>
    <w:rsid w:val="00DC7D25"/>
    <w:rsid w:val="00DD271C"/>
    <w:rsid w:val="00DE264A"/>
    <w:rsid w:val="00DE37A1"/>
    <w:rsid w:val="00DE3BBB"/>
    <w:rsid w:val="00DE528A"/>
    <w:rsid w:val="00DE732E"/>
    <w:rsid w:val="00DF4394"/>
    <w:rsid w:val="00DF5072"/>
    <w:rsid w:val="00DF6E37"/>
    <w:rsid w:val="00DF6FBB"/>
    <w:rsid w:val="00DF7482"/>
    <w:rsid w:val="00E0005D"/>
    <w:rsid w:val="00E007C5"/>
    <w:rsid w:val="00E011EC"/>
    <w:rsid w:val="00E0202D"/>
    <w:rsid w:val="00E02D18"/>
    <w:rsid w:val="00E041E7"/>
    <w:rsid w:val="00E0668F"/>
    <w:rsid w:val="00E13631"/>
    <w:rsid w:val="00E141EA"/>
    <w:rsid w:val="00E1658B"/>
    <w:rsid w:val="00E1678D"/>
    <w:rsid w:val="00E17CD2"/>
    <w:rsid w:val="00E23CA1"/>
    <w:rsid w:val="00E27107"/>
    <w:rsid w:val="00E272E1"/>
    <w:rsid w:val="00E310A7"/>
    <w:rsid w:val="00E324F0"/>
    <w:rsid w:val="00E3266C"/>
    <w:rsid w:val="00E34D29"/>
    <w:rsid w:val="00E407E4"/>
    <w:rsid w:val="00E409A8"/>
    <w:rsid w:val="00E46825"/>
    <w:rsid w:val="00E47D61"/>
    <w:rsid w:val="00E50C12"/>
    <w:rsid w:val="00E50EA6"/>
    <w:rsid w:val="00E54D50"/>
    <w:rsid w:val="00E61910"/>
    <w:rsid w:val="00E65B91"/>
    <w:rsid w:val="00E66F50"/>
    <w:rsid w:val="00E704A6"/>
    <w:rsid w:val="00E7209D"/>
    <w:rsid w:val="00E72D11"/>
    <w:rsid w:val="00E72EAD"/>
    <w:rsid w:val="00E75BFA"/>
    <w:rsid w:val="00E76157"/>
    <w:rsid w:val="00E77223"/>
    <w:rsid w:val="00E77F8F"/>
    <w:rsid w:val="00E820B9"/>
    <w:rsid w:val="00E835C4"/>
    <w:rsid w:val="00E8528B"/>
    <w:rsid w:val="00E85B94"/>
    <w:rsid w:val="00E90AB8"/>
    <w:rsid w:val="00E91642"/>
    <w:rsid w:val="00E93E62"/>
    <w:rsid w:val="00E9664B"/>
    <w:rsid w:val="00E978D0"/>
    <w:rsid w:val="00EA1EA2"/>
    <w:rsid w:val="00EA3A40"/>
    <w:rsid w:val="00EA3EF9"/>
    <w:rsid w:val="00EA4613"/>
    <w:rsid w:val="00EA6387"/>
    <w:rsid w:val="00EA7F91"/>
    <w:rsid w:val="00EB1523"/>
    <w:rsid w:val="00EB40A6"/>
    <w:rsid w:val="00EC0E49"/>
    <w:rsid w:val="00EC101F"/>
    <w:rsid w:val="00EC1D9F"/>
    <w:rsid w:val="00EC3973"/>
    <w:rsid w:val="00EC55E2"/>
    <w:rsid w:val="00ED1731"/>
    <w:rsid w:val="00ED19B0"/>
    <w:rsid w:val="00ED6035"/>
    <w:rsid w:val="00EE0131"/>
    <w:rsid w:val="00EE17B0"/>
    <w:rsid w:val="00EE2FDF"/>
    <w:rsid w:val="00EE3249"/>
    <w:rsid w:val="00EE60AF"/>
    <w:rsid w:val="00EE6262"/>
    <w:rsid w:val="00EE6F4E"/>
    <w:rsid w:val="00EF06D9"/>
    <w:rsid w:val="00EF0982"/>
    <w:rsid w:val="00EF2197"/>
    <w:rsid w:val="00EF4C56"/>
    <w:rsid w:val="00F03488"/>
    <w:rsid w:val="00F126A5"/>
    <w:rsid w:val="00F20235"/>
    <w:rsid w:val="00F20832"/>
    <w:rsid w:val="00F20D12"/>
    <w:rsid w:val="00F22773"/>
    <w:rsid w:val="00F230AC"/>
    <w:rsid w:val="00F24581"/>
    <w:rsid w:val="00F2582D"/>
    <w:rsid w:val="00F3049E"/>
    <w:rsid w:val="00F30C64"/>
    <w:rsid w:val="00F321A9"/>
    <w:rsid w:val="00F32BA2"/>
    <w:rsid w:val="00F32CDB"/>
    <w:rsid w:val="00F3348F"/>
    <w:rsid w:val="00F33EFC"/>
    <w:rsid w:val="00F37280"/>
    <w:rsid w:val="00F37698"/>
    <w:rsid w:val="00F37C75"/>
    <w:rsid w:val="00F411BF"/>
    <w:rsid w:val="00F41EE4"/>
    <w:rsid w:val="00F41FBB"/>
    <w:rsid w:val="00F42A51"/>
    <w:rsid w:val="00F51AA4"/>
    <w:rsid w:val="00F565FE"/>
    <w:rsid w:val="00F620FE"/>
    <w:rsid w:val="00F63A70"/>
    <w:rsid w:val="00F63D8C"/>
    <w:rsid w:val="00F65488"/>
    <w:rsid w:val="00F67B48"/>
    <w:rsid w:val="00F705E7"/>
    <w:rsid w:val="00F709BA"/>
    <w:rsid w:val="00F726B6"/>
    <w:rsid w:val="00F745E8"/>
    <w:rsid w:val="00F7534E"/>
    <w:rsid w:val="00F75937"/>
    <w:rsid w:val="00F76349"/>
    <w:rsid w:val="00F86739"/>
    <w:rsid w:val="00F9097F"/>
    <w:rsid w:val="00F932D9"/>
    <w:rsid w:val="00F93AF4"/>
    <w:rsid w:val="00F93EDF"/>
    <w:rsid w:val="00F9493E"/>
    <w:rsid w:val="00F964E5"/>
    <w:rsid w:val="00F97496"/>
    <w:rsid w:val="00FA0D61"/>
    <w:rsid w:val="00FA1802"/>
    <w:rsid w:val="00FA21D0"/>
    <w:rsid w:val="00FA5F5F"/>
    <w:rsid w:val="00FB609A"/>
    <w:rsid w:val="00FB730C"/>
    <w:rsid w:val="00FC2695"/>
    <w:rsid w:val="00FC3E03"/>
    <w:rsid w:val="00FC3FC1"/>
    <w:rsid w:val="00FC4146"/>
    <w:rsid w:val="00FC4C05"/>
    <w:rsid w:val="00FC7C64"/>
    <w:rsid w:val="00FD04F7"/>
    <w:rsid w:val="00FE484D"/>
    <w:rsid w:val="00FE56CE"/>
    <w:rsid w:val="00FE79BD"/>
    <w:rsid w:val="00FF2C34"/>
    <w:rsid w:val="00FF5C7B"/>
    <w:rsid w:val="00FF7723"/>
    <w:rsid w:val="01473CFA"/>
    <w:rsid w:val="01479342"/>
    <w:rsid w:val="019D3631"/>
    <w:rsid w:val="01B13A23"/>
    <w:rsid w:val="02734900"/>
    <w:rsid w:val="02FF5BB1"/>
    <w:rsid w:val="043D9B0E"/>
    <w:rsid w:val="06195213"/>
    <w:rsid w:val="06D7B164"/>
    <w:rsid w:val="0741E2EA"/>
    <w:rsid w:val="074DDF1A"/>
    <w:rsid w:val="079A0A01"/>
    <w:rsid w:val="07ED509A"/>
    <w:rsid w:val="09185F64"/>
    <w:rsid w:val="09263556"/>
    <w:rsid w:val="0A0E1DF6"/>
    <w:rsid w:val="0A252292"/>
    <w:rsid w:val="0A315277"/>
    <w:rsid w:val="0A8B38D4"/>
    <w:rsid w:val="0AAD9A3F"/>
    <w:rsid w:val="0AD31836"/>
    <w:rsid w:val="0B06E326"/>
    <w:rsid w:val="0BA4CFDA"/>
    <w:rsid w:val="0DABD759"/>
    <w:rsid w:val="0DDA5EBB"/>
    <w:rsid w:val="0E447722"/>
    <w:rsid w:val="0F692162"/>
    <w:rsid w:val="1012E80C"/>
    <w:rsid w:val="106BD6DA"/>
    <w:rsid w:val="11030FC4"/>
    <w:rsid w:val="12784F68"/>
    <w:rsid w:val="13DF9163"/>
    <w:rsid w:val="13FBD7F4"/>
    <w:rsid w:val="147D100C"/>
    <w:rsid w:val="15394630"/>
    <w:rsid w:val="16998594"/>
    <w:rsid w:val="16C524C2"/>
    <w:rsid w:val="1702EF0A"/>
    <w:rsid w:val="17FBE42A"/>
    <w:rsid w:val="18151596"/>
    <w:rsid w:val="195F23FF"/>
    <w:rsid w:val="19AC516E"/>
    <w:rsid w:val="1A11766C"/>
    <w:rsid w:val="1A3579E7"/>
    <w:rsid w:val="1AD2F9A0"/>
    <w:rsid w:val="1B998F59"/>
    <w:rsid w:val="1BE5C160"/>
    <w:rsid w:val="1CA145A6"/>
    <w:rsid w:val="1CA5A889"/>
    <w:rsid w:val="1D7F6431"/>
    <w:rsid w:val="1D89DB5C"/>
    <w:rsid w:val="1E25334B"/>
    <w:rsid w:val="1E53FA8A"/>
    <w:rsid w:val="1EA4849B"/>
    <w:rsid w:val="1F56252C"/>
    <w:rsid w:val="1FA22D32"/>
    <w:rsid w:val="20DCF016"/>
    <w:rsid w:val="229A232C"/>
    <w:rsid w:val="22BC7664"/>
    <w:rsid w:val="22C29A6A"/>
    <w:rsid w:val="22D51D52"/>
    <w:rsid w:val="24364256"/>
    <w:rsid w:val="2447B1BB"/>
    <w:rsid w:val="2448FFD5"/>
    <w:rsid w:val="24791FE8"/>
    <w:rsid w:val="24C4D34A"/>
    <w:rsid w:val="269EBE99"/>
    <w:rsid w:val="279B38B0"/>
    <w:rsid w:val="27E46927"/>
    <w:rsid w:val="28BA5E7B"/>
    <w:rsid w:val="28D132B3"/>
    <w:rsid w:val="29292812"/>
    <w:rsid w:val="294F5B0D"/>
    <w:rsid w:val="295FBED4"/>
    <w:rsid w:val="2B5BCAFF"/>
    <w:rsid w:val="2BB2A72A"/>
    <w:rsid w:val="2BF9DF97"/>
    <w:rsid w:val="2C1D90C4"/>
    <w:rsid w:val="2C2BBF9A"/>
    <w:rsid w:val="2C8575D5"/>
    <w:rsid w:val="2CC6DC10"/>
    <w:rsid w:val="2D392936"/>
    <w:rsid w:val="2D493A7E"/>
    <w:rsid w:val="2E8E3EF3"/>
    <w:rsid w:val="2E92E317"/>
    <w:rsid w:val="2F17249F"/>
    <w:rsid w:val="30538653"/>
    <w:rsid w:val="30753B8C"/>
    <w:rsid w:val="30F35F09"/>
    <w:rsid w:val="31683A51"/>
    <w:rsid w:val="328923C1"/>
    <w:rsid w:val="338ABD4A"/>
    <w:rsid w:val="36A66897"/>
    <w:rsid w:val="3701057A"/>
    <w:rsid w:val="37276557"/>
    <w:rsid w:val="37FCCFF9"/>
    <w:rsid w:val="38731C55"/>
    <w:rsid w:val="38821BA4"/>
    <w:rsid w:val="3A00B40B"/>
    <w:rsid w:val="3AF905BE"/>
    <w:rsid w:val="3B4C1226"/>
    <w:rsid w:val="3B945671"/>
    <w:rsid w:val="3B99E087"/>
    <w:rsid w:val="3D68AF6B"/>
    <w:rsid w:val="3E1F19C4"/>
    <w:rsid w:val="3FDE5E08"/>
    <w:rsid w:val="40337333"/>
    <w:rsid w:val="40BE4A12"/>
    <w:rsid w:val="411AA4E9"/>
    <w:rsid w:val="41B09ACB"/>
    <w:rsid w:val="42766281"/>
    <w:rsid w:val="42BF47DE"/>
    <w:rsid w:val="438EBCDC"/>
    <w:rsid w:val="43A06AAC"/>
    <w:rsid w:val="45083CF8"/>
    <w:rsid w:val="4562E79D"/>
    <w:rsid w:val="458CA2FA"/>
    <w:rsid w:val="45AA0D8F"/>
    <w:rsid w:val="45B94409"/>
    <w:rsid w:val="461AB1F4"/>
    <w:rsid w:val="463CCE4F"/>
    <w:rsid w:val="47103DE1"/>
    <w:rsid w:val="479A1931"/>
    <w:rsid w:val="4831BC69"/>
    <w:rsid w:val="4A586C0F"/>
    <w:rsid w:val="4BCBC398"/>
    <w:rsid w:val="4C5FAB89"/>
    <w:rsid w:val="4CA3832D"/>
    <w:rsid w:val="4DA994DC"/>
    <w:rsid w:val="4EE04FAF"/>
    <w:rsid w:val="4F584737"/>
    <w:rsid w:val="4F6EC1A8"/>
    <w:rsid w:val="4F96FBD5"/>
    <w:rsid w:val="4FF5DEC1"/>
    <w:rsid w:val="5091C9E1"/>
    <w:rsid w:val="50DB008B"/>
    <w:rsid w:val="521492C8"/>
    <w:rsid w:val="525BC492"/>
    <w:rsid w:val="53C4C974"/>
    <w:rsid w:val="54C878FD"/>
    <w:rsid w:val="54CA34A7"/>
    <w:rsid w:val="5533BC15"/>
    <w:rsid w:val="5716E86A"/>
    <w:rsid w:val="57F32285"/>
    <w:rsid w:val="5827B82F"/>
    <w:rsid w:val="5957C47A"/>
    <w:rsid w:val="5965A5AA"/>
    <w:rsid w:val="5987F175"/>
    <w:rsid w:val="5C4F2288"/>
    <w:rsid w:val="5C974714"/>
    <w:rsid w:val="5CCF4BFD"/>
    <w:rsid w:val="5CE6968D"/>
    <w:rsid w:val="5D13F7E3"/>
    <w:rsid w:val="60312908"/>
    <w:rsid w:val="608ADC91"/>
    <w:rsid w:val="60928D64"/>
    <w:rsid w:val="60A839EB"/>
    <w:rsid w:val="616622CC"/>
    <w:rsid w:val="624F6811"/>
    <w:rsid w:val="62932663"/>
    <w:rsid w:val="62F8C2EF"/>
    <w:rsid w:val="637DB8E9"/>
    <w:rsid w:val="653F2EC5"/>
    <w:rsid w:val="679097F0"/>
    <w:rsid w:val="67DBF25D"/>
    <w:rsid w:val="68207290"/>
    <w:rsid w:val="68D3E3FD"/>
    <w:rsid w:val="69235A6C"/>
    <w:rsid w:val="69D637B8"/>
    <w:rsid w:val="6A20E00D"/>
    <w:rsid w:val="6A315722"/>
    <w:rsid w:val="6B78EE6D"/>
    <w:rsid w:val="6CEE3716"/>
    <w:rsid w:val="6DCA9198"/>
    <w:rsid w:val="6FB3D1BD"/>
    <w:rsid w:val="6FB82F18"/>
    <w:rsid w:val="70698D8F"/>
    <w:rsid w:val="71668D0D"/>
    <w:rsid w:val="71D532B1"/>
    <w:rsid w:val="71E81D9B"/>
    <w:rsid w:val="7204108F"/>
    <w:rsid w:val="720E20D0"/>
    <w:rsid w:val="721BFFD4"/>
    <w:rsid w:val="724A3C97"/>
    <w:rsid w:val="72905D90"/>
    <w:rsid w:val="7361C6FB"/>
    <w:rsid w:val="73BE152B"/>
    <w:rsid w:val="73E722DE"/>
    <w:rsid w:val="74681D2B"/>
    <w:rsid w:val="74B8360D"/>
    <w:rsid w:val="76223945"/>
    <w:rsid w:val="766D62F1"/>
    <w:rsid w:val="76995192"/>
    <w:rsid w:val="775531C4"/>
    <w:rsid w:val="789FD944"/>
    <w:rsid w:val="7947073B"/>
    <w:rsid w:val="79AFFEFD"/>
    <w:rsid w:val="7A98A04C"/>
    <w:rsid w:val="7AF3D4A3"/>
    <w:rsid w:val="7D43B727"/>
    <w:rsid w:val="7D6A0307"/>
    <w:rsid w:val="7DCB511E"/>
    <w:rsid w:val="7E0689C1"/>
    <w:rsid w:val="7E8180DE"/>
    <w:rsid w:val="7EEB5B84"/>
    <w:rsid w:val="7F995B56"/>
    <w:rsid w:val="7FF74A5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404E114-227F-4698-B285-E37F5B489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styleId="Revisione">
    <w:name w:val="Revision"/>
    <w:hidden/>
    <w:uiPriority w:val="99"/>
    <w:semiHidden/>
    <w:rsid w:val="00BC37F1"/>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295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7257</Words>
  <Characters>41368</Characters>
  <Application>Microsoft Office Word</Application>
  <DocSecurity>0</DocSecurity>
  <Lines>344</Lines>
  <Paragraphs>97</Paragraphs>
  <ScaleCrop>false</ScaleCrop>
  <Company>Dipartimento CMIC - Politecnico di Milano</Company>
  <LinksUpToDate>false</LinksUpToDate>
  <CharactersWithSpaces>48528</CharactersWithSpaces>
  <SharedDoc>false</SharedDoc>
  <HLinks>
    <vt:vector size="36" baseType="variant">
      <vt:variant>
        <vt:i4>3014782</vt:i4>
      </vt:variant>
      <vt:variant>
        <vt:i4>0</vt:i4>
      </vt:variant>
      <vt:variant>
        <vt:i4>0</vt:i4>
      </vt:variant>
      <vt:variant>
        <vt:i4>5</vt:i4>
      </vt:variant>
      <vt:variant>
        <vt:lpwstr>https://unisalerno-my.sharepoint.com/:f:/g/personal/m_farabella3_studenti_unisa_it/IgCYE_D8UA4sRYxhPdm8aGeCAbgo_-HTWjQER6rPYAcP44M?e=cXlSQ2</vt:lpwstr>
      </vt:variant>
      <vt:variant>
        <vt:lpwstr/>
      </vt:variant>
      <vt:variant>
        <vt:i4>7798910</vt:i4>
      </vt:variant>
      <vt:variant>
        <vt:i4>12</vt:i4>
      </vt:variant>
      <vt:variant>
        <vt:i4>0</vt:i4>
      </vt:variant>
      <vt:variant>
        <vt:i4>5</vt:i4>
      </vt:variant>
      <vt:variant>
        <vt:lpwstr>https://atlantebiomasse.brindisi.enea.it/index.html</vt:lpwstr>
      </vt:variant>
      <vt:variant>
        <vt:lpwstr/>
      </vt:variant>
      <vt:variant>
        <vt:i4>2490405</vt:i4>
      </vt:variant>
      <vt:variant>
        <vt:i4>9</vt:i4>
      </vt:variant>
      <vt:variant>
        <vt:i4>0</vt:i4>
      </vt:variant>
      <vt:variant>
        <vt:i4>5</vt:i4>
      </vt:variant>
      <vt:variant>
        <vt:lpwstr>https://www.ricercasistemaelettrico.enea.it/archivio-documenti.html?task=download.send&amp;id=1216:censimento-potenziale-energetico-biomasse-metodo-indagine-atlante-biomasse-su-web-gis-enea&amp;catid=172</vt:lpwstr>
      </vt:variant>
      <vt:variant>
        <vt:lpwstr/>
      </vt:variant>
      <vt:variant>
        <vt:i4>1507367</vt:i4>
      </vt:variant>
      <vt:variant>
        <vt:i4>6</vt:i4>
      </vt:variant>
      <vt:variant>
        <vt:i4>0</vt:i4>
      </vt:variant>
      <vt:variant>
        <vt:i4>5</vt:i4>
      </vt:variant>
      <vt:variant>
        <vt:lpwstr>https://www.mase.gov.it/portale/documents/d/guest/pniec_2024_revfin_01072024-pdf</vt:lpwstr>
      </vt:variant>
      <vt:variant>
        <vt:lpwstr/>
      </vt:variant>
      <vt:variant>
        <vt:i4>7471206</vt:i4>
      </vt:variant>
      <vt:variant>
        <vt:i4>3</vt:i4>
      </vt:variant>
      <vt:variant>
        <vt:i4>0</vt:i4>
      </vt:variant>
      <vt:variant>
        <vt:i4>5</vt:i4>
      </vt:variant>
      <vt:variant>
        <vt:lpwstr>https://eur-lex.europa.eu/legal-content/EN/TXT/?uri=COM%3A2019%3A640%3AFIN</vt:lpwstr>
      </vt:variant>
      <vt:variant>
        <vt:lpwstr/>
      </vt:variant>
      <vt:variant>
        <vt:i4>7929924</vt:i4>
      </vt:variant>
      <vt:variant>
        <vt:i4>0</vt:i4>
      </vt:variant>
      <vt:variant>
        <vt:i4>0</vt:i4>
      </vt:variant>
      <vt:variant>
        <vt:i4>5</vt:i4>
      </vt:variant>
      <vt:variant>
        <vt:lpwstr>https://eur-lex.europa.eu/legal-content/EN/TXT/PDF/?uri=OJ:L_202302413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Aristide Giuliano</cp:lastModifiedBy>
  <cp:revision>2</cp:revision>
  <cp:lastPrinted>2015-05-13T12:31:00Z</cp:lastPrinted>
  <dcterms:created xsi:type="dcterms:W3CDTF">2026-04-15T07:22:00Z</dcterms:created>
  <dcterms:modified xsi:type="dcterms:W3CDTF">2026-04-15T07:22:00Z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id="WbbUgweK"/&gt;&lt;style id="http://www.zotero.org/styles/computers-and-chemical-engineering" hasBibliography="1" bibliographyStyleHasBeenSet="1"/&gt;&lt;prefs&gt;&lt;pref name="fieldType" value="Field"/&gt;&lt;pref name</vt:lpwstr>
  </property>
  <property fmtid="{D5CDD505-2E9C-101B-9397-08002B2CF9AE}" pid="3" name="ZOTERO_PREF_2">
    <vt:lpwstr>="storeReferences" value="true"/&gt;&lt;/prefs&gt;&lt;/data&gt;</vt:lpwstr>
  </property>
</Properties>
</file>