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F51BE2">
        <w:trPr>
          <w:trHeight w:val="852"/>
          <w:jc w:val="center"/>
        </w:trPr>
        <w:tc>
          <w:tcPr>
            <w:tcW w:w="6940"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0DAB3DDA"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 xml:space="preserve">VOL. </w:t>
            </w:r>
            <w:r w:rsidR="0030152C">
              <w:rPr>
                <w:rFonts w:cs="Arial"/>
                <w:b/>
                <w:bCs/>
                <w:i/>
                <w:iCs/>
                <w:color w:val="000066"/>
                <w:sz w:val="22"/>
                <w:szCs w:val="22"/>
                <w:lang w:eastAsia="it-IT"/>
              </w:rPr>
              <w:t xml:space="preserve">   </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C24AF1">
              <w:rPr>
                <w:rFonts w:cs="Arial"/>
                <w:b/>
                <w:bCs/>
                <w:i/>
                <w:iCs/>
                <w:color w:val="000066"/>
                <w:sz w:val="22"/>
                <w:szCs w:val="22"/>
                <w:lang w:eastAsia="it-IT"/>
              </w:rPr>
              <w:t>5</w:t>
            </w:r>
          </w:p>
        </w:tc>
        <w:tc>
          <w:tcPr>
            <w:tcW w:w="1842"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F51BE2">
        <w:trPr>
          <w:trHeight w:val="567"/>
          <w:jc w:val="center"/>
        </w:trPr>
        <w:tc>
          <w:tcPr>
            <w:tcW w:w="6940" w:type="dxa"/>
            <w:vMerge/>
            <w:tcBorders>
              <w:right w:val="single" w:sz="4" w:space="0" w:color="auto"/>
            </w:tcBorders>
          </w:tcPr>
          <w:p w14:paraId="39E5E4C1" w14:textId="77777777" w:rsidR="000A03B2" w:rsidRPr="00B57B36" w:rsidRDefault="000A03B2" w:rsidP="00CD5FE2">
            <w:pPr>
              <w:tabs>
                <w:tab w:val="left" w:pos="-108"/>
              </w:tabs>
            </w:pPr>
          </w:p>
        </w:tc>
        <w:tc>
          <w:tcPr>
            <w:tcW w:w="1842"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F51BE2">
        <w:trPr>
          <w:trHeight w:val="68"/>
          <w:jc w:val="center"/>
        </w:trPr>
        <w:tc>
          <w:tcPr>
            <w:tcW w:w="8782" w:type="dxa"/>
            <w:gridSpan w:val="2"/>
          </w:tcPr>
          <w:p w14:paraId="1D8DD3C9" w14:textId="086598E2" w:rsidR="00AA7D26" w:rsidRPr="00F93EDF" w:rsidRDefault="00AA7D26" w:rsidP="00AA7D26">
            <w:pPr>
              <w:ind w:left="-107"/>
              <w:outlineLvl w:val="2"/>
              <w:rPr>
                <w:rFonts w:ascii="Tahoma" w:hAnsi="Tahoma" w:cs="Tahoma"/>
                <w:bCs/>
                <w:color w:val="000000"/>
                <w:sz w:val="14"/>
                <w:szCs w:val="14"/>
                <w:lang w:eastAsia="it-IT"/>
              </w:rPr>
            </w:pPr>
            <w:r w:rsidRPr="00F93EDF">
              <w:rPr>
                <w:rFonts w:ascii="Tahoma" w:hAnsi="Tahoma" w:cs="Tahoma"/>
                <w:iCs/>
                <w:color w:val="333333"/>
                <w:sz w:val="14"/>
                <w:szCs w:val="14"/>
                <w:lang w:eastAsia="it-IT"/>
              </w:rPr>
              <w:t>Guest Editors:</w:t>
            </w:r>
            <w:r w:rsidRPr="00F93EDF">
              <w:rPr>
                <w:rFonts w:ascii="Tahoma" w:hAnsi="Tahoma" w:cs="Tahoma"/>
                <w:color w:val="000000"/>
                <w:sz w:val="14"/>
                <w:szCs w:val="14"/>
                <w:shd w:val="clear" w:color="auto" w:fill="FFFFFF"/>
              </w:rPr>
              <w:t xml:space="preserve"> </w:t>
            </w:r>
          </w:p>
          <w:p w14:paraId="1B0F1814" w14:textId="57AA03EA"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C24AF1">
              <w:rPr>
                <w:rFonts w:ascii="Tahoma" w:hAnsi="Tahoma" w:cs="Tahoma"/>
                <w:iCs/>
                <w:color w:val="333333"/>
                <w:sz w:val="14"/>
                <w:szCs w:val="14"/>
                <w:lang w:eastAsia="it-IT"/>
              </w:rPr>
              <w:t>5</w:t>
            </w:r>
            <w:r w:rsidRPr="00B57B36">
              <w:rPr>
                <w:rFonts w:ascii="Tahoma" w:hAnsi="Tahoma" w:cs="Tahoma"/>
                <w:iCs/>
                <w:color w:val="333333"/>
                <w:sz w:val="14"/>
                <w:szCs w:val="14"/>
                <w:lang w:eastAsia="it-IT"/>
              </w:rPr>
              <w:t xml:space="preserve">, AIDIC Servizi </w:t>
            </w:r>
            <w:proofErr w:type="spellStart"/>
            <w:r w:rsidRPr="00B57B36">
              <w:rPr>
                <w:rFonts w:ascii="Tahoma" w:hAnsi="Tahoma" w:cs="Tahoma"/>
                <w:iCs/>
                <w:color w:val="333333"/>
                <w:sz w:val="14"/>
                <w:szCs w:val="14"/>
                <w:lang w:eastAsia="it-IT"/>
              </w:rPr>
              <w:t>S.r.l</w:t>
            </w:r>
            <w:proofErr w:type="spellEnd"/>
            <w:r w:rsidRPr="00B57B36">
              <w:rPr>
                <w:rFonts w:ascii="Tahoma" w:hAnsi="Tahoma" w:cs="Tahoma"/>
                <w:iCs/>
                <w:color w:val="333333"/>
                <w:sz w:val="14"/>
                <w:szCs w:val="14"/>
                <w:lang w:eastAsia="it-IT"/>
              </w:rPr>
              <w:t>.</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D2582C" w:rsidRPr="000562A9">
              <w:rPr>
                <w:rFonts w:ascii="Tahoma" w:hAnsi="Tahoma" w:cs="Tahoma"/>
                <w:sz w:val="14"/>
                <w:szCs w:val="14"/>
              </w:rPr>
              <w:t>97</w:t>
            </w:r>
            <w:r w:rsidR="00D2582C">
              <w:rPr>
                <w:rFonts w:ascii="Tahoma" w:hAnsi="Tahoma" w:cs="Tahoma"/>
                <w:sz w:val="14"/>
                <w:szCs w:val="14"/>
              </w:rPr>
              <w:t>9</w:t>
            </w:r>
            <w:r w:rsidR="00D2582C" w:rsidRPr="000562A9">
              <w:rPr>
                <w:rFonts w:ascii="Tahoma" w:hAnsi="Tahoma" w:cs="Tahoma"/>
                <w:sz w:val="14"/>
                <w:szCs w:val="14"/>
              </w:rPr>
              <w:t>-</w:t>
            </w:r>
            <w:r w:rsidR="00D2582C">
              <w:rPr>
                <w:rFonts w:ascii="Tahoma" w:hAnsi="Tahoma" w:cs="Tahoma"/>
                <w:sz w:val="14"/>
                <w:szCs w:val="14"/>
              </w:rPr>
              <w:t>12</w:t>
            </w:r>
            <w:r w:rsidR="00D2582C" w:rsidRPr="000562A9">
              <w:rPr>
                <w:rFonts w:ascii="Tahoma" w:hAnsi="Tahoma" w:cs="Tahoma"/>
                <w:sz w:val="14"/>
                <w:szCs w:val="14"/>
              </w:rPr>
              <w:t>-</w:t>
            </w:r>
            <w:r w:rsidR="00D2582C">
              <w:rPr>
                <w:rFonts w:ascii="Tahoma" w:hAnsi="Tahoma" w:cs="Tahoma"/>
                <w:sz w:val="14"/>
                <w:szCs w:val="14"/>
              </w:rPr>
              <w:t>81206-</w:t>
            </w:r>
            <w:r w:rsidR="00557E00">
              <w:rPr>
                <w:rFonts w:ascii="Tahoma" w:hAnsi="Tahoma" w:cs="Tahoma"/>
                <w:sz w:val="14"/>
                <w:szCs w:val="14"/>
              </w:rPr>
              <w:t>XX</w:t>
            </w:r>
            <w:r w:rsidR="00D2582C">
              <w:rPr>
                <w:rFonts w:ascii="Tahoma" w:hAnsi="Tahoma" w:cs="Tahoma"/>
                <w:sz w:val="14"/>
                <w:szCs w:val="14"/>
              </w:rPr>
              <w:t>-</w:t>
            </w:r>
            <w:r w:rsidR="00557E00">
              <w:rPr>
                <w:rFonts w:ascii="Tahoma" w:hAnsi="Tahoma" w:cs="Tahoma"/>
                <w:sz w:val="14"/>
                <w:szCs w:val="14"/>
              </w:rPr>
              <w:t>X</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p w14:paraId="0DC29428" w14:textId="029E074B" w:rsidR="00F51BE2" w:rsidRPr="00F51BE2" w:rsidRDefault="00D449A2" w:rsidP="005431DB">
      <w:pPr>
        <w:pStyle w:val="CETTitle"/>
        <w:rPr>
          <w:rFonts w:eastAsia="Aptos"/>
          <w:lang w:val="en-US"/>
        </w:rPr>
      </w:pPr>
      <w:r w:rsidRPr="00F51BE2">
        <w:rPr>
          <w:rFonts w:eastAsia="Aptos"/>
          <w:lang w:val="en-US"/>
        </w:rPr>
        <w:t xml:space="preserve">Sustainability Weighted Return </w:t>
      </w:r>
      <w:r w:rsidR="005431DB">
        <w:rPr>
          <w:rFonts w:eastAsia="Aptos"/>
          <w:lang w:val="en-US"/>
        </w:rPr>
        <w:t>o</w:t>
      </w:r>
      <w:r w:rsidRPr="00F51BE2">
        <w:rPr>
          <w:rFonts w:eastAsia="Aptos"/>
          <w:lang w:val="en-US"/>
        </w:rPr>
        <w:t xml:space="preserve">n Investment </w:t>
      </w:r>
      <w:r w:rsidR="005431DB">
        <w:rPr>
          <w:rFonts w:eastAsia="Aptos"/>
          <w:lang w:val="en-US"/>
        </w:rPr>
        <w:t>o</w:t>
      </w:r>
      <w:r w:rsidRPr="00F51BE2">
        <w:rPr>
          <w:rFonts w:eastAsia="Aptos"/>
          <w:lang w:val="en-US"/>
        </w:rPr>
        <w:t xml:space="preserve">f </w:t>
      </w:r>
      <w:r w:rsidR="005431DB">
        <w:rPr>
          <w:rFonts w:eastAsia="Aptos"/>
          <w:lang w:val="en-US"/>
        </w:rPr>
        <w:t>a</w:t>
      </w:r>
      <w:r w:rsidRPr="00F51BE2">
        <w:rPr>
          <w:rFonts w:eastAsia="Aptos"/>
          <w:lang w:val="en-US"/>
        </w:rPr>
        <w:t xml:space="preserve"> Biorefinery Based </w:t>
      </w:r>
      <w:r w:rsidR="005431DB">
        <w:rPr>
          <w:rFonts w:eastAsia="Aptos"/>
          <w:lang w:val="en-US"/>
        </w:rPr>
        <w:t>o</w:t>
      </w:r>
      <w:r w:rsidRPr="00F51BE2">
        <w:rPr>
          <w:rFonts w:eastAsia="Aptos"/>
          <w:lang w:val="en-US"/>
        </w:rPr>
        <w:t xml:space="preserve">n Hard Avocado Waste </w:t>
      </w:r>
      <w:r w:rsidR="005431DB">
        <w:rPr>
          <w:rFonts w:eastAsia="Aptos"/>
          <w:lang w:val="en-US"/>
        </w:rPr>
        <w:t>i</w:t>
      </w:r>
      <w:r w:rsidRPr="00F51BE2">
        <w:rPr>
          <w:rFonts w:eastAsia="Aptos"/>
          <w:lang w:val="en-US"/>
        </w:rPr>
        <w:t>n Southern Colombia</w:t>
      </w:r>
    </w:p>
    <w:p w14:paraId="7CBA77CD" w14:textId="77777777" w:rsidR="00F51BE2" w:rsidRPr="00F51BE2" w:rsidRDefault="00F51BE2" w:rsidP="00D449A2">
      <w:pPr>
        <w:pStyle w:val="CETAuthors"/>
        <w:jc w:val="center"/>
        <w:rPr>
          <w:rFonts w:eastAsia="Aptos"/>
          <w:lang w:val="es-CO"/>
        </w:rPr>
      </w:pPr>
      <w:r w:rsidRPr="00F51BE2">
        <w:rPr>
          <w:rFonts w:eastAsia="Aptos"/>
          <w:lang w:val="es-CO"/>
        </w:rPr>
        <w:t>Alejandra Valentina Fontalvo-Morales, Ángel Darío González-Delgado</w:t>
      </w:r>
    </w:p>
    <w:p w14:paraId="79CE644B" w14:textId="77777777" w:rsidR="005928DF" w:rsidRDefault="00F51BE2" w:rsidP="00D449A2">
      <w:pPr>
        <w:pStyle w:val="CETAddress"/>
        <w:rPr>
          <w:rFonts w:eastAsia="Aptos"/>
          <w:lang w:val="en-US"/>
        </w:rPr>
      </w:pPr>
      <w:r w:rsidRPr="00F51BE2">
        <w:rPr>
          <w:rFonts w:eastAsia="Aptos"/>
          <w:lang w:val="en-US"/>
        </w:rPr>
        <w:t>Chemical Engineering Department, Nanomaterials and Computer-Aided Process Engineering Research Group (NIPAC), Universidad de Cartagena, Cartagena 130015, Bolívar, Colombia</w:t>
      </w:r>
    </w:p>
    <w:p w14:paraId="59729BF8" w14:textId="24727976" w:rsidR="00F51BE2" w:rsidRDefault="00F51BE2" w:rsidP="005431DB">
      <w:pPr>
        <w:pStyle w:val="CETemail"/>
        <w:rPr>
          <w:rFonts w:eastAsia="Aptos"/>
          <w:lang w:val="en-US"/>
        </w:rPr>
      </w:pPr>
      <w:r w:rsidRPr="00F51BE2">
        <w:rPr>
          <w:rFonts w:eastAsia="Aptos"/>
          <w:lang w:val="en-US"/>
        </w:rPr>
        <w:t xml:space="preserve">Correspondence author: </w:t>
      </w:r>
      <w:hyperlink r:id="rId10" w:history="1">
        <w:r w:rsidR="005928DF" w:rsidRPr="00F51BE2">
          <w:rPr>
            <w:rStyle w:val="Hyperlink"/>
            <w:rFonts w:eastAsia="Aptos" w:cs="Arial"/>
            <w:szCs w:val="16"/>
            <w:lang w:val="en-US"/>
          </w:rPr>
          <w:t>afontalvom@unicartagena.edu.co</w:t>
        </w:r>
      </w:hyperlink>
    </w:p>
    <w:p w14:paraId="65D8D5E5" w14:textId="2E086BAB" w:rsidR="00F51BE2" w:rsidRPr="00503733" w:rsidRDefault="00F51BE2" w:rsidP="005431DB">
      <w:pPr>
        <w:pStyle w:val="CETBodytext"/>
      </w:pPr>
      <w:r w:rsidRPr="00F51BE2">
        <w:t>The reuse of hard avocado (</w:t>
      </w:r>
      <w:proofErr w:type="spellStart"/>
      <w:r w:rsidRPr="00F51BE2">
        <w:rPr>
          <w:i/>
          <w:iCs/>
        </w:rPr>
        <w:t>Persea</w:t>
      </w:r>
      <w:proofErr w:type="spellEnd"/>
      <w:r w:rsidRPr="00F51BE2">
        <w:rPr>
          <w:i/>
          <w:iCs/>
        </w:rPr>
        <w:t xml:space="preserve"> americana Mill</w:t>
      </w:r>
      <w:r w:rsidRPr="00F51BE2">
        <w:t>) waste is promising due to the significant concern generated by its high demand. This biomass contains physical, chemical, and even energetic properties that make it suitable for creating value-added products, such as the production of biofuels or bioplastics. This study is applied to a biorefinery that integrally utilizes all the biomass derived from hard avocado waste produced in southern Colombia to create three bioproducts: starch, a</w:t>
      </w:r>
      <w:r w:rsidR="009C1441">
        <w:t>nd two biofilms</w:t>
      </w:r>
      <w:r w:rsidRPr="00F51BE2">
        <w:t>, thereby reducing economic, ecological, and even social impacts, quantifying the sustainable return on investment, compare it with the economic return, and analyze different scenarios to identify the effect of the weighting factors of the technical, environmental, and safety indicators. The Sustainability Weighted Return on Investment (SWROIM) combines traditional return-on-investment indicators with sustainability indicators, evaluating the entire process through a single value; the higher this value, the more sustainable and profitable the process is. The results of this study determined that the biorefinery presents a SWROIM of</w:t>
      </w:r>
      <w:r w:rsidR="004C5413">
        <w:t xml:space="preserve"> 1</w:t>
      </w:r>
      <w:r w:rsidR="00BF4BE3">
        <w:t>86</w:t>
      </w:r>
      <w:r w:rsidR="004C5413">
        <w:t>.</w:t>
      </w:r>
      <w:r w:rsidR="00BF4BE3">
        <w:t>23</w:t>
      </w:r>
      <w:r w:rsidRPr="00F51BE2">
        <w:t>%, an economic ROI of 3</w:t>
      </w:r>
      <w:r w:rsidR="004C5413">
        <w:t>8</w:t>
      </w:r>
      <w:r w:rsidRPr="00F51BE2">
        <w:t>%, which indicates profitability since it is a positive and high value, a Potential Environmental Impact (PEI) of 20.8 PEI/h, and an overall production yield of 78.34%, which is a highly acceptable percentage for generating value-added subproducts from the initial biomass. The return-on-investment methodology integrates the most important aspects in sustainable development. Therefore, it is a comprehensive study that demonstrated a strong environmental cost-benefit balance.</w:t>
      </w:r>
    </w:p>
    <w:p w14:paraId="476B2F2E" w14:textId="23CF1A41" w:rsidR="00600535" w:rsidRPr="00D449A2" w:rsidRDefault="00600535" w:rsidP="00D449A2">
      <w:pPr>
        <w:pStyle w:val="CETHeading1"/>
      </w:pPr>
      <w:r w:rsidRPr="00D449A2">
        <w:t>Introduction</w:t>
      </w:r>
    </w:p>
    <w:p w14:paraId="3F5974B5" w14:textId="4DDFFC72" w:rsidR="00142F72" w:rsidRPr="00475E2E" w:rsidRDefault="00021FD7" w:rsidP="00142F72">
      <w:pPr>
        <w:pStyle w:val="CETBodytext"/>
        <w:rPr>
          <w:rFonts w:cs="Arial"/>
          <w:kern w:val="2"/>
          <w:szCs w:val="18"/>
          <w14:ligatures w14:val="standardContextual"/>
        </w:rPr>
      </w:pPr>
      <w:r w:rsidRPr="00BB4802">
        <w:t xml:space="preserve">Avocado waste contains biodegradable polymers </w:t>
      </w:r>
      <w:r w:rsidR="00BB4802" w:rsidRPr="00BB4802">
        <w:t xml:space="preserve">which can be potentially used in </w:t>
      </w:r>
      <w:r w:rsidRPr="00BB4802">
        <w:t>agro-industrial processes</w:t>
      </w:r>
      <w:r w:rsidR="00475E2E" w:rsidRPr="00BB4802">
        <w:t>.</w:t>
      </w:r>
      <w:r w:rsidRPr="00BB4802">
        <w:t xml:space="preserve"> </w:t>
      </w:r>
      <w:r w:rsidR="00475E2E" w:rsidRPr="00BB4802">
        <w:t xml:space="preserve">In 2023 alone, avocado seeds </w:t>
      </w:r>
      <w:r w:rsidR="00475E2E" w:rsidRPr="00BB4802">
        <w:rPr>
          <w:i/>
          <w:iCs/>
        </w:rPr>
        <w:t>(</w:t>
      </w:r>
      <w:proofErr w:type="spellStart"/>
      <w:r w:rsidR="00475E2E" w:rsidRPr="00BB4802">
        <w:rPr>
          <w:i/>
          <w:iCs/>
        </w:rPr>
        <w:t>Persea</w:t>
      </w:r>
      <w:proofErr w:type="spellEnd"/>
      <w:r w:rsidR="00475E2E" w:rsidRPr="00BB4802">
        <w:rPr>
          <w:i/>
          <w:iCs/>
        </w:rPr>
        <w:t xml:space="preserve"> americana Mill)</w:t>
      </w:r>
      <w:r w:rsidR="00475E2E" w:rsidRPr="00BB4802">
        <w:t xml:space="preserve"> generated 1,682 tons of waste</w:t>
      </w:r>
      <w:r w:rsidR="00475E2E" w:rsidRPr="00BB4802">
        <w:rPr>
          <w:lang w:val="en-GB"/>
        </w:rPr>
        <w:t xml:space="preserve"> </w:t>
      </w:r>
      <w:sdt>
        <w:sdtPr>
          <w:rPr>
            <w:rFonts w:cs="Arial"/>
            <w:kern w:val="2"/>
            <w:szCs w:val="18"/>
            <w:lang w:val="es-CO"/>
            <w14:ligatures w14:val="standardContextual"/>
          </w:rPr>
          <w:tag w:val="MENDELEY_CITATION_v3_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"/>
          <w:id w:val="1085723479"/>
          <w:placeholder>
            <w:docPart w:val="DefaultPlaceholder_-1854013440"/>
          </w:placeholder>
        </w:sdtPr>
        <w:sdtContent>
          <w:r w:rsidR="00037D8C" w:rsidRPr="00BB4802">
            <w:rPr>
              <w:rFonts w:cs="Arial"/>
              <w:kern w:val="2"/>
              <w:szCs w:val="18"/>
              <w14:ligatures w14:val="standardContextual"/>
            </w:rPr>
            <w:t>(Mena-Chacon et al., 2025)</w:t>
          </w:r>
        </w:sdtContent>
      </w:sdt>
      <w:r w:rsidR="008C4D0C" w:rsidRPr="00BB4802">
        <w:rPr>
          <w:rFonts w:cs="Arial"/>
          <w:kern w:val="2"/>
          <w:szCs w:val="18"/>
          <w14:ligatures w14:val="standardContextual"/>
        </w:rPr>
        <w:t>.</w:t>
      </w:r>
      <w:r w:rsidR="008C4D0C" w:rsidRPr="00BB4802">
        <w:t xml:space="preserve"> For</w:t>
      </w:r>
      <w:r w:rsidR="00475E2E" w:rsidRPr="00BB4802">
        <w:t xml:space="preserve"> this reason, proper management of these residues is necessary and, whenever possible, their valorization should also be pursued. When integrated systems are considered, one of the most well-known industrial approaches is biorefineries, which, together with refineries </w:t>
      </w:r>
      <w:r w:rsidR="00475E2E">
        <w:t xml:space="preserve">and agro-industries, increasingly develop biofuels and environmentally friendly fuels </w:t>
      </w:r>
      <w:sdt>
        <w:sdtPr>
          <w:rPr>
            <w:rFonts w:cs="Arial"/>
            <w:color w:val="000000"/>
            <w:lang w:val="es-CO"/>
          </w:rPr>
          <w:tag w:val="MENDELEY_CITATION_v3_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"/>
          <w:id w:val="-530032874"/>
          <w:placeholder>
            <w:docPart w:val="DefaultPlaceholder_-1854013440"/>
          </w:placeholder>
        </w:sdtPr>
        <w:sdtContent>
          <w:r w:rsidR="00074077">
            <w:t>(Munguía-López &amp; Ponce-Ortega, 2022</w:t>
          </w:r>
          <w:r w:rsidR="00037D8C" w:rsidRPr="00037D8C">
            <w:rPr>
              <w:rFonts w:cs="Arial"/>
              <w:color w:val="000000"/>
            </w:rPr>
            <w:t>)</w:t>
          </w:r>
        </w:sdtContent>
      </w:sdt>
      <w:r w:rsidR="00E84FCD" w:rsidRPr="008C4D0C">
        <w:t>.</w:t>
      </w:r>
      <w:r w:rsidR="00475E2E" w:rsidRPr="008C4D0C">
        <w:t xml:space="preserve"> </w:t>
      </w:r>
      <w:r w:rsidR="00475E2E">
        <w:t xml:space="preserve">This study focuses on a biorefinery that simultaneously produces </w:t>
      </w:r>
      <w:r w:rsidR="008849B7">
        <w:t>three</w:t>
      </w:r>
      <w:r w:rsidR="00475E2E">
        <w:t xml:space="preserve"> products: starch, and two biofilms to maximize the valorization of avocado waste from southern Colombia. Colombia has more than 110,000 h</w:t>
      </w:r>
      <w:r w:rsidR="00DF6DB4">
        <w:t>ectares</w:t>
      </w:r>
      <w:r w:rsidR="00475E2E">
        <w:t xml:space="preserve"> dedicated to avocado cultivation and, in 2020, achieved a production exceeding 167,000 tons.</w:t>
      </w:r>
      <w:r w:rsidR="00E84FCD" w:rsidRPr="00475E2E">
        <w:t xml:space="preserve"> </w:t>
      </w:r>
      <w:sdt>
        <w:sdtPr>
          <w:rPr>
            <w:rFonts w:cs="Arial"/>
            <w:color w:val="000000"/>
            <w:lang w:val="es-CO"/>
          </w:rPr>
          <w:tag w:val="MENDELEY_CITATION_v3_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"/>
          <w:id w:val="1506552627"/>
          <w:placeholder>
            <w:docPart w:val="DefaultPlaceholder_-1854013440"/>
          </w:placeholder>
        </w:sdtPr>
        <w:sdtContent>
          <w:r w:rsidR="00037D8C" w:rsidRPr="00037D8C">
            <w:rPr>
              <w:rFonts w:cs="Arial"/>
              <w:color w:val="000000"/>
            </w:rPr>
            <w:t>(Suarez, 2025)</w:t>
          </w:r>
        </w:sdtContent>
      </w:sdt>
      <w:r w:rsidR="00A852CC" w:rsidRPr="00A852CC">
        <w:t>.</w:t>
      </w:r>
      <w:r w:rsidR="00303A91" w:rsidRPr="00A852CC">
        <w:t xml:space="preserve"> </w:t>
      </w:r>
      <w:r w:rsidR="00456DF9">
        <w:t>On the other hand, t</w:t>
      </w:r>
      <w:r w:rsidR="00475E2E" w:rsidRPr="00A852CC">
        <w:t>he</w:t>
      </w:r>
      <w:r w:rsidR="004C6FF8" w:rsidRPr="00A852CC">
        <w:t xml:space="preserve"> sustainability-weighted return-on-investment metric (</w:t>
      </w:r>
      <w:r w:rsidR="00142F72" w:rsidRPr="00A852CC">
        <w:t>SWROIM</w:t>
      </w:r>
      <w:r w:rsidR="004C6FF8" w:rsidRPr="00A852CC">
        <w:t>)</w:t>
      </w:r>
      <w:r w:rsidR="00142F72" w:rsidRPr="00A852CC">
        <w:t xml:space="preserve"> simultaneously evaluates the traditional return on investment together with environmental indicators</w:t>
      </w:r>
      <w:r w:rsidR="00A852CC">
        <w:t>, t</w:t>
      </w:r>
      <w:r w:rsidR="00142F72">
        <w:t xml:space="preserve">he value of this SWROIM is proportional to the profitability of the process, considering both economic and environmental aspects </w:t>
      </w:r>
      <w:sdt>
        <w:sdtPr>
          <w:rPr>
            <w:rFonts w:cs="Arial"/>
            <w:color w:val="000000"/>
          </w:rPr>
          <w:tag w:val="MENDELEY_CITATION_v3_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"/>
          <w:id w:val="590363253"/>
          <w:placeholder>
            <w:docPart w:val="DefaultPlaceholder_-1854013440"/>
          </w:placeholder>
        </w:sdtPr>
        <w:sdtContent>
          <w:r w:rsidR="00037D8C" w:rsidRPr="00037D8C">
            <w:rPr>
              <w:rFonts w:cs="Arial"/>
              <w:color w:val="000000"/>
            </w:rPr>
            <w:t>(</w:t>
          </w:r>
          <w:r w:rsidR="00271E73">
            <w:t>Juárez-García et al., 2022</w:t>
          </w:r>
          <w:r w:rsidR="00037D8C" w:rsidRPr="00037D8C">
            <w:rPr>
              <w:rFonts w:cs="Arial"/>
              <w:color w:val="000000"/>
            </w:rPr>
            <w:t>)</w:t>
          </w:r>
        </w:sdtContent>
      </w:sdt>
      <w:r w:rsidR="00142F72" w:rsidRPr="008C4D0C">
        <w:t>.</w:t>
      </w:r>
      <w:r w:rsidR="00A852CC">
        <w:t xml:space="preserve"> </w:t>
      </w:r>
      <w:r w:rsidR="00B312A0">
        <w:t>However, existing studies have largely focused on single-product valorization pathways or isolated economic or environmental assessments. Limited research has addressed the integrated evaluation of multiproduct avocado waste biorefineries, particularly combining economic and environmental performance indicators such as SWROIM and considering regional agro-industrial conditions, therefore, t</w:t>
      </w:r>
      <w:r w:rsidR="00A3548E">
        <w:t xml:space="preserve">he novelty of this work lies in the integrated assessment of the economic and environmental feasibility of an avocado waste </w:t>
      </w:r>
      <w:r w:rsidR="00456DF9">
        <w:t xml:space="preserve">multiproduct </w:t>
      </w:r>
      <w:r w:rsidR="00A3548E">
        <w:t>biorefinery from southern Colombia, providing a comprehensive evaluation of process performance and sustainability.</w:t>
      </w:r>
    </w:p>
    <w:p w14:paraId="6A5167CF" w14:textId="6A4431AE" w:rsidR="00600535" w:rsidRDefault="005431DB" w:rsidP="00600535">
      <w:pPr>
        <w:pStyle w:val="CETHeading1"/>
      </w:pPr>
      <w:r>
        <w:lastRenderedPageBreak/>
        <w:t>Materials and methods</w:t>
      </w:r>
    </w:p>
    <w:p w14:paraId="589E7AC0" w14:textId="4E63AE11" w:rsidR="00D449A2" w:rsidRPr="00BB4802" w:rsidRDefault="00705320" w:rsidP="00D449A2">
      <w:pPr>
        <w:pStyle w:val="CETBodytext"/>
      </w:pPr>
      <w:r>
        <w:t>Based on process simulation, exergy analysis, and the evaluation of the inherent safety index (ISI), the sustainable weighted return on investment (SWROIM) was developed by considering environmental, e</w:t>
      </w:r>
      <w:r w:rsidR="00571075">
        <w:t>x</w:t>
      </w:r>
      <w:r>
        <w:t>ergy, process safety, and eco-environmental factors</w:t>
      </w:r>
      <w:r w:rsidR="00F07C0C">
        <w:t>.</w:t>
      </w:r>
      <w:r w:rsidR="008A354F" w:rsidRPr="008A354F">
        <w:t xml:space="preserve"> </w:t>
      </w:r>
      <w:r w:rsidR="00AC698C" w:rsidRPr="00AC698C">
        <w:t>The process flow diagram showing the production of the three main products (bio</w:t>
      </w:r>
      <w:r w:rsidR="008D4D25">
        <w:t>film</w:t>
      </w:r>
      <w:r w:rsidR="00AC698C" w:rsidRPr="00AC698C">
        <w:t xml:space="preserve"> 1, bio</w:t>
      </w:r>
      <w:r w:rsidR="008D4D25">
        <w:t>film</w:t>
      </w:r>
      <w:r w:rsidR="00AC698C" w:rsidRPr="00AC698C">
        <w:t xml:space="preserve"> 2, and starch) is presented in Figure 1</w:t>
      </w:r>
      <w:r w:rsidR="00AC698C" w:rsidRPr="00BB4802">
        <w:t>.</w:t>
      </w:r>
      <w:r w:rsidR="00BB4802" w:rsidRPr="00BB4802">
        <w:t xml:space="preserve"> </w:t>
      </w:r>
      <w:r w:rsidR="00802C77" w:rsidRPr="00BB4802">
        <w:t xml:space="preserve">The total feedstock processed </w:t>
      </w:r>
      <w:r w:rsidR="00BB4802" w:rsidRPr="00BB4802">
        <w:t>is</w:t>
      </w:r>
      <w:r w:rsidR="00802C77" w:rsidRPr="00BB4802">
        <w:t xml:space="preserve"> 27.4 kg/h. The process </w:t>
      </w:r>
      <w:r w:rsidR="00BB4802" w:rsidRPr="00BB4802">
        <w:t>is</w:t>
      </w:r>
      <w:r w:rsidR="00802C77" w:rsidRPr="00BB4802">
        <w:t xml:space="preserve"> divided into two main stages. In the first stage, </w:t>
      </w:r>
      <w:r w:rsidR="00BB4802" w:rsidRPr="00BB4802">
        <w:t>a</w:t>
      </w:r>
      <w:r w:rsidR="00802C77" w:rsidRPr="00BB4802">
        <w:t xml:space="preserve"> biofilm </w:t>
      </w:r>
      <w:r w:rsidR="00BB4802" w:rsidRPr="00BB4802">
        <w:t>is</w:t>
      </w:r>
      <w:r w:rsidR="00802C77" w:rsidRPr="00BB4802">
        <w:t xml:space="preserve"> obtained through the hydrolysis of avocado waste. In the second stage, the remaining two bioproducts were produced: starch was extracted, and the first biofilm was obtained through a gelatinization process.</w:t>
      </w:r>
    </w:p>
    <w:p w14:paraId="2ADD6C93" w14:textId="77777777" w:rsidR="00F07C0C" w:rsidRPr="00BB4802" w:rsidRDefault="00F07C0C" w:rsidP="00D449A2">
      <w:pPr>
        <w:pStyle w:val="CETBodytext"/>
      </w:pPr>
    </w:p>
    <w:p w14:paraId="369832ED" w14:textId="7CD4C952" w:rsidR="00BF6523" w:rsidRDefault="002611A3" w:rsidP="00BF6523">
      <w:pPr>
        <w:pStyle w:val="CETBodytext"/>
        <w:jc w:val="center"/>
      </w:pPr>
      <w:r>
        <w:rPr>
          <w:noProof/>
        </w:rPr>
        <w:drawing>
          <wp:inline distT="0" distB="0" distL="0" distR="0" wp14:anchorId="0A3C4ABA" wp14:editId="48F05972">
            <wp:extent cx="3988800" cy="3286800"/>
            <wp:effectExtent l="0" t="0" r="0" b="8890"/>
            <wp:docPr id="18430515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051578" name="Picture 1843051578"/>
                    <pic:cNvPicPr/>
                  </pic:nvPicPr>
                  <pic:blipFill>
                    <a:blip r:embed="rId11">
                      <a:extLst>
                        <a:ext uri="{BEBA8EAE-BF5A-486C-A8C5-ECC9F3942E4B}">
                          <a14:imgProps xmlns:a14="http://schemas.microsoft.com/office/drawing/2010/main">
                            <a14:imgLayer r:embed="rId12">
                              <a14:imgEffect>
                                <a14:sharpenSoften amount="15000"/>
                              </a14:imgEffect>
                            </a14:imgLayer>
                          </a14:imgProps>
                        </a:ext>
                      </a:extLst>
                    </a:blip>
                    <a:stretch>
                      <a:fillRect/>
                    </a:stretch>
                  </pic:blipFill>
                  <pic:spPr>
                    <a:xfrm>
                      <a:off x="0" y="0"/>
                      <a:ext cx="3988800" cy="3286800"/>
                    </a:xfrm>
                    <a:prstGeom prst="rect">
                      <a:avLst/>
                    </a:prstGeom>
                  </pic:spPr>
                </pic:pic>
              </a:graphicData>
            </a:graphic>
          </wp:inline>
        </w:drawing>
      </w:r>
    </w:p>
    <w:p w14:paraId="67467B49" w14:textId="028EAA5B" w:rsidR="00F07C0C" w:rsidRDefault="00F07C0C" w:rsidP="00F07C0C">
      <w:pPr>
        <w:pStyle w:val="CETCaption"/>
      </w:pPr>
      <w:r>
        <w:t>Figure 1. Process flow diagram of an avocado hard waste biorefinery.</w:t>
      </w:r>
    </w:p>
    <w:p w14:paraId="7F5324A7" w14:textId="4BA555C4" w:rsidR="008A354F" w:rsidRDefault="008A354F" w:rsidP="005431DB">
      <w:pPr>
        <w:pStyle w:val="CETBodytext"/>
        <w:rPr>
          <w:rFonts w:cs="Arial"/>
          <w:i/>
          <w:color w:val="000000"/>
        </w:rPr>
      </w:pPr>
      <w:r w:rsidRPr="008A354F">
        <w:t xml:space="preserve">The biorefinery was </w:t>
      </w:r>
      <w:r w:rsidR="00BB4802">
        <w:t>simulated</w:t>
      </w:r>
      <w:r w:rsidRPr="008A354F">
        <w:t xml:space="preserve"> using Aspen Plus® software (version 14). The environmental assessment was performed using the Waste Reduction (WAR) algorithm, through which the Potential Environmental Impact (PEI) output rates of the process were obtained, as developed by the present authors. The economic evaluation was carried out using conventional economic analysis methodologies, and its detailed assessment is also presented </w:t>
      </w:r>
      <w:r w:rsidR="006A5A08">
        <w:t xml:space="preserve">previously </w:t>
      </w:r>
      <w:r w:rsidRPr="008A354F">
        <w:t>by the authors</w:t>
      </w:r>
      <w:r w:rsidR="006A5A08">
        <w:t xml:space="preserve"> </w:t>
      </w:r>
      <w:sdt>
        <w:sdtPr>
          <w:rPr>
            <w:rFonts w:cs="Arial"/>
            <w:i/>
            <w:color w:val="000000"/>
          </w:rPr>
          <w:tag w:val="MENDELEY_CITATION_v3_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"/>
          <w:id w:val="-668563704"/>
          <w:placeholder>
            <w:docPart w:val="DefaultPlaceholder_-1854013440"/>
          </w:placeholder>
        </w:sdtPr>
        <w:sdtContent>
          <w:r w:rsidR="00037D8C" w:rsidRPr="00037D8C">
            <w:rPr>
              <w:rFonts w:cs="Arial"/>
              <w:color w:val="000000"/>
            </w:rPr>
            <w:t>(Garcia-Maza et al., 2025)</w:t>
          </w:r>
        </w:sdtContent>
      </w:sdt>
      <w:r w:rsidRPr="008A354F">
        <w:t>. The exergy analysis of the process was conducted through an exergy balance approach.</w:t>
      </w:r>
      <w:r>
        <w:t xml:space="preserve"> </w:t>
      </w:r>
      <w:r w:rsidRPr="008A354F">
        <w:t>The safety evaluation was performed using the Inherent Safety Index (ISI) methodology, and the detailed results are reported by the authors</w:t>
      </w:r>
      <w:r>
        <w:t xml:space="preserve"> </w:t>
      </w:r>
      <w:sdt>
        <w:sdtPr>
          <w:rPr>
            <w:rFonts w:cs="Arial"/>
            <w:i/>
            <w:color w:val="000000"/>
          </w:rPr>
          <w:tag w:val="MENDELEY_CITATION_v3_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"/>
          <w:id w:val="652953790"/>
          <w:placeholder>
            <w:docPart w:val="DefaultPlaceholder_-1854013440"/>
          </w:placeholder>
        </w:sdtPr>
        <w:sdtContent>
          <w:r w:rsidR="00037D8C" w:rsidRPr="00037D8C">
            <w:rPr>
              <w:rFonts w:cs="Arial"/>
              <w:color w:val="000000"/>
            </w:rPr>
            <w:t>(Aguilar-Vasquez et al., 2025).</w:t>
          </w:r>
        </w:sdtContent>
      </w:sdt>
      <w:r>
        <w:rPr>
          <w:rFonts w:cs="Arial"/>
          <w:color w:val="000000"/>
        </w:rPr>
        <w:t xml:space="preserve"> And the technical analysis was carried out using </w:t>
      </w:r>
      <w:r w:rsidRPr="008A354F">
        <w:rPr>
          <w:rFonts w:cs="Arial"/>
          <w:color w:val="000000"/>
        </w:rPr>
        <w:t>Water-Energy-Product (WEP)</w:t>
      </w:r>
      <w:r>
        <w:rPr>
          <w:rFonts w:cs="Arial"/>
          <w:color w:val="000000"/>
        </w:rPr>
        <w:t xml:space="preserve"> methodology which is in detailed by authors </w:t>
      </w:r>
      <w:sdt>
        <w:sdtPr>
          <w:rPr>
            <w:rFonts w:cs="Arial"/>
            <w:i/>
            <w:color w:val="000000"/>
          </w:rPr>
          <w:tag w:val="MENDELEY_CITATION_v3_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"/>
          <w:id w:val="-1042902229"/>
          <w:placeholder>
            <w:docPart w:val="DefaultPlaceholder_-1854013440"/>
          </w:placeholder>
        </w:sdtPr>
        <w:sdtContent>
          <w:r w:rsidR="00037D8C" w:rsidRPr="00037D8C">
            <w:rPr>
              <w:rFonts w:cs="Arial"/>
              <w:color w:val="000000"/>
            </w:rPr>
            <w:t>(Valdez-Valdes et al., 2025).</w:t>
          </w:r>
        </w:sdtContent>
      </w:sdt>
      <w:r w:rsidR="00DF6DB4">
        <w:rPr>
          <w:rFonts w:cs="Arial"/>
          <w:i/>
          <w:color w:val="000000"/>
        </w:rPr>
        <w:t xml:space="preserve"> </w:t>
      </w:r>
      <w:r w:rsidR="00027C70" w:rsidRPr="00027C70">
        <w:rPr>
          <w:rFonts w:cs="Arial"/>
          <w:color w:val="000000"/>
        </w:rPr>
        <w:t>Finally, the SWROIM value, which is the main focus of this study, is calculated. At the end, the ROI and SWROIM metrics are compared, with priority given to the SWROIM value over the ROI. That is, a process with a high SWROIM and a low ROI is preferred over one with a high ROI and a low SWROIM.</w:t>
      </w:r>
    </w:p>
    <w:p w14:paraId="34FFB8C0" w14:textId="4C7AAC77" w:rsidR="00B35AA2" w:rsidRDefault="00B35AA2" w:rsidP="005431DB">
      <w:pPr>
        <w:pStyle w:val="CETBodytext"/>
        <w:rPr>
          <w:i/>
        </w:rPr>
      </w:pPr>
      <w:r w:rsidRPr="00B35AA2">
        <w:t xml:space="preserve">The equation </w:t>
      </w:r>
      <w:r>
        <w:t xml:space="preserve">for SWROIM </w:t>
      </w:r>
      <w:r w:rsidRPr="00B35AA2">
        <w:t>used in this study is the one proposed by El-Halwagi</w:t>
      </w:r>
      <w:r w:rsidR="004D1592">
        <w:t xml:space="preserve"> (Equation 6)</w:t>
      </w:r>
      <w:r w:rsidRPr="00B35AA2">
        <w:t>, which includes sustainability indicators that are compared with proposed target values. That is, depending on the process and the authors, the target value is defined in a subjective manner using weighting factors</w:t>
      </w:r>
      <w:r w:rsidR="001C4FF8">
        <w:t xml:space="preserve"> </w:t>
      </w:r>
      <w:sdt>
        <w:sdtPr>
          <w:rPr>
            <w:i/>
          </w:rPr>
          <w:tag w:val="MENDELEY_CITATION_v3_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"/>
          <w:id w:val="-946081499"/>
          <w:placeholder>
            <w:docPart w:val="DefaultPlaceholder_-1854013440"/>
          </w:placeholder>
        </w:sdtPr>
        <w:sdtContent>
          <w:r w:rsidR="00037D8C" w:rsidRPr="00037D8C">
            <w:t>(El-Halwagi, 2017)</w:t>
          </w:r>
        </w:sdtContent>
      </w:sdt>
      <w:r w:rsidR="007464E3" w:rsidRPr="007464E3">
        <w:t xml:space="preserve"> Finally, a</w:t>
      </w:r>
      <w:r w:rsidR="00D914E7">
        <w:t xml:space="preserve"> </w:t>
      </w:r>
      <w:r w:rsidR="007464E3" w:rsidRPr="007464E3">
        <w:t xml:space="preserve">sensitivity analysis is performed to evaluate how one analysis affects another when two </w:t>
      </w:r>
      <w:r w:rsidR="00C75320">
        <w:t xml:space="preserve">or more </w:t>
      </w:r>
      <w:r w:rsidR="007464E3" w:rsidRPr="007464E3">
        <w:t>analyses are assessed simultaneously.</w:t>
      </w:r>
    </w:p>
    <w:p w14:paraId="3A946E73" w14:textId="6305AB5D" w:rsidR="00AC698C" w:rsidRDefault="00F15CDF" w:rsidP="00F15CDF">
      <w:pPr>
        <w:pStyle w:val="CETheadingx"/>
      </w:pPr>
      <w:r>
        <w:t>Environmental Analysis</w:t>
      </w:r>
      <w:r w:rsidR="00DD1F3E">
        <w:t xml:space="preserve"> of a Biorefinery Using Avocado </w:t>
      </w:r>
      <w:r w:rsidR="005431DB">
        <w:t xml:space="preserve">Hard </w:t>
      </w:r>
      <w:r w:rsidR="00DD1F3E">
        <w:t>Waste</w:t>
      </w:r>
    </w:p>
    <w:p w14:paraId="24715009" w14:textId="72E0C00C" w:rsidR="00F15CDF" w:rsidRDefault="00C914D9" w:rsidP="00F15CDF">
      <w:pPr>
        <w:pStyle w:val="CETBodytext"/>
      </w:pPr>
      <w:r w:rsidRPr="00C914D9">
        <w:t xml:space="preserve">The environmental analysis considers eight impact indicators, including Human Toxicity Potential by Ingestion (HTPI), Human Toxicity Potential by Inhalation or Dermal Exposure (HTPE), and Ozone Depletion Potential (ODP), among others. These indicators are classified into atmospheric impacts and toxicological impacts, allowing the identification of whether the process is more affected by atmospheric conditions or toxicological </w:t>
      </w:r>
      <w:r w:rsidRPr="00C914D9">
        <w:lastRenderedPageBreak/>
        <w:t>conditions. In addition, the Potential Environmental Impact (PEI) of the process is calculated. This index represents the overall environmental burden associated with the process and quantifies the potential impact generated or emitted per unit of product or time. The following equation shows the formulation used to calculate this index.</w:t>
      </w:r>
    </w:p>
    <w:p w14:paraId="2B64E7EF" w14:textId="77777777" w:rsidR="004D1592" w:rsidRDefault="004D1592" w:rsidP="00F15CDF">
      <w:pPr>
        <w:pStyle w:val="CETBodytext"/>
      </w:pPr>
    </w:p>
    <w:p w14:paraId="5D42C119" w14:textId="4FB34D24" w:rsidR="00B34CC5" w:rsidRPr="00072FFF" w:rsidRDefault="00000000" w:rsidP="005431DB">
      <w:pPr>
        <w:pStyle w:val="CETEquation"/>
      </w:pPr>
      <m:oMath>
        <m:sSubSup>
          <m:sSubSupPr>
            <m:ctrlPr>
              <w:rPr>
                <w:rFonts w:ascii="Cambria Math" w:hAnsi="Cambria Math"/>
              </w:rPr>
            </m:ctrlPr>
          </m:sSubSupPr>
          <m:e>
            <m:r>
              <m:rPr>
                <m:sty m:val="p"/>
              </m:rPr>
              <w:rPr>
                <w:rFonts w:ascii="Cambria Math" w:eastAsia="DengXian" w:hAnsi="Cambria Math"/>
              </w:rPr>
              <m:t>i</m:t>
            </m:r>
          </m:e>
          <m:sub>
            <m:r>
              <m:rPr>
                <m:sty m:val="p"/>
              </m:rPr>
              <w:rPr>
                <w:rFonts w:ascii="Cambria Math" w:eastAsia="DengXian" w:hAnsi="Cambria Math"/>
              </w:rPr>
              <m:t>out</m:t>
            </m:r>
          </m:sub>
          <m:sup>
            <m:r>
              <m:rPr>
                <m:sty m:val="p"/>
              </m:rPr>
              <w:rPr>
                <w:rFonts w:ascii="Cambria Math" w:eastAsia="DengXian" w:hAnsi="Cambria Math"/>
              </w:rPr>
              <m:t>(t)</m:t>
            </m:r>
          </m:sup>
        </m:sSubSup>
        <m:r>
          <m:rPr>
            <m:sty m:val="p"/>
          </m:rPr>
          <w:rPr>
            <w:rFonts w:ascii="Cambria Math" w:hAnsi="Cambria Math"/>
          </w:rPr>
          <m:t>=</m:t>
        </m:r>
        <m:sSubSup>
          <m:sSubSupPr>
            <m:ctrlPr>
              <w:rPr>
                <w:rFonts w:ascii="Cambria Math" w:hAnsi="Cambria Math"/>
              </w:rPr>
            </m:ctrlPr>
          </m:sSubSupPr>
          <m:e>
            <m:r>
              <m:rPr>
                <m:sty m:val="p"/>
              </m:rPr>
              <w:rPr>
                <w:rFonts w:ascii="Cambria Math" w:eastAsia="DengXian" w:hAnsi="Cambria Math"/>
              </w:rPr>
              <m:t>i</m:t>
            </m:r>
          </m:e>
          <m:sub>
            <m:r>
              <m:rPr>
                <m:sty m:val="p"/>
              </m:rPr>
              <w:rPr>
                <w:rFonts w:ascii="Cambria Math" w:eastAsia="DengXian" w:hAnsi="Cambria Math"/>
              </w:rPr>
              <m:t>out</m:t>
            </m:r>
          </m:sub>
          <m:sup>
            <m:r>
              <m:rPr>
                <m:sty m:val="p"/>
              </m:rPr>
              <w:rPr>
                <w:rFonts w:ascii="Cambria Math" w:eastAsia="DengXian" w:hAnsi="Cambria Math"/>
              </w:rPr>
              <m:t>(cp)</m:t>
            </m:r>
          </m:sup>
        </m:sSubSup>
        <m:r>
          <m:rPr>
            <m:sty m:val="p"/>
          </m:rPr>
          <w:rPr>
            <w:rFonts w:ascii="Cambria Math" w:hAnsi="Cambria Math"/>
          </w:rPr>
          <m:t>+</m:t>
        </m:r>
        <m:sSubSup>
          <m:sSubSupPr>
            <m:ctrlPr>
              <w:rPr>
                <w:rFonts w:ascii="Cambria Math" w:hAnsi="Cambria Math"/>
              </w:rPr>
            </m:ctrlPr>
          </m:sSubSupPr>
          <m:e>
            <m:r>
              <m:rPr>
                <m:sty m:val="p"/>
              </m:rPr>
              <w:rPr>
                <w:rFonts w:ascii="Cambria Math" w:eastAsia="DengXian" w:hAnsi="Cambria Math"/>
              </w:rPr>
              <m:t>i</m:t>
            </m:r>
          </m:e>
          <m:sub>
            <m:r>
              <m:rPr>
                <m:sty m:val="p"/>
              </m:rPr>
              <w:rPr>
                <w:rFonts w:ascii="Cambria Math" w:eastAsia="DengXian" w:hAnsi="Cambria Math"/>
              </w:rPr>
              <m:t>out</m:t>
            </m:r>
          </m:sub>
          <m:sup>
            <m:r>
              <m:rPr>
                <m:sty m:val="p"/>
              </m:rPr>
              <w:rPr>
                <w:rFonts w:ascii="Cambria Math" w:eastAsia="DengXian" w:hAnsi="Cambria Math"/>
              </w:rPr>
              <m:t>(ep)</m:t>
            </m:r>
          </m:sup>
        </m:sSubSup>
        <m:r>
          <m:rPr>
            <m:sty m:val="p"/>
          </m:rPr>
          <w:rPr>
            <w:rFonts w:ascii="Cambria Math" w:hAnsi="Cambria Math"/>
          </w:rPr>
          <m:t>+</m:t>
        </m:r>
        <m:sSubSup>
          <m:sSubSupPr>
            <m:ctrlPr>
              <w:rPr>
                <w:rFonts w:ascii="Cambria Math" w:hAnsi="Cambria Math"/>
              </w:rPr>
            </m:ctrlPr>
          </m:sSubSupPr>
          <m:e>
            <m:r>
              <m:rPr>
                <m:sty m:val="p"/>
              </m:rPr>
              <w:rPr>
                <w:rFonts w:ascii="Cambria Math" w:eastAsia="DengXian" w:hAnsi="Cambria Math"/>
              </w:rPr>
              <m:t>i</m:t>
            </m:r>
          </m:e>
          <m:sub>
            <m:r>
              <m:rPr>
                <m:sty m:val="p"/>
              </m:rPr>
              <w:rPr>
                <w:rFonts w:ascii="Cambria Math" w:eastAsia="DengXian" w:hAnsi="Cambria Math"/>
              </w:rPr>
              <m:t>we</m:t>
            </m:r>
          </m:sub>
          <m:sup>
            <m:r>
              <m:rPr>
                <m:sty m:val="p"/>
              </m:rPr>
              <w:rPr>
                <w:rFonts w:ascii="Cambria Math" w:eastAsia="DengXian" w:hAnsi="Cambria Math"/>
              </w:rPr>
              <m:t>(cp)</m:t>
            </m:r>
          </m:sup>
        </m:sSubSup>
        <m:r>
          <m:rPr>
            <m:sty m:val="p"/>
          </m:rPr>
          <w:rPr>
            <w:rFonts w:ascii="Cambria Math" w:hAnsi="Cambria Math"/>
          </w:rPr>
          <m:t>+</m:t>
        </m:r>
        <m:sSubSup>
          <m:sSubSupPr>
            <m:ctrlPr>
              <w:rPr>
                <w:rFonts w:ascii="Cambria Math" w:hAnsi="Cambria Math"/>
              </w:rPr>
            </m:ctrlPr>
          </m:sSubSupPr>
          <m:e>
            <m:r>
              <m:rPr>
                <m:sty m:val="p"/>
              </m:rPr>
              <w:rPr>
                <w:rFonts w:ascii="Cambria Math" w:eastAsia="DengXian" w:hAnsi="Cambria Math"/>
              </w:rPr>
              <m:t>i</m:t>
            </m:r>
          </m:e>
          <m:sub>
            <m:r>
              <m:rPr>
                <m:sty m:val="p"/>
              </m:rPr>
              <w:rPr>
                <w:rFonts w:ascii="Cambria Math" w:eastAsia="DengXian" w:hAnsi="Cambria Math"/>
              </w:rPr>
              <m:t>we</m:t>
            </m:r>
          </m:sub>
          <m:sup>
            <m:r>
              <m:rPr>
                <m:sty m:val="p"/>
              </m:rPr>
              <w:rPr>
                <w:rFonts w:ascii="Cambria Math" w:eastAsia="DengXian" w:hAnsi="Cambria Math"/>
              </w:rPr>
              <m:t>(ep)</m:t>
            </m:r>
          </m:sup>
        </m:sSubSup>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j</m:t>
            </m:r>
          </m:sub>
          <m:sup>
            <m:r>
              <m:rPr>
                <m:sty m:val="p"/>
              </m:rPr>
              <w:rPr>
                <w:rFonts w:ascii="Cambria Math" w:hAnsi="Cambria Math"/>
              </w:rPr>
              <m:t>cp</m:t>
            </m:r>
          </m:sup>
          <m:e>
            <m:sSup>
              <m:sSupPr>
                <m:ctrlPr>
                  <w:rPr>
                    <w:rFonts w:ascii="Cambria Math" w:hAnsi="Cambria Math"/>
                  </w:rPr>
                </m:ctrlPr>
              </m:sSupPr>
              <m:e>
                <m:sSub>
                  <m:sSubPr>
                    <m:ctrlPr>
                      <w:rPr>
                        <w:rFonts w:ascii="Cambria Math" w:hAnsi="Cambria Math"/>
                      </w:rPr>
                    </m:ctrlPr>
                  </m:sSubPr>
                  <m:e>
                    <m:r>
                      <m:rPr>
                        <m:sty m:val="p"/>
                      </m:rPr>
                      <w:rPr>
                        <w:rFonts w:ascii="Cambria Math" w:hAnsi="Cambria Math"/>
                      </w:rPr>
                      <m:t>M</m:t>
                    </m:r>
                  </m:e>
                  <m:sub>
                    <m:r>
                      <m:rPr>
                        <m:sty m:val="p"/>
                      </m:rPr>
                      <w:rPr>
                        <w:rFonts w:ascii="Cambria Math" w:hAnsi="Cambria Math"/>
                      </w:rPr>
                      <m:t>j</m:t>
                    </m:r>
                  </m:sub>
                </m:sSub>
              </m:e>
              <m:sup>
                <m:r>
                  <m:rPr>
                    <m:sty m:val="p"/>
                  </m:rPr>
                  <w:rPr>
                    <w:rFonts w:ascii="Cambria Math" w:hAnsi="Cambria Math"/>
                  </w:rPr>
                  <m:t>(out)</m:t>
                </m:r>
              </m:sup>
            </m:sSup>
          </m:e>
        </m:nary>
        <m:nary>
          <m:naryPr>
            <m:chr m:val="∑"/>
            <m:limLoc m:val="undOvr"/>
            <m:ctrlPr>
              <w:rPr>
                <w:rFonts w:ascii="Cambria Math" w:hAnsi="Cambria Math"/>
              </w:rPr>
            </m:ctrlPr>
          </m:naryPr>
          <m:sub>
            <m:r>
              <m:rPr>
                <m:sty m:val="p"/>
              </m:rPr>
              <w:rPr>
                <w:rFonts w:ascii="Cambria Math" w:hAnsi="Cambria Math"/>
              </w:rPr>
              <m:t>k</m:t>
            </m:r>
          </m:sub>
          <m:sup>
            <m:r>
              <m:rPr>
                <m:sty m:val="p"/>
              </m:rPr>
              <w:rPr>
                <w:rFonts w:ascii="Cambria Math" w:hAnsi="Cambria Math"/>
              </w:rPr>
              <m:t>cp</m:t>
            </m:r>
          </m:sup>
          <m:e>
            <m:sSub>
              <m:sSubPr>
                <m:ctrlPr>
                  <w:rPr>
                    <w:rFonts w:ascii="Cambria Math" w:hAnsi="Cambria Math"/>
                  </w:rPr>
                </m:ctrlPr>
              </m:sSubPr>
              <m:e>
                <m:r>
                  <m:rPr>
                    <m:sty m:val="p"/>
                  </m:rPr>
                  <w:rPr>
                    <w:rFonts w:ascii="Cambria Math" w:hAnsi="Cambria Math"/>
                  </w:rPr>
                  <m:t>X</m:t>
                </m:r>
              </m:e>
              <m:sub>
                <m:r>
                  <m:rPr>
                    <m:sty m:val="p"/>
                  </m:rPr>
                  <w:rPr>
                    <w:rFonts w:ascii="Cambria Math" w:hAnsi="Cambria Math"/>
                  </w:rPr>
                  <m:t>kj</m:t>
                </m:r>
              </m:sub>
            </m:sSub>
          </m:e>
        </m:nary>
        <m:sSub>
          <m:sSubPr>
            <m:ctrlPr>
              <w:rPr>
                <w:rFonts w:ascii="Cambria Math" w:hAnsi="Cambria Math"/>
              </w:rPr>
            </m:ctrlPr>
          </m:sSubPr>
          <m:e>
            <m:r>
              <m:rPr>
                <m:sty m:val="p"/>
              </m:rPr>
              <w:rPr>
                <w:rFonts w:ascii="Cambria Math" w:hAnsi="Cambria Math"/>
              </w:rPr>
              <m:t>ψ</m:t>
            </m:r>
          </m:e>
          <m:sub>
            <m:r>
              <m:rPr>
                <m:sty m:val="p"/>
              </m:rPr>
              <w:rPr>
                <w:rFonts w:ascii="Cambria Math" w:hAnsi="Cambria Math"/>
              </w:rPr>
              <m:t>k</m:t>
            </m:r>
          </m:sub>
        </m:sSub>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j</m:t>
            </m:r>
          </m:sub>
          <m:sup>
            <m:r>
              <m:rPr>
                <m:sty m:val="p"/>
              </m:rPr>
              <w:rPr>
                <w:rFonts w:ascii="Cambria Math" w:hAnsi="Cambria Math"/>
              </w:rPr>
              <m:t>ep-g</m:t>
            </m:r>
          </m:sup>
          <m:e>
            <m:sSup>
              <m:sSupPr>
                <m:ctrlPr>
                  <w:rPr>
                    <w:rFonts w:ascii="Cambria Math" w:hAnsi="Cambria Math"/>
                  </w:rPr>
                </m:ctrlPr>
              </m:sSupPr>
              <m:e>
                <m:sSub>
                  <m:sSubPr>
                    <m:ctrlPr>
                      <w:rPr>
                        <w:rFonts w:ascii="Cambria Math" w:hAnsi="Cambria Math"/>
                      </w:rPr>
                    </m:ctrlPr>
                  </m:sSubPr>
                  <m:e>
                    <m:r>
                      <m:rPr>
                        <m:sty m:val="p"/>
                      </m:rPr>
                      <w:rPr>
                        <w:rFonts w:ascii="Cambria Math" w:hAnsi="Cambria Math"/>
                      </w:rPr>
                      <m:t>M</m:t>
                    </m:r>
                  </m:e>
                  <m:sub>
                    <m:r>
                      <m:rPr>
                        <m:sty m:val="p"/>
                      </m:rPr>
                      <w:rPr>
                        <w:rFonts w:ascii="Cambria Math" w:hAnsi="Cambria Math"/>
                      </w:rPr>
                      <m:t>j</m:t>
                    </m:r>
                  </m:sub>
                </m:sSub>
              </m:e>
              <m:sup>
                <m:r>
                  <m:rPr>
                    <m:sty m:val="p"/>
                  </m:rPr>
                  <w:rPr>
                    <w:rFonts w:ascii="Cambria Math" w:hAnsi="Cambria Math"/>
                  </w:rPr>
                  <m:t>(out)</m:t>
                </m:r>
              </m:sup>
            </m:sSup>
          </m:e>
        </m:nary>
        <m:nary>
          <m:naryPr>
            <m:chr m:val="∑"/>
            <m:limLoc m:val="undOvr"/>
            <m:ctrlPr>
              <w:rPr>
                <w:rFonts w:ascii="Cambria Math" w:hAnsi="Cambria Math"/>
              </w:rPr>
            </m:ctrlPr>
          </m:naryPr>
          <m:sub>
            <m:r>
              <m:rPr>
                <m:sty m:val="p"/>
              </m:rPr>
              <w:rPr>
                <w:rFonts w:ascii="Cambria Math" w:hAnsi="Cambria Math"/>
              </w:rPr>
              <m:t>k</m:t>
            </m:r>
          </m:sub>
          <m:sup>
            <m:r>
              <m:rPr>
                <m:sty m:val="p"/>
              </m:rPr>
              <w:rPr>
                <w:rFonts w:ascii="Cambria Math" w:hAnsi="Cambria Math"/>
              </w:rPr>
              <m:t>ep-g</m:t>
            </m:r>
          </m:sup>
          <m:e>
            <m:sSub>
              <m:sSubPr>
                <m:ctrlPr>
                  <w:rPr>
                    <w:rFonts w:ascii="Cambria Math" w:hAnsi="Cambria Math"/>
                  </w:rPr>
                </m:ctrlPr>
              </m:sSubPr>
              <m:e>
                <m:r>
                  <m:rPr>
                    <m:sty m:val="p"/>
                  </m:rPr>
                  <w:rPr>
                    <w:rFonts w:ascii="Cambria Math" w:hAnsi="Cambria Math"/>
                  </w:rPr>
                  <m:t>X</m:t>
                </m:r>
              </m:e>
              <m:sub>
                <m:r>
                  <m:rPr>
                    <m:sty m:val="p"/>
                  </m:rPr>
                  <w:rPr>
                    <w:rFonts w:ascii="Cambria Math" w:hAnsi="Cambria Math"/>
                  </w:rPr>
                  <m:t>kj</m:t>
                </m:r>
              </m:sub>
            </m:sSub>
          </m:e>
        </m:nary>
        <m:sSub>
          <m:sSubPr>
            <m:ctrlPr>
              <w:rPr>
                <w:rFonts w:ascii="Cambria Math" w:hAnsi="Cambria Math"/>
              </w:rPr>
            </m:ctrlPr>
          </m:sSubPr>
          <m:e>
            <m:r>
              <m:rPr>
                <m:sty m:val="p"/>
              </m:rPr>
              <w:rPr>
                <w:rFonts w:ascii="Cambria Math" w:hAnsi="Cambria Math"/>
              </w:rPr>
              <m:t>ψ</m:t>
            </m:r>
          </m:e>
          <m:sub>
            <m:r>
              <m:rPr>
                <m:sty m:val="p"/>
              </m:rPr>
              <w:rPr>
                <w:rFonts w:ascii="Cambria Math" w:hAnsi="Cambria Math"/>
              </w:rPr>
              <m:t>k</m:t>
            </m:r>
          </m:sub>
        </m:sSub>
      </m:oMath>
      <w:r w:rsidR="004D1592">
        <w:t xml:space="preserve">                </w:t>
      </w:r>
      <w:r w:rsidR="005431DB">
        <w:tab/>
      </w:r>
      <w:r w:rsidR="005431DB">
        <w:tab/>
      </w:r>
      <w:r w:rsidR="004D1592" w:rsidRPr="004D1592">
        <w:t>(1)</w:t>
      </w:r>
      <w:r w:rsidR="004D1592">
        <w:t xml:space="preserve">                           </w:t>
      </w:r>
    </w:p>
    <w:p w14:paraId="3024DEFD" w14:textId="77777777" w:rsidR="004D1592" w:rsidRDefault="004D1592" w:rsidP="00F15CDF">
      <w:pPr>
        <w:pStyle w:val="CETBodytext"/>
      </w:pPr>
    </w:p>
    <w:p w14:paraId="4D06AD33" w14:textId="2401A312" w:rsidR="00072FFF" w:rsidRPr="009E438E" w:rsidRDefault="008909E2" w:rsidP="00F15CDF">
      <w:pPr>
        <w:pStyle w:val="CETBodytext"/>
        <w:rPr>
          <w:szCs w:val="18"/>
        </w:rPr>
      </w:pPr>
      <w:r>
        <w:t xml:space="preserve">In this context, </w:t>
      </w:r>
      <m:oMath>
        <m:sSub>
          <m:sSubPr>
            <m:ctrlPr>
              <w:rPr>
                <w:rFonts w:ascii="Cambria Math" w:hAnsi="Cambria Math"/>
              </w:rPr>
            </m:ctrlPr>
          </m:sSubPr>
          <m:e>
            <m:r>
              <w:rPr>
                <w:rFonts w:ascii="Cambria Math" w:hAnsi="Cambria Math"/>
              </w:rPr>
              <m:t>I</m:t>
            </m:r>
          </m:e>
          <m:sub>
            <m:r>
              <w:rPr>
                <w:rFonts w:ascii="Cambria Math" w:hAnsi="Cambria Math"/>
              </w:rPr>
              <m:t>out</m:t>
            </m:r>
          </m:sub>
        </m:sSub>
      </m:oMath>
      <w:r>
        <w:t xml:space="preserve"> represents the PEI output rates for both the chemical and power generation processes, while </w:t>
      </w:r>
      <m:oMath>
        <m:sSub>
          <m:sSubPr>
            <m:ctrlPr>
              <w:rPr>
                <w:rFonts w:ascii="Cambria Math" w:hAnsi="Cambria Math"/>
              </w:rPr>
            </m:ctrlPr>
          </m:sSubPr>
          <m:e>
            <m:r>
              <w:rPr>
                <w:rFonts w:ascii="Cambria Math" w:hAnsi="Cambria Math"/>
              </w:rPr>
              <m:t>I</m:t>
            </m:r>
          </m:e>
          <m:sub>
            <m:r>
              <w:rPr>
                <w:rFonts w:ascii="Cambria Math" w:hAnsi="Cambria Math"/>
              </w:rPr>
              <m:t>we</m:t>
            </m:r>
          </m:sub>
        </m:sSub>
        <m:r>
          <w:rPr>
            <w:rFonts w:ascii="Cambria Math" w:hAnsi="Cambria Math"/>
          </w:rPr>
          <m:t xml:space="preserve"> </m:t>
        </m:r>
      </m:oMath>
      <w:r>
        <w:t xml:space="preserve">accounts for the PEI related to residual energy. The term </w:t>
      </w:r>
      <m:oMath>
        <m:sSub>
          <m:sSubPr>
            <m:ctrlPr>
              <w:rPr>
                <w:rFonts w:ascii="Cambria Math" w:hAnsi="Cambria Math"/>
              </w:rPr>
            </m:ctrlPr>
          </m:sSubPr>
          <m:e>
            <m:r>
              <w:rPr>
                <w:rFonts w:ascii="Cambria Math" w:hAnsi="Cambria Math"/>
              </w:rPr>
              <m:t>M</m:t>
            </m:r>
          </m:e>
          <m:sub>
            <m:r>
              <w:rPr>
                <w:rFonts w:ascii="Cambria Math" w:hAnsi="Cambria Math"/>
              </w:rPr>
              <m:t>j</m:t>
            </m:r>
          </m:sub>
        </m:sSub>
        <m:r>
          <w:rPr>
            <w:rFonts w:ascii="Cambria Math" w:hAnsi="Cambria Math"/>
          </w:rPr>
          <m:t xml:space="preserve"> </m:t>
        </m:r>
      </m:oMath>
      <w:r>
        <w:t xml:space="preserve">denotes the mass flow rate of stream </w:t>
      </w:r>
      <m:oMath>
        <m:r>
          <w:rPr>
            <w:rFonts w:ascii="Cambria Math" w:hAnsi="Cambria Math"/>
          </w:rPr>
          <m:t>j</m:t>
        </m:r>
      </m:oMath>
      <w:r>
        <w:t xml:space="preserve">, </w:t>
      </w:r>
      <m:oMath>
        <m:sSub>
          <m:sSubPr>
            <m:ctrlPr>
              <w:rPr>
                <w:rFonts w:ascii="Cambria Math" w:hAnsi="Cambria Math"/>
              </w:rPr>
            </m:ctrlPr>
          </m:sSubPr>
          <m:e>
            <m:r>
              <w:rPr>
                <w:rFonts w:ascii="Cambria Math" w:hAnsi="Cambria Math"/>
              </w:rPr>
              <m:t>X</m:t>
            </m:r>
          </m:e>
          <m:sub>
            <m:r>
              <w:rPr>
                <w:rFonts w:ascii="Cambria Math" w:hAnsi="Cambria Math"/>
              </w:rPr>
              <m:t>a</m:t>
            </m:r>
          </m:sub>
        </m:sSub>
        <m:r>
          <w:rPr>
            <w:rFonts w:ascii="Cambria Math" w:hAnsi="Cambria Math"/>
          </w:rPr>
          <m:t xml:space="preserve"> </m:t>
        </m:r>
      </m:oMath>
      <w:r>
        <w:t xml:space="preserve">corresponds to the mass fraction of component </w:t>
      </w:r>
      <m:oMath>
        <m:r>
          <w:rPr>
            <w:rFonts w:ascii="Cambria Math" w:hAnsi="Cambria Math"/>
          </w:rPr>
          <m:t>a</m:t>
        </m:r>
      </m:oMath>
      <w:r>
        <w:t xml:space="preserve">in that stream, and </w:t>
      </w:r>
      <m:oMath>
        <m:sSub>
          <m:sSubPr>
            <m:ctrlPr>
              <w:rPr>
                <w:rFonts w:ascii="Cambria Math" w:hAnsi="Cambria Math"/>
              </w:rPr>
            </m:ctrlPr>
          </m:sSubPr>
          <m:e>
            <m:r>
              <m:rPr>
                <m:sty m:val="p"/>
              </m:rPr>
              <w:rPr>
                <w:rFonts w:ascii="Cambria Math" w:hAnsi="Cambria Math"/>
              </w:rPr>
              <m:t>Ψ</m:t>
            </m:r>
          </m:e>
          <m:sub>
            <m:r>
              <w:rPr>
                <w:rFonts w:ascii="Cambria Math" w:hAnsi="Cambria Math"/>
              </w:rPr>
              <m:t xml:space="preserve">k </m:t>
            </m:r>
          </m:sub>
        </m:sSub>
      </m:oMath>
      <w:r>
        <w:t xml:space="preserve">represents the overall potential environmental impact of substance </w:t>
      </w:r>
      <m:oMath>
        <m:r>
          <w:rPr>
            <w:rFonts w:ascii="Cambria Math" w:hAnsi="Cambria Math"/>
          </w:rPr>
          <m:t>k</m:t>
        </m:r>
      </m:oMath>
      <w:r>
        <w:t xml:space="preserve">. </w:t>
      </w:r>
      <w:r w:rsidR="00072FFF">
        <w:t>A target value of 50% is established, indicating that the objective is to adequately reduce the process PEI by 50%.</w:t>
      </w:r>
    </w:p>
    <w:p w14:paraId="632CE189" w14:textId="2E6E81C3" w:rsidR="00FF186F" w:rsidRDefault="00FF186F" w:rsidP="00FF186F">
      <w:pPr>
        <w:pStyle w:val="CETheadingx"/>
      </w:pPr>
      <w:r>
        <w:t>Economic Analysis</w:t>
      </w:r>
      <w:r w:rsidR="00DD1F3E" w:rsidRPr="00DD1F3E">
        <w:t xml:space="preserve"> </w:t>
      </w:r>
      <w:r w:rsidR="00DD1F3E">
        <w:t xml:space="preserve">of a Biorefinery Using Avocado </w:t>
      </w:r>
      <w:r w:rsidR="005431DB">
        <w:t>Hard Waste</w:t>
      </w:r>
    </w:p>
    <w:p w14:paraId="44BDBD66" w14:textId="404B692A" w:rsidR="00F15CDF" w:rsidRDefault="006A5A08" w:rsidP="00760300">
      <w:pPr>
        <w:pStyle w:val="CETBodytext"/>
        <w:rPr>
          <w:rFonts w:cs="Arial"/>
          <w:color w:val="000000"/>
        </w:rPr>
      </w:pPr>
      <w:r w:rsidRPr="006A5A08">
        <w:t xml:space="preserve">The economic analysis is used to assess the economic feasibility of the process. This </w:t>
      </w:r>
      <w:r w:rsidR="005C75EC" w:rsidRPr="005C75EC">
        <w:t xml:space="preserve">Techno-economic evaluation </w:t>
      </w:r>
      <w:r w:rsidRPr="006A5A08">
        <w:t>is a systematic approach for estimating capital and operating costs by considering raw materials, processing stages, products, and operational requirements</w:t>
      </w:r>
      <w:r>
        <w:t xml:space="preserve"> </w:t>
      </w:r>
      <w:sdt>
        <w:sdtPr>
          <w:rPr>
            <w:rFonts w:cs="Arial"/>
            <w:color w:val="000000"/>
          </w:rPr>
          <w:tag w:val="MENDELEY_CITATION_v3_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"/>
          <w:id w:val="-96872167"/>
          <w:placeholder>
            <w:docPart w:val="DefaultPlaceholder_-1854013440"/>
          </w:placeholder>
        </w:sdtPr>
        <w:sdtContent>
          <w:r w:rsidR="00037D8C" w:rsidRPr="00037D8C">
            <w:rPr>
              <w:rFonts w:cs="Arial"/>
              <w:color w:val="000000"/>
            </w:rPr>
            <w:t>(García-Maza et al., 2025)</w:t>
          </w:r>
        </w:sdtContent>
      </w:sdt>
      <w:r w:rsidRPr="006A5A08">
        <w:t>. Through this methodology, the return on investment (ROI) was obtained. This indicator allows the identification of the annual profit of the process and provides a quantitative measure of its economic performance</w:t>
      </w:r>
      <w:r>
        <w:t xml:space="preserve"> </w:t>
      </w:r>
      <w:sdt>
        <w:sdtPr>
          <w:rPr>
            <w:rFonts w:cs="Arial"/>
            <w:color w:val="000000"/>
          </w:rPr>
          <w:tag w:val="MENDELEY_CITATION_v3_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"/>
          <w:id w:val="107401510"/>
          <w:placeholder>
            <w:docPart w:val="DefaultPlaceholder_-1854013440"/>
          </w:placeholder>
        </w:sdtPr>
        <w:sdtContent>
          <w:r w:rsidR="00037D8C" w:rsidRPr="00037D8C">
            <w:rPr>
              <w:rFonts w:cs="Arial"/>
              <w:color w:val="000000"/>
            </w:rPr>
            <w:t>(Darío González-Delgado et al., 2021)</w:t>
          </w:r>
        </w:sdtContent>
      </w:sdt>
      <w:r>
        <w:rPr>
          <w:rFonts w:cs="Arial"/>
          <w:color w:val="000000"/>
        </w:rPr>
        <w:t xml:space="preserve">. </w:t>
      </w:r>
      <w:r w:rsidR="003E01F7" w:rsidRPr="003E01F7">
        <w:rPr>
          <w:rFonts w:cs="Arial"/>
          <w:color w:val="000000"/>
        </w:rPr>
        <w:t xml:space="preserve">The total capital investment (TCI) required for the process was considered. Therefore, after determining the TCI (USD), </w:t>
      </w:r>
      <w:r w:rsidR="003E01F7">
        <w:rPr>
          <w:rFonts w:cs="Arial"/>
          <w:color w:val="000000"/>
        </w:rPr>
        <w:t xml:space="preserve">ROI </w:t>
      </w:r>
      <w:r w:rsidR="003E01F7" w:rsidRPr="003E01F7">
        <w:rPr>
          <w:rFonts w:cs="Arial"/>
          <w:color w:val="000000"/>
        </w:rPr>
        <w:t>was calculated using Equation (</w:t>
      </w:r>
      <w:r w:rsidR="004D1592">
        <w:rPr>
          <w:rFonts w:cs="Arial"/>
          <w:color w:val="000000"/>
        </w:rPr>
        <w:t>2</w:t>
      </w:r>
      <w:r w:rsidR="003E01F7" w:rsidRPr="003E01F7">
        <w:rPr>
          <w:rFonts w:cs="Arial"/>
          <w:color w:val="000000"/>
        </w:rPr>
        <w:t>).</w:t>
      </w:r>
    </w:p>
    <w:p w14:paraId="145EFFCF" w14:textId="77777777" w:rsidR="004D1592" w:rsidRDefault="004D1592" w:rsidP="00154E90">
      <w:pPr>
        <w:pStyle w:val="CETBodytext"/>
        <w:ind w:left="2832"/>
        <w:rPr>
          <w:rFonts w:cs="Arial"/>
          <w:color w:val="000000"/>
        </w:rPr>
      </w:pPr>
    </w:p>
    <w:p w14:paraId="0CA84914" w14:textId="1B9520B9" w:rsidR="00760300" w:rsidRDefault="00154E90" w:rsidP="005431DB">
      <w:pPr>
        <w:pStyle w:val="CETEquation"/>
        <w:rPr>
          <w:color w:val="000000"/>
        </w:rPr>
      </w:pPr>
      <w:r>
        <w:t xml:space="preserve">  </w:t>
      </w:r>
      <m:oMath>
        <m:r>
          <m:rPr>
            <m:sty m:val="p"/>
          </m:rPr>
          <w:rPr>
            <w:rFonts w:ascii="Cambria Math" w:hAnsi="Cambria Math"/>
          </w:rPr>
          <m:t>ROI=</m:t>
        </m:r>
        <m:f>
          <m:fPr>
            <m:ctrlPr>
              <w:rPr>
                <w:rFonts w:ascii="Cambria Math" w:hAnsi="Cambria Math"/>
              </w:rPr>
            </m:ctrlPr>
          </m:fPr>
          <m:num>
            <m:r>
              <m:rPr>
                <m:sty m:val="p"/>
              </m:rPr>
              <w:rPr>
                <w:rFonts w:ascii="Cambria Math" w:hAnsi="Cambria Math"/>
              </w:rPr>
              <m:t>Annual Profit after taxes</m:t>
            </m:r>
          </m:num>
          <m:den>
            <m:r>
              <m:rPr>
                <m:sty m:val="p"/>
              </m:rPr>
              <w:rPr>
                <w:rFonts w:ascii="Cambria Math" w:hAnsi="Cambria Math"/>
              </w:rPr>
              <m:t>TCI</m:t>
            </m:r>
          </m:den>
        </m:f>
        <m:r>
          <m:rPr>
            <m:sty m:val="p"/>
          </m:rPr>
          <w:rPr>
            <w:rFonts w:ascii="Cambria Math" w:hAnsi="Cambria Math"/>
          </w:rPr>
          <m:t xml:space="preserve"> x 100 %</m:t>
        </m:r>
      </m:oMath>
      <w:r w:rsidR="004D1592">
        <w:t xml:space="preserve">                                               </w:t>
      </w:r>
      <w:r w:rsidR="005431DB">
        <w:tab/>
      </w:r>
      <w:r w:rsidR="005431DB">
        <w:tab/>
      </w:r>
      <w:r w:rsidR="005431DB">
        <w:tab/>
      </w:r>
      <w:r w:rsidR="004D1592">
        <w:t xml:space="preserve"> </w:t>
      </w:r>
      <w:r w:rsidR="004D1592">
        <w:rPr>
          <w:iCs/>
          <w:szCs w:val="18"/>
        </w:rPr>
        <w:t>(2)</w:t>
      </w:r>
      <w:r w:rsidR="004D1592">
        <w:t xml:space="preserve">                               </w:t>
      </w:r>
    </w:p>
    <w:p w14:paraId="5EE9A3E1" w14:textId="01131846" w:rsidR="00760300" w:rsidRDefault="00760300" w:rsidP="00760300">
      <w:pPr>
        <w:pStyle w:val="CETheadingx"/>
      </w:pPr>
      <w:r>
        <w:t>Exergy Analysis</w:t>
      </w:r>
      <w:r w:rsidR="00DD1F3E">
        <w:t xml:space="preserve"> of a Biorefinery Using Avocado </w:t>
      </w:r>
      <w:r w:rsidR="005431DB">
        <w:t>Hard Waste</w:t>
      </w:r>
    </w:p>
    <w:p w14:paraId="3A2876AB" w14:textId="696DA5E2" w:rsidR="00671E28" w:rsidRDefault="00671E28" w:rsidP="00671E28">
      <w:pPr>
        <w:pStyle w:val="CETBodytext"/>
        <w:rPr>
          <w:rFonts w:cs="Arial"/>
          <w:color w:val="000000"/>
        </w:rPr>
      </w:pPr>
      <w:r w:rsidRPr="00671E28">
        <w:t>An exergy analysis is essential to demonstrate how an energy-generating equipment or process affects exergy-based sustainability, with the aim of identifying opportunities to optimize and achieve a more effective use of energy</w:t>
      </w:r>
      <w:r>
        <w:t xml:space="preserve"> </w:t>
      </w:r>
      <w:sdt>
        <w:sdtPr>
          <w:rPr>
            <w:rFonts w:cs="Arial"/>
            <w:color w:val="000000"/>
          </w:rPr>
          <w:tag w:val="MENDELEY_CITATION_v3_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"/>
          <w:id w:val="1415982128"/>
          <w:placeholder>
            <w:docPart w:val="DefaultPlaceholder_-1854013440"/>
          </w:placeholder>
        </w:sdtPr>
        <w:sdtContent>
          <w:r w:rsidR="00037D8C" w:rsidRPr="00037D8C">
            <w:rPr>
              <w:rFonts w:cs="Arial"/>
              <w:color w:val="000000"/>
            </w:rPr>
            <w:t xml:space="preserve">(Aydın &amp; </w:t>
          </w:r>
          <w:proofErr w:type="spellStart"/>
          <w:r w:rsidR="00037D8C" w:rsidRPr="00037D8C">
            <w:rPr>
              <w:rFonts w:cs="Arial"/>
              <w:color w:val="000000"/>
            </w:rPr>
            <w:t>Kopaç</w:t>
          </w:r>
          <w:proofErr w:type="spellEnd"/>
          <w:r w:rsidR="00037D8C" w:rsidRPr="00037D8C">
            <w:rPr>
              <w:rFonts w:cs="Arial"/>
              <w:color w:val="000000"/>
            </w:rPr>
            <w:t>, 2025).</w:t>
          </w:r>
        </w:sdtContent>
      </w:sdt>
      <w:r w:rsidRPr="00671E28">
        <w:rPr>
          <w:rFonts w:cs="Arial"/>
          <w:color w:val="000000"/>
        </w:rPr>
        <w:t xml:space="preserve">On the other hand, the </w:t>
      </w:r>
      <w:proofErr w:type="spellStart"/>
      <w:r w:rsidRPr="00671E28">
        <w:rPr>
          <w:rFonts w:cs="Arial"/>
          <w:color w:val="000000"/>
        </w:rPr>
        <w:t>exergetic</w:t>
      </w:r>
      <w:proofErr w:type="spellEnd"/>
      <w:r w:rsidRPr="00671E28">
        <w:rPr>
          <w:rFonts w:cs="Arial"/>
          <w:color w:val="000000"/>
        </w:rPr>
        <w:t xml:space="preserve"> efficiency measures the performance of a process in terms of exergy flow</w:t>
      </w:r>
      <w:r w:rsidR="004573D9">
        <w:rPr>
          <w:rFonts w:cs="Arial"/>
          <w:color w:val="000000"/>
        </w:rPr>
        <w:t xml:space="preserve"> </w:t>
      </w:r>
      <w:sdt>
        <w:sdtPr>
          <w:rPr>
            <w:rFonts w:cs="Arial"/>
            <w:color w:val="000000"/>
          </w:rPr>
          <w:tag w:val="MENDELEY_CITATION_v3_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"/>
          <w:id w:val="-1361199233"/>
          <w:placeholder>
            <w:docPart w:val="DefaultPlaceholder_-1854013440"/>
          </w:placeholder>
        </w:sdtPr>
        <w:sdtContent>
          <w:r w:rsidR="00037D8C" w:rsidRPr="00037D8C">
            <w:rPr>
              <w:rFonts w:cs="Arial"/>
              <w:color w:val="000000"/>
            </w:rPr>
            <w:t>(Darío González-Delgado et al., 2021)</w:t>
          </w:r>
        </w:sdtContent>
      </w:sdt>
      <w:r w:rsidR="005D2292">
        <w:rPr>
          <w:rFonts w:cs="Arial"/>
          <w:color w:val="000000"/>
        </w:rPr>
        <w:t xml:space="preserve">. </w:t>
      </w:r>
      <w:r w:rsidR="005D2292" w:rsidRPr="005D2292">
        <w:rPr>
          <w:rFonts w:cs="Arial"/>
          <w:color w:val="000000"/>
        </w:rPr>
        <w:t xml:space="preserve">For the calculation of </w:t>
      </w:r>
      <w:proofErr w:type="spellStart"/>
      <w:r w:rsidR="004A13A6" w:rsidRPr="005D2292">
        <w:rPr>
          <w:rFonts w:cs="Arial"/>
          <w:color w:val="000000"/>
        </w:rPr>
        <w:t>exergetic</w:t>
      </w:r>
      <w:proofErr w:type="spellEnd"/>
      <w:r w:rsidR="005D2292" w:rsidRPr="005D2292">
        <w:rPr>
          <w:rFonts w:cs="Arial"/>
          <w:color w:val="000000"/>
        </w:rPr>
        <w:t xml:space="preserve"> efficiency, the following equation is used:</w:t>
      </w:r>
    </w:p>
    <w:p w14:paraId="75D68973" w14:textId="0DFA4353" w:rsidR="005D2292" w:rsidRPr="00E1497D" w:rsidRDefault="00000000" w:rsidP="005431DB">
      <w:pPr>
        <w:pStyle w:val="CETEquation"/>
      </w:pPr>
      <m:oMath>
        <m:sSub>
          <m:sSubPr>
            <m:ctrlPr>
              <w:rPr>
                <w:rFonts w:ascii="Cambria Math" w:hAnsi="Cambria Math"/>
              </w:rPr>
            </m:ctrlPr>
          </m:sSubPr>
          <m:e>
            <m:r>
              <m:rPr>
                <m:sty m:val="p"/>
              </m:rPr>
              <w:rPr>
                <w:rFonts w:ascii="Cambria Math" w:hAnsi="Cambria Math"/>
              </w:rPr>
              <m:t>η</m:t>
            </m:r>
          </m:e>
          <m:sub>
            <m:r>
              <m:rPr>
                <m:sty m:val="p"/>
              </m:rPr>
              <w:rPr>
                <w:rFonts w:ascii="Cambria Math" w:hAnsi="Cambria Math"/>
              </w:rPr>
              <m:t>Exergy</m:t>
            </m:r>
          </m:sub>
        </m:sSub>
        <m:r>
          <m:rPr>
            <m:sty m:val="p"/>
          </m:rPr>
          <w:rPr>
            <w:rFonts w:ascii="Cambria Math" w:hAnsi="Cambria Math"/>
          </w:rPr>
          <m:t>=1-</m:t>
        </m:r>
        <m:f>
          <m:fPr>
            <m:ctrlPr>
              <w:rPr>
                <w:rFonts w:ascii="Cambria Math" w:hAnsi="Cambria Math"/>
              </w:rPr>
            </m:ctrlPr>
          </m:fPr>
          <m:num>
            <m:sSub>
              <m:sSubPr>
                <m:ctrlPr>
                  <w:rPr>
                    <w:rFonts w:ascii="Cambria Math" w:hAnsi="Cambria Math"/>
                  </w:rPr>
                </m:ctrlPr>
              </m:sSubPr>
              <m:e>
                <m:acc>
                  <m:accPr>
                    <m:chr m:val="̇"/>
                    <m:ctrlPr>
                      <w:rPr>
                        <w:rFonts w:ascii="Cambria Math" w:hAnsi="Cambria Math"/>
                      </w:rPr>
                    </m:ctrlPr>
                  </m:accPr>
                  <m:e>
                    <m:r>
                      <m:rPr>
                        <m:sty m:val="p"/>
                      </m:rPr>
                      <w:rPr>
                        <w:rFonts w:ascii="Cambria Math" w:hAnsi="Cambria Math"/>
                      </w:rPr>
                      <m:t>Ex</m:t>
                    </m:r>
                  </m:e>
                </m:acc>
              </m:e>
              <m:sub>
                <m:r>
                  <m:rPr>
                    <m:sty m:val="p"/>
                  </m:rPr>
                  <w:rPr>
                    <w:rFonts w:ascii="Cambria Math" w:hAnsi="Cambria Math"/>
                  </w:rPr>
                  <m:t>loss</m:t>
                </m:r>
              </m:sub>
            </m:sSub>
          </m:num>
          <m:den>
            <m:sSub>
              <m:sSubPr>
                <m:ctrlPr>
                  <w:rPr>
                    <w:rFonts w:ascii="Cambria Math" w:hAnsi="Cambria Math"/>
                  </w:rPr>
                </m:ctrlPr>
              </m:sSubPr>
              <m:e>
                <m:acc>
                  <m:accPr>
                    <m:chr m:val="̇"/>
                    <m:ctrlPr>
                      <w:rPr>
                        <w:rFonts w:ascii="Cambria Math" w:hAnsi="Cambria Math"/>
                      </w:rPr>
                    </m:ctrlPr>
                  </m:accPr>
                  <m:e>
                    <m:r>
                      <m:rPr>
                        <m:sty m:val="p"/>
                      </m:rPr>
                      <w:rPr>
                        <w:rFonts w:ascii="Cambria Math" w:hAnsi="Cambria Math"/>
                      </w:rPr>
                      <m:t>Ex</m:t>
                    </m:r>
                  </m:e>
                </m:acc>
              </m:e>
              <m:sub>
                <m:r>
                  <m:rPr>
                    <m:sty m:val="p"/>
                  </m:rPr>
                  <w:rPr>
                    <w:rFonts w:ascii="Cambria Math" w:hAnsi="Cambria Math"/>
                  </w:rPr>
                  <m:t>in</m:t>
                </m:r>
              </m:sub>
            </m:sSub>
          </m:den>
        </m:f>
      </m:oMath>
      <w:r w:rsidR="004D1592">
        <w:t xml:space="preserve">                                                           </w:t>
      </w:r>
      <w:r w:rsidR="005431DB">
        <w:tab/>
      </w:r>
      <w:r w:rsidR="005431DB">
        <w:tab/>
      </w:r>
      <w:r w:rsidR="005431DB">
        <w:tab/>
        <w:t xml:space="preserve"> </w:t>
      </w:r>
      <w:r w:rsidR="004D1592">
        <w:rPr>
          <w:szCs w:val="18"/>
        </w:rPr>
        <w:t>(3)</w:t>
      </w:r>
    </w:p>
    <w:p w14:paraId="37B65A3D" w14:textId="1514C63F" w:rsidR="00E1497D" w:rsidRPr="00671E28" w:rsidRDefault="00711557" w:rsidP="00671E28">
      <w:pPr>
        <w:pStyle w:val="CETBodytext"/>
      </w:pPr>
      <w:r>
        <w:t>W</w:t>
      </w:r>
      <w:r w:rsidRPr="009B02FA">
        <w:t xml:space="preserve">here </w:t>
      </w:r>
      <m:oMath>
        <m:sSub>
          <m:sSubPr>
            <m:ctrlPr>
              <w:rPr>
                <w:rFonts w:ascii="Cambria Math" w:hAnsi="Cambria Math"/>
                <w:iCs/>
                <w:sz w:val="22"/>
                <w:lang w:val="es-CO"/>
              </w:rPr>
            </m:ctrlPr>
          </m:sSubPr>
          <m:e>
            <m:acc>
              <m:accPr>
                <m:chr m:val="̇"/>
                <m:ctrlPr>
                  <w:rPr>
                    <w:rFonts w:ascii="Cambria Math" w:hAnsi="Cambria Math"/>
                    <w:iCs/>
                    <w:sz w:val="22"/>
                    <w:lang w:val="es-CO"/>
                  </w:rPr>
                </m:ctrlPr>
              </m:accPr>
              <m:e>
                <m:r>
                  <m:rPr>
                    <m:sty m:val="p"/>
                  </m:rPr>
                  <w:rPr>
                    <w:rFonts w:ascii="Cambria Math" w:hAnsi="Cambria Math"/>
                  </w:rPr>
                  <m:t>Ex</m:t>
                </m:r>
              </m:e>
            </m:acc>
          </m:e>
          <m:sub>
            <m:r>
              <m:rPr>
                <m:sty m:val="p"/>
              </m:rPr>
              <w:rPr>
                <w:rFonts w:ascii="Cambria Math" w:hAnsi="Cambria Math"/>
              </w:rPr>
              <m:t>loss</m:t>
            </m:r>
          </m:sub>
        </m:sSub>
      </m:oMath>
      <w:r>
        <w:t xml:space="preserve"> </w:t>
      </w:r>
      <w:r w:rsidRPr="009B02FA">
        <w:t>is the total exergy flow lost, and</w:t>
      </w:r>
      <w:r>
        <w:t xml:space="preserve"> </w:t>
      </w:r>
      <m:oMath>
        <m:sSub>
          <m:sSubPr>
            <m:ctrlPr>
              <w:rPr>
                <w:rFonts w:ascii="Cambria Math" w:hAnsi="Cambria Math"/>
                <w:iCs/>
                <w:sz w:val="22"/>
                <w:lang w:val="es-CO"/>
              </w:rPr>
            </m:ctrlPr>
          </m:sSubPr>
          <m:e>
            <m:acc>
              <m:accPr>
                <m:chr m:val="̇"/>
                <m:ctrlPr>
                  <w:rPr>
                    <w:rFonts w:ascii="Cambria Math" w:hAnsi="Cambria Math"/>
                    <w:iCs/>
                    <w:sz w:val="22"/>
                    <w:lang w:val="es-CO"/>
                  </w:rPr>
                </m:ctrlPr>
              </m:accPr>
              <m:e>
                <m:r>
                  <m:rPr>
                    <m:sty m:val="p"/>
                  </m:rPr>
                  <w:rPr>
                    <w:rFonts w:ascii="Cambria Math" w:hAnsi="Cambria Math"/>
                  </w:rPr>
                  <m:t>Ex</m:t>
                </m:r>
              </m:e>
            </m:acc>
          </m:e>
          <m:sub>
            <m:r>
              <m:rPr>
                <m:sty m:val="p"/>
              </m:rPr>
              <w:rPr>
                <w:rFonts w:ascii="Cambria Math" w:hAnsi="Cambria Math"/>
              </w:rPr>
              <m:t>in</m:t>
            </m:r>
          </m:sub>
        </m:sSub>
      </m:oMath>
      <w:r w:rsidRPr="009B02FA">
        <w:t xml:space="preserve"> is the total exergy flow entering</w:t>
      </w:r>
      <w:r w:rsidR="00AC33BC">
        <w:t xml:space="preserve"> the </w:t>
      </w:r>
      <w:r w:rsidRPr="009B02FA">
        <w:t>system</w:t>
      </w:r>
      <w:r>
        <w:t xml:space="preserve">. </w:t>
      </w:r>
      <w:r w:rsidR="00E1497D" w:rsidRPr="00E1497D">
        <w:t xml:space="preserve">For the exergy efficiency, a target value of </w:t>
      </w:r>
      <w:r w:rsidR="00B775B5">
        <w:t>80</w:t>
      </w:r>
      <w:r w:rsidR="00E1497D" w:rsidRPr="00E1497D">
        <w:t xml:space="preserve">% is established. This implies that the goal is to utilize all the energy available in the process with minimal losses and to reduce </w:t>
      </w:r>
      <w:proofErr w:type="spellStart"/>
      <w:r w:rsidR="00E1497D" w:rsidRPr="00E1497D">
        <w:t>irreversibilities</w:t>
      </w:r>
      <w:proofErr w:type="spellEnd"/>
      <w:r w:rsidR="00E1497D" w:rsidRPr="00E1497D">
        <w:t xml:space="preserve"> to the lowest possible level.</w:t>
      </w:r>
    </w:p>
    <w:p w14:paraId="1B9FFD07" w14:textId="3E3AE964" w:rsidR="00760300" w:rsidRDefault="005431DB" w:rsidP="00760300">
      <w:pPr>
        <w:pStyle w:val="CETheadingx"/>
      </w:pPr>
      <w:r>
        <w:t>S</w:t>
      </w:r>
      <w:r w:rsidR="00760300">
        <w:t>afety analysis</w:t>
      </w:r>
      <w:r w:rsidR="00DD1F3E">
        <w:t xml:space="preserve"> of a Biorefinery Using Avocado </w:t>
      </w:r>
      <w:r>
        <w:t>Hard Waste</w:t>
      </w:r>
    </w:p>
    <w:p w14:paraId="67BB9C99" w14:textId="693BEED6" w:rsidR="00AC33BC" w:rsidRDefault="00950B45" w:rsidP="00950B45">
      <w:pPr>
        <w:pStyle w:val="CETBodytext"/>
      </w:pPr>
      <w:r>
        <w:t xml:space="preserve">The inherent safety analysis is carried out using the ISI methodology. This tool helps to identify the intrinsic risks of a process by considering worst-case scenarios, which are integrated into a total index calculated using the corresponding equation. Evaluating the risks of a process is of vital importance for decision-making, since these hazards not only affect the environment but also the personnel involved and the plant itself </w:t>
      </w:r>
      <w:sdt>
        <w:sdtPr>
          <w:rPr>
            <w:rFonts w:cs="Arial"/>
            <w:color w:val="000000"/>
          </w:rPr>
          <w:tag w:val="MENDELEY_CITATION_v3_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"/>
          <w:id w:val="-1172647459"/>
          <w:placeholder>
            <w:docPart w:val="DefaultPlaceholder_-1854013440"/>
          </w:placeholder>
        </w:sdtPr>
        <w:sdtContent>
          <w:r w:rsidR="00037D8C" w:rsidRPr="00037D8C">
            <w:rPr>
              <w:rFonts w:cs="Arial"/>
              <w:color w:val="000000"/>
            </w:rPr>
            <w:t>(Aguilar-Vasquez et al., 2025b)</w:t>
          </w:r>
        </w:sdtContent>
      </w:sdt>
      <w:r>
        <w:t>.</w:t>
      </w:r>
      <w:r w:rsidR="00A440ED" w:rsidRPr="00A440ED">
        <w:t xml:space="preserve"> When performing the ISI evaluation, a reference target value is adopted. This target value is 24, indicating that a resulting ISI lower than 24 is considered inherently safe, whereas values higher than 24 indicate that the process is inherently unsafe.</w:t>
      </w:r>
    </w:p>
    <w:p w14:paraId="044E2B9C" w14:textId="1DA7CEDF" w:rsidR="00950B45" w:rsidRPr="0019571C" w:rsidRDefault="004D1592" w:rsidP="005431DB">
      <w:pPr>
        <w:pStyle w:val="CETEquation"/>
      </w:pPr>
      <w:r>
        <w:t xml:space="preserve">  </w:t>
      </w: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SI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CS</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PS</m:t>
            </m:r>
          </m:sub>
        </m:sSub>
      </m:oMath>
      <w:r>
        <w:t xml:space="preserve">                                                                   </w:t>
      </w:r>
      <w:r w:rsidR="005431DB">
        <w:tab/>
      </w:r>
      <w:r w:rsidR="005431DB">
        <w:tab/>
      </w:r>
      <w:r w:rsidR="005431DB">
        <w:tab/>
      </w:r>
      <w:r>
        <w:t xml:space="preserve"> </w:t>
      </w:r>
      <w:r>
        <w:rPr>
          <w:iCs/>
          <w:szCs w:val="18"/>
        </w:rPr>
        <w:t>(4)</w:t>
      </w:r>
    </w:p>
    <w:p w14:paraId="3A94F608" w14:textId="486AA496" w:rsidR="0019571C" w:rsidRDefault="0019571C" w:rsidP="0019571C">
      <w:pPr>
        <w:pStyle w:val="CETheadingx"/>
      </w:pPr>
      <w:r>
        <w:t xml:space="preserve">Technical Analysis </w:t>
      </w:r>
      <w:r w:rsidR="00DD1F3E" w:rsidRPr="00DD1F3E">
        <w:t xml:space="preserve">of a Biorefinery Using Avocado </w:t>
      </w:r>
      <w:r w:rsidR="005431DB">
        <w:t>Hard Waste</w:t>
      </w:r>
    </w:p>
    <w:p w14:paraId="0FEC7B46" w14:textId="1D606A30" w:rsidR="0019571C" w:rsidRDefault="0019571C" w:rsidP="0019571C">
      <w:pPr>
        <w:pStyle w:val="CETBodytext"/>
      </w:pPr>
      <w:r>
        <w:t xml:space="preserve">For the technical analysis, the waste production rate (WPR) is taken as a reference parameter. This indicator is expressed as a percentage, and a target value of </w:t>
      </w:r>
      <w:r w:rsidR="0007139A">
        <w:t>3</w:t>
      </w:r>
      <w:r>
        <w:t>0% was established</w:t>
      </w:r>
      <w:r w:rsidR="00BB4802">
        <w:t>.</w:t>
      </w:r>
    </w:p>
    <w:p w14:paraId="2FE03AC9" w14:textId="2F46DAEC" w:rsidR="00B61EEE" w:rsidRDefault="00AC33BC" w:rsidP="005431DB">
      <w:pPr>
        <w:pStyle w:val="CETEquation"/>
        <w:rPr>
          <w:iCs/>
          <w:szCs w:val="18"/>
        </w:rPr>
      </w:pPr>
      <w:r>
        <w:t xml:space="preserve"> </w:t>
      </w:r>
      <w:r w:rsidR="004D1592">
        <w:t xml:space="preserve">       </w:t>
      </w:r>
      <m:oMath>
        <m:r>
          <m:rPr>
            <m:sty m:val="p"/>
          </m:rPr>
          <w:rPr>
            <w:rFonts w:ascii="Cambria Math" w:hAnsi="Cambria Math"/>
          </w:rPr>
          <m:t>WPR=</m:t>
        </m:r>
        <m:f>
          <m:fPr>
            <m:ctrlPr>
              <w:rPr>
                <w:rFonts w:ascii="Cambria Math" w:hAnsi="Cambria Math"/>
                <w:iCs/>
              </w:rPr>
            </m:ctrlPr>
          </m:fPr>
          <m:num>
            <m:sSub>
              <m:sSubPr>
                <m:ctrlPr>
                  <w:rPr>
                    <w:rFonts w:ascii="Cambria Math" w:hAnsi="Cambria Math"/>
                  </w:rPr>
                </m:ctrlPr>
              </m:sSubPr>
              <m:e>
                <m:r>
                  <m:rPr>
                    <m:sty m:val="p"/>
                  </m:rPr>
                  <w:rPr>
                    <w:rFonts w:ascii="Cambria Math" w:hAnsi="Cambria Math"/>
                  </w:rPr>
                  <m:t>Q</m:t>
                </m:r>
              </m:e>
              <m:sub>
                <m:r>
                  <m:rPr>
                    <m:sty m:val="p"/>
                  </m:rPr>
                  <w:rPr>
                    <w:rFonts w:ascii="Cambria Math" w:hAnsi="Cambria Math"/>
                  </w:rPr>
                  <m:t>WW</m:t>
                </m:r>
              </m:sub>
            </m:sSub>
          </m:num>
          <m:den>
            <m:sSub>
              <m:sSubPr>
                <m:ctrlPr>
                  <w:rPr>
                    <w:rFonts w:ascii="Cambria Math" w:hAnsi="Cambria Math"/>
                  </w:rPr>
                </m:ctrlPr>
              </m:sSubPr>
              <m:e>
                <m:r>
                  <m:rPr>
                    <m:sty m:val="p"/>
                  </m:rPr>
                  <w:rPr>
                    <w:rFonts w:ascii="Cambria Math" w:hAnsi="Cambria Math"/>
                  </w:rPr>
                  <m:t>Q</m:t>
                </m:r>
              </m:e>
              <m:sub>
                <m:r>
                  <m:rPr>
                    <m:sty m:val="p"/>
                  </m:rPr>
                  <w:rPr>
                    <w:rFonts w:ascii="Cambria Math" w:hAnsi="Cambria Math"/>
                  </w:rPr>
                  <m:t>FW</m:t>
                </m:r>
              </m:sub>
            </m:sSub>
          </m:den>
        </m:f>
        <m:r>
          <m:rPr>
            <m:sty m:val="p"/>
          </m:rPr>
          <w:rPr>
            <w:rFonts w:ascii="Cambria Math" w:hAnsi="Cambria Math"/>
          </w:rPr>
          <m:t xml:space="preserve"> x 100%</m:t>
        </m:r>
      </m:oMath>
      <w:r w:rsidR="004D1592">
        <w:t xml:space="preserve">                                                               </w:t>
      </w:r>
      <w:r w:rsidR="005431DB">
        <w:tab/>
      </w:r>
      <w:r w:rsidR="005431DB">
        <w:tab/>
      </w:r>
      <w:r w:rsidR="005431DB">
        <w:tab/>
      </w:r>
      <w:r w:rsidR="004D1592">
        <w:t xml:space="preserve"> </w:t>
      </w:r>
      <w:r w:rsidR="004D1592">
        <w:rPr>
          <w:iCs/>
          <w:szCs w:val="18"/>
        </w:rPr>
        <w:t>(5)</w:t>
      </w:r>
    </w:p>
    <w:p w14:paraId="2B881DDC" w14:textId="77777777" w:rsidR="00B61EEE" w:rsidRDefault="00B61EEE" w:rsidP="00B61EEE">
      <w:pPr>
        <w:pStyle w:val="CETBodytext"/>
        <w:ind w:left="2832"/>
        <w:rPr>
          <w:iCs/>
          <w:szCs w:val="18"/>
        </w:rPr>
      </w:pPr>
    </w:p>
    <w:p w14:paraId="03CBA1F6" w14:textId="4BC289A1" w:rsidR="00B61EEE" w:rsidRPr="005431DB" w:rsidRDefault="00B61EEE" w:rsidP="005431DB">
      <w:pPr>
        <w:pStyle w:val="CETBodytext"/>
      </w:pPr>
      <w:r w:rsidRPr="005431DB">
        <w:t xml:space="preserve">Where  </w:t>
      </w:r>
      <m:oMath>
        <m:sSub>
          <m:sSubPr>
            <m:ctrlPr>
              <w:rPr>
                <w:rFonts w:ascii="Cambria Math" w:hAnsi="Cambria Math"/>
              </w:rPr>
            </m:ctrlPr>
          </m:sSubPr>
          <m:e>
            <m:r>
              <w:rPr>
                <w:rFonts w:ascii="Cambria Math" w:hAnsi="Cambria Math"/>
              </w:rPr>
              <m:t>Q</m:t>
            </m:r>
          </m:e>
          <m:sub>
            <m:r>
              <w:rPr>
                <w:rFonts w:ascii="Cambria Math" w:hAnsi="Cambria Math"/>
              </w:rPr>
              <m:t>WW</m:t>
            </m:r>
          </m:sub>
        </m:sSub>
        <m:r>
          <m:rPr>
            <m:sty m:val="p"/>
          </m:rPr>
          <w:rPr>
            <w:rFonts w:ascii="Cambria Math" w:hAnsi="Cambria Math"/>
          </w:rPr>
          <m:t xml:space="preserve"> </m:t>
        </m:r>
      </m:oMath>
      <w:r w:rsidRPr="005431DB">
        <w:t xml:space="preserve">is the wastewater volumetric flow, and </w:t>
      </w:r>
      <m:oMath>
        <m:sSub>
          <m:sSubPr>
            <m:ctrlPr>
              <w:rPr>
                <w:rFonts w:ascii="Cambria Math" w:hAnsi="Cambria Math"/>
              </w:rPr>
            </m:ctrlPr>
          </m:sSubPr>
          <m:e>
            <m:r>
              <w:rPr>
                <w:rFonts w:ascii="Cambria Math" w:hAnsi="Cambria Math"/>
              </w:rPr>
              <m:t>Q</m:t>
            </m:r>
          </m:e>
          <m:sub>
            <m:r>
              <w:rPr>
                <w:rFonts w:ascii="Cambria Math" w:hAnsi="Cambria Math"/>
              </w:rPr>
              <m:t>FW</m:t>
            </m:r>
          </m:sub>
        </m:sSub>
        <m:r>
          <m:rPr>
            <m:sty m:val="p"/>
          </m:rPr>
          <w:rPr>
            <w:rFonts w:ascii="Cambria Math" w:hAnsi="Cambria Math"/>
          </w:rPr>
          <m:t xml:space="preserve"> </m:t>
        </m:r>
      </m:oMath>
      <w:r w:rsidRPr="005431DB">
        <w:t>is the freshwater volumetric flow.</w:t>
      </w:r>
    </w:p>
    <w:p w14:paraId="1872091A" w14:textId="3899F31D" w:rsidR="00874197" w:rsidRDefault="00874197" w:rsidP="00874197">
      <w:pPr>
        <w:pStyle w:val="CETheadingx"/>
      </w:pPr>
      <w:r w:rsidRPr="00874197">
        <w:lastRenderedPageBreak/>
        <w:t xml:space="preserve">SWROIM </w:t>
      </w:r>
      <w:r>
        <w:t>analysis</w:t>
      </w:r>
      <w:r w:rsidR="00D26EA5" w:rsidRPr="00D26EA5">
        <w:t xml:space="preserve"> </w:t>
      </w:r>
      <w:r w:rsidR="00D26EA5">
        <w:t>of a Biorefinery Using Avocado Processing Waste</w:t>
      </w:r>
    </w:p>
    <w:p w14:paraId="134E1F0D" w14:textId="7513E4C0" w:rsidR="00874197" w:rsidRPr="005431DB" w:rsidRDefault="0046211D" w:rsidP="005431DB">
      <w:pPr>
        <w:pStyle w:val="CETBodytext"/>
      </w:pPr>
      <w:r w:rsidRPr="005431DB">
        <w:t>The SWROIM methodology is used to evaluate the safety, environmental viability, energy performance, economic feasibility, and technical performance of a process through a single global value. In this study, the methodology is applied to a biorefinery based on Hass avocado waste</w:t>
      </w:r>
      <w:r w:rsidR="00254193" w:rsidRPr="005431DB">
        <w:t xml:space="preserve"> </w:t>
      </w:r>
      <w:sdt>
        <w:sdtPr>
          <w:tag w:val="MENDELEY_CITATION_v3_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"/>
          <w:id w:val="-1569640728"/>
          <w:placeholder>
            <w:docPart w:val="DefaultPlaceholder_-1854013440"/>
          </w:placeholder>
        </w:sdtPr>
        <w:sdtContent>
          <w:r w:rsidR="00037D8C" w:rsidRPr="005431DB">
            <w:t>(</w:t>
          </w:r>
          <w:proofErr w:type="spellStart"/>
          <w:r w:rsidR="00037D8C" w:rsidRPr="005431DB">
            <w:t>Zuorro</w:t>
          </w:r>
          <w:proofErr w:type="spellEnd"/>
          <w:r w:rsidR="00037D8C" w:rsidRPr="005431DB">
            <w:t xml:space="preserve"> et al., 2021).</w:t>
          </w:r>
        </w:sdtContent>
      </w:sdt>
      <w:r w:rsidR="005431DB" w:rsidRPr="005431DB">
        <w:t xml:space="preserve"> </w:t>
      </w:r>
      <w:r w:rsidRPr="005431DB">
        <w:t xml:space="preserve">This global value is calculated using the corresponding equation, where AEP represents the annual net profit of the studied process, wᵢ denotes the weighting factor of sustainability indicator </w:t>
      </w:r>
      <w:proofErr w:type="spellStart"/>
      <w:r w:rsidRPr="005431DB">
        <w:t>i</w:t>
      </w:r>
      <w:proofErr w:type="spellEnd"/>
      <w:r w:rsidRPr="005431DB">
        <w:t xml:space="preserve"> (</w:t>
      </w:r>
      <w:proofErr w:type="spellStart"/>
      <w:r w:rsidRPr="005431DB">
        <w:t>i.e</w:t>
      </w:r>
      <w:proofErr w:type="spellEnd"/>
      <w:r w:rsidRPr="005431DB">
        <w:t xml:space="preserve">, </w:t>
      </w:r>
      <m:oMath>
        <m:sSub>
          <m:sSubPr>
            <m:ctrlPr>
              <w:rPr>
                <w:rFonts w:ascii="Cambria Math" w:hAnsi="Cambria Math"/>
              </w:rPr>
            </m:ctrlPr>
          </m:sSubPr>
          <m:e>
            <m:r>
              <w:rPr>
                <w:rFonts w:ascii="Cambria Math" w:hAnsi="Cambria Math"/>
              </w:rPr>
              <m:t>w</m:t>
            </m:r>
          </m:e>
          <m:sub>
            <m:r>
              <w:rPr>
                <w:rFonts w:ascii="Cambria Math" w:hAnsi="Cambria Math"/>
              </w:rPr>
              <m:t>Environmental</m:t>
            </m:r>
          </m:sub>
        </m:sSub>
      </m:oMath>
      <w:r w:rsidRPr="005431DB">
        <w:t xml:space="preserve"> </w:t>
      </w:r>
      <m:oMath>
        <m:sSub>
          <m:sSubPr>
            <m:ctrlPr>
              <w:rPr>
                <w:rFonts w:ascii="Cambria Math" w:hAnsi="Cambria Math"/>
              </w:rPr>
            </m:ctrlPr>
          </m:sSubPr>
          <m:e>
            <m:r>
              <w:rPr>
                <w:rFonts w:ascii="Cambria Math" w:hAnsi="Cambria Math"/>
              </w:rPr>
              <m:t>w</m:t>
            </m:r>
          </m:e>
          <m:sub>
            <m:r>
              <w:rPr>
                <w:rFonts w:ascii="Cambria Math" w:hAnsi="Cambria Math"/>
              </w:rPr>
              <m:t>Exergy</m:t>
            </m:r>
          </m:sub>
        </m:sSub>
      </m:oMath>
      <w:r w:rsidRPr="005431DB">
        <w:t>,</w:t>
      </w:r>
      <w:r w:rsidR="00530C20" w:rsidRPr="005431DB">
        <w:t xml:space="preserve"> </w:t>
      </w:r>
      <m:oMath>
        <m:sSub>
          <m:sSubPr>
            <m:ctrlPr>
              <w:rPr>
                <w:rFonts w:ascii="Cambria Math" w:hAnsi="Cambria Math"/>
              </w:rPr>
            </m:ctrlPr>
          </m:sSubPr>
          <m:e>
            <m:r>
              <w:rPr>
                <w:rFonts w:ascii="Cambria Math" w:hAnsi="Cambria Math"/>
              </w:rPr>
              <m:t>w</m:t>
            </m:r>
          </m:e>
          <m:sub>
            <m:r>
              <w:rPr>
                <w:rFonts w:ascii="Cambria Math" w:hAnsi="Cambria Math"/>
              </w:rPr>
              <m:t>Technical</m:t>
            </m:r>
          </m:sub>
        </m:sSub>
      </m:oMath>
      <w:r w:rsidRPr="005431DB">
        <w:t xml:space="preserve">, and </w:t>
      </w:r>
      <m:oMath>
        <m:sSub>
          <m:sSubPr>
            <m:ctrlPr>
              <w:rPr>
                <w:rFonts w:ascii="Cambria Math" w:hAnsi="Cambria Math"/>
              </w:rPr>
            </m:ctrlPr>
          </m:sSubPr>
          <m:e>
            <m:r>
              <w:rPr>
                <w:rFonts w:ascii="Cambria Math" w:hAnsi="Cambria Math"/>
              </w:rPr>
              <m:t>w</m:t>
            </m:r>
          </m:e>
          <m:sub>
            <m:r>
              <w:rPr>
                <w:rFonts w:ascii="Cambria Math" w:hAnsi="Cambria Math"/>
              </w:rPr>
              <m:t>Safety</m:t>
            </m:r>
          </m:sub>
        </m:sSub>
      </m:oMath>
      <w:r w:rsidRPr="005431DB">
        <w:t>). The indicator i represents the current actual value of the process, while the target indicator corresponds to the desired value for the process</w:t>
      </w:r>
      <w:r w:rsidR="00AC33BC" w:rsidRPr="005431DB">
        <w:t>.</w:t>
      </w:r>
    </w:p>
    <w:p w14:paraId="0A26D87D" w14:textId="40E555C7" w:rsidR="00F07C0C" w:rsidRPr="00072FFF" w:rsidRDefault="00E91B33" w:rsidP="005431DB">
      <w:pPr>
        <w:pStyle w:val="CETEquation"/>
      </w:pPr>
      <m:oMath>
        <m:r>
          <m:rPr>
            <m:sty m:val="p"/>
          </m:rPr>
          <w:rPr>
            <w:rFonts w:ascii="Cambria Math" w:hAnsi="Cambria Math"/>
          </w:rPr>
          <m:t xml:space="preserve">SWROIM = </m:t>
        </m:r>
        <m:f>
          <m:fPr>
            <m:ctrlPr>
              <w:rPr>
                <w:rFonts w:ascii="Cambria Math" w:hAnsi="Cambria Math"/>
              </w:rPr>
            </m:ctrlPr>
          </m:fPr>
          <m:num>
            <m:r>
              <m:rPr>
                <m:sty m:val="p"/>
              </m:rPr>
              <w:rPr>
                <w:rFonts w:ascii="Cambria Math" w:hAnsi="Cambria Math"/>
              </w:rPr>
              <m:t xml:space="preserve">AEP </m:t>
            </m:r>
            <m:d>
              <m:dPr>
                <m:begChr m:val="["/>
                <m:endChr m:val="]"/>
                <m:ctrlPr>
                  <w:rPr>
                    <w:rFonts w:ascii="Cambria Math" w:hAnsi="Cambria Math"/>
                  </w:rPr>
                </m:ctrlPr>
              </m:dPr>
              <m:e>
                <m:r>
                  <m:rPr>
                    <m:sty m:val="p"/>
                  </m:rPr>
                  <w:rPr>
                    <w:rFonts w:ascii="Cambria Math" w:hAnsi="Cambria Math"/>
                  </w:rPr>
                  <m:t xml:space="preserve">1 + </m:t>
                </m:r>
                <m:nary>
                  <m:naryPr>
                    <m:chr m:val="∑"/>
                    <m:ctrlPr>
                      <w:rPr>
                        <w:rFonts w:ascii="Cambria Math" w:hAnsi="Cambria Math"/>
                      </w:rPr>
                    </m:ctrlPr>
                  </m:naryPr>
                  <m:sub>
                    <m:r>
                      <m:rPr>
                        <m:sty m:val="p"/>
                      </m:rPr>
                      <w:rPr>
                        <w:rFonts w:ascii="Cambria Math" w:hAnsi="Cambria Math"/>
                      </w:rPr>
                      <m:t>i=1</m:t>
                    </m:r>
                  </m:sub>
                  <m: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indicators</m:t>
                        </m:r>
                      </m:sub>
                    </m:sSub>
                  </m:sup>
                  <m:e>
                    <m:sSub>
                      <m:sSubPr>
                        <m:ctrlPr>
                          <w:rPr>
                            <w:rFonts w:ascii="Cambria Math" w:hAnsi="Cambria Math"/>
                          </w:rPr>
                        </m:ctrlPr>
                      </m:sSubPr>
                      <m:e>
                        <m:r>
                          <m:rPr>
                            <m:sty m:val="p"/>
                          </m:rPr>
                          <w:rPr>
                            <w:rFonts w:ascii="Cambria Math" w:hAnsi="Cambria Math"/>
                          </w:rPr>
                          <m:t>w</m:t>
                        </m:r>
                      </m:e>
                      <m:sub>
                        <m:r>
                          <m:rPr>
                            <m:sty m:val="p"/>
                          </m:rPr>
                          <w:rPr>
                            <w:rFonts w:ascii="Cambria Math" w:hAnsi="Cambria Math"/>
                          </w:rPr>
                          <m:t>i</m:t>
                        </m:r>
                      </m:sub>
                    </m:sSub>
                    <m:d>
                      <m:dPr>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Indicator</m:t>
                                </m:r>
                              </m:e>
                              <m:sub>
                                <m:r>
                                  <m:rPr>
                                    <m:sty m:val="p"/>
                                  </m:rPr>
                                  <w:rPr>
                                    <w:rFonts w:ascii="Cambria Math" w:hAnsi="Cambria Math"/>
                                  </w:rPr>
                                  <m:t>i</m:t>
                                </m:r>
                              </m:sub>
                            </m:sSub>
                          </m:num>
                          <m:den>
                            <m:sSup>
                              <m:sSupPr>
                                <m:ctrlPr>
                                  <w:rPr>
                                    <w:rFonts w:ascii="Cambria Math" w:hAnsi="Cambria Math"/>
                                  </w:rPr>
                                </m:ctrlPr>
                              </m:sSupPr>
                              <m:e>
                                <m:sSub>
                                  <m:sSubPr>
                                    <m:ctrlPr>
                                      <w:rPr>
                                        <w:rFonts w:ascii="Cambria Math" w:hAnsi="Cambria Math"/>
                                      </w:rPr>
                                    </m:ctrlPr>
                                  </m:sSubPr>
                                  <m:e>
                                    <m:r>
                                      <m:rPr>
                                        <m:sty m:val="p"/>
                                      </m:rPr>
                                      <w:rPr>
                                        <w:rFonts w:ascii="Cambria Math" w:hAnsi="Cambria Math"/>
                                      </w:rPr>
                                      <m:t>Indicator</m:t>
                                    </m:r>
                                  </m:e>
                                  <m:sub>
                                    <m:r>
                                      <m:rPr>
                                        <m:sty m:val="p"/>
                                      </m:rPr>
                                      <w:rPr>
                                        <w:rFonts w:ascii="Cambria Math" w:hAnsi="Cambria Math"/>
                                      </w:rPr>
                                      <m:t>i</m:t>
                                    </m:r>
                                  </m:sub>
                                </m:sSub>
                              </m:e>
                              <m:sup>
                                <m:r>
                                  <m:rPr>
                                    <m:sty m:val="p"/>
                                  </m:rPr>
                                  <w:rPr>
                                    <w:rFonts w:ascii="Cambria Math" w:hAnsi="Cambria Math"/>
                                  </w:rPr>
                                  <m:t>Target</m:t>
                                </m:r>
                              </m:sup>
                            </m:sSup>
                          </m:den>
                        </m:f>
                      </m:e>
                    </m:d>
                  </m:e>
                </m:nary>
              </m:e>
            </m:d>
          </m:num>
          <m:den>
            <m:r>
              <m:rPr>
                <m:sty m:val="p"/>
              </m:rPr>
              <w:rPr>
                <w:rFonts w:ascii="Cambria Math" w:hAnsi="Cambria Math"/>
              </w:rPr>
              <m:t>TCI</m:t>
            </m:r>
          </m:den>
        </m:f>
      </m:oMath>
      <w:r w:rsidR="004D1592">
        <w:t xml:space="preserve">                                    </w:t>
      </w:r>
      <w:r w:rsidR="005431DB">
        <w:tab/>
      </w:r>
      <w:r w:rsidR="005431DB">
        <w:tab/>
      </w:r>
      <w:r w:rsidR="005431DB">
        <w:tab/>
        <w:t xml:space="preserve"> </w:t>
      </w:r>
      <w:r w:rsidR="004D1592">
        <w:rPr>
          <w:iCs/>
          <w:szCs w:val="18"/>
        </w:rPr>
        <w:t>(6)</w:t>
      </w:r>
    </w:p>
    <w:p w14:paraId="6C294A67" w14:textId="56FD8E9F" w:rsidR="00072FFF" w:rsidRPr="00EE3990" w:rsidRDefault="004D1592" w:rsidP="004D1592">
      <w:pPr>
        <w:pStyle w:val="CETHeading1"/>
        <w:rPr>
          <w:color w:val="EE0000"/>
        </w:rPr>
      </w:pPr>
      <w:r w:rsidRPr="004F3FDE">
        <w:t>Results and Discussion</w:t>
      </w:r>
    </w:p>
    <w:p w14:paraId="5AA4EE0B" w14:textId="43C30200" w:rsidR="00516EBE" w:rsidRDefault="00E746B3" w:rsidP="00516EBE">
      <w:pPr>
        <w:pStyle w:val="CETBodytext"/>
      </w:pPr>
      <w:r w:rsidRPr="00E746B3">
        <w:t xml:space="preserve">The biorefinery based on avocado </w:t>
      </w:r>
      <w:r w:rsidR="00BB4802">
        <w:t xml:space="preserve">hard </w:t>
      </w:r>
      <w:r w:rsidRPr="00E746B3">
        <w:t>waste achieved a total production rate of 3.76 kg/h</w:t>
      </w:r>
      <w:r w:rsidR="006D36BA">
        <w:t xml:space="preserve"> for the first biofilm</w:t>
      </w:r>
      <w:r w:rsidRPr="00E746B3">
        <w:t>,</w:t>
      </w:r>
      <w:r w:rsidR="00EE3990">
        <w:t xml:space="preserve"> </w:t>
      </w:r>
      <w:r w:rsidRPr="00E746B3">
        <w:t>3.44 kg/h</w:t>
      </w:r>
      <w:r w:rsidR="006D36BA">
        <w:t xml:space="preserve"> for the biofilm 2</w:t>
      </w:r>
      <w:r w:rsidRPr="00E746B3">
        <w:t xml:space="preserve">; and 1.92 kg/h </w:t>
      </w:r>
      <w:r w:rsidR="006D36BA">
        <w:t>for</w:t>
      </w:r>
      <w:r w:rsidRPr="00E746B3">
        <w:t xml:space="preserve"> starch. </w:t>
      </w:r>
      <w:r w:rsidR="006D36BA">
        <w:t>T</w:t>
      </w:r>
      <w:r w:rsidR="00320C1B" w:rsidRPr="00320C1B">
        <w:t>able 1 presents the weighting factors, target values, and current values obtained from</w:t>
      </w:r>
      <w:r w:rsidR="00CA7452">
        <w:t xml:space="preserve"> the</w:t>
      </w:r>
      <w:r w:rsidR="00320C1B" w:rsidRPr="00320C1B">
        <w:t xml:space="preserve"> previous studies for each specific analysis.</w:t>
      </w:r>
      <w:r w:rsidR="002642EB" w:rsidRPr="002642EB">
        <w:t xml:space="preserve"> </w:t>
      </w:r>
      <w:r w:rsidR="00516EBE">
        <w:t xml:space="preserve">In the proposed biorefinery, </w:t>
      </w:r>
      <w:r w:rsidR="00714FF7">
        <w:t>b</w:t>
      </w:r>
      <w:r w:rsidR="00516EBE">
        <w:t>iofilm 1 is produced by gelatinizing avocado seed starch with glycerol, resulting in a flexible material</w:t>
      </w:r>
      <w:r w:rsidR="00516EBE">
        <w:t xml:space="preserve">. </w:t>
      </w:r>
      <w:r w:rsidR="00516EBE">
        <w:t xml:space="preserve">Conversely, </w:t>
      </w:r>
      <w:r w:rsidR="00516EBE">
        <w:t>b</w:t>
      </w:r>
      <w:r w:rsidR="00516EBE">
        <w:t>iofilm 2 is a composite material formed by mixing starch with polylactic acid (PLA) obtained through biochemical conversion (hydrolysis, fermentation, and polymerization)</w:t>
      </w:r>
      <w:r w:rsidR="00714FF7">
        <w:t>.</w:t>
      </w:r>
    </w:p>
    <w:p w14:paraId="284E1DAD" w14:textId="3C338FAA" w:rsidR="00146C54" w:rsidRDefault="00146C54" w:rsidP="00146C54">
      <w:pPr>
        <w:pStyle w:val="CETTabletitle"/>
      </w:pPr>
      <w:r>
        <w:t>Table 1. Result</w:t>
      </w:r>
      <w:r w:rsidR="005E4B45">
        <w:t>s</w:t>
      </w:r>
      <w:r>
        <w:t xml:space="preserve"> fo</w:t>
      </w:r>
      <w:r w:rsidR="005E4B45">
        <w:t>r</w:t>
      </w:r>
      <w:r>
        <w:t xml:space="preserve"> each analysis for a hard waste avocado biorefinery</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30"/>
        <w:gridCol w:w="3060"/>
        <w:gridCol w:w="1785"/>
        <w:gridCol w:w="1665"/>
        <w:gridCol w:w="960"/>
      </w:tblGrid>
      <w:tr w:rsidR="00E17444" w14:paraId="452D297C" w14:textId="77777777" w:rsidTr="00B318CB">
        <w:tc>
          <w:tcPr>
            <w:tcW w:w="1530" w:type="dxa"/>
            <w:tcBorders>
              <w:top w:val="single" w:sz="12" w:space="0" w:color="008000"/>
              <w:left w:val="nil"/>
              <w:bottom w:val="single" w:sz="8" w:space="0" w:color="008000"/>
              <w:right w:val="nil"/>
            </w:tcBorders>
            <w:tcMar>
              <w:top w:w="100" w:type="dxa"/>
              <w:left w:w="100" w:type="dxa"/>
              <w:bottom w:w="100" w:type="dxa"/>
              <w:right w:w="100" w:type="dxa"/>
            </w:tcMar>
            <w:vAlign w:val="center"/>
          </w:tcPr>
          <w:p w14:paraId="597AF50B" w14:textId="5A4AFA02" w:rsidR="00E17444" w:rsidRPr="005E4B45" w:rsidRDefault="00E17444" w:rsidP="00EE027A">
            <w:pPr>
              <w:widowControl w:val="0"/>
              <w:spacing w:line="240" w:lineRule="auto"/>
              <w:jc w:val="center"/>
              <w:rPr>
                <w:rFonts w:cs="Arial"/>
                <w:b/>
                <w:bCs/>
                <w:szCs w:val="18"/>
              </w:rPr>
            </w:pPr>
            <w:r w:rsidRPr="005E4B45">
              <w:rPr>
                <w:rFonts w:cs="Arial"/>
                <w:b/>
                <w:bCs/>
                <w:szCs w:val="18"/>
              </w:rPr>
              <w:t>Assessment</w:t>
            </w:r>
          </w:p>
        </w:tc>
        <w:tc>
          <w:tcPr>
            <w:tcW w:w="3060" w:type="dxa"/>
            <w:tcBorders>
              <w:top w:val="single" w:sz="12" w:space="0" w:color="008000"/>
              <w:left w:val="nil"/>
              <w:bottom w:val="single" w:sz="8" w:space="0" w:color="008000"/>
              <w:right w:val="nil"/>
            </w:tcBorders>
            <w:tcMar>
              <w:top w:w="100" w:type="dxa"/>
              <w:left w:w="100" w:type="dxa"/>
              <w:bottom w:w="100" w:type="dxa"/>
              <w:right w:w="100" w:type="dxa"/>
            </w:tcMar>
            <w:vAlign w:val="center"/>
          </w:tcPr>
          <w:p w14:paraId="5D177CCA" w14:textId="6FA54F2F" w:rsidR="00E17444" w:rsidRPr="005E4B45" w:rsidRDefault="00E17444" w:rsidP="00EE027A">
            <w:pPr>
              <w:widowControl w:val="0"/>
              <w:spacing w:line="240" w:lineRule="auto"/>
              <w:jc w:val="center"/>
              <w:rPr>
                <w:rFonts w:cs="Arial"/>
                <w:b/>
                <w:bCs/>
                <w:szCs w:val="18"/>
              </w:rPr>
            </w:pPr>
            <w:r w:rsidRPr="005E4B45">
              <w:rPr>
                <w:rFonts w:cs="Arial"/>
                <w:b/>
                <w:bCs/>
                <w:szCs w:val="18"/>
              </w:rPr>
              <w:t>Indicator</w:t>
            </w:r>
          </w:p>
        </w:tc>
        <w:tc>
          <w:tcPr>
            <w:tcW w:w="1785" w:type="dxa"/>
            <w:tcBorders>
              <w:top w:val="single" w:sz="12" w:space="0" w:color="008000"/>
              <w:left w:val="nil"/>
              <w:bottom w:val="single" w:sz="8" w:space="0" w:color="008000"/>
              <w:right w:val="nil"/>
            </w:tcBorders>
            <w:tcMar>
              <w:top w:w="100" w:type="dxa"/>
              <w:left w:w="100" w:type="dxa"/>
              <w:bottom w:w="100" w:type="dxa"/>
              <w:right w:w="100" w:type="dxa"/>
            </w:tcMar>
            <w:vAlign w:val="center"/>
          </w:tcPr>
          <w:p w14:paraId="691B2A65" w14:textId="0BDB2CB0" w:rsidR="00E17444" w:rsidRPr="005E4B45" w:rsidRDefault="00E17444" w:rsidP="00EE027A">
            <w:pPr>
              <w:widowControl w:val="0"/>
              <w:spacing w:line="240" w:lineRule="auto"/>
              <w:jc w:val="center"/>
              <w:rPr>
                <w:rFonts w:cs="Arial"/>
                <w:b/>
                <w:bCs/>
                <w:szCs w:val="18"/>
                <w:vertAlign w:val="superscript"/>
              </w:rPr>
            </w:pPr>
            <w:proofErr w:type="spellStart"/>
            <w:r w:rsidRPr="005E4B45">
              <w:rPr>
                <w:rFonts w:cs="Arial"/>
                <w:b/>
                <w:bCs/>
                <w:szCs w:val="18"/>
              </w:rPr>
              <w:t>Indicator</w:t>
            </w:r>
            <w:r w:rsidRPr="005E4B45">
              <w:rPr>
                <w:rFonts w:cs="Arial"/>
                <w:b/>
                <w:bCs/>
                <w:szCs w:val="18"/>
                <w:vertAlign w:val="superscript"/>
              </w:rPr>
              <w:t>i</w:t>
            </w:r>
            <w:proofErr w:type="spellEnd"/>
          </w:p>
        </w:tc>
        <w:tc>
          <w:tcPr>
            <w:tcW w:w="1665" w:type="dxa"/>
            <w:tcBorders>
              <w:top w:val="single" w:sz="12" w:space="0" w:color="008000"/>
              <w:left w:val="nil"/>
              <w:bottom w:val="single" w:sz="8" w:space="0" w:color="008000"/>
              <w:right w:val="nil"/>
            </w:tcBorders>
            <w:tcMar>
              <w:top w:w="100" w:type="dxa"/>
              <w:left w:w="100" w:type="dxa"/>
              <w:bottom w:w="100" w:type="dxa"/>
              <w:right w:w="100" w:type="dxa"/>
            </w:tcMar>
            <w:vAlign w:val="center"/>
          </w:tcPr>
          <w:p w14:paraId="52365CCD" w14:textId="37A3C7D4" w:rsidR="00E17444" w:rsidRPr="005E4B45" w:rsidRDefault="00E17444" w:rsidP="00EE027A">
            <w:pPr>
              <w:widowControl w:val="0"/>
              <w:spacing w:line="240" w:lineRule="auto"/>
              <w:jc w:val="center"/>
              <w:rPr>
                <w:rFonts w:cs="Arial"/>
                <w:b/>
                <w:bCs/>
                <w:szCs w:val="18"/>
                <w:vertAlign w:val="superscript"/>
              </w:rPr>
            </w:pPr>
            <w:proofErr w:type="spellStart"/>
            <w:r w:rsidRPr="005E4B45">
              <w:rPr>
                <w:rFonts w:cs="Arial"/>
                <w:b/>
                <w:bCs/>
                <w:szCs w:val="18"/>
              </w:rPr>
              <w:t>Indicator</w:t>
            </w:r>
            <w:r w:rsidRPr="005E4B45">
              <w:rPr>
                <w:rFonts w:cs="Arial"/>
                <w:b/>
                <w:bCs/>
                <w:szCs w:val="18"/>
                <w:vertAlign w:val="superscript"/>
              </w:rPr>
              <w:t>target</w:t>
            </w:r>
            <w:proofErr w:type="spellEnd"/>
          </w:p>
        </w:tc>
        <w:tc>
          <w:tcPr>
            <w:tcW w:w="960" w:type="dxa"/>
            <w:tcBorders>
              <w:top w:val="single" w:sz="12" w:space="0" w:color="008000"/>
              <w:left w:val="nil"/>
              <w:bottom w:val="single" w:sz="8" w:space="0" w:color="008000"/>
              <w:right w:val="nil"/>
            </w:tcBorders>
            <w:tcMar>
              <w:top w:w="100" w:type="dxa"/>
              <w:left w:w="100" w:type="dxa"/>
              <w:bottom w:w="100" w:type="dxa"/>
              <w:right w:w="100" w:type="dxa"/>
            </w:tcMar>
            <w:vAlign w:val="center"/>
          </w:tcPr>
          <w:p w14:paraId="0A9304D6" w14:textId="77777777" w:rsidR="00E17444" w:rsidRPr="005E4B45" w:rsidRDefault="00E17444" w:rsidP="00EE027A">
            <w:pPr>
              <w:widowControl w:val="0"/>
              <w:spacing w:line="240" w:lineRule="auto"/>
              <w:jc w:val="center"/>
              <w:rPr>
                <w:rFonts w:cs="Arial"/>
                <w:b/>
                <w:bCs/>
                <w:szCs w:val="18"/>
                <w:vertAlign w:val="subscript"/>
              </w:rPr>
            </w:pPr>
            <w:proofErr w:type="spellStart"/>
            <w:r w:rsidRPr="005E4B45">
              <w:rPr>
                <w:rFonts w:cs="Arial"/>
                <w:b/>
                <w:bCs/>
                <w:szCs w:val="18"/>
              </w:rPr>
              <w:t>w</w:t>
            </w:r>
            <w:r w:rsidRPr="005E4B45">
              <w:rPr>
                <w:rFonts w:cs="Arial"/>
                <w:b/>
                <w:bCs/>
                <w:szCs w:val="18"/>
                <w:vertAlign w:val="subscript"/>
              </w:rPr>
              <w:t>i</w:t>
            </w:r>
            <w:proofErr w:type="spellEnd"/>
          </w:p>
        </w:tc>
      </w:tr>
      <w:tr w:rsidR="00E17444" w14:paraId="1219CE7C" w14:textId="77777777" w:rsidTr="00B318CB">
        <w:tc>
          <w:tcPr>
            <w:tcW w:w="1530" w:type="dxa"/>
            <w:tcBorders>
              <w:top w:val="single" w:sz="8" w:space="0" w:color="008000"/>
              <w:left w:val="nil"/>
              <w:bottom w:val="nil"/>
              <w:right w:val="nil"/>
            </w:tcBorders>
            <w:tcMar>
              <w:top w:w="100" w:type="dxa"/>
              <w:left w:w="100" w:type="dxa"/>
              <w:bottom w:w="100" w:type="dxa"/>
              <w:right w:w="100" w:type="dxa"/>
            </w:tcMar>
            <w:vAlign w:val="center"/>
          </w:tcPr>
          <w:p w14:paraId="709D462C" w14:textId="635BEAF9" w:rsidR="00E17444" w:rsidRPr="005E4B45" w:rsidRDefault="00074077" w:rsidP="00EE027A">
            <w:pPr>
              <w:widowControl w:val="0"/>
              <w:spacing w:line="240" w:lineRule="auto"/>
              <w:jc w:val="center"/>
              <w:rPr>
                <w:rFonts w:cs="Arial"/>
                <w:szCs w:val="18"/>
              </w:rPr>
            </w:pPr>
            <w:r w:rsidRPr="00074077">
              <w:rPr>
                <w:rFonts w:cs="Arial"/>
                <w:szCs w:val="18"/>
              </w:rPr>
              <w:t>Safety</w:t>
            </w:r>
          </w:p>
        </w:tc>
        <w:tc>
          <w:tcPr>
            <w:tcW w:w="3060" w:type="dxa"/>
            <w:tcBorders>
              <w:top w:val="single" w:sz="8" w:space="0" w:color="008000"/>
              <w:left w:val="nil"/>
              <w:bottom w:val="nil"/>
              <w:right w:val="nil"/>
            </w:tcBorders>
            <w:tcMar>
              <w:top w:w="100" w:type="dxa"/>
              <w:left w:w="100" w:type="dxa"/>
              <w:bottom w:w="100" w:type="dxa"/>
              <w:right w:w="100" w:type="dxa"/>
            </w:tcMar>
            <w:vAlign w:val="center"/>
          </w:tcPr>
          <w:p w14:paraId="5C99F4CD" w14:textId="35537053" w:rsidR="00E17444" w:rsidRPr="005E4B45" w:rsidRDefault="00E17444" w:rsidP="00EE027A">
            <w:pPr>
              <w:widowControl w:val="0"/>
              <w:spacing w:line="240" w:lineRule="auto"/>
              <w:jc w:val="center"/>
              <w:rPr>
                <w:rFonts w:cs="Arial"/>
                <w:szCs w:val="18"/>
                <w:lang w:val="en-US"/>
              </w:rPr>
            </w:pPr>
            <w:r w:rsidRPr="005E4B45">
              <w:rPr>
                <w:rFonts w:cs="Arial"/>
                <w:szCs w:val="18"/>
                <w:lang w:val="en-US"/>
              </w:rPr>
              <w:t>Total Inherent Safety Index of the process, I</w:t>
            </w:r>
            <w:r w:rsidRPr="005E4B45">
              <w:rPr>
                <w:rFonts w:cs="Arial"/>
                <w:szCs w:val="18"/>
                <w:vertAlign w:val="subscript"/>
                <w:lang w:val="en-US"/>
              </w:rPr>
              <w:t>SI</w:t>
            </w:r>
          </w:p>
        </w:tc>
        <w:tc>
          <w:tcPr>
            <w:tcW w:w="1785" w:type="dxa"/>
            <w:tcBorders>
              <w:top w:val="single" w:sz="8" w:space="0" w:color="008000"/>
              <w:left w:val="nil"/>
              <w:bottom w:val="nil"/>
              <w:right w:val="nil"/>
            </w:tcBorders>
            <w:tcMar>
              <w:top w:w="100" w:type="dxa"/>
              <w:left w:w="100" w:type="dxa"/>
              <w:bottom w:w="100" w:type="dxa"/>
              <w:right w:w="100" w:type="dxa"/>
            </w:tcMar>
            <w:vAlign w:val="center"/>
          </w:tcPr>
          <w:p w14:paraId="19514F31" w14:textId="1994048F" w:rsidR="00E17444" w:rsidRPr="005E4B45" w:rsidRDefault="00AB250F" w:rsidP="00EE027A">
            <w:pPr>
              <w:widowControl w:val="0"/>
              <w:spacing w:line="240" w:lineRule="auto"/>
              <w:jc w:val="center"/>
              <w:rPr>
                <w:rFonts w:cs="Arial"/>
                <w:szCs w:val="18"/>
              </w:rPr>
            </w:pPr>
            <w:r w:rsidRPr="005E4B45">
              <w:rPr>
                <w:rFonts w:cs="Arial"/>
                <w:szCs w:val="18"/>
              </w:rPr>
              <w:t>25</w:t>
            </w:r>
          </w:p>
        </w:tc>
        <w:tc>
          <w:tcPr>
            <w:tcW w:w="1665" w:type="dxa"/>
            <w:tcBorders>
              <w:top w:val="single" w:sz="8" w:space="0" w:color="008000"/>
              <w:left w:val="nil"/>
              <w:bottom w:val="nil"/>
              <w:right w:val="nil"/>
            </w:tcBorders>
            <w:tcMar>
              <w:top w:w="100" w:type="dxa"/>
              <w:left w:w="100" w:type="dxa"/>
              <w:bottom w:w="100" w:type="dxa"/>
              <w:right w:w="100" w:type="dxa"/>
            </w:tcMar>
            <w:vAlign w:val="center"/>
          </w:tcPr>
          <w:p w14:paraId="5F57C1CC" w14:textId="7F6C1982" w:rsidR="00E17444" w:rsidRPr="005E4B45" w:rsidRDefault="00E17444" w:rsidP="00EE027A">
            <w:pPr>
              <w:widowControl w:val="0"/>
              <w:spacing w:line="240" w:lineRule="auto"/>
              <w:jc w:val="center"/>
              <w:rPr>
                <w:rFonts w:cs="Arial"/>
                <w:szCs w:val="18"/>
              </w:rPr>
            </w:pPr>
            <w:r w:rsidRPr="005E4B45">
              <w:rPr>
                <w:rFonts w:cs="Arial"/>
                <w:szCs w:val="18"/>
              </w:rPr>
              <w:t>24</w:t>
            </w:r>
          </w:p>
        </w:tc>
        <w:tc>
          <w:tcPr>
            <w:tcW w:w="960" w:type="dxa"/>
            <w:tcBorders>
              <w:top w:val="single" w:sz="8" w:space="0" w:color="008000"/>
              <w:left w:val="nil"/>
              <w:bottom w:val="nil"/>
              <w:right w:val="nil"/>
            </w:tcBorders>
            <w:tcMar>
              <w:top w:w="100" w:type="dxa"/>
              <w:left w:w="100" w:type="dxa"/>
              <w:bottom w:w="100" w:type="dxa"/>
              <w:right w:w="100" w:type="dxa"/>
            </w:tcMar>
            <w:vAlign w:val="center"/>
          </w:tcPr>
          <w:p w14:paraId="44B29563" w14:textId="77777777" w:rsidR="00E17444" w:rsidRPr="005E4B45" w:rsidRDefault="00E17444" w:rsidP="00EE027A">
            <w:pPr>
              <w:widowControl w:val="0"/>
              <w:spacing w:line="240" w:lineRule="auto"/>
              <w:jc w:val="center"/>
              <w:rPr>
                <w:rFonts w:cs="Arial"/>
                <w:szCs w:val="18"/>
              </w:rPr>
            </w:pPr>
            <w:r w:rsidRPr="005E4B45">
              <w:rPr>
                <w:rFonts w:cs="Arial"/>
                <w:szCs w:val="18"/>
              </w:rPr>
              <w:t>1</w:t>
            </w:r>
          </w:p>
        </w:tc>
      </w:tr>
      <w:tr w:rsidR="00E17444" w14:paraId="63F38402" w14:textId="77777777" w:rsidTr="00EE027A">
        <w:tc>
          <w:tcPr>
            <w:tcW w:w="1530" w:type="dxa"/>
            <w:tcBorders>
              <w:top w:val="nil"/>
              <w:left w:val="nil"/>
              <w:bottom w:val="nil"/>
              <w:right w:val="nil"/>
            </w:tcBorders>
            <w:tcMar>
              <w:top w:w="100" w:type="dxa"/>
              <w:left w:w="100" w:type="dxa"/>
              <w:bottom w:w="100" w:type="dxa"/>
              <w:right w:w="100" w:type="dxa"/>
            </w:tcMar>
            <w:vAlign w:val="center"/>
          </w:tcPr>
          <w:p w14:paraId="03132485" w14:textId="2BD2FA4E" w:rsidR="00E17444" w:rsidRPr="005E4B45" w:rsidRDefault="00E17444" w:rsidP="00EE027A">
            <w:pPr>
              <w:widowControl w:val="0"/>
              <w:spacing w:line="240" w:lineRule="auto"/>
              <w:jc w:val="center"/>
              <w:rPr>
                <w:rFonts w:cs="Arial"/>
                <w:szCs w:val="18"/>
              </w:rPr>
            </w:pPr>
            <w:proofErr w:type="spellStart"/>
            <w:r w:rsidRPr="005E4B45">
              <w:rPr>
                <w:rFonts w:cs="Arial"/>
                <w:szCs w:val="18"/>
              </w:rPr>
              <w:t>Exergetic</w:t>
            </w:r>
            <w:proofErr w:type="spellEnd"/>
          </w:p>
        </w:tc>
        <w:tc>
          <w:tcPr>
            <w:tcW w:w="3060" w:type="dxa"/>
            <w:tcBorders>
              <w:top w:val="nil"/>
              <w:left w:val="nil"/>
              <w:bottom w:val="nil"/>
              <w:right w:val="nil"/>
            </w:tcBorders>
            <w:tcMar>
              <w:top w:w="100" w:type="dxa"/>
              <w:left w:w="100" w:type="dxa"/>
              <w:bottom w:w="100" w:type="dxa"/>
              <w:right w:w="100" w:type="dxa"/>
            </w:tcMar>
            <w:vAlign w:val="center"/>
          </w:tcPr>
          <w:p w14:paraId="106CC202" w14:textId="43C81952" w:rsidR="00E17444" w:rsidRPr="005E4B45" w:rsidRDefault="00E17444" w:rsidP="00EE027A">
            <w:pPr>
              <w:widowControl w:val="0"/>
              <w:spacing w:line="240" w:lineRule="auto"/>
              <w:jc w:val="center"/>
              <w:rPr>
                <w:rFonts w:cs="Arial"/>
                <w:szCs w:val="18"/>
              </w:rPr>
            </w:pPr>
            <w:r w:rsidRPr="005E4B45">
              <w:rPr>
                <w:rFonts w:cs="Arial"/>
                <w:szCs w:val="18"/>
              </w:rPr>
              <w:t>Overall exergy efficiency (%)</w:t>
            </w:r>
          </w:p>
        </w:tc>
        <w:tc>
          <w:tcPr>
            <w:tcW w:w="1785" w:type="dxa"/>
            <w:tcBorders>
              <w:top w:val="nil"/>
              <w:left w:val="nil"/>
              <w:bottom w:val="nil"/>
              <w:right w:val="nil"/>
            </w:tcBorders>
            <w:tcMar>
              <w:top w:w="100" w:type="dxa"/>
              <w:left w:w="100" w:type="dxa"/>
              <w:bottom w:w="100" w:type="dxa"/>
              <w:right w:w="100" w:type="dxa"/>
            </w:tcMar>
            <w:vAlign w:val="center"/>
          </w:tcPr>
          <w:p w14:paraId="375B8957" w14:textId="57DA4441" w:rsidR="00E17444" w:rsidRPr="005E4B45" w:rsidRDefault="00AB250F" w:rsidP="00EE027A">
            <w:pPr>
              <w:widowControl w:val="0"/>
              <w:spacing w:line="240" w:lineRule="auto"/>
              <w:jc w:val="center"/>
              <w:rPr>
                <w:rFonts w:cs="Arial"/>
                <w:szCs w:val="18"/>
              </w:rPr>
            </w:pPr>
            <w:r w:rsidRPr="005E4B45">
              <w:rPr>
                <w:rFonts w:cs="Arial"/>
                <w:szCs w:val="18"/>
              </w:rPr>
              <w:t>68</w:t>
            </w:r>
          </w:p>
        </w:tc>
        <w:tc>
          <w:tcPr>
            <w:tcW w:w="1665" w:type="dxa"/>
            <w:tcBorders>
              <w:top w:val="nil"/>
              <w:left w:val="nil"/>
              <w:bottom w:val="nil"/>
              <w:right w:val="nil"/>
            </w:tcBorders>
            <w:tcMar>
              <w:top w:w="100" w:type="dxa"/>
              <w:left w:w="100" w:type="dxa"/>
              <w:bottom w:w="100" w:type="dxa"/>
              <w:right w:w="100" w:type="dxa"/>
            </w:tcMar>
            <w:vAlign w:val="center"/>
          </w:tcPr>
          <w:p w14:paraId="4DB0AB71" w14:textId="6B7001FF" w:rsidR="00E17444" w:rsidRPr="005E4B45" w:rsidRDefault="00AB250F" w:rsidP="00EE027A">
            <w:pPr>
              <w:widowControl w:val="0"/>
              <w:spacing w:line="240" w:lineRule="auto"/>
              <w:jc w:val="center"/>
              <w:rPr>
                <w:rFonts w:cs="Arial"/>
                <w:szCs w:val="18"/>
              </w:rPr>
            </w:pPr>
            <w:r w:rsidRPr="005E4B45">
              <w:rPr>
                <w:rFonts w:cs="Arial"/>
                <w:szCs w:val="18"/>
              </w:rPr>
              <w:t>80</w:t>
            </w:r>
          </w:p>
        </w:tc>
        <w:tc>
          <w:tcPr>
            <w:tcW w:w="960" w:type="dxa"/>
            <w:tcBorders>
              <w:top w:val="nil"/>
              <w:left w:val="nil"/>
              <w:bottom w:val="nil"/>
              <w:right w:val="nil"/>
            </w:tcBorders>
            <w:tcMar>
              <w:top w:w="100" w:type="dxa"/>
              <w:left w:w="100" w:type="dxa"/>
              <w:bottom w:w="100" w:type="dxa"/>
              <w:right w:w="100" w:type="dxa"/>
            </w:tcMar>
            <w:vAlign w:val="center"/>
          </w:tcPr>
          <w:p w14:paraId="0DADE9EB" w14:textId="77777777" w:rsidR="00E17444" w:rsidRPr="005E4B45" w:rsidRDefault="00E17444" w:rsidP="00EE027A">
            <w:pPr>
              <w:widowControl w:val="0"/>
              <w:spacing w:line="240" w:lineRule="auto"/>
              <w:jc w:val="center"/>
              <w:rPr>
                <w:rFonts w:cs="Arial"/>
                <w:szCs w:val="18"/>
              </w:rPr>
            </w:pPr>
            <w:r w:rsidRPr="005E4B45">
              <w:rPr>
                <w:rFonts w:cs="Arial"/>
                <w:szCs w:val="18"/>
              </w:rPr>
              <w:t>1</w:t>
            </w:r>
          </w:p>
        </w:tc>
      </w:tr>
      <w:tr w:rsidR="00E17444" w14:paraId="046ACC09" w14:textId="77777777" w:rsidTr="00B318CB">
        <w:tc>
          <w:tcPr>
            <w:tcW w:w="1530" w:type="dxa"/>
            <w:tcBorders>
              <w:top w:val="nil"/>
              <w:left w:val="nil"/>
              <w:bottom w:val="nil"/>
              <w:right w:val="nil"/>
            </w:tcBorders>
            <w:tcMar>
              <w:top w:w="100" w:type="dxa"/>
              <w:left w:w="100" w:type="dxa"/>
              <w:bottom w:w="100" w:type="dxa"/>
              <w:right w:w="100" w:type="dxa"/>
            </w:tcMar>
            <w:vAlign w:val="center"/>
          </w:tcPr>
          <w:p w14:paraId="101C1DF1" w14:textId="3521B541" w:rsidR="00E17444" w:rsidRPr="005E4B45" w:rsidRDefault="00E17444" w:rsidP="00EE027A">
            <w:pPr>
              <w:widowControl w:val="0"/>
              <w:spacing w:line="240" w:lineRule="auto"/>
              <w:jc w:val="center"/>
              <w:rPr>
                <w:rFonts w:cs="Arial"/>
                <w:szCs w:val="18"/>
              </w:rPr>
            </w:pPr>
            <w:r w:rsidRPr="005E4B45">
              <w:rPr>
                <w:rFonts w:cs="Arial"/>
                <w:szCs w:val="18"/>
              </w:rPr>
              <w:t>Environmental</w:t>
            </w:r>
          </w:p>
        </w:tc>
        <w:tc>
          <w:tcPr>
            <w:tcW w:w="3060" w:type="dxa"/>
            <w:tcBorders>
              <w:top w:val="nil"/>
              <w:left w:val="nil"/>
              <w:bottom w:val="nil"/>
              <w:right w:val="nil"/>
            </w:tcBorders>
            <w:tcMar>
              <w:top w:w="100" w:type="dxa"/>
              <w:left w:w="100" w:type="dxa"/>
              <w:bottom w:w="100" w:type="dxa"/>
              <w:right w:w="100" w:type="dxa"/>
            </w:tcMar>
            <w:vAlign w:val="center"/>
          </w:tcPr>
          <w:p w14:paraId="21B55888" w14:textId="4500A4F8" w:rsidR="00E17444" w:rsidRPr="005431DB" w:rsidRDefault="00E17444" w:rsidP="00EE027A">
            <w:pPr>
              <w:widowControl w:val="0"/>
              <w:spacing w:line="240" w:lineRule="auto"/>
              <w:jc w:val="center"/>
              <w:rPr>
                <w:rFonts w:cs="Arial"/>
                <w:szCs w:val="18"/>
                <w:lang w:val="pt-PT"/>
              </w:rPr>
            </w:pPr>
            <w:r w:rsidRPr="005431DB">
              <w:rPr>
                <w:rFonts w:cs="Arial"/>
                <w:szCs w:val="18"/>
                <w:lang w:val="pt-PT"/>
              </w:rPr>
              <w:t>PEI output rate (PEI/h)</w:t>
            </w:r>
          </w:p>
        </w:tc>
        <w:tc>
          <w:tcPr>
            <w:tcW w:w="1785" w:type="dxa"/>
            <w:tcBorders>
              <w:top w:val="nil"/>
              <w:left w:val="nil"/>
              <w:bottom w:val="nil"/>
              <w:right w:val="nil"/>
            </w:tcBorders>
            <w:tcMar>
              <w:top w:w="100" w:type="dxa"/>
              <w:left w:w="100" w:type="dxa"/>
              <w:bottom w:w="100" w:type="dxa"/>
              <w:right w:w="100" w:type="dxa"/>
            </w:tcMar>
            <w:vAlign w:val="center"/>
          </w:tcPr>
          <w:p w14:paraId="451212CD" w14:textId="0D4BF97C" w:rsidR="00E17444" w:rsidRPr="005E4B45" w:rsidRDefault="00AB250F" w:rsidP="00EE027A">
            <w:pPr>
              <w:widowControl w:val="0"/>
              <w:spacing w:line="240" w:lineRule="auto"/>
              <w:jc w:val="center"/>
              <w:rPr>
                <w:rFonts w:cs="Arial"/>
                <w:szCs w:val="18"/>
              </w:rPr>
            </w:pPr>
            <w:r w:rsidRPr="005E4B45">
              <w:rPr>
                <w:rFonts w:cs="Arial"/>
                <w:szCs w:val="18"/>
              </w:rPr>
              <w:t xml:space="preserve">20.80 </w:t>
            </w:r>
          </w:p>
        </w:tc>
        <w:tc>
          <w:tcPr>
            <w:tcW w:w="1665" w:type="dxa"/>
            <w:tcBorders>
              <w:top w:val="nil"/>
              <w:left w:val="nil"/>
              <w:bottom w:val="nil"/>
              <w:right w:val="nil"/>
            </w:tcBorders>
            <w:tcMar>
              <w:top w:w="100" w:type="dxa"/>
              <w:left w:w="100" w:type="dxa"/>
              <w:bottom w:w="100" w:type="dxa"/>
              <w:right w:w="100" w:type="dxa"/>
            </w:tcMar>
            <w:vAlign w:val="center"/>
          </w:tcPr>
          <w:p w14:paraId="6168218E" w14:textId="6D6A496E" w:rsidR="00E17444" w:rsidRPr="005E4B45" w:rsidRDefault="00AB250F" w:rsidP="00EE027A">
            <w:pPr>
              <w:widowControl w:val="0"/>
              <w:spacing w:line="240" w:lineRule="auto"/>
              <w:jc w:val="center"/>
              <w:rPr>
                <w:rFonts w:cs="Arial"/>
                <w:szCs w:val="18"/>
              </w:rPr>
            </w:pPr>
            <w:r w:rsidRPr="005E4B45">
              <w:rPr>
                <w:rFonts w:cs="Arial"/>
                <w:szCs w:val="18"/>
              </w:rPr>
              <w:t>10.40</w:t>
            </w:r>
            <w:r w:rsidR="00BB4C44">
              <w:rPr>
                <w:rFonts w:cs="Arial"/>
                <w:szCs w:val="18"/>
              </w:rPr>
              <w:t xml:space="preserve"> (50%</w:t>
            </w:r>
            <w:r w:rsidR="006D36BA">
              <w:rPr>
                <w:rFonts w:cs="Arial"/>
                <w:szCs w:val="18"/>
              </w:rPr>
              <w:t xml:space="preserve"> less</w:t>
            </w:r>
            <w:r w:rsidR="00BB4C44">
              <w:rPr>
                <w:rFonts w:cs="Arial"/>
                <w:szCs w:val="18"/>
              </w:rPr>
              <w:t>)</w:t>
            </w:r>
          </w:p>
        </w:tc>
        <w:tc>
          <w:tcPr>
            <w:tcW w:w="960" w:type="dxa"/>
            <w:tcBorders>
              <w:top w:val="nil"/>
              <w:left w:val="nil"/>
              <w:bottom w:val="nil"/>
              <w:right w:val="nil"/>
            </w:tcBorders>
            <w:tcMar>
              <w:top w:w="100" w:type="dxa"/>
              <w:left w:w="100" w:type="dxa"/>
              <w:bottom w:w="100" w:type="dxa"/>
              <w:right w:w="100" w:type="dxa"/>
            </w:tcMar>
            <w:vAlign w:val="center"/>
          </w:tcPr>
          <w:p w14:paraId="72DC31AE" w14:textId="77777777" w:rsidR="00E17444" w:rsidRPr="005E4B45" w:rsidRDefault="00E17444" w:rsidP="00EE027A">
            <w:pPr>
              <w:widowControl w:val="0"/>
              <w:spacing w:line="240" w:lineRule="auto"/>
              <w:jc w:val="center"/>
              <w:rPr>
                <w:rFonts w:cs="Arial"/>
                <w:szCs w:val="18"/>
              </w:rPr>
            </w:pPr>
            <w:r w:rsidRPr="005E4B45">
              <w:rPr>
                <w:rFonts w:cs="Arial"/>
                <w:szCs w:val="18"/>
              </w:rPr>
              <w:t>1</w:t>
            </w:r>
          </w:p>
        </w:tc>
      </w:tr>
      <w:tr w:rsidR="00E17444" w14:paraId="02052B7F" w14:textId="77777777" w:rsidTr="00B318CB">
        <w:tc>
          <w:tcPr>
            <w:tcW w:w="1530" w:type="dxa"/>
            <w:tcBorders>
              <w:top w:val="nil"/>
              <w:left w:val="nil"/>
              <w:bottom w:val="single" w:sz="12" w:space="0" w:color="008000"/>
              <w:right w:val="nil"/>
            </w:tcBorders>
            <w:tcMar>
              <w:top w:w="100" w:type="dxa"/>
              <w:left w:w="100" w:type="dxa"/>
              <w:bottom w:w="100" w:type="dxa"/>
              <w:right w:w="100" w:type="dxa"/>
            </w:tcMar>
            <w:vAlign w:val="center"/>
          </w:tcPr>
          <w:p w14:paraId="1022376F" w14:textId="099A3D48" w:rsidR="00E17444" w:rsidRPr="005E4B45" w:rsidRDefault="00E17444" w:rsidP="00EE027A">
            <w:pPr>
              <w:widowControl w:val="0"/>
              <w:spacing w:line="240" w:lineRule="auto"/>
              <w:jc w:val="center"/>
              <w:rPr>
                <w:rFonts w:cs="Arial"/>
                <w:szCs w:val="18"/>
              </w:rPr>
            </w:pPr>
            <w:r w:rsidRPr="005E4B45">
              <w:rPr>
                <w:rFonts w:cs="Arial"/>
                <w:szCs w:val="18"/>
              </w:rPr>
              <w:t>Technical</w:t>
            </w:r>
          </w:p>
        </w:tc>
        <w:tc>
          <w:tcPr>
            <w:tcW w:w="3060" w:type="dxa"/>
            <w:tcBorders>
              <w:top w:val="nil"/>
              <w:left w:val="nil"/>
              <w:bottom w:val="single" w:sz="12" w:space="0" w:color="008000"/>
              <w:right w:val="nil"/>
            </w:tcBorders>
            <w:tcMar>
              <w:top w:w="100" w:type="dxa"/>
              <w:left w:w="100" w:type="dxa"/>
              <w:bottom w:w="100" w:type="dxa"/>
              <w:right w:w="100" w:type="dxa"/>
            </w:tcMar>
            <w:vAlign w:val="center"/>
          </w:tcPr>
          <w:p w14:paraId="0BB55FB7" w14:textId="332FD201" w:rsidR="00E17444" w:rsidRPr="005E4B45" w:rsidRDefault="00E17444" w:rsidP="00EE027A">
            <w:pPr>
              <w:widowControl w:val="0"/>
              <w:spacing w:line="240" w:lineRule="auto"/>
              <w:jc w:val="center"/>
              <w:rPr>
                <w:rFonts w:cs="Arial"/>
                <w:szCs w:val="18"/>
                <w:lang w:val="en-US"/>
              </w:rPr>
            </w:pPr>
            <w:r w:rsidRPr="00361854">
              <w:rPr>
                <w:rFonts w:cs="Arial"/>
                <w:szCs w:val="18"/>
                <w:lang w:val="en-US"/>
              </w:rPr>
              <w:t xml:space="preserve">Wastewater </w:t>
            </w:r>
            <w:r w:rsidRPr="005E4B45">
              <w:rPr>
                <w:rFonts w:cs="Arial"/>
                <w:szCs w:val="18"/>
                <w:lang w:val="en-US"/>
              </w:rPr>
              <w:t>Production Rate WPR (%)</w:t>
            </w:r>
          </w:p>
        </w:tc>
        <w:tc>
          <w:tcPr>
            <w:tcW w:w="1785" w:type="dxa"/>
            <w:tcBorders>
              <w:top w:val="nil"/>
              <w:left w:val="nil"/>
              <w:bottom w:val="single" w:sz="12" w:space="0" w:color="008000"/>
              <w:right w:val="nil"/>
            </w:tcBorders>
            <w:tcMar>
              <w:top w:w="100" w:type="dxa"/>
              <w:left w:w="100" w:type="dxa"/>
              <w:bottom w:w="100" w:type="dxa"/>
              <w:right w:w="100" w:type="dxa"/>
            </w:tcMar>
            <w:vAlign w:val="center"/>
          </w:tcPr>
          <w:p w14:paraId="4825A069" w14:textId="066C5C5B" w:rsidR="00E17444" w:rsidRPr="00271E73" w:rsidRDefault="00E746B3" w:rsidP="00EE027A">
            <w:pPr>
              <w:widowControl w:val="0"/>
              <w:spacing w:line="240" w:lineRule="auto"/>
              <w:jc w:val="center"/>
              <w:rPr>
                <w:rFonts w:cs="Arial"/>
                <w:szCs w:val="18"/>
              </w:rPr>
            </w:pPr>
            <w:r w:rsidRPr="00271E73">
              <w:rPr>
                <w:rFonts w:cs="Arial"/>
                <w:szCs w:val="18"/>
              </w:rPr>
              <w:t>46.93</w:t>
            </w:r>
          </w:p>
        </w:tc>
        <w:tc>
          <w:tcPr>
            <w:tcW w:w="1665" w:type="dxa"/>
            <w:tcBorders>
              <w:top w:val="nil"/>
              <w:left w:val="nil"/>
              <w:bottom w:val="single" w:sz="12" w:space="0" w:color="008000"/>
              <w:right w:val="nil"/>
            </w:tcBorders>
            <w:tcMar>
              <w:top w:w="100" w:type="dxa"/>
              <w:left w:w="100" w:type="dxa"/>
              <w:bottom w:w="100" w:type="dxa"/>
              <w:right w:w="100" w:type="dxa"/>
            </w:tcMar>
            <w:vAlign w:val="center"/>
          </w:tcPr>
          <w:p w14:paraId="6687A712" w14:textId="0F89E1DF" w:rsidR="00E17444" w:rsidRPr="00271E73" w:rsidRDefault="00BB4C44" w:rsidP="00EE027A">
            <w:pPr>
              <w:widowControl w:val="0"/>
              <w:spacing w:line="240" w:lineRule="auto"/>
              <w:jc w:val="center"/>
              <w:rPr>
                <w:rFonts w:cs="Arial"/>
                <w:szCs w:val="18"/>
              </w:rPr>
            </w:pPr>
            <w:r>
              <w:rPr>
                <w:rFonts w:cs="Arial"/>
                <w:szCs w:val="18"/>
              </w:rPr>
              <w:t>30</w:t>
            </w:r>
          </w:p>
        </w:tc>
        <w:tc>
          <w:tcPr>
            <w:tcW w:w="960" w:type="dxa"/>
            <w:tcBorders>
              <w:top w:val="nil"/>
              <w:left w:val="nil"/>
              <w:bottom w:val="single" w:sz="12" w:space="0" w:color="008000"/>
              <w:right w:val="nil"/>
            </w:tcBorders>
            <w:tcMar>
              <w:top w:w="100" w:type="dxa"/>
              <w:left w:w="100" w:type="dxa"/>
              <w:bottom w:w="100" w:type="dxa"/>
              <w:right w:w="100" w:type="dxa"/>
            </w:tcMar>
            <w:vAlign w:val="center"/>
          </w:tcPr>
          <w:p w14:paraId="7D214FF3" w14:textId="77777777" w:rsidR="00E17444" w:rsidRPr="005E4B45" w:rsidRDefault="00E17444" w:rsidP="00EE027A">
            <w:pPr>
              <w:widowControl w:val="0"/>
              <w:spacing w:line="240" w:lineRule="auto"/>
              <w:jc w:val="center"/>
              <w:rPr>
                <w:rFonts w:cs="Arial"/>
                <w:szCs w:val="18"/>
              </w:rPr>
            </w:pPr>
            <w:r w:rsidRPr="005E4B45">
              <w:rPr>
                <w:rFonts w:cs="Arial"/>
                <w:szCs w:val="18"/>
              </w:rPr>
              <w:t>1</w:t>
            </w:r>
          </w:p>
        </w:tc>
      </w:tr>
    </w:tbl>
    <w:p w14:paraId="3880B2B2" w14:textId="77777777" w:rsidR="00E17444" w:rsidRDefault="00E17444" w:rsidP="005E4B45">
      <w:pPr>
        <w:pStyle w:val="CETBodytext"/>
      </w:pPr>
    </w:p>
    <w:p w14:paraId="070A006F" w14:textId="30FC6B2C" w:rsidR="0017374C" w:rsidRPr="006D36BA" w:rsidRDefault="00F91C0E" w:rsidP="005E4B45">
      <w:pPr>
        <w:pStyle w:val="CETBodytext"/>
      </w:pPr>
      <w:r>
        <w:t xml:space="preserve">The current values obtained for the process </w:t>
      </w:r>
      <w:r w:rsidR="00EE3990">
        <w:t xml:space="preserve">for each indicator </w:t>
      </w:r>
      <w:r>
        <w:t>can be compared with the established target values. In terms of safety, an ISI value of 25 was obtained, which is only one unit above the target value (24), indicating that the process can be considered relatively safe. Regarding exergy efficiency, since the value achieved was slightly low</w:t>
      </w:r>
      <w:r w:rsidR="00EE3990">
        <w:t xml:space="preserve"> </w:t>
      </w:r>
      <w:r w:rsidR="00EE3990" w:rsidRPr="006D36BA">
        <w:t>(68%)</w:t>
      </w:r>
      <w:r w:rsidRPr="006D36BA">
        <w:t xml:space="preserve">, the target was set </w:t>
      </w:r>
      <w:r w:rsidR="00D34323" w:rsidRPr="006D36BA">
        <w:t xml:space="preserve">to be </w:t>
      </w:r>
      <w:r w:rsidRPr="006D36BA">
        <w:t>80%. In the environmental assessment, a 50% reduction was established as the target</w:t>
      </w:r>
      <w:r w:rsidR="00E61C47" w:rsidRPr="006D36BA">
        <w:t xml:space="preserve">, since the result was 20.8 PEI/h, the objective is to reduce it by 50%, resulting in a target value of 10.4 PEI/h. </w:t>
      </w:r>
      <w:r w:rsidRPr="006D36BA">
        <w:t xml:space="preserve">Finally, in the technical evaluation, a value of 46.93 was obtained; therefore, a </w:t>
      </w:r>
      <w:r w:rsidR="00BB4C44" w:rsidRPr="006D36BA">
        <w:t>3</w:t>
      </w:r>
      <w:r w:rsidRPr="006D36BA">
        <w:t xml:space="preserve">0% </w:t>
      </w:r>
      <w:r w:rsidR="00361854" w:rsidRPr="006D36BA">
        <w:t>efficiency in wastewater production (WPR) was set as the target</w:t>
      </w:r>
      <w:r w:rsidR="00BE4C8D" w:rsidRPr="006D36BA">
        <w:t xml:space="preserve"> to reduce the generation of wastewater.</w:t>
      </w:r>
    </w:p>
    <w:p w14:paraId="682AB114" w14:textId="202598FF" w:rsidR="0017374C" w:rsidRPr="00CA7452" w:rsidRDefault="0017374C" w:rsidP="00CA7452">
      <w:pPr>
        <w:pStyle w:val="CETheadingx"/>
      </w:pPr>
      <w:r w:rsidRPr="00CA7452">
        <w:t xml:space="preserve">SWROIM </w:t>
      </w:r>
      <w:r w:rsidR="006D36BA">
        <w:t>e</w:t>
      </w:r>
      <w:r w:rsidRPr="00CA7452">
        <w:t>valuation for a</w:t>
      </w:r>
      <w:r w:rsidR="00D11928">
        <w:t>n</w:t>
      </w:r>
      <w:r w:rsidRPr="00CA7452">
        <w:t xml:space="preserve"> </w:t>
      </w:r>
      <w:r w:rsidR="00CA7452" w:rsidRPr="00CA7452">
        <w:t>avocado</w:t>
      </w:r>
      <w:r w:rsidR="00D11928">
        <w:t xml:space="preserve"> hard</w:t>
      </w:r>
      <w:r w:rsidR="00CA7452" w:rsidRPr="00CA7452">
        <w:t xml:space="preserve"> </w:t>
      </w:r>
      <w:r w:rsidRPr="00CA7452">
        <w:t>waste biorefinery</w:t>
      </w:r>
    </w:p>
    <w:p w14:paraId="6211CFB0" w14:textId="77777777" w:rsidR="002A783A" w:rsidRDefault="002A783A" w:rsidP="005E4B45">
      <w:pPr>
        <w:pStyle w:val="CETBodytext"/>
      </w:pPr>
    </w:p>
    <w:p w14:paraId="3BF997A3" w14:textId="52B218AC" w:rsidR="00B57192" w:rsidRPr="00472DF1" w:rsidRDefault="005E2C24" w:rsidP="00472DF1">
      <w:pPr>
        <w:pStyle w:val="CETBodytext"/>
        <w:jc w:val="center"/>
        <w:rPr>
          <w:b/>
          <w:bCs/>
        </w:rPr>
      </w:pPr>
      <w:r>
        <w:rPr>
          <w:noProof/>
        </w:rPr>
        <w:drawing>
          <wp:inline distT="0" distB="0" distL="0" distR="0" wp14:anchorId="156951E2" wp14:editId="7D9D2E6D">
            <wp:extent cx="3489960" cy="1920240"/>
            <wp:effectExtent l="0" t="0" r="0" b="0"/>
            <wp:docPr id="543698909" name="Chart 1">
              <a:extLst xmlns:a="http://schemas.openxmlformats.org/drawingml/2006/main">
                <a:ext uri="{FF2B5EF4-FFF2-40B4-BE49-F238E27FC236}">
                  <a16:creationId xmlns:a16="http://schemas.microsoft.com/office/drawing/2014/main" id="{FD71A02F-B845-E5A5-F4C6-4A32E5DD32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73ED7EF" w14:textId="1DDDEDF6" w:rsidR="00EF11F6" w:rsidRDefault="00EF11F6" w:rsidP="00EF11F6">
      <w:pPr>
        <w:pStyle w:val="CETCaption"/>
      </w:pPr>
      <w:r>
        <w:lastRenderedPageBreak/>
        <w:t>Figure 1. ROI VS SWROIM for a hard waste avocado biorefinery</w:t>
      </w:r>
    </w:p>
    <w:p w14:paraId="2B1A1C8F" w14:textId="07075B06" w:rsidR="00392EEF" w:rsidRDefault="00FC02A8" w:rsidP="00FC02A8">
      <w:pPr>
        <w:pStyle w:val="CETBodytext"/>
      </w:pPr>
      <w:r>
        <w:t>The SWROIM was calculated using Equation (6), while the ROI was determined using Equation (2). The total capital investment (TCI) was USD 1,624,733.17, and the annual profit after taxes (APAT) was USD 610,507.12, resulting in an ROI of 38%.</w:t>
      </w:r>
      <w:r w:rsidRPr="002A783A">
        <w:t xml:space="preserve"> </w:t>
      </w:r>
      <w:r>
        <w:t>An ROI of 38% is moderately economically attractive compared to other alternatives, and it suggests that the recovery of the investment may require a certain amount of time. However, the SWROIM value was considerably high</w:t>
      </w:r>
      <w:r w:rsidR="00CA7452">
        <w:t xml:space="preserve"> (1</w:t>
      </w:r>
      <w:r w:rsidR="00BF4BE3">
        <w:t>86.23</w:t>
      </w:r>
      <w:r w:rsidR="00CA7452">
        <w:t>%)</w:t>
      </w:r>
      <w:r>
        <w:t>, indicating a strong overall performance in terms of sustainability. This implies that, although the economic performance is not outstanding, the process performs very well in terms of safety, energy efficiency, environmental impact, and waste valorization.</w:t>
      </w:r>
    </w:p>
    <w:p w14:paraId="608CB304" w14:textId="41F76B85" w:rsidR="00392EEF" w:rsidRDefault="00392EEF" w:rsidP="00CA7452">
      <w:pPr>
        <w:pStyle w:val="CETheadingx"/>
      </w:pPr>
      <w:r w:rsidRPr="00CA7452">
        <w:t xml:space="preserve">SWROIM </w:t>
      </w:r>
      <w:r w:rsidR="006D36BA">
        <w:t>sensibility analysis</w:t>
      </w:r>
      <w:r w:rsidRPr="00CA7452">
        <w:t xml:space="preserve"> for a</w:t>
      </w:r>
      <w:r w:rsidR="00D11928">
        <w:t>n avocado</w:t>
      </w:r>
      <w:r w:rsidRPr="00CA7452">
        <w:t xml:space="preserve"> hard waste biorefinery</w:t>
      </w:r>
    </w:p>
    <w:p w14:paraId="1D862F0F" w14:textId="77777777" w:rsidR="00D11928" w:rsidRDefault="00D11928" w:rsidP="00D11928">
      <w:pPr>
        <w:pStyle w:val="CETBodytext"/>
        <w:rPr>
          <w:b/>
        </w:rPr>
      </w:pPr>
      <w:r w:rsidRPr="00392EEF">
        <w:t>Regarding the sensitivity analysis, weighting factors of 1.0 and 0.5 were assigned depending on the analysis to be prioritized. That is, when the technical analysis is prioritized, a weighting factor of 1.0 is assigned to this criterion, while the remaining analyses are fixed at 0.5. Accordingly, the following pattern was applied.</w:t>
      </w:r>
    </w:p>
    <w:p w14:paraId="330B2CAE" w14:textId="11085B69" w:rsidR="002A0F37" w:rsidRPr="002A0F37" w:rsidRDefault="002A0F37" w:rsidP="00B40BD0">
      <w:pPr>
        <w:pStyle w:val="CETTabletitle"/>
      </w:pPr>
      <w:r>
        <w:t xml:space="preserve">Table 2. </w:t>
      </w:r>
      <w:r w:rsidR="00B40BD0" w:rsidRPr="00B40BD0">
        <w:t>Weighting factors among cases</w:t>
      </w:r>
      <w:r w:rsidR="00B40BD0">
        <w:t>.</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16"/>
        <w:gridCol w:w="634"/>
        <w:gridCol w:w="666"/>
        <w:gridCol w:w="1177"/>
        <w:gridCol w:w="840"/>
      </w:tblGrid>
      <w:tr w:rsidR="00A107AF" w:rsidRPr="00BC2BB1" w14:paraId="63BE3377" w14:textId="77777777" w:rsidTr="002A0F37">
        <w:trPr>
          <w:tblHeader/>
          <w:tblCellSpacing w:w="15" w:type="dxa"/>
          <w:jc w:val="center"/>
        </w:trPr>
        <w:tc>
          <w:tcPr>
            <w:tcW w:w="0" w:type="auto"/>
            <w:tcBorders>
              <w:top w:val="single" w:sz="12" w:space="0" w:color="008000"/>
              <w:bottom w:val="single" w:sz="8" w:space="0" w:color="008000"/>
            </w:tcBorders>
            <w:vAlign w:val="center"/>
            <w:hideMark/>
          </w:tcPr>
          <w:p w14:paraId="50C5F15D" w14:textId="77777777" w:rsidR="00A107AF" w:rsidRPr="002A0F37" w:rsidRDefault="00A107AF" w:rsidP="00BC2BB1">
            <w:pPr>
              <w:tabs>
                <w:tab w:val="clear" w:pos="7100"/>
              </w:tabs>
              <w:spacing w:line="240" w:lineRule="auto"/>
              <w:rPr>
                <w:rFonts w:cs="Arial"/>
                <w:szCs w:val="18"/>
                <w:lang w:val="es-CO" w:eastAsia="es-CO"/>
              </w:rPr>
            </w:pPr>
            <w:r w:rsidRPr="002A0F37">
              <w:rPr>
                <w:rFonts w:cs="Arial"/>
                <w:szCs w:val="18"/>
                <w:lang w:val="es-CO" w:eastAsia="es-CO"/>
              </w:rPr>
              <w:t>Case</w:t>
            </w:r>
          </w:p>
        </w:tc>
        <w:tc>
          <w:tcPr>
            <w:tcW w:w="0" w:type="auto"/>
            <w:tcBorders>
              <w:top w:val="single" w:sz="12" w:space="0" w:color="008000"/>
              <w:bottom w:val="single" w:sz="8" w:space="0" w:color="008000"/>
            </w:tcBorders>
            <w:vAlign w:val="center"/>
            <w:hideMark/>
          </w:tcPr>
          <w:p w14:paraId="54C96921" w14:textId="1FC54618" w:rsidR="00A107AF" w:rsidRPr="00BC2BB1" w:rsidRDefault="00000000" w:rsidP="00BC2BB1">
            <w:pPr>
              <w:tabs>
                <w:tab w:val="clear" w:pos="7100"/>
              </w:tabs>
              <w:spacing w:line="240" w:lineRule="auto"/>
              <w:jc w:val="center"/>
              <w:rPr>
                <w:rFonts w:cs="Arial"/>
                <w:b/>
                <w:bCs/>
                <w:szCs w:val="18"/>
                <w:lang w:val="es-CO" w:eastAsia="es-CO"/>
              </w:rPr>
            </w:pPr>
            <m:oMathPara>
              <m:oMath>
                <m:sSub>
                  <m:sSubPr>
                    <m:ctrlPr>
                      <w:rPr>
                        <w:rFonts w:ascii="Cambria Math" w:hAnsi="Cambria Math"/>
                        <w:i/>
                        <w:lang w:val="en-US"/>
                      </w:rPr>
                    </m:ctrlPr>
                  </m:sSubPr>
                  <m:e>
                    <m:r>
                      <w:rPr>
                        <w:rFonts w:ascii="Cambria Math" w:hAnsi="Cambria Math"/>
                      </w:rPr>
                      <m:t>w</m:t>
                    </m:r>
                  </m:e>
                  <m:sub>
                    <m:r>
                      <w:rPr>
                        <w:rFonts w:ascii="Cambria Math" w:hAnsi="Cambria Math"/>
                      </w:rPr>
                      <m:t>Safety</m:t>
                    </m:r>
                  </m:sub>
                </m:sSub>
              </m:oMath>
            </m:oMathPara>
          </w:p>
        </w:tc>
        <w:tc>
          <w:tcPr>
            <w:tcW w:w="0" w:type="auto"/>
            <w:tcBorders>
              <w:top w:val="single" w:sz="12" w:space="0" w:color="008000"/>
              <w:bottom w:val="single" w:sz="8" w:space="0" w:color="008000"/>
            </w:tcBorders>
            <w:vAlign w:val="center"/>
            <w:hideMark/>
          </w:tcPr>
          <w:p w14:paraId="4DD309DA" w14:textId="05F73A51" w:rsidR="00A107AF" w:rsidRPr="00BC2BB1" w:rsidRDefault="00000000" w:rsidP="00BC2BB1">
            <w:pPr>
              <w:tabs>
                <w:tab w:val="clear" w:pos="7100"/>
              </w:tabs>
              <w:spacing w:line="240" w:lineRule="auto"/>
              <w:jc w:val="center"/>
              <w:rPr>
                <w:rFonts w:cs="Arial"/>
                <w:b/>
                <w:bCs/>
                <w:szCs w:val="18"/>
                <w:lang w:val="es-CO" w:eastAsia="es-CO"/>
              </w:rPr>
            </w:pPr>
            <m:oMathPara>
              <m:oMath>
                <m:sSub>
                  <m:sSubPr>
                    <m:ctrlPr>
                      <w:rPr>
                        <w:rFonts w:ascii="Cambria Math" w:hAnsi="Cambria Math"/>
                        <w:i/>
                        <w:lang w:val="en-US"/>
                      </w:rPr>
                    </m:ctrlPr>
                  </m:sSubPr>
                  <m:e>
                    <m:r>
                      <w:rPr>
                        <w:rFonts w:ascii="Cambria Math" w:hAnsi="Cambria Math"/>
                      </w:rPr>
                      <m:t>w</m:t>
                    </m:r>
                  </m:e>
                  <m:sub>
                    <m:r>
                      <w:rPr>
                        <w:rFonts w:ascii="Cambria Math" w:hAnsi="Cambria Math"/>
                      </w:rPr>
                      <m:t>Exergy</m:t>
                    </m:r>
                  </m:sub>
                </m:sSub>
              </m:oMath>
            </m:oMathPara>
          </w:p>
        </w:tc>
        <w:tc>
          <w:tcPr>
            <w:tcW w:w="0" w:type="auto"/>
            <w:tcBorders>
              <w:top w:val="single" w:sz="12" w:space="0" w:color="008000"/>
              <w:bottom w:val="single" w:sz="8" w:space="0" w:color="008000"/>
            </w:tcBorders>
            <w:vAlign w:val="center"/>
            <w:hideMark/>
          </w:tcPr>
          <w:p w14:paraId="342DDB7E" w14:textId="0FB4B473" w:rsidR="00A107AF" w:rsidRPr="00BC2BB1" w:rsidRDefault="00000000" w:rsidP="00BC2BB1">
            <w:pPr>
              <w:tabs>
                <w:tab w:val="clear" w:pos="7100"/>
              </w:tabs>
              <w:spacing w:line="240" w:lineRule="auto"/>
              <w:jc w:val="center"/>
              <w:rPr>
                <w:rFonts w:cs="Arial"/>
                <w:b/>
                <w:bCs/>
                <w:szCs w:val="18"/>
                <w:lang w:val="es-CO" w:eastAsia="es-CO"/>
              </w:rPr>
            </w:pPr>
            <m:oMathPara>
              <m:oMath>
                <m:sSub>
                  <m:sSubPr>
                    <m:ctrlPr>
                      <w:rPr>
                        <w:rFonts w:ascii="Cambria Math" w:hAnsi="Cambria Math"/>
                        <w:i/>
                        <w:lang w:val="en-US"/>
                      </w:rPr>
                    </m:ctrlPr>
                  </m:sSubPr>
                  <m:e>
                    <m:r>
                      <w:rPr>
                        <w:rFonts w:ascii="Cambria Math" w:hAnsi="Cambria Math"/>
                      </w:rPr>
                      <m:t>w</m:t>
                    </m:r>
                  </m:e>
                  <m:sub>
                    <m:r>
                      <w:rPr>
                        <w:rFonts w:ascii="Cambria Math" w:hAnsi="Cambria Math"/>
                      </w:rPr>
                      <m:t>Environmental</m:t>
                    </m:r>
                  </m:sub>
                </m:sSub>
              </m:oMath>
            </m:oMathPara>
          </w:p>
        </w:tc>
        <w:tc>
          <w:tcPr>
            <w:tcW w:w="0" w:type="auto"/>
            <w:tcBorders>
              <w:top w:val="single" w:sz="12" w:space="0" w:color="008000"/>
              <w:bottom w:val="single" w:sz="8" w:space="0" w:color="008000"/>
            </w:tcBorders>
            <w:vAlign w:val="center"/>
            <w:hideMark/>
          </w:tcPr>
          <w:p w14:paraId="5E4A4ECF" w14:textId="6E0ADFEE" w:rsidR="00A107AF" w:rsidRPr="00BC2BB1" w:rsidRDefault="00000000" w:rsidP="00BC2BB1">
            <w:pPr>
              <w:tabs>
                <w:tab w:val="clear" w:pos="7100"/>
              </w:tabs>
              <w:spacing w:line="240" w:lineRule="auto"/>
              <w:jc w:val="center"/>
              <w:rPr>
                <w:rFonts w:cs="Arial"/>
                <w:b/>
                <w:bCs/>
                <w:szCs w:val="18"/>
                <w:lang w:val="es-CO" w:eastAsia="es-CO"/>
              </w:rPr>
            </w:pPr>
            <m:oMathPara>
              <m:oMath>
                <m:sSub>
                  <m:sSubPr>
                    <m:ctrlPr>
                      <w:rPr>
                        <w:rFonts w:ascii="Cambria Math" w:hAnsi="Cambria Math"/>
                        <w:i/>
                        <w:lang w:val="en-US"/>
                      </w:rPr>
                    </m:ctrlPr>
                  </m:sSubPr>
                  <m:e>
                    <m:r>
                      <w:rPr>
                        <w:rFonts w:ascii="Cambria Math" w:hAnsi="Cambria Math"/>
                      </w:rPr>
                      <m:t>w</m:t>
                    </m:r>
                  </m:e>
                  <m:sub>
                    <m:r>
                      <w:rPr>
                        <w:rFonts w:ascii="Cambria Math" w:hAnsi="Cambria Math"/>
                      </w:rPr>
                      <m:t>Technical</m:t>
                    </m:r>
                  </m:sub>
                </m:sSub>
              </m:oMath>
            </m:oMathPara>
          </w:p>
        </w:tc>
      </w:tr>
      <w:tr w:rsidR="00A107AF" w:rsidRPr="00A107AF" w14:paraId="61FC92FA" w14:textId="77777777" w:rsidTr="002A0F37">
        <w:trPr>
          <w:tblCellSpacing w:w="15" w:type="dxa"/>
          <w:jc w:val="center"/>
        </w:trPr>
        <w:tc>
          <w:tcPr>
            <w:tcW w:w="0" w:type="auto"/>
            <w:vAlign w:val="center"/>
            <w:hideMark/>
          </w:tcPr>
          <w:p w14:paraId="12C93506" w14:textId="655FAB00" w:rsidR="00A107AF" w:rsidRPr="00A107AF" w:rsidRDefault="00A107AF" w:rsidP="00A107AF">
            <w:pPr>
              <w:tabs>
                <w:tab w:val="clear" w:pos="7100"/>
              </w:tabs>
              <w:spacing w:line="240" w:lineRule="auto"/>
              <w:jc w:val="left"/>
              <w:rPr>
                <w:rFonts w:cs="Arial"/>
                <w:szCs w:val="18"/>
                <w:lang w:val="es-CO" w:eastAsia="es-CO"/>
              </w:rPr>
            </w:pPr>
            <w:r w:rsidRPr="00A107AF">
              <w:rPr>
                <w:rFonts w:cs="Arial"/>
                <w:szCs w:val="18"/>
                <w:lang w:val="es-CO" w:eastAsia="es-CO"/>
              </w:rPr>
              <w:t>Base case</w:t>
            </w:r>
            <w:r w:rsidR="00431E22">
              <w:rPr>
                <w:rFonts w:cs="Arial"/>
                <w:szCs w:val="18"/>
                <w:lang w:val="es-CO" w:eastAsia="es-CO"/>
              </w:rPr>
              <w:t xml:space="preserve"> </w:t>
            </w:r>
          </w:p>
        </w:tc>
        <w:tc>
          <w:tcPr>
            <w:tcW w:w="0" w:type="auto"/>
            <w:vAlign w:val="center"/>
            <w:hideMark/>
          </w:tcPr>
          <w:p w14:paraId="4C03E405" w14:textId="77777777" w:rsidR="00A107AF" w:rsidRPr="00A107AF" w:rsidRDefault="00A107AF" w:rsidP="00BC2BB1">
            <w:pPr>
              <w:tabs>
                <w:tab w:val="clear" w:pos="7100"/>
              </w:tabs>
              <w:spacing w:line="240" w:lineRule="auto"/>
              <w:jc w:val="center"/>
              <w:rPr>
                <w:rFonts w:cs="Arial"/>
                <w:szCs w:val="18"/>
                <w:lang w:val="es-CO" w:eastAsia="es-CO"/>
              </w:rPr>
            </w:pPr>
            <w:r w:rsidRPr="00A107AF">
              <w:rPr>
                <w:rFonts w:cs="Arial"/>
                <w:szCs w:val="18"/>
                <w:lang w:val="es-CO" w:eastAsia="es-CO"/>
              </w:rPr>
              <w:t>1.0</w:t>
            </w:r>
          </w:p>
        </w:tc>
        <w:tc>
          <w:tcPr>
            <w:tcW w:w="0" w:type="auto"/>
            <w:vAlign w:val="center"/>
            <w:hideMark/>
          </w:tcPr>
          <w:p w14:paraId="4C4F8089" w14:textId="77777777" w:rsidR="00A107AF" w:rsidRPr="00A107AF" w:rsidRDefault="00A107AF" w:rsidP="00BC2BB1">
            <w:pPr>
              <w:tabs>
                <w:tab w:val="clear" w:pos="7100"/>
              </w:tabs>
              <w:spacing w:line="240" w:lineRule="auto"/>
              <w:jc w:val="center"/>
              <w:rPr>
                <w:rFonts w:cs="Arial"/>
                <w:szCs w:val="18"/>
                <w:lang w:val="es-CO" w:eastAsia="es-CO"/>
              </w:rPr>
            </w:pPr>
            <w:r w:rsidRPr="00A107AF">
              <w:rPr>
                <w:rFonts w:cs="Arial"/>
                <w:szCs w:val="18"/>
                <w:lang w:val="es-CO" w:eastAsia="es-CO"/>
              </w:rPr>
              <w:t>1.0</w:t>
            </w:r>
          </w:p>
        </w:tc>
        <w:tc>
          <w:tcPr>
            <w:tcW w:w="0" w:type="auto"/>
            <w:vAlign w:val="center"/>
            <w:hideMark/>
          </w:tcPr>
          <w:p w14:paraId="2102F71D" w14:textId="77777777" w:rsidR="00A107AF" w:rsidRPr="00A107AF" w:rsidRDefault="00A107AF" w:rsidP="00BC2BB1">
            <w:pPr>
              <w:tabs>
                <w:tab w:val="clear" w:pos="7100"/>
              </w:tabs>
              <w:spacing w:line="240" w:lineRule="auto"/>
              <w:jc w:val="center"/>
              <w:rPr>
                <w:rFonts w:cs="Arial"/>
                <w:szCs w:val="18"/>
                <w:lang w:val="es-CO" w:eastAsia="es-CO"/>
              </w:rPr>
            </w:pPr>
            <w:r w:rsidRPr="00A107AF">
              <w:rPr>
                <w:rFonts w:cs="Arial"/>
                <w:szCs w:val="18"/>
                <w:lang w:val="es-CO" w:eastAsia="es-CO"/>
              </w:rPr>
              <w:t>1.0</w:t>
            </w:r>
          </w:p>
        </w:tc>
        <w:tc>
          <w:tcPr>
            <w:tcW w:w="0" w:type="auto"/>
            <w:vAlign w:val="center"/>
            <w:hideMark/>
          </w:tcPr>
          <w:p w14:paraId="09CEEA3B" w14:textId="77777777" w:rsidR="00A107AF" w:rsidRPr="00A107AF" w:rsidRDefault="00A107AF" w:rsidP="00BC2BB1">
            <w:pPr>
              <w:tabs>
                <w:tab w:val="clear" w:pos="7100"/>
              </w:tabs>
              <w:spacing w:line="240" w:lineRule="auto"/>
              <w:jc w:val="center"/>
              <w:rPr>
                <w:rFonts w:cs="Arial"/>
                <w:szCs w:val="18"/>
                <w:lang w:val="es-CO" w:eastAsia="es-CO"/>
              </w:rPr>
            </w:pPr>
            <w:r w:rsidRPr="00A107AF">
              <w:rPr>
                <w:rFonts w:cs="Arial"/>
                <w:szCs w:val="18"/>
                <w:lang w:val="es-CO" w:eastAsia="es-CO"/>
              </w:rPr>
              <w:t>1.0</w:t>
            </w:r>
          </w:p>
        </w:tc>
      </w:tr>
      <w:tr w:rsidR="00A107AF" w:rsidRPr="00A107AF" w14:paraId="4297E783" w14:textId="77777777" w:rsidTr="002A0F37">
        <w:trPr>
          <w:tblCellSpacing w:w="15" w:type="dxa"/>
          <w:jc w:val="center"/>
        </w:trPr>
        <w:tc>
          <w:tcPr>
            <w:tcW w:w="0" w:type="auto"/>
            <w:vAlign w:val="center"/>
            <w:hideMark/>
          </w:tcPr>
          <w:p w14:paraId="319F6DD8" w14:textId="77777777" w:rsidR="00A107AF" w:rsidRPr="00A107AF" w:rsidRDefault="00A107AF" w:rsidP="00A107AF">
            <w:pPr>
              <w:tabs>
                <w:tab w:val="clear" w:pos="7100"/>
              </w:tabs>
              <w:spacing w:line="240" w:lineRule="auto"/>
              <w:jc w:val="left"/>
              <w:rPr>
                <w:rFonts w:cs="Arial"/>
                <w:szCs w:val="18"/>
                <w:lang w:val="es-CO" w:eastAsia="es-CO"/>
              </w:rPr>
            </w:pPr>
            <w:r w:rsidRPr="00A107AF">
              <w:rPr>
                <w:rFonts w:cs="Arial"/>
                <w:szCs w:val="18"/>
                <w:lang w:val="es-CO" w:eastAsia="es-CO"/>
              </w:rPr>
              <w:t>Case 1</w:t>
            </w:r>
          </w:p>
        </w:tc>
        <w:tc>
          <w:tcPr>
            <w:tcW w:w="0" w:type="auto"/>
            <w:vAlign w:val="center"/>
            <w:hideMark/>
          </w:tcPr>
          <w:p w14:paraId="4C45B5F5" w14:textId="77777777" w:rsidR="00A107AF" w:rsidRPr="00A107AF" w:rsidRDefault="00A107AF" w:rsidP="00BC2BB1">
            <w:pPr>
              <w:tabs>
                <w:tab w:val="clear" w:pos="7100"/>
              </w:tabs>
              <w:spacing w:line="240" w:lineRule="auto"/>
              <w:jc w:val="center"/>
              <w:rPr>
                <w:rFonts w:cs="Arial"/>
                <w:szCs w:val="18"/>
                <w:lang w:val="es-CO" w:eastAsia="es-CO"/>
              </w:rPr>
            </w:pPr>
            <w:r w:rsidRPr="00A107AF">
              <w:rPr>
                <w:rFonts w:cs="Arial"/>
                <w:szCs w:val="18"/>
                <w:lang w:val="es-CO" w:eastAsia="es-CO"/>
              </w:rPr>
              <w:t>0.5</w:t>
            </w:r>
          </w:p>
        </w:tc>
        <w:tc>
          <w:tcPr>
            <w:tcW w:w="0" w:type="auto"/>
            <w:vAlign w:val="center"/>
            <w:hideMark/>
          </w:tcPr>
          <w:p w14:paraId="29626494" w14:textId="77777777" w:rsidR="00A107AF" w:rsidRPr="00A107AF" w:rsidRDefault="00A107AF" w:rsidP="00BC2BB1">
            <w:pPr>
              <w:tabs>
                <w:tab w:val="clear" w:pos="7100"/>
              </w:tabs>
              <w:spacing w:line="240" w:lineRule="auto"/>
              <w:jc w:val="center"/>
              <w:rPr>
                <w:rFonts w:cs="Arial"/>
                <w:szCs w:val="18"/>
                <w:lang w:val="es-CO" w:eastAsia="es-CO"/>
              </w:rPr>
            </w:pPr>
            <w:r w:rsidRPr="00A107AF">
              <w:rPr>
                <w:rFonts w:cs="Arial"/>
                <w:szCs w:val="18"/>
                <w:lang w:val="es-CO" w:eastAsia="es-CO"/>
              </w:rPr>
              <w:t>1.0</w:t>
            </w:r>
          </w:p>
        </w:tc>
        <w:tc>
          <w:tcPr>
            <w:tcW w:w="0" w:type="auto"/>
            <w:vAlign w:val="center"/>
            <w:hideMark/>
          </w:tcPr>
          <w:p w14:paraId="3EB93CCF" w14:textId="77777777" w:rsidR="00A107AF" w:rsidRPr="00A107AF" w:rsidRDefault="00A107AF" w:rsidP="00BC2BB1">
            <w:pPr>
              <w:tabs>
                <w:tab w:val="clear" w:pos="7100"/>
              </w:tabs>
              <w:spacing w:line="240" w:lineRule="auto"/>
              <w:jc w:val="center"/>
              <w:rPr>
                <w:rFonts w:cs="Arial"/>
                <w:szCs w:val="18"/>
                <w:lang w:val="es-CO" w:eastAsia="es-CO"/>
              </w:rPr>
            </w:pPr>
            <w:r w:rsidRPr="00A107AF">
              <w:rPr>
                <w:rFonts w:cs="Arial"/>
                <w:szCs w:val="18"/>
                <w:lang w:val="es-CO" w:eastAsia="es-CO"/>
              </w:rPr>
              <w:t>0.5</w:t>
            </w:r>
          </w:p>
        </w:tc>
        <w:tc>
          <w:tcPr>
            <w:tcW w:w="0" w:type="auto"/>
            <w:vAlign w:val="center"/>
            <w:hideMark/>
          </w:tcPr>
          <w:p w14:paraId="635EB022" w14:textId="77777777" w:rsidR="00A107AF" w:rsidRPr="00A107AF" w:rsidRDefault="00A107AF" w:rsidP="00BC2BB1">
            <w:pPr>
              <w:tabs>
                <w:tab w:val="clear" w:pos="7100"/>
              </w:tabs>
              <w:spacing w:line="240" w:lineRule="auto"/>
              <w:jc w:val="center"/>
              <w:rPr>
                <w:rFonts w:cs="Arial"/>
                <w:szCs w:val="18"/>
                <w:lang w:val="es-CO" w:eastAsia="es-CO"/>
              </w:rPr>
            </w:pPr>
            <w:r w:rsidRPr="00A107AF">
              <w:rPr>
                <w:rFonts w:cs="Arial"/>
                <w:szCs w:val="18"/>
                <w:lang w:val="es-CO" w:eastAsia="es-CO"/>
              </w:rPr>
              <w:t>0.5</w:t>
            </w:r>
          </w:p>
        </w:tc>
      </w:tr>
      <w:tr w:rsidR="00A107AF" w:rsidRPr="00A107AF" w14:paraId="46ABF9BD" w14:textId="77777777" w:rsidTr="002A0F37">
        <w:trPr>
          <w:tblCellSpacing w:w="15" w:type="dxa"/>
          <w:jc w:val="center"/>
        </w:trPr>
        <w:tc>
          <w:tcPr>
            <w:tcW w:w="0" w:type="auto"/>
            <w:vAlign w:val="center"/>
            <w:hideMark/>
          </w:tcPr>
          <w:p w14:paraId="58995A4A" w14:textId="77777777" w:rsidR="00A107AF" w:rsidRPr="00A107AF" w:rsidRDefault="00A107AF" w:rsidP="00A107AF">
            <w:pPr>
              <w:tabs>
                <w:tab w:val="clear" w:pos="7100"/>
              </w:tabs>
              <w:spacing w:line="240" w:lineRule="auto"/>
              <w:jc w:val="left"/>
              <w:rPr>
                <w:rFonts w:cs="Arial"/>
                <w:szCs w:val="18"/>
                <w:lang w:val="es-CO" w:eastAsia="es-CO"/>
              </w:rPr>
            </w:pPr>
            <w:r w:rsidRPr="00A107AF">
              <w:rPr>
                <w:rFonts w:cs="Arial"/>
                <w:szCs w:val="18"/>
                <w:lang w:val="es-CO" w:eastAsia="es-CO"/>
              </w:rPr>
              <w:t>Case 2</w:t>
            </w:r>
          </w:p>
        </w:tc>
        <w:tc>
          <w:tcPr>
            <w:tcW w:w="0" w:type="auto"/>
            <w:vAlign w:val="center"/>
            <w:hideMark/>
          </w:tcPr>
          <w:p w14:paraId="0E29B096" w14:textId="77777777" w:rsidR="00A107AF" w:rsidRPr="00A107AF" w:rsidRDefault="00A107AF" w:rsidP="00BC2BB1">
            <w:pPr>
              <w:tabs>
                <w:tab w:val="clear" w:pos="7100"/>
              </w:tabs>
              <w:spacing w:line="240" w:lineRule="auto"/>
              <w:jc w:val="center"/>
              <w:rPr>
                <w:rFonts w:cs="Arial"/>
                <w:szCs w:val="18"/>
                <w:lang w:val="es-CO" w:eastAsia="es-CO"/>
              </w:rPr>
            </w:pPr>
            <w:r w:rsidRPr="00A107AF">
              <w:rPr>
                <w:rFonts w:cs="Arial"/>
                <w:szCs w:val="18"/>
                <w:lang w:val="es-CO" w:eastAsia="es-CO"/>
              </w:rPr>
              <w:t>0.5</w:t>
            </w:r>
          </w:p>
        </w:tc>
        <w:tc>
          <w:tcPr>
            <w:tcW w:w="0" w:type="auto"/>
            <w:vAlign w:val="center"/>
            <w:hideMark/>
          </w:tcPr>
          <w:p w14:paraId="70682CF3" w14:textId="77777777" w:rsidR="00A107AF" w:rsidRPr="00A107AF" w:rsidRDefault="00A107AF" w:rsidP="00BC2BB1">
            <w:pPr>
              <w:tabs>
                <w:tab w:val="clear" w:pos="7100"/>
              </w:tabs>
              <w:spacing w:line="240" w:lineRule="auto"/>
              <w:jc w:val="center"/>
              <w:rPr>
                <w:rFonts w:cs="Arial"/>
                <w:szCs w:val="18"/>
                <w:lang w:val="es-CO" w:eastAsia="es-CO"/>
              </w:rPr>
            </w:pPr>
            <w:r w:rsidRPr="00A107AF">
              <w:rPr>
                <w:rFonts w:cs="Arial"/>
                <w:szCs w:val="18"/>
                <w:lang w:val="es-CO" w:eastAsia="es-CO"/>
              </w:rPr>
              <w:t>0.5</w:t>
            </w:r>
          </w:p>
        </w:tc>
        <w:tc>
          <w:tcPr>
            <w:tcW w:w="0" w:type="auto"/>
            <w:vAlign w:val="center"/>
            <w:hideMark/>
          </w:tcPr>
          <w:p w14:paraId="67916AE6" w14:textId="77777777" w:rsidR="00A107AF" w:rsidRPr="00A107AF" w:rsidRDefault="00A107AF" w:rsidP="00BC2BB1">
            <w:pPr>
              <w:tabs>
                <w:tab w:val="clear" w:pos="7100"/>
              </w:tabs>
              <w:spacing w:line="240" w:lineRule="auto"/>
              <w:jc w:val="center"/>
              <w:rPr>
                <w:rFonts w:cs="Arial"/>
                <w:szCs w:val="18"/>
                <w:lang w:val="es-CO" w:eastAsia="es-CO"/>
              </w:rPr>
            </w:pPr>
            <w:r w:rsidRPr="00A107AF">
              <w:rPr>
                <w:rFonts w:cs="Arial"/>
                <w:szCs w:val="18"/>
                <w:lang w:val="es-CO" w:eastAsia="es-CO"/>
              </w:rPr>
              <w:t>1.0</w:t>
            </w:r>
          </w:p>
        </w:tc>
        <w:tc>
          <w:tcPr>
            <w:tcW w:w="0" w:type="auto"/>
            <w:vAlign w:val="center"/>
            <w:hideMark/>
          </w:tcPr>
          <w:p w14:paraId="50BEE6E0" w14:textId="77777777" w:rsidR="00A107AF" w:rsidRPr="00A107AF" w:rsidRDefault="00A107AF" w:rsidP="00BC2BB1">
            <w:pPr>
              <w:tabs>
                <w:tab w:val="clear" w:pos="7100"/>
              </w:tabs>
              <w:spacing w:line="240" w:lineRule="auto"/>
              <w:jc w:val="center"/>
              <w:rPr>
                <w:rFonts w:cs="Arial"/>
                <w:szCs w:val="18"/>
                <w:lang w:val="es-CO" w:eastAsia="es-CO"/>
              </w:rPr>
            </w:pPr>
            <w:r w:rsidRPr="00A107AF">
              <w:rPr>
                <w:rFonts w:cs="Arial"/>
                <w:szCs w:val="18"/>
                <w:lang w:val="es-CO" w:eastAsia="es-CO"/>
              </w:rPr>
              <w:t>0.5</w:t>
            </w:r>
          </w:p>
        </w:tc>
      </w:tr>
      <w:tr w:rsidR="00A107AF" w:rsidRPr="00A107AF" w14:paraId="783F4FB2" w14:textId="77777777" w:rsidTr="002A0F37">
        <w:trPr>
          <w:tblCellSpacing w:w="15" w:type="dxa"/>
          <w:jc w:val="center"/>
        </w:trPr>
        <w:tc>
          <w:tcPr>
            <w:tcW w:w="0" w:type="auto"/>
            <w:vAlign w:val="center"/>
            <w:hideMark/>
          </w:tcPr>
          <w:p w14:paraId="4E98A3BF" w14:textId="77777777" w:rsidR="00A107AF" w:rsidRPr="00A107AF" w:rsidRDefault="00A107AF" w:rsidP="00A107AF">
            <w:pPr>
              <w:tabs>
                <w:tab w:val="clear" w:pos="7100"/>
              </w:tabs>
              <w:spacing w:line="240" w:lineRule="auto"/>
              <w:jc w:val="left"/>
              <w:rPr>
                <w:rFonts w:cs="Arial"/>
                <w:szCs w:val="18"/>
                <w:lang w:val="es-CO" w:eastAsia="es-CO"/>
              </w:rPr>
            </w:pPr>
            <w:r w:rsidRPr="00A107AF">
              <w:rPr>
                <w:rFonts w:cs="Arial"/>
                <w:szCs w:val="18"/>
                <w:lang w:val="es-CO" w:eastAsia="es-CO"/>
              </w:rPr>
              <w:t>Case 3</w:t>
            </w:r>
          </w:p>
        </w:tc>
        <w:tc>
          <w:tcPr>
            <w:tcW w:w="0" w:type="auto"/>
            <w:vAlign w:val="center"/>
            <w:hideMark/>
          </w:tcPr>
          <w:p w14:paraId="50CEB94B" w14:textId="77777777" w:rsidR="00A107AF" w:rsidRPr="00A107AF" w:rsidRDefault="00A107AF" w:rsidP="00BC2BB1">
            <w:pPr>
              <w:tabs>
                <w:tab w:val="clear" w:pos="7100"/>
              </w:tabs>
              <w:spacing w:line="240" w:lineRule="auto"/>
              <w:jc w:val="center"/>
              <w:rPr>
                <w:rFonts w:cs="Arial"/>
                <w:szCs w:val="18"/>
                <w:lang w:val="es-CO" w:eastAsia="es-CO"/>
              </w:rPr>
            </w:pPr>
            <w:r w:rsidRPr="00A107AF">
              <w:rPr>
                <w:rFonts w:cs="Arial"/>
                <w:szCs w:val="18"/>
                <w:lang w:val="es-CO" w:eastAsia="es-CO"/>
              </w:rPr>
              <w:t>1.0</w:t>
            </w:r>
          </w:p>
        </w:tc>
        <w:tc>
          <w:tcPr>
            <w:tcW w:w="0" w:type="auto"/>
            <w:vAlign w:val="center"/>
            <w:hideMark/>
          </w:tcPr>
          <w:p w14:paraId="25A74318" w14:textId="77777777" w:rsidR="00A107AF" w:rsidRPr="00A107AF" w:rsidRDefault="00A107AF" w:rsidP="00BC2BB1">
            <w:pPr>
              <w:tabs>
                <w:tab w:val="clear" w:pos="7100"/>
              </w:tabs>
              <w:spacing w:line="240" w:lineRule="auto"/>
              <w:jc w:val="center"/>
              <w:rPr>
                <w:rFonts w:cs="Arial"/>
                <w:szCs w:val="18"/>
                <w:lang w:val="es-CO" w:eastAsia="es-CO"/>
              </w:rPr>
            </w:pPr>
            <w:r w:rsidRPr="00A107AF">
              <w:rPr>
                <w:rFonts w:cs="Arial"/>
                <w:szCs w:val="18"/>
                <w:lang w:val="es-CO" w:eastAsia="es-CO"/>
              </w:rPr>
              <w:t>0.5</w:t>
            </w:r>
          </w:p>
        </w:tc>
        <w:tc>
          <w:tcPr>
            <w:tcW w:w="0" w:type="auto"/>
            <w:vAlign w:val="center"/>
            <w:hideMark/>
          </w:tcPr>
          <w:p w14:paraId="1CC5C930" w14:textId="77777777" w:rsidR="00A107AF" w:rsidRPr="00A107AF" w:rsidRDefault="00A107AF" w:rsidP="00BC2BB1">
            <w:pPr>
              <w:tabs>
                <w:tab w:val="clear" w:pos="7100"/>
              </w:tabs>
              <w:spacing w:line="240" w:lineRule="auto"/>
              <w:jc w:val="center"/>
              <w:rPr>
                <w:rFonts w:cs="Arial"/>
                <w:szCs w:val="18"/>
                <w:lang w:val="es-CO" w:eastAsia="es-CO"/>
              </w:rPr>
            </w:pPr>
            <w:r w:rsidRPr="00A107AF">
              <w:rPr>
                <w:rFonts w:cs="Arial"/>
                <w:szCs w:val="18"/>
                <w:lang w:val="es-CO" w:eastAsia="es-CO"/>
              </w:rPr>
              <w:t>0.5</w:t>
            </w:r>
          </w:p>
        </w:tc>
        <w:tc>
          <w:tcPr>
            <w:tcW w:w="0" w:type="auto"/>
            <w:vAlign w:val="center"/>
            <w:hideMark/>
          </w:tcPr>
          <w:p w14:paraId="6AC3E544" w14:textId="77777777" w:rsidR="00A107AF" w:rsidRPr="00A107AF" w:rsidRDefault="00A107AF" w:rsidP="00BC2BB1">
            <w:pPr>
              <w:tabs>
                <w:tab w:val="clear" w:pos="7100"/>
              </w:tabs>
              <w:spacing w:line="240" w:lineRule="auto"/>
              <w:jc w:val="center"/>
              <w:rPr>
                <w:rFonts w:cs="Arial"/>
                <w:szCs w:val="18"/>
                <w:lang w:val="es-CO" w:eastAsia="es-CO"/>
              </w:rPr>
            </w:pPr>
            <w:r w:rsidRPr="00A107AF">
              <w:rPr>
                <w:rFonts w:cs="Arial"/>
                <w:szCs w:val="18"/>
                <w:lang w:val="es-CO" w:eastAsia="es-CO"/>
              </w:rPr>
              <w:t>0.5</w:t>
            </w:r>
          </w:p>
        </w:tc>
      </w:tr>
      <w:tr w:rsidR="00A107AF" w:rsidRPr="00A107AF" w14:paraId="35935D85" w14:textId="77777777" w:rsidTr="002A0F37">
        <w:trPr>
          <w:tblCellSpacing w:w="15" w:type="dxa"/>
          <w:jc w:val="center"/>
        </w:trPr>
        <w:tc>
          <w:tcPr>
            <w:tcW w:w="0" w:type="auto"/>
            <w:tcBorders>
              <w:bottom w:val="single" w:sz="12" w:space="0" w:color="008000"/>
            </w:tcBorders>
            <w:vAlign w:val="center"/>
            <w:hideMark/>
          </w:tcPr>
          <w:p w14:paraId="2FE15261" w14:textId="77777777" w:rsidR="00A107AF" w:rsidRPr="00A107AF" w:rsidRDefault="00A107AF" w:rsidP="00A107AF">
            <w:pPr>
              <w:tabs>
                <w:tab w:val="clear" w:pos="7100"/>
              </w:tabs>
              <w:spacing w:line="240" w:lineRule="auto"/>
              <w:jc w:val="left"/>
              <w:rPr>
                <w:rFonts w:cs="Arial"/>
                <w:szCs w:val="18"/>
                <w:lang w:val="es-CO" w:eastAsia="es-CO"/>
              </w:rPr>
            </w:pPr>
            <w:r w:rsidRPr="00A107AF">
              <w:rPr>
                <w:rFonts w:cs="Arial"/>
                <w:szCs w:val="18"/>
                <w:lang w:val="es-CO" w:eastAsia="es-CO"/>
              </w:rPr>
              <w:t>Case 4</w:t>
            </w:r>
          </w:p>
        </w:tc>
        <w:tc>
          <w:tcPr>
            <w:tcW w:w="0" w:type="auto"/>
            <w:tcBorders>
              <w:bottom w:val="single" w:sz="12" w:space="0" w:color="008000"/>
            </w:tcBorders>
            <w:vAlign w:val="center"/>
            <w:hideMark/>
          </w:tcPr>
          <w:p w14:paraId="722230AC" w14:textId="77777777" w:rsidR="00A107AF" w:rsidRPr="00A107AF" w:rsidRDefault="00A107AF" w:rsidP="00BC2BB1">
            <w:pPr>
              <w:tabs>
                <w:tab w:val="clear" w:pos="7100"/>
              </w:tabs>
              <w:spacing w:line="240" w:lineRule="auto"/>
              <w:jc w:val="center"/>
              <w:rPr>
                <w:rFonts w:cs="Arial"/>
                <w:szCs w:val="18"/>
                <w:lang w:val="es-CO" w:eastAsia="es-CO"/>
              </w:rPr>
            </w:pPr>
            <w:r w:rsidRPr="00A107AF">
              <w:rPr>
                <w:rFonts w:cs="Arial"/>
                <w:szCs w:val="18"/>
                <w:lang w:val="es-CO" w:eastAsia="es-CO"/>
              </w:rPr>
              <w:t>0.5</w:t>
            </w:r>
          </w:p>
        </w:tc>
        <w:tc>
          <w:tcPr>
            <w:tcW w:w="0" w:type="auto"/>
            <w:tcBorders>
              <w:bottom w:val="single" w:sz="12" w:space="0" w:color="008000"/>
            </w:tcBorders>
            <w:vAlign w:val="center"/>
            <w:hideMark/>
          </w:tcPr>
          <w:p w14:paraId="24B223BB" w14:textId="77777777" w:rsidR="00A107AF" w:rsidRPr="00A107AF" w:rsidRDefault="00A107AF" w:rsidP="00BC2BB1">
            <w:pPr>
              <w:tabs>
                <w:tab w:val="clear" w:pos="7100"/>
              </w:tabs>
              <w:spacing w:line="240" w:lineRule="auto"/>
              <w:jc w:val="center"/>
              <w:rPr>
                <w:rFonts w:cs="Arial"/>
                <w:szCs w:val="18"/>
                <w:lang w:val="es-CO" w:eastAsia="es-CO"/>
              </w:rPr>
            </w:pPr>
            <w:r w:rsidRPr="00A107AF">
              <w:rPr>
                <w:rFonts w:cs="Arial"/>
                <w:szCs w:val="18"/>
                <w:lang w:val="es-CO" w:eastAsia="es-CO"/>
              </w:rPr>
              <w:t>0.5</w:t>
            </w:r>
          </w:p>
        </w:tc>
        <w:tc>
          <w:tcPr>
            <w:tcW w:w="0" w:type="auto"/>
            <w:tcBorders>
              <w:bottom w:val="single" w:sz="12" w:space="0" w:color="008000"/>
            </w:tcBorders>
            <w:vAlign w:val="center"/>
            <w:hideMark/>
          </w:tcPr>
          <w:p w14:paraId="6111907A" w14:textId="77777777" w:rsidR="00A107AF" w:rsidRPr="00A107AF" w:rsidRDefault="00A107AF" w:rsidP="00BC2BB1">
            <w:pPr>
              <w:tabs>
                <w:tab w:val="clear" w:pos="7100"/>
              </w:tabs>
              <w:spacing w:line="240" w:lineRule="auto"/>
              <w:jc w:val="center"/>
              <w:rPr>
                <w:rFonts w:cs="Arial"/>
                <w:szCs w:val="18"/>
                <w:lang w:val="es-CO" w:eastAsia="es-CO"/>
              </w:rPr>
            </w:pPr>
            <w:r w:rsidRPr="00A107AF">
              <w:rPr>
                <w:rFonts w:cs="Arial"/>
                <w:szCs w:val="18"/>
                <w:lang w:val="es-CO" w:eastAsia="es-CO"/>
              </w:rPr>
              <w:t>0.5</w:t>
            </w:r>
          </w:p>
        </w:tc>
        <w:tc>
          <w:tcPr>
            <w:tcW w:w="0" w:type="auto"/>
            <w:tcBorders>
              <w:bottom w:val="single" w:sz="12" w:space="0" w:color="008000"/>
            </w:tcBorders>
            <w:vAlign w:val="center"/>
            <w:hideMark/>
          </w:tcPr>
          <w:p w14:paraId="79E08676" w14:textId="77777777" w:rsidR="00A107AF" w:rsidRPr="00A107AF" w:rsidRDefault="00A107AF" w:rsidP="00BC2BB1">
            <w:pPr>
              <w:tabs>
                <w:tab w:val="clear" w:pos="7100"/>
              </w:tabs>
              <w:spacing w:line="240" w:lineRule="auto"/>
              <w:jc w:val="center"/>
              <w:rPr>
                <w:rFonts w:cs="Arial"/>
                <w:szCs w:val="18"/>
                <w:lang w:val="es-CO" w:eastAsia="es-CO"/>
              </w:rPr>
            </w:pPr>
            <w:r w:rsidRPr="00A107AF">
              <w:rPr>
                <w:rFonts w:cs="Arial"/>
                <w:szCs w:val="18"/>
                <w:lang w:val="es-CO" w:eastAsia="es-CO"/>
              </w:rPr>
              <w:t>1.0</w:t>
            </w:r>
          </w:p>
        </w:tc>
      </w:tr>
    </w:tbl>
    <w:p w14:paraId="044A51EC" w14:textId="11073511" w:rsidR="000F26CD" w:rsidRDefault="00EF11F6" w:rsidP="00EF11F6">
      <w:pPr>
        <w:pStyle w:val="CETHeading1"/>
        <w:numPr>
          <w:ilvl w:val="0"/>
          <w:numId w:val="0"/>
        </w:numPr>
        <w:jc w:val="both"/>
        <w:rPr>
          <w:b w:val="0"/>
          <w:bCs/>
          <w:sz w:val="18"/>
          <w:szCs w:val="18"/>
          <w:lang w:val="en-GB"/>
        </w:rPr>
      </w:pPr>
      <w:r w:rsidRPr="00EF11F6">
        <w:rPr>
          <w:b w:val="0"/>
          <w:bCs/>
          <w:sz w:val="18"/>
          <w:szCs w:val="18"/>
          <w:lang w:val="en-GB"/>
        </w:rPr>
        <w:t>As observed in the figure</w:t>
      </w:r>
      <w:r w:rsidR="006327B6">
        <w:rPr>
          <w:b w:val="0"/>
          <w:bCs/>
          <w:sz w:val="18"/>
          <w:szCs w:val="18"/>
          <w:lang w:val="en-GB"/>
        </w:rPr>
        <w:t xml:space="preserve"> 2</w:t>
      </w:r>
      <w:r w:rsidRPr="00EF11F6">
        <w:rPr>
          <w:b w:val="0"/>
          <w:bCs/>
          <w:sz w:val="18"/>
          <w:szCs w:val="18"/>
          <w:lang w:val="en-GB"/>
        </w:rPr>
        <w:t>, the base case exhibits the best performance</w:t>
      </w:r>
      <w:r w:rsidR="006327B6">
        <w:rPr>
          <w:b w:val="0"/>
          <w:bCs/>
          <w:sz w:val="18"/>
          <w:szCs w:val="18"/>
          <w:lang w:val="en-GB"/>
        </w:rPr>
        <w:t xml:space="preserve"> (1</w:t>
      </w:r>
      <w:r w:rsidR="00801331">
        <w:rPr>
          <w:b w:val="0"/>
          <w:bCs/>
          <w:sz w:val="18"/>
          <w:szCs w:val="18"/>
          <w:lang w:val="en-GB"/>
        </w:rPr>
        <w:t>86.23</w:t>
      </w:r>
      <w:r w:rsidR="006327B6">
        <w:rPr>
          <w:b w:val="0"/>
          <w:bCs/>
          <w:sz w:val="18"/>
          <w:szCs w:val="18"/>
          <w:lang w:val="en-GB"/>
        </w:rPr>
        <w:t>%)</w:t>
      </w:r>
      <w:r w:rsidRPr="00EF11F6">
        <w:rPr>
          <w:b w:val="0"/>
          <w:bCs/>
          <w:sz w:val="18"/>
          <w:szCs w:val="18"/>
          <w:lang w:val="en-GB"/>
        </w:rPr>
        <w:t xml:space="preserve">, since all analyses are given equal priority. This is followed by Case </w:t>
      </w:r>
      <w:r w:rsidR="00C706CD">
        <w:rPr>
          <w:b w:val="0"/>
          <w:bCs/>
          <w:sz w:val="18"/>
          <w:szCs w:val="18"/>
          <w:lang w:val="en-GB"/>
        </w:rPr>
        <w:t>3</w:t>
      </w:r>
      <w:r w:rsidRPr="00EF11F6">
        <w:rPr>
          <w:b w:val="0"/>
          <w:bCs/>
          <w:sz w:val="18"/>
          <w:szCs w:val="18"/>
          <w:lang w:val="en-GB"/>
        </w:rPr>
        <w:t>, in which safety is prioritized, resulting in a SWROIM value of 1</w:t>
      </w:r>
      <w:r w:rsidR="00C706CD">
        <w:rPr>
          <w:b w:val="0"/>
          <w:bCs/>
          <w:sz w:val="18"/>
          <w:szCs w:val="18"/>
          <w:lang w:val="en-GB"/>
        </w:rPr>
        <w:t>41.29</w:t>
      </w:r>
      <w:r w:rsidRPr="00EF11F6">
        <w:rPr>
          <w:b w:val="0"/>
          <w:bCs/>
          <w:sz w:val="18"/>
          <w:szCs w:val="18"/>
          <w:lang w:val="en-GB"/>
        </w:rPr>
        <w:t xml:space="preserve">%. Finally, Case 1 shows the lowest performance, indicating that the process should be optimized in terms of energy use and reuse to minimize losses and reduce </w:t>
      </w:r>
      <w:proofErr w:type="spellStart"/>
      <w:r w:rsidRPr="00EF11F6">
        <w:rPr>
          <w:b w:val="0"/>
          <w:bCs/>
          <w:sz w:val="18"/>
          <w:szCs w:val="18"/>
          <w:lang w:val="en-GB"/>
        </w:rPr>
        <w:t>irreversibilities</w:t>
      </w:r>
      <w:proofErr w:type="spellEnd"/>
      <w:r w:rsidRPr="00EF11F6">
        <w:rPr>
          <w:b w:val="0"/>
          <w:bCs/>
          <w:sz w:val="18"/>
          <w:szCs w:val="18"/>
          <w:lang w:val="en-GB"/>
        </w:rPr>
        <w:t>.</w:t>
      </w:r>
    </w:p>
    <w:p w14:paraId="74B7AB5C" w14:textId="10D66E9C" w:rsidR="00801331" w:rsidRPr="00801331" w:rsidRDefault="00801331" w:rsidP="00801331">
      <w:pPr>
        <w:pStyle w:val="CETBodytext"/>
        <w:jc w:val="center"/>
        <w:rPr>
          <w:lang w:val="en-GB"/>
        </w:rPr>
      </w:pPr>
      <w:r>
        <w:rPr>
          <w:noProof/>
        </w:rPr>
        <w:drawing>
          <wp:inline distT="0" distB="0" distL="0" distR="0" wp14:anchorId="0D5E06EE" wp14:editId="05E2D914">
            <wp:extent cx="4256955" cy="2305210"/>
            <wp:effectExtent l="0" t="0" r="0" b="0"/>
            <wp:docPr id="599729602" name="Chart 1">
              <a:extLst xmlns:a="http://schemas.openxmlformats.org/drawingml/2006/main">
                <a:ext uri="{FF2B5EF4-FFF2-40B4-BE49-F238E27FC236}">
                  <a16:creationId xmlns:a16="http://schemas.microsoft.com/office/drawing/2014/main" id="{8260DACC-BEAB-86DF-0E48-8B13B9FA31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6BA4667" w14:textId="77777777" w:rsidR="00EF0BBB" w:rsidRDefault="00EF0BBB" w:rsidP="00EF0BBB">
      <w:pPr>
        <w:pStyle w:val="CETCaption"/>
      </w:pPr>
      <w:r>
        <w:t>Figure 2. Sensibility analysis of SWROIM by case for a hard waste avocado biorefinery</w:t>
      </w:r>
    </w:p>
    <w:p w14:paraId="4A4F68BD" w14:textId="2C61E06E" w:rsidR="00EE20FA" w:rsidRDefault="0017374C" w:rsidP="00F87D63">
      <w:pPr>
        <w:pStyle w:val="CETHeading1"/>
      </w:pPr>
      <w:r w:rsidRPr="00F87D63">
        <w:t>Conclusions</w:t>
      </w:r>
    </w:p>
    <w:p w14:paraId="1FDD4194" w14:textId="22C58B52" w:rsidR="003259DA" w:rsidRDefault="00032A9C" w:rsidP="00CC18C3">
      <w:pPr>
        <w:pStyle w:val="CETBodytext"/>
      </w:pPr>
      <w:r>
        <w:t>The SWROIM methodology (Safety and Sustainability Weighted Return on Investment Metric)</w:t>
      </w:r>
      <w:r w:rsidR="00D11928">
        <w:t xml:space="preserve"> was applied to an avocado hard waste biorefinery</w:t>
      </w:r>
      <w:r>
        <w:t xml:space="preserve">, exergy was identified as the most dominant factor requiring improvement. </w:t>
      </w:r>
      <w:r w:rsidR="00F05B29">
        <w:t>The</w:t>
      </w:r>
      <w:r>
        <w:t xml:space="preserve"> total SWROIM value reached 1</w:t>
      </w:r>
      <w:r w:rsidR="00B05DA4">
        <w:t>86.23</w:t>
      </w:r>
      <w:r>
        <w:t>%, with an ROI of 38%, which is preferable to a scenario with a high ROI and a low SWROIM when justifying the investment. Additionally, the weighting factors and target indicators proved to be highly useful in determining how far the current process is from achieving the proposed improvements. Likewise, these factors, through a sensitivity analysis, helped identify which analyses within the process should be prioritized and which ones have the greatest influence on the overall sustainability evaluation.</w:t>
      </w:r>
      <w:r w:rsidR="00CC18C3" w:rsidRPr="00CC18C3">
        <w:t xml:space="preserve"> The SWROIM methodology proved to be effective for evaluating the process in an integrated manner through </w:t>
      </w:r>
      <w:r w:rsidR="00CC18C3" w:rsidRPr="00CC18C3">
        <w:lastRenderedPageBreak/>
        <w:t>a single value and for comparing the economic profitability of a process with its sustainability performance. The Ha</w:t>
      </w:r>
      <w:r w:rsidR="00CC18C3">
        <w:t>rd</w:t>
      </w:r>
      <w:r w:rsidR="00CC18C3" w:rsidRPr="00CC18C3">
        <w:t xml:space="preserve"> avocado waste biorefinery was found to be more sustainable than conventional alternatives.</w:t>
      </w:r>
    </w:p>
    <w:p w14:paraId="7AF663F4" w14:textId="46DCCE25" w:rsidR="005C75EC" w:rsidRPr="005C75EC" w:rsidRDefault="005C75EC" w:rsidP="005C75EC">
      <w:pPr>
        <w:pStyle w:val="CETAcknowledgementstitle"/>
      </w:pPr>
      <w:r w:rsidRPr="005C75EC">
        <w:t>Acknowledgments</w:t>
      </w:r>
    </w:p>
    <w:p w14:paraId="5F6DB3B3" w14:textId="533D9D38" w:rsidR="00705320" w:rsidRPr="006D79EF" w:rsidRDefault="005C75EC" w:rsidP="00D449A2">
      <w:pPr>
        <w:pStyle w:val="CETBodytext"/>
        <w:rPr>
          <w:lang w:val="en-GB"/>
        </w:rPr>
      </w:pPr>
      <w:r>
        <w:rPr>
          <w:lang w:val="en-GB"/>
        </w:rPr>
        <w:t>The a</w:t>
      </w:r>
      <w:r w:rsidRPr="00BF498D">
        <w:rPr>
          <w:lang w:val="en-GB"/>
        </w:rPr>
        <w:t>uthors thank the University of Cartagena and Colombian Ministry of Science, Technology and Innovation MINCIENCIAS through the project</w:t>
      </w:r>
      <w:r>
        <w:rPr>
          <w:lang w:val="en-GB"/>
        </w:rPr>
        <w:t xml:space="preserve"> “E</w:t>
      </w:r>
      <w:r w:rsidRPr="00BF498D">
        <w:rPr>
          <w:lang w:val="en-GB"/>
        </w:rPr>
        <w:t>valuation of the sustainability of a cascade biorefinery topology for the use of Hass avocado seeds cultivated in the Amazon region”, Code</w:t>
      </w:r>
      <w:r>
        <w:rPr>
          <w:lang w:val="en-GB"/>
        </w:rPr>
        <w:t xml:space="preserve"> </w:t>
      </w:r>
      <w:r w:rsidRPr="00BF498D">
        <w:rPr>
          <w:lang w:val="en-GB"/>
        </w:rPr>
        <w:t>SIGP 100307</w:t>
      </w:r>
      <w:r>
        <w:rPr>
          <w:lang w:val="en-GB"/>
        </w:rPr>
        <w:t xml:space="preserve"> and contract 442 of 2023</w:t>
      </w:r>
      <w:r w:rsidRPr="00BF498D">
        <w:rPr>
          <w:lang w:val="en-GB"/>
        </w:rPr>
        <w:t>.</w:t>
      </w:r>
    </w:p>
    <w:p w14:paraId="4F1327F8" w14:textId="77777777" w:rsidR="00600535" w:rsidRPr="00D914E7" w:rsidRDefault="00600535" w:rsidP="00037D8C">
      <w:pPr>
        <w:pStyle w:val="CETReference"/>
        <w:rPr>
          <w:lang w:val="es-CO"/>
        </w:rPr>
      </w:pPr>
      <w:proofErr w:type="spellStart"/>
      <w:r w:rsidRPr="00D914E7">
        <w:rPr>
          <w:lang w:val="es-CO"/>
        </w:rPr>
        <w:t>References</w:t>
      </w:r>
      <w:proofErr w:type="spellEnd"/>
    </w:p>
    <w:sdt>
      <w:sdtPr>
        <w:tag w:val="MENDELEY_BIBLIOGRAPHY"/>
        <w:id w:val="-251511220"/>
        <w:placeholder>
          <w:docPart w:val="DefaultPlaceholder_-1854013440"/>
        </w:placeholder>
      </w:sdtPr>
      <w:sdtContent>
        <w:p w14:paraId="15CE5B29" w14:textId="5C391650" w:rsidR="00730A9B" w:rsidRPr="00D914E7" w:rsidRDefault="00730A9B" w:rsidP="006D79EF">
          <w:pPr>
            <w:pStyle w:val="CETReferencetext"/>
            <w:rPr>
              <w:lang w:val="es-CO"/>
            </w:rPr>
          </w:pPr>
          <w:r w:rsidRPr="00D914E7">
            <w:rPr>
              <w:lang w:val="es-CO"/>
            </w:rPr>
            <w:t> </w:t>
          </w:r>
        </w:p>
        <w:p w14:paraId="288BFE86" w14:textId="58EB205F" w:rsidR="00730A9B" w:rsidRPr="00D914E7" w:rsidRDefault="00730A9B" w:rsidP="00037D8C">
          <w:pPr>
            <w:pStyle w:val="CETReferencetext"/>
            <w:divId w:val="811140041"/>
            <w:rPr>
              <w:lang w:val="en-US"/>
            </w:rPr>
          </w:pPr>
          <w:r w:rsidRPr="00730A9B">
            <w:rPr>
              <w:lang w:val="es-CO"/>
            </w:rPr>
            <w:t xml:space="preserve">Aguilar-Vasquez, E. A., Rojas-Flores, S., &amp; González-Delgado, Á. D. (2025). </w:t>
          </w:r>
          <w:r w:rsidRPr="00730A9B">
            <w:t xml:space="preserve">Inherent Safety Analysis of a Cascade Biorefinery for the Utilization of Avocado Hard Waste from the South Colombian Region. </w:t>
          </w:r>
          <w:r w:rsidRPr="00D914E7">
            <w:rPr>
              <w:lang w:val="en-US"/>
            </w:rPr>
            <w:t>Sustainability, 17(18), 8103. https://doi.org/10.3390/SU17188103/S1</w:t>
          </w:r>
        </w:p>
        <w:p w14:paraId="0B5D29AF" w14:textId="77777777" w:rsidR="00730A9B" w:rsidRPr="00730A9B" w:rsidRDefault="00730A9B" w:rsidP="00037D8C">
          <w:pPr>
            <w:pStyle w:val="CETReferencetext"/>
            <w:divId w:val="1752972717"/>
            <w:rPr>
              <w:lang w:val="es-CO"/>
            </w:rPr>
          </w:pPr>
          <w:r w:rsidRPr="00D914E7">
            <w:rPr>
              <w:lang w:val="en-US"/>
            </w:rPr>
            <w:t xml:space="preserve">Aydın, N. Ö., &amp; </w:t>
          </w:r>
          <w:proofErr w:type="spellStart"/>
          <w:r w:rsidRPr="00D914E7">
            <w:rPr>
              <w:lang w:val="en-US"/>
            </w:rPr>
            <w:t>Kopaç</w:t>
          </w:r>
          <w:proofErr w:type="spellEnd"/>
          <w:r w:rsidRPr="00D914E7">
            <w:rPr>
              <w:lang w:val="en-US"/>
            </w:rPr>
            <w:t xml:space="preserve">, M. (2025). </w:t>
          </w:r>
          <w:r w:rsidRPr="00730A9B">
            <w:t xml:space="preserve">Evaluation of a 150 MW ORC designed coal-fired power plant in terms of energy-exergy analysis, economic analysis and sustainability. </w:t>
          </w:r>
          <w:r w:rsidRPr="00730A9B">
            <w:rPr>
              <w:lang w:val="es-CO"/>
            </w:rPr>
            <w:t xml:space="preserve">Energy </w:t>
          </w:r>
          <w:proofErr w:type="spellStart"/>
          <w:r w:rsidRPr="00730A9B">
            <w:rPr>
              <w:lang w:val="es-CO"/>
            </w:rPr>
            <w:t>Reports</w:t>
          </w:r>
          <w:proofErr w:type="spellEnd"/>
          <w:r w:rsidRPr="00730A9B">
            <w:rPr>
              <w:lang w:val="es-CO"/>
            </w:rPr>
            <w:t>, 14, 4056–4067. https://doi.org/10.1016/J.EGYR.2025.11.011</w:t>
          </w:r>
        </w:p>
        <w:p w14:paraId="1014C71D" w14:textId="2C9CA685" w:rsidR="00730A9B" w:rsidRPr="00730A9B" w:rsidRDefault="00730A9B" w:rsidP="00037D8C">
          <w:pPr>
            <w:pStyle w:val="CETReferencetext"/>
            <w:divId w:val="1418139391"/>
          </w:pPr>
          <w:r w:rsidRPr="00730A9B">
            <w:rPr>
              <w:lang w:val="es-CO"/>
            </w:rPr>
            <w:t>González-Delgado, A.</w:t>
          </w:r>
          <w:r w:rsidR="00D914E7">
            <w:rPr>
              <w:lang w:val="es-CO"/>
            </w:rPr>
            <w:t xml:space="preserve"> D.</w:t>
          </w:r>
          <w:r w:rsidRPr="00730A9B">
            <w:rPr>
              <w:lang w:val="es-CO"/>
            </w:rPr>
            <w:t xml:space="preserve">, Barajas-Solano, A. F., </w:t>
          </w:r>
          <w:r w:rsidR="00643339" w:rsidRPr="00730A9B">
            <w:rPr>
              <w:lang w:val="es-CO"/>
            </w:rPr>
            <w:t>León</w:t>
          </w:r>
          <w:r w:rsidRPr="00730A9B">
            <w:rPr>
              <w:lang w:val="es-CO"/>
            </w:rPr>
            <w:t xml:space="preserve">-Pulido, J., (2021). </w:t>
          </w:r>
          <w:r w:rsidRPr="00730A9B">
            <w:t>Evaluating the Sustainability and Inherent Safety of a Crude Palm Oil Production Process in North-Colombia. https://doi.org/10.3390/app11031046</w:t>
          </w:r>
        </w:p>
        <w:p w14:paraId="08276148" w14:textId="77777777" w:rsidR="00730A9B" w:rsidRPr="00730A9B" w:rsidRDefault="00730A9B" w:rsidP="00037D8C">
          <w:pPr>
            <w:pStyle w:val="CETReferencetext"/>
            <w:divId w:val="110100535"/>
          </w:pPr>
          <w:r w:rsidRPr="00730A9B">
            <w:t>El-Halwagi, M. M. (2017). A return on investment metric for incorporating sustainability in process integration and improvement projects. Clean Technologies and Environmental Policy, 19(2), 611–617. https://doi.org/10.1007/S10098-016-1280-2</w:t>
          </w:r>
        </w:p>
        <w:p w14:paraId="69CBAE0B" w14:textId="27B9CCEC" w:rsidR="00730A9B" w:rsidRPr="00D914E7" w:rsidRDefault="00730A9B" w:rsidP="00037D8C">
          <w:pPr>
            <w:pStyle w:val="CETReferencetext"/>
            <w:divId w:val="104466510"/>
            <w:rPr>
              <w:lang w:val="en-US"/>
            </w:rPr>
          </w:pPr>
          <w:r w:rsidRPr="00730A9B">
            <w:t xml:space="preserve">Garcia-Maza, S., Alviz-Meza, A., &amp; Gonzalez-Delgado, A. D. (2025). economic Analysis of a Cascade Biorefinery for </w:t>
          </w:r>
          <w:proofErr w:type="spellStart"/>
          <w:r w:rsidRPr="00730A9B">
            <w:t>Valorizing</w:t>
          </w:r>
          <w:proofErr w:type="spellEnd"/>
          <w:r w:rsidRPr="00730A9B">
            <w:t xml:space="preserve"> </w:t>
          </w:r>
          <w:r w:rsidR="00643339" w:rsidRPr="00730A9B">
            <w:t xml:space="preserve">Chemical Engineering Transactions </w:t>
          </w:r>
          <w:r w:rsidRPr="00730A9B">
            <w:t xml:space="preserve">Techno-Economic Analysis of a Cascade Biorefinery for </w:t>
          </w:r>
          <w:proofErr w:type="spellStart"/>
          <w:r w:rsidRPr="00730A9B">
            <w:t>Valorizing</w:t>
          </w:r>
          <w:proofErr w:type="spellEnd"/>
          <w:r w:rsidRPr="00730A9B">
            <w:t xml:space="preserve"> Agro-Industrial Waste: a Case Study of Avocado Hass Seed (</w:t>
          </w:r>
          <w:proofErr w:type="spellStart"/>
          <w:r w:rsidRPr="00730A9B">
            <w:t>Persea</w:t>
          </w:r>
          <w:proofErr w:type="spellEnd"/>
          <w:r w:rsidRPr="00730A9B">
            <w:t xml:space="preserve"> Americana) from the Amazon Regio</w:t>
          </w:r>
          <w:r w:rsidR="00D914E7">
            <w:t>n</w:t>
          </w:r>
          <w:r w:rsidRPr="00730A9B">
            <w:t xml:space="preserve">. </w:t>
          </w:r>
          <w:r w:rsidRPr="00D914E7">
            <w:rPr>
              <w:lang w:val="en-US"/>
            </w:rPr>
            <w:t>https://doi.org/10.3303/CET25117094</w:t>
          </w:r>
        </w:p>
        <w:p w14:paraId="45E0C040" w14:textId="568C0400" w:rsidR="00730A9B" w:rsidRPr="00D914E7" w:rsidRDefault="00730A9B" w:rsidP="00037D8C">
          <w:pPr>
            <w:pStyle w:val="CETReferencetext"/>
            <w:divId w:val="48699275"/>
          </w:pPr>
          <w:r w:rsidRPr="00730A9B">
            <w:rPr>
              <w:lang w:val="es-CO"/>
            </w:rPr>
            <w:t xml:space="preserve">García-Maza, S., Alviz-Meza, A., &amp; </w:t>
          </w:r>
          <w:r w:rsidR="00643339" w:rsidRPr="00730A9B">
            <w:rPr>
              <w:lang w:val="es-CO"/>
            </w:rPr>
            <w:t>González</w:t>
          </w:r>
          <w:r w:rsidRPr="00730A9B">
            <w:rPr>
              <w:lang w:val="es-CO"/>
            </w:rPr>
            <w:t xml:space="preserve">-Delgado, A. D. (2025). </w:t>
          </w:r>
          <w:r w:rsidRPr="00730A9B">
            <w:t>Economies of Scale Analysis of a Cascade Biorefinery Based on Avocado Wastes (</w:t>
          </w:r>
          <w:proofErr w:type="spellStart"/>
          <w:r w:rsidRPr="00730A9B">
            <w:t>Persea</w:t>
          </w:r>
          <w:proofErr w:type="spellEnd"/>
          <w:r w:rsidRPr="00730A9B">
            <w:t xml:space="preserve"> Americana Mill). Chemical Engineering Transactions, 119, 253–258. </w:t>
          </w:r>
          <w:hyperlink r:id="rId15" w:history="1">
            <w:r w:rsidRPr="00D914E7">
              <w:rPr>
                <w:rStyle w:val="Hyperlink"/>
                <w:color w:val="auto"/>
                <w:u w:val="none"/>
              </w:rPr>
              <w:t>https://doi.org/10.3303/CET25119043</w:t>
            </w:r>
          </w:hyperlink>
        </w:p>
        <w:p w14:paraId="5A3C3270" w14:textId="77777777" w:rsidR="00730A9B" w:rsidRPr="00D914E7" w:rsidRDefault="00730A9B" w:rsidP="00037D8C">
          <w:pPr>
            <w:pStyle w:val="CETReferencetext"/>
            <w:divId w:val="48699275"/>
            <w:rPr>
              <w:lang w:val="es-CO"/>
            </w:rPr>
          </w:pPr>
          <w:r w:rsidRPr="00D914E7">
            <w:t>Juárez-García, M., Contreras-</w:t>
          </w:r>
          <w:proofErr w:type="spellStart"/>
          <w:r w:rsidRPr="00D914E7">
            <w:t>Zarazúa</w:t>
          </w:r>
          <w:proofErr w:type="spellEnd"/>
          <w:r w:rsidRPr="00D914E7">
            <w:t xml:space="preserve">, G., Segovia-Hernández, J.G., Ponce-Ortega, J.M., 2022. </w:t>
          </w:r>
          <w:r w:rsidRPr="00643339">
            <w:t>Improving sustainable CHOSYN’s targets through process intensification.</w:t>
          </w:r>
          <w:r w:rsidRPr="00730A9B">
            <w:t xml:space="preserve"> In: </w:t>
          </w:r>
          <w:proofErr w:type="spellStart"/>
          <w:r w:rsidRPr="00730A9B">
            <w:t>Montastruc</w:t>
          </w:r>
          <w:proofErr w:type="spellEnd"/>
          <w:r w:rsidRPr="00730A9B">
            <w:t xml:space="preserve">, L., </w:t>
          </w:r>
          <w:proofErr w:type="spellStart"/>
          <w:r w:rsidRPr="00730A9B">
            <w:t>Negny</w:t>
          </w:r>
          <w:proofErr w:type="spellEnd"/>
          <w:r w:rsidRPr="00730A9B">
            <w:t xml:space="preserve">, S. (Eds.), 32nd European Symposium on Computer Aided Process Engineering (ESCAPE-32). </w:t>
          </w:r>
          <w:r w:rsidRPr="00D914E7">
            <w:rPr>
              <w:lang w:val="es-CO"/>
            </w:rPr>
            <w:t xml:space="preserve">Elsevier, vol. 51, pp. 613–618. </w:t>
          </w:r>
          <w:hyperlink r:id="rId16" w:tgtFrame="_new" w:history="1">
            <w:r w:rsidRPr="00D914E7">
              <w:rPr>
                <w:lang w:val="es-CO"/>
              </w:rPr>
              <w:t>https://doi.org/10.1016/B978-0-323-95879-0.50103-X</w:t>
            </w:r>
          </w:hyperlink>
        </w:p>
        <w:p w14:paraId="5267CEB3" w14:textId="7AE21EF4" w:rsidR="00730A9B" w:rsidRPr="00730A9B" w:rsidRDefault="00730A9B" w:rsidP="00037D8C">
          <w:pPr>
            <w:pStyle w:val="CETReferencetext"/>
            <w:divId w:val="1692881221"/>
          </w:pPr>
          <w:r w:rsidRPr="00730A9B">
            <w:rPr>
              <w:lang w:val="es-CO"/>
            </w:rPr>
            <w:t>Mena-</w:t>
          </w:r>
          <w:r w:rsidR="00643339" w:rsidRPr="00730A9B">
            <w:rPr>
              <w:lang w:val="es-CO"/>
            </w:rPr>
            <w:t>Chacón</w:t>
          </w:r>
          <w:r w:rsidRPr="00730A9B">
            <w:rPr>
              <w:lang w:val="es-CO"/>
            </w:rPr>
            <w:t>, L. M., Quispe-</w:t>
          </w:r>
          <w:r w:rsidR="00643339" w:rsidRPr="00730A9B">
            <w:rPr>
              <w:lang w:val="es-CO"/>
            </w:rPr>
            <w:t>Sánchez</w:t>
          </w:r>
          <w:r w:rsidRPr="00730A9B">
            <w:rPr>
              <w:lang w:val="es-CO"/>
            </w:rPr>
            <w:t xml:space="preserve">, L., Chicana, F., Oblitas, R., Huaman-Pilco, A. F., Mori, S., Oliva, M., &amp; </w:t>
          </w:r>
          <w:proofErr w:type="spellStart"/>
          <w:r w:rsidRPr="00730A9B">
            <w:rPr>
              <w:lang w:val="es-CO"/>
            </w:rPr>
            <w:t>Yoplac</w:t>
          </w:r>
          <w:proofErr w:type="spellEnd"/>
          <w:r w:rsidRPr="00730A9B">
            <w:rPr>
              <w:lang w:val="es-CO"/>
            </w:rPr>
            <w:t xml:space="preserve">, I. (2025). </w:t>
          </w:r>
          <w:r w:rsidRPr="00730A9B">
            <w:t>Biopolymers extracted from agro-industrial wastes of lucuma, avocado and rice for production of biodegradable trays. Journal of Agriculture and Food Research, 23, 102231. https://doi.org/10.1016/J.JAFR.2025.102231</w:t>
          </w:r>
        </w:p>
        <w:p w14:paraId="737184F6" w14:textId="3CE943C5" w:rsidR="00730A9B" w:rsidRPr="00D914E7" w:rsidRDefault="00730A9B" w:rsidP="00037D8C">
          <w:pPr>
            <w:pStyle w:val="CETReferencetext"/>
            <w:divId w:val="759958228"/>
            <w:rPr>
              <w:szCs w:val="24"/>
              <w:lang w:val="en-US"/>
            </w:rPr>
          </w:pPr>
          <w:r w:rsidRPr="00730A9B">
            <w:rPr>
              <w:lang w:val="es-CO"/>
            </w:rPr>
            <w:t xml:space="preserve">Munguía-López, A. C., &amp; Ponce-Ortega, J. M. (2022). </w:t>
          </w:r>
          <w:r w:rsidRPr="00643339">
            <w:rPr>
              <w:rStyle w:val="Emphasis"/>
              <w:i w:val="0"/>
              <w:iCs w:val="0"/>
            </w:rPr>
            <w:t>A fair-sustainable approach for the optimization of an integrated fuel production system</w:t>
          </w:r>
          <w:r w:rsidRPr="00643339">
            <w:rPr>
              <w:i/>
              <w:iCs/>
            </w:rPr>
            <w:t xml:space="preserve">. In </w:t>
          </w:r>
          <w:r w:rsidRPr="00643339">
            <w:rPr>
              <w:rStyle w:val="Emphasis"/>
              <w:i w:val="0"/>
              <w:iCs w:val="0"/>
            </w:rPr>
            <w:t xml:space="preserve">Computer Aided </w:t>
          </w:r>
          <w:r w:rsidRPr="008606B1">
            <w:rPr>
              <w:rStyle w:val="Emphasis"/>
              <w:i w:val="0"/>
              <w:iCs w:val="0"/>
            </w:rPr>
            <w:t>Chemical Engineering</w:t>
          </w:r>
          <w:r w:rsidRPr="008606B1">
            <w:t xml:space="preserve"> (Vol. 50, pp. [</w:t>
          </w:r>
          <w:r w:rsidR="008606B1" w:rsidRPr="008606B1">
            <w:t>1597–1602</w:t>
          </w:r>
          <w:r w:rsidRPr="008606B1">
            <w:t>]). Elsevier. https://doi.org/10.1016/B978-0-323-95879-0.50266-6</w:t>
          </w:r>
        </w:p>
        <w:p w14:paraId="6506CCB2" w14:textId="77777777" w:rsidR="00730A9B" w:rsidRPr="00730A9B" w:rsidRDefault="00730A9B" w:rsidP="00037D8C">
          <w:pPr>
            <w:pStyle w:val="CETReferencetext"/>
            <w:divId w:val="1442603899"/>
          </w:pPr>
          <w:r w:rsidRPr="00730A9B">
            <w:t>Suarez, A. (2025). (Re)making landscapes into resources: the role of Hass avocado plantations in Salamina, Colombia. World Development Perspectives, 39, 100695. https://doi.org/10.1016/J.WDP.2025.100695</w:t>
          </w:r>
        </w:p>
        <w:p w14:paraId="50E7C844" w14:textId="77777777" w:rsidR="00730A9B" w:rsidRPr="00730A9B" w:rsidRDefault="00730A9B" w:rsidP="00037D8C">
          <w:pPr>
            <w:pStyle w:val="CETReferencetext"/>
            <w:divId w:val="1327781425"/>
          </w:pPr>
          <w:r w:rsidRPr="00D914E7">
            <w:t xml:space="preserve">Valdez-Valdes, S. A., Fontalvo-Morales, A. V, &amp; Gonzalez-Delgado, A. D. (2025). </w:t>
          </w:r>
          <w:r w:rsidRPr="00730A9B">
            <w:t>Technical Assessment of a Cascade Avocado Waste Biorefinery Based on Water, Energy and Product Evaluation (WEP). Chemical Engineering Transactions, 119, 277–282. https://doi.org/10.3303/CET25119047</w:t>
          </w:r>
        </w:p>
        <w:p w14:paraId="66FABF5A" w14:textId="641773FA" w:rsidR="00730A9B" w:rsidRPr="00730A9B" w:rsidRDefault="00730A9B" w:rsidP="00037D8C">
          <w:pPr>
            <w:pStyle w:val="CETReferencetext"/>
            <w:divId w:val="259021798"/>
          </w:pPr>
          <w:proofErr w:type="spellStart"/>
          <w:r w:rsidRPr="00D914E7">
            <w:rPr>
              <w:lang w:val="en-US"/>
            </w:rPr>
            <w:t>Zuorro</w:t>
          </w:r>
          <w:proofErr w:type="spellEnd"/>
          <w:r w:rsidRPr="00D914E7">
            <w:rPr>
              <w:lang w:val="en-US"/>
            </w:rPr>
            <w:t xml:space="preserve">, A., Moreno-Sader, K. A., &amp; González-Delgado, Á. D. (2021). </w:t>
          </w:r>
          <w:r w:rsidRPr="00730A9B">
            <w:t xml:space="preserve">Inherent Safety Analysis and Sustainability Evaluation of Chitosan Production from Shrimp Exoskeleton in Colombia. Water 2021, </w:t>
          </w:r>
          <w:r w:rsidRPr="00643339">
            <w:t>Vol. 13,</w:t>
          </w:r>
          <w:r w:rsidR="00643339" w:rsidRPr="00643339">
            <w:t xml:space="preserve"> </w:t>
          </w:r>
          <w:r w:rsidRPr="00730A9B">
            <w:t>(4). https://doi.org/10.3390/W13040553</w:t>
          </w:r>
        </w:p>
      </w:sdtContent>
    </w:sdt>
    <w:sectPr w:rsidR="00730A9B" w:rsidRPr="00730A9B" w:rsidSect="00A714EF">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81C11" w14:textId="77777777" w:rsidR="00765A63" w:rsidRDefault="00765A63" w:rsidP="004F5E36">
      <w:r>
        <w:separator/>
      </w:r>
    </w:p>
  </w:endnote>
  <w:endnote w:type="continuationSeparator" w:id="0">
    <w:p w14:paraId="5324FAD1" w14:textId="77777777" w:rsidR="00765A63" w:rsidRDefault="00765A63"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Times New Roman"/>
    <w:panose1 w:val="00000000000000000000"/>
    <w:charset w:val="4D"/>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676DA" w14:textId="77777777" w:rsidR="00765A63" w:rsidRDefault="00765A63" w:rsidP="004F5E36">
      <w:r>
        <w:separator/>
      </w:r>
    </w:p>
  </w:footnote>
  <w:footnote w:type="continuationSeparator" w:id="0">
    <w:p w14:paraId="6A54306C" w14:textId="77777777" w:rsidR="00765A63" w:rsidRDefault="00765A63"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C2452B4"/>
    <w:multiLevelType w:val="hybridMultilevel"/>
    <w:tmpl w:val="2E4A43E0"/>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438217E"/>
    <w:multiLevelType w:val="multilevel"/>
    <w:tmpl w:val="53E63514"/>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color w:val="auto"/>
      </w:rPr>
    </w:lvl>
    <w:lvl w:ilvl="2">
      <w:start w:val="1"/>
      <w:numFmt w:val="decimal"/>
      <w:pStyle w:val="CETheadingx"/>
      <w:suff w:val="space"/>
      <w:lvlText w:val="%2.%3"/>
      <w:lvlJc w:val="left"/>
      <w:pPr>
        <w:ind w:left="0" w:firstLine="0"/>
      </w:pPr>
      <w:rPr>
        <w:rFonts w:hint="default"/>
      </w:rPr>
    </w:lvl>
    <w:lvl w:ilvl="3">
      <w:start w:val="1"/>
      <w:numFmt w:val="decimal"/>
      <w:pStyle w:val="TableSimpl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405C576D"/>
    <w:multiLevelType w:val="hybridMultilevel"/>
    <w:tmpl w:val="94308554"/>
    <w:lvl w:ilvl="0" w:tplc="53D8E422">
      <w:start w:val="1"/>
      <w:numFmt w:val="bullet"/>
      <w:lvlText w:val=""/>
      <w:lvlJc w:val="left"/>
      <w:pPr>
        <w:ind w:left="1080" w:hanging="360"/>
      </w:pPr>
      <w:rPr>
        <w:rFonts w:ascii="Symbol" w:hAnsi="Symbol"/>
      </w:rPr>
    </w:lvl>
    <w:lvl w:ilvl="1" w:tplc="7DE2C530">
      <w:start w:val="1"/>
      <w:numFmt w:val="bullet"/>
      <w:lvlText w:val=""/>
      <w:lvlJc w:val="left"/>
      <w:pPr>
        <w:ind w:left="1080" w:hanging="360"/>
      </w:pPr>
      <w:rPr>
        <w:rFonts w:ascii="Symbol" w:hAnsi="Symbol"/>
      </w:rPr>
    </w:lvl>
    <w:lvl w:ilvl="2" w:tplc="48BA8978">
      <w:start w:val="1"/>
      <w:numFmt w:val="bullet"/>
      <w:lvlText w:val=""/>
      <w:lvlJc w:val="left"/>
      <w:pPr>
        <w:ind w:left="1080" w:hanging="360"/>
      </w:pPr>
      <w:rPr>
        <w:rFonts w:ascii="Symbol" w:hAnsi="Symbol"/>
      </w:rPr>
    </w:lvl>
    <w:lvl w:ilvl="3" w:tplc="63621AF0">
      <w:start w:val="1"/>
      <w:numFmt w:val="bullet"/>
      <w:lvlText w:val=""/>
      <w:lvlJc w:val="left"/>
      <w:pPr>
        <w:ind w:left="1080" w:hanging="360"/>
      </w:pPr>
      <w:rPr>
        <w:rFonts w:ascii="Symbol" w:hAnsi="Symbol"/>
      </w:rPr>
    </w:lvl>
    <w:lvl w:ilvl="4" w:tplc="EF24E426">
      <w:start w:val="1"/>
      <w:numFmt w:val="bullet"/>
      <w:lvlText w:val=""/>
      <w:lvlJc w:val="left"/>
      <w:pPr>
        <w:ind w:left="1080" w:hanging="360"/>
      </w:pPr>
      <w:rPr>
        <w:rFonts w:ascii="Symbol" w:hAnsi="Symbol"/>
      </w:rPr>
    </w:lvl>
    <w:lvl w:ilvl="5" w:tplc="16E24E98">
      <w:start w:val="1"/>
      <w:numFmt w:val="bullet"/>
      <w:lvlText w:val=""/>
      <w:lvlJc w:val="left"/>
      <w:pPr>
        <w:ind w:left="1080" w:hanging="360"/>
      </w:pPr>
      <w:rPr>
        <w:rFonts w:ascii="Symbol" w:hAnsi="Symbol"/>
      </w:rPr>
    </w:lvl>
    <w:lvl w:ilvl="6" w:tplc="B636C758">
      <w:start w:val="1"/>
      <w:numFmt w:val="bullet"/>
      <w:lvlText w:val=""/>
      <w:lvlJc w:val="left"/>
      <w:pPr>
        <w:ind w:left="1080" w:hanging="360"/>
      </w:pPr>
      <w:rPr>
        <w:rFonts w:ascii="Symbol" w:hAnsi="Symbol"/>
      </w:rPr>
    </w:lvl>
    <w:lvl w:ilvl="7" w:tplc="131C7098">
      <w:start w:val="1"/>
      <w:numFmt w:val="bullet"/>
      <w:lvlText w:val=""/>
      <w:lvlJc w:val="left"/>
      <w:pPr>
        <w:ind w:left="1080" w:hanging="360"/>
      </w:pPr>
      <w:rPr>
        <w:rFonts w:ascii="Symbol" w:hAnsi="Symbol"/>
      </w:rPr>
    </w:lvl>
    <w:lvl w:ilvl="8" w:tplc="D19AB7AA">
      <w:start w:val="1"/>
      <w:numFmt w:val="bullet"/>
      <w:lvlText w:val=""/>
      <w:lvlJc w:val="left"/>
      <w:pPr>
        <w:ind w:left="1080" w:hanging="360"/>
      </w:pPr>
      <w:rPr>
        <w:rFonts w:ascii="Symbol" w:hAnsi="Symbol"/>
      </w:rPr>
    </w:lvl>
  </w:abstractNum>
  <w:abstractNum w:abstractNumId="17"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0"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6882765">
    <w:abstractNumId w:val="11"/>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19"/>
  </w:num>
  <w:num w:numId="13" w16cid:durableId="695733619">
    <w:abstractNumId w:val="13"/>
  </w:num>
  <w:num w:numId="14" w16cid:durableId="145903400">
    <w:abstractNumId w:val="20"/>
  </w:num>
  <w:num w:numId="15" w16cid:durableId="19162326">
    <w:abstractNumId w:val="22"/>
  </w:num>
  <w:num w:numId="16" w16cid:durableId="1977102699">
    <w:abstractNumId w:val="21"/>
  </w:num>
  <w:num w:numId="17" w16cid:durableId="860774865">
    <w:abstractNumId w:val="12"/>
  </w:num>
  <w:num w:numId="18" w16cid:durableId="313221457">
    <w:abstractNumId w:val="13"/>
    <w:lvlOverride w:ilvl="0">
      <w:startOverride w:val="1"/>
    </w:lvlOverride>
  </w:num>
  <w:num w:numId="19" w16cid:durableId="534971577">
    <w:abstractNumId w:val="18"/>
  </w:num>
  <w:num w:numId="20" w16cid:durableId="1150947773">
    <w:abstractNumId w:val="17"/>
  </w:num>
  <w:num w:numId="21" w16cid:durableId="124660497">
    <w:abstractNumId w:val="15"/>
  </w:num>
  <w:num w:numId="22" w16cid:durableId="2099861471">
    <w:abstractNumId w:val="14"/>
  </w:num>
  <w:num w:numId="23" w16cid:durableId="1153303045">
    <w:abstractNumId w:val="10"/>
  </w:num>
  <w:num w:numId="24" w16cid:durableId="10495697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05A19"/>
    <w:rsid w:val="00006367"/>
    <w:rsid w:val="00007636"/>
    <w:rsid w:val="0000769E"/>
    <w:rsid w:val="000117CB"/>
    <w:rsid w:val="00012228"/>
    <w:rsid w:val="00021FD7"/>
    <w:rsid w:val="00027C70"/>
    <w:rsid w:val="0003148D"/>
    <w:rsid w:val="00031EEC"/>
    <w:rsid w:val="00032A9C"/>
    <w:rsid w:val="00036936"/>
    <w:rsid w:val="00037D8C"/>
    <w:rsid w:val="00041D05"/>
    <w:rsid w:val="00051566"/>
    <w:rsid w:val="00054288"/>
    <w:rsid w:val="000562A9"/>
    <w:rsid w:val="00062A9A"/>
    <w:rsid w:val="00065058"/>
    <w:rsid w:val="00065653"/>
    <w:rsid w:val="0007139A"/>
    <w:rsid w:val="00072FFF"/>
    <w:rsid w:val="00074077"/>
    <w:rsid w:val="00086C39"/>
    <w:rsid w:val="000A03B2"/>
    <w:rsid w:val="000A58EE"/>
    <w:rsid w:val="000C3E0C"/>
    <w:rsid w:val="000D0268"/>
    <w:rsid w:val="000D34BE"/>
    <w:rsid w:val="000E0B3E"/>
    <w:rsid w:val="000E102F"/>
    <w:rsid w:val="000E36F1"/>
    <w:rsid w:val="000E3A73"/>
    <w:rsid w:val="000E414A"/>
    <w:rsid w:val="000F093C"/>
    <w:rsid w:val="000F26CD"/>
    <w:rsid w:val="000F5392"/>
    <w:rsid w:val="000F787B"/>
    <w:rsid w:val="001013CA"/>
    <w:rsid w:val="0010337B"/>
    <w:rsid w:val="00104CBE"/>
    <w:rsid w:val="00115A14"/>
    <w:rsid w:val="0012091F"/>
    <w:rsid w:val="00121EF2"/>
    <w:rsid w:val="00126BC2"/>
    <w:rsid w:val="001308B6"/>
    <w:rsid w:val="0013121F"/>
    <w:rsid w:val="00131FE6"/>
    <w:rsid w:val="0013263F"/>
    <w:rsid w:val="001331DF"/>
    <w:rsid w:val="00134DE4"/>
    <w:rsid w:val="0014034D"/>
    <w:rsid w:val="00142F72"/>
    <w:rsid w:val="00144D16"/>
    <w:rsid w:val="00146C54"/>
    <w:rsid w:val="00150E59"/>
    <w:rsid w:val="00152DE3"/>
    <w:rsid w:val="00154E90"/>
    <w:rsid w:val="001575FB"/>
    <w:rsid w:val="001605F0"/>
    <w:rsid w:val="00164CF9"/>
    <w:rsid w:val="001667A6"/>
    <w:rsid w:val="00172C46"/>
    <w:rsid w:val="0017374C"/>
    <w:rsid w:val="00174293"/>
    <w:rsid w:val="00180545"/>
    <w:rsid w:val="00184AD6"/>
    <w:rsid w:val="00186361"/>
    <w:rsid w:val="00193D8B"/>
    <w:rsid w:val="0019571C"/>
    <w:rsid w:val="001A09B0"/>
    <w:rsid w:val="001A4AF7"/>
    <w:rsid w:val="001B0349"/>
    <w:rsid w:val="001B1E93"/>
    <w:rsid w:val="001B65C1"/>
    <w:rsid w:val="001C4316"/>
    <w:rsid w:val="001C4FF8"/>
    <w:rsid w:val="001C684B"/>
    <w:rsid w:val="001C7548"/>
    <w:rsid w:val="001C7B18"/>
    <w:rsid w:val="001D0CFB"/>
    <w:rsid w:val="001D1616"/>
    <w:rsid w:val="001D21AF"/>
    <w:rsid w:val="001D53FC"/>
    <w:rsid w:val="001F3E15"/>
    <w:rsid w:val="001F42A5"/>
    <w:rsid w:val="001F4342"/>
    <w:rsid w:val="001F7B9D"/>
    <w:rsid w:val="001F7F35"/>
    <w:rsid w:val="00201C93"/>
    <w:rsid w:val="00214011"/>
    <w:rsid w:val="00215384"/>
    <w:rsid w:val="002224B4"/>
    <w:rsid w:val="002235B8"/>
    <w:rsid w:val="00226BBE"/>
    <w:rsid w:val="002438DF"/>
    <w:rsid w:val="002447EF"/>
    <w:rsid w:val="00251550"/>
    <w:rsid w:val="002528E2"/>
    <w:rsid w:val="00254193"/>
    <w:rsid w:val="00260755"/>
    <w:rsid w:val="002611A3"/>
    <w:rsid w:val="00263B05"/>
    <w:rsid w:val="002642EB"/>
    <w:rsid w:val="00270025"/>
    <w:rsid w:val="00271E73"/>
    <w:rsid w:val="0027221A"/>
    <w:rsid w:val="00273F50"/>
    <w:rsid w:val="00275B61"/>
    <w:rsid w:val="00280FAF"/>
    <w:rsid w:val="00282656"/>
    <w:rsid w:val="00296B83"/>
    <w:rsid w:val="002A0F37"/>
    <w:rsid w:val="002A6BCF"/>
    <w:rsid w:val="002A783A"/>
    <w:rsid w:val="002B3BF3"/>
    <w:rsid w:val="002B4015"/>
    <w:rsid w:val="002B78CE"/>
    <w:rsid w:val="002C2FB6"/>
    <w:rsid w:val="002C65C5"/>
    <w:rsid w:val="002E129A"/>
    <w:rsid w:val="002E5FA7"/>
    <w:rsid w:val="002F31AB"/>
    <w:rsid w:val="002F3309"/>
    <w:rsid w:val="003008CE"/>
    <w:rsid w:val="003009B7"/>
    <w:rsid w:val="00300E56"/>
    <w:rsid w:val="0030152C"/>
    <w:rsid w:val="00303A91"/>
    <w:rsid w:val="0030459F"/>
    <w:rsid w:val="0030469C"/>
    <w:rsid w:val="00320C1B"/>
    <w:rsid w:val="00321CA6"/>
    <w:rsid w:val="00323763"/>
    <w:rsid w:val="00323C5F"/>
    <w:rsid w:val="003245A3"/>
    <w:rsid w:val="003259DA"/>
    <w:rsid w:val="00333C39"/>
    <w:rsid w:val="00334C09"/>
    <w:rsid w:val="00342502"/>
    <w:rsid w:val="00354F8D"/>
    <w:rsid w:val="00360ACD"/>
    <w:rsid w:val="00361854"/>
    <w:rsid w:val="00370FF2"/>
    <w:rsid w:val="003723D4"/>
    <w:rsid w:val="00374F0E"/>
    <w:rsid w:val="00381905"/>
    <w:rsid w:val="00384CC8"/>
    <w:rsid w:val="003871FD"/>
    <w:rsid w:val="00392EEF"/>
    <w:rsid w:val="003A1E30"/>
    <w:rsid w:val="003A2829"/>
    <w:rsid w:val="003A7D1C"/>
    <w:rsid w:val="003B304B"/>
    <w:rsid w:val="003B3146"/>
    <w:rsid w:val="003B7485"/>
    <w:rsid w:val="003E01F7"/>
    <w:rsid w:val="003E26E9"/>
    <w:rsid w:val="003F015E"/>
    <w:rsid w:val="00400414"/>
    <w:rsid w:val="00404253"/>
    <w:rsid w:val="00411600"/>
    <w:rsid w:val="0041446B"/>
    <w:rsid w:val="00426374"/>
    <w:rsid w:val="00431D67"/>
    <w:rsid w:val="00431E22"/>
    <w:rsid w:val="0044071E"/>
    <w:rsid w:val="0044329C"/>
    <w:rsid w:val="00453E24"/>
    <w:rsid w:val="0045446F"/>
    <w:rsid w:val="00456DF9"/>
    <w:rsid w:val="004573D9"/>
    <w:rsid w:val="00457456"/>
    <w:rsid w:val="004577FE"/>
    <w:rsid w:val="00457B9C"/>
    <w:rsid w:val="0046164A"/>
    <w:rsid w:val="0046211D"/>
    <w:rsid w:val="004628D2"/>
    <w:rsid w:val="00462DCD"/>
    <w:rsid w:val="004648AD"/>
    <w:rsid w:val="004703A9"/>
    <w:rsid w:val="00472DF1"/>
    <w:rsid w:val="00475E2E"/>
    <w:rsid w:val="004760DE"/>
    <w:rsid w:val="004763D7"/>
    <w:rsid w:val="004A004E"/>
    <w:rsid w:val="004A13A6"/>
    <w:rsid w:val="004A24CF"/>
    <w:rsid w:val="004A35C5"/>
    <w:rsid w:val="004C3D1D"/>
    <w:rsid w:val="004C3D84"/>
    <w:rsid w:val="004C5413"/>
    <w:rsid w:val="004C6FF8"/>
    <w:rsid w:val="004C7913"/>
    <w:rsid w:val="004D1592"/>
    <w:rsid w:val="004D482F"/>
    <w:rsid w:val="004E092B"/>
    <w:rsid w:val="004E4DD6"/>
    <w:rsid w:val="004F0797"/>
    <w:rsid w:val="004F32EF"/>
    <w:rsid w:val="004F3FDE"/>
    <w:rsid w:val="004F5E36"/>
    <w:rsid w:val="00503733"/>
    <w:rsid w:val="00507B47"/>
    <w:rsid w:val="00507BEF"/>
    <w:rsid w:val="00507CC9"/>
    <w:rsid w:val="005119A5"/>
    <w:rsid w:val="00512AC1"/>
    <w:rsid w:val="00516EBE"/>
    <w:rsid w:val="00520E4F"/>
    <w:rsid w:val="005226FE"/>
    <w:rsid w:val="005278B7"/>
    <w:rsid w:val="00530C20"/>
    <w:rsid w:val="00532016"/>
    <w:rsid w:val="005346C8"/>
    <w:rsid w:val="005431DB"/>
    <w:rsid w:val="00543E7D"/>
    <w:rsid w:val="00547A68"/>
    <w:rsid w:val="005531C9"/>
    <w:rsid w:val="00557E00"/>
    <w:rsid w:val="00557EB1"/>
    <w:rsid w:val="00570C43"/>
    <w:rsid w:val="00571075"/>
    <w:rsid w:val="0058029D"/>
    <w:rsid w:val="00581604"/>
    <w:rsid w:val="005914ED"/>
    <w:rsid w:val="0059280A"/>
    <w:rsid w:val="005928DF"/>
    <w:rsid w:val="005A2F70"/>
    <w:rsid w:val="005B2110"/>
    <w:rsid w:val="005B4173"/>
    <w:rsid w:val="005B61E6"/>
    <w:rsid w:val="005B62A8"/>
    <w:rsid w:val="005C73DB"/>
    <w:rsid w:val="005C75EC"/>
    <w:rsid w:val="005C77E1"/>
    <w:rsid w:val="005D2292"/>
    <w:rsid w:val="005D668A"/>
    <w:rsid w:val="005D6A2F"/>
    <w:rsid w:val="005E1A82"/>
    <w:rsid w:val="005E2C24"/>
    <w:rsid w:val="005E4B45"/>
    <w:rsid w:val="005E6348"/>
    <w:rsid w:val="005E794C"/>
    <w:rsid w:val="005F066B"/>
    <w:rsid w:val="005F0A28"/>
    <w:rsid w:val="005F0E5E"/>
    <w:rsid w:val="005F7497"/>
    <w:rsid w:val="00600535"/>
    <w:rsid w:val="00610CD6"/>
    <w:rsid w:val="0061168F"/>
    <w:rsid w:val="00620DEE"/>
    <w:rsid w:val="00621F92"/>
    <w:rsid w:val="0062280A"/>
    <w:rsid w:val="00625639"/>
    <w:rsid w:val="00631B33"/>
    <w:rsid w:val="006327B6"/>
    <w:rsid w:val="00635A2C"/>
    <w:rsid w:val="0064184D"/>
    <w:rsid w:val="006422CC"/>
    <w:rsid w:val="00643339"/>
    <w:rsid w:val="00660A5E"/>
    <w:rsid w:val="00660E3E"/>
    <w:rsid w:val="00662E74"/>
    <w:rsid w:val="0066321A"/>
    <w:rsid w:val="00671E28"/>
    <w:rsid w:val="00680C23"/>
    <w:rsid w:val="00681460"/>
    <w:rsid w:val="006823B1"/>
    <w:rsid w:val="00692716"/>
    <w:rsid w:val="00693766"/>
    <w:rsid w:val="006A3281"/>
    <w:rsid w:val="006A5A08"/>
    <w:rsid w:val="006B4888"/>
    <w:rsid w:val="006C2E45"/>
    <w:rsid w:val="006C2E49"/>
    <w:rsid w:val="006C359C"/>
    <w:rsid w:val="006C5579"/>
    <w:rsid w:val="006D1B96"/>
    <w:rsid w:val="006D36BA"/>
    <w:rsid w:val="006D6E8B"/>
    <w:rsid w:val="006D79EF"/>
    <w:rsid w:val="006E33CA"/>
    <w:rsid w:val="006E737D"/>
    <w:rsid w:val="006F35D2"/>
    <w:rsid w:val="007049EF"/>
    <w:rsid w:val="00705320"/>
    <w:rsid w:val="00707DD1"/>
    <w:rsid w:val="00707ED2"/>
    <w:rsid w:val="00711557"/>
    <w:rsid w:val="00713973"/>
    <w:rsid w:val="00714FF7"/>
    <w:rsid w:val="00720A24"/>
    <w:rsid w:val="00730A9B"/>
    <w:rsid w:val="00732386"/>
    <w:rsid w:val="0073514D"/>
    <w:rsid w:val="00736CAB"/>
    <w:rsid w:val="00741083"/>
    <w:rsid w:val="007447F3"/>
    <w:rsid w:val="007464E3"/>
    <w:rsid w:val="0075499F"/>
    <w:rsid w:val="00760300"/>
    <w:rsid w:val="00765A63"/>
    <w:rsid w:val="007661C8"/>
    <w:rsid w:val="0077098D"/>
    <w:rsid w:val="007931FA"/>
    <w:rsid w:val="007A4861"/>
    <w:rsid w:val="007A6AB8"/>
    <w:rsid w:val="007A7BBA"/>
    <w:rsid w:val="007B0C50"/>
    <w:rsid w:val="007B48F9"/>
    <w:rsid w:val="007C1A43"/>
    <w:rsid w:val="007D0951"/>
    <w:rsid w:val="007D6A2E"/>
    <w:rsid w:val="0080013E"/>
    <w:rsid w:val="00801331"/>
    <w:rsid w:val="00802C77"/>
    <w:rsid w:val="00813288"/>
    <w:rsid w:val="008140DA"/>
    <w:rsid w:val="008149F9"/>
    <w:rsid w:val="008168FC"/>
    <w:rsid w:val="008262F4"/>
    <w:rsid w:val="00827F60"/>
    <w:rsid w:val="00830996"/>
    <w:rsid w:val="008345F1"/>
    <w:rsid w:val="00852F7B"/>
    <w:rsid w:val="008606B1"/>
    <w:rsid w:val="00865B07"/>
    <w:rsid w:val="008667EA"/>
    <w:rsid w:val="00872C59"/>
    <w:rsid w:val="00873E23"/>
    <w:rsid w:val="00874197"/>
    <w:rsid w:val="0087637F"/>
    <w:rsid w:val="00882E9F"/>
    <w:rsid w:val="008849B7"/>
    <w:rsid w:val="008909E2"/>
    <w:rsid w:val="00892AD5"/>
    <w:rsid w:val="008958EA"/>
    <w:rsid w:val="008A1512"/>
    <w:rsid w:val="008A354F"/>
    <w:rsid w:val="008A3787"/>
    <w:rsid w:val="008B223B"/>
    <w:rsid w:val="008B6DED"/>
    <w:rsid w:val="008B7D18"/>
    <w:rsid w:val="008C4D0C"/>
    <w:rsid w:val="008D32B9"/>
    <w:rsid w:val="008D433B"/>
    <w:rsid w:val="008D4A16"/>
    <w:rsid w:val="008D4D25"/>
    <w:rsid w:val="008E0ED1"/>
    <w:rsid w:val="008E566E"/>
    <w:rsid w:val="008E58F7"/>
    <w:rsid w:val="008F67C4"/>
    <w:rsid w:val="0090161A"/>
    <w:rsid w:val="00901EB6"/>
    <w:rsid w:val="00904C62"/>
    <w:rsid w:val="00922BA8"/>
    <w:rsid w:val="009248B6"/>
    <w:rsid w:val="00924DAC"/>
    <w:rsid w:val="00927058"/>
    <w:rsid w:val="00942750"/>
    <w:rsid w:val="009450CE"/>
    <w:rsid w:val="009459BB"/>
    <w:rsid w:val="00947179"/>
    <w:rsid w:val="00950B45"/>
    <w:rsid w:val="0095164B"/>
    <w:rsid w:val="00954090"/>
    <w:rsid w:val="009573E7"/>
    <w:rsid w:val="00963E05"/>
    <w:rsid w:val="00964A45"/>
    <w:rsid w:val="00967843"/>
    <w:rsid w:val="00967D54"/>
    <w:rsid w:val="00971028"/>
    <w:rsid w:val="00982B12"/>
    <w:rsid w:val="00984B87"/>
    <w:rsid w:val="009858FF"/>
    <w:rsid w:val="00986031"/>
    <w:rsid w:val="009909A6"/>
    <w:rsid w:val="00992AA1"/>
    <w:rsid w:val="00993B84"/>
    <w:rsid w:val="00996483"/>
    <w:rsid w:val="00996F5A"/>
    <w:rsid w:val="0099712E"/>
    <w:rsid w:val="009B041A"/>
    <w:rsid w:val="009B3AC7"/>
    <w:rsid w:val="009C1441"/>
    <w:rsid w:val="009C1AC4"/>
    <w:rsid w:val="009C37C3"/>
    <w:rsid w:val="009C5A30"/>
    <w:rsid w:val="009C7C86"/>
    <w:rsid w:val="009D2FF7"/>
    <w:rsid w:val="009D638E"/>
    <w:rsid w:val="009E282E"/>
    <w:rsid w:val="009E438E"/>
    <w:rsid w:val="009E5EF0"/>
    <w:rsid w:val="009E7884"/>
    <w:rsid w:val="009E788A"/>
    <w:rsid w:val="009F0DAD"/>
    <w:rsid w:val="009F0E08"/>
    <w:rsid w:val="009F7478"/>
    <w:rsid w:val="00A107AF"/>
    <w:rsid w:val="00A1763D"/>
    <w:rsid w:val="00A17CEC"/>
    <w:rsid w:val="00A258C4"/>
    <w:rsid w:val="00A27EF0"/>
    <w:rsid w:val="00A3548E"/>
    <w:rsid w:val="00A42361"/>
    <w:rsid w:val="00A440ED"/>
    <w:rsid w:val="00A50B20"/>
    <w:rsid w:val="00A51390"/>
    <w:rsid w:val="00A60A18"/>
    <w:rsid w:val="00A60D13"/>
    <w:rsid w:val="00A714EF"/>
    <w:rsid w:val="00A7223D"/>
    <w:rsid w:val="00A72745"/>
    <w:rsid w:val="00A76EFC"/>
    <w:rsid w:val="00A852CC"/>
    <w:rsid w:val="00A87D50"/>
    <w:rsid w:val="00A91010"/>
    <w:rsid w:val="00A97F29"/>
    <w:rsid w:val="00AA702E"/>
    <w:rsid w:val="00AA7D26"/>
    <w:rsid w:val="00AB0964"/>
    <w:rsid w:val="00AB250F"/>
    <w:rsid w:val="00AB5011"/>
    <w:rsid w:val="00AC33BC"/>
    <w:rsid w:val="00AC698C"/>
    <w:rsid w:val="00AC7368"/>
    <w:rsid w:val="00AD16B9"/>
    <w:rsid w:val="00AE377D"/>
    <w:rsid w:val="00AF0EBA"/>
    <w:rsid w:val="00AF42B2"/>
    <w:rsid w:val="00AF46C8"/>
    <w:rsid w:val="00B02C8A"/>
    <w:rsid w:val="00B03212"/>
    <w:rsid w:val="00B05DA4"/>
    <w:rsid w:val="00B06935"/>
    <w:rsid w:val="00B17FBD"/>
    <w:rsid w:val="00B21375"/>
    <w:rsid w:val="00B2619F"/>
    <w:rsid w:val="00B312A0"/>
    <w:rsid w:val="00B315A6"/>
    <w:rsid w:val="00B31813"/>
    <w:rsid w:val="00B318CB"/>
    <w:rsid w:val="00B33365"/>
    <w:rsid w:val="00B33A8A"/>
    <w:rsid w:val="00B34CC5"/>
    <w:rsid w:val="00B35854"/>
    <w:rsid w:val="00B35AA2"/>
    <w:rsid w:val="00B37ABC"/>
    <w:rsid w:val="00B40BD0"/>
    <w:rsid w:val="00B42383"/>
    <w:rsid w:val="00B57192"/>
    <w:rsid w:val="00B57B36"/>
    <w:rsid w:val="00B57E6F"/>
    <w:rsid w:val="00B61EEE"/>
    <w:rsid w:val="00B64B22"/>
    <w:rsid w:val="00B71657"/>
    <w:rsid w:val="00B72468"/>
    <w:rsid w:val="00B72E70"/>
    <w:rsid w:val="00B775B5"/>
    <w:rsid w:val="00B8686D"/>
    <w:rsid w:val="00B9249B"/>
    <w:rsid w:val="00B93F69"/>
    <w:rsid w:val="00BB1DDC"/>
    <w:rsid w:val="00BB4802"/>
    <w:rsid w:val="00BB4C44"/>
    <w:rsid w:val="00BC2BB1"/>
    <w:rsid w:val="00BC30C9"/>
    <w:rsid w:val="00BC4347"/>
    <w:rsid w:val="00BC7DC1"/>
    <w:rsid w:val="00BD077D"/>
    <w:rsid w:val="00BD0BFE"/>
    <w:rsid w:val="00BD1A8D"/>
    <w:rsid w:val="00BE39CF"/>
    <w:rsid w:val="00BE3E58"/>
    <w:rsid w:val="00BE4C8D"/>
    <w:rsid w:val="00BE7119"/>
    <w:rsid w:val="00BF4BE3"/>
    <w:rsid w:val="00BF6523"/>
    <w:rsid w:val="00C00A1F"/>
    <w:rsid w:val="00C01616"/>
    <w:rsid w:val="00C0162B"/>
    <w:rsid w:val="00C0463B"/>
    <w:rsid w:val="00C05937"/>
    <w:rsid w:val="00C068ED"/>
    <w:rsid w:val="00C076DF"/>
    <w:rsid w:val="00C10F89"/>
    <w:rsid w:val="00C14067"/>
    <w:rsid w:val="00C16032"/>
    <w:rsid w:val="00C22E0C"/>
    <w:rsid w:val="00C24AF1"/>
    <w:rsid w:val="00C345B1"/>
    <w:rsid w:val="00C40142"/>
    <w:rsid w:val="00C43548"/>
    <w:rsid w:val="00C45794"/>
    <w:rsid w:val="00C47C50"/>
    <w:rsid w:val="00C528A5"/>
    <w:rsid w:val="00C52C3C"/>
    <w:rsid w:val="00C554FF"/>
    <w:rsid w:val="00C57182"/>
    <w:rsid w:val="00C57863"/>
    <w:rsid w:val="00C6312D"/>
    <w:rsid w:val="00C640AF"/>
    <w:rsid w:val="00C649C0"/>
    <w:rsid w:val="00C655FD"/>
    <w:rsid w:val="00C706CD"/>
    <w:rsid w:val="00C75320"/>
    <w:rsid w:val="00C75407"/>
    <w:rsid w:val="00C841C6"/>
    <w:rsid w:val="00C870A8"/>
    <w:rsid w:val="00C914D9"/>
    <w:rsid w:val="00C94434"/>
    <w:rsid w:val="00CA0D75"/>
    <w:rsid w:val="00CA1C95"/>
    <w:rsid w:val="00CA5A9C"/>
    <w:rsid w:val="00CA7452"/>
    <w:rsid w:val="00CC0F20"/>
    <w:rsid w:val="00CC18C3"/>
    <w:rsid w:val="00CC4C20"/>
    <w:rsid w:val="00CC4F9B"/>
    <w:rsid w:val="00CD3517"/>
    <w:rsid w:val="00CD5FE2"/>
    <w:rsid w:val="00CE7795"/>
    <w:rsid w:val="00CE7C68"/>
    <w:rsid w:val="00CF3F6D"/>
    <w:rsid w:val="00D02B4C"/>
    <w:rsid w:val="00D040C4"/>
    <w:rsid w:val="00D06BDD"/>
    <w:rsid w:val="00D11928"/>
    <w:rsid w:val="00D20AD1"/>
    <w:rsid w:val="00D2582C"/>
    <w:rsid w:val="00D2597A"/>
    <w:rsid w:val="00D26EA5"/>
    <w:rsid w:val="00D34323"/>
    <w:rsid w:val="00D36C4D"/>
    <w:rsid w:val="00D449A2"/>
    <w:rsid w:val="00D46B7E"/>
    <w:rsid w:val="00D57C84"/>
    <w:rsid w:val="00D6057D"/>
    <w:rsid w:val="00D71640"/>
    <w:rsid w:val="00D80784"/>
    <w:rsid w:val="00D836C5"/>
    <w:rsid w:val="00D84576"/>
    <w:rsid w:val="00D914E7"/>
    <w:rsid w:val="00D922E6"/>
    <w:rsid w:val="00D93DEB"/>
    <w:rsid w:val="00DA1399"/>
    <w:rsid w:val="00DA24C6"/>
    <w:rsid w:val="00DA4D7B"/>
    <w:rsid w:val="00DB2FDB"/>
    <w:rsid w:val="00DB3C58"/>
    <w:rsid w:val="00DD1F3E"/>
    <w:rsid w:val="00DD271C"/>
    <w:rsid w:val="00DE264A"/>
    <w:rsid w:val="00DE384D"/>
    <w:rsid w:val="00DF5072"/>
    <w:rsid w:val="00DF6DB4"/>
    <w:rsid w:val="00E00FC3"/>
    <w:rsid w:val="00E02D18"/>
    <w:rsid w:val="00E041E7"/>
    <w:rsid w:val="00E14104"/>
    <w:rsid w:val="00E1497D"/>
    <w:rsid w:val="00E17444"/>
    <w:rsid w:val="00E21B7C"/>
    <w:rsid w:val="00E23CA1"/>
    <w:rsid w:val="00E335CE"/>
    <w:rsid w:val="00E375A8"/>
    <w:rsid w:val="00E409A8"/>
    <w:rsid w:val="00E40B13"/>
    <w:rsid w:val="00E468AE"/>
    <w:rsid w:val="00E50C12"/>
    <w:rsid w:val="00E61C47"/>
    <w:rsid w:val="00E65B91"/>
    <w:rsid w:val="00E7209D"/>
    <w:rsid w:val="00E72EAD"/>
    <w:rsid w:val="00E746B3"/>
    <w:rsid w:val="00E77223"/>
    <w:rsid w:val="00E807D8"/>
    <w:rsid w:val="00E84FCD"/>
    <w:rsid w:val="00E8528B"/>
    <w:rsid w:val="00E85B94"/>
    <w:rsid w:val="00E91B33"/>
    <w:rsid w:val="00E9298C"/>
    <w:rsid w:val="00E978D0"/>
    <w:rsid w:val="00EA28BB"/>
    <w:rsid w:val="00EA4613"/>
    <w:rsid w:val="00EA7F91"/>
    <w:rsid w:val="00EB05FA"/>
    <w:rsid w:val="00EB1523"/>
    <w:rsid w:val="00EC0E49"/>
    <w:rsid w:val="00EC101F"/>
    <w:rsid w:val="00EC1D9F"/>
    <w:rsid w:val="00EC54B4"/>
    <w:rsid w:val="00EC73EF"/>
    <w:rsid w:val="00EE0131"/>
    <w:rsid w:val="00EE17B0"/>
    <w:rsid w:val="00EE20FA"/>
    <w:rsid w:val="00EE2424"/>
    <w:rsid w:val="00EE3990"/>
    <w:rsid w:val="00EF06D9"/>
    <w:rsid w:val="00EF0BBB"/>
    <w:rsid w:val="00EF11F6"/>
    <w:rsid w:val="00F04FFA"/>
    <w:rsid w:val="00F05B29"/>
    <w:rsid w:val="00F07C0C"/>
    <w:rsid w:val="00F138AD"/>
    <w:rsid w:val="00F153D3"/>
    <w:rsid w:val="00F15CDF"/>
    <w:rsid w:val="00F3049E"/>
    <w:rsid w:val="00F30C64"/>
    <w:rsid w:val="00F32BA2"/>
    <w:rsid w:val="00F32CDB"/>
    <w:rsid w:val="00F404CA"/>
    <w:rsid w:val="00F51BE2"/>
    <w:rsid w:val="00F565FE"/>
    <w:rsid w:val="00F63A70"/>
    <w:rsid w:val="00F63D8C"/>
    <w:rsid w:val="00F65228"/>
    <w:rsid w:val="00F66807"/>
    <w:rsid w:val="00F7534E"/>
    <w:rsid w:val="00F87B7C"/>
    <w:rsid w:val="00F87D63"/>
    <w:rsid w:val="00F91C0E"/>
    <w:rsid w:val="00F9388A"/>
    <w:rsid w:val="00F93EDF"/>
    <w:rsid w:val="00FA0DE8"/>
    <w:rsid w:val="00FA1802"/>
    <w:rsid w:val="00FA21D0"/>
    <w:rsid w:val="00FA541D"/>
    <w:rsid w:val="00FA5F5F"/>
    <w:rsid w:val="00FA753B"/>
    <w:rsid w:val="00FB730C"/>
    <w:rsid w:val="00FC02A8"/>
    <w:rsid w:val="00FC2695"/>
    <w:rsid w:val="00FC3E03"/>
    <w:rsid w:val="00FC3FC1"/>
    <w:rsid w:val="00FC769D"/>
    <w:rsid w:val="00FE084C"/>
    <w:rsid w:val="00FF0893"/>
    <w:rsid w:val="00FF186F"/>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Heading1">
    <w:name w:val="heading 1"/>
    <w:basedOn w:val="CETHeading1"/>
    <w:next w:val="Normal"/>
    <w:link w:val="Heading1Char"/>
    <w:uiPriority w:val="9"/>
    <w:rsid w:val="004F5E36"/>
    <w:pPr>
      <w:tabs>
        <w:tab w:val="clear" w:pos="360"/>
        <w:tab w:val="right" w:pos="7100"/>
      </w:tabs>
      <w:jc w:val="both"/>
      <w:outlineLvl w:val="0"/>
    </w:pPr>
    <w:rPr>
      <w:lang w:val="en-GB"/>
    </w:rPr>
  </w:style>
  <w:style w:type="paragraph" w:styleId="Heading2">
    <w:name w:val="heading 2"/>
    <w:basedOn w:val="Normal"/>
    <w:next w:val="Normal"/>
    <w:link w:val="Heading2Ch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CA7452"/>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eSimple1">
    <w:name w:val="Table Simple 1"/>
    <w:basedOn w:val="Table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CA7452"/>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CommentReference">
    <w:name w:val="annotation reference"/>
    <w:basedOn w:val="DefaultParagraphFont"/>
    <w:uiPriority w:val="99"/>
    <w:semiHidden/>
    <w:unhideWhenUsed/>
    <w:rsid w:val="004577FE"/>
    <w:rPr>
      <w:sz w:val="16"/>
      <w:szCs w:val="16"/>
    </w:rPr>
  </w:style>
  <w:style w:type="paragraph" w:styleId="BalloonText">
    <w:name w:val="Balloon Text"/>
    <w:basedOn w:val="Normal"/>
    <w:link w:val="BalloonTextChar"/>
    <w:uiPriority w:val="99"/>
    <w:semiHidden/>
    <w:unhideWhenUsed/>
    <w:rsid w:val="000D34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4BE"/>
    <w:rPr>
      <w:rFonts w:ascii="Tahoma" w:hAnsi="Tahoma" w:cs="Tahoma"/>
      <w:sz w:val="16"/>
      <w:szCs w:val="16"/>
    </w:rPr>
  </w:style>
  <w:style w:type="paragraph" w:styleId="Bibliography">
    <w:name w:val="Bibliography"/>
    <w:basedOn w:val="CETReferencetext"/>
    <w:uiPriority w:val="37"/>
    <w:unhideWhenUsed/>
    <w:rsid w:val="00631B33"/>
    <w:pPr>
      <w:spacing w:line="240" w:lineRule="auto"/>
      <w:ind w:left="720" w:hanging="720"/>
    </w:pPr>
  </w:style>
  <w:style w:type="paragraph" w:styleId="BodyText2">
    <w:name w:val="Body Text 2"/>
    <w:basedOn w:val="Normal"/>
    <w:link w:val="BodyText2Char"/>
    <w:uiPriority w:val="99"/>
    <w:semiHidden/>
    <w:unhideWhenUsed/>
    <w:rsid w:val="0003148D"/>
    <w:pPr>
      <w:spacing w:after="120" w:line="480" w:lineRule="auto"/>
    </w:pPr>
  </w:style>
  <w:style w:type="character" w:customStyle="1" w:styleId="BodyText2Char">
    <w:name w:val="Body Text 2 Char"/>
    <w:basedOn w:val="DefaultParagraphFont"/>
    <w:link w:val="BodyText2"/>
    <w:uiPriority w:val="99"/>
    <w:semiHidden/>
    <w:rsid w:val="0003148D"/>
  </w:style>
  <w:style w:type="paragraph" w:styleId="BodyText3">
    <w:name w:val="Body Text 3"/>
    <w:basedOn w:val="Normal"/>
    <w:link w:val="BodyText3Char"/>
    <w:uiPriority w:val="99"/>
    <w:semiHidden/>
    <w:unhideWhenUsed/>
    <w:rsid w:val="0003148D"/>
    <w:pPr>
      <w:spacing w:after="120"/>
    </w:pPr>
    <w:rPr>
      <w:sz w:val="16"/>
      <w:szCs w:val="16"/>
    </w:rPr>
  </w:style>
  <w:style w:type="character" w:customStyle="1" w:styleId="BodyText3Char">
    <w:name w:val="Body Text 3 Char"/>
    <w:basedOn w:val="DefaultParagraphFont"/>
    <w:link w:val="BodyText3"/>
    <w:uiPriority w:val="99"/>
    <w:semiHidden/>
    <w:rsid w:val="0003148D"/>
    <w:rPr>
      <w:sz w:val="16"/>
      <w:szCs w:val="16"/>
    </w:rPr>
  </w:style>
  <w:style w:type="paragraph" w:styleId="BodyText">
    <w:name w:val="Body Text"/>
    <w:basedOn w:val="Normal"/>
    <w:link w:val="BodyTextChar"/>
    <w:uiPriority w:val="99"/>
    <w:semiHidden/>
    <w:unhideWhenUsed/>
    <w:rsid w:val="0003148D"/>
    <w:pPr>
      <w:spacing w:after="120"/>
    </w:pPr>
  </w:style>
  <w:style w:type="character" w:customStyle="1" w:styleId="BodyTextChar">
    <w:name w:val="Body Text Char"/>
    <w:basedOn w:val="DefaultParagraphFont"/>
    <w:link w:val="BodyText"/>
    <w:uiPriority w:val="99"/>
    <w:semiHidden/>
    <w:rsid w:val="0003148D"/>
  </w:style>
  <w:style w:type="paragraph" w:styleId="Date">
    <w:name w:val="Date"/>
    <w:basedOn w:val="Normal"/>
    <w:next w:val="Normal"/>
    <w:link w:val="DateChar"/>
    <w:uiPriority w:val="99"/>
    <w:semiHidden/>
    <w:unhideWhenUsed/>
    <w:rsid w:val="0003148D"/>
  </w:style>
  <w:style w:type="character" w:customStyle="1" w:styleId="DateChar">
    <w:name w:val="Date Char"/>
    <w:basedOn w:val="DefaultParagraphFont"/>
    <w:link w:val="Date"/>
    <w:uiPriority w:val="99"/>
    <w:semiHidden/>
    <w:rsid w:val="0003148D"/>
  </w:style>
  <w:style w:type="paragraph" w:styleId="Caption">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
    <w:name w:val="List"/>
    <w:basedOn w:val="Normal"/>
    <w:uiPriority w:val="99"/>
    <w:semiHidden/>
    <w:unhideWhenUsed/>
    <w:rsid w:val="0003148D"/>
    <w:pPr>
      <w:ind w:left="283" w:hanging="283"/>
      <w:contextualSpacing/>
    </w:pPr>
  </w:style>
  <w:style w:type="paragraph" w:styleId="List2">
    <w:name w:val="List 2"/>
    <w:basedOn w:val="Normal"/>
    <w:uiPriority w:val="99"/>
    <w:semiHidden/>
    <w:unhideWhenUsed/>
    <w:rsid w:val="0003148D"/>
    <w:pPr>
      <w:ind w:left="566" w:hanging="283"/>
      <w:contextualSpacing/>
    </w:pPr>
  </w:style>
  <w:style w:type="paragraph" w:styleId="List3">
    <w:name w:val="List 3"/>
    <w:basedOn w:val="Normal"/>
    <w:uiPriority w:val="99"/>
    <w:semiHidden/>
    <w:unhideWhenUsed/>
    <w:rsid w:val="0003148D"/>
    <w:pPr>
      <w:ind w:left="849" w:hanging="283"/>
      <w:contextualSpacing/>
    </w:pPr>
  </w:style>
  <w:style w:type="paragraph" w:styleId="List4">
    <w:name w:val="List 4"/>
    <w:basedOn w:val="Normal"/>
    <w:uiPriority w:val="99"/>
    <w:semiHidden/>
    <w:unhideWhenUsed/>
    <w:rsid w:val="0003148D"/>
    <w:pPr>
      <w:ind w:left="1132" w:hanging="283"/>
      <w:contextualSpacing/>
    </w:pPr>
  </w:style>
  <w:style w:type="paragraph" w:styleId="List5">
    <w:name w:val="List 5"/>
    <w:basedOn w:val="Normal"/>
    <w:uiPriority w:val="99"/>
    <w:semiHidden/>
    <w:unhideWhenUsed/>
    <w:rsid w:val="0003148D"/>
    <w:pPr>
      <w:ind w:left="1415" w:hanging="283"/>
      <w:contextualSpacing/>
    </w:pPr>
  </w:style>
  <w:style w:type="paragraph" w:styleId="ListContinue">
    <w:name w:val="List Continue"/>
    <w:basedOn w:val="Normal"/>
    <w:uiPriority w:val="99"/>
    <w:semiHidden/>
    <w:unhideWhenUsed/>
    <w:rsid w:val="0003148D"/>
    <w:pPr>
      <w:spacing w:after="120"/>
      <w:ind w:left="283"/>
      <w:contextualSpacing/>
    </w:pPr>
  </w:style>
  <w:style w:type="paragraph" w:styleId="ListContinue2">
    <w:name w:val="List Continue 2"/>
    <w:basedOn w:val="Normal"/>
    <w:uiPriority w:val="99"/>
    <w:semiHidden/>
    <w:unhideWhenUsed/>
    <w:rsid w:val="0003148D"/>
    <w:pPr>
      <w:spacing w:after="120"/>
      <w:ind w:left="566"/>
      <w:contextualSpacing/>
    </w:pPr>
  </w:style>
  <w:style w:type="paragraph" w:styleId="ListContinue3">
    <w:name w:val="List Continue 3"/>
    <w:basedOn w:val="Normal"/>
    <w:uiPriority w:val="99"/>
    <w:semiHidden/>
    <w:unhideWhenUsed/>
    <w:rsid w:val="0003148D"/>
    <w:pPr>
      <w:spacing w:after="120"/>
      <w:ind w:left="849"/>
      <w:contextualSpacing/>
    </w:pPr>
  </w:style>
  <w:style w:type="paragraph" w:styleId="ListContinue4">
    <w:name w:val="List Continue 4"/>
    <w:basedOn w:val="Normal"/>
    <w:uiPriority w:val="99"/>
    <w:semiHidden/>
    <w:unhideWhenUsed/>
    <w:rsid w:val="0003148D"/>
    <w:pPr>
      <w:spacing w:after="120"/>
      <w:ind w:left="1132"/>
      <w:contextualSpacing/>
    </w:pPr>
  </w:style>
  <w:style w:type="paragraph" w:styleId="ListContinue5">
    <w:name w:val="List Continue 5"/>
    <w:basedOn w:val="Normal"/>
    <w:uiPriority w:val="99"/>
    <w:semiHidden/>
    <w:unhideWhenUsed/>
    <w:rsid w:val="0003148D"/>
    <w:pPr>
      <w:spacing w:after="120"/>
      <w:ind w:left="1415"/>
      <w:contextualSpacing/>
    </w:pPr>
  </w:style>
  <w:style w:type="paragraph" w:styleId="Signature">
    <w:name w:val="Signature"/>
    <w:basedOn w:val="Normal"/>
    <w:link w:val="SignatureChar"/>
    <w:uiPriority w:val="99"/>
    <w:semiHidden/>
    <w:unhideWhenUsed/>
    <w:rsid w:val="0003148D"/>
    <w:pPr>
      <w:spacing w:line="240" w:lineRule="auto"/>
      <w:ind w:left="4252"/>
    </w:pPr>
  </w:style>
  <w:style w:type="character" w:customStyle="1" w:styleId="SignatureChar">
    <w:name w:val="Signature Char"/>
    <w:basedOn w:val="DefaultParagraphFont"/>
    <w:link w:val="Signature"/>
    <w:uiPriority w:val="99"/>
    <w:semiHidden/>
    <w:rsid w:val="0003148D"/>
  </w:style>
  <w:style w:type="paragraph" w:styleId="E-mailSignature">
    <w:name w:val="E-mail Signature"/>
    <w:basedOn w:val="Normal"/>
    <w:link w:val="E-mailSignatureChar"/>
    <w:uiPriority w:val="99"/>
    <w:semiHidden/>
    <w:unhideWhenUsed/>
    <w:rsid w:val="0003148D"/>
    <w:pPr>
      <w:spacing w:line="240" w:lineRule="auto"/>
    </w:pPr>
  </w:style>
  <w:style w:type="character" w:customStyle="1" w:styleId="E-mailSignatureChar">
    <w:name w:val="E-mail Signature Char"/>
    <w:basedOn w:val="DefaultParagraphFont"/>
    <w:link w:val="E-mailSignature"/>
    <w:uiPriority w:val="99"/>
    <w:semiHidden/>
    <w:rsid w:val="0003148D"/>
  </w:style>
  <w:style w:type="paragraph" w:styleId="Salutation">
    <w:name w:val="Salutation"/>
    <w:basedOn w:val="Normal"/>
    <w:next w:val="Normal"/>
    <w:link w:val="SalutationChar"/>
    <w:uiPriority w:val="99"/>
    <w:semiHidden/>
    <w:unhideWhenUsed/>
    <w:rsid w:val="0003148D"/>
  </w:style>
  <w:style w:type="character" w:customStyle="1" w:styleId="SalutationChar">
    <w:name w:val="Salutation Char"/>
    <w:basedOn w:val="DefaultParagraphFont"/>
    <w:link w:val="Salutation"/>
    <w:uiPriority w:val="99"/>
    <w:semiHidden/>
    <w:rsid w:val="0003148D"/>
  </w:style>
  <w:style w:type="paragraph" w:styleId="Closing">
    <w:name w:val="Closing"/>
    <w:basedOn w:val="Normal"/>
    <w:link w:val="ClosingChar"/>
    <w:uiPriority w:val="99"/>
    <w:semiHidden/>
    <w:unhideWhenUsed/>
    <w:rsid w:val="0003148D"/>
    <w:pPr>
      <w:spacing w:line="240" w:lineRule="auto"/>
      <w:ind w:left="4252"/>
    </w:pPr>
  </w:style>
  <w:style w:type="character" w:customStyle="1" w:styleId="ClosingChar">
    <w:name w:val="Closing Char"/>
    <w:basedOn w:val="DefaultParagraphFont"/>
    <w:link w:val="Closing"/>
    <w:uiPriority w:val="99"/>
    <w:semiHidden/>
    <w:rsid w:val="0003148D"/>
  </w:style>
  <w:style w:type="paragraph" w:styleId="Index1">
    <w:name w:val="index 1"/>
    <w:basedOn w:val="Normal"/>
    <w:next w:val="Normal"/>
    <w:autoRedefine/>
    <w:uiPriority w:val="99"/>
    <w:semiHidden/>
    <w:unhideWhenUsed/>
    <w:rsid w:val="0003148D"/>
    <w:pPr>
      <w:spacing w:line="240" w:lineRule="auto"/>
      <w:ind w:left="220" w:hanging="220"/>
    </w:pPr>
  </w:style>
  <w:style w:type="paragraph" w:styleId="Index2">
    <w:name w:val="index 2"/>
    <w:basedOn w:val="Normal"/>
    <w:next w:val="Normal"/>
    <w:autoRedefine/>
    <w:uiPriority w:val="99"/>
    <w:semiHidden/>
    <w:unhideWhenUsed/>
    <w:rsid w:val="0003148D"/>
    <w:pPr>
      <w:spacing w:line="240" w:lineRule="auto"/>
      <w:ind w:left="440" w:hanging="220"/>
    </w:pPr>
  </w:style>
  <w:style w:type="paragraph" w:styleId="Index3">
    <w:name w:val="index 3"/>
    <w:basedOn w:val="Normal"/>
    <w:next w:val="Normal"/>
    <w:autoRedefine/>
    <w:uiPriority w:val="99"/>
    <w:semiHidden/>
    <w:unhideWhenUsed/>
    <w:rsid w:val="0003148D"/>
    <w:pPr>
      <w:spacing w:line="240" w:lineRule="auto"/>
      <w:ind w:left="660" w:hanging="220"/>
    </w:pPr>
  </w:style>
  <w:style w:type="paragraph" w:styleId="Index4">
    <w:name w:val="index 4"/>
    <w:basedOn w:val="Normal"/>
    <w:next w:val="Normal"/>
    <w:autoRedefine/>
    <w:uiPriority w:val="99"/>
    <w:semiHidden/>
    <w:unhideWhenUsed/>
    <w:rsid w:val="0003148D"/>
    <w:pPr>
      <w:spacing w:line="240" w:lineRule="auto"/>
      <w:ind w:left="880" w:hanging="220"/>
    </w:pPr>
  </w:style>
  <w:style w:type="paragraph" w:styleId="Index5">
    <w:name w:val="index 5"/>
    <w:basedOn w:val="Normal"/>
    <w:next w:val="Normal"/>
    <w:autoRedefine/>
    <w:uiPriority w:val="99"/>
    <w:semiHidden/>
    <w:unhideWhenUsed/>
    <w:rsid w:val="0003148D"/>
    <w:pPr>
      <w:spacing w:line="240" w:lineRule="auto"/>
      <w:ind w:left="1100" w:hanging="220"/>
    </w:pPr>
  </w:style>
  <w:style w:type="paragraph" w:styleId="Index6">
    <w:name w:val="index 6"/>
    <w:basedOn w:val="Normal"/>
    <w:next w:val="Normal"/>
    <w:autoRedefine/>
    <w:uiPriority w:val="99"/>
    <w:semiHidden/>
    <w:unhideWhenUsed/>
    <w:rsid w:val="0003148D"/>
    <w:pPr>
      <w:spacing w:line="240" w:lineRule="auto"/>
      <w:ind w:left="1320" w:hanging="220"/>
    </w:pPr>
  </w:style>
  <w:style w:type="paragraph" w:styleId="Index7">
    <w:name w:val="index 7"/>
    <w:basedOn w:val="Normal"/>
    <w:next w:val="Normal"/>
    <w:autoRedefine/>
    <w:uiPriority w:val="99"/>
    <w:semiHidden/>
    <w:unhideWhenUsed/>
    <w:rsid w:val="0003148D"/>
    <w:pPr>
      <w:spacing w:line="240" w:lineRule="auto"/>
      <w:ind w:left="1540" w:hanging="220"/>
    </w:pPr>
  </w:style>
  <w:style w:type="paragraph" w:styleId="Index8">
    <w:name w:val="index 8"/>
    <w:basedOn w:val="Normal"/>
    <w:next w:val="Normal"/>
    <w:autoRedefine/>
    <w:uiPriority w:val="99"/>
    <w:semiHidden/>
    <w:unhideWhenUsed/>
    <w:rsid w:val="0003148D"/>
    <w:pPr>
      <w:spacing w:line="240" w:lineRule="auto"/>
      <w:ind w:left="1760" w:hanging="220"/>
    </w:pPr>
  </w:style>
  <w:style w:type="paragraph" w:styleId="Index9">
    <w:name w:val="index 9"/>
    <w:basedOn w:val="Normal"/>
    <w:next w:val="Normal"/>
    <w:autoRedefine/>
    <w:uiPriority w:val="99"/>
    <w:semiHidden/>
    <w:unhideWhenUsed/>
    <w:rsid w:val="0003148D"/>
    <w:pPr>
      <w:spacing w:line="240" w:lineRule="auto"/>
      <w:ind w:left="1980" w:hanging="220"/>
    </w:pPr>
  </w:style>
  <w:style w:type="paragraph" w:styleId="TableofFigures">
    <w:name w:val="table of figures"/>
    <w:basedOn w:val="Normal"/>
    <w:next w:val="Normal"/>
    <w:uiPriority w:val="99"/>
    <w:semiHidden/>
    <w:unhideWhenUsed/>
    <w:rsid w:val="0003148D"/>
  </w:style>
  <w:style w:type="paragraph" w:styleId="TableofAuthorities">
    <w:name w:val="table of authorities"/>
    <w:basedOn w:val="Normal"/>
    <w:next w:val="Normal"/>
    <w:uiPriority w:val="99"/>
    <w:semiHidden/>
    <w:unhideWhenUsed/>
    <w:rsid w:val="0003148D"/>
    <w:pPr>
      <w:ind w:left="220" w:hanging="220"/>
    </w:pPr>
  </w:style>
  <w:style w:type="paragraph" w:styleId="EnvelopeAddress">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HTMLAddress">
    <w:name w:val="HTML Address"/>
    <w:basedOn w:val="Normal"/>
    <w:link w:val="HTMLAddressChar"/>
    <w:uiPriority w:val="99"/>
    <w:semiHidden/>
    <w:unhideWhenUsed/>
    <w:rsid w:val="0003148D"/>
    <w:pPr>
      <w:spacing w:line="240" w:lineRule="auto"/>
    </w:pPr>
    <w:rPr>
      <w:i/>
      <w:iCs/>
    </w:rPr>
  </w:style>
  <w:style w:type="character" w:customStyle="1" w:styleId="HTMLAddressChar">
    <w:name w:val="HTML Address Char"/>
    <w:basedOn w:val="DefaultParagraphFont"/>
    <w:link w:val="HTMLAddress"/>
    <w:uiPriority w:val="99"/>
    <w:semiHidden/>
    <w:rsid w:val="0003148D"/>
    <w:rPr>
      <w:i/>
      <w:iCs/>
    </w:rPr>
  </w:style>
  <w:style w:type="paragraph" w:styleId="EnvelopeReturn">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MessageHeader">
    <w:name w:val="Message Header"/>
    <w:basedOn w:val="Normal"/>
    <w:link w:val="MessageHeaderCh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148D"/>
    <w:rPr>
      <w:rFonts w:asciiTheme="majorHAnsi" w:eastAsiaTheme="majorEastAsia" w:hAnsiTheme="majorHAnsi" w:cstheme="majorBidi"/>
      <w:sz w:val="24"/>
      <w:szCs w:val="24"/>
      <w:shd w:val="pct20" w:color="auto" w:fill="auto"/>
    </w:rPr>
  </w:style>
  <w:style w:type="paragraph" w:styleId="NoteHeading">
    <w:name w:val="Note Heading"/>
    <w:basedOn w:val="Normal"/>
    <w:next w:val="Normal"/>
    <w:link w:val="NoteHeadingChar"/>
    <w:uiPriority w:val="99"/>
    <w:semiHidden/>
    <w:unhideWhenUsed/>
    <w:rsid w:val="0003148D"/>
    <w:pPr>
      <w:spacing w:line="240" w:lineRule="auto"/>
    </w:pPr>
  </w:style>
  <w:style w:type="character" w:customStyle="1" w:styleId="NoteHeadingChar">
    <w:name w:val="Note Heading Char"/>
    <w:basedOn w:val="DefaultParagraphFont"/>
    <w:link w:val="NoteHeading"/>
    <w:uiPriority w:val="99"/>
    <w:semiHidden/>
    <w:rsid w:val="0003148D"/>
  </w:style>
  <w:style w:type="paragraph" w:styleId="DocumentMap">
    <w:name w:val="Document Map"/>
    <w:basedOn w:val="Normal"/>
    <w:link w:val="DocumentMapChar"/>
    <w:uiPriority w:val="99"/>
    <w:semiHidden/>
    <w:unhideWhenUsed/>
    <w:rsid w:val="0003148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Number">
    <w:name w:val="List Number"/>
    <w:basedOn w:val="Normal"/>
    <w:uiPriority w:val="99"/>
    <w:semiHidden/>
    <w:unhideWhenUsed/>
    <w:rsid w:val="0003148D"/>
    <w:pPr>
      <w:numPr>
        <w:numId w:val="2"/>
      </w:numPr>
      <w:contextualSpacing/>
    </w:pPr>
  </w:style>
  <w:style w:type="paragraph" w:styleId="ListNumber2">
    <w:name w:val="List Number 2"/>
    <w:basedOn w:val="Normal"/>
    <w:uiPriority w:val="99"/>
    <w:semiHidden/>
    <w:unhideWhenUsed/>
    <w:rsid w:val="0003148D"/>
    <w:pPr>
      <w:numPr>
        <w:numId w:val="3"/>
      </w:numPr>
      <w:contextualSpacing/>
    </w:pPr>
  </w:style>
  <w:style w:type="paragraph" w:styleId="ListNumber3">
    <w:name w:val="List Number 3"/>
    <w:basedOn w:val="Normal"/>
    <w:uiPriority w:val="99"/>
    <w:semiHidden/>
    <w:unhideWhenUsed/>
    <w:rsid w:val="0003148D"/>
    <w:pPr>
      <w:numPr>
        <w:numId w:val="4"/>
      </w:numPr>
      <w:contextualSpacing/>
    </w:pPr>
  </w:style>
  <w:style w:type="paragraph" w:styleId="ListNumber4">
    <w:name w:val="List Number 4"/>
    <w:basedOn w:val="Normal"/>
    <w:uiPriority w:val="99"/>
    <w:semiHidden/>
    <w:unhideWhenUsed/>
    <w:rsid w:val="0003148D"/>
    <w:pPr>
      <w:numPr>
        <w:numId w:val="5"/>
      </w:numPr>
      <w:contextualSpacing/>
    </w:pPr>
  </w:style>
  <w:style w:type="paragraph" w:styleId="ListNumber5">
    <w:name w:val="List Number 5"/>
    <w:basedOn w:val="Normal"/>
    <w:uiPriority w:val="99"/>
    <w:semiHidden/>
    <w:unhideWhenUsed/>
    <w:rsid w:val="0003148D"/>
    <w:pPr>
      <w:numPr>
        <w:numId w:val="6"/>
      </w:numPr>
      <w:contextualSpacing/>
    </w:pPr>
  </w:style>
  <w:style w:type="paragraph" w:styleId="HTMLPreformatted">
    <w:name w:val="HTML Preformatted"/>
    <w:basedOn w:val="Normal"/>
    <w:link w:val="HTMLPreformattedChar"/>
    <w:uiPriority w:val="99"/>
    <w:semiHidden/>
    <w:unhideWhenUsed/>
    <w:rsid w:val="0003148D"/>
    <w:pPr>
      <w:spacing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03148D"/>
    <w:rPr>
      <w:rFonts w:ascii="Consolas" w:hAnsi="Consolas" w:cs="Consolas"/>
      <w:sz w:val="20"/>
      <w:szCs w:val="20"/>
    </w:rPr>
  </w:style>
  <w:style w:type="paragraph" w:styleId="BodyTextFirstIndent">
    <w:name w:val="Body Text First Indent"/>
    <w:basedOn w:val="BodyText"/>
    <w:link w:val="BodyTextFirstIndentChar"/>
    <w:uiPriority w:val="99"/>
    <w:semiHidden/>
    <w:unhideWhenUsed/>
    <w:rsid w:val="0003148D"/>
    <w:pPr>
      <w:spacing w:after="200"/>
      <w:ind w:firstLine="360"/>
    </w:pPr>
  </w:style>
  <w:style w:type="character" w:customStyle="1" w:styleId="BodyTextFirstIndentChar">
    <w:name w:val="Body Text First Indent Char"/>
    <w:basedOn w:val="BodyTextChar"/>
    <w:link w:val="BodyTextFirstIndent"/>
    <w:uiPriority w:val="99"/>
    <w:semiHidden/>
    <w:rsid w:val="0003148D"/>
  </w:style>
  <w:style w:type="paragraph" w:styleId="BodyTextIndent">
    <w:name w:val="Body Text Indent"/>
    <w:basedOn w:val="Normal"/>
    <w:link w:val="BodyTextIndentChar"/>
    <w:uiPriority w:val="99"/>
    <w:semiHidden/>
    <w:unhideWhenUsed/>
    <w:rsid w:val="0003148D"/>
    <w:pPr>
      <w:spacing w:after="120"/>
      <w:ind w:left="283"/>
    </w:pPr>
  </w:style>
  <w:style w:type="character" w:customStyle="1" w:styleId="BodyTextIndentChar">
    <w:name w:val="Body Text Indent Char"/>
    <w:basedOn w:val="DefaultParagraphFont"/>
    <w:link w:val="BodyTextIndent"/>
    <w:uiPriority w:val="99"/>
    <w:semiHidden/>
    <w:rsid w:val="0003148D"/>
  </w:style>
  <w:style w:type="paragraph" w:styleId="BodyTextFirstIndent2">
    <w:name w:val="Body Text First Indent 2"/>
    <w:basedOn w:val="BodyTextIndent"/>
    <w:link w:val="BodyTextFirstIndent2Char"/>
    <w:uiPriority w:val="99"/>
    <w:semiHidden/>
    <w:unhideWhenUsed/>
    <w:rsid w:val="0003148D"/>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3148D"/>
  </w:style>
  <w:style w:type="paragraph" w:styleId="ListBullet">
    <w:name w:val="List Bullet"/>
    <w:basedOn w:val="Normal"/>
    <w:uiPriority w:val="99"/>
    <w:semiHidden/>
    <w:unhideWhenUsed/>
    <w:rsid w:val="0003148D"/>
    <w:pPr>
      <w:numPr>
        <w:numId w:val="7"/>
      </w:numPr>
      <w:contextualSpacing/>
    </w:pPr>
  </w:style>
  <w:style w:type="paragraph" w:styleId="ListBullet2">
    <w:name w:val="List Bullet 2"/>
    <w:basedOn w:val="Normal"/>
    <w:uiPriority w:val="99"/>
    <w:semiHidden/>
    <w:unhideWhenUsed/>
    <w:rsid w:val="0003148D"/>
    <w:pPr>
      <w:numPr>
        <w:numId w:val="8"/>
      </w:numPr>
      <w:contextualSpacing/>
    </w:pPr>
  </w:style>
  <w:style w:type="paragraph" w:styleId="ListBullet3">
    <w:name w:val="List Bullet 3"/>
    <w:basedOn w:val="Normal"/>
    <w:uiPriority w:val="99"/>
    <w:semiHidden/>
    <w:unhideWhenUsed/>
    <w:rsid w:val="0003148D"/>
    <w:pPr>
      <w:numPr>
        <w:numId w:val="9"/>
      </w:numPr>
      <w:contextualSpacing/>
    </w:pPr>
  </w:style>
  <w:style w:type="paragraph" w:styleId="ListBullet4">
    <w:name w:val="List Bullet 4"/>
    <w:basedOn w:val="Normal"/>
    <w:uiPriority w:val="99"/>
    <w:semiHidden/>
    <w:unhideWhenUsed/>
    <w:rsid w:val="0003148D"/>
    <w:pPr>
      <w:numPr>
        <w:numId w:val="10"/>
      </w:numPr>
      <w:contextualSpacing/>
    </w:pPr>
  </w:style>
  <w:style w:type="paragraph" w:styleId="ListBullet5">
    <w:name w:val="List Bullet 5"/>
    <w:basedOn w:val="Normal"/>
    <w:uiPriority w:val="99"/>
    <w:semiHidden/>
    <w:unhideWhenUsed/>
    <w:rsid w:val="0003148D"/>
    <w:pPr>
      <w:numPr>
        <w:numId w:val="11"/>
      </w:numPr>
      <w:contextualSpacing/>
    </w:pPr>
  </w:style>
  <w:style w:type="paragraph" w:styleId="BodyTextIndent2">
    <w:name w:val="Body Text Indent 2"/>
    <w:basedOn w:val="Normal"/>
    <w:link w:val="BodyTextIndent2Char"/>
    <w:uiPriority w:val="99"/>
    <w:semiHidden/>
    <w:unhideWhenUsed/>
    <w:rsid w:val="0003148D"/>
    <w:pPr>
      <w:spacing w:after="120" w:line="480" w:lineRule="auto"/>
      <w:ind w:left="283"/>
    </w:pPr>
  </w:style>
  <w:style w:type="character" w:customStyle="1" w:styleId="BodyTextIndent2Char">
    <w:name w:val="Body Text Indent 2 Char"/>
    <w:basedOn w:val="DefaultParagraphFont"/>
    <w:link w:val="BodyTextIndent2"/>
    <w:uiPriority w:val="99"/>
    <w:semiHidden/>
    <w:rsid w:val="0003148D"/>
  </w:style>
  <w:style w:type="paragraph" w:styleId="BodyTextIndent3">
    <w:name w:val="Body Text Indent 3"/>
    <w:basedOn w:val="Normal"/>
    <w:link w:val="BodyTextIndent3Char"/>
    <w:uiPriority w:val="99"/>
    <w:semiHidden/>
    <w:unhideWhenUsed/>
    <w:rsid w:val="000314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148D"/>
    <w:rPr>
      <w:sz w:val="16"/>
      <w:szCs w:val="16"/>
    </w:rPr>
  </w:style>
  <w:style w:type="paragraph" w:styleId="NormalIndent">
    <w:name w:val="Normal Indent"/>
    <w:basedOn w:val="Normal"/>
    <w:uiPriority w:val="99"/>
    <w:semiHidden/>
    <w:unhideWhenUsed/>
    <w:rsid w:val="0003148D"/>
    <w:pPr>
      <w:ind w:left="720"/>
    </w:pPr>
  </w:style>
  <w:style w:type="paragraph" w:styleId="CommentText">
    <w:name w:val="annotation text"/>
    <w:basedOn w:val="Normal"/>
    <w:link w:val="CommentTextChar"/>
    <w:uiPriority w:val="99"/>
    <w:unhideWhenUsed/>
    <w:rsid w:val="0003148D"/>
    <w:pPr>
      <w:spacing w:line="240" w:lineRule="auto"/>
    </w:pPr>
  </w:style>
  <w:style w:type="character" w:customStyle="1" w:styleId="CommentTextChar">
    <w:name w:val="Comment Text Char"/>
    <w:basedOn w:val="DefaultParagraphFont"/>
    <w:link w:val="CommentText"/>
    <w:uiPriority w:val="99"/>
    <w:rsid w:val="0003148D"/>
    <w:rPr>
      <w:sz w:val="20"/>
      <w:szCs w:val="20"/>
    </w:rPr>
  </w:style>
  <w:style w:type="paragraph" w:styleId="CommentSubject">
    <w:name w:val="annotation subject"/>
    <w:basedOn w:val="CommentText"/>
    <w:next w:val="CommentText"/>
    <w:link w:val="CommentSubjectChar"/>
    <w:uiPriority w:val="99"/>
    <w:semiHidden/>
    <w:unhideWhenUsed/>
    <w:rsid w:val="0003148D"/>
    <w:rPr>
      <w:b/>
      <w:bCs/>
    </w:rPr>
  </w:style>
  <w:style w:type="character" w:customStyle="1" w:styleId="CommentSubjectChar">
    <w:name w:val="Comment Subject Char"/>
    <w:basedOn w:val="CommentTextChar"/>
    <w:link w:val="CommentSubject"/>
    <w:uiPriority w:val="99"/>
    <w:semiHidden/>
    <w:rsid w:val="0003148D"/>
    <w:rPr>
      <w:b/>
      <w:bCs/>
      <w:sz w:val="20"/>
      <w:szCs w:val="20"/>
    </w:rPr>
  </w:style>
  <w:style w:type="paragraph" w:styleId="TOC1">
    <w:name w:val="toc 1"/>
    <w:basedOn w:val="Normal"/>
    <w:next w:val="Normal"/>
    <w:autoRedefine/>
    <w:uiPriority w:val="39"/>
    <w:semiHidden/>
    <w:unhideWhenUsed/>
    <w:rsid w:val="0003148D"/>
    <w:pPr>
      <w:spacing w:after="100"/>
    </w:pPr>
  </w:style>
  <w:style w:type="paragraph" w:styleId="TOC2">
    <w:name w:val="toc 2"/>
    <w:basedOn w:val="Normal"/>
    <w:next w:val="Normal"/>
    <w:autoRedefine/>
    <w:uiPriority w:val="39"/>
    <w:semiHidden/>
    <w:unhideWhenUsed/>
    <w:rsid w:val="0003148D"/>
    <w:pPr>
      <w:spacing w:after="100"/>
      <w:ind w:left="220"/>
    </w:pPr>
  </w:style>
  <w:style w:type="paragraph" w:styleId="TOC3">
    <w:name w:val="toc 3"/>
    <w:basedOn w:val="Normal"/>
    <w:next w:val="Normal"/>
    <w:autoRedefine/>
    <w:uiPriority w:val="39"/>
    <w:semiHidden/>
    <w:unhideWhenUsed/>
    <w:rsid w:val="0003148D"/>
    <w:pPr>
      <w:spacing w:after="100"/>
      <w:ind w:left="440"/>
    </w:pPr>
  </w:style>
  <w:style w:type="paragraph" w:styleId="TOC4">
    <w:name w:val="toc 4"/>
    <w:basedOn w:val="Normal"/>
    <w:next w:val="Normal"/>
    <w:autoRedefine/>
    <w:uiPriority w:val="39"/>
    <w:semiHidden/>
    <w:unhideWhenUsed/>
    <w:rsid w:val="0003148D"/>
    <w:pPr>
      <w:spacing w:after="100"/>
      <w:ind w:left="660"/>
    </w:pPr>
  </w:style>
  <w:style w:type="paragraph" w:styleId="TOC5">
    <w:name w:val="toc 5"/>
    <w:basedOn w:val="Normal"/>
    <w:next w:val="Normal"/>
    <w:autoRedefine/>
    <w:uiPriority w:val="39"/>
    <w:semiHidden/>
    <w:unhideWhenUsed/>
    <w:rsid w:val="0003148D"/>
    <w:pPr>
      <w:spacing w:after="100"/>
      <w:ind w:left="880"/>
    </w:pPr>
  </w:style>
  <w:style w:type="paragraph" w:styleId="TOC6">
    <w:name w:val="toc 6"/>
    <w:basedOn w:val="Normal"/>
    <w:next w:val="Normal"/>
    <w:autoRedefine/>
    <w:uiPriority w:val="39"/>
    <w:semiHidden/>
    <w:unhideWhenUsed/>
    <w:rsid w:val="0003148D"/>
    <w:pPr>
      <w:spacing w:after="100"/>
      <w:ind w:left="1100"/>
    </w:pPr>
  </w:style>
  <w:style w:type="paragraph" w:styleId="TOC7">
    <w:name w:val="toc 7"/>
    <w:basedOn w:val="Normal"/>
    <w:next w:val="Normal"/>
    <w:autoRedefine/>
    <w:uiPriority w:val="39"/>
    <w:semiHidden/>
    <w:unhideWhenUsed/>
    <w:rsid w:val="0003148D"/>
    <w:pPr>
      <w:spacing w:after="100"/>
      <w:ind w:left="1320"/>
    </w:pPr>
  </w:style>
  <w:style w:type="paragraph" w:styleId="TOC8">
    <w:name w:val="toc 8"/>
    <w:basedOn w:val="Normal"/>
    <w:next w:val="Normal"/>
    <w:autoRedefine/>
    <w:uiPriority w:val="39"/>
    <w:semiHidden/>
    <w:unhideWhenUsed/>
    <w:rsid w:val="0003148D"/>
    <w:pPr>
      <w:spacing w:after="100"/>
      <w:ind w:left="1540"/>
    </w:pPr>
  </w:style>
  <w:style w:type="paragraph" w:styleId="TOC9">
    <w:name w:val="toc 9"/>
    <w:basedOn w:val="Normal"/>
    <w:next w:val="Normal"/>
    <w:autoRedefine/>
    <w:uiPriority w:val="39"/>
    <w:semiHidden/>
    <w:unhideWhenUsed/>
    <w:rsid w:val="0003148D"/>
    <w:pPr>
      <w:spacing w:after="100"/>
      <w:ind w:left="1760"/>
    </w:pPr>
  </w:style>
  <w:style w:type="paragraph" w:styleId="BlockText">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MacroText">
    <w:name w:val="macro"/>
    <w:link w:val="MacroTextCh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3148D"/>
    <w:rPr>
      <w:rFonts w:ascii="Consolas" w:hAnsi="Consolas" w:cs="Consolas"/>
      <w:sz w:val="20"/>
      <w:szCs w:val="20"/>
    </w:rPr>
  </w:style>
  <w:style w:type="paragraph" w:styleId="PlainText">
    <w:name w:val="Plain Text"/>
    <w:basedOn w:val="Normal"/>
    <w:link w:val="PlainTextChar"/>
    <w:uiPriority w:val="99"/>
    <w:semiHidden/>
    <w:unhideWhenUsed/>
    <w:rsid w:val="0003148D"/>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3148D"/>
    <w:rPr>
      <w:rFonts w:ascii="Consolas" w:hAnsi="Consolas" w:cs="Consolas"/>
      <w:sz w:val="21"/>
      <w:szCs w:val="21"/>
    </w:rPr>
  </w:style>
  <w:style w:type="paragraph" w:styleId="FootnoteText">
    <w:name w:val="footnote text"/>
    <w:basedOn w:val="Normal"/>
    <w:link w:val="FootnoteTextChar"/>
    <w:uiPriority w:val="99"/>
    <w:semiHidden/>
    <w:unhideWhenUsed/>
    <w:rsid w:val="0003148D"/>
    <w:pPr>
      <w:spacing w:line="240" w:lineRule="auto"/>
    </w:pPr>
  </w:style>
  <w:style w:type="character" w:customStyle="1" w:styleId="FootnoteTextChar">
    <w:name w:val="Footnote Text Char"/>
    <w:basedOn w:val="DefaultParagraphFont"/>
    <w:link w:val="FootnoteText"/>
    <w:uiPriority w:val="99"/>
    <w:semiHidden/>
    <w:rsid w:val="0003148D"/>
    <w:rPr>
      <w:sz w:val="20"/>
      <w:szCs w:val="20"/>
    </w:rPr>
  </w:style>
  <w:style w:type="paragraph" w:styleId="EndnoteText">
    <w:name w:val="endnote text"/>
    <w:basedOn w:val="Normal"/>
    <w:link w:val="EndnoteTextChar"/>
    <w:uiPriority w:val="99"/>
    <w:semiHidden/>
    <w:unhideWhenUsed/>
    <w:rsid w:val="0003148D"/>
    <w:pPr>
      <w:spacing w:line="240" w:lineRule="auto"/>
    </w:pPr>
  </w:style>
  <w:style w:type="character" w:customStyle="1" w:styleId="EndnoteTextChar">
    <w:name w:val="Endnote Text Char"/>
    <w:basedOn w:val="DefaultParagraphFont"/>
    <w:link w:val="EndnoteText"/>
    <w:uiPriority w:val="99"/>
    <w:semiHidden/>
    <w:rsid w:val="0003148D"/>
    <w:rPr>
      <w:sz w:val="20"/>
      <w:szCs w:val="20"/>
    </w:rPr>
  </w:style>
  <w:style w:type="character" w:customStyle="1" w:styleId="Heading1Char">
    <w:name w:val="Heading 1 Char"/>
    <w:basedOn w:val="DefaultParagraphFont"/>
    <w:link w:val="Heading1"/>
    <w:uiPriority w:val="9"/>
    <w:rsid w:val="004F5E36"/>
    <w:rPr>
      <w:rFonts w:ascii="Arial" w:eastAsia="Times New Roman" w:hAnsi="Arial" w:cs="Times New Roman"/>
      <w:b/>
      <w:sz w:val="20"/>
      <w:szCs w:val="20"/>
      <w:lang w:val="en-GB"/>
    </w:rPr>
  </w:style>
  <w:style w:type="character" w:customStyle="1" w:styleId="Heading2Char">
    <w:name w:val="Heading 2 Char"/>
    <w:basedOn w:val="DefaultParagraphFont"/>
    <w:link w:val="Heading2"/>
    <w:uiPriority w:val="9"/>
    <w:semiHidden/>
    <w:rsid w:val="000314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3148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3148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3148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3148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3148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148D"/>
    <w:rPr>
      <w:rFonts w:asciiTheme="majorHAnsi" w:eastAsiaTheme="majorEastAsia" w:hAnsiTheme="majorHAnsi" w:cstheme="majorBidi"/>
      <w:i/>
      <w:iCs/>
      <w:color w:val="404040" w:themeColor="text1" w:themeTint="BF"/>
      <w:sz w:val="20"/>
      <w:szCs w:val="20"/>
    </w:rPr>
  </w:style>
  <w:style w:type="paragraph" w:styleId="IndexHeading">
    <w:name w:val="index heading"/>
    <w:basedOn w:val="Normal"/>
    <w:next w:val="Index1"/>
    <w:uiPriority w:val="99"/>
    <w:semiHidden/>
    <w:unhideWhenUsed/>
    <w:rsid w:val="0003148D"/>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DefaultParagraphFont"/>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Header">
    <w:name w:val="header"/>
    <w:basedOn w:val="Normal"/>
    <w:link w:val="HeaderChar"/>
    <w:uiPriority w:val="99"/>
    <w:unhideWhenUsed/>
    <w:rsid w:val="005278B7"/>
    <w:pPr>
      <w:tabs>
        <w:tab w:val="clear" w:pos="7100"/>
        <w:tab w:val="center" w:pos="4819"/>
        <w:tab w:val="right" w:pos="9638"/>
      </w:tabs>
      <w:spacing w:line="240" w:lineRule="auto"/>
    </w:pPr>
  </w:style>
  <w:style w:type="character" w:customStyle="1" w:styleId="HeaderChar">
    <w:name w:val="Header Char"/>
    <w:basedOn w:val="DefaultParagraphFont"/>
    <w:link w:val="Header"/>
    <w:uiPriority w:val="99"/>
    <w:rsid w:val="005278B7"/>
    <w:rPr>
      <w:rFonts w:ascii="Arial" w:eastAsia="Times New Roman" w:hAnsi="Arial" w:cs="Times New Roman"/>
      <w:sz w:val="18"/>
      <w:szCs w:val="20"/>
      <w:lang w:val="en-GB"/>
    </w:rPr>
  </w:style>
  <w:style w:type="paragraph" w:styleId="Footer">
    <w:name w:val="footer"/>
    <w:basedOn w:val="Normal"/>
    <w:link w:val="FooterChar"/>
    <w:uiPriority w:val="99"/>
    <w:unhideWhenUsed/>
    <w:rsid w:val="005278B7"/>
    <w:pPr>
      <w:tabs>
        <w:tab w:val="clear" w:pos="7100"/>
        <w:tab w:val="center" w:pos="4819"/>
        <w:tab w:val="right" w:pos="9638"/>
      </w:tabs>
      <w:spacing w:line="240" w:lineRule="auto"/>
    </w:pPr>
  </w:style>
  <w:style w:type="character" w:customStyle="1" w:styleId="FooterChar">
    <w:name w:val="Footer Char"/>
    <w:basedOn w:val="DefaultParagraphFont"/>
    <w:link w:val="Footer"/>
    <w:uiPriority w:val="99"/>
    <w:rsid w:val="005278B7"/>
    <w:rPr>
      <w:rFonts w:ascii="Arial" w:eastAsia="Times New Roman" w:hAnsi="Arial" w:cs="Times New Roman"/>
      <w:sz w:val="18"/>
      <w:szCs w:val="20"/>
      <w:lang w:val="en-GB"/>
    </w:rPr>
  </w:style>
  <w:style w:type="table" w:styleId="TableGrid">
    <w:name w:val="Table Grid"/>
    <w:basedOn w:val="Table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4C62"/>
    <w:rPr>
      <w:color w:val="0000FF" w:themeColor="hyperlink"/>
      <w:u w:val="single"/>
    </w:rPr>
  </w:style>
  <w:style w:type="character" w:customStyle="1" w:styleId="eudoraheader">
    <w:name w:val="eudoraheader"/>
    <w:basedOn w:val="DefaultParagraphFont"/>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ListParagraph">
    <w:name w:val="List Paragraph"/>
    <w:basedOn w:val="Normal"/>
    <w:uiPriority w:val="34"/>
    <w:rsid w:val="00280FAF"/>
    <w:pPr>
      <w:ind w:left="720"/>
      <w:contextualSpacing/>
    </w:pPr>
  </w:style>
  <w:style w:type="character" w:customStyle="1" w:styleId="gmail-apple-converted-space">
    <w:name w:val="gmail-apple-converted-space"/>
    <w:basedOn w:val="DefaultParagraphFont"/>
    <w:rsid w:val="00005A19"/>
  </w:style>
  <w:style w:type="character" w:styleId="UnresolvedMention">
    <w:name w:val="Unresolved Mention"/>
    <w:basedOn w:val="DefaultParagraphFont"/>
    <w:uiPriority w:val="99"/>
    <w:semiHidden/>
    <w:unhideWhenUsed/>
    <w:rsid w:val="005928DF"/>
    <w:rPr>
      <w:color w:val="605E5C"/>
      <w:shd w:val="clear" w:color="auto" w:fill="E1DFDD"/>
    </w:rPr>
  </w:style>
  <w:style w:type="character" w:styleId="PlaceholderText">
    <w:name w:val="Placeholder Text"/>
    <w:basedOn w:val="DefaultParagraphFont"/>
    <w:uiPriority w:val="99"/>
    <w:semiHidden/>
    <w:rsid w:val="00142F72"/>
    <w:rPr>
      <w:color w:val="666666"/>
    </w:rPr>
  </w:style>
  <w:style w:type="character" w:styleId="Emphasis">
    <w:name w:val="Emphasis"/>
    <w:basedOn w:val="DefaultParagraphFont"/>
    <w:uiPriority w:val="20"/>
    <w:qFormat/>
    <w:rsid w:val="000740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99275">
      <w:marLeft w:val="480"/>
      <w:marRight w:val="0"/>
      <w:marTop w:val="0"/>
      <w:marBottom w:val="0"/>
      <w:divBdr>
        <w:top w:val="none" w:sz="0" w:space="0" w:color="auto"/>
        <w:left w:val="none" w:sz="0" w:space="0" w:color="auto"/>
        <w:bottom w:val="none" w:sz="0" w:space="0" w:color="auto"/>
        <w:right w:val="none" w:sz="0" w:space="0" w:color="auto"/>
      </w:divBdr>
    </w:div>
    <w:div w:id="104466510">
      <w:marLeft w:val="480"/>
      <w:marRight w:val="0"/>
      <w:marTop w:val="0"/>
      <w:marBottom w:val="0"/>
      <w:divBdr>
        <w:top w:val="none" w:sz="0" w:space="0" w:color="auto"/>
        <w:left w:val="none" w:sz="0" w:space="0" w:color="auto"/>
        <w:bottom w:val="none" w:sz="0" w:space="0" w:color="auto"/>
        <w:right w:val="none" w:sz="0" w:space="0" w:color="auto"/>
      </w:divBdr>
    </w:div>
    <w:div w:id="110100535">
      <w:marLeft w:val="480"/>
      <w:marRight w:val="0"/>
      <w:marTop w:val="0"/>
      <w:marBottom w:val="0"/>
      <w:divBdr>
        <w:top w:val="none" w:sz="0" w:space="0" w:color="auto"/>
        <w:left w:val="none" w:sz="0" w:space="0" w:color="auto"/>
        <w:bottom w:val="none" w:sz="0" w:space="0" w:color="auto"/>
        <w:right w:val="none" w:sz="0" w:space="0" w:color="auto"/>
      </w:divBdr>
    </w:div>
    <w:div w:id="259021798">
      <w:marLeft w:val="480"/>
      <w:marRight w:val="0"/>
      <w:marTop w:val="0"/>
      <w:marBottom w:val="0"/>
      <w:divBdr>
        <w:top w:val="none" w:sz="0" w:space="0" w:color="auto"/>
        <w:left w:val="none" w:sz="0" w:space="0" w:color="auto"/>
        <w:bottom w:val="none" w:sz="0" w:space="0" w:color="auto"/>
        <w:right w:val="none" w:sz="0" w:space="0" w:color="auto"/>
      </w:divBdr>
    </w:div>
    <w:div w:id="759958228">
      <w:marLeft w:val="480"/>
      <w:marRight w:val="0"/>
      <w:marTop w:val="0"/>
      <w:marBottom w:val="0"/>
      <w:divBdr>
        <w:top w:val="none" w:sz="0" w:space="0" w:color="auto"/>
        <w:left w:val="none" w:sz="0" w:space="0" w:color="auto"/>
        <w:bottom w:val="none" w:sz="0" w:space="0" w:color="auto"/>
        <w:right w:val="none" w:sz="0" w:space="0" w:color="auto"/>
      </w:divBdr>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140041">
      <w:marLeft w:val="480"/>
      <w:marRight w:val="0"/>
      <w:marTop w:val="0"/>
      <w:marBottom w:val="0"/>
      <w:divBdr>
        <w:top w:val="none" w:sz="0" w:space="0" w:color="auto"/>
        <w:left w:val="none" w:sz="0" w:space="0" w:color="auto"/>
        <w:bottom w:val="none" w:sz="0" w:space="0" w:color="auto"/>
        <w:right w:val="none" w:sz="0" w:space="0" w:color="auto"/>
      </w:divBdr>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7017">
      <w:marLeft w:val="480"/>
      <w:marRight w:val="0"/>
      <w:marTop w:val="0"/>
      <w:marBottom w:val="0"/>
      <w:divBdr>
        <w:top w:val="none" w:sz="0" w:space="0" w:color="auto"/>
        <w:left w:val="none" w:sz="0" w:space="0" w:color="auto"/>
        <w:bottom w:val="none" w:sz="0" w:space="0" w:color="auto"/>
        <w:right w:val="none" w:sz="0" w:space="0" w:color="auto"/>
      </w:divBdr>
    </w:div>
    <w:div w:id="1239942683">
      <w:marLeft w:val="480"/>
      <w:marRight w:val="0"/>
      <w:marTop w:val="0"/>
      <w:marBottom w:val="0"/>
      <w:divBdr>
        <w:top w:val="none" w:sz="0" w:space="0" w:color="auto"/>
        <w:left w:val="none" w:sz="0" w:space="0" w:color="auto"/>
        <w:bottom w:val="none" w:sz="0" w:space="0" w:color="auto"/>
        <w:right w:val="none" w:sz="0" w:space="0" w:color="auto"/>
      </w:divBdr>
    </w:div>
    <w:div w:id="1327781425">
      <w:marLeft w:val="480"/>
      <w:marRight w:val="0"/>
      <w:marTop w:val="0"/>
      <w:marBottom w:val="0"/>
      <w:divBdr>
        <w:top w:val="none" w:sz="0" w:space="0" w:color="auto"/>
        <w:left w:val="none" w:sz="0" w:space="0" w:color="auto"/>
        <w:bottom w:val="none" w:sz="0" w:space="0" w:color="auto"/>
        <w:right w:val="none" w:sz="0" w:space="0" w:color="auto"/>
      </w:divBdr>
    </w:div>
    <w:div w:id="1418139391">
      <w:marLeft w:val="48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42603899">
      <w:marLeft w:val="48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81221">
      <w:marLeft w:val="480"/>
      <w:marRight w:val="0"/>
      <w:marTop w:val="0"/>
      <w:marBottom w:val="0"/>
      <w:divBdr>
        <w:top w:val="none" w:sz="0" w:space="0" w:color="auto"/>
        <w:left w:val="none" w:sz="0" w:space="0" w:color="auto"/>
        <w:bottom w:val="none" w:sz="0" w:space="0" w:color="auto"/>
        <w:right w:val="none" w:sz="0" w:space="0" w:color="auto"/>
      </w:divBdr>
    </w:div>
    <w:div w:id="1752972717">
      <w:marLeft w:val="480"/>
      <w:marRight w:val="0"/>
      <w:marTop w:val="0"/>
      <w:marBottom w:val="0"/>
      <w:divBdr>
        <w:top w:val="none" w:sz="0" w:space="0" w:color="auto"/>
        <w:left w:val="none" w:sz="0" w:space="0" w:color="auto"/>
        <w:bottom w:val="none" w:sz="0" w:space="0" w:color="auto"/>
        <w:right w:val="none" w:sz="0" w:space="0" w:color="auto"/>
      </w:divBdr>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B978-0-323-95879-0.50103-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doi.org/10.3303/CET25119043" TargetMode="External"/><Relationship Id="rId10" Type="http://schemas.openxmlformats.org/officeDocument/2006/relationships/hyperlink" Target="mailto:afontalvom@unicartagena.edu.c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afont\AppData\Roaming\Microsoft\Excel\SWROIM%20-%20alejandra%20-%20CASO%20BASE%20(version%201).xlsb"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15814624025857862"/>
          <c:y val="3.5333031103501895E-2"/>
          <c:w val="0.80210604670122287"/>
          <c:h val="0.82963861585490939"/>
        </c:manualLayout>
      </c:layout>
      <c:barChart>
        <c:barDir val="col"/>
        <c:grouping val="clustered"/>
        <c:varyColors val="0"/>
        <c:ser>
          <c:idx val="0"/>
          <c:order val="0"/>
          <c:tx>
            <c:strRef>
              <c:f>swroim!$B$12:$B$13</c:f>
              <c:strCache>
                <c:ptCount val="2"/>
                <c:pt idx="0">
                  <c:v>ROI</c:v>
                </c:pt>
                <c:pt idx="1">
                  <c:v>SWROIM</c:v>
                </c:pt>
              </c:strCache>
            </c:strRef>
          </c:tx>
          <c:spPr>
            <a:pattFill prst="narHorz">
              <a:fgClr>
                <a:schemeClr val="accent3"/>
              </a:fgClr>
              <a:bgClr>
                <a:schemeClr val="accent3">
                  <a:lumMod val="20000"/>
                  <a:lumOff val="80000"/>
                </a:schemeClr>
              </a:bgClr>
            </a:pattFill>
            <a:ln>
              <a:solidFill>
                <a:schemeClr val="tx1"/>
              </a:solidFill>
            </a:ln>
            <a:effectLst>
              <a:innerShdw blurRad="114300">
                <a:schemeClr val="accent3"/>
              </a:innerShdw>
            </a:effectLst>
          </c:spPr>
          <c:invertIfNegative val="0"/>
          <c:dLbls>
            <c:dLbl>
              <c:idx val="1"/>
              <c:layout>
                <c:manualLayout>
                  <c:x val="0"/>
                  <c:y val="2.322340778486638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5C9-4C96-BE7A-7BF131FBEC0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swroim!$B$12:$B$13</c:f>
              <c:strCache>
                <c:ptCount val="2"/>
                <c:pt idx="0">
                  <c:v>ROI</c:v>
                </c:pt>
                <c:pt idx="1">
                  <c:v>SWROIM</c:v>
                </c:pt>
              </c:strCache>
            </c:strRef>
          </c:cat>
          <c:val>
            <c:numRef>
              <c:f>swroim!$C$12:$C$13</c:f>
              <c:numCache>
                <c:formatCode>0.00%</c:formatCode>
                <c:ptCount val="2"/>
                <c:pt idx="0">
                  <c:v>0.38</c:v>
                </c:pt>
                <c:pt idx="1">
                  <c:v>1.862258580416623</c:v>
                </c:pt>
              </c:numCache>
            </c:numRef>
          </c:val>
          <c:extLst>
            <c:ext xmlns:c16="http://schemas.microsoft.com/office/drawing/2014/chart" uri="{C3380CC4-5D6E-409C-BE32-E72D297353CC}">
              <c16:uniqueId val="{00000001-B5C9-4C96-BE7A-7BF131FBEC02}"/>
            </c:ext>
          </c:extLst>
        </c:ser>
        <c:dLbls>
          <c:showLegendKey val="0"/>
          <c:showVal val="0"/>
          <c:showCatName val="0"/>
          <c:showSerName val="0"/>
          <c:showPercent val="0"/>
          <c:showBubbleSize val="0"/>
        </c:dLbls>
        <c:gapWidth val="164"/>
        <c:overlap val="-22"/>
        <c:axId val="234589360"/>
        <c:axId val="234574480"/>
      </c:barChart>
      <c:catAx>
        <c:axId val="234589360"/>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CO" b="0">
                    <a:solidFill>
                      <a:sysClr val="windowText" lastClr="000000"/>
                    </a:solidFill>
                    <a:latin typeface="Arial" panose="020B0604020202020204" pitchFamily="34" charset="0"/>
                    <a:cs typeface="Arial" panose="020B0604020202020204" pitchFamily="34" charset="0"/>
                  </a:rPr>
                  <a:t>Index</a:t>
                </a:r>
              </a:p>
            </c:rich>
          </c:tx>
          <c:layout>
            <c:manualLayout>
              <c:xMode val="edge"/>
              <c:yMode val="edge"/>
              <c:x val="0.5192449660340791"/>
              <c:y val="0.89577325671216157"/>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34574480"/>
        <c:crosses val="autoZero"/>
        <c:auto val="1"/>
        <c:lblAlgn val="ctr"/>
        <c:lblOffset val="100"/>
        <c:noMultiLvlLbl val="0"/>
      </c:catAx>
      <c:valAx>
        <c:axId val="234574480"/>
        <c:scaling>
          <c:orientation val="minMax"/>
          <c:max val="2"/>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CO" b="0">
                    <a:solidFill>
                      <a:sysClr val="windowText" lastClr="000000"/>
                    </a:solidFill>
                    <a:latin typeface="Arial" panose="020B0604020202020204" pitchFamily="34" charset="0"/>
                    <a:cs typeface="Arial" panose="020B0604020202020204" pitchFamily="34" charset="0"/>
                  </a:rPr>
                  <a:t>Value</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34589360"/>
        <c:crosses val="autoZero"/>
        <c:crossBetween val="between"/>
      </c:valAx>
      <c:spPr>
        <a:noFill/>
        <a:ln w="15875">
          <a:solidFill>
            <a:sysClr val="windowText" lastClr="000000">
              <a:alpha val="98000"/>
            </a:sysClr>
          </a:solid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40287190716109023"/>
          <c:y val="3.856749311294765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1115953486569065"/>
          <c:y val="0.14931129476584021"/>
          <c:w val="0.85601934026484794"/>
          <c:h val="0.72958677685950424"/>
        </c:manualLayout>
      </c:layout>
      <c:barChart>
        <c:barDir val="col"/>
        <c:grouping val="clustered"/>
        <c:varyColors val="1"/>
        <c:ser>
          <c:idx val="0"/>
          <c:order val="0"/>
          <c:tx>
            <c:strRef>
              <c:f>swroim!$M$2</c:f>
              <c:strCache>
                <c:ptCount val="1"/>
                <c:pt idx="0">
                  <c:v>SWROIM</c:v>
                </c:pt>
              </c:strCache>
            </c:strRef>
          </c:tx>
          <c:spPr>
            <a:pattFill prst="narHorz">
              <a:fgClr>
                <a:srgbClr val="F79646"/>
              </a:fgClr>
              <a:bgClr>
                <a:sysClr val="window" lastClr="FFFFFF"/>
              </a:bgClr>
            </a:pattFill>
            <a:ln>
              <a:solidFill>
                <a:sysClr val="windowText" lastClr="000000"/>
              </a:solidFill>
            </a:ln>
          </c:spPr>
          <c:invertIfNegative val="0"/>
          <c:dPt>
            <c:idx val="0"/>
            <c:invertIfNegative val="0"/>
            <c:bubble3D val="0"/>
            <c:spPr>
              <a:pattFill prst="narHorz">
                <a:fgClr>
                  <a:srgbClr val="00B050"/>
                </a:fgClr>
                <a:bgClr>
                  <a:sysClr val="window" lastClr="FFFFFF"/>
                </a:bgClr>
              </a:pattFill>
              <a:ln>
                <a:solidFill>
                  <a:sysClr val="windowText" lastClr="000000"/>
                </a:solidFill>
              </a:ln>
              <a:effectLst/>
            </c:spPr>
            <c:extLst>
              <c:ext xmlns:c16="http://schemas.microsoft.com/office/drawing/2014/chart" uri="{C3380CC4-5D6E-409C-BE32-E72D297353CC}">
                <c16:uniqueId val="{0000000B-F449-4FF5-9623-E5D430FD4D2D}"/>
              </c:ext>
            </c:extLst>
          </c:dPt>
          <c:dPt>
            <c:idx val="1"/>
            <c:invertIfNegative val="0"/>
            <c:bubble3D val="0"/>
            <c:spPr>
              <a:pattFill prst="narHorz">
                <a:fgClr>
                  <a:srgbClr val="0070C0"/>
                </a:fgClr>
                <a:bgClr>
                  <a:sysClr val="window" lastClr="FFFFFF"/>
                </a:bgClr>
              </a:pattFill>
              <a:ln>
                <a:solidFill>
                  <a:sysClr val="windowText" lastClr="000000"/>
                </a:solidFill>
              </a:ln>
              <a:effectLst/>
            </c:spPr>
            <c:extLst>
              <c:ext xmlns:c16="http://schemas.microsoft.com/office/drawing/2014/chart" uri="{C3380CC4-5D6E-409C-BE32-E72D297353CC}">
                <c16:uniqueId val="{00000001-F449-4FF5-9623-E5D430FD4D2D}"/>
              </c:ext>
            </c:extLst>
          </c:dPt>
          <c:dPt>
            <c:idx val="2"/>
            <c:invertIfNegative val="0"/>
            <c:bubble3D val="0"/>
            <c:spPr>
              <a:pattFill prst="narHorz">
                <a:fgClr>
                  <a:srgbClr val="8064A2">
                    <a:lumMod val="75000"/>
                  </a:srgbClr>
                </a:fgClr>
                <a:bgClr>
                  <a:sysClr val="window" lastClr="FFFFFF"/>
                </a:bgClr>
              </a:pattFill>
              <a:ln>
                <a:solidFill>
                  <a:sysClr val="windowText" lastClr="000000"/>
                </a:solidFill>
              </a:ln>
              <a:effectLst/>
            </c:spPr>
            <c:extLst>
              <c:ext xmlns:c16="http://schemas.microsoft.com/office/drawing/2014/chart" uri="{C3380CC4-5D6E-409C-BE32-E72D297353CC}">
                <c16:uniqueId val="{00000003-F449-4FF5-9623-E5D430FD4D2D}"/>
              </c:ext>
            </c:extLst>
          </c:dPt>
          <c:dPt>
            <c:idx val="3"/>
            <c:invertIfNegative val="0"/>
            <c:bubble3D val="0"/>
            <c:spPr>
              <a:pattFill prst="narHorz">
                <a:fgClr>
                  <a:srgbClr val="4BACC6"/>
                </a:fgClr>
                <a:bgClr>
                  <a:sysClr val="window" lastClr="FFFFFF"/>
                </a:bgClr>
              </a:pattFill>
              <a:ln>
                <a:solidFill>
                  <a:sysClr val="windowText" lastClr="000000"/>
                </a:solidFill>
              </a:ln>
              <a:effectLst/>
            </c:spPr>
            <c:extLst>
              <c:ext xmlns:c16="http://schemas.microsoft.com/office/drawing/2014/chart" uri="{C3380CC4-5D6E-409C-BE32-E72D297353CC}">
                <c16:uniqueId val="{00000005-F449-4FF5-9623-E5D430FD4D2D}"/>
              </c:ext>
            </c:extLst>
          </c:dPt>
          <c:dPt>
            <c:idx val="4"/>
            <c:invertIfNegative val="0"/>
            <c:bubble3D val="0"/>
            <c:spPr>
              <a:pattFill prst="narHorz">
                <a:fgClr>
                  <a:srgbClr val="FFFF00"/>
                </a:fgClr>
                <a:bgClr>
                  <a:sysClr val="window" lastClr="FFFFFF"/>
                </a:bgClr>
              </a:pattFill>
              <a:ln>
                <a:solidFill>
                  <a:sysClr val="windowText" lastClr="000000"/>
                </a:solidFill>
              </a:ln>
              <a:effectLst/>
            </c:spPr>
            <c:extLst>
              <c:ext xmlns:c16="http://schemas.microsoft.com/office/drawing/2014/chart" uri="{C3380CC4-5D6E-409C-BE32-E72D297353CC}">
                <c16:uniqueId val="{00000007-F449-4FF5-9623-E5D430FD4D2D}"/>
              </c:ext>
            </c:extLst>
          </c:dPt>
          <c:dPt>
            <c:idx val="5"/>
            <c:invertIfNegative val="0"/>
            <c:bubble3D val="0"/>
            <c:spPr>
              <a:pattFill prst="narHorz">
                <a:fgClr>
                  <a:srgbClr val="F79646"/>
                </a:fgClr>
                <a:bgClr>
                  <a:sysClr val="window" lastClr="FFFFFF"/>
                </a:bgClr>
              </a:pattFill>
              <a:ln>
                <a:solidFill>
                  <a:sysClr val="windowText" lastClr="000000"/>
                </a:solidFill>
              </a:ln>
              <a:effectLst/>
            </c:spPr>
            <c:extLst>
              <c:ext xmlns:c16="http://schemas.microsoft.com/office/drawing/2014/chart" uri="{C3380CC4-5D6E-409C-BE32-E72D297353CC}">
                <c16:uniqueId val="{00000009-F449-4FF5-9623-E5D430FD4D2D}"/>
              </c:ext>
            </c:extLst>
          </c:dPt>
          <c:dLbls>
            <c:dLbl>
              <c:idx val="0"/>
              <c:layout>
                <c:manualLayout>
                  <c:x val="1.1934954497985976E-2"/>
                  <c:y val="3.30578512396694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449-4FF5-9623-E5D430FD4D2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swroim!$H$3:$H$8</c:f>
              <c:strCache>
                <c:ptCount val="6"/>
                <c:pt idx="0">
                  <c:v>Base case</c:v>
                </c:pt>
                <c:pt idx="1">
                  <c:v>Case 1</c:v>
                </c:pt>
                <c:pt idx="2">
                  <c:v>Case 2</c:v>
                </c:pt>
                <c:pt idx="3">
                  <c:v>Case 3</c:v>
                </c:pt>
                <c:pt idx="4">
                  <c:v>case 4</c:v>
                </c:pt>
                <c:pt idx="5">
                  <c:v>case 5</c:v>
                </c:pt>
              </c:strCache>
            </c:strRef>
          </c:cat>
          <c:val>
            <c:numRef>
              <c:f>swroim!$M$3:$M$8</c:f>
              <c:numCache>
                <c:formatCode>0.00%</c:formatCode>
                <c:ptCount val="6"/>
                <c:pt idx="0">
                  <c:v>1.862258580416623</c:v>
                </c:pt>
                <c:pt idx="1">
                  <c:v>1.1190084851655979</c:v>
                </c:pt>
                <c:pt idx="2">
                  <c:v>1.2129480826442411</c:v>
                </c:pt>
                <c:pt idx="3">
                  <c:v>1.4129141724771133</c:v>
                </c:pt>
                <c:pt idx="4">
                  <c:v>1.3147159799127712</c:v>
                </c:pt>
                <c:pt idx="5">
                  <c:v>1.2787058008792915</c:v>
                </c:pt>
              </c:numCache>
            </c:numRef>
          </c:val>
          <c:extLst>
            <c:ext xmlns:c16="http://schemas.microsoft.com/office/drawing/2014/chart" uri="{C3380CC4-5D6E-409C-BE32-E72D297353CC}">
              <c16:uniqueId val="{0000000A-F449-4FF5-9623-E5D430FD4D2D}"/>
            </c:ext>
          </c:extLst>
        </c:ser>
        <c:dLbls>
          <c:showLegendKey val="0"/>
          <c:showVal val="0"/>
          <c:showCatName val="0"/>
          <c:showSerName val="0"/>
          <c:showPercent val="0"/>
          <c:showBubbleSize val="0"/>
        </c:dLbls>
        <c:gapWidth val="219"/>
        <c:overlap val="-27"/>
        <c:axId val="1003050063"/>
        <c:axId val="1003050543"/>
      </c:barChart>
      <c:catAx>
        <c:axId val="10030500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1003050543"/>
        <c:crosses val="autoZero"/>
        <c:auto val="1"/>
        <c:lblAlgn val="ctr"/>
        <c:lblOffset val="100"/>
        <c:noMultiLvlLbl val="0"/>
      </c:catAx>
      <c:valAx>
        <c:axId val="1003050543"/>
        <c:scaling>
          <c:orientation val="minMax"/>
          <c:max val="2"/>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1003050063"/>
        <c:crosses val="autoZero"/>
        <c:crossBetween val="between"/>
        <c:minorUnit val="0.4"/>
      </c:valAx>
      <c:spPr>
        <a:noFill/>
        <a:ln w="19050">
          <a:solidFill>
            <a:sysClr val="windowText" lastClr="000000"/>
          </a:solid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CO"/>
    </a:p>
  </c:txPr>
  <c:externalData r:id="rId4">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7466A02-8DD5-49FF-81AD-D3BF94BF19A3}"/>
      </w:docPartPr>
      <w:docPartBody>
        <w:p w:rsidR="00BF62BD" w:rsidRDefault="00D57515">
          <w:r w:rsidRPr="000039F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Times New Roman"/>
    <w:panose1 w:val="00000000000000000000"/>
    <w:charset w:val="4D"/>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515"/>
    <w:rsid w:val="000D657F"/>
    <w:rsid w:val="00104CBE"/>
    <w:rsid w:val="003245A3"/>
    <w:rsid w:val="004051DA"/>
    <w:rsid w:val="006C2E49"/>
    <w:rsid w:val="006E33CA"/>
    <w:rsid w:val="0070279F"/>
    <w:rsid w:val="00783AC0"/>
    <w:rsid w:val="007F7085"/>
    <w:rsid w:val="009F21D9"/>
    <w:rsid w:val="00A6644F"/>
    <w:rsid w:val="00BE7119"/>
    <w:rsid w:val="00BF62BD"/>
    <w:rsid w:val="00D57515"/>
    <w:rsid w:val="00ED5E3F"/>
    <w:rsid w:val="00F960A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62B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4461E34-4F55-418A-888D-1EEE8B51BEB8}">
  <we:reference id="wa104382081" version="1.55.1.0" store="es-ES" storeType="OMEX"/>
  <we:alternateReferences>
    <we:reference id="WA104382081" version="1.55.1.0" store="" storeType="OMEX"/>
  </we:alternateReferences>
  <we:properties>
    <we:property name="MENDELEY_BIBLIOGRAPHY_IS_DIRTY" value="false"/>
    <we:property name="MENDELEY_BIBLIOGRAPHY_LAST_MODIFIED" value="1766937111553"/>
    <we:property name="MENDELEY_CITATIONS" value="[{&quot;citationID&quot;:&quot;MENDELEY_CITATION_d3fe49ff-14a3-4c82-871a-a5ba9b0162d7&quot;,&quot;properties&quot;:{&quot;noteIndex&quot;:0},&quot;isEdited&quot;:false,&quot;manualOverride&quot;:{&quot;isManuallyOverridden&quot;:false,&quot;citeprocText&quot;:&quot;(Mena-Chacon et al., 2025)&quot;,&quot;manualOverrideText&quot;:&quot;&quot;},&quot;citationTag&quot;:&quot;MENDELEY_CITATION_v3_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&quot;,&quot;citationItems&quot;:[{&quot;id&quot;:&quot;cddd1885-a64e-3b89-99ce-adb5e5d2ff8e&quot;,&quot;itemData&quot;:{&quot;type&quot;:&quot;article-journal&quot;,&quot;id&quot;:&quot;cddd1885-a64e-3b89-99ce-adb5e5d2ff8e&quot;,&quot;title&quot;:&quot;Biopolymers extracted from agro-industrial wastes of lucuma, avocado and rice for production of biodegradable trays&quot;,&quot;author&quot;:[{&quot;family&quot;:&quot;Mena-Chacon&quot;,&quot;given&quot;:&quot;Laydy Mitsu&quot;,&quot;parse-names&quot;:false,&quot;dropping-particle&quot;:&quot;&quot;,&quot;non-dropping-particle&quot;:&quot;&quot;},{&quot;family&quot;:&quot;Quispe-Sanchez&quot;,&quot;given&quot;:&quot;Luz&quot;,&quot;parse-names&quot;:false,&quot;dropping-particle&quot;:&quot;&quot;,&quot;non-dropping-particle&quot;:&quot;&quot;},{&quot;family&quot;:&quot;Chicana&quot;,&quot;given&quot;:&quot;Fiorella&quot;,&quot;parse-names&quot;:false,&quot;dropping-particle&quot;:&quot;&quot;,&quot;non-dropping-particle&quot;:&quot;&quot;},{&quot;family&quot;:&quot;Oblitas&quot;,&quot;given&quot;:&quot;Robin&quot;,&quot;parse-names&quot;:false,&quot;dropping-particle&quot;:&quot;&quot;,&quot;non-dropping-particle&quot;:&quot;&quot;},{&quot;family&quot;:&quot;Huaman-Pilco&quot;,&quot;given&quot;:&quot;Angel Fernando&quot;,&quot;parse-names&quot;:false,&quot;dropping-particle&quot;:&quot;&quot;,&quot;non-dropping-particle&quot;:&quot;&quot;},{&quot;family&quot;:&quot;Mori&quot;,&quot;given&quot;:&quot;Sandra&quot;,&quot;parse-names&quot;:false,&quot;dropping-particle&quot;:&quot;&quot;,&quot;non-dropping-particle&quot;:&quot;&quot;},{&quot;family&quot;:&quot;Oliva&quot;,&quot;given&quot;:&quot;Manuel&quot;,&quot;parse-names&quot;:false,&quot;dropping-particle&quot;:&quot;&quot;,&quot;non-dropping-particle&quot;:&quot;&quot;},{&quot;family&quot;:&quot;Yoplac&quot;,&quot;given&quot;:&quot;Ives&quot;,&quot;parse-names&quot;:false,&quot;dropping-particle&quot;:&quot;&quot;,&quot;non-dropping-particle&quot;:&quot;&quot;}],&quot;container-title&quot;:&quot;Journal of Agriculture and Food Research&quot;,&quot;container-title-short&quot;:&quot;J. Agric. Food Res.&quot;,&quot;accessed&quot;:{&quot;date-parts&quot;:[[2025,12,28]]},&quot;DOI&quot;:&quot;10.1016/J.JAFR.2025.102231&quot;,&quot;ISSN&quot;:&quot;2666-1543&quot;,&quot;URL&quot;:&quot;https://www.sciencedirect.com/science/article/pii/S2666154325006027&quot;,&quot;issued&quot;:{&quot;date-parts&quot;:[[2025,10,1]]},&quot;page&quot;:&quot;102231&quot;,&quot;abstract&quot;:&quot;Biopolymers derived from agro-industrial wastes — lucuma seed starch, avocado seed starch, and rice husk fibers — were investigated for their potential use in developing biodegradable trays. Avocado seed starch exhibited the greatest concentration of amylose (30.87 %) and the minimal protein content (2.31 %), with a reddish tone was likely linked to bioactive compounds. Its starch granules presented an oval shape (26.97 × 11.74 μm), larger than the predominantly polyhedral granules of lucuma seed starch (9.87 μm). The highest amylose content was associated with larger values of gelatinization (T0 67.78 °C, Tp 73.90 °C, Tc 78.36 °C), hardness (24.62 N), cohesion (0.64), and gumminess (18.93 N). FT-IR analysis of rice husk displayed characteristic peaks associated with the presence of cellulose, hemicellulose, lignin, and silica. Potato starch was partially substituted with lucuma and avocado seed starches and reinforced with rice husk fibers to produce biodegradable trays via thermo-pressing. Adding rice husk fibers reduced expansion of starch, thereby making the internal structure of trays more compact and improving their physicochemical and mechanical properties. The incorporation of fibers increased the browning rate, especially those containing avocado or lucuma seed starch, probably associated with the residual phenolic compounds in starches, which are prone to oxidation, caramelization, and Maillard reaction during thermo-pressing. While all trays demonstrated high rate of biodegradation within 28 days (minimum 80.29 %), higher fiber content reduced the degradation rate due to the structural stability imparted by cellulose. This study highlights the potential of underutilized agro-industrial by-products in advancing sustainable food packaging solutions under circular economy focus.&quot;,&quot;publisher&quot;:&quot;Elsevier&quot;,&quot;volume&quot;:&quot;23&quot;},&quot;isTemporary&quot;:false}]},{&quot;citationID&quot;:&quot;MENDELEY_CITATION_07be09e0-26b7-4806-9ebe-3c6491cf6313&quot;,&quot;properties&quot;:{&quot;noteIndex&quot;:0},&quot;isEdited&quot;:false,&quot;manualOverride&quot;:{&quot;isManuallyOverridden&quot;:false,&quot;citeprocText&quot;:&quot;(&lt;i&gt;A Fair-Sustainable Approach for the Optimization of an Integrated Fuel Production System&lt;/i&gt;, 2022)&quot;,&quot;manualOverrideText&quot;:&quot;&quot;},&quot;citationTag&quot;:&quot;MENDELEY_CITATION_v3_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&quot;,&quot;citationItems&quot;:[{&quot;id&quot;:&quot;20d107a4-ec55-3871-98b6-c911afd6abc2&quot;,&quot;itemData&quot;:{&quot;type&quot;:&quot;article-journal&quot;,&quot;id&quot;:&quot;20d107a4-ec55-3871-98b6-c911afd6abc2&quot;,&quot;title&quot;:&quot;A Fair-Sustainable Approach for the Optimization of an Integrated Fuel Production System&quot;,&quot;accessed&quot;:{&quot;date-parts&quot;:[[2025,12,27]]},&quot;DOI&quot;:&quot;10.1016/B978-0-323-95879-0.50266-6&quot;,&quot;ISSN&quot;:&quot;1570-7946&quot;,&quot;URL&quot;:&quot;https://www.sciencedirect.com/science/chapter/bookseries/abs/pii/B9780323958790502666&quot;,&quot;issued&quot;:{&quot;date-parts&quot;:[[2022,1,1]]},&quot;page&quot;:&quot;1591-1596&quot;,&quot;publisher&quot;:&quot;Elsevier&quot;,&quot;volume&quot;:&quot;51&quot;,&quot;container-title-short&quot;:&quot;&quot;},&quot;isTemporary&quot;:false}]},{&quot;citationID&quot;:&quot;MENDELEY_CITATION_ff1409da-605f-4e80-a08b-f93ee7613e2f&quot;,&quot;properties&quot;:{&quot;noteIndex&quot;:0},&quot;isEdited&quot;:false,&quot;manualOverride&quot;:{&quot;isManuallyOverridden&quot;:false,&quot;citeprocText&quot;:&quot;(Suarez, 2025)&quot;,&quot;manualOverrideText&quot;:&quot;&quot;},&quot;citationTag&quot;:&quot;MENDELEY_CITATION_v3_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&quot;,&quot;citationItems&quot;:[{&quot;id&quot;:&quot;da9836db-2af1-3331-b3e6-8430fe7362b3&quot;,&quot;itemData&quot;:{&quot;type&quot;:&quot;article-journal&quot;,&quot;id&quot;:&quot;da9836db-2af1-3331-b3e6-8430fe7362b3&quot;,&quot;title&quot;:&quot;(Re)making landscapes into resources: the role of Hass avocado plantations in Salamina, Colombia&quot;,&quot;author&quot;:[{&quot;family&quot;:&quot;Suarez&quot;,&quot;given&quot;:&quot;Andres&quot;,&quot;parse-names&quot;:false,&quot;dropping-particle&quot;:&quot;&quot;,&quot;non-dropping-particle&quot;:&quot;&quot;}],&quot;container-title&quot;:&quot;World Development Perspectives&quot;,&quot;container-title-short&quot;:&quot;World Dev. Perspect.&quot;,&quot;accessed&quot;:{&quot;date-parts&quot;:[[2025,12,27]]},&quot;DOI&quot;:&quot;10.1016/J.WDP.2025.100695&quot;,&quot;ISSN&quot;:&quot;2452-2929&quot;,&quot;URL&quot;:&quot;https://www.sciencedirect.com/science/article/pii/S2452292925000402&quot;,&quot;issued&quot;:{&quot;date-parts&quot;:[[2025,9,1]]},&quot;page&quot;:&quot;100695&quot;,&quot;abstract&quot;:&quot;The landscape of Salamina (Caldas, Colombia) has historically fulfilled multiple functions and undergone diverse transformations. The expansion of Hass avocado plantations (HAP) has marked a significant shift, redefining the landscape from a space of peasant self-sufficiency and social reproduction—characterized by landscape use-values—to a market-driven asset centered on the extraction of ecological surplus, represented as landscape exchange-values. This transition has been propelled by market compulsions, reinforced in recent years by the Hass avocado boom. This article applies a critical resource geography perspective to examine how land is reconfigured through the process of resource-making. It identifies the socio-historical, political, economic, and material factors that converge to facilitate HAP expansion, emphasizing the role of the state-capital nexus in enabling the commodification and exploitation of Salamina's landscape.&quot;,&quot;publisher&quot;:&quot;Elsevier&quot;,&quot;volume&quot;:&quot;39&quot;},&quot;isTemporary&quot;:false}]},{&quot;citationID&quot;:&quot;MENDELEY_CITATION_76df68a8-3e0e-48d6-8803-d7471cdf07d5&quot;,&quot;properties&quot;:{&quot;noteIndex&quot;:0},&quot;isEdited&quot;:false,&quot;manualOverride&quot;:{&quot;isManuallyOverridden&quot;:false,&quot;citeprocText&quot;:&quot;(&lt;i&gt;Improving Sustainable CHOSYN´s Targets through Process Intensification&lt;/i&gt;, 2022)&quot;,&quot;manualOverrideText&quot;:&quot;&quot;},&quot;citationTag&quot;:&quot;MENDELEY_CITATION_v3_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&quot;,&quot;citationItems&quot;:[{&quot;id&quot;:&quot;1ac39323-5b9b-347b-81f5-7d216bcf9b3f&quot;,&quot;itemData&quot;:{&quot;type&quot;:&quot;article-journal&quot;,&quot;id&quot;:&quot;1ac39323-5b9b-347b-81f5-7d216bcf9b3f&quot;,&quot;title&quot;:&quot;Improving sustainable CHOSYN´s targets through process intensification&quot;,&quot;accessed&quot;:{&quot;date-parts&quot;:[[2025,12,27]]},&quot;DOI&quot;:&quot;10.1016/B978-0-323-95879-0.50103-X&quot;,&quot;ISSN&quot;:&quot;1570-7946&quot;,&quot;URL&quot;:&quot;https://www.sciencedirect.com/science/chapter/bookseries/abs/pii/B978032395879050103X&quot;,&quot;issued&quot;:{&quot;date-parts&quot;:[[2022,1,1]]},&quot;page&quot;:&quot;613-618&quot;,&quot;abstract&quot;:&quot;The Carbon-Hydrogen-Oxygen symbiosis networks (CHOSYN) are a set of hydrocarbon processing plants integrated, which pursue a proper use of mass and energy resources, this concept moves towards more sustainable designs for facing the current problem of environmental and climate change by meeting performance targets as environmental concerns and profitability enhancement. This work addresses CHOSYN synthesis using process intensification, which has been widely used for enhancing the performance of industrial processes in terms of economy, environment, and safety. The purpose is to analyze the impact that can be produced through the implementation of process intensification in CHOSYN’s performance targets focusing on the intensification of distillation sequences due to the intensive energy use of this separation process. A case study is proposed, the methodology is presented in three stages: intensification of selected flowsheets of the case study, integration of the plants into the CHOSYN, and analysis of results. Thermally coupled equivalent configurations for selected distillation sequences are determined and optimized through the dynamic method known as the moving section method, once obtained these sequences, the different configurations for the CHOSYN are built through a sequential integration method. The performance analysis of the conventional CHOSYN configuration and one intensified option are addressed by the metric known as Sustainability Weighted Return on Investment Metric (SWROIM), which integrates the conventional ROI and sustainability indicators. In this case, the performance targets used for the term of sustainability in the metric are thermal energy savings and CO2 emissions. In general, the resulting gap between SWROIM values for the conventional network and the intensified alternative measures the total positive impact by intensification over the cost and sustainability indicators of the CHOSYN.&quot;,&quot;publisher&quot;:&quot;Elsevier&quot;,&quot;volume&quot;:&quot;51&quot;,&quot;container-title-short&quot;:&quot;&quot;},&quot;isTemporary&quot;:false}]},{&quot;citationID&quot;:&quot;MENDELEY_CITATION_57f916b4-9cb6-4d80-8ed8-b648c24a2e18&quot;,&quot;properties&quot;:{&quot;noteIndex&quot;:0},&quot;isEdited&quot;:false,&quot;manualOverride&quot;:{&quot;isManuallyOverridden&quot;:false,&quot;citeprocText&quot;:&quot;(Garcia-Maza et al., 2025)&quot;,&quot;manualOverrideText&quot;:&quot;&quot;},&quot;citationTag&quot;:&quot;MENDELEY_CITATION_v3_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&quot;,&quot;citationItems&quot;:[{&quot;id&quot;:&quot;740d181f-c6b3-378a-9835-afb27dc2b8a4&quot;,&quot;itemData&quot;:{&quot;type&quot;:&quot;article-journal&quot;,&quot;id&quot;:&quot;740d181f-c6b3-378a-9835-afb27dc2b8a4&quot;,&quot;title&quot;:&quot;economic Analysis of a Cascade Biorefinery for Valorizing CHEMICAL ENGINEERING TRANSACTIONS Techno-Economic Analysis of a Cascade Biorefinery for Valorizing Agro-Industrial Waste: a Case Study of Avocado Hass Seed (Persea Americana) from the Amazon Regio…&quot;,&quot;author&quot;:[{&quot;family&quot;:&quot;Garcia-Maza&quot;,&quot;given&quot;:&quot;S&quot;,&quot;parse-names&quot;:false,&quot;dropping-particle&quot;:&quot;&quot;,&quot;non-dropping-particle&quot;:&quot;&quot;},{&quot;family&quot;:&quot;Alviz-Meza&quot;,&quot;given&quot;:&quot;A&quot;,&quot;parse-names&quot;:false,&quot;dropping-particle&quot;:&quot;&quot;,&quot;non-dropping-particle&quot;:&quot;&quot;},{&quot;family&quot;:&quot;Gonzalez-Delgado&quot;,&quot;given&quot;:&quot;A D&quot;,&quot;parse-names&quot;:false,&quot;dropping-particle&quot;:&quot;&quot;,&quot;non-dropping-particle&quot;:&quot;&quot;}],&quot;accessed&quot;:{&quot;date-parts&quot;:[[2026,1,29]]},&quot;DOI&quot;:&quot;10.3303/CET25117094&quot;,&quot;ISBN&quot;:&quot;979-12-81206-17-5&quot;,&quot;ISSN&quot;:&quot;2283-9216&quot;,&quot;URL&quot;:&quot;www.cetjournal.it&quot;,&quot;issued&quot;:{&quot;date-parts&quot;:[[2025]]},&quot;abstract&quot;:&quot;This study evaluated the feasibility of a cascade biorefinery of Hass avocado seed for producing biocontrol agents, biofilms, and starch in the Amazon region of Colombia. The feasibility was evaluated through simulation in Aspen Plus ® and economic analysis. The total investment capital was estimated at USD 1,624,733. The payback period was 1.39 years, the return on investment was 37.58%, and a net present value of 2.62 MMUSD, confirming the financial solidity of the process. In addition, the results also show a depreciated gross profit of USD 860,232.83, a net profit of USD 610,507.12, and a total product cost of 1.61 MMUSD per year. This research opens new perspectives for developing biorefineries in tropical regions, promoting innovation, and green-technologies adoption.&quot;,&quot;container-title-short&quot;:&quot;&quot;},&quot;isTemporary&quot;:false}]},{&quot;citationID&quot;:&quot;MENDELEY_CITATION_988c7c81-ae45-445b-a38b-07ecbe8eda77&quot;,&quot;properties&quot;:{&quot;noteIndex&quot;:0},&quot;isEdited&quot;:false,&quot;manualOverride&quot;:{&quot;isManuallyOverridden&quot;:true,&quot;citeprocText&quot;:&quot;(Aguilar-Vasquez et al., 2025a)&quot;,&quot;manualOverrideText&quot;:&quot;(Aguilar-Vasquez et al., 2025).&quot;},&quot;citationTag&quot;:&quot;MENDELEY_CITATION_v3_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&quot;,&quot;citationItems&quot;:[{&quot;id&quot;:&quot;23be1c4f-1b6a-3a6d-9095-96205e374e3f&quot;,&quot;itemData&quot;:{&quot;type&quot;:&quot;article-journal&quot;,&quot;id&quot;:&quot;23be1c4f-1b6a-3a6d-9095-96205e374e3f&quot;,&quot;title&quot;:&quot;Inherent Safety Analysis of a Cascade Biorefinery for the Utilization of Avocado Hard Waste from the South Colombian Region&quot;,&quot;author&quot;:[{&quot;family&quot;:&quot;Aguilar-Vasquez&quot;,&quot;given&quot;:&quot;Eduardo Andres&quot;,&quot;parse-names&quot;:false,&quot;dropping-particle&quot;:&quot;&quot;,&quot;non-dropping-particle&quot;:&quot;&quot;},{&quot;family&quot;:&quot;Rojas-Flores&quot;,&quot;given&quot;:&quot;Segundo&quot;,&quot;parse-names&quot;:false,&quot;dropping-particle&quot;:&quot;&quot;,&quot;non-dropping-particle&quot;:&quot;&quot;},{&quot;family&quot;:&quot;González-Delgado&quot;,&quot;given&quot;:&quot;Ángel Darío&quot;,&quot;parse-names&quot;:false,&quot;dropping-particle&quot;:&quot;&quot;,&quot;non-dropping-particle&quot;:&quot;&quot;}],&quot;container-title&quot;:&quot;Sustainability (Switzerland)&quot;,&quot;accessed&quot;:{&quot;date-parts&quot;:[[2026,1,29]]},&quot;DOI&quot;:&quot;10.3390/SU17188103/S1&quot;,&quot;ISSN&quot;:&quot;20711050&quot;,&quot;URL&quot;:&quot;https://www.mdpi.com/2071-1050/17/18/8103/htm&quot;,&quot;issued&quot;:{&quot;date-parts&quot;:[[2025,9,1]]},&quot;page&quot;:&quot;8103&quot;,&quot;abstract&quot;:&quot;Cascade biorefineries have demonstrated potential due to their ability to further valorize a wide variety of waste, including agricultural residues such as avocado hard waste. The intrinsic safety aspects of these technologies have been scarcely studied. Therefore, an inherent safety analysis was applied to identify and assess the risks of an avocado cascade biorefinery in the Amazon region. Several available databases (online) were used to determine the safety data of the substances in the process, such as CameoChemicals, INCHEM, and NIOSH. Additionally, data from extended mass and energy balance (based on the literature) were collected to assess the process operating conditions. The results show that the process is slightly unsafe, with an overall inherent safety score of 25, and that it achieved a performance of 96% relative to the neutral operating point (24). Chemical risks represented the most critical challenges of the process, with a score of 16, with exothermic reactions, hazardous substances, and dangerous chemical interactions being the most significant sources of risks. On the other hand, the process safety indicator scored 9, indicating that these aspects are not a major source of risk, as the process had mostly low operating conditions (near-environment temperatures and pressures; low inventory), with equipment being the only significant risk factor. Nonetheless, the safety structure subindex for this process was 2, as no clear and recognizable risks existed (at least in the literature) for this type of scheme at the scale analyzed (small scale). This score needs to be studied to properly assess the risks in bioprocesses like cascade biorefineries. Finally, replacing acid hydrolysis with enzymatic hydrolysis, along with another method for bioactive extraction, is recommended to reduce the inherent risks.&quot;,&quot;publisher&quot;:&quot;Multidisciplinary Digital Publishing Institute (MDPI)&quot;,&quot;issue&quot;:&quot;18&quot;,&quot;volume&quot;:&quot;17&quot;,&quot;container-title-short&quot;:&quot;&quot;},&quot;isTemporary&quot;:false}]},{&quot;citationID&quot;:&quot;MENDELEY_CITATION_9e8625ce-948f-43b1-9922-a895405fb8c7&quot;,&quot;properties&quot;:{&quot;noteIndex&quot;:0},&quot;isEdited&quot;:false,&quot;manualOverride&quot;:{&quot;isManuallyOverridden&quot;:true,&quot;citeprocText&quot;:&quot;(Valdez-Valdes et al., 2025)&quot;,&quot;manualOverrideText&quot;:&quot;(Valdez-Valdes et al., 2025).&quot;},&quot;citationTag&quot;:&quot;MENDELEY_CITATION_v3_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&quot;,&quot;citationItems&quot;:[{&quot;id&quot;:&quot;db1d8707-b2fe-3a78-9c61-27f0aef94faf&quot;,&quot;itemData&quot;:{&quot;type&quot;:&quot;article-journal&quot;,&quot;id&quot;:&quot;db1d8707-b2fe-3a78-9c61-27f0aef94faf&quot;,&quot;title&quot;:&quot;Technical Assessment of a Cascade Avocado Waste Biorefinery Based on Water, Energy and Product Evaluation (WEP)&quot;,&quot;author&quot;:[{&quot;family&quot;:&quot;Valdez-Valdes&quot;,&quot;given&quot;:&quot;S A&quot;,&quot;parse-names&quot;:false,&quot;dropping-particle&quot;:&quot;&quot;,&quot;non-dropping-particle&quot;:&quot;&quot;},{&quot;family&quot;:&quot;Fontalvo-Morales&quot;,&quot;given&quot;:&quot;A&quot;,&quot;parse-names&quot;:false,&quot;dropping-particle&quot;:&quot;V&quot;,&quot;non-dropping-particle&quot;:&quot;&quot;},{&quot;family&quot;:&quot;Gonzalez-Delgado&quot;,&quot;given&quot;:&quot;A D&quot;,&quot;parse-names&quot;:false,&quot;dropping-particle&quot;:&quot;&quot;,&quot;non-dropping-particle&quot;:&quot;&quot;}],&quot;container-title&quot;:&quot;Chemical Engineering Transactions&quot;,&quot;container-title-short&quot;:&quot;Chem. Eng. Trans.&quot;,&quot;accessed&quot;:{&quot;date-parts&quot;:[[2026,1,29]]},&quot;DOI&quot;:&quot;10.3303/CET25119047&quot;,&quot;ISBN&quot;:&quot;979-12-81206-20-5&quot;,&quot;ISSN&quot;:&quot;2283-9216&quot;,&quot;URL&quot;:&quot;www.cetjournal.it&quot;,&quot;issued&quot;:{&quot;date-parts&quot;:[[2025]]},&quot;page&quot;:&quot;277-282&quot;,&quot;abstract&quot;:&quot;The rising global population is driving significant changes in climate and environmental conditions, emphasizing the urgent need for sustainable practices across all sectors. This study evaluates the technical performance of a cascade biorefinery for processing avocado waste from Colombia. This waste can be transformed into value-added products such as starch and bioplastic films. The assessment was conducted using the Water-Energy-Product (WEP) framework, analyzing key metrics on water and energy consumption along with product outputs. Eight critical process parameters and eleven technical indicators were calculated. Results indicate efficient resource use, with a 61.93 % fractional water consumption and an energy-specific intensity of 89.22 MJ/t. However, challenges remain, including a 46.93 % wastewater production ratio and high energy costs (50.38 %). Scenario analysis suggests that integrating renewable energy sources and enhancing material recirculation could further optimize efficiency. These findings highlight the potential of cascade biorefineries to support circular economy principles and sustainable waste management, providing a scalable model for agricultural residue valorization.&quot;,&quot;volume&quot;:&quot;119&quot;},&quot;isTemporary&quot;:false}]},{&quot;citationID&quot;:&quot;MENDELEY_CITATION_2564c017-7188-41e0-a4ac-3dc93ae4f469&quot;,&quot;properties&quot;:{&quot;noteIndex&quot;:0},&quot;isEdited&quot;:false,&quot;manualOverride&quot;:{&quot;isManuallyOverridden&quot;:false,&quot;citeprocText&quot;:&quot;(El-Halwagi, 2017)&quot;,&quot;manualOverrideText&quot;:&quot;&quot;},&quot;citationTag&quot;:&quot;MENDELEY_CITATION_v3_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&quot;,&quot;citationItems&quot;:[{&quot;id&quot;:&quot;7c59d3d1-92e6-3590-aa92-0a0e86c5b5e6&quot;,&quot;itemData&quot;:{&quot;type&quot;:&quot;article-journal&quot;,&quot;id&quot;:&quot;7c59d3d1-92e6-3590-aa92-0a0e86c5b5e6&quot;,&quot;title&quot;:&quot;A return on investment metric for incorporating sustainability in process integration and improvement projects&quot;,&quot;author&quot;:[{&quot;family&quot;:&quot;El-Halwagi&quot;,&quot;given&quot;:&quot;Mahmoud M.&quot;,&quot;parse-names&quot;:false,&quot;dropping-particle&quot;:&quot;&quot;,&quot;non-dropping-particle&quot;:&quot;&quot;}],&quot;container-title&quot;:&quot;Clean Technologies and Environmental Policy&quot;,&quot;container-title-short&quot;:&quot;Clean Technol. Environ. Policy&quot;,&quot;accessed&quot;:{&quot;date-parts&quot;:[[2026,2,1]]},&quot;DOI&quot;:&quot;10.1007/S10098-016-1280-2&quot;,&quot;ISSN&quot;:&quot;16189558&quot;,&quot;issued&quot;:{&quot;date-parts&quot;:[[2017]]},&quot;page&quot;:&quot;611-617&quot;,&quot;abstract&quot;:&quot;A new approach is proposed for the inclusion of sustainability issues in the assessment and prioritization of process improvement projects. It is based on extending the conventional economic return on investment to include the beneficial or detrimental impacts of a project on sustainability early in the design process. The concept of aggregate sustainability metrics is coupled with economic profitability and process integration targets (benchmarks) to develop a unified metric that evaluates the augmented value of the project profitability and contribution to sustainability relative to the capital investment. Because of the return on investment nature of the proposed metric and because of its augmented inclusion of economic and other sustainability factors, it can be readily incorporated in typical process engineering activities and can be used by decision makers to make informed decisions regarding the viability of the projects and their impact on sustainability.&quot;,&quot;publisher&quot;:&quot;Springer Verlag&quot;,&quot;issue&quot;:&quot;2&quot;,&quot;volume&quot;:&quot;19&quot;},&quot;isTemporary&quot;:false}]},{&quot;citationID&quot;:&quot;MENDELEY_CITATION_9f6d8245-c64c-4085-a44a-f35bb9d58d68&quot;,&quot;properties&quot;:{&quot;noteIndex&quot;:0},&quot;isEdited&quot;:false,&quot;manualOverride&quot;:{&quot;isManuallyOverridden&quot;:false,&quot;citeprocText&quot;:&quot;(García-Maza et al., 2025)&quot;,&quot;manualOverrideText&quot;:&quot;&quot;},&quot;citationTag&quot;:&quot;MENDELEY_CITATION_v3_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&quot;,&quot;citationItems&quot;:[{&quot;id&quot;:&quot;c0c97cd3-6420-3a88-9969-3ee3fad4f594&quot;,&quot;itemData&quot;:{&quot;type&quot;:&quot;article-journal&quot;,&quot;id&quot;:&quot;c0c97cd3-6420-3a88-9969-3ee3fad4f594&quot;,&quot;title&quot;:&quot;Economies of Scale Analysis of a Cascade Biorefinery Based on Avocado Wastes (Persea Americana Mill)&quot;,&quot;author&quot;:[{&quot;family&quot;:&quot;García-Maza&quot;,&quot;given&quot;:&quot;S&quot;,&quot;parse-names&quot;:false,&quot;dropping-particle&quot;:&quot;&quot;,&quot;non-dropping-particle&quot;:&quot;&quot;},{&quot;family&quot;:&quot;Alviz-Meza&quot;,&quot;given&quot;:&quot;A&quot;,&quot;parse-names&quot;:false,&quot;dropping-particle&quot;:&quot;&quot;,&quot;non-dropping-particle&quot;:&quot;&quot;},{&quot;family&quot;:&quot;Gonzalez-Delgado&quot;,&quot;given&quot;:&quot;A D&quot;,&quot;parse-names&quot;:false,&quot;dropping-particle&quot;:&quot;&quot;,&quot;non-dropping-particle&quot;:&quot;&quot;}],&quot;container-title&quot;:&quot;Chemical Engineering Transactions&quot;,&quot;container-title-short&quot;:&quot;Chem. Eng. Trans.&quot;,&quot;accessed&quot;:{&quot;date-parts&quot;:[[2026,1,29]]},&quot;DOI&quot;:&quot;10.3303/CET25119043&quot;,&quot;ISBN&quot;:&quot;979-12-81206-20-5&quot;,&quot;ISSN&quot;:&quot;2283-9216&quot;,&quot;URL&quot;:&quot;www.cetjournal.it&quot;,&quot;issued&quot;:{&quot;date-parts&quot;:[[2025]]},&quot;page&quot;:&quot;253-258&quot;,&quot;abstract&quot;:&quot;Biorefineries, as integrated systems for biomass conversion into value-added products, face economic challenges in volatile and constantly evolving markets. Studying the economic resilience of a biorefinery is essential to ensure long-term viability and adaptability to market demands. This study implements the FP 2 O (Feedstock-Processing-Product-Operation) methodology to analyze the economic resilience of a cascade biorefinery for producing biofilms and starch in Colombia through an economies of scale study. Four key factors-product sales prices, raw material costs, processing capacity, and operating costs-were evaluated through simulations in Aspen Plus ® V14 and considering a 15-year operating horizon. Among the primary economic outcomes, the total investment capital (~USD 1.62 million), investment payback period (~ 1.53 y), profitability (ROI of 37.58 %), and net present value (NPV of USD 2.62 million) stand out. The cascade biorefinery shows resilience in fluctuating product prices and raw material cost scenarios, maintaining a favorable operating zone above the break-even point. These results suggest that the valorization of avocado wastes (Persea Americana Mill) may be an economically robust alternative, contributing to developing sustainable biorefineries in emerging economies.&quot;,&quot;volume&quot;:&quot;119&quot;},&quot;isTemporary&quot;:false}]},{&quot;citationID&quot;:&quot;MENDELEY_CITATION_27a72c14-0a1d-47cb-a5cc-65172f2dfc69&quot;,&quot;properties&quot;:{&quot;noteIndex&quot;:0},&quot;isEdited&quot;:false,&quot;manualOverride&quot;:{&quot;isManuallyOverridden&quot;:false,&quot;citeprocText&quot;:&quot;(Darío González-Delgado et al., 2021)&quot;,&quot;manualOverrideText&quot;:&quot;&quot;},&quot;citationTag&quot;:&quot;MENDELEY_CITATION_v3_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&quot;,&quot;citationItems&quot;:[{&quot;id&quot;:&quot;7ab0b321-fa7b-3390-936c-db2d5ee8224f&quot;,&quot;itemData&quot;:{&quot;type&quot;:&quot;article-journal&quot;,&quot;id&quot;:&quot;7ab0b321-fa7b-3390-936c-db2d5ee8224f&quot;,&quot;title&quot;:&quot;Evaluating the Sustainability and Inherent Safety of a Crude Palm Oil Production Process in North-Colombia&quot;,&quot;author&quot;:[{&quot;family&quot;:&quot;Darío González-Delgado&quot;,&quot;given&quot;:&quot;Angel&quot;,&quot;parse-names&quot;:false,&quot;dropping-particle&quot;:&quot;&quot;,&quot;non-dropping-particle&quot;:&quot;&quot;},{&quot;family&quot;:&quot;Barajas-Solano&quot;,&quot;given&quot;:&quot;Andrés F&quot;,&quot;parse-names&quot;:false,&quot;dropping-particle&quot;:&quot;&quot;,&quot;non-dropping-particle&quot;:&quot;&quot;},{&quot;family&quot;:&quot;Leon-Pulido&quot;,&quot;given&quot;:&quot;Jeffrey&quot;,&quot;parse-names&quot;:false,&quot;dropping-particle&quot;:&quot;&quot;,&quot;non-dropping-particle&quot;:&quot;&quot;},{&quot;family&quot;:&quot;González-Delgado&quot;,&quot;given&quot;:&quot;Citation :&quot;,&quot;parse-names&quot;:false,&quot;dropping-particle&quot;:&quot;&quot;,&quot;non-dropping-particle&quot;:&quot;&quot;},{&quot;family&quot;:&quot;Barajas-Solano&quot;,&quot;given&quot;:&quot;A D ;&quot;,&quot;parse-names&quot;:false,&quot;dropping-particle&quot;:&quot;&quot;,&quot;non-dropping-particle&quot;:&quot;&quot;},{&quot;family&quot;:&quot;Leon-Pulido&quot;,&quot;given&quot;:&quot;A F ;&quot;,&quot;parse-names&quot;:false,&quot;dropping-particle&quot;:&quot;&quot;,&quot;non-dropping-particle&quot;:&quot;&quot;}],&quot;accessed&quot;:{&quot;date-parts&quot;:[[2026,1,29]]},&quot;DOI&quot;:&quot;10.3390/app11031046&quot;,&quot;URL&quot;:&quot;https://doi.org/10.3390/app11031046&quot;,&quot;issued&quot;:{&quot;date-parts&quot;:[[2021]]},&quot;abstract&quot;:&quot;Publisher's Note: MDPI stays neutral with regard to jurisdictional claims in published maps and institutional affiliations. Abstract: The African palm is the main source of vegetable oil worldwide, representing about 29.60% of the total oil and fat production around the world. The rapid expansion of this sector has faced several concerns related to environmental and social aspects that have driven the search for sustainable alternatives. In this work, the inherent safety analysis and sustainability evaluation for the crude palm oil production process was performed using the inherent safety index (ISI) method and the sustainable weighted return on investment metric (SWROIM), respectively. The process was designed for a processing capacity of 30 t/h of palm bunches and under North-Colombian conditions. Three technical indicators were considered to evaluate the process sustainability including exergy efficiency, potential environmental impacts output (PEI output), and the total inherent safety index (I TI). The economic factor is directly considered since the SWROIM is an extension of the conventional return on investment (ROI). The resulting I TI at 11 indicated an inherently safe process, and the highest risk was observed for the process equipment safety subindex. The SWROIM reached a higher value (53%) compared to the conventional ROI (49.39%), which suggests positive impacts on sustainability. The novelty of this work lies in detecting the inherent risks and providing a decision making criteria for this project through a complete evaluation that relates economic, energy, environmental, and safety criteria.&quot;,&quot;container-title-short&quot;:&quot;&quot;},&quot;isTemporary&quot;:false}]},{&quot;citationID&quot;:&quot;MENDELEY_CITATION_fbc20d76-daef-42c6-ba6a-e0078a39e47e&quot;,&quot;properties&quot;:{&quot;noteIndex&quot;:0},&quot;isEdited&quot;:false,&quot;manualOverride&quot;:{&quot;isManuallyOverridden&quot;:true,&quot;citeprocText&quot;:&quot;(Aydın &amp;#38; Kopaç, 2025)&quot;,&quot;manualOverrideText&quot;:&quot;(Aydın &amp; Kopaç, 2025).&quot;},&quot;citationTag&quot;:&quot;MENDELEY_CITATION_v3_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&quot;,&quot;citationItems&quot;:[{&quot;id&quot;:&quot;ed38a4f9-017e-3b9f-bfaf-7cdf394d7c7a&quot;,&quot;itemData&quot;:{&quot;type&quot;:&quot;article-journal&quot;,&quot;id&quot;:&quot;ed38a4f9-017e-3b9f-bfaf-7cdf394d7c7a&quot;,&quot;title&quot;:&quot;Evaluation of a 150 MW ORC designed coal-fired power plant in terms of energy-exergy analysis, economic analysis and sustainability&quot;,&quot;author&quot;:[{&quot;family&quot;:&quot;Aydın&quot;,&quot;given&quot;:&quot;Nuri Özgür&quot;,&quot;parse-names&quot;:false,&quot;dropping-particle&quot;:&quot;&quot;,&quot;non-dropping-particle&quot;:&quot;&quot;},{&quot;family&quot;:&quot;Kopaç&quot;,&quot;given&quot;:&quot;Mehmet&quot;,&quot;parse-names&quot;:false,&quot;dropping-particle&quot;:&quot;&quot;,&quot;non-dropping-particle&quot;:&quot;&quot;}],&quot;container-title&quot;:&quot;Energy Reports&quot;,&quot;accessed&quot;:{&quot;date-parts&quot;:[[2026,1,29]]},&quot;DOI&quot;:&quot;10.1016/J.EGYR.2025.11.011&quot;,&quot;ISSN&quot;:&quot;2352-4847&quot;,&quot;URL&quot;:&quot;https://www.sciencedirect.com/science/article/pii/S2352484725006274&quot;,&quot;issued&quot;:{&quot;date-parts&quot;:[[2025,12,1]]},&quot;page&quot;:&quot;4056-4067&quot;,&quot;abstract&quot;:&quot;This study focuses on the perspectives of Organic Rankine Cycle (ORC) system integration in Çatalağzı Thermal Power Plant (ÇATES, Zonguldak, Turkey) to investigate the performance of the plant regarding to energy-exergy analysis, economic analysis, environmental impacts and sustainability. The system analysis of the proposed units were performed under the assumption of various design criteria to improve energy utilization and power generation, where R141b, R123 and R113 were used as working fluids within the ORC. Results showed that the turbine irreversibility decreased 44.6 %, 44.7 % and 44.9 % within our designed ORC plant for working fluids of R141b, R123 and R113, respectively. Among designed ORC plants, R141b configuration leads to minimize waste heat products and R113 configuration leads to minimize exergy destruction rates in turbines and pumps. Thermal efficiency and exergy efficiency of the power plant is increased from 34.5 % to 41.3 % and 32.5–37.6 % for ORC designed plants with R141b, respectively. The lowest environmental effect factor and the highest exergetic sustainability index is determined for ORC plant with R141b configuration that can produce 178 MW of power generation with a profit of 703 million US$ at the end of 30 years. Thus, this study provides insight into the directions of future research on new power plant ORC designs regarding to energy management with exergetic sustainability analysis and economic analysis.&quot;,&quot;publisher&quot;:&quot;Elsevier&quot;,&quot;volume&quot;:&quot;14&quot;,&quot;container-title-short&quot;:&quot;&quot;},&quot;isTemporary&quot;:false}]},{&quot;citationID&quot;:&quot;MENDELEY_CITATION_67a0c0fe-9483-414d-9994-8f537ada050d&quot;,&quot;properties&quot;:{&quot;noteIndex&quot;:0},&quot;isEdited&quot;:false,&quot;manualOverride&quot;:{&quot;isManuallyOverridden&quot;:false,&quot;citeprocText&quot;:&quot;(Darío González-Delgado et al., 2021)&quot;,&quot;manualOverrideText&quot;:&quot;&quot;},&quot;citationTag&quot;:&quot;MENDELEY_CITATION_v3_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&quot;,&quot;citationItems&quot;:[{&quot;id&quot;:&quot;7ab0b321-fa7b-3390-936c-db2d5ee8224f&quot;,&quot;itemData&quot;:{&quot;type&quot;:&quot;article-journal&quot;,&quot;id&quot;:&quot;7ab0b321-fa7b-3390-936c-db2d5ee8224f&quot;,&quot;title&quot;:&quot;Evaluating the Sustainability and Inherent Safety of a Crude Palm Oil Production Process in North-Colombia&quot;,&quot;author&quot;:[{&quot;family&quot;:&quot;Darío González-Delgado&quot;,&quot;given&quot;:&quot;Angel&quot;,&quot;parse-names&quot;:false,&quot;dropping-particle&quot;:&quot;&quot;,&quot;non-dropping-particle&quot;:&quot;&quot;},{&quot;family&quot;:&quot;Barajas-Solano&quot;,&quot;given&quot;:&quot;Andrés F&quot;,&quot;parse-names&quot;:false,&quot;dropping-particle&quot;:&quot;&quot;,&quot;non-dropping-particle&quot;:&quot;&quot;},{&quot;family&quot;:&quot;Leon-Pulido&quot;,&quot;given&quot;:&quot;Jeffrey&quot;,&quot;parse-names&quot;:false,&quot;dropping-particle&quot;:&quot;&quot;,&quot;non-dropping-particle&quot;:&quot;&quot;},{&quot;family&quot;:&quot;González-Delgado&quot;,&quot;given&quot;:&quot;Citation :&quot;,&quot;parse-names&quot;:false,&quot;dropping-particle&quot;:&quot;&quot;,&quot;non-dropping-particle&quot;:&quot;&quot;},{&quot;family&quot;:&quot;Barajas-Solano&quot;,&quot;given&quot;:&quot;A D ;&quot;,&quot;parse-names&quot;:false,&quot;dropping-particle&quot;:&quot;&quot;,&quot;non-dropping-particle&quot;:&quot;&quot;},{&quot;family&quot;:&quot;Leon-Pulido&quot;,&quot;given&quot;:&quot;A F ;&quot;,&quot;parse-names&quot;:false,&quot;dropping-particle&quot;:&quot;&quot;,&quot;non-dropping-particle&quot;:&quot;&quot;}],&quot;accessed&quot;:{&quot;date-parts&quot;:[[2026,1,29]]},&quot;DOI&quot;:&quot;10.3390/app11031046&quot;,&quot;URL&quot;:&quot;https://doi.org/10.3390/app11031046&quot;,&quot;issued&quot;:{&quot;date-parts&quot;:[[2021]]},&quot;abstract&quot;:&quot;Publisher's Note: MDPI stays neutral with regard to jurisdictional claims in published maps and institutional affiliations. Abstract: The African palm is the main source of vegetable oil worldwide, representing about 29.60% of the total oil and fat production around the world. The rapid expansion of this sector has faced several concerns related to environmental and social aspects that have driven the search for sustainable alternatives. In this work, the inherent safety analysis and sustainability evaluation for the crude palm oil production process was performed using the inherent safety index (ISI) method and the sustainable weighted return on investment metric (SWROIM), respectively. The process was designed for a processing capacity of 30 t/h of palm bunches and under North-Colombian conditions. Three technical indicators were considered to evaluate the process sustainability including exergy efficiency, potential environmental impacts output (PEI output), and the total inherent safety index (I TI). The economic factor is directly considered since the SWROIM is an extension of the conventional return on investment (ROI). The resulting I TI at 11 indicated an inherently safe process, and the highest risk was observed for the process equipment safety subindex. The SWROIM reached a higher value (53%) compared to the conventional ROI (49.39%), which suggests positive impacts on sustainability. The novelty of this work lies in detecting the inherent risks and providing a decision making criteria for this project through a complete evaluation that relates economic, energy, environmental, and safety criteria.&quot;,&quot;container-title-short&quot;:&quot;&quot;},&quot;isTemporary&quot;:false}]},{&quot;citationID&quot;:&quot;MENDELEY_CITATION_8f0e1ea9-b1c6-459b-b0a9-6d2805403d22&quot;,&quot;properties&quot;:{&quot;noteIndex&quot;:0},&quot;isEdited&quot;:false,&quot;manualOverride&quot;:{&quot;isManuallyOverridden&quot;:false,&quot;citeprocText&quot;:&quot;(Aguilar-Vasquez et al., 2025b)&quot;,&quot;manualOverrideText&quot;:&quot;&quot;},&quot;citationTag&quot;:&quot;MENDELEY_CITATION_v3_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&quot;,&quot;citationItems&quot;:[{&quot;id&quot;:&quot;242728a4-1eef-3af8-ac80-5fc1c7ce880f&quot;,&quot;itemData&quot;:{&quot;type&quot;:&quot;article-journal&quot;,&quot;id&quot;:&quot;242728a4-1eef-3af8-ac80-5fc1c7ce880f&quot;,&quot;title&quot;:&quot;Inherent Safety Analysis of a Cascade Biorefinery for the Utilization of Avocado Hard Waste from the South Colombian Region&quot;,&quot;author&quot;:[{&quot;family&quot;:&quot;Aguilar-Vasquez&quot;,&quot;given&quot;:&quot;Eduardo Andres&quot;,&quot;parse-names&quot;:false,&quot;dropping-particle&quot;:&quot;&quot;,&quot;non-dropping-particle&quot;:&quot;&quot;},{&quot;family&quot;:&quot;Rojas-Flores&quot;,&quot;given&quot;:&quot;Segundo&quot;,&quot;parse-names&quot;:false,&quot;dropping-particle&quot;:&quot;&quot;,&quot;non-dropping-particle&quot;:&quot;&quot;},{&quot;family&quot;:&quot;González-Delgado&quot;,&quot;given&quot;:&quot;Ángel Darío&quot;,&quot;parse-names&quot;:false,&quot;dropping-particle&quot;:&quot;&quot;,&quot;non-dropping-particle&quot;:&quot;&quot;}],&quot;container-title&quot;:&quot;Sustainability 2025, Vol. 17,&quot;,&quot;accessed&quot;:{&quot;date-parts&quot;:[[2026,1,30]]},&quot;DOI&quot;:&quot;10.3390/SU17188103&quot;,&quot;ISSN&quot;:&quot;2071-1050&quot;,&quot;URL&quot;:&quot;https://www.mdpi.com/2071-1050/17/18/8103&quot;,&quot;issued&quot;:{&quot;date-parts&quot;:[[2025,9,8]]},&quot;abstract&quot;:&quot;Cascade biorefineries have demonstrated potential due to their ability to further valorize a wide variety of waste, including agricultural residues su...&quot;,&quot;publisher&quot;:&quot;Multidisciplinary Digital Publishing Institute&quot;,&quot;issue&quot;:&quot;18&quot;,&quot;volume&quot;:&quot;17&quot;,&quot;container-title-short&quot;:&quot;&quot;},&quot;isTemporary&quot;:false}]},{&quot;citationID&quot;:&quot;MENDELEY_CITATION_7d07134d-f980-41b9-b70a-b4d36f0959f2&quot;,&quot;properties&quot;:{&quot;noteIndex&quot;:0},&quot;isEdited&quot;:false,&quot;manualOverride&quot;:{&quot;isManuallyOverridden&quot;:true,&quot;citeprocText&quot;:&quot;(Zuorro et al., 2021)&quot;,&quot;manualOverrideText&quot;:&quot;(Zuorro et al., 2021).&quot;},&quot;citationTag&quot;:&quot;MENDELEY_CITATION_v3_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&quot;,&quot;citationItems&quot;:[{&quot;id&quot;:&quot;d9510647-84bc-3728-a538-e26072dfe8f1&quot;,&quot;itemData&quot;:{&quot;type&quot;:&quot;article-journal&quot;,&quot;id&quot;:&quot;d9510647-84bc-3728-a538-e26072dfe8f1&quot;,&quot;title&quot;:&quot;Inherent Safety Analysis and Sustainability Evaluation of Chitosan Production from Shrimp Exoskeleton in Colombia&quot;,&quot;author&quot;:[{&quot;family&quot;:&quot;Zuorro&quot;,&quot;given&quot;:&quot;Antonio&quot;,&quot;parse-names&quot;:false,&quot;dropping-particle&quot;:&quot;&quot;,&quot;non-dropping-particle&quot;:&quot;&quot;},{&quot;family&quot;:&quot;Moreno-Sader&quot;,&quot;given&quot;:&quot;Kariana Andrea&quot;,&quot;parse-names&quot;:false,&quot;dropping-particle&quot;:&quot;&quot;,&quot;non-dropping-particle&quot;:&quot;&quot;},{&quot;family&quot;:&quot;González-Delgad&quot;,&quot;given&quot;:&quot;Ángel Darío&quot;,&quot;parse-names&quot;:false,&quot;dropping-particle&quot;:&quot;&quot;,&quot;non-dropping-particle&quot;:&quot;&quot;}],&quot;container-title&quot;:&quot;Water 2021, Vol. 13,&quot;,&quot;accessed&quot;:{&quot;date-parts&quot;:[[2026,1,30]]},&quot;DOI&quot;:&quot;10.3390/W13040553&quot;,&quot;ISSN&quot;:&quot;2073-4441&quot;,&quot;URL&quot;:&quot;https://www.mdpi.com/2073-4441/13/4/553&quot;,&quot;issued&quot;:{&quot;date-parts&quot;:[[2021,2,20]]},&quot;abstract&quot;:&quot;Waste valorization strategies are key to achieve more sustainable production within the shrimp industry. The crustacean exoskeletons can be potentiall...&quot;,&quot;publisher&quot;:&quot;Multidisciplinary Digital Publishing Institute&quot;,&quot;issue&quot;:&quot;4&quot;,&quot;volume&quot;:&quot;13&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2076</TotalTime>
  <Pages>6</Pages>
  <Words>3246</Words>
  <Characters>17859</Characters>
  <Application>Microsoft Office Word</Application>
  <DocSecurity>0</DocSecurity>
  <Lines>148</Lines>
  <Paragraphs>42</Paragraphs>
  <ScaleCrop>false</ScaleCrop>
  <HeadingPairs>
    <vt:vector size="6" baseType="variant">
      <vt:variant>
        <vt:lpstr>Title</vt:lpstr>
      </vt:variant>
      <vt:variant>
        <vt:i4>1</vt:i4>
      </vt:variant>
      <vt:variant>
        <vt:lpstr>Título</vt:lpstr>
      </vt:variant>
      <vt:variant>
        <vt:i4>1</vt:i4>
      </vt:variant>
      <vt:variant>
        <vt:lpstr>Titolo</vt:lpstr>
      </vt:variant>
      <vt:variant>
        <vt:i4>1</vt:i4>
      </vt:variant>
    </vt:vector>
  </HeadingPairs>
  <TitlesOfParts>
    <vt:vector size="3" baseType="lpstr">
      <vt:lpstr/>
      <vt:lpstr/>
      <vt:lpstr/>
    </vt:vector>
  </TitlesOfParts>
  <Company>Dipartimento CMIC - Politecnico di Milano</Company>
  <LinksUpToDate>false</LinksUpToDate>
  <CharactersWithSpaces>21063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raffaella</dc:creator>
  <cp:lastModifiedBy>Aleja F</cp:lastModifiedBy>
  <cp:revision>32</cp:revision>
  <cp:lastPrinted>2015-05-12T18:31:00Z</cp:lastPrinted>
  <dcterms:created xsi:type="dcterms:W3CDTF">2026-02-06T18:15:00Z</dcterms:created>
  <dcterms:modified xsi:type="dcterms:W3CDTF">2026-03-22T00:08:00Z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