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1E037278" w14:textId="230DC9FF" w:rsidR="00C16661" w:rsidRPr="00C16661" w:rsidRDefault="00C16661" w:rsidP="007B0584">
      <w:pPr>
        <w:pStyle w:val="CETTitle"/>
        <w:rPr>
          <w:rFonts w:eastAsia="Aptos"/>
          <w:lang w:val="en-US"/>
        </w:rPr>
      </w:pPr>
      <w:r w:rsidRPr="00C16661">
        <w:rPr>
          <w:rFonts w:eastAsia="Aptos"/>
          <w:lang w:val="en-US"/>
        </w:rPr>
        <w:t xml:space="preserve">Technical Safety Assessment </w:t>
      </w:r>
      <w:r w:rsidR="007B0584">
        <w:rPr>
          <w:rFonts w:eastAsia="Aptos"/>
          <w:lang w:val="en-US"/>
        </w:rPr>
        <w:t>v</w:t>
      </w:r>
      <w:r w:rsidRPr="00C16661">
        <w:rPr>
          <w:rFonts w:eastAsia="Aptos"/>
          <w:lang w:val="en-US"/>
        </w:rPr>
        <w:t>ia Nu</w:t>
      </w:r>
      <w:r w:rsidR="007B0584">
        <w:rPr>
          <w:rFonts w:eastAsia="Aptos"/>
          <w:lang w:val="en-US"/>
        </w:rPr>
        <w:t>merical Descriptive Evaluation o</w:t>
      </w:r>
      <w:r w:rsidRPr="00C16661">
        <w:rPr>
          <w:rFonts w:eastAsia="Aptos"/>
          <w:lang w:val="en-US"/>
        </w:rPr>
        <w:t xml:space="preserve">f </w:t>
      </w:r>
      <w:r w:rsidR="007B0584">
        <w:rPr>
          <w:rFonts w:eastAsia="Aptos"/>
          <w:lang w:val="en-US"/>
        </w:rPr>
        <w:t>a</w:t>
      </w:r>
      <w:r w:rsidRPr="00C16661">
        <w:rPr>
          <w:rFonts w:eastAsia="Aptos"/>
          <w:lang w:val="en-US"/>
        </w:rPr>
        <w:t xml:space="preserve"> Biorefinery </w:t>
      </w:r>
      <w:r w:rsidR="007B0584">
        <w:rPr>
          <w:rFonts w:eastAsia="Aptos"/>
          <w:lang w:val="en-US"/>
        </w:rPr>
        <w:t>f</w:t>
      </w:r>
      <w:r w:rsidRPr="00C16661">
        <w:rPr>
          <w:rFonts w:eastAsia="Aptos"/>
          <w:lang w:val="en-US"/>
        </w:rPr>
        <w:t xml:space="preserve">rom Avocado Hard Waste </w:t>
      </w:r>
    </w:p>
    <w:p w14:paraId="054B2343" w14:textId="1D010BEA" w:rsidR="00C16661" w:rsidRPr="00C16661" w:rsidRDefault="00C16661" w:rsidP="00C16661">
      <w:pPr>
        <w:pStyle w:val="CETAuthors"/>
        <w:jc w:val="center"/>
        <w:rPr>
          <w:rFonts w:eastAsia="Aptos"/>
          <w:lang w:val="es-PE"/>
        </w:rPr>
      </w:pPr>
      <w:r w:rsidRPr="00C16661">
        <w:rPr>
          <w:rFonts w:eastAsia="Aptos"/>
          <w:lang w:val="es-PE"/>
        </w:rPr>
        <w:t>Alejandra Valentina Fontalvo-Morales</w:t>
      </w:r>
      <w:r w:rsidR="00BE307E">
        <w:rPr>
          <w:rFonts w:eastAsia="Aptos"/>
          <w:lang w:val="es-PE"/>
        </w:rPr>
        <w:t>*</w:t>
      </w:r>
      <w:r w:rsidRPr="00C16661">
        <w:rPr>
          <w:rFonts w:eastAsia="Aptos"/>
          <w:lang w:val="es-PE"/>
        </w:rPr>
        <w:t>, Luis Ángel González-Fontalvo and Ángel Darío González-Delgado</w:t>
      </w:r>
    </w:p>
    <w:p w14:paraId="2E9487A0" w14:textId="46286542" w:rsidR="00C16661" w:rsidRDefault="00C16661" w:rsidP="007B0584">
      <w:pPr>
        <w:pStyle w:val="CETemail"/>
      </w:pPr>
      <w:r w:rsidRPr="00C16661">
        <w:rPr>
          <w:rFonts w:eastAsia="Aptos"/>
          <w:lang w:val="en-US"/>
        </w:rPr>
        <w:t>Chemical Engineering Department, Nanomaterials and Computer-Aided Process Engineering Research Group (NIPAC), Universidad de Cartagena, Cartagena 130015, Bolívar, Colombia</w:t>
      </w:r>
      <w:r>
        <w:rPr>
          <w:rFonts w:eastAsia="Aptos"/>
          <w:lang w:val="en-US"/>
        </w:rPr>
        <w:br/>
      </w:r>
      <w:r w:rsidRPr="00DC091B">
        <w:t xml:space="preserve">*Correspondence author: </w:t>
      </w:r>
      <w:hyperlink r:id="rId10" w:history="1">
        <w:r w:rsidRPr="00077CD2">
          <w:rPr>
            <w:rStyle w:val="Hyperlink"/>
          </w:rPr>
          <w:t>afontalvom@unicartagena.edu.co</w:t>
        </w:r>
      </w:hyperlink>
    </w:p>
    <w:p w14:paraId="2FA76D13" w14:textId="0D3B1D6F" w:rsidR="00C16661" w:rsidRPr="00EB2611" w:rsidRDefault="00FE6B96" w:rsidP="00C16661">
      <w:pPr>
        <w:pStyle w:val="CETBodytext"/>
        <w:rPr>
          <w:bCs/>
        </w:rPr>
      </w:pPr>
      <w:r w:rsidRPr="00FE6B96">
        <w:rPr>
          <w:bCs/>
        </w:rPr>
        <w:t>The increasing production and consumption of avocado (</w:t>
      </w:r>
      <w:proofErr w:type="spellStart"/>
      <w:r w:rsidRPr="00FE6B96">
        <w:rPr>
          <w:bCs/>
        </w:rPr>
        <w:t>Persea</w:t>
      </w:r>
      <w:proofErr w:type="spellEnd"/>
      <w:r w:rsidRPr="00FE6B96">
        <w:rPr>
          <w:bCs/>
        </w:rPr>
        <w:t xml:space="preserve"> americana Mill.) have led to the generation of large amounts of agro-industrial residues, creating the need for sustainable, safe, and economically viable valorization alternatives. In this context, biorefineries represent an attractive approach for converting avocado hard waste into value-added products; however, their implementation requires a rigorous evaluation of process safety to prevent accidents and operational risks. This study presents an inherent safety assessment of a multiproduct biorefinery based on avocado hard waste from southern Colombia, designed to produce starch and two bio-based films, using the Numerical Descriptive Inherent Safety Technique (</w:t>
      </w:r>
      <w:proofErr w:type="spellStart"/>
      <w:r w:rsidRPr="00FE6B96">
        <w:rPr>
          <w:bCs/>
        </w:rPr>
        <w:t>NuDIST</w:t>
      </w:r>
      <w:proofErr w:type="spellEnd"/>
      <w:r w:rsidRPr="00FE6B96">
        <w:rPr>
          <w:bCs/>
        </w:rPr>
        <w:t xml:space="preserve">). Unlike traditional index-based methods, </w:t>
      </w:r>
      <w:proofErr w:type="spellStart"/>
      <w:r w:rsidRPr="00FE6B96">
        <w:rPr>
          <w:bCs/>
        </w:rPr>
        <w:t>NuDIST</w:t>
      </w:r>
      <w:proofErr w:type="spellEnd"/>
      <w:r w:rsidRPr="00FE6B96">
        <w:rPr>
          <w:bCs/>
        </w:rPr>
        <w:t xml:space="preserve"> employs numerical scoring to evaluate chemical and process-related hazards, including flammability, explosiveness, toxicity, operating temperature, pressure, and heat of reaction. Technical data were compiled from literature sources, safety data sheets, and specialized databases to support the categorization of hazards and the definition of evaluation ranges. The results yielded a total </w:t>
      </w:r>
      <w:proofErr w:type="spellStart"/>
      <w:r w:rsidRPr="00FE6B96">
        <w:rPr>
          <w:bCs/>
        </w:rPr>
        <w:t>NuDIST</w:t>
      </w:r>
      <w:proofErr w:type="spellEnd"/>
      <w:r w:rsidRPr="00FE6B96">
        <w:rPr>
          <w:bCs/>
        </w:rPr>
        <w:t xml:space="preserve"> score of 333.9, indicating a moderate but acceptable inherent safety level when compared with similar processes reported in the literature. Chemical hazards were found to dominate the overall risk profile, mainly due to the use of sulfuric acid, while operating conditions contributed less significantly to the total score. Additionally, the biorefinery achieved an overall production yield of 78%, demonstrating that the process is not only inherently safe but also technically and environmentally feasible. These findings highlight the usefulness of </w:t>
      </w:r>
      <w:proofErr w:type="spellStart"/>
      <w:r w:rsidRPr="00FE6B96">
        <w:rPr>
          <w:bCs/>
        </w:rPr>
        <w:t>NuDIST</w:t>
      </w:r>
      <w:proofErr w:type="spellEnd"/>
      <w:r w:rsidRPr="00FE6B96">
        <w:rPr>
          <w:bCs/>
        </w:rPr>
        <w:t xml:space="preserve"> as a simple, consistent, and less subjective tool for inherent safety assessment in emerging biorefinery systems and contribute to closing existing gaps in the application of inherent safety methodologies to agro-industrial waste valorization processes</w:t>
      </w:r>
      <w:r w:rsidR="00C16661" w:rsidRPr="00C16661">
        <w:rPr>
          <w:bCs/>
        </w:rPr>
        <w:t>.</w:t>
      </w:r>
    </w:p>
    <w:p w14:paraId="476B2F2E" w14:textId="77777777" w:rsidR="00600535" w:rsidRPr="00B57B36" w:rsidRDefault="00600535" w:rsidP="00600535">
      <w:pPr>
        <w:pStyle w:val="CETHeading1"/>
        <w:rPr>
          <w:lang w:val="en-GB"/>
        </w:rPr>
      </w:pPr>
      <w:r w:rsidRPr="00B57B36">
        <w:rPr>
          <w:lang w:val="en-GB"/>
        </w:rPr>
        <w:t>Introduction</w:t>
      </w:r>
    </w:p>
    <w:p w14:paraId="1AED3853" w14:textId="3F696DD1" w:rsidR="00600535" w:rsidRDefault="00925E70" w:rsidP="00F27CF2">
      <w:pPr>
        <w:pStyle w:val="CETBodytext"/>
      </w:pPr>
      <w:r>
        <w:t xml:space="preserve">Recent research has highlighted both the nutritional relevance of avocado </w:t>
      </w:r>
      <w:r w:rsidRPr="00C16661">
        <w:rPr>
          <w:bCs/>
        </w:rPr>
        <w:t>(</w:t>
      </w:r>
      <w:proofErr w:type="spellStart"/>
      <w:r w:rsidRPr="00C16661">
        <w:rPr>
          <w:bCs/>
          <w:i/>
          <w:iCs/>
        </w:rPr>
        <w:t>Persea</w:t>
      </w:r>
      <w:proofErr w:type="spellEnd"/>
      <w:r w:rsidRPr="00C16661">
        <w:rPr>
          <w:bCs/>
          <w:i/>
          <w:iCs/>
        </w:rPr>
        <w:t xml:space="preserve"> americana Mill</w:t>
      </w:r>
      <w:r w:rsidRPr="00C16661">
        <w:rPr>
          <w:bCs/>
        </w:rPr>
        <w:t>.)</w:t>
      </w:r>
      <w:r>
        <w:t xml:space="preserve">, and the significant amounts of waste and by-products generated during its </w:t>
      </w:r>
      <w:r w:rsidR="00A805B9">
        <w:t>Agro-</w:t>
      </w:r>
      <w:r>
        <w:t>industrial processing. Avocado residues mainly consist of seeds, peels, and pulp, which are rich in valuable compounds such as polyphenols, starch, and pectin. The recovery and separation of these compounds enable the production of value-added by-products while promoting sustainable waste management and resource valorization</w:t>
      </w:r>
      <w:r w:rsidR="00C32DB4">
        <w:t xml:space="preserve"> </w:t>
      </w:r>
      <w:sdt>
        <w:sdtPr>
          <w:rPr>
            <w:rFonts w:cs="Arial"/>
            <w:color w:val="000000"/>
          </w:rPr>
          <w:tag w:val="MENDELEY_CITATION_v3_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"/>
          <w:id w:val="-123002215"/>
          <w:placeholder>
            <w:docPart w:val="DefaultPlaceholder_-1854013440"/>
          </w:placeholder>
        </w:sdtPr>
        <w:sdtContent>
          <w:r w:rsidR="0011215F" w:rsidRPr="0011215F">
            <w:rPr>
              <w:rFonts w:cs="Arial"/>
              <w:color w:val="000000"/>
            </w:rPr>
            <w:t>(Gaglio et al., 2026)</w:t>
          </w:r>
        </w:sdtContent>
      </w:sdt>
      <w:r w:rsidR="00A805B9">
        <w:rPr>
          <w:rFonts w:cs="Arial"/>
          <w:color w:val="000000"/>
        </w:rPr>
        <w:t>.</w:t>
      </w:r>
      <w:r w:rsidR="00727A30">
        <w:t xml:space="preserve">The use of biorefineries has been proposed as a promising opportunity in which, through the integration of biomass—specifically hard avocado waste from southern Colombia—a more sustainable approach to waste utilization can be achieved by assigning added value to each compound or component of the avocado </w:t>
      </w:r>
      <w:sdt>
        <w:sdtPr>
          <w:rPr>
            <w:rFonts w:cs="Arial"/>
            <w:color w:val="000000"/>
          </w:rPr>
          <w:tag w:val="MENDELEY_CITATION_v3_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"/>
          <w:id w:val="109484131"/>
          <w:placeholder>
            <w:docPart w:val="DefaultPlaceholder_-1854013440"/>
          </w:placeholder>
        </w:sdtPr>
        <w:sdtContent>
          <w:r w:rsidR="0011215F" w:rsidRPr="0011215F">
            <w:rPr>
              <w:rFonts w:cs="Arial"/>
              <w:color w:val="000000"/>
            </w:rPr>
            <w:t>(Alvear-Alayon et al., 2025).</w:t>
          </w:r>
        </w:sdtContent>
      </w:sdt>
      <w:r w:rsidR="008402E6">
        <w:rPr>
          <w:rFonts w:cs="Arial"/>
          <w:color w:val="000000"/>
        </w:rPr>
        <w:t xml:space="preserve"> </w:t>
      </w:r>
      <w:r w:rsidR="008402E6">
        <w:t>A safety assessment is essential to prevent accidents, economic losses, physical damage, and loss of reliability and credibility within an organization. Therefore, it is necessary to conduct an analysis that identifies and highlights the existing hazards to which workers in the industry may be exposed</w:t>
      </w:r>
      <w:r w:rsidR="00387D98">
        <w:t xml:space="preserve"> </w:t>
      </w:r>
      <w:sdt>
        <w:sdtPr>
          <w:rPr>
            <w:rFonts w:cs="Arial"/>
            <w:color w:val="000000"/>
          </w:rPr>
          <w:tag w:val="MENDELEY_CITATION_v3_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"/>
          <w:id w:val="1939952735"/>
          <w:placeholder>
            <w:docPart w:val="DefaultPlaceholder_-1854013440"/>
          </w:placeholder>
        </w:sdtPr>
        <w:sdtContent>
          <w:r w:rsidR="0011215F" w:rsidRPr="0011215F">
            <w:rPr>
              <w:rFonts w:cs="Arial"/>
              <w:color w:val="000000"/>
            </w:rPr>
            <w:t>(</w:t>
          </w:r>
          <w:proofErr w:type="spellStart"/>
          <w:r w:rsidR="0011215F" w:rsidRPr="0011215F">
            <w:rPr>
              <w:rFonts w:cs="Arial"/>
              <w:color w:val="000000"/>
            </w:rPr>
            <w:t>Zuorro</w:t>
          </w:r>
          <w:proofErr w:type="spellEnd"/>
          <w:r w:rsidR="0011215F" w:rsidRPr="0011215F">
            <w:rPr>
              <w:rFonts w:cs="Arial"/>
              <w:color w:val="000000"/>
            </w:rPr>
            <w:t xml:space="preserve"> et al., 2020)</w:t>
          </w:r>
        </w:sdtContent>
      </w:sdt>
      <w:r w:rsidR="007A51F4">
        <w:t xml:space="preserve">, </w:t>
      </w:r>
      <w:sdt>
        <w:sdtPr>
          <w:rPr>
            <w:rFonts w:cs="Arial"/>
            <w:color w:val="000000"/>
          </w:rPr>
          <w:tag w:val="MENDELEY_CITATION_v3_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"/>
          <w:id w:val="1054273599"/>
          <w:placeholder>
            <w:docPart w:val="DefaultPlaceholder_-1854013440"/>
          </w:placeholder>
        </w:sdtPr>
        <w:sdtContent>
          <w:r w:rsidR="0011215F" w:rsidRPr="0011215F">
            <w:rPr>
              <w:rFonts w:cs="Arial"/>
              <w:color w:val="000000"/>
            </w:rPr>
            <w:t>(Ahmad et al., 2014)</w:t>
          </w:r>
        </w:sdtContent>
      </w:sdt>
      <w:r w:rsidR="00677EBB" w:rsidRPr="00677EBB">
        <w:t xml:space="preserve"> </w:t>
      </w:r>
      <w:r w:rsidR="00677EBB">
        <w:t>For this purpose</w:t>
      </w:r>
      <w:r w:rsidR="008402E6">
        <w:t xml:space="preserve"> </w:t>
      </w:r>
      <w:r w:rsidR="00677EBB">
        <w:t>t</w:t>
      </w:r>
      <w:r w:rsidR="008402E6">
        <w:t>he</w:t>
      </w:r>
      <w:r w:rsidR="00A0758E">
        <w:t xml:space="preserve"> evaluation was conducted using the Numerical Descriptive Inherent Safety (</w:t>
      </w:r>
      <w:proofErr w:type="spellStart"/>
      <w:r w:rsidR="00A0758E">
        <w:t>NuDIST</w:t>
      </w:r>
      <w:proofErr w:type="spellEnd"/>
      <w:r w:rsidR="00A0758E">
        <w:t xml:space="preserve">) technique, which allows the inherent safety of the process to be </w:t>
      </w:r>
      <w:r w:rsidR="00387D98">
        <w:t>identified,</w:t>
      </w:r>
      <w:r w:rsidR="00A0758E">
        <w:t xml:space="preserve"> and the hazards present in the process to be qualitatively assessed without the use of subjective indices. Higher scores indicate higher hazard and </w:t>
      </w:r>
      <w:proofErr w:type="gramStart"/>
      <w:r w:rsidR="00A0758E">
        <w:t>is</w:t>
      </w:r>
      <w:proofErr w:type="gramEnd"/>
      <w:r w:rsidR="00A0758E">
        <w:t xml:space="preserve"> not </w:t>
      </w:r>
      <w:r w:rsidR="00AE1B10">
        <w:t>desirable</w:t>
      </w:r>
      <w:r w:rsidR="00A0758E">
        <w:t xml:space="preserve"> compared to lower scores</w:t>
      </w:r>
      <w:r w:rsidR="004D3D0F">
        <w:t xml:space="preserve"> </w:t>
      </w:r>
      <w:sdt>
        <w:sdtPr>
          <w:rPr>
            <w:rFonts w:cs="Arial"/>
            <w:color w:val="000000"/>
          </w:rPr>
          <w:tag w:val="MENDELEY_CITATION_v3_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"/>
          <w:id w:val="1945655123"/>
          <w:placeholder>
            <w:docPart w:val="DefaultPlaceholder_-1854013440"/>
          </w:placeholder>
        </w:sdtPr>
        <w:sdtContent>
          <w:r w:rsidR="0011215F" w:rsidRPr="0011215F">
            <w:rPr>
              <w:rFonts w:cs="Arial"/>
              <w:color w:val="000000"/>
            </w:rPr>
            <w:t>(</w:t>
          </w:r>
          <w:proofErr w:type="spellStart"/>
          <w:r w:rsidR="0011215F" w:rsidRPr="0011215F">
            <w:rPr>
              <w:rFonts w:cs="Arial"/>
              <w:color w:val="000000"/>
            </w:rPr>
            <w:t>Shiun</w:t>
          </w:r>
          <w:proofErr w:type="spellEnd"/>
          <w:r w:rsidR="0011215F" w:rsidRPr="0011215F">
            <w:rPr>
              <w:rFonts w:cs="Arial"/>
              <w:color w:val="000000"/>
            </w:rPr>
            <w:t xml:space="preserve"> </w:t>
          </w:r>
          <w:proofErr w:type="spellStart"/>
          <w:r w:rsidR="0011215F" w:rsidRPr="0011215F">
            <w:rPr>
              <w:rFonts w:cs="Arial"/>
              <w:color w:val="000000"/>
            </w:rPr>
            <w:t>lim</w:t>
          </w:r>
          <w:proofErr w:type="spellEnd"/>
          <w:r w:rsidR="0011215F" w:rsidRPr="0011215F">
            <w:rPr>
              <w:rFonts w:cs="Arial"/>
              <w:color w:val="000000"/>
            </w:rPr>
            <w:t xml:space="preserve"> et al., (2019).</w:t>
          </w:r>
        </w:sdtContent>
      </w:sdt>
      <w:r w:rsidR="000923ED" w:rsidRPr="000923ED">
        <w:rPr>
          <w:rFonts w:cs="Arial"/>
          <w:color w:val="000000"/>
        </w:rPr>
        <w:t xml:space="preserve">This study aims to valorize </w:t>
      </w:r>
      <w:r w:rsidR="000923ED" w:rsidRPr="000923ED">
        <w:rPr>
          <w:rFonts w:cs="Arial"/>
          <w:color w:val="000000"/>
        </w:rPr>
        <w:lastRenderedPageBreak/>
        <w:t xml:space="preserve">hard avocado waste through the production of </w:t>
      </w:r>
      <w:r w:rsidR="004D1E75">
        <w:rPr>
          <w:rFonts w:cs="Arial"/>
          <w:color w:val="000000"/>
        </w:rPr>
        <w:t xml:space="preserve">three </w:t>
      </w:r>
      <w:r w:rsidR="000923ED" w:rsidRPr="000923ED">
        <w:rPr>
          <w:rFonts w:cs="Arial"/>
          <w:color w:val="000000"/>
        </w:rPr>
        <w:t>products using an integrated multiproduct biorefinery. The process enables the generation of two bio</w:t>
      </w:r>
      <w:r w:rsidR="00573BDD">
        <w:rPr>
          <w:rFonts w:cs="Arial"/>
          <w:color w:val="000000"/>
        </w:rPr>
        <w:t>films</w:t>
      </w:r>
      <w:r w:rsidR="000923ED" w:rsidRPr="000923ED">
        <w:rPr>
          <w:rFonts w:cs="Arial"/>
          <w:color w:val="000000"/>
        </w:rPr>
        <w:t xml:space="preserve"> and starch. The overall process is evaluated using (</w:t>
      </w:r>
      <w:proofErr w:type="spellStart"/>
      <w:r w:rsidR="000923ED" w:rsidRPr="000923ED">
        <w:rPr>
          <w:rFonts w:cs="Arial"/>
          <w:color w:val="000000"/>
        </w:rPr>
        <w:t>NuDIST</w:t>
      </w:r>
      <w:proofErr w:type="spellEnd"/>
      <w:r w:rsidR="000923ED" w:rsidRPr="000923ED">
        <w:rPr>
          <w:rFonts w:cs="Arial"/>
          <w:color w:val="000000"/>
        </w:rPr>
        <w:t xml:space="preserve">) method </w:t>
      </w:r>
      <w:r w:rsidR="00172AED" w:rsidRPr="000923ED">
        <w:rPr>
          <w:rFonts w:cs="Arial"/>
          <w:color w:val="000000"/>
        </w:rPr>
        <w:t>to</w:t>
      </w:r>
      <w:r w:rsidR="000923ED" w:rsidRPr="000923ED">
        <w:rPr>
          <w:rFonts w:cs="Arial"/>
          <w:color w:val="000000"/>
        </w:rPr>
        <w:t xml:space="preserve"> assess its feasibility in terms of process safety through a global percentage-based safety score. Both chemical hazards, such as flammability and toxicity, and process-related hazards, including operating temperature and pressure, are considered. The resulting overall score is compared with those of similar processes reported in the literature to determine whether the proposed biorefinery falls within an acceptable safety range</w:t>
      </w:r>
      <w:r w:rsidR="001A4416">
        <w:rPr>
          <w:rFonts w:cs="Arial"/>
          <w:color w:val="000000"/>
        </w:rPr>
        <w:t>.</w:t>
      </w:r>
    </w:p>
    <w:p w14:paraId="5741900F" w14:textId="210AF841" w:rsidR="00453E24" w:rsidRDefault="00DE7C45" w:rsidP="00453E24">
      <w:pPr>
        <w:pStyle w:val="CETHeading1"/>
      </w:pPr>
      <w:r>
        <w:t>Material</w:t>
      </w:r>
      <w:r w:rsidR="007B0584">
        <w:t>s</w:t>
      </w:r>
      <w:r>
        <w:t xml:space="preserve"> and Methods</w:t>
      </w:r>
    </w:p>
    <w:p w14:paraId="0427888F" w14:textId="3B5CF665" w:rsidR="000E551E" w:rsidRDefault="00071F64" w:rsidP="00DE7C45">
      <w:pPr>
        <w:pStyle w:val="CETBodytext"/>
      </w:pPr>
      <w:r w:rsidRPr="00071F64">
        <w:t>The authors developed the simulation of the hard avocado waste biorefinery using Aspen Plus® software</w:t>
      </w:r>
      <w:r w:rsidR="009658E1">
        <w:t xml:space="preserve"> v14</w:t>
      </w:r>
      <w:r w:rsidRPr="00071F64">
        <w:t xml:space="preserve">, and the resulting mass and energy balances were required for the </w:t>
      </w:r>
      <w:proofErr w:type="spellStart"/>
      <w:r w:rsidRPr="00071F64">
        <w:t>NuDIST</w:t>
      </w:r>
      <w:proofErr w:type="spellEnd"/>
      <w:r w:rsidRPr="00071F64">
        <w:t xml:space="preserve"> evaluation</w:t>
      </w:r>
      <w:r w:rsidR="000E551E">
        <w:t>,</w:t>
      </w:r>
      <w:r>
        <w:t xml:space="preserve"> </w:t>
      </w:r>
      <w:r w:rsidR="000E551E">
        <w:t>whose equipment flow diagram is shown in figure 1</w:t>
      </w:r>
      <w:r w:rsidR="00947B40">
        <w:t xml:space="preserve">. </w:t>
      </w:r>
      <w:r w:rsidR="00947B40" w:rsidRPr="00947B40">
        <w:t>Detailed information regarding the simulation can be found in a previous paper published by</w:t>
      </w:r>
      <w:r w:rsidR="006B7064">
        <w:t xml:space="preserve"> the authors</w:t>
      </w:r>
      <w:r w:rsidR="00031624">
        <w:t xml:space="preserve"> </w:t>
      </w:r>
      <w:sdt>
        <w:sdtPr>
          <w:rPr>
            <w:rFonts w:cs="Arial"/>
            <w:color w:val="000000"/>
          </w:rPr>
          <w:tag w:val="MENDELEY_CITATION_v3_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"/>
          <w:id w:val="-1549521956"/>
          <w:placeholder>
            <w:docPart w:val="DefaultPlaceholder_-1854013440"/>
          </w:placeholder>
        </w:sdtPr>
        <w:sdtContent>
          <w:r w:rsidR="0011215F" w:rsidRPr="0011215F">
            <w:rPr>
              <w:rFonts w:cs="Arial"/>
              <w:color w:val="000000"/>
            </w:rPr>
            <w:t>(Valdez-Valdes et al., 2025)</w:t>
          </w:r>
        </w:sdtContent>
      </w:sdt>
      <w:r w:rsidR="00947B40" w:rsidRPr="00947B40">
        <w:t>.</w:t>
      </w:r>
      <w:r w:rsidR="000E551E">
        <w:t xml:space="preserve"> </w:t>
      </w:r>
      <w:r w:rsidR="006E2709" w:rsidRPr="006E2709">
        <w:t xml:space="preserve">Within the diagram, the main processes for obtaining the </w:t>
      </w:r>
      <w:r w:rsidR="004D1E75">
        <w:t xml:space="preserve">three </w:t>
      </w:r>
      <w:r w:rsidR="006E2709" w:rsidRPr="006E2709">
        <w:t xml:space="preserve">products can be observed. The process begins with the washing and drying of the avocado waste, which enters the system with a raw material flow rate of 27.4 kg/h. Subsequently, the process is divided into two </w:t>
      </w:r>
      <w:r w:rsidR="00C82A8E" w:rsidRPr="006E2709">
        <w:t>streams:</w:t>
      </w:r>
      <w:r w:rsidR="006E2709" w:rsidRPr="006E2709">
        <w:t xml:space="preserve"> in the lower section, the second bio</w:t>
      </w:r>
      <w:r w:rsidR="00CB18D1">
        <w:t>film</w:t>
      </w:r>
      <w:r w:rsidR="00AD0E4B">
        <w:t xml:space="preserve"> </w:t>
      </w:r>
      <w:r w:rsidR="006E2709" w:rsidRPr="006E2709">
        <w:t>is extracted</w:t>
      </w:r>
      <w:r w:rsidR="006C73C0">
        <w:t>,</w:t>
      </w:r>
      <w:r w:rsidR="006C73C0" w:rsidRPr="006C73C0">
        <w:t xml:space="preserve"> </w:t>
      </w:r>
      <w:r w:rsidR="006C73C0">
        <w:t>while in the upper section, the first bio</w:t>
      </w:r>
      <w:r w:rsidR="00CB18D1">
        <w:t>film</w:t>
      </w:r>
      <w:r w:rsidR="00EA3111">
        <w:t xml:space="preserve"> and </w:t>
      </w:r>
      <w:r w:rsidR="006C73C0">
        <w:t>starch are obtained.</w:t>
      </w:r>
    </w:p>
    <w:p w14:paraId="19249D5B" w14:textId="5543249C" w:rsidR="003163CD" w:rsidRDefault="001D57BD" w:rsidP="003163CD">
      <w:pPr>
        <w:pStyle w:val="CETBodytext"/>
        <w:jc w:val="center"/>
      </w:pPr>
      <w:r>
        <w:rPr>
          <w:noProof/>
        </w:rPr>
        <w:drawing>
          <wp:inline distT="0" distB="0" distL="0" distR="0" wp14:anchorId="0BE04D04" wp14:editId="574D69F5">
            <wp:extent cx="4895953" cy="2727960"/>
            <wp:effectExtent l="0" t="0" r="0" b="0"/>
            <wp:docPr id="45259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95509" name="Picture 452595509"/>
                    <pic:cNvPicPr/>
                  </pic:nvPicPr>
                  <pic:blipFill>
                    <a:blip r:embed="rId11">
                      <a:extLst>
                        <a:ext uri="{BEBA8EAE-BF5A-486C-A8C5-ECC9F3942E4B}">
                          <a14:imgProps xmlns:a14="http://schemas.microsoft.com/office/drawing/2010/main">
                            <a14:imgLayer r:embed="rId12">
                              <a14:imgEffect>
                                <a14:sharpenSoften amount="10000"/>
                              </a14:imgEffect>
                            </a14:imgLayer>
                          </a14:imgProps>
                        </a:ext>
                      </a:extLst>
                    </a:blip>
                    <a:stretch>
                      <a:fillRect/>
                    </a:stretch>
                  </pic:blipFill>
                  <pic:spPr>
                    <a:xfrm>
                      <a:off x="0" y="0"/>
                      <a:ext cx="4911466" cy="2736604"/>
                    </a:xfrm>
                    <a:prstGeom prst="rect">
                      <a:avLst/>
                    </a:prstGeom>
                  </pic:spPr>
                </pic:pic>
              </a:graphicData>
            </a:graphic>
          </wp:inline>
        </w:drawing>
      </w:r>
    </w:p>
    <w:p w14:paraId="741FC5D8" w14:textId="23793BC3" w:rsidR="005965BF" w:rsidRDefault="005965BF" w:rsidP="005965BF">
      <w:pPr>
        <w:pStyle w:val="CETCaption"/>
      </w:pPr>
      <w:r>
        <w:t xml:space="preserve">Figure 1: </w:t>
      </w:r>
      <w:r w:rsidR="007B0584">
        <w:t>Process</w:t>
      </w:r>
      <w:r w:rsidRPr="005965BF">
        <w:t xml:space="preserve"> Flow Diagram</w:t>
      </w:r>
      <w:r w:rsidR="007B0584">
        <w:t xml:space="preserve"> of avocado hard waste biorefinery studied.</w:t>
      </w:r>
    </w:p>
    <w:p w14:paraId="0238D68F" w14:textId="2CB9C5A7" w:rsidR="000E551E" w:rsidRDefault="007B0584" w:rsidP="000E551E">
      <w:pPr>
        <w:pStyle w:val="CETheadingx"/>
      </w:pPr>
      <w:r>
        <w:t>Safety</w:t>
      </w:r>
      <w:r w:rsidR="000E551E">
        <w:t xml:space="preserve"> </w:t>
      </w:r>
      <w:r>
        <w:t>a</w:t>
      </w:r>
      <w:r w:rsidR="000E551E">
        <w:t>ssessment</w:t>
      </w:r>
      <w:r>
        <w:t xml:space="preserve"> via </w:t>
      </w:r>
      <w:proofErr w:type="spellStart"/>
      <w:r>
        <w:t>NuDIST</w:t>
      </w:r>
      <w:proofErr w:type="spellEnd"/>
      <w:r>
        <w:t xml:space="preserve"> method</w:t>
      </w:r>
    </w:p>
    <w:p w14:paraId="2A4D6995" w14:textId="2DF78F3E" w:rsidR="006C7B04" w:rsidRDefault="00691941" w:rsidP="00DE7C45">
      <w:pPr>
        <w:pStyle w:val="CETBodytext"/>
      </w:pPr>
      <w:r>
        <w:t xml:space="preserve">First, a comprehensive review of the literature was conducted to collect the technical data sheets of all substances involved in the hard avocado waste biorefinery process. Based on this information, the evaluation was divided into two categories: </w:t>
      </w:r>
      <w:proofErr w:type="spellStart"/>
      <w:r>
        <w:t>NuDIST</w:t>
      </w:r>
      <w:proofErr w:type="spellEnd"/>
      <w:r>
        <w:t xml:space="preserve"> parameters for chemical safety assessment and </w:t>
      </w:r>
      <w:proofErr w:type="spellStart"/>
      <w:r>
        <w:t>NuDIST</w:t>
      </w:r>
      <w:proofErr w:type="spellEnd"/>
      <w:r>
        <w:t xml:space="preserve"> parameters for process safety assessment, as sh</w:t>
      </w:r>
      <w:r w:rsidR="00BC2811">
        <w:t>own</w:t>
      </w:r>
      <w:r>
        <w:t xml:space="preserve"> in</w:t>
      </w:r>
      <w:r w:rsidR="001A0BD7">
        <w:t xml:space="preserve"> (Table 1)</w:t>
      </w:r>
      <w:r>
        <w:t xml:space="preserve">. Using the equations presented, the Total Chemical Safety Score (CSTS) was calculated, followed by the Total Process Safety Score (PSTS). Finally, the overall </w:t>
      </w:r>
      <w:proofErr w:type="spellStart"/>
      <w:r>
        <w:t>NuDIST</w:t>
      </w:r>
      <w:proofErr w:type="spellEnd"/>
      <w:r>
        <w:t xml:space="preserve"> </w:t>
      </w:r>
      <w:r w:rsidR="00A93F9B">
        <w:t>t</w:t>
      </w:r>
      <w:r>
        <w:t xml:space="preserve">otal Score was obtained as the sum of the total chemical safety score and the total process </w:t>
      </w:r>
      <w:r w:rsidRPr="000C4F68">
        <w:t>safety</w:t>
      </w:r>
      <w:r>
        <w:t xml:space="preserve"> score.</w:t>
      </w:r>
    </w:p>
    <w:p w14:paraId="53A94C7E" w14:textId="3CCE2FEE" w:rsidR="00D356D8" w:rsidRDefault="00D356D8" w:rsidP="00DE7C45">
      <w:pPr>
        <w:pStyle w:val="CETBodytext"/>
      </w:pPr>
      <w:r w:rsidRPr="006C0441">
        <w:t>Each equation calculates a safety index according to the specific aspect being evaluated. For example, the process inventory index</w:t>
      </w:r>
      <w:r>
        <w:t xml:space="preserve"> </w:t>
      </w:r>
      <m:oMath>
        <m:sSub>
          <m:sSubPr>
            <m:ctrlPr>
              <w:rPr>
                <w:rFonts w:ascii="Cambria Math" w:eastAsia="SimSun" w:hAnsi="Cambria Math"/>
                <w:iCs/>
                <w:noProof/>
                <w:color w:val="000000"/>
                <w:sz w:val="20"/>
                <w:lang w:eastAsia="zh-CN"/>
              </w:rPr>
            </m:ctrlPr>
          </m:sSubPr>
          <m:e>
            <m:r>
              <m:rPr>
                <m:sty m:val="p"/>
              </m:rPr>
              <w:rPr>
                <w:rFonts w:ascii="Cambria Math" w:eastAsia="Cambria Math" w:hAnsi="Cambria Math"/>
                <w:noProof/>
                <w:color w:val="000000"/>
                <w:sz w:val="20"/>
                <w:lang w:eastAsia="zh-CN"/>
              </w:rPr>
              <m:t>S</m:t>
            </m:r>
          </m:e>
          <m:sub>
            <m:r>
              <m:rPr>
                <m:sty m:val="p"/>
              </m:rPr>
              <w:rPr>
                <w:rFonts w:ascii="Cambria Math" w:eastAsia="Cambria Math" w:hAnsi="Cambria Math"/>
                <w:noProof/>
                <w:color w:val="000000"/>
                <w:sz w:val="20"/>
                <w:lang w:eastAsia="zh-CN"/>
              </w:rPr>
              <m:t>PI</m:t>
            </m:r>
          </m:sub>
        </m:sSub>
        <m:r>
          <w:rPr>
            <w:rFonts w:ascii="Cambria Math" w:eastAsia="SimSun" w:hAnsi="Cambria Math"/>
            <w:noProof/>
            <w:color w:val="000000"/>
            <w:sz w:val="20"/>
            <w:lang w:eastAsia="zh-CN"/>
          </w:rPr>
          <m:t xml:space="preserve"> </m:t>
        </m:r>
      </m:oMath>
      <w:r w:rsidRPr="006C0441">
        <w:t>estimates the amount of chemical inventory required to operate the biorefinery.</w:t>
      </w:r>
    </w:p>
    <w:p w14:paraId="35CC8ABC" w14:textId="53555456" w:rsidR="00F61778" w:rsidRPr="006B7064" w:rsidRDefault="00F61778" w:rsidP="00F61778">
      <w:pPr>
        <w:pStyle w:val="CETTabletitle"/>
        <w:rPr>
          <w:i w:val="0"/>
          <w:iCs/>
        </w:rPr>
      </w:pPr>
      <w:r>
        <w:t xml:space="preserve">Table 1: Parameters for the </w:t>
      </w:r>
      <w:proofErr w:type="spellStart"/>
      <w:r>
        <w:t>NuD</w:t>
      </w:r>
      <w:r w:rsidR="00BE307E">
        <w:t>IST</w:t>
      </w:r>
      <w:proofErr w:type="spellEnd"/>
      <w:r w:rsidR="006B7064">
        <w:t>-</w:t>
      </w:r>
      <w:r w:rsidR="006B7064">
        <w:rPr>
          <w:i w:val="0"/>
          <w:iCs/>
        </w:rPr>
        <w:t>based safety evaluation of the avocado hard waste biorefinery.</w:t>
      </w:r>
    </w:p>
    <w:tbl>
      <w:tblPr>
        <w:tblW w:w="0" w:type="auto"/>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6C7B04" w:rsidRPr="00B57B36" w14:paraId="74DDF220" w14:textId="77777777" w:rsidTr="006C7B04">
        <w:tc>
          <w:tcPr>
            <w:tcW w:w="1134" w:type="dxa"/>
            <w:shd w:val="clear" w:color="auto" w:fill="FFFFFF"/>
          </w:tcPr>
          <w:p w14:paraId="76D84C4C" w14:textId="77777777" w:rsidR="006C7B04" w:rsidRPr="00B57B36" w:rsidRDefault="006C7B04" w:rsidP="00EE027A">
            <w:pPr>
              <w:pStyle w:val="CETBodytext"/>
              <w:ind w:right="-1"/>
              <w:rPr>
                <w:rFonts w:cs="Arial"/>
                <w:szCs w:val="18"/>
                <w:lang w:val="en-GB"/>
              </w:rPr>
            </w:pPr>
          </w:p>
        </w:tc>
        <w:tc>
          <w:tcPr>
            <w:tcW w:w="1134" w:type="dxa"/>
            <w:shd w:val="clear" w:color="auto" w:fill="FFFFFF"/>
          </w:tcPr>
          <w:p w14:paraId="62F3F146" w14:textId="77777777" w:rsidR="006C7B04" w:rsidRPr="00B57B36" w:rsidRDefault="006C7B04" w:rsidP="00EE027A">
            <w:pPr>
              <w:pStyle w:val="CETBodytext"/>
              <w:ind w:right="-1"/>
              <w:rPr>
                <w:rFonts w:cs="Arial"/>
                <w:szCs w:val="18"/>
                <w:lang w:val="en-GB"/>
              </w:rPr>
            </w:pPr>
          </w:p>
        </w:tc>
        <w:tc>
          <w:tcPr>
            <w:tcW w:w="1134" w:type="dxa"/>
            <w:shd w:val="clear" w:color="auto" w:fill="FFFFFF"/>
          </w:tcPr>
          <w:p w14:paraId="437BF966" w14:textId="77777777" w:rsidR="006C7B04" w:rsidRPr="00B57B36" w:rsidRDefault="006C7B04" w:rsidP="00EE027A">
            <w:pPr>
              <w:pStyle w:val="CETBodytext"/>
              <w:ind w:right="-1"/>
              <w:rPr>
                <w:rFonts w:cs="Arial"/>
                <w:szCs w:val="18"/>
                <w:lang w:val="en-GB"/>
              </w:rPr>
            </w:pPr>
          </w:p>
        </w:tc>
        <w:tc>
          <w:tcPr>
            <w:tcW w:w="1134" w:type="dxa"/>
            <w:shd w:val="clear" w:color="auto" w:fill="FFFFFF"/>
          </w:tcPr>
          <w:p w14:paraId="061B9846" w14:textId="77777777" w:rsidR="006C7B04" w:rsidRPr="006C7B04" w:rsidRDefault="006C7B04" w:rsidP="00EE027A">
            <w:pPr>
              <w:pStyle w:val="CETBodytext"/>
              <w:ind w:right="-1"/>
              <w:rPr>
                <w:rFonts w:cs="Arial"/>
                <w:szCs w:val="18"/>
                <w:lang w:val="en-GB"/>
              </w:rPr>
            </w:pPr>
          </w:p>
        </w:tc>
        <w:tc>
          <w:tcPr>
            <w:tcW w:w="1134" w:type="dxa"/>
            <w:shd w:val="clear" w:color="auto" w:fill="FFFFFF"/>
          </w:tcPr>
          <w:p w14:paraId="6BAD5D37" w14:textId="77777777" w:rsidR="006C7B04" w:rsidRPr="00B57B36" w:rsidRDefault="006C7B04" w:rsidP="00EE027A">
            <w:pPr>
              <w:pStyle w:val="CETBodytext"/>
              <w:ind w:right="-1"/>
              <w:rPr>
                <w:rFonts w:cs="Arial"/>
                <w:szCs w:val="18"/>
                <w:lang w:val="en-GB"/>
              </w:rPr>
            </w:pPr>
          </w:p>
        </w:tc>
      </w:tr>
    </w:tbl>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60"/>
        <w:gridCol w:w="3107"/>
      </w:tblGrid>
      <w:tr w:rsidR="00387F04" w14:paraId="43B653E8" w14:textId="77777777" w:rsidTr="00F06B8B">
        <w:tc>
          <w:tcPr>
            <w:tcW w:w="2410" w:type="dxa"/>
            <w:vMerge w:val="restart"/>
            <w:tcBorders>
              <w:top w:val="single" w:sz="12" w:space="0" w:color="008000"/>
              <w:bottom w:val="nil"/>
            </w:tcBorders>
          </w:tcPr>
          <w:p w14:paraId="25CB1C09" w14:textId="77777777" w:rsidR="00387F04" w:rsidRPr="000C4F68" w:rsidRDefault="00387F04" w:rsidP="00731570">
            <w:pPr>
              <w:pStyle w:val="CETBodytext"/>
              <w:jc w:val="center"/>
            </w:pPr>
          </w:p>
          <w:p w14:paraId="0C920223" w14:textId="77777777" w:rsidR="00387F04" w:rsidRPr="000C4F68" w:rsidRDefault="00387F04" w:rsidP="00731570">
            <w:pPr>
              <w:pStyle w:val="CETBodytext"/>
              <w:jc w:val="center"/>
            </w:pPr>
          </w:p>
          <w:p w14:paraId="1E0D050B" w14:textId="77777777" w:rsidR="00387F04" w:rsidRPr="000C4F68" w:rsidRDefault="00387F04" w:rsidP="00731570">
            <w:pPr>
              <w:pStyle w:val="CETBodytext"/>
              <w:jc w:val="center"/>
            </w:pPr>
          </w:p>
          <w:p w14:paraId="0332AD15" w14:textId="77777777" w:rsidR="00387F04" w:rsidRPr="000C4F68" w:rsidRDefault="00387F04" w:rsidP="00731570">
            <w:pPr>
              <w:pStyle w:val="CETBodytext"/>
              <w:jc w:val="center"/>
            </w:pPr>
          </w:p>
          <w:p w14:paraId="666BB04D" w14:textId="74873CC1" w:rsidR="00387F04" w:rsidRPr="000C4F68" w:rsidRDefault="00387F04" w:rsidP="00731570">
            <w:pPr>
              <w:pStyle w:val="CETBodytext"/>
              <w:jc w:val="center"/>
            </w:pPr>
            <w:r w:rsidRPr="00A64AE8">
              <w:lastRenderedPageBreak/>
              <w:t>Chemical safety parameters</w:t>
            </w:r>
          </w:p>
        </w:tc>
        <w:tc>
          <w:tcPr>
            <w:tcW w:w="3260" w:type="dxa"/>
            <w:tcBorders>
              <w:top w:val="single" w:sz="12" w:space="0" w:color="008000"/>
              <w:bottom w:val="single" w:sz="8" w:space="0" w:color="008000"/>
            </w:tcBorders>
          </w:tcPr>
          <w:p w14:paraId="4C57560F" w14:textId="79DDFB2D" w:rsidR="00387F04" w:rsidRDefault="00387F04" w:rsidP="004C61BA">
            <w:pPr>
              <w:pStyle w:val="CETBodytext"/>
              <w:jc w:val="center"/>
            </w:pPr>
            <w:r>
              <w:lastRenderedPageBreak/>
              <w:t>Parameter</w:t>
            </w:r>
          </w:p>
        </w:tc>
        <w:tc>
          <w:tcPr>
            <w:tcW w:w="3107" w:type="dxa"/>
            <w:tcBorders>
              <w:top w:val="single" w:sz="12" w:space="0" w:color="008000"/>
              <w:bottom w:val="single" w:sz="8" w:space="0" w:color="008000"/>
            </w:tcBorders>
          </w:tcPr>
          <w:p w14:paraId="4D8D605B" w14:textId="59CAE8F2" w:rsidR="00387F04" w:rsidRDefault="00387F04" w:rsidP="004C61BA">
            <w:pPr>
              <w:pStyle w:val="CETBodytext"/>
              <w:jc w:val="center"/>
            </w:pPr>
            <w:r>
              <w:t>Equation</w:t>
            </w:r>
          </w:p>
        </w:tc>
      </w:tr>
      <w:tr w:rsidR="00387F04" w14:paraId="4BF1BC31" w14:textId="77777777" w:rsidTr="00F06B8B">
        <w:tc>
          <w:tcPr>
            <w:tcW w:w="2410" w:type="dxa"/>
            <w:vMerge/>
            <w:tcBorders>
              <w:top w:val="single" w:sz="8" w:space="0" w:color="008000"/>
            </w:tcBorders>
          </w:tcPr>
          <w:p w14:paraId="44BDC4BF"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3F31A895" w14:textId="6D61F52E" w:rsidR="00387F04" w:rsidRDefault="00387F04" w:rsidP="00D01355">
            <w:pPr>
              <w:pStyle w:val="CETBodytext"/>
              <w:jc w:val="left"/>
            </w:pPr>
            <w:r w:rsidRPr="004C61BA">
              <w:t>Flammability (</w:t>
            </w:r>
            <m:oMath>
              <m:sSub>
                <m:sSubPr>
                  <m:ctrlPr>
                    <w:rPr>
                      <w:rFonts w:ascii="Cambria Math" w:hAnsi="Cambria Math"/>
                      <w:i/>
                    </w:rPr>
                  </m:ctrlPr>
                </m:sSubPr>
                <m:e>
                  <m:r>
                    <w:rPr>
                      <w:rFonts w:ascii="Cambria Math" w:hAnsi="Cambria Math"/>
                    </w:rPr>
                    <m:t>S</m:t>
                  </m:r>
                </m:e>
                <m:sub>
                  <m:r>
                    <w:rPr>
                      <w:rFonts w:ascii="Cambria Math" w:hAnsi="Cambria Math"/>
                    </w:rPr>
                    <m:t>FL</m:t>
                  </m:r>
                </m:sub>
              </m:sSub>
            </m:oMath>
            <w:r w:rsidRPr="004C61BA">
              <w:t>)</w:t>
            </w:r>
          </w:p>
        </w:tc>
        <w:tc>
          <w:tcPr>
            <w:tcW w:w="3107" w:type="dxa"/>
            <w:tcBorders>
              <w:top w:val="single" w:sz="8" w:space="0" w:color="008000"/>
              <w:bottom w:val="single" w:sz="8" w:space="0" w:color="008000"/>
            </w:tcBorders>
          </w:tcPr>
          <w:p w14:paraId="6F1D23C2" w14:textId="32E4BA87" w:rsidR="00387F04" w:rsidRDefault="006C1ED2" w:rsidP="00D01355">
            <w:pPr>
              <w:pStyle w:val="CETBodytext"/>
              <w:jc w:val="right"/>
            </w:pPr>
            <m:oMathPara>
              <m:oMath>
                <m:r>
                  <w:rPr>
                    <w:rFonts w:ascii="Cambria Math" w:hAnsi="Cambria Math"/>
                    <w:lang w:val="es-CO"/>
                  </w:rPr>
                  <m:t xml:space="preserve">100* </m:t>
                </m:r>
                <m:d>
                  <m:dPr>
                    <m:ctrlPr>
                      <w:rPr>
                        <w:rFonts w:ascii="Cambria Math" w:hAnsi="Cambria Math"/>
                        <w:i/>
                        <w:lang w:val="es-CO"/>
                      </w:rPr>
                    </m:ctrlPr>
                  </m:dPr>
                  <m:e>
                    <m:r>
                      <w:rPr>
                        <w:rFonts w:ascii="Cambria Math" w:hAnsi="Cambria Math"/>
                        <w:lang w:val="es-CO"/>
                      </w:rPr>
                      <m:t>1-</m:t>
                    </m:r>
                    <m:d>
                      <m:dPr>
                        <m:ctrlPr>
                          <w:rPr>
                            <w:rFonts w:ascii="Cambria Math" w:hAnsi="Cambria Math"/>
                            <w:i/>
                            <w:lang w:val="es-CO"/>
                          </w:rPr>
                        </m:ctrlPr>
                      </m:dPr>
                      <m:e>
                        <m:f>
                          <m:fPr>
                            <m:ctrlPr>
                              <w:rPr>
                                <w:rFonts w:ascii="Cambria Math" w:hAnsi="Cambria Math"/>
                                <w:i/>
                                <w:lang w:val="es-CO"/>
                              </w:rPr>
                            </m:ctrlPr>
                          </m:fPr>
                          <m:num>
                            <m:r>
                              <w:rPr>
                                <w:rFonts w:ascii="Cambria Math" w:hAnsi="Cambria Math"/>
                                <w:lang w:val="es-CO"/>
                              </w:rPr>
                              <m:t>1</m:t>
                            </m:r>
                          </m:num>
                          <m:den>
                            <m:r>
                              <w:rPr>
                                <w:rFonts w:ascii="Cambria Math" w:hAnsi="Cambria Math"/>
                                <w:lang w:val="es-CO"/>
                              </w:rPr>
                              <m:t>1+3,77</m:t>
                            </m:r>
                            <m:sSup>
                              <m:sSupPr>
                                <m:ctrlPr>
                                  <w:rPr>
                                    <w:rFonts w:ascii="Cambria Math" w:hAnsi="Cambria Math"/>
                                    <w:i/>
                                    <w:lang w:val="es-CO"/>
                                  </w:rPr>
                                </m:ctrlPr>
                              </m:sSupPr>
                              <m:e>
                                <m:r>
                                  <w:rPr>
                                    <w:rFonts w:ascii="Cambria Math" w:hAnsi="Cambria Math"/>
                                    <w:lang w:val="es-CO"/>
                                  </w:rPr>
                                  <m:t>e</m:t>
                                </m:r>
                              </m:e>
                              <m:sup>
                                <m:r>
                                  <w:rPr>
                                    <w:rFonts w:ascii="Cambria Math" w:hAnsi="Cambria Math"/>
                                    <w:lang w:val="es-CO"/>
                                  </w:rPr>
                                  <m:t>-0,024x</m:t>
                                </m:r>
                              </m:sup>
                            </m:sSup>
                          </m:den>
                        </m:f>
                      </m:e>
                    </m:d>
                  </m:e>
                </m:d>
              </m:oMath>
            </m:oMathPara>
          </w:p>
        </w:tc>
      </w:tr>
      <w:tr w:rsidR="00387F04" w14:paraId="1FD3D98A" w14:textId="77777777" w:rsidTr="00F06B8B">
        <w:tc>
          <w:tcPr>
            <w:tcW w:w="2410" w:type="dxa"/>
            <w:vMerge/>
            <w:tcBorders>
              <w:top w:val="nil"/>
            </w:tcBorders>
          </w:tcPr>
          <w:p w14:paraId="13CD813D"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4DE3C80B" w14:textId="5B81DFE6" w:rsidR="00387F04" w:rsidRDefault="00925E70" w:rsidP="00D01355">
            <w:pPr>
              <w:pStyle w:val="CETBodytext"/>
              <w:jc w:val="left"/>
            </w:pPr>
            <w:r w:rsidRPr="004C61BA">
              <w:rPr>
                <w:lang w:val="en-GB"/>
              </w:rPr>
              <w:t>Toxicity</w:t>
            </w:r>
            <w:r w:rsidR="00387F04" w:rsidRPr="004C61BA">
              <w:rPr>
                <w:lang w:val="en-GB"/>
              </w:rPr>
              <w:t xml:space="preserve"> (</w:t>
            </w:r>
            <m:oMath>
              <m:sSub>
                <m:sSubPr>
                  <m:ctrlPr>
                    <w:rPr>
                      <w:rFonts w:ascii="Cambria Math" w:hAnsi="Cambria Math"/>
                      <w:i/>
                    </w:rPr>
                  </m:ctrlPr>
                </m:sSubPr>
                <m:e>
                  <m:r>
                    <w:rPr>
                      <w:rFonts w:ascii="Cambria Math" w:hAnsi="Cambria Math"/>
                    </w:rPr>
                    <m:t>S</m:t>
                  </m:r>
                </m:e>
                <m:sub>
                  <m:r>
                    <w:rPr>
                      <w:rFonts w:ascii="Cambria Math" w:hAnsi="Cambria Math"/>
                    </w:rPr>
                    <m:t>TOX</m:t>
                  </m:r>
                </m:sub>
              </m:sSub>
            </m:oMath>
            <w:r w:rsidR="00387F04">
              <w:rPr>
                <w:lang w:val="en-GB"/>
              </w:rPr>
              <w:t>)</w:t>
            </w:r>
          </w:p>
        </w:tc>
        <w:tc>
          <w:tcPr>
            <w:tcW w:w="3107" w:type="dxa"/>
            <w:tcBorders>
              <w:top w:val="single" w:sz="8" w:space="0" w:color="008000"/>
              <w:bottom w:val="single" w:sz="8" w:space="0" w:color="008000"/>
            </w:tcBorders>
          </w:tcPr>
          <w:p w14:paraId="367E2164" w14:textId="3384E315" w:rsidR="00387F04" w:rsidRPr="00F06B8B" w:rsidRDefault="006C1ED2" w:rsidP="00D01355">
            <w:pPr>
              <w:pStyle w:val="CETBodytext"/>
              <w:jc w:val="right"/>
              <w:rPr>
                <w:szCs w:val="18"/>
              </w:rPr>
            </w:pPr>
            <m:oMathPara>
              <m:oMath>
                <m:r>
                  <w:rPr>
                    <w:rFonts w:ascii="Cambria Math" w:hAnsi="Cambria Math"/>
                    <w:szCs w:val="18"/>
                    <w:lang w:val="es-CO"/>
                  </w:rPr>
                  <m:t xml:space="preserve">100* </m:t>
                </m:r>
                <m:d>
                  <m:dPr>
                    <m:ctrlPr>
                      <w:rPr>
                        <w:rFonts w:ascii="Cambria Math" w:hAnsi="Cambria Math"/>
                        <w:szCs w:val="18"/>
                        <w:lang w:val="es-CO"/>
                      </w:rPr>
                    </m:ctrlPr>
                  </m:dPr>
                  <m:e>
                    <m:r>
                      <w:rPr>
                        <w:rFonts w:ascii="Cambria Math" w:hAnsi="Cambria Math"/>
                        <w:szCs w:val="18"/>
                        <w:lang w:val="es-CO"/>
                      </w:rPr>
                      <m:t>1-</m:t>
                    </m:r>
                    <m:d>
                      <m:dPr>
                        <m:ctrlPr>
                          <w:rPr>
                            <w:rFonts w:ascii="Cambria Math" w:hAnsi="Cambria Math"/>
                            <w:szCs w:val="18"/>
                            <w:lang w:val="es-CO"/>
                          </w:rPr>
                        </m:ctrlPr>
                      </m:dPr>
                      <m:e>
                        <m:f>
                          <m:fPr>
                            <m:ctrlPr>
                              <w:rPr>
                                <w:rFonts w:ascii="Cambria Math" w:hAnsi="Cambria Math"/>
                                <w:szCs w:val="18"/>
                                <w:lang w:val="es-CO"/>
                              </w:rPr>
                            </m:ctrlPr>
                          </m:fPr>
                          <m:num>
                            <m:r>
                              <w:rPr>
                                <w:rFonts w:ascii="Cambria Math" w:hAnsi="Cambria Math"/>
                                <w:szCs w:val="18"/>
                                <w:lang w:val="es-CO"/>
                              </w:rPr>
                              <m:t>1</m:t>
                            </m:r>
                          </m:num>
                          <m:den>
                            <m:r>
                              <w:rPr>
                                <w:rFonts w:ascii="Cambria Math" w:hAnsi="Cambria Math"/>
                                <w:szCs w:val="18"/>
                                <w:lang w:val="es-CO"/>
                              </w:rPr>
                              <m:t>1+403,4288</m:t>
                            </m:r>
                            <m:sSup>
                              <m:sSupPr>
                                <m:ctrlPr>
                                  <w:rPr>
                                    <w:rFonts w:ascii="Cambria Math" w:hAnsi="Cambria Math"/>
                                    <w:szCs w:val="18"/>
                                    <w:lang w:val="es-CO"/>
                                  </w:rPr>
                                </m:ctrlPr>
                              </m:sSupPr>
                              <m:e>
                                <m:r>
                                  <w:rPr>
                                    <w:rFonts w:ascii="Cambria Math" w:hAnsi="Cambria Math"/>
                                    <w:szCs w:val="18"/>
                                    <w:lang w:val="es-CO"/>
                                  </w:rPr>
                                  <m:t>e</m:t>
                                </m:r>
                              </m:e>
                              <m:sup>
                                <m:r>
                                  <w:rPr>
                                    <w:rFonts w:ascii="Cambria Math" w:hAnsi="Cambria Math"/>
                                    <w:szCs w:val="18"/>
                                    <w:lang w:val="es-CO"/>
                                  </w:rPr>
                                  <m:t>-0,012x</m:t>
                                </m:r>
                              </m:sup>
                            </m:sSup>
                          </m:den>
                        </m:f>
                      </m:e>
                    </m:d>
                  </m:e>
                </m:d>
              </m:oMath>
            </m:oMathPara>
          </w:p>
        </w:tc>
      </w:tr>
      <w:tr w:rsidR="00387F04" w14:paraId="4FCE638E" w14:textId="77777777" w:rsidTr="00F06B8B">
        <w:trPr>
          <w:trHeight w:val="68"/>
        </w:trPr>
        <w:tc>
          <w:tcPr>
            <w:tcW w:w="2410" w:type="dxa"/>
            <w:vMerge/>
            <w:tcBorders>
              <w:top w:val="nil"/>
            </w:tcBorders>
          </w:tcPr>
          <w:p w14:paraId="7A2D9C5B"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42D44DD6" w14:textId="69E88A7B" w:rsidR="00387F04" w:rsidRPr="004C61BA" w:rsidRDefault="00387F04" w:rsidP="00D01355">
            <w:pPr>
              <w:pStyle w:val="CETBodytext"/>
              <w:jc w:val="left"/>
              <w:rPr>
                <w:lang w:val="en-GB"/>
              </w:rPr>
            </w:pPr>
            <w:r w:rsidRPr="004C61BA">
              <w:rPr>
                <w:lang w:val="en-GB"/>
              </w:rPr>
              <w:t>Explosiveness (</w:t>
            </w:r>
            <m:oMath>
              <m:sSub>
                <m:sSubPr>
                  <m:ctrlPr>
                    <w:rPr>
                      <w:rFonts w:ascii="Cambria Math" w:hAnsi="Cambria Math"/>
                      <w:i/>
                    </w:rPr>
                  </m:ctrlPr>
                </m:sSubPr>
                <m:e>
                  <m:r>
                    <w:rPr>
                      <w:rFonts w:ascii="Cambria Math" w:hAnsi="Cambria Math"/>
                    </w:rPr>
                    <m:t>S</m:t>
                  </m:r>
                </m:e>
                <m:sub>
                  <m:r>
                    <w:rPr>
                      <w:rFonts w:ascii="Cambria Math" w:hAnsi="Cambria Math"/>
                    </w:rPr>
                    <m:t>EXP</m:t>
                  </m:r>
                </m:sub>
              </m:sSub>
            </m:oMath>
            <w:r w:rsidRPr="004C61BA">
              <w:rPr>
                <w:lang w:val="en-GB"/>
              </w:rPr>
              <w:t>)</w:t>
            </w:r>
          </w:p>
        </w:tc>
        <w:tc>
          <w:tcPr>
            <w:tcW w:w="3107" w:type="dxa"/>
            <w:tcBorders>
              <w:top w:val="single" w:sz="8" w:space="0" w:color="008000"/>
              <w:bottom w:val="single" w:sz="8" w:space="0" w:color="008000"/>
            </w:tcBorders>
          </w:tcPr>
          <w:p w14:paraId="65BAF178" w14:textId="56381546" w:rsidR="00387F04" w:rsidRDefault="006C1ED2" w:rsidP="00D01355">
            <w:pPr>
              <w:pStyle w:val="CETBodytext"/>
              <w:jc w:val="right"/>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1+1096,63</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-0,14x</m:t>
                            </m:r>
                          </m:sup>
                        </m:sSup>
                      </m:den>
                    </m:f>
                  </m:e>
                </m:d>
              </m:oMath>
            </m:oMathPara>
          </w:p>
        </w:tc>
      </w:tr>
      <w:tr w:rsidR="00387F04" w14:paraId="443F6693" w14:textId="77777777" w:rsidTr="00F06B8B">
        <w:tc>
          <w:tcPr>
            <w:tcW w:w="2410" w:type="dxa"/>
            <w:vMerge/>
            <w:tcBorders>
              <w:top w:val="nil"/>
            </w:tcBorders>
          </w:tcPr>
          <w:p w14:paraId="2AFC46CA"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2B34819C" w14:textId="134E53C4" w:rsidR="00387F04" w:rsidRPr="004C61BA" w:rsidRDefault="00387F04" w:rsidP="00D01355">
            <w:pPr>
              <w:pStyle w:val="CETBodytext"/>
              <w:jc w:val="left"/>
              <w:rPr>
                <w:lang w:val="en-GB"/>
              </w:rPr>
            </w:pPr>
            <w:r>
              <w:rPr>
                <w:lang w:val="en-GB"/>
              </w:rPr>
              <w:t>Reactivity (</w:t>
            </w:r>
            <m:oMath>
              <m:sSub>
                <m:sSubPr>
                  <m:ctrlPr>
                    <w:rPr>
                      <w:rFonts w:ascii="Cambria Math" w:hAnsi="Cambria Math"/>
                      <w:i/>
                    </w:rPr>
                  </m:ctrlPr>
                </m:sSubPr>
                <m:e>
                  <m:r>
                    <w:rPr>
                      <w:rFonts w:ascii="Cambria Math" w:hAnsi="Cambria Math"/>
                    </w:rPr>
                    <m:t>S</m:t>
                  </m:r>
                </m:e>
                <m:sub>
                  <m:r>
                    <w:rPr>
                      <w:rFonts w:ascii="Cambria Math" w:hAnsi="Cambria Math"/>
                    </w:rPr>
                    <m:t>R</m:t>
                  </m:r>
                </m:sub>
              </m:sSub>
            </m:oMath>
            <w:r>
              <w:rPr>
                <w:lang w:val="en-GB"/>
              </w:rPr>
              <w:t>)</w:t>
            </w:r>
          </w:p>
        </w:tc>
        <w:tc>
          <w:tcPr>
            <w:tcW w:w="3107" w:type="dxa"/>
            <w:tcBorders>
              <w:top w:val="single" w:sz="8" w:space="0" w:color="008000"/>
              <w:bottom w:val="single" w:sz="8" w:space="0" w:color="008000"/>
            </w:tcBorders>
          </w:tcPr>
          <w:p w14:paraId="185D096D" w14:textId="3DC2620A" w:rsidR="00CA2312" w:rsidRPr="00CA2312" w:rsidRDefault="00CA2312" w:rsidP="00D01355">
            <w:pPr>
              <w:pStyle w:val="CETBodytext"/>
              <w:jc w:val="right"/>
              <w:rPr>
                <w:lang w:val="es-CO"/>
              </w:rPr>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1+270,43</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-2,8x</m:t>
                            </m:r>
                          </m:sup>
                        </m:sSup>
                      </m:den>
                    </m:f>
                  </m:e>
                </m:d>
              </m:oMath>
            </m:oMathPara>
          </w:p>
        </w:tc>
      </w:tr>
      <w:tr w:rsidR="00387F04" w14:paraId="610376C9" w14:textId="77777777" w:rsidTr="00F06B8B">
        <w:tc>
          <w:tcPr>
            <w:tcW w:w="2410" w:type="dxa"/>
            <w:vMerge/>
            <w:tcBorders>
              <w:top w:val="nil"/>
            </w:tcBorders>
          </w:tcPr>
          <w:p w14:paraId="26D5978B" w14:textId="77777777" w:rsidR="00387F04" w:rsidRPr="000C4F68" w:rsidRDefault="00387F04" w:rsidP="00DE7C45">
            <w:pPr>
              <w:pStyle w:val="CETBodytext"/>
            </w:pPr>
          </w:p>
        </w:tc>
        <w:tc>
          <w:tcPr>
            <w:tcW w:w="3260" w:type="dxa"/>
            <w:tcBorders>
              <w:top w:val="single" w:sz="8" w:space="0" w:color="008000"/>
              <w:bottom w:val="single" w:sz="12" w:space="0" w:color="008000"/>
            </w:tcBorders>
          </w:tcPr>
          <w:p w14:paraId="6B23661E" w14:textId="16F3E709" w:rsidR="00387F04" w:rsidRDefault="00387F04" w:rsidP="00D01355">
            <w:pPr>
              <w:pStyle w:val="CETBodytext"/>
              <w:jc w:val="left"/>
              <w:rPr>
                <w:lang w:val="en-GB"/>
              </w:rPr>
            </w:pPr>
            <w:r>
              <w:t>Total Chemical Safety Score (CSTS)</w:t>
            </w:r>
          </w:p>
        </w:tc>
        <w:tc>
          <w:tcPr>
            <w:tcW w:w="3107" w:type="dxa"/>
            <w:tcBorders>
              <w:top w:val="single" w:sz="8" w:space="0" w:color="008000"/>
              <w:bottom w:val="single" w:sz="12" w:space="0" w:color="008000"/>
            </w:tcBorders>
          </w:tcPr>
          <w:p w14:paraId="481176B2" w14:textId="13DE05B1" w:rsidR="00387F04" w:rsidRDefault="004E266D" w:rsidP="00D01355">
            <w:pPr>
              <w:pStyle w:val="CETBodytext"/>
              <w:jc w:val="right"/>
            </w:pPr>
            <w:r w:rsidRPr="004E266D">
              <w:t xml:space="preserve"> =</w:t>
            </w:r>
            <m:oMath>
              <m:sSub>
                <m:sSubPr>
                  <m:ctrlPr>
                    <w:rPr>
                      <w:rFonts w:ascii="Cambria Math" w:hAnsi="Cambria Math"/>
                      <w:i/>
                    </w:rPr>
                  </m:ctrlPr>
                </m:sSubPr>
                <m:e>
                  <m:r>
                    <w:rPr>
                      <w:rFonts w:ascii="Cambria Math" w:hAnsi="Cambria Math"/>
                    </w:rPr>
                    <m:t>S</m:t>
                  </m:r>
                </m:e>
                <m:sub>
                  <m:r>
                    <w:rPr>
                      <w:rFonts w:ascii="Cambria Math" w:hAnsi="Cambria Math"/>
                    </w:rPr>
                    <m:t>FL</m:t>
                  </m:r>
                </m:sub>
              </m:sSub>
            </m:oMath>
            <w:r w:rsidRPr="004E266D">
              <w:t>+</w:t>
            </w:r>
            <m:oMath>
              <m:sSub>
                <m:sSubPr>
                  <m:ctrlPr>
                    <w:rPr>
                      <w:rFonts w:ascii="Cambria Math" w:hAnsi="Cambria Math"/>
                      <w:i/>
                    </w:rPr>
                  </m:ctrlPr>
                </m:sSubPr>
                <m:e>
                  <m:r>
                    <w:rPr>
                      <w:rFonts w:ascii="Cambria Math" w:hAnsi="Cambria Math"/>
                    </w:rPr>
                    <m:t>S</m:t>
                  </m:r>
                </m:e>
                <m:sub>
                  <m:r>
                    <w:rPr>
                      <w:rFonts w:ascii="Cambria Math" w:hAnsi="Cambria Math"/>
                    </w:rPr>
                    <m:t>EXP</m:t>
                  </m:r>
                </m:sub>
              </m:sSub>
            </m:oMath>
            <w:r w:rsidRPr="004E266D">
              <w:t xml:space="preserve"> +</w:t>
            </w:r>
            <m:oMath>
              <m:sSub>
                <m:sSubPr>
                  <m:ctrlPr>
                    <w:rPr>
                      <w:rFonts w:ascii="Cambria Math" w:hAnsi="Cambria Math"/>
                      <w:i/>
                    </w:rPr>
                  </m:ctrlPr>
                </m:sSubPr>
                <m:e>
                  <m:r>
                    <w:rPr>
                      <w:rFonts w:ascii="Cambria Math" w:hAnsi="Cambria Math"/>
                    </w:rPr>
                    <m:t>S</m:t>
                  </m:r>
                </m:e>
                <m:sub>
                  <m:r>
                    <w:rPr>
                      <w:rFonts w:ascii="Cambria Math" w:hAnsi="Cambria Math"/>
                    </w:rPr>
                    <m:t>TOX</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Rmax</m:t>
                  </m:r>
                </m:sub>
              </m:sSub>
            </m:oMath>
          </w:p>
        </w:tc>
      </w:tr>
      <w:tr w:rsidR="003E56E8" w14:paraId="696556B1" w14:textId="77777777" w:rsidTr="00F06B8B">
        <w:tc>
          <w:tcPr>
            <w:tcW w:w="2410" w:type="dxa"/>
            <w:tcBorders>
              <w:top w:val="nil"/>
            </w:tcBorders>
          </w:tcPr>
          <w:p w14:paraId="1D69C2B3" w14:textId="77777777" w:rsidR="003E56E8" w:rsidRPr="000C4F68" w:rsidRDefault="003E56E8" w:rsidP="00DE7C45">
            <w:pPr>
              <w:pStyle w:val="CETBodytext"/>
            </w:pPr>
          </w:p>
        </w:tc>
        <w:tc>
          <w:tcPr>
            <w:tcW w:w="3260" w:type="dxa"/>
            <w:tcBorders>
              <w:top w:val="single" w:sz="8" w:space="0" w:color="008000"/>
              <w:bottom w:val="single" w:sz="12" w:space="0" w:color="008000"/>
            </w:tcBorders>
          </w:tcPr>
          <w:p w14:paraId="7D5F090B" w14:textId="77777777" w:rsidR="003E56E8" w:rsidRDefault="003E56E8" w:rsidP="009E60D7">
            <w:pPr>
              <w:pStyle w:val="CETBodytext"/>
              <w:jc w:val="center"/>
            </w:pPr>
          </w:p>
        </w:tc>
        <w:tc>
          <w:tcPr>
            <w:tcW w:w="3107" w:type="dxa"/>
            <w:tcBorders>
              <w:top w:val="single" w:sz="8" w:space="0" w:color="008000"/>
              <w:bottom w:val="single" w:sz="12" w:space="0" w:color="008000"/>
            </w:tcBorders>
          </w:tcPr>
          <w:p w14:paraId="41EAD7CB" w14:textId="77777777" w:rsidR="003E56E8" w:rsidRPr="004E266D" w:rsidRDefault="003E56E8" w:rsidP="00D01355">
            <w:pPr>
              <w:pStyle w:val="CETBodytext"/>
              <w:jc w:val="right"/>
            </w:pPr>
          </w:p>
        </w:tc>
      </w:tr>
      <w:tr w:rsidR="00387F04" w14:paraId="0C81842C" w14:textId="77777777" w:rsidTr="00F06B8B">
        <w:tc>
          <w:tcPr>
            <w:tcW w:w="2410" w:type="dxa"/>
            <w:vMerge w:val="restart"/>
          </w:tcPr>
          <w:p w14:paraId="01BDCD5E" w14:textId="77777777" w:rsidR="00387F04" w:rsidRPr="000C4F68" w:rsidRDefault="00387F04" w:rsidP="007A080B">
            <w:pPr>
              <w:pStyle w:val="CETBodytext"/>
              <w:jc w:val="center"/>
            </w:pPr>
          </w:p>
          <w:p w14:paraId="46EAE5BF" w14:textId="77777777" w:rsidR="00387F04" w:rsidRPr="000C4F68" w:rsidRDefault="00387F04" w:rsidP="007A080B">
            <w:pPr>
              <w:pStyle w:val="CETBodytext"/>
              <w:jc w:val="center"/>
            </w:pPr>
          </w:p>
          <w:p w14:paraId="1D4D3F4D" w14:textId="3A43F9AA" w:rsidR="00387F04" w:rsidRPr="000C4F68" w:rsidRDefault="007B0584" w:rsidP="007A080B">
            <w:pPr>
              <w:pStyle w:val="CETBodytext"/>
              <w:jc w:val="center"/>
            </w:pPr>
            <w:r>
              <w:t>Process</w:t>
            </w:r>
            <w:r w:rsidR="00387F04" w:rsidRPr="000C4F68">
              <w:t xml:space="preserve"> assessment parameters</w:t>
            </w:r>
          </w:p>
        </w:tc>
        <w:tc>
          <w:tcPr>
            <w:tcW w:w="3260" w:type="dxa"/>
            <w:tcBorders>
              <w:top w:val="single" w:sz="12" w:space="0" w:color="008000"/>
              <w:bottom w:val="single" w:sz="8" w:space="0" w:color="008000"/>
            </w:tcBorders>
          </w:tcPr>
          <w:p w14:paraId="37824158" w14:textId="14D3DA01" w:rsidR="00387F04" w:rsidRDefault="00387F04" w:rsidP="00D01355">
            <w:pPr>
              <w:pStyle w:val="CETBodytext"/>
              <w:jc w:val="left"/>
            </w:pPr>
            <w:r w:rsidRPr="00387F04">
              <w:t>Temperature (</w:t>
            </w:r>
            <m:oMath>
              <m:sSub>
                <m:sSubPr>
                  <m:ctrlPr>
                    <w:rPr>
                      <w:rFonts w:ascii="Cambria Math" w:hAnsi="Cambria Math"/>
                      <w:i/>
                    </w:rPr>
                  </m:ctrlPr>
                </m:sSubPr>
                <m:e>
                  <m:r>
                    <w:rPr>
                      <w:rFonts w:ascii="Cambria Math" w:hAnsi="Cambria Math"/>
                    </w:rPr>
                    <m:t>S</m:t>
                  </m:r>
                </m:e>
                <m:sub>
                  <m:r>
                    <w:rPr>
                      <w:rFonts w:ascii="Cambria Math" w:hAnsi="Cambria Math"/>
                    </w:rPr>
                    <m:t>T&gt;25°C</m:t>
                  </m:r>
                </m:sub>
              </m:sSub>
            </m:oMath>
            <w:r w:rsidRPr="00387F04">
              <w:t>)</w:t>
            </w:r>
          </w:p>
        </w:tc>
        <w:tc>
          <w:tcPr>
            <w:tcW w:w="3107" w:type="dxa"/>
            <w:tcBorders>
              <w:top w:val="single" w:sz="12" w:space="0" w:color="008000"/>
              <w:bottom w:val="single" w:sz="8" w:space="0" w:color="008000"/>
            </w:tcBorders>
          </w:tcPr>
          <w:p w14:paraId="1B1194AD" w14:textId="3AE0C019" w:rsidR="00387F04" w:rsidRDefault="00F06B8B" w:rsidP="00D01355">
            <w:pPr>
              <w:pStyle w:val="CETBodytext"/>
              <w:jc w:val="right"/>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1+403,43</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-0,012x</m:t>
                            </m:r>
                          </m:sup>
                        </m:sSup>
                      </m:den>
                    </m:f>
                  </m:e>
                </m:d>
              </m:oMath>
            </m:oMathPara>
          </w:p>
        </w:tc>
      </w:tr>
      <w:tr w:rsidR="00C17E6C" w14:paraId="1F8EDAAC" w14:textId="77777777" w:rsidTr="00F06B8B">
        <w:tc>
          <w:tcPr>
            <w:tcW w:w="2410" w:type="dxa"/>
            <w:vMerge/>
          </w:tcPr>
          <w:p w14:paraId="7AF7407E" w14:textId="77777777" w:rsidR="00C17E6C" w:rsidRPr="000C4F68" w:rsidRDefault="00C17E6C" w:rsidP="007A080B">
            <w:pPr>
              <w:pStyle w:val="CETBodytext"/>
              <w:jc w:val="center"/>
            </w:pPr>
          </w:p>
        </w:tc>
        <w:tc>
          <w:tcPr>
            <w:tcW w:w="3260" w:type="dxa"/>
            <w:tcBorders>
              <w:top w:val="single" w:sz="8" w:space="0" w:color="008000"/>
              <w:bottom w:val="single" w:sz="8" w:space="0" w:color="008000"/>
            </w:tcBorders>
          </w:tcPr>
          <w:p w14:paraId="7A721D7A" w14:textId="5AC84D7D" w:rsidR="00C17E6C" w:rsidRPr="00387F04" w:rsidRDefault="00C17E6C" w:rsidP="00D01355">
            <w:pPr>
              <w:pStyle w:val="CETBodytext"/>
              <w:jc w:val="left"/>
            </w:pPr>
            <w:r w:rsidRPr="00387F04">
              <w:t>Temperature (</w:t>
            </w:r>
            <m:oMath>
              <m:sSub>
                <m:sSubPr>
                  <m:ctrlPr>
                    <w:rPr>
                      <w:rFonts w:ascii="Cambria Math" w:hAnsi="Cambria Math"/>
                      <w:i/>
                    </w:rPr>
                  </m:ctrlPr>
                </m:sSubPr>
                <m:e>
                  <m:r>
                    <w:rPr>
                      <w:rFonts w:ascii="Cambria Math" w:hAnsi="Cambria Math"/>
                    </w:rPr>
                    <m:t>S</m:t>
                  </m:r>
                </m:e>
                <m:sub>
                  <m:r>
                    <w:rPr>
                      <w:rFonts w:ascii="Cambria Math" w:hAnsi="Cambria Math"/>
                    </w:rPr>
                    <m:t>T&lt;25°C</m:t>
                  </m:r>
                </m:sub>
              </m:sSub>
            </m:oMath>
            <w:r w:rsidRPr="00387F04">
              <w:t>)</w:t>
            </w:r>
          </w:p>
        </w:tc>
        <w:tc>
          <w:tcPr>
            <w:tcW w:w="3107" w:type="dxa"/>
            <w:tcBorders>
              <w:top w:val="single" w:sz="8" w:space="0" w:color="008000"/>
              <w:bottom w:val="single" w:sz="8" w:space="0" w:color="008000"/>
            </w:tcBorders>
          </w:tcPr>
          <w:p w14:paraId="06E1CD55" w14:textId="60E67671" w:rsidR="00C17E6C" w:rsidRPr="00F06B8B" w:rsidRDefault="00F06B8B" w:rsidP="00D01355">
            <w:pPr>
              <w:pStyle w:val="CETBodytext"/>
              <w:jc w:val="right"/>
              <w:rPr>
                <w:szCs w:val="18"/>
              </w:rPr>
            </w:pPr>
            <m:oMathPara>
              <m:oMath>
                <m:r>
                  <w:rPr>
                    <w:rFonts w:ascii="Cambria Math" w:hAnsi="Cambria Math"/>
                    <w:szCs w:val="18"/>
                    <w:lang w:val="es-CO"/>
                  </w:rPr>
                  <m:t xml:space="preserve">=100* </m:t>
                </m:r>
                <m:d>
                  <m:dPr>
                    <m:ctrlPr>
                      <w:rPr>
                        <w:rFonts w:ascii="Cambria Math" w:hAnsi="Cambria Math"/>
                        <w:szCs w:val="18"/>
                        <w:lang w:val="es-CO"/>
                      </w:rPr>
                    </m:ctrlPr>
                  </m:dPr>
                  <m:e>
                    <m:r>
                      <w:rPr>
                        <w:rFonts w:ascii="Cambria Math" w:hAnsi="Cambria Math"/>
                        <w:szCs w:val="18"/>
                        <w:lang w:val="es-CO"/>
                      </w:rPr>
                      <m:t>1-</m:t>
                    </m:r>
                    <m:d>
                      <m:dPr>
                        <m:ctrlPr>
                          <w:rPr>
                            <w:rFonts w:ascii="Cambria Math" w:hAnsi="Cambria Math"/>
                            <w:szCs w:val="18"/>
                            <w:lang w:val="es-CO"/>
                          </w:rPr>
                        </m:ctrlPr>
                      </m:dPr>
                      <m:e>
                        <m:f>
                          <m:fPr>
                            <m:ctrlPr>
                              <w:rPr>
                                <w:rFonts w:ascii="Cambria Math" w:hAnsi="Cambria Math"/>
                                <w:szCs w:val="18"/>
                                <w:lang w:val="es-CO"/>
                              </w:rPr>
                            </m:ctrlPr>
                          </m:fPr>
                          <m:num>
                            <m:r>
                              <w:rPr>
                                <w:rFonts w:ascii="Cambria Math" w:hAnsi="Cambria Math"/>
                                <w:szCs w:val="18"/>
                                <w:lang w:val="es-CO"/>
                              </w:rPr>
                              <m:t>1</m:t>
                            </m:r>
                          </m:num>
                          <m:den>
                            <m:r>
                              <w:rPr>
                                <w:rFonts w:ascii="Cambria Math" w:hAnsi="Cambria Math"/>
                                <w:szCs w:val="18"/>
                                <w:lang w:val="es-CO"/>
                              </w:rPr>
                              <m:t>1+0,0025</m:t>
                            </m:r>
                            <m:sSup>
                              <m:sSupPr>
                                <m:ctrlPr>
                                  <w:rPr>
                                    <w:rFonts w:ascii="Cambria Math" w:hAnsi="Cambria Math"/>
                                    <w:szCs w:val="18"/>
                                    <w:lang w:val="es-CO"/>
                                  </w:rPr>
                                </m:ctrlPr>
                              </m:sSupPr>
                              <m:e>
                                <m:r>
                                  <w:rPr>
                                    <w:rFonts w:ascii="Cambria Math" w:hAnsi="Cambria Math"/>
                                    <w:szCs w:val="18"/>
                                    <w:lang w:val="es-CO"/>
                                  </w:rPr>
                                  <m:t>e</m:t>
                                </m:r>
                              </m:e>
                              <m:sup>
                                <m:r>
                                  <w:rPr>
                                    <w:rFonts w:ascii="Cambria Math" w:hAnsi="Cambria Math"/>
                                    <w:szCs w:val="18"/>
                                    <w:lang w:val="es-CO"/>
                                  </w:rPr>
                                  <m:t>-0,012x</m:t>
                                </m:r>
                              </m:sup>
                            </m:sSup>
                          </m:den>
                        </m:f>
                      </m:e>
                    </m:d>
                  </m:e>
                </m:d>
              </m:oMath>
            </m:oMathPara>
          </w:p>
        </w:tc>
      </w:tr>
      <w:tr w:rsidR="00387F04" w14:paraId="623A2748" w14:textId="77777777" w:rsidTr="00F06B8B">
        <w:tc>
          <w:tcPr>
            <w:tcW w:w="2410" w:type="dxa"/>
            <w:vMerge/>
            <w:tcBorders>
              <w:top w:val="nil"/>
            </w:tcBorders>
          </w:tcPr>
          <w:p w14:paraId="5FB83EDC"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3A506493" w14:textId="27CF59DC" w:rsidR="00387F04" w:rsidRDefault="00387F04" w:rsidP="00D01355">
            <w:pPr>
              <w:pStyle w:val="CETBodytext"/>
              <w:jc w:val="left"/>
            </w:pPr>
            <w:r w:rsidRPr="00387F04">
              <w:t>Pressure (</w:t>
            </w:r>
            <m:oMath>
              <m:sSub>
                <m:sSubPr>
                  <m:ctrlPr>
                    <w:rPr>
                      <w:rFonts w:ascii="Cambria Math" w:hAnsi="Cambria Math"/>
                      <w:i/>
                    </w:rPr>
                  </m:ctrlPr>
                </m:sSubPr>
                <m:e>
                  <m:r>
                    <w:rPr>
                      <w:rFonts w:ascii="Cambria Math" w:hAnsi="Cambria Math"/>
                    </w:rPr>
                    <m:t>S</m:t>
                  </m:r>
                </m:e>
                <m:sub>
                  <m:r>
                    <w:rPr>
                      <w:rFonts w:ascii="Cambria Math" w:hAnsi="Cambria Math"/>
                    </w:rPr>
                    <m:t>P</m:t>
                  </m:r>
                </m:sub>
              </m:sSub>
            </m:oMath>
            <w:r w:rsidRPr="00387F04">
              <w:t>)</w:t>
            </w:r>
          </w:p>
        </w:tc>
        <w:tc>
          <w:tcPr>
            <w:tcW w:w="3107" w:type="dxa"/>
            <w:tcBorders>
              <w:top w:val="single" w:sz="8" w:space="0" w:color="008000"/>
              <w:bottom w:val="single" w:sz="8" w:space="0" w:color="008000"/>
            </w:tcBorders>
          </w:tcPr>
          <w:p w14:paraId="392F2F66" w14:textId="344547F6" w:rsidR="00387F04" w:rsidRDefault="00F06B8B" w:rsidP="00D01355">
            <w:pPr>
              <w:pStyle w:val="CETBodytext"/>
              <w:jc w:val="right"/>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1+148,41</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-0,2x</m:t>
                            </m:r>
                          </m:sup>
                        </m:sSup>
                      </m:den>
                    </m:f>
                  </m:e>
                </m:d>
              </m:oMath>
            </m:oMathPara>
          </w:p>
        </w:tc>
      </w:tr>
      <w:tr w:rsidR="00387F04" w14:paraId="582B2471" w14:textId="77777777" w:rsidTr="00F06B8B">
        <w:tc>
          <w:tcPr>
            <w:tcW w:w="2410" w:type="dxa"/>
            <w:vMerge/>
            <w:tcBorders>
              <w:top w:val="nil"/>
            </w:tcBorders>
          </w:tcPr>
          <w:p w14:paraId="6C01DD14" w14:textId="77777777" w:rsidR="00387F04" w:rsidRPr="000C4F68" w:rsidRDefault="00387F04" w:rsidP="00DE7C45">
            <w:pPr>
              <w:pStyle w:val="CETBodytext"/>
            </w:pPr>
          </w:p>
        </w:tc>
        <w:tc>
          <w:tcPr>
            <w:tcW w:w="3260" w:type="dxa"/>
            <w:tcBorders>
              <w:top w:val="single" w:sz="8" w:space="0" w:color="008000"/>
              <w:bottom w:val="single" w:sz="8" w:space="0" w:color="008000"/>
            </w:tcBorders>
          </w:tcPr>
          <w:p w14:paraId="1E8B45FF" w14:textId="24030DD4" w:rsidR="00387F04" w:rsidRDefault="00387F04" w:rsidP="00D01355">
            <w:pPr>
              <w:pStyle w:val="CETBodytext"/>
              <w:jc w:val="left"/>
            </w:pPr>
            <w:r w:rsidRPr="00387F04">
              <w:t>Heat of reaction (</w:t>
            </w:r>
            <m:oMath>
              <m:sSub>
                <m:sSubPr>
                  <m:ctrlPr>
                    <w:rPr>
                      <w:rFonts w:ascii="Cambria Math" w:hAnsi="Cambria Math"/>
                      <w:i/>
                    </w:rPr>
                  </m:ctrlPr>
                </m:sSubPr>
                <m:e>
                  <m:r>
                    <w:rPr>
                      <w:rFonts w:ascii="Cambria Math" w:hAnsi="Cambria Math"/>
                    </w:rPr>
                    <m:t>S</m:t>
                  </m:r>
                </m:e>
                <m:sub>
                  <m:r>
                    <w:rPr>
                      <w:rFonts w:ascii="Cambria Math" w:hAnsi="Cambria Math"/>
                    </w:rPr>
                    <m:t>HR&gt;0 kJ/mol</m:t>
                  </m:r>
                </m:sub>
              </m:sSub>
            </m:oMath>
            <w:r w:rsidRPr="00387F04">
              <w:t>)</w:t>
            </w:r>
          </w:p>
        </w:tc>
        <w:tc>
          <w:tcPr>
            <w:tcW w:w="3107" w:type="dxa"/>
            <w:tcBorders>
              <w:top w:val="single" w:sz="8" w:space="0" w:color="008000"/>
              <w:bottom w:val="single" w:sz="8" w:space="0" w:color="008000"/>
            </w:tcBorders>
          </w:tcPr>
          <w:p w14:paraId="600919AE" w14:textId="35EA5116" w:rsidR="00387F04" w:rsidRDefault="00F06B8B" w:rsidP="00D01355">
            <w:pPr>
              <w:pStyle w:val="CETBodytext"/>
              <w:jc w:val="right"/>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1+601,85</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-0,016x</m:t>
                            </m:r>
                          </m:sup>
                        </m:sSup>
                      </m:den>
                    </m:f>
                  </m:e>
                </m:d>
              </m:oMath>
            </m:oMathPara>
          </w:p>
        </w:tc>
      </w:tr>
      <w:tr w:rsidR="00906A7A" w14:paraId="142697D4" w14:textId="77777777" w:rsidTr="00F06B8B">
        <w:tc>
          <w:tcPr>
            <w:tcW w:w="2410" w:type="dxa"/>
            <w:vMerge/>
            <w:tcBorders>
              <w:top w:val="nil"/>
            </w:tcBorders>
          </w:tcPr>
          <w:p w14:paraId="43FFF009" w14:textId="77777777" w:rsidR="00906A7A" w:rsidRPr="000C4F68" w:rsidRDefault="00906A7A" w:rsidP="00DE7C45">
            <w:pPr>
              <w:pStyle w:val="CETBodytext"/>
            </w:pPr>
          </w:p>
        </w:tc>
        <w:tc>
          <w:tcPr>
            <w:tcW w:w="3260" w:type="dxa"/>
            <w:tcBorders>
              <w:top w:val="single" w:sz="8" w:space="0" w:color="008000"/>
              <w:bottom w:val="single" w:sz="8" w:space="0" w:color="008000"/>
            </w:tcBorders>
          </w:tcPr>
          <w:p w14:paraId="4CA861C2" w14:textId="72ED817E" w:rsidR="00906A7A" w:rsidRPr="00387F04" w:rsidRDefault="00906A7A" w:rsidP="00D01355">
            <w:pPr>
              <w:pStyle w:val="CETBodytext"/>
              <w:jc w:val="left"/>
            </w:pPr>
            <w:r w:rsidRPr="00387F04">
              <w:t>Heat of reaction (</w:t>
            </w:r>
            <m:oMath>
              <m:sSub>
                <m:sSubPr>
                  <m:ctrlPr>
                    <w:rPr>
                      <w:rFonts w:ascii="Cambria Math" w:hAnsi="Cambria Math"/>
                      <w:i/>
                    </w:rPr>
                  </m:ctrlPr>
                </m:sSubPr>
                <m:e>
                  <m:r>
                    <w:rPr>
                      <w:rFonts w:ascii="Cambria Math" w:hAnsi="Cambria Math"/>
                    </w:rPr>
                    <m:t>S</m:t>
                  </m:r>
                </m:e>
                <m:sub>
                  <m:r>
                    <w:rPr>
                      <w:rFonts w:ascii="Cambria Math" w:hAnsi="Cambria Math"/>
                    </w:rPr>
                    <m:t>HR&lt;0kJ/mol</m:t>
                  </m:r>
                </m:sub>
              </m:sSub>
            </m:oMath>
            <w:r w:rsidRPr="00387F04">
              <w:t>)</w:t>
            </w:r>
          </w:p>
        </w:tc>
        <w:tc>
          <w:tcPr>
            <w:tcW w:w="3107" w:type="dxa"/>
            <w:tcBorders>
              <w:top w:val="single" w:sz="8" w:space="0" w:color="008000"/>
              <w:bottom w:val="single" w:sz="8" w:space="0" w:color="008000"/>
            </w:tcBorders>
          </w:tcPr>
          <w:p w14:paraId="72BB3D2B" w14:textId="1CD51744" w:rsidR="00906A7A" w:rsidRDefault="00F06B8B" w:rsidP="00D01355">
            <w:pPr>
              <w:pStyle w:val="CETBodytext"/>
              <w:jc w:val="right"/>
            </w:pPr>
            <m:oMathPara>
              <m:oMath>
                <m:r>
                  <w:rPr>
                    <w:rFonts w:ascii="Cambria Math" w:hAnsi="Cambria Math"/>
                    <w:lang w:val="es-CO"/>
                  </w:rPr>
                  <m:t xml:space="preserve">=100* </m:t>
                </m:r>
                <m:d>
                  <m:dPr>
                    <m:ctrlPr>
                      <w:rPr>
                        <w:rFonts w:ascii="Cambria Math" w:hAnsi="Cambria Math"/>
                        <w:lang w:val="es-CO"/>
                      </w:rPr>
                    </m:ctrlPr>
                  </m:dPr>
                  <m:e>
                    <m:f>
                      <m:fPr>
                        <m:ctrlPr>
                          <w:rPr>
                            <w:rFonts w:ascii="Cambria Math" w:hAnsi="Cambria Math"/>
                            <w:lang w:val="es-CO"/>
                          </w:rPr>
                        </m:ctrlPr>
                      </m:fPr>
                      <m:num>
                        <m:r>
                          <w:rPr>
                            <w:rFonts w:ascii="Cambria Math" w:hAnsi="Cambria Math"/>
                            <w:lang w:val="es-CO"/>
                          </w:rPr>
                          <m:t>1</m:t>
                        </m:r>
                      </m:num>
                      <m:den>
                        <m:r>
                          <w:rPr>
                            <w:rFonts w:ascii="Cambria Math" w:hAnsi="Cambria Math"/>
                            <w:lang w:val="es-CO"/>
                          </w:rPr>
                          <m:t>1+403,43</m:t>
                        </m:r>
                        <m:sSup>
                          <m:sSupPr>
                            <m:ctrlPr>
                              <w:rPr>
                                <w:rFonts w:ascii="Cambria Math" w:hAnsi="Cambria Math"/>
                                <w:lang w:val="es-CO"/>
                              </w:rPr>
                            </m:ctrlPr>
                          </m:sSupPr>
                          <m:e>
                            <m:r>
                              <w:rPr>
                                <w:rFonts w:ascii="Cambria Math" w:hAnsi="Cambria Math"/>
                                <w:lang w:val="es-CO"/>
                              </w:rPr>
                              <m:t>e</m:t>
                            </m:r>
                          </m:e>
                          <m:sup>
                            <m:r>
                              <w:rPr>
                                <w:rFonts w:ascii="Cambria Math" w:hAnsi="Cambria Math"/>
                                <w:lang w:val="es-CO"/>
                              </w:rPr>
                              <m:t>0,006x</m:t>
                            </m:r>
                          </m:sup>
                        </m:sSup>
                      </m:den>
                    </m:f>
                  </m:e>
                </m:d>
              </m:oMath>
            </m:oMathPara>
          </w:p>
        </w:tc>
      </w:tr>
      <w:tr w:rsidR="00E32D04" w14:paraId="35A02F60" w14:textId="77777777" w:rsidTr="00F06B8B">
        <w:tc>
          <w:tcPr>
            <w:tcW w:w="2410" w:type="dxa"/>
            <w:vMerge/>
            <w:tcBorders>
              <w:top w:val="nil"/>
            </w:tcBorders>
          </w:tcPr>
          <w:p w14:paraId="12AD6935" w14:textId="77777777" w:rsidR="00E32D04" w:rsidRPr="000C4F68" w:rsidRDefault="00E32D04" w:rsidP="00DE7C45">
            <w:pPr>
              <w:pStyle w:val="CETBodytext"/>
            </w:pPr>
          </w:p>
        </w:tc>
        <w:tc>
          <w:tcPr>
            <w:tcW w:w="3260" w:type="dxa"/>
            <w:tcBorders>
              <w:top w:val="single" w:sz="8" w:space="0" w:color="008000"/>
              <w:bottom w:val="single" w:sz="8" w:space="0" w:color="008000"/>
            </w:tcBorders>
          </w:tcPr>
          <w:p w14:paraId="21A9D38C" w14:textId="727A9F39" w:rsidR="00E32D04" w:rsidRPr="00387F04" w:rsidRDefault="00550E8E" w:rsidP="00D01355">
            <w:pPr>
              <w:pStyle w:val="CETBodytext"/>
              <w:jc w:val="left"/>
            </w:pPr>
            <w:r>
              <w:t>P</w:t>
            </w:r>
            <w:r w:rsidRPr="006C0441">
              <w:t>rocess inventory index</w:t>
            </w:r>
            <w:r>
              <w:t xml:space="preserve"> </w:t>
            </w:r>
            <m:oMath>
              <m:sSub>
                <m:sSubPr>
                  <m:ctrlPr>
                    <w:rPr>
                      <w:rFonts w:ascii="Cambria Math" w:eastAsia="SimSun" w:hAnsi="Cambria Math"/>
                      <w:iCs/>
                      <w:noProof/>
                      <w:color w:val="000000"/>
                      <w:sz w:val="20"/>
                      <w:lang w:eastAsia="zh-CN"/>
                    </w:rPr>
                  </m:ctrlPr>
                </m:sSubPr>
                <m:e>
                  <m:r>
                    <m:rPr>
                      <m:sty m:val="p"/>
                    </m:rPr>
                    <w:rPr>
                      <w:rFonts w:ascii="Cambria Math" w:eastAsia="Cambria Math" w:hAnsi="Cambria Math"/>
                      <w:noProof/>
                      <w:color w:val="000000"/>
                      <w:sz w:val="20"/>
                      <w:lang w:eastAsia="zh-CN"/>
                    </w:rPr>
                    <m:t>S</m:t>
                  </m:r>
                </m:e>
                <m:sub>
                  <m:r>
                    <m:rPr>
                      <m:sty m:val="p"/>
                    </m:rPr>
                    <w:rPr>
                      <w:rFonts w:ascii="Cambria Math" w:eastAsia="Cambria Math" w:hAnsi="Cambria Math"/>
                      <w:noProof/>
                      <w:color w:val="000000"/>
                      <w:sz w:val="20"/>
                      <w:lang w:eastAsia="zh-CN"/>
                    </w:rPr>
                    <m:t>PI</m:t>
                  </m:r>
                </m:sub>
              </m:sSub>
            </m:oMath>
          </w:p>
        </w:tc>
        <w:tc>
          <w:tcPr>
            <w:tcW w:w="3107" w:type="dxa"/>
            <w:tcBorders>
              <w:top w:val="single" w:sz="8" w:space="0" w:color="008000"/>
              <w:bottom w:val="single" w:sz="8" w:space="0" w:color="008000"/>
            </w:tcBorders>
          </w:tcPr>
          <w:p w14:paraId="0B256BAB" w14:textId="576E1879" w:rsidR="00E32D04" w:rsidRDefault="00E32D04" w:rsidP="00D01355">
            <w:pPr>
              <w:pStyle w:val="CETBodytext"/>
              <w:jc w:val="right"/>
              <w:rPr>
                <w:lang w:val="es-CO"/>
              </w:rPr>
            </w:pPr>
            <m:oMathPara>
              <m:oMath>
                <m:r>
                  <m:rPr>
                    <m:sty m:val="p"/>
                  </m:rPr>
                  <w:rPr>
                    <w:rFonts w:ascii="Cambria Math" w:eastAsia="Cambria Math" w:hAnsi="Cambria Math"/>
                  </w:rPr>
                  <m:t xml:space="preserve"> = 100*</m:t>
                </m:r>
                <m:d>
                  <m:dPr>
                    <m:ctrlPr>
                      <w:rPr>
                        <w:rFonts w:ascii="Cambria Math" w:hAnsi="Cambria Math"/>
                        <w:iCs/>
                      </w:rPr>
                    </m:ctrlPr>
                  </m:dPr>
                  <m:e>
                    <m:r>
                      <m:rPr>
                        <m:sty m:val="p"/>
                      </m:rPr>
                      <w:rPr>
                        <w:rFonts w:ascii="Cambria Math" w:eastAsia="Cambria Math" w:hAnsi="Cambria Math"/>
                      </w:rPr>
                      <m:t>1-</m:t>
                    </m:r>
                    <m:d>
                      <m:dPr>
                        <m:ctrlPr>
                          <w:rPr>
                            <w:rFonts w:ascii="Cambria Math" w:hAnsi="Cambria Math"/>
                            <w:iCs/>
                          </w:rPr>
                        </m:ctrlPr>
                      </m:dPr>
                      <m:e>
                        <m:f>
                          <m:fPr>
                            <m:ctrlPr>
                              <w:rPr>
                                <w:rFonts w:ascii="Cambria Math" w:hAnsi="Cambria Math"/>
                                <w:iCs/>
                              </w:rPr>
                            </m:ctrlPr>
                          </m:fPr>
                          <m:num>
                            <m:r>
                              <m:rPr>
                                <m:sty m:val="p"/>
                              </m:rPr>
                              <w:rPr>
                                <w:rFonts w:ascii="Cambria Math" w:eastAsia="Cambria Math" w:hAnsi="Cambria Math"/>
                              </w:rPr>
                              <m:t>1</m:t>
                            </m:r>
                          </m:num>
                          <m:den>
                            <m:r>
                              <m:rPr>
                                <m:sty m:val="p"/>
                              </m:rPr>
                              <w:rPr>
                                <w:rFonts w:ascii="Cambria Math" w:eastAsia="Cambria Math" w:hAnsi="Cambria Math"/>
                              </w:rPr>
                              <m:t>1+1339,43</m:t>
                            </m:r>
                            <m:sSup>
                              <m:sSupPr>
                                <m:ctrlPr>
                                  <w:rPr>
                                    <w:rFonts w:ascii="Cambria Math" w:hAnsi="Cambria Math"/>
                                    <w:iCs/>
                                  </w:rPr>
                                </m:ctrlPr>
                              </m:sSupPr>
                              <m:e>
                                <m:r>
                                  <m:rPr>
                                    <m:sty m:val="p"/>
                                  </m:rPr>
                                  <w:rPr>
                                    <w:rFonts w:ascii="Cambria Math" w:eastAsia="Cambria Math" w:hAnsi="Cambria Math"/>
                                  </w:rPr>
                                  <m:t>e</m:t>
                                </m:r>
                              </m:e>
                              <m:sup>
                                <m:r>
                                  <m:rPr>
                                    <m:sty m:val="p"/>
                                  </m:rPr>
                                  <w:rPr>
                                    <w:rFonts w:ascii="Cambria Math" w:eastAsia="Cambria Math" w:hAnsi="Cambria Math"/>
                                  </w:rPr>
                                  <m:t>-0,12x</m:t>
                                </m:r>
                              </m:sup>
                            </m:sSup>
                          </m:den>
                        </m:f>
                      </m:e>
                    </m:d>
                  </m:e>
                </m:d>
              </m:oMath>
            </m:oMathPara>
          </w:p>
        </w:tc>
      </w:tr>
      <w:tr w:rsidR="00387F04" w14:paraId="7E987E0E" w14:textId="77777777" w:rsidTr="00F06B8B">
        <w:tc>
          <w:tcPr>
            <w:tcW w:w="2410" w:type="dxa"/>
            <w:vMerge/>
            <w:tcBorders>
              <w:top w:val="nil"/>
              <w:bottom w:val="single" w:sz="12" w:space="0" w:color="008000"/>
            </w:tcBorders>
          </w:tcPr>
          <w:p w14:paraId="7545CF9D" w14:textId="77777777" w:rsidR="00387F04" w:rsidRPr="000C4F68" w:rsidRDefault="00387F04" w:rsidP="00DE7C45">
            <w:pPr>
              <w:pStyle w:val="CETBodytext"/>
            </w:pPr>
          </w:p>
        </w:tc>
        <w:tc>
          <w:tcPr>
            <w:tcW w:w="3260" w:type="dxa"/>
            <w:tcBorders>
              <w:top w:val="single" w:sz="8" w:space="0" w:color="008000"/>
              <w:bottom w:val="single" w:sz="12" w:space="0" w:color="008000"/>
            </w:tcBorders>
          </w:tcPr>
          <w:p w14:paraId="123AB9DE" w14:textId="5D52DCE9" w:rsidR="00387F04" w:rsidRPr="00387F04" w:rsidRDefault="00387F04" w:rsidP="00D01355">
            <w:pPr>
              <w:pStyle w:val="CETBodytext"/>
              <w:jc w:val="left"/>
            </w:pPr>
            <w:r>
              <w:t>Total Process Safety Score (PSTS)</w:t>
            </w:r>
          </w:p>
        </w:tc>
        <w:tc>
          <w:tcPr>
            <w:tcW w:w="3107" w:type="dxa"/>
            <w:tcBorders>
              <w:top w:val="single" w:sz="8" w:space="0" w:color="008000"/>
              <w:bottom w:val="single" w:sz="12" w:space="0" w:color="008000"/>
            </w:tcBorders>
          </w:tcPr>
          <w:p w14:paraId="71F928A0" w14:textId="5E988938" w:rsidR="00387F04" w:rsidRDefault="00F06B8B" w:rsidP="00D01355">
            <w:pPr>
              <w:pStyle w:val="CETBodytext"/>
              <w:jc w:val="right"/>
            </w:pP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Tmax</m:t>
                  </m:r>
                </m:sub>
              </m:sSub>
            </m:oMath>
            <w:r w:rsidR="004E266D" w:rsidRPr="004E266D">
              <w:t>+</w:t>
            </w:r>
            <m:oMath>
              <m:sSub>
                <m:sSubPr>
                  <m:ctrlPr>
                    <w:rPr>
                      <w:rFonts w:ascii="Cambria Math" w:hAnsi="Cambria Math"/>
                      <w:i/>
                    </w:rPr>
                  </m:ctrlPr>
                </m:sSubPr>
                <m:e>
                  <m:r>
                    <w:rPr>
                      <w:rFonts w:ascii="Cambria Math" w:hAnsi="Cambria Math"/>
                    </w:rPr>
                    <m:t>S</m:t>
                  </m:r>
                </m:e>
                <m:sub>
                  <m:r>
                    <w:rPr>
                      <w:rFonts w:ascii="Cambria Math" w:hAnsi="Cambria Math"/>
                    </w:rPr>
                    <m:t>Pmax</m:t>
                  </m:r>
                </m:sub>
              </m:sSub>
            </m:oMath>
            <w:r w:rsidR="004E266D" w:rsidRPr="004E266D">
              <w:t>+</w:t>
            </w:r>
            <m:oMath>
              <m:sSub>
                <m:sSubPr>
                  <m:ctrlPr>
                    <w:rPr>
                      <w:rFonts w:ascii="Cambria Math" w:hAnsi="Cambria Math"/>
                      <w:i/>
                    </w:rPr>
                  </m:ctrlPr>
                </m:sSubPr>
                <m:e>
                  <m:r>
                    <w:rPr>
                      <w:rFonts w:ascii="Cambria Math" w:hAnsi="Cambria Math"/>
                    </w:rPr>
                    <m:t>S</m:t>
                  </m:r>
                </m:e>
                <m:sub>
                  <m:r>
                    <w:rPr>
                      <w:rFonts w:ascii="Cambria Math" w:hAnsi="Cambria Math"/>
                    </w:rPr>
                    <m:t>HRmax</m:t>
                  </m:r>
                </m:sub>
              </m:sSub>
            </m:oMath>
            <w:r>
              <w:t>+</w:t>
            </w:r>
            <m:oMath>
              <m:sSub>
                <m:sSubPr>
                  <m:ctrlPr>
                    <w:rPr>
                      <w:rFonts w:ascii="Cambria Math" w:hAnsi="Cambria Math"/>
                      <w:i/>
                    </w:rPr>
                  </m:ctrlPr>
                </m:sSubPr>
                <m:e>
                  <m:r>
                    <w:rPr>
                      <w:rFonts w:ascii="Cambria Math" w:hAnsi="Cambria Math"/>
                    </w:rPr>
                    <m:t>S</m:t>
                  </m:r>
                </m:e>
                <m:sub>
                  <m:r>
                    <w:rPr>
                      <w:rFonts w:ascii="Cambria Math" w:hAnsi="Cambria Math"/>
                    </w:rPr>
                    <m:t>PImax</m:t>
                  </m:r>
                </m:sub>
              </m:sSub>
            </m:oMath>
          </w:p>
        </w:tc>
      </w:tr>
    </w:tbl>
    <w:p w14:paraId="16A0B61C" w14:textId="77777777" w:rsidR="006C7B04" w:rsidRDefault="006C7B04" w:rsidP="00453E24">
      <w:pPr>
        <w:pStyle w:val="CETBodytext"/>
        <w:rPr>
          <w:b/>
        </w:rPr>
      </w:pPr>
    </w:p>
    <w:p w14:paraId="13EC0BE2" w14:textId="0E38B941" w:rsidR="00AF080F" w:rsidRDefault="00061478" w:rsidP="00453E24">
      <w:pPr>
        <w:pStyle w:val="CETBodytext"/>
      </w:pPr>
      <w:r w:rsidRPr="00061478">
        <w:t>For flammability</w:t>
      </w:r>
      <w:r w:rsidR="008D07DA">
        <w:t xml:space="preserve"> equation</w:t>
      </w:r>
      <w:r w:rsidRPr="00061478">
        <w:t xml:space="preserve">, x corresponds to the flash point (°C) of the substances involved in the studied process. For explosivity, x represents the difference between the UEL and LEL, expressed as a percentage by volume (vol%), for each substance in the process. For toxicity, x is defined as the TLV-STEL value (ppm) of the process substances, while for reactivity, x corresponds to the NFPA reactivity rating assigned to each substance in the process. </w:t>
      </w:r>
      <w:r w:rsidR="004C1111" w:rsidRPr="004C1111">
        <w:t>For the case of process safety, for temperature, x corresponds to the highest temperature (°C) recorded in the process. For pressure calculation, x represents the highest pressure recorded in the process</w:t>
      </w:r>
      <w:r w:rsidR="00F94B17">
        <w:t xml:space="preserve"> (bar)</w:t>
      </w:r>
      <w:r w:rsidR="004C1111" w:rsidRPr="004C1111">
        <w:t xml:space="preserve">, while for heat of reaction, x is defined as the highest heat of reaction value (kJ/mol) recorded. Finally, for the process inventory, x corresponds to the production yield of the process, expressed as a percentage (%). </w:t>
      </w:r>
      <w:r w:rsidR="006C0441">
        <w:t>Finally</w:t>
      </w:r>
      <w:r w:rsidR="00AF080F">
        <w:t>, the overall process score was calculated using Equation (1). This objective score was compared with similar studies reported in the literature to identify potential shortcomings and opportunities for optimization.</w:t>
      </w:r>
    </w:p>
    <w:p w14:paraId="13E1630C" w14:textId="48479E70" w:rsidR="00AF080F" w:rsidRPr="00AF080F" w:rsidRDefault="00DC0357" w:rsidP="00DC0357">
      <w:pPr>
        <w:pStyle w:val="CETEquation"/>
        <w:jc w:val="right"/>
      </w:pPr>
      <w:r>
        <w:t xml:space="preserve">                                                      </w:t>
      </w:r>
      <w:proofErr w:type="spellStart"/>
      <w:r w:rsidR="00AF080F" w:rsidRPr="00AF080F">
        <w:t>NuDIST</w:t>
      </w:r>
      <w:proofErr w:type="spellEnd"/>
      <w:r w:rsidR="00AF080F" w:rsidRPr="00AF080F">
        <w:t xml:space="preserve"> Total Score =CSTS +PSTS</w:t>
      </w:r>
      <w:r w:rsidR="00AF080F">
        <w:tab/>
      </w:r>
      <w:r w:rsidR="00AF080F">
        <w:tab/>
      </w:r>
      <w:r>
        <w:t xml:space="preserve"> </w:t>
      </w:r>
      <w:r w:rsidR="00AF080F" w:rsidRPr="00B57B36">
        <w:t>(1)</w:t>
      </w:r>
    </w:p>
    <w:p w14:paraId="18BAFA6F" w14:textId="008C014F" w:rsidR="00453E24" w:rsidRDefault="00A5460D" w:rsidP="00A5460D">
      <w:pPr>
        <w:pStyle w:val="CETHeading1"/>
      </w:pPr>
      <w:r>
        <w:t>Results and Discussion</w:t>
      </w:r>
    </w:p>
    <w:p w14:paraId="1084B74B" w14:textId="38F4D5E8" w:rsidR="00580FF6" w:rsidRPr="00580FF6" w:rsidRDefault="00580FF6" w:rsidP="00580FF6">
      <w:pPr>
        <w:pStyle w:val="CETBodytext"/>
      </w:pPr>
      <w:r w:rsidRPr="00580FF6">
        <w:t>The process was fed with an avocado waste stream of 27.4 kg/h, from which 1.92 kg/h of starch, 3.76 kg/h and 3.44 kg/h of the first and second biofilm</w:t>
      </w:r>
      <w:r w:rsidR="00AE25DB">
        <w:t>,</w:t>
      </w:r>
      <w:r w:rsidRPr="00580FF6">
        <w:t xml:space="preserve"> respectively, were obtained.</w:t>
      </w:r>
      <w:r>
        <w:t xml:space="preserve"> It means that </w:t>
      </w:r>
      <w:r w:rsidR="00BF6B3E" w:rsidRPr="00BF6B3E">
        <w:t>9.12 kg/h</w:t>
      </w:r>
      <w:r w:rsidRPr="00580FF6">
        <w:t xml:space="preserve"> of avocado waste </w:t>
      </w:r>
      <w:r w:rsidR="00AE25DB" w:rsidRPr="00580FF6">
        <w:t>was</w:t>
      </w:r>
      <w:r w:rsidRPr="00580FF6">
        <w:t xml:space="preserve"> converted into by-products</w:t>
      </w:r>
      <w:r>
        <w:t>.</w:t>
      </w:r>
    </w:p>
    <w:p w14:paraId="707ADD8E" w14:textId="749781AB" w:rsidR="00DA1961" w:rsidRDefault="00DA1961" w:rsidP="00DA1961">
      <w:pPr>
        <w:pStyle w:val="CETheadingx"/>
      </w:pPr>
      <w:r>
        <w:t xml:space="preserve">Chemical Safety </w:t>
      </w:r>
      <w:r w:rsidR="00003027">
        <w:t>total s</w:t>
      </w:r>
      <w:r>
        <w:t>core (</w:t>
      </w:r>
      <w:r w:rsidRPr="00DA1961">
        <w:t>CSTS</w:t>
      </w:r>
      <w:r>
        <w:t>)</w:t>
      </w:r>
      <w:r w:rsidR="003546B7">
        <w:t xml:space="preserve"> </w:t>
      </w:r>
    </w:p>
    <w:p w14:paraId="0C208DBD" w14:textId="5DCA6BE6" w:rsidR="00DA1961" w:rsidRDefault="00DA1961" w:rsidP="00DA1961">
      <w:pPr>
        <w:pStyle w:val="CETBodytext"/>
      </w:pPr>
      <w:r>
        <w:t xml:space="preserve">All CSTs of the substances involved in the process </w:t>
      </w:r>
      <w:r w:rsidR="008450A5">
        <w:t xml:space="preserve">for </w:t>
      </w:r>
      <w:r w:rsidR="007079DF">
        <w:t>an</w:t>
      </w:r>
      <w:r w:rsidR="008450A5">
        <w:t xml:space="preserve"> avocado waste biorefinery </w:t>
      </w:r>
      <w:r>
        <w:t xml:space="preserve">were determined. Table 2 presents the results obtained for </w:t>
      </w:r>
      <w:r w:rsidR="00183627">
        <w:t xml:space="preserve">the main nine </w:t>
      </w:r>
      <w:r>
        <w:t>substance</w:t>
      </w:r>
      <w:r w:rsidR="00183627">
        <w:t>s</w:t>
      </w:r>
      <w:r>
        <w:t>.</w:t>
      </w:r>
    </w:p>
    <w:p w14:paraId="18271896" w14:textId="64AF0CE7" w:rsidR="00A64120" w:rsidRDefault="00A64120" w:rsidP="00A64120">
      <w:pPr>
        <w:pStyle w:val="CETTabletitle"/>
      </w:pPr>
      <w:r>
        <w:t>Table 2: Chemical safety score for the main substances</w:t>
      </w:r>
      <w:r w:rsidR="003A3BF5">
        <w:t xml:space="preserve"> for the </w:t>
      </w:r>
      <w:r w:rsidR="006B7064">
        <w:t xml:space="preserve">avocado hard waste </w:t>
      </w:r>
      <w:r w:rsidR="003A3BF5">
        <w:t>biorefinery</w:t>
      </w:r>
      <w:r>
        <w:t>.</w:t>
      </w:r>
    </w:p>
    <w:tbl>
      <w:tblPr>
        <w:tblStyle w:val="TableGrid"/>
        <w:tblW w:w="9052" w:type="dxa"/>
        <w:tblBorders>
          <w:top w:val="single" w:sz="12" w:space="0" w:color="auto"/>
          <w:left w:val="none" w:sz="0" w:space="0" w:color="auto"/>
          <w:bottom w:val="single" w:sz="12" w:space="0" w:color="008000"/>
          <w:right w:val="none" w:sz="0" w:space="0" w:color="auto"/>
          <w:insideH w:val="none" w:sz="0" w:space="0" w:color="auto"/>
          <w:insideV w:val="none" w:sz="0" w:space="0" w:color="auto"/>
        </w:tblBorders>
        <w:tblLook w:val="04A0" w:firstRow="1" w:lastRow="0" w:firstColumn="1" w:lastColumn="0" w:noHBand="0" w:noVBand="1"/>
      </w:tblPr>
      <w:tblGrid>
        <w:gridCol w:w="729"/>
        <w:gridCol w:w="1004"/>
        <w:gridCol w:w="656"/>
        <w:gridCol w:w="1447"/>
        <w:gridCol w:w="912"/>
        <w:gridCol w:w="870"/>
        <w:gridCol w:w="871"/>
        <w:gridCol w:w="860"/>
        <w:gridCol w:w="862"/>
        <w:gridCol w:w="841"/>
      </w:tblGrid>
      <w:tr w:rsidR="00175697" w14:paraId="4EEBAF06" w14:textId="2F3B9B21" w:rsidTr="005D5EC7">
        <w:trPr>
          <w:trHeight w:val="216"/>
        </w:trPr>
        <w:tc>
          <w:tcPr>
            <w:tcW w:w="729" w:type="dxa"/>
            <w:vMerge w:val="restart"/>
            <w:tcBorders>
              <w:top w:val="single" w:sz="12" w:space="0" w:color="008000"/>
              <w:bottom w:val="nil"/>
            </w:tcBorders>
          </w:tcPr>
          <w:p w14:paraId="07DAC23E" w14:textId="77777777" w:rsidR="00175697" w:rsidRDefault="00175697" w:rsidP="005D5EC7">
            <w:pPr>
              <w:pStyle w:val="CETBodytext"/>
            </w:pPr>
          </w:p>
          <w:p w14:paraId="1F334FC1" w14:textId="77777777" w:rsidR="005D5EC7" w:rsidRDefault="005D5EC7" w:rsidP="005D5EC7">
            <w:pPr>
              <w:pStyle w:val="CETBodytext"/>
            </w:pPr>
          </w:p>
          <w:p w14:paraId="5EDB93AE" w14:textId="77777777" w:rsidR="005D5EC7" w:rsidRDefault="005D5EC7" w:rsidP="005D5EC7">
            <w:pPr>
              <w:pStyle w:val="CETBodytext"/>
            </w:pPr>
          </w:p>
          <w:p w14:paraId="265B7C21" w14:textId="77777777" w:rsidR="005D5EC7" w:rsidRDefault="005D5EC7" w:rsidP="005D5EC7">
            <w:pPr>
              <w:pStyle w:val="CETBodytext"/>
            </w:pPr>
          </w:p>
          <w:p w14:paraId="45D2F3EE" w14:textId="14AC057E" w:rsidR="005D5EC7" w:rsidRDefault="005D5EC7" w:rsidP="005D5EC7">
            <w:pPr>
              <w:pStyle w:val="CETBodytext"/>
            </w:pPr>
            <w:r>
              <w:t>CSTS</w:t>
            </w:r>
          </w:p>
        </w:tc>
        <w:tc>
          <w:tcPr>
            <w:tcW w:w="8323" w:type="dxa"/>
            <w:gridSpan w:val="9"/>
            <w:tcBorders>
              <w:top w:val="single" w:sz="12" w:space="0" w:color="008000"/>
              <w:bottom w:val="single" w:sz="8" w:space="0" w:color="008000"/>
            </w:tcBorders>
          </w:tcPr>
          <w:p w14:paraId="1CBB01F4" w14:textId="6F0249B7" w:rsidR="00175697" w:rsidRDefault="00175697" w:rsidP="00175697">
            <w:pPr>
              <w:pStyle w:val="CETBodytext"/>
              <w:jc w:val="center"/>
            </w:pPr>
            <w:r>
              <w:t>Substance</w:t>
            </w:r>
          </w:p>
        </w:tc>
      </w:tr>
      <w:tr w:rsidR="00DE706E" w14:paraId="6580B4E6" w14:textId="4D46B3A0" w:rsidTr="00462B8E">
        <w:trPr>
          <w:trHeight w:val="472"/>
        </w:trPr>
        <w:tc>
          <w:tcPr>
            <w:tcW w:w="729" w:type="dxa"/>
            <w:vMerge/>
            <w:tcBorders>
              <w:top w:val="nil"/>
              <w:bottom w:val="nil"/>
            </w:tcBorders>
          </w:tcPr>
          <w:p w14:paraId="0DB6CADF" w14:textId="77777777" w:rsidR="00DE706E" w:rsidRDefault="00DE706E" w:rsidP="00DA1961">
            <w:pPr>
              <w:pStyle w:val="CETBodytext"/>
            </w:pPr>
          </w:p>
        </w:tc>
        <w:tc>
          <w:tcPr>
            <w:tcW w:w="1004" w:type="dxa"/>
            <w:tcBorders>
              <w:top w:val="single" w:sz="8" w:space="0" w:color="008000"/>
              <w:bottom w:val="nil"/>
            </w:tcBorders>
          </w:tcPr>
          <w:p w14:paraId="42A660A8" w14:textId="48E4D471" w:rsidR="00DE706E" w:rsidRDefault="00DE706E" w:rsidP="00DE706E">
            <w:pPr>
              <w:pStyle w:val="CETBodytext"/>
              <w:jc w:val="center"/>
            </w:pPr>
            <w:r>
              <w:t>Methanol</w:t>
            </w:r>
          </w:p>
        </w:tc>
        <w:tc>
          <w:tcPr>
            <w:tcW w:w="656" w:type="dxa"/>
            <w:tcBorders>
              <w:top w:val="single" w:sz="8" w:space="0" w:color="008000"/>
              <w:bottom w:val="nil"/>
            </w:tcBorders>
          </w:tcPr>
          <w:p w14:paraId="03D6E0F4" w14:textId="5D394297" w:rsidR="00DE706E" w:rsidRDefault="00DE706E" w:rsidP="00DE706E">
            <w:pPr>
              <w:pStyle w:val="CETBodytext"/>
              <w:jc w:val="center"/>
            </w:pPr>
            <w:r>
              <w:t>Oleic Acid</w:t>
            </w:r>
          </w:p>
        </w:tc>
        <w:tc>
          <w:tcPr>
            <w:tcW w:w="1447" w:type="dxa"/>
            <w:tcBorders>
              <w:top w:val="single" w:sz="8" w:space="0" w:color="008000"/>
              <w:bottom w:val="nil"/>
            </w:tcBorders>
          </w:tcPr>
          <w:p w14:paraId="6F44754D" w14:textId="219C02B3" w:rsidR="00DE706E" w:rsidRDefault="00DE706E" w:rsidP="00DE706E">
            <w:pPr>
              <w:pStyle w:val="CETBodytext"/>
              <w:jc w:val="center"/>
            </w:pPr>
            <w:r>
              <w:t>Sodium metabisulphite</w:t>
            </w:r>
          </w:p>
        </w:tc>
        <w:tc>
          <w:tcPr>
            <w:tcW w:w="912" w:type="dxa"/>
            <w:tcBorders>
              <w:top w:val="single" w:sz="8" w:space="0" w:color="008000"/>
              <w:bottom w:val="nil"/>
            </w:tcBorders>
          </w:tcPr>
          <w:p w14:paraId="35E53C72" w14:textId="3F27C073" w:rsidR="00DE706E" w:rsidRDefault="00DE706E" w:rsidP="00DE706E">
            <w:pPr>
              <w:pStyle w:val="CETBodytext"/>
              <w:jc w:val="center"/>
            </w:pPr>
            <w:r>
              <w:t>Calcium Oxide</w:t>
            </w:r>
          </w:p>
        </w:tc>
        <w:tc>
          <w:tcPr>
            <w:tcW w:w="870" w:type="dxa"/>
            <w:tcBorders>
              <w:top w:val="single" w:sz="8" w:space="0" w:color="008000"/>
              <w:bottom w:val="nil"/>
            </w:tcBorders>
          </w:tcPr>
          <w:p w14:paraId="5FCBAFB4" w14:textId="6C2562FF" w:rsidR="00DE706E" w:rsidRDefault="00DE706E" w:rsidP="00DE706E">
            <w:pPr>
              <w:pStyle w:val="CETBodytext"/>
              <w:jc w:val="center"/>
            </w:pPr>
            <w:r>
              <w:t>Ethanol</w:t>
            </w:r>
          </w:p>
        </w:tc>
        <w:tc>
          <w:tcPr>
            <w:tcW w:w="871" w:type="dxa"/>
            <w:tcBorders>
              <w:top w:val="single" w:sz="8" w:space="0" w:color="008000"/>
              <w:bottom w:val="nil"/>
            </w:tcBorders>
          </w:tcPr>
          <w:p w14:paraId="005880BD" w14:textId="686C662D" w:rsidR="00DE706E" w:rsidRDefault="00DE706E" w:rsidP="00DE706E">
            <w:pPr>
              <w:pStyle w:val="CETBodytext"/>
              <w:jc w:val="center"/>
            </w:pPr>
            <w:r>
              <w:t>Sorbitol</w:t>
            </w:r>
          </w:p>
        </w:tc>
        <w:tc>
          <w:tcPr>
            <w:tcW w:w="860" w:type="dxa"/>
            <w:tcBorders>
              <w:top w:val="single" w:sz="8" w:space="0" w:color="008000"/>
              <w:bottom w:val="nil"/>
            </w:tcBorders>
          </w:tcPr>
          <w:p w14:paraId="151D3679" w14:textId="639DEAB1" w:rsidR="00DE706E" w:rsidRDefault="00DE706E" w:rsidP="00DE706E">
            <w:pPr>
              <w:pStyle w:val="CETBodytext"/>
              <w:jc w:val="center"/>
            </w:pPr>
            <w:r>
              <w:t>Sulfuric Acid</w:t>
            </w:r>
          </w:p>
        </w:tc>
        <w:tc>
          <w:tcPr>
            <w:tcW w:w="862" w:type="dxa"/>
            <w:tcBorders>
              <w:top w:val="single" w:sz="8" w:space="0" w:color="008000"/>
              <w:bottom w:val="nil"/>
            </w:tcBorders>
          </w:tcPr>
          <w:p w14:paraId="08029819" w14:textId="5B0D9F4C" w:rsidR="00DE706E" w:rsidRDefault="00DE706E" w:rsidP="00DE706E">
            <w:pPr>
              <w:pStyle w:val="CETBodytext"/>
              <w:jc w:val="center"/>
            </w:pPr>
            <w:r>
              <w:t>L-lactide</w:t>
            </w:r>
          </w:p>
        </w:tc>
        <w:tc>
          <w:tcPr>
            <w:tcW w:w="841" w:type="dxa"/>
            <w:tcBorders>
              <w:top w:val="single" w:sz="8" w:space="0" w:color="008000"/>
              <w:bottom w:val="nil"/>
            </w:tcBorders>
          </w:tcPr>
          <w:p w14:paraId="71D863EE" w14:textId="1B59A07A" w:rsidR="00DE706E" w:rsidRDefault="00DE706E" w:rsidP="00DE706E">
            <w:pPr>
              <w:pStyle w:val="CETBodytext"/>
              <w:jc w:val="center"/>
            </w:pPr>
            <w:r>
              <w:t>Water</w:t>
            </w:r>
          </w:p>
        </w:tc>
      </w:tr>
      <w:tr w:rsidR="00462B8E" w14:paraId="12DDC926" w14:textId="77777777" w:rsidTr="00462B8E">
        <w:trPr>
          <w:trHeight w:val="472"/>
        </w:trPr>
        <w:tc>
          <w:tcPr>
            <w:tcW w:w="729" w:type="dxa"/>
            <w:vMerge/>
            <w:tcBorders>
              <w:top w:val="nil"/>
              <w:bottom w:val="single" w:sz="12" w:space="0" w:color="008000"/>
              <w:right w:val="nil"/>
            </w:tcBorders>
          </w:tcPr>
          <w:p w14:paraId="538247FC" w14:textId="77777777" w:rsidR="00462B8E" w:rsidRDefault="00462B8E" w:rsidP="00462B8E">
            <w:pPr>
              <w:pStyle w:val="CETBodytext"/>
            </w:pPr>
          </w:p>
        </w:tc>
        <w:tc>
          <w:tcPr>
            <w:tcW w:w="1004" w:type="dxa"/>
            <w:tcBorders>
              <w:top w:val="nil"/>
              <w:left w:val="nil"/>
              <w:bottom w:val="single" w:sz="12" w:space="0" w:color="008000"/>
              <w:right w:val="nil"/>
            </w:tcBorders>
            <w:vAlign w:val="center"/>
          </w:tcPr>
          <w:p w14:paraId="48106E15" w14:textId="1CA3B81A" w:rsidR="00462B8E" w:rsidRPr="00924835" w:rsidRDefault="00462B8E" w:rsidP="00462B8E">
            <w:pPr>
              <w:pStyle w:val="CETBodytext"/>
              <w:jc w:val="center"/>
              <w:rPr>
                <w:rFonts w:cs="Arial"/>
                <w:szCs w:val="18"/>
              </w:rPr>
            </w:pPr>
            <w:r w:rsidRPr="00924835">
              <w:rPr>
                <w:rFonts w:cs="Arial"/>
                <w:color w:val="000000"/>
                <w:szCs w:val="18"/>
              </w:rPr>
              <w:t>170.13</w:t>
            </w:r>
          </w:p>
        </w:tc>
        <w:tc>
          <w:tcPr>
            <w:tcW w:w="656" w:type="dxa"/>
            <w:tcBorders>
              <w:top w:val="nil"/>
              <w:left w:val="nil"/>
              <w:bottom w:val="single" w:sz="12" w:space="0" w:color="008000"/>
              <w:right w:val="nil"/>
            </w:tcBorders>
            <w:vAlign w:val="center"/>
          </w:tcPr>
          <w:p w14:paraId="395BE5CF" w14:textId="0D529B12" w:rsidR="00462B8E" w:rsidRPr="00924835" w:rsidRDefault="00462B8E" w:rsidP="00462B8E">
            <w:pPr>
              <w:pStyle w:val="CETBodytext"/>
              <w:jc w:val="center"/>
              <w:rPr>
                <w:rFonts w:cs="Arial"/>
                <w:szCs w:val="18"/>
              </w:rPr>
            </w:pPr>
            <w:r w:rsidRPr="00924835">
              <w:rPr>
                <w:rFonts w:cs="Arial"/>
                <w:color w:val="000000"/>
                <w:szCs w:val="18"/>
              </w:rPr>
              <w:t>3.88</w:t>
            </w:r>
          </w:p>
        </w:tc>
        <w:tc>
          <w:tcPr>
            <w:tcW w:w="1447" w:type="dxa"/>
            <w:tcBorders>
              <w:top w:val="nil"/>
              <w:left w:val="nil"/>
              <w:bottom w:val="single" w:sz="12" w:space="0" w:color="008000"/>
              <w:right w:val="nil"/>
            </w:tcBorders>
            <w:vAlign w:val="center"/>
          </w:tcPr>
          <w:p w14:paraId="158C094C" w14:textId="4EF1D930" w:rsidR="00462B8E" w:rsidRPr="00924835" w:rsidRDefault="00462B8E" w:rsidP="00462B8E">
            <w:pPr>
              <w:pStyle w:val="CETBodytext"/>
              <w:jc w:val="center"/>
              <w:rPr>
                <w:rFonts w:cs="Arial"/>
                <w:szCs w:val="18"/>
              </w:rPr>
            </w:pPr>
            <w:r w:rsidRPr="00924835">
              <w:rPr>
                <w:rFonts w:cs="Arial"/>
                <w:color w:val="000000"/>
                <w:szCs w:val="18"/>
              </w:rPr>
              <w:t>99.75</w:t>
            </w:r>
          </w:p>
        </w:tc>
        <w:tc>
          <w:tcPr>
            <w:tcW w:w="912" w:type="dxa"/>
            <w:tcBorders>
              <w:top w:val="nil"/>
              <w:left w:val="nil"/>
              <w:bottom w:val="single" w:sz="12" w:space="0" w:color="008000"/>
              <w:right w:val="nil"/>
            </w:tcBorders>
            <w:vAlign w:val="center"/>
          </w:tcPr>
          <w:p w14:paraId="384D6CF2" w14:textId="5A2B4033" w:rsidR="00462B8E" w:rsidRPr="00924835" w:rsidRDefault="00462B8E" w:rsidP="00462B8E">
            <w:pPr>
              <w:pStyle w:val="CETBodytext"/>
              <w:jc w:val="center"/>
              <w:rPr>
                <w:rFonts w:cs="Arial"/>
                <w:szCs w:val="18"/>
              </w:rPr>
            </w:pPr>
            <w:r w:rsidRPr="00924835">
              <w:rPr>
                <w:rFonts w:cs="Arial"/>
                <w:color w:val="000000"/>
                <w:szCs w:val="18"/>
              </w:rPr>
              <w:t>5.73</w:t>
            </w:r>
          </w:p>
        </w:tc>
        <w:tc>
          <w:tcPr>
            <w:tcW w:w="870" w:type="dxa"/>
            <w:tcBorders>
              <w:top w:val="nil"/>
              <w:left w:val="nil"/>
              <w:bottom w:val="single" w:sz="12" w:space="0" w:color="008000"/>
              <w:right w:val="nil"/>
            </w:tcBorders>
            <w:vAlign w:val="center"/>
          </w:tcPr>
          <w:p w14:paraId="0D594C92" w14:textId="75E91427" w:rsidR="00462B8E" w:rsidRPr="00924835" w:rsidRDefault="00462B8E" w:rsidP="00462B8E">
            <w:pPr>
              <w:pStyle w:val="CETBodytext"/>
              <w:jc w:val="center"/>
              <w:rPr>
                <w:rFonts w:cs="Arial"/>
                <w:szCs w:val="18"/>
              </w:rPr>
            </w:pPr>
            <w:r w:rsidRPr="00924835">
              <w:rPr>
                <w:rFonts w:cs="Arial"/>
                <w:color w:val="000000"/>
                <w:szCs w:val="18"/>
              </w:rPr>
              <w:t>75.17</w:t>
            </w:r>
          </w:p>
        </w:tc>
        <w:tc>
          <w:tcPr>
            <w:tcW w:w="871" w:type="dxa"/>
            <w:tcBorders>
              <w:top w:val="nil"/>
              <w:left w:val="nil"/>
              <w:bottom w:val="single" w:sz="12" w:space="0" w:color="008000"/>
              <w:right w:val="nil"/>
            </w:tcBorders>
            <w:vAlign w:val="center"/>
          </w:tcPr>
          <w:p w14:paraId="35DB298C" w14:textId="523B0980" w:rsidR="00462B8E" w:rsidRPr="00924835" w:rsidRDefault="00462B8E" w:rsidP="00462B8E">
            <w:pPr>
              <w:pStyle w:val="CETBodytext"/>
              <w:jc w:val="center"/>
              <w:rPr>
                <w:rFonts w:cs="Arial"/>
                <w:szCs w:val="18"/>
              </w:rPr>
            </w:pPr>
            <w:r w:rsidRPr="00924835">
              <w:rPr>
                <w:rFonts w:cs="Arial"/>
                <w:color w:val="000000"/>
                <w:szCs w:val="18"/>
              </w:rPr>
              <w:t>0.34</w:t>
            </w:r>
          </w:p>
        </w:tc>
        <w:tc>
          <w:tcPr>
            <w:tcW w:w="860" w:type="dxa"/>
            <w:tcBorders>
              <w:top w:val="nil"/>
              <w:left w:val="nil"/>
              <w:bottom w:val="single" w:sz="12" w:space="0" w:color="008000"/>
              <w:right w:val="nil"/>
            </w:tcBorders>
            <w:vAlign w:val="center"/>
          </w:tcPr>
          <w:p w14:paraId="33D5B5A7" w14:textId="14AC6B9E" w:rsidR="00462B8E" w:rsidRPr="00924835" w:rsidRDefault="00462B8E" w:rsidP="00462B8E">
            <w:pPr>
              <w:pStyle w:val="CETBodytext"/>
              <w:jc w:val="center"/>
              <w:rPr>
                <w:rFonts w:cs="Arial"/>
                <w:szCs w:val="18"/>
              </w:rPr>
            </w:pPr>
            <w:r w:rsidRPr="00924835">
              <w:rPr>
                <w:rFonts w:cs="Arial"/>
                <w:color w:val="000000"/>
                <w:szCs w:val="18"/>
              </w:rPr>
              <w:t>224.08</w:t>
            </w:r>
          </w:p>
        </w:tc>
        <w:tc>
          <w:tcPr>
            <w:tcW w:w="862" w:type="dxa"/>
            <w:tcBorders>
              <w:top w:val="nil"/>
              <w:left w:val="nil"/>
              <w:bottom w:val="single" w:sz="12" w:space="0" w:color="008000"/>
              <w:right w:val="nil"/>
            </w:tcBorders>
            <w:vAlign w:val="center"/>
          </w:tcPr>
          <w:p w14:paraId="28A6A0AF" w14:textId="37D0B3E3" w:rsidR="00462B8E" w:rsidRPr="00924835" w:rsidRDefault="00462B8E" w:rsidP="00462B8E">
            <w:pPr>
              <w:pStyle w:val="CETBodytext"/>
              <w:jc w:val="center"/>
              <w:rPr>
                <w:rFonts w:cs="Arial"/>
                <w:szCs w:val="18"/>
              </w:rPr>
            </w:pPr>
            <w:r w:rsidRPr="00924835">
              <w:rPr>
                <w:rFonts w:cs="Arial"/>
                <w:color w:val="000000"/>
                <w:szCs w:val="18"/>
              </w:rPr>
              <w:t>9.34</w:t>
            </w:r>
          </w:p>
        </w:tc>
        <w:tc>
          <w:tcPr>
            <w:tcW w:w="841" w:type="dxa"/>
            <w:tcBorders>
              <w:top w:val="nil"/>
              <w:left w:val="nil"/>
              <w:bottom w:val="single" w:sz="12" w:space="0" w:color="008000"/>
              <w:right w:val="nil"/>
            </w:tcBorders>
            <w:vAlign w:val="center"/>
          </w:tcPr>
          <w:p w14:paraId="1B6F2B53" w14:textId="611CF547" w:rsidR="00462B8E" w:rsidRPr="00924835" w:rsidRDefault="00462B8E" w:rsidP="00462B8E">
            <w:pPr>
              <w:pStyle w:val="CETBodytext"/>
              <w:jc w:val="center"/>
              <w:rPr>
                <w:rFonts w:cs="Arial"/>
                <w:szCs w:val="18"/>
              </w:rPr>
            </w:pPr>
            <w:r w:rsidRPr="00924835">
              <w:rPr>
                <w:rFonts w:cs="Arial"/>
                <w:color w:val="000000"/>
                <w:szCs w:val="18"/>
              </w:rPr>
              <w:t>0.37</w:t>
            </w:r>
          </w:p>
        </w:tc>
      </w:tr>
      <w:tr w:rsidR="00462B8E" w14:paraId="787991EC" w14:textId="7157B5DE" w:rsidTr="005D5EC7">
        <w:trPr>
          <w:gridAfter w:val="9"/>
          <w:wAfter w:w="8323" w:type="dxa"/>
          <w:trHeight w:val="228"/>
        </w:trPr>
        <w:tc>
          <w:tcPr>
            <w:tcW w:w="729" w:type="dxa"/>
            <w:vMerge/>
            <w:tcBorders>
              <w:bottom w:val="nil"/>
            </w:tcBorders>
          </w:tcPr>
          <w:p w14:paraId="1A8A99E1" w14:textId="77777777" w:rsidR="00462B8E" w:rsidRDefault="00462B8E" w:rsidP="00462B8E">
            <w:pPr>
              <w:pStyle w:val="CETBodytext"/>
            </w:pPr>
          </w:p>
        </w:tc>
      </w:tr>
    </w:tbl>
    <w:p w14:paraId="32969C81" w14:textId="64870469" w:rsidR="00464866" w:rsidRDefault="00462B8E" w:rsidP="00462B8E">
      <w:pPr>
        <w:pStyle w:val="CETBodytext"/>
        <w:jc w:val="center"/>
      </w:pPr>
      <w:r>
        <w:rPr>
          <w:noProof/>
        </w:rPr>
        <w:lastRenderedPageBreak/>
        <w:drawing>
          <wp:inline distT="0" distB="0" distL="0" distR="0" wp14:anchorId="7B61E4E4" wp14:editId="69CEEBA1">
            <wp:extent cx="4373880" cy="2247900"/>
            <wp:effectExtent l="0" t="0" r="7620" b="0"/>
            <wp:docPr id="1114177721" name="Chart 1">
              <a:extLst xmlns:a="http://schemas.openxmlformats.org/drawingml/2006/main">
                <a:ext uri="{FF2B5EF4-FFF2-40B4-BE49-F238E27FC236}">
                  <a16:creationId xmlns:a16="http://schemas.microsoft.com/office/drawing/2014/main" id="{6D48578A-E59C-CBF9-012C-1882C7656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EE9485" w14:textId="53713CBD" w:rsidR="0093731D" w:rsidRDefault="0093731D" w:rsidP="0093731D">
      <w:pPr>
        <w:pStyle w:val="CETCaption"/>
      </w:pPr>
      <w:r>
        <w:t xml:space="preserve">Figure 2. </w:t>
      </w:r>
      <w:r w:rsidR="00462B8E">
        <w:t>P</w:t>
      </w:r>
      <w:r>
        <w:t>arameters for the main hazard substance</w:t>
      </w:r>
      <w:r w:rsidR="006B7064">
        <w:t xml:space="preserve"> in the avocado hard waste biorefinery</w:t>
      </w:r>
      <w:r>
        <w:t>.</w:t>
      </w:r>
    </w:p>
    <w:p w14:paraId="314B24B7" w14:textId="03689B53" w:rsidR="00F74F68" w:rsidRPr="00723C54" w:rsidRDefault="00AB6261" w:rsidP="00DA1961">
      <w:pPr>
        <w:pStyle w:val="CETBodytext"/>
        <w:rPr>
          <w:rFonts w:cs="Arial"/>
        </w:rPr>
      </w:pPr>
      <w:r>
        <w:rPr>
          <w:lang w:val="en-GB"/>
        </w:rPr>
        <w:t>Sulfuric Acid</w:t>
      </w:r>
      <w:r w:rsidR="0093731D">
        <w:t xml:space="preserve"> was identified as the substance presenting the highest chemical risk. Although ethanol exhibits higher </w:t>
      </w:r>
      <w:r w:rsidR="000E1541">
        <w:t>flammability</w:t>
      </w:r>
      <w:r w:rsidR="0093731D">
        <w:t xml:space="preserve"> than methanol, methanol has significantly wider explosivity limits. Following</w:t>
      </w:r>
      <w:r w:rsidR="00526A6D">
        <w:t xml:space="preserve"> </w:t>
      </w:r>
      <w:r>
        <w:t>sulfuric Acid</w:t>
      </w:r>
      <w:r w:rsidR="0093731D">
        <w:t xml:space="preserve">, </w:t>
      </w:r>
      <w:r w:rsidR="00526A6D">
        <w:t>me</w:t>
      </w:r>
      <w:r w:rsidR="005D03AB">
        <w:t>thanol</w:t>
      </w:r>
      <w:r w:rsidR="0093731D">
        <w:t xml:space="preserve"> was identified as the second most hazardous compound in the process, with a CSTS value of 1</w:t>
      </w:r>
      <w:r w:rsidR="00526A6D">
        <w:t>70.13</w:t>
      </w:r>
      <w:r w:rsidR="003E56E8">
        <w:t>.</w:t>
      </w:r>
      <w:r w:rsidR="004C0545" w:rsidRPr="004C0545">
        <w:t xml:space="preserve"> Sulfuric acid at typical concentrated strengths is a colorless, oily, and highly corrosive liquid that reacts violently with water and many organic materials, releasing large amounts of heat, and can cause severe burns, respiratory irritation, and permanent eye damage upon contact or inhalation. It is also a strong oxidizer that reacts aggressively with metals and other chemicals, posing significant hazards in storage, handling, and process operations</w:t>
      </w:r>
      <w:r w:rsidR="0011215F">
        <w:t xml:space="preserve"> </w:t>
      </w:r>
      <w:sdt>
        <w:sdtPr>
          <w:rPr>
            <w:rFonts w:cs="Arial"/>
            <w:color w:val="000000"/>
          </w:rPr>
          <w:tag w:val="MENDELEY_CITATION_v3_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"/>
          <w:id w:val="1611012977"/>
          <w:placeholder>
            <w:docPart w:val="DefaultPlaceholder_-1854013440"/>
          </w:placeholder>
        </w:sdtPr>
        <w:sdtContent>
          <w:r w:rsidR="0011215F" w:rsidRPr="0011215F">
            <w:rPr>
              <w:rFonts w:cs="Arial"/>
              <w:color w:val="000000"/>
            </w:rPr>
            <w:t>(Dionisio et al., 2018)</w:t>
          </w:r>
        </w:sdtContent>
      </w:sdt>
      <w:r w:rsidR="009454ED">
        <w:t>.</w:t>
      </w:r>
      <w:r w:rsidR="00776BE7">
        <w:t xml:space="preserve"> </w:t>
      </w:r>
      <w:r w:rsidR="00A94CA9">
        <w:t>F</w:t>
      </w:r>
      <w:r w:rsidR="00776BE7">
        <w:t>or this process</w:t>
      </w:r>
      <w:r w:rsidR="00776BE7" w:rsidRPr="00776BE7">
        <w:t xml:space="preserve"> </w:t>
      </w:r>
      <w:r w:rsidR="00776BE7">
        <w:t>s</w:t>
      </w:r>
      <w:r w:rsidR="00776BE7" w:rsidRPr="00776BE7">
        <w:t>ulfuric acid can react violently with calcium hydroxide, ethanol, and sodium metabisulfite</w:t>
      </w:r>
      <w:r w:rsidR="00A94CA9">
        <w:t xml:space="preserve"> </w:t>
      </w:r>
      <w:sdt>
        <w:sdtPr>
          <w:rPr>
            <w:rFonts w:cs="Arial"/>
            <w:color w:val="000000"/>
          </w:rPr>
          <w:tag w:val="MENDELEY_CITATION_v3_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"/>
          <w:id w:val="399646598"/>
          <w:placeholder>
            <w:docPart w:val="DefaultPlaceholder_-1854013440"/>
          </w:placeholder>
        </w:sdtPr>
        <w:sdtContent>
          <w:r w:rsidR="0011215F" w:rsidRPr="0011215F">
            <w:rPr>
              <w:rFonts w:cs="Arial"/>
              <w:color w:val="000000"/>
            </w:rPr>
            <w:t>(Aguilar-Vasquez et al., 2025).</w:t>
          </w:r>
        </w:sdtContent>
      </w:sdt>
      <w:r w:rsidR="00723C54">
        <w:rPr>
          <w:rFonts w:cs="Arial"/>
          <w:color w:val="000000"/>
        </w:rPr>
        <w:t xml:space="preserve"> </w:t>
      </w:r>
      <w:r w:rsidR="00F74F68" w:rsidRPr="00723C54">
        <w:rPr>
          <w:rFonts w:cs="Arial"/>
        </w:rPr>
        <w:t>Sulfuric acid is mainly used in the hydrolysis and neutralization stages of the process</w:t>
      </w:r>
      <w:r w:rsidR="000C6AFD" w:rsidRPr="00723C54">
        <w:rPr>
          <w:rFonts w:cs="Arial"/>
        </w:rPr>
        <w:t xml:space="preserve"> to obtain the second biofilm</w:t>
      </w:r>
      <w:r w:rsidR="00F74F68" w:rsidRPr="00723C54">
        <w:rPr>
          <w:rFonts w:cs="Arial"/>
        </w:rPr>
        <w:t>. Lower-hazard alternatives for hydrolysis include hydrochloric or phosphoric acid, while sodium or calcium hydroxide can be used for neutralization. Greener options, such as enzymatic hydrolysis, are also available, although their cost–benefit may be limited by slower reaction rates and higher costs.</w:t>
      </w:r>
    </w:p>
    <w:p w14:paraId="006651D7" w14:textId="5E4A304B" w:rsidR="003546B7" w:rsidRDefault="003546B7" w:rsidP="003546B7">
      <w:pPr>
        <w:pStyle w:val="CETheadingx"/>
      </w:pPr>
      <w:r w:rsidRPr="00CD289F">
        <w:t>Process Safety Total Score (PSTS)</w:t>
      </w:r>
    </w:p>
    <w:p w14:paraId="0697F73A" w14:textId="71F5061A" w:rsidR="00424AF4" w:rsidRDefault="00424AF4" w:rsidP="00424AF4">
      <w:pPr>
        <w:pStyle w:val="CETBodytext"/>
      </w:pPr>
      <w:r>
        <w:t xml:space="preserve">For the second part of the </w:t>
      </w:r>
      <w:proofErr w:type="spellStart"/>
      <w:r>
        <w:t>NuDIST</w:t>
      </w:r>
      <w:proofErr w:type="spellEnd"/>
      <w:r>
        <w:t xml:space="preserve"> evaluation, the process safety parameters were calculated, considering the maximum operating temperature, which reached 252 °C, and the maximum pressure of 10.21 bar, since higher values represent a greater potential hazard within the process. Additionally, the process involves five reactions, through which </w:t>
      </w:r>
      <w:r w:rsidR="00964DBC">
        <w:t xml:space="preserve">the </w:t>
      </w:r>
      <w:r w:rsidR="004D1E75">
        <w:t>three</w:t>
      </w:r>
      <w:r>
        <w:t xml:space="preserve"> desired products are obtained, including hydrolysis, fermentation, neutralization, pre</w:t>
      </w:r>
      <w:r w:rsidR="008972A1">
        <w:t>-</w:t>
      </w:r>
      <w:r>
        <w:t>polymerization, and polymerization.</w:t>
      </w:r>
    </w:p>
    <w:p w14:paraId="75EB4886" w14:textId="27986071" w:rsidR="003546B7" w:rsidRDefault="00424AF4" w:rsidP="00424AF4">
      <w:pPr>
        <w:pStyle w:val="CETBodytext"/>
      </w:pPr>
      <w:r>
        <w:t>Among these, the pre</w:t>
      </w:r>
      <w:r w:rsidR="008972A1">
        <w:t>-</w:t>
      </w:r>
      <w:r>
        <w:t xml:space="preserve">polymerization reaction presents the highest risk due to its </w:t>
      </w:r>
      <w:r w:rsidR="009021A4">
        <w:t>hi</w:t>
      </w:r>
      <w:r w:rsidR="009021A4" w:rsidRPr="009021A4">
        <w:t>ghly</w:t>
      </w:r>
      <w:r w:rsidR="009021A4">
        <w:t xml:space="preserve"> </w:t>
      </w:r>
      <w:r>
        <w:t xml:space="preserve">exothermic nature. This reaction is presented </w:t>
      </w:r>
      <w:r w:rsidR="006B7064">
        <w:t xml:space="preserve">in </w:t>
      </w:r>
      <w:r w:rsidR="00910B45">
        <w:t>equation</w:t>
      </w:r>
      <w:r w:rsidR="006B7064" w:rsidRPr="00537F1C">
        <w:t xml:space="preserve"> (</w:t>
      </w:r>
      <w:r w:rsidR="00910B45">
        <w:t>2</w:t>
      </w:r>
      <w:r w:rsidR="006B7064" w:rsidRPr="00537F1C">
        <w:t>)</w:t>
      </w:r>
      <w:r w:rsidRPr="00537F1C">
        <w:t>.</w:t>
      </w:r>
    </w:p>
    <w:p w14:paraId="68749345" w14:textId="77777777" w:rsidR="00464866" w:rsidRDefault="00464866" w:rsidP="00E87529">
      <w:pPr>
        <w:pStyle w:val="CETBodytext"/>
        <w:jc w:val="center"/>
      </w:pPr>
    </w:p>
    <w:p w14:paraId="286AE72F" w14:textId="5D2665CC" w:rsidR="00464866" w:rsidRDefault="00DC00FE" w:rsidP="00E87529">
      <w:pPr>
        <w:pStyle w:val="CETBodytext"/>
        <w:jc w:val="right"/>
      </w:pPr>
      <m:oMath>
        <m:r>
          <w:rPr>
            <w:rFonts w:ascii="Cambria Math" w:hAnsi="Cambria Math"/>
          </w:rPr>
          <m:t xml:space="preserve"> </m:t>
        </m:r>
      </m:oMath>
      <w:r w:rsidR="00E87529">
        <w:t xml:space="preserve">                                  </w:t>
      </w:r>
      <m:oMath>
        <m:r>
          <w:rPr>
            <w:rFonts w:ascii="Cambria Math" w:hAnsi="Cambria Math"/>
          </w:rPr>
          <m:t xml:space="preserve">8 </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6</m:t>
            </m:r>
          </m:sub>
        </m:sSub>
        <m:sSub>
          <m:sSubPr>
            <m:ctrlPr>
              <w:rPr>
                <w:rFonts w:ascii="Cambria Math" w:hAnsi="Cambria Math"/>
                <w:i/>
              </w:rPr>
            </m:ctrlPr>
          </m:sSubPr>
          <m:e>
            <m:r>
              <w:rPr>
                <w:rFonts w:ascii="Cambria Math" w:hAnsi="Cambria Math"/>
              </w:rPr>
              <m:t>O</m:t>
            </m:r>
          </m:e>
          <m:sub>
            <m:r>
              <w:rPr>
                <w:rFonts w:ascii="Cambria Math" w:hAnsi="Cambria Math"/>
              </w:rPr>
              <m:t>3</m:t>
            </m:r>
          </m:sub>
        </m:sSub>
        <m:r>
          <w:rPr>
            <w:rFonts w:ascii="Cambria Math" w:hAnsi="Cambria Math"/>
          </w:rPr>
          <m:t xml:space="preserve"> → 3.6 </m:t>
        </m:r>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8</m:t>
            </m:r>
          </m:sub>
        </m:sSub>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 xml:space="preserve"> + 0.4 </m:t>
        </m:r>
        <m:sSub>
          <m:sSubPr>
            <m:ctrlPr>
              <w:rPr>
                <w:rFonts w:ascii="Cambria Math" w:hAnsi="Cambria Math"/>
                <w:i/>
              </w:rPr>
            </m:ctrlPr>
          </m:sSubPr>
          <m:e>
            <m:r>
              <w:rPr>
                <w:rFonts w:ascii="Cambria Math" w:hAnsi="Cambria Math"/>
              </w:rPr>
              <m:t>C</m:t>
            </m:r>
          </m:e>
          <m:sub>
            <m:r>
              <w:rPr>
                <w:rFonts w:ascii="Cambria Math" w:hAnsi="Cambria Math"/>
              </w:rPr>
              <m:t>6</m:t>
            </m:r>
          </m:sub>
        </m:sSub>
        <m:sSub>
          <m:sSubPr>
            <m:ctrlPr>
              <w:rPr>
                <w:rFonts w:ascii="Cambria Math" w:hAnsi="Cambria Math"/>
                <w:i/>
              </w:rPr>
            </m:ctrlPr>
          </m:sSubPr>
          <m:e>
            <m:r>
              <w:rPr>
                <w:rFonts w:ascii="Cambria Math" w:hAnsi="Cambria Math"/>
              </w:rPr>
              <m:t>H</m:t>
            </m:r>
          </m:e>
          <m:sub>
            <m:r>
              <w:rPr>
                <w:rFonts w:ascii="Cambria Math" w:hAnsi="Cambria Math"/>
              </w:rPr>
              <m:t>8</m:t>
            </m:r>
          </m:sub>
        </m:sSub>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 xml:space="preserve"> + 8 </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 xml:space="preserve">O </m:t>
        </m:r>
      </m:oMath>
      <w:r w:rsidR="00E87529">
        <w:t xml:space="preserve">                                                     (2)</w:t>
      </w:r>
    </w:p>
    <w:p w14:paraId="62A8A4A0" w14:textId="77777777" w:rsidR="00464866" w:rsidRDefault="00464866" w:rsidP="00DA1961">
      <w:pPr>
        <w:pStyle w:val="CETBodytext"/>
      </w:pPr>
    </w:p>
    <w:p w14:paraId="42476191" w14:textId="62B76F3C" w:rsidR="00464866" w:rsidRDefault="00DC00FE" w:rsidP="00DA1961">
      <w:pPr>
        <w:pStyle w:val="CETBodytext"/>
      </w:pPr>
      <w:proofErr w:type="spellStart"/>
      <w:r>
        <w:t>Prepolymerization</w:t>
      </w:r>
      <w:proofErr w:type="spellEnd"/>
      <w:r>
        <w:t xml:space="preserve"> is carried out to obtain the second biofilm, and it corresponds to the reaction with the greatest heat release magnitude in the process.</w:t>
      </w:r>
      <w:r w:rsidR="00AC6909">
        <w:t xml:space="preserve"> Using the equations presented in table 1. </w:t>
      </w:r>
      <w:r w:rsidR="00537F1C">
        <w:t>The results are the following:</w:t>
      </w:r>
    </w:p>
    <w:p w14:paraId="34114979" w14:textId="471D0215" w:rsidR="00464866" w:rsidRDefault="00D356D8" w:rsidP="00D356D8">
      <w:pPr>
        <w:pStyle w:val="CETTabletitle"/>
      </w:pPr>
      <w:r>
        <w:t xml:space="preserve">Table 3. Scores for </w:t>
      </w:r>
      <w:r w:rsidRPr="00D356D8">
        <w:t>Process Safety Total Score (PSTS)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E32D04" w14:paraId="0AB54631" w14:textId="77777777" w:rsidTr="00F71D4C">
        <w:tc>
          <w:tcPr>
            <w:tcW w:w="4388" w:type="dxa"/>
            <w:tcBorders>
              <w:top w:val="single" w:sz="12" w:space="0" w:color="008000"/>
              <w:bottom w:val="single" w:sz="8" w:space="0" w:color="008000"/>
            </w:tcBorders>
          </w:tcPr>
          <w:p w14:paraId="5E48E785" w14:textId="52F24898" w:rsidR="00E32D04" w:rsidRDefault="00E32D04" w:rsidP="00E32D04">
            <w:pPr>
              <w:pStyle w:val="CETBodytext"/>
            </w:pPr>
            <w:r w:rsidRPr="00CD289F">
              <w:rPr>
                <w:b/>
                <w:bCs/>
              </w:rPr>
              <w:t>Parameter</w:t>
            </w:r>
          </w:p>
        </w:tc>
        <w:tc>
          <w:tcPr>
            <w:tcW w:w="4389" w:type="dxa"/>
            <w:tcBorders>
              <w:top w:val="single" w:sz="12" w:space="0" w:color="008000"/>
              <w:bottom w:val="single" w:sz="8" w:space="0" w:color="008000"/>
            </w:tcBorders>
          </w:tcPr>
          <w:p w14:paraId="2DE6CF8E" w14:textId="23E7CF39" w:rsidR="00E32D04" w:rsidRPr="00B0118C" w:rsidRDefault="006B7064" w:rsidP="00B0118C">
            <w:pPr>
              <w:pStyle w:val="CETBodytext"/>
              <w:jc w:val="center"/>
              <w:rPr>
                <w:b/>
                <w:bCs/>
              </w:rPr>
            </w:pPr>
            <w:r>
              <w:rPr>
                <w:b/>
                <w:bCs/>
              </w:rPr>
              <w:t>S</w:t>
            </w:r>
            <w:r w:rsidR="00B0118C" w:rsidRPr="00B0118C">
              <w:rPr>
                <w:b/>
                <w:bCs/>
              </w:rPr>
              <w:t>core</w:t>
            </w:r>
          </w:p>
        </w:tc>
      </w:tr>
      <w:tr w:rsidR="00B0118C" w14:paraId="74E08333" w14:textId="77777777" w:rsidTr="00F71D4C">
        <w:tc>
          <w:tcPr>
            <w:tcW w:w="4388" w:type="dxa"/>
            <w:tcBorders>
              <w:top w:val="single" w:sz="8" w:space="0" w:color="008000"/>
            </w:tcBorders>
          </w:tcPr>
          <w:p w14:paraId="675283D7" w14:textId="4DB5B2C2" w:rsidR="00B0118C" w:rsidRDefault="00B0118C" w:rsidP="00B0118C">
            <w:pPr>
              <w:pStyle w:val="CETBodytext"/>
            </w:pPr>
            <w:r w:rsidRPr="00CD289F">
              <w:t>Maximum temperature (°C)</w:t>
            </w:r>
          </w:p>
        </w:tc>
        <w:tc>
          <w:tcPr>
            <w:tcW w:w="4389" w:type="dxa"/>
            <w:tcBorders>
              <w:top w:val="single" w:sz="8" w:space="0" w:color="008000"/>
            </w:tcBorders>
            <w:vAlign w:val="center"/>
          </w:tcPr>
          <w:p w14:paraId="6398B83A" w14:textId="5AA0E8FC" w:rsidR="00B0118C" w:rsidRPr="00B0118C" w:rsidRDefault="00B0118C" w:rsidP="00B0118C">
            <w:pPr>
              <w:pStyle w:val="CETBodytext"/>
              <w:jc w:val="center"/>
              <w:rPr>
                <w:rFonts w:cs="Arial"/>
                <w:szCs w:val="18"/>
              </w:rPr>
            </w:pPr>
            <w:r w:rsidRPr="00B0118C">
              <w:rPr>
                <w:rFonts w:cs="Arial"/>
                <w:color w:val="000000"/>
                <w:szCs w:val="18"/>
              </w:rPr>
              <w:t>252</w:t>
            </w:r>
            <w:r>
              <w:rPr>
                <w:rFonts w:cs="Arial"/>
                <w:color w:val="000000"/>
                <w:szCs w:val="18"/>
              </w:rPr>
              <w:t>.</w:t>
            </w:r>
            <w:r w:rsidRPr="00B0118C">
              <w:rPr>
                <w:rFonts w:cs="Arial"/>
                <w:color w:val="000000"/>
                <w:szCs w:val="18"/>
              </w:rPr>
              <w:t>00</w:t>
            </w:r>
          </w:p>
        </w:tc>
      </w:tr>
      <w:tr w:rsidR="00B0118C" w14:paraId="6B5E1969" w14:textId="77777777" w:rsidTr="00F71D4C">
        <w:tc>
          <w:tcPr>
            <w:tcW w:w="4388" w:type="dxa"/>
          </w:tcPr>
          <w:p w14:paraId="64163E93" w14:textId="4E97A946" w:rsidR="00B0118C" w:rsidRDefault="00B0118C" w:rsidP="00B0118C">
            <w:pPr>
              <w:pStyle w:val="CETBodytext"/>
            </w:pPr>
            <w:r w:rsidRPr="00CD289F">
              <w:t>Temperature (S</w:t>
            </w:r>
            <w:r w:rsidRPr="00CD289F">
              <w:rPr>
                <w:vertAlign w:val="subscript"/>
              </w:rPr>
              <w:t>T</w:t>
            </w:r>
            <w:r w:rsidRPr="00CD289F">
              <w:t>)</w:t>
            </w:r>
          </w:p>
        </w:tc>
        <w:tc>
          <w:tcPr>
            <w:tcW w:w="4389" w:type="dxa"/>
            <w:vAlign w:val="center"/>
          </w:tcPr>
          <w:p w14:paraId="446B81C4" w14:textId="46186C29" w:rsidR="00B0118C" w:rsidRPr="00B0118C" w:rsidRDefault="00B0118C" w:rsidP="00B0118C">
            <w:pPr>
              <w:pStyle w:val="CETBodytext"/>
              <w:jc w:val="center"/>
              <w:rPr>
                <w:rFonts w:cs="Arial"/>
                <w:szCs w:val="18"/>
              </w:rPr>
            </w:pPr>
            <w:r w:rsidRPr="00B0118C">
              <w:rPr>
                <w:rFonts w:cs="Arial"/>
                <w:color w:val="000000"/>
                <w:szCs w:val="18"/>
              </w:rPr>
              <w:t>4</w:t>
            </w:r>
            <w:r>
              <w:rPr>
                <w:rFonts w:cs="Arial"/>
                <w:color w:val="000000"/>
                <w:szCs w:val="18"/>
              </w:rPr>
              <w:t>.</w:t>
            </w:r>
            <w:r w:rsidRPr="00B0118C">
              <w:rPr>
                <w:rFonts w:cs="Arial"/>
                <w:color w:val="000000"/>
                <w:szCs w:val="18"/>
              </w:rPr>
              <w:t>85</w:t>
            </w:r>
          </w:p>
        </w:tc>
      </w:tr>
      <w:tr w:rsidR="00B0118C" w14:paraId="33BA3AD0" w14:textId="77777777" w:rsidTr="00F71D4C">
        <w:tc>
          <w:tcPr>
            <w:tcW w:w="4388" w:type="dxa"/>
          </w:tcPr>
          <w:p w14:paraId="1401CFDA" w14:textId="2B45B261" w:rsidR="00B0118C" w:rsidRDefault="00B0118C" w:rsidP="00B0118C">
            <w:pPr>
              <w:pStyle w:val="CETBodytext"/>
            </w:pPr>
            <w:r w:rsidRPr="00CD289F">
              <w:t>Maximum pressure (bar)</w:t>
            </w:r>
          </w:p>
        </w:tc>
        <w:tc>
          <w:tcPr>
            <w:tcW w:w="4389" w:type="dxa"/>
            <w:vAlign w:val="center"/>
          </w:tcPr>
          <w:p w14:paraId="248F97AB" w14:textId="690DA00F" w:rsidR="00B0118C" w:rsidRPr="00B0118C" w:rsidRDefault="00B0118C" w:rsidP="00B0118C">
            <w:pPr>
              <w:pStyle w:val="CETBodytext"/>
              <w:jc w:val="center"/>
              <w:rPr>
                <w:rFonts w:cs="Arial"/>
                <w:szCs w:val="18"/>
              </w:rPr>
            </w:pPr>
            <w:r w:rsidRPr="00B0118C">
              <w:rPr>
                <w:rFonts w:cs="Arial"/>
                <w:color w:val="000000"/>
                <w:szCs w:val="18"/>
              </w:rPr>
              <w:t>10</w:t>
            </w:r>
            <w:r>
              <w:rPr>
                <w:rFonts w:cs="Arial"/>
                <w:color w:val="000000"/>
                <w:szCs w:val="18"/>
              </w:rPr>
              <w:t>.</w:t>
            </w:r>
            <w:r w:rsidRPr="00B0118C">
              <w:rPr>
                <w:rFonts w:cs="Arial"/>
                <w:color w:val="000000"/>
                <w:szCs w:val="18"/>
              </w:rPr>
              <w:t>21</w:t>
            </w:r>
          </w:p>
        </w:tc>
      </w:tr>
      <w:tr w:rsidR="00B0118C" w14:paraId="4A596D3C" w14:textId="77777777" w:rsidTr="00F71D4C">
        <w:tc>
          <w:tcPr>
            <w:tcW w:w="4388" w:type="dxa"/>
          </w:tcPr>
          <w:p w14:paraId="5F25762E" w14:textId="63C06698" w:rsidR="00B0118C" w:rsidRPr="00CD289F" w:rsidRDefault="00B0118C" w:rsidP="00B0118C">
            <w:pPr>
              <w:pStyle w:val="CETBodytext"/>
            </w:pPr>
            <w:r w:rsidRPr="00CD289F">
              <w:t>Pressure (S</w:t>
            </w:r>
            <w:r w:rsidRPr="00CD289F">
              <w:rPr>
                <w:vertAlign w:val="subscript"/>
              </w:rPr>
              <w:t>P</w:t>
            </w:r>
            <w:r w:rsidRPr="00CD289F">
              <w:t>)</w:t>
            </w:r>
          </w:p>
        </w:tc>
        <w:tc>
          <w:tcPr>
            <w:tcW w:w="4389" w:type="dxa"/>
            <w:vAlign w:val="center"/>
          </w:tcPr>
          <w:p w14:paraId="3B33B953" w14:textId="1C91CA37" w:rsidR="00B0118C" w:rsidRPr="00B0118C" w:rsidRDefault="00B0118C" w:rsidP="00B0118C">
            <w:pPr>
              <w:pStyle w:val="CETBodytext"/>
              <w:jc w:val="center"/>
              <w:rPr>
                <w:rFonts w:cs="Arial"/>
                <w:szCs w:val="18"/>
              </w:rPr>
            </w:pPr>
            <w:r w:rsidRPr="00B0118C">
              <w:rPr>
                <w:rFonts w:cs="Arial"/>
                <w:color w:val="000000"/>
                <w:szCs w:val="18"/>
              </w:rPr>
              <w:t>4</w:t>
            </w:r>
            <w:r>
              <w:rPr>
                <w:rFonts w:cs="Arial"/>
                <w:color w:val="000000"/>
                <w:szCs w:val="18"/>
              </w:rPr>
              <w:t>.</w:t>
            </w:r>
            <w:r w:rsidRPr="00B0118C">
              <w:rPr>
                <w:rFonts w:cs="Arial"/>
                <w:color w:val="000000"/>
                <w:szCs w:val="18"/>
              </w:rPr>
              <w:t>94</w:t>
            </w:r>
          </w:p>
        </w:tc>
      </w:tr>
      <w:tr w:rsidR="00B0118C" w14:paraId="157EEA72" w14:textId="77777777" w:rsidTr="00F71D4C">
        <w:tc>
          <w:tcPr>
            <w:tcW w:w="4388" w:type="dxa"/>
          </w:tcPr>
          <w:p w14:paraId="6155CB9C" w14:textId="40F4E377" w:rsidR="00B0118C" w:rsidRPr="00CD289F" w:rsidRDefault="00B0118C" w:rsidP="00B0118C">
            <w:pPr>
              <w:pStyle w:val="CETBodytext"/>
            </w:pPr>
            <w:r w:rsidRPr="00CD289F">
              <w:t>Heat of reaction (kJ/mol)</w:t>
            </w:r>
          </w:p>
        </w:tc>
        <w:tc>
          <w:tcPr>
            <w:tcW w:w="4389" w:type="dxa"/>
            <w:vAlign w:val="center"/>
          </w:tcPr>
          <w:p w14:paraId="33711D54" w14:textId="56108A8B" w:rsidR="00B0118C" w:rsidRPr="00B0118C" w:rsidRDefault="00B0118C" w:rsidP="00B0118C">
            <w:pPr>
              <w:pStyle w:val="CETBodytext"/>
              <w:jc w:val="center"/>
              <w:rPr>
                <w:rFonts w:cs="Arial"/>
                <w:szCs w:val="18"/>
              </w:rPr>
            </w:pPr>
            <w:r w:rsidRPr="00B0118C">
              <w:rPr>
                <w:rFonts w:cs="Arial"/>
                <w:color w:val="000000"/>
                <w:szCs w:val="18"/>
              </w:rPr>
              <w:t>8</w:t>
            </w:r>
            <w:r>
              <w:rPr>
                <w:rFonts w:cs="Arial"/>
                <w:color w:val="000000"/>
                <w:szCs w:val="18"/>
              </w:rPr>
              <w:t>.</w:t>
            </w:r>
            <w:r w:rsidRPr="00B0118C">
              <w:rPr>
                <w:rFonts w:cs="Arial"/>
                <w:color w:val="000000"/>
                <w:szCs w:val="18"/>
              </w:rPr>
              <w:t>02</w:t>
            </w:r>
          </w:p>
        </w:tc>
      </w:tr>
      <w:tr w:rsidR="00B0118C" w14:paraId="52F8F378" w14:textId="77777777" w:rsidTr="00F71D4C">
        <w:tc>
          <w:tcPr>
            <w:tcW w:w="4388" w:type="dxa"/>
          </w:tcPr>
          <w:p w14:paraId="7D2A148F" w14:textId="33A12B0B" w:rsidR="00B0118C" w:rsidRPr="00CD289F" w:rsidRDefault="00B0118C" w:rsidP="00B0118C">
            <w:pPr>
              <w:pStyle w:val="CETBodytext"/>
            </w:pPr>
            <w:r w:rsidRPr="00CD289F">
              <w:t>Heat of reaction</w:t>
            </w:r>
            <w:r>
              <w:t xml:space="preserve"> </w:t>
            </w:r>
            <w:r w:rsidRPr="00CD289F">
              <w:t>(S</w:t>
            </w:r>
            <w:r w:rsidRPr="00CD289F">
              <w:rPr>
                <w:vertAlign w:val="subscript"/>
              </w:rPr>
              <w:t>HR</w:t>
            </w:r>
            <w:r w:rsidRPr="00CD289F">
              <w:t>)</w:t>
            </w:r>
          </w:p>
        </w:tc>
        <w:tc>
          <w:tcPr>
            <w:tcW w:w="4389" w:type="dxa"/>
            <w:vAlign w:val="center"/>
          </w:tcPr>
          <w:p w14:paraId="52639FDE" w14:textId="361F185F" w:rsidR="00B0118C" w:rsidRPr="00B0118C" w:rsidRDefault="00B0118C" w:rsidP="00B0118C">
            <w:pPr>
              <w:pStyle w:val="CETBodytext"/>
              <w:jc w:val="center"/>
              <w:rPr>
                <w:rFonts w:cs="Arial"/>
                <w:szCs w:val="18"/>
              </w:rPr>
            </w:pPr>
            <w:r w:rsidRPr="00B0118C">
              <w:rPr>
                <w:rFonts w:cs="Arial"/>
                <w:color w:val="000000"/>
                <w:szCs w:val="18"/>
              </w:rPr>
              <w:t>0</w:t>
            </w:r>
            <w:r>
              <w:rPr>
                <w:rFonts w:cs="Arial"/>
                <w:color w:val="000000"/>
                <w:szCs w:val="18"/>
              </w:rPr>
              <w:t>.</w:t>
            </w:r>
            <w:r w:rsidRPr="00B0118C">
              <w:rPr>
                <w:rFonts w:cs="Arial"/>
                <w:color w:val="000000"/>
                <w:szCs w:val="18"/>
              </w:rPr>
              <w:t>19</w:t>
            </w:r>
          </w:p>
        </w:tc>
      </w:tr>
      <w:tr w:rsidR="00B0118C" w14:paraId="22BBC286" w14:textId="77777777" w:rsidTr="00F71D4C">
        <w:tc>
          <w:tcPr>
            <w:tcW w:w="4388" w:type="dxa"/>
          </w:tcPr>
          <w:p w14:paraId="5D27994E" w14:textId="18225D35" w:rsidR="00B0118C" w:rsidRPr="00CD289F" w:rsidRDefault="00B0118C" w:rsidP="00B0118C">
            <w:pPr>
              <w:pStyle w:val="CETBodytext"/>
            </w:pPr>
            <w:r w:rsidRPr="00CD289F">
              <w:t>Production yield (%)</w:t>
            </w:r>
          </w:p>
        </w:tc>
        <w:tc>
          <w:tcPr>
            <w:tcW w:w="4389" w:type="dxa"/>
            <w:vAlign w:val="center"/>
          </w:tcPr>
          <w:p w14:paraId="53313B46" w14:textId="51DBE0F3" w:rsidR="00B0118C" w:rsidRPr="00B0118C" w:rsidRDefault="00B0118C" w:rsidP="00B0118C">
            <w:pPr>
              <w:pStyle w:val="CETBodytext"/>
              <w:jc w:val="center"/>
              <w:rPr>
                <w:rFonts w:cs="Arial"/>
                <w:szCs w:val="18"/>
              </w:rPr>
            </w:pPr>
            <w:r w:rsidRPr="00B0118C">
              <w:rPr>
                <w:rFonts w:cs="Arial"/>
                <w:color w:val="000000"/>
                <w:szCs w:val="18"/>
              </w:rPr>
              <w:t>0</w:t>
            </w:r>
            <w:r>
              <w:rPr>
                <w:rFonts w:cs="Arial"/>
                <w:color w:val="000000"/>
                <w:szCs w:val="18"/>
              </w:rPr>
              <w:t>.</w:t>
            </w:r>
            <w:r w:rsidRPr="00B0118C">
              <w:rPr>
                <w:rFonts w:cs="Arial"/>
                <w:color w:val="000000"/>
                <w:szCs w:val="18"/>
              </w:rPr>
              <w:t>78</w:t>
            </w:r>
          </w:p>
        </w:tc>
      </w:tr>
      <w:tr w:rsidR="00B0118C" w14:paraId="7199C10A" w14:textId="77777777" w:rsidTr="00F71D4C">
        <w:tc>
          <w:tcPr>
            <w:tcW w:w="4388" w:type="dxa"/>
          </w:tcPr>
          <w:p w14:paraId="201CDFBB" w14:textId="328F9651" w:rsidR="00B0118C" w:rsidRPr="00CD289F" w:rsidRDefault="00B0118C" w:rsidP="00B0118C">
            <w:pPr>
              <w:pStyle w:val="CETBodytext"/>
            </w:pPr>
            <w:r w:rsidRPr="00CD289F">
              <w:t>Process inventory (S</w:t>
            </w:r>
            <w:r w:rsidRPr="00CD289F">
              <w:rPr>
                <w:vertAlign w:val="subscript"/>
              </w:rPr>
              <w:t>PI</w:t>
            </w:r>
            <w:r w:rsidRPr="00CD289F">
              <w:t>)</w:t>
            </w:r>
          </w:p>
        </w:tc>
        <w:tc>
          <w:tcPr>
            <w:tcW w:w="4389" w:type="dxa"/>
            <w:vAlign w:val="center"/>
          </w:tcPr>
          <w:p w14:paraId="0EBFDD4E" w14:textId="0482568D" w:rsidR="00B0118C" w:rsidRPr="00B0118C" w:rsidRDefault="00B0118C" w:rsidP="00B0118C">
            <w:pPr>
              <w:pStyle w:val="CETBodytext"/>
              <w:jc w:val="center"/>
              <w:rPr>
                <w:rFonts w:cs="Arial"/>
                <w:szCs w:val="18"/>
              </w:rPr>
            </w:pPr>
            <w:r w:rsidRPr="00B0118C">
              <w:rPr>
                <w:rFonts w:cs="Arial"/>
                <w:color w:val="000000"/>
                <w:szCs w:val="18"/>
              </w:rPr>
              <w:t>99</w:t>
            </w:r>
            <w:r>
              <w:rPr>
                <w:rFonts w:cs="Arial"/>
                <w:color w:val="000000"/>
                <w:szCs w:val="18"/>
              </w:rPr>
              <w:t>.</w:t>
            </w:r>
            <w:r w:rsidRPr="00B0118C">
              <w:rPr>
                <w:rFonts w:cs="Arial"/>
                <w:color w:val="000000"/>
                <w:szCs w:val="18"/>
              </w:rPr>
              <w:t>92</w:t>
            </w:r>
          </w:p>
        </w:tc>
      </w:tr>
      <w:tr w:rsidR="00B0118C" w14:paraId="1212DE98" w14:textId="77777777" w:rsidTr="00F71D4C">
        <w:tc>
          <w:tcPr>
            <w:tcW w:w="4388" w:type="dxa"/>
            <w:tcBorders>
              <w:bottom w:val="single" w:sz="12" w:space="0" w:color="008000"/>
            </w:tcBorders>
          </w:tcPr>
          <w:p w14:paraId="06D10247" w14:textId="38F66644" w:rsidR="00B0118C" w:rsidRPr="00D356D8" w:rsidRDefault="00B0118C" w:rsidP="00B0118C">
            <w:pPr>
              <w:pStyle w:val="CETBodytext"/>
              <w:rPr>
                <w:b/>
                <w:bCs/>
              </w:rPr>
            </w:pPr>
            <w:r w:rsidRPr="00D356D8">
              <w:rPr>
                <w:b/>
                <w:bCs/>
              </w:rPr>
              <w:t>PSTS</w:t>
            </w:r>
          </w:p>
        </w:tc>
        <w:tc>
          <w:tcPr>
            <w:tcW w:w="4389" w:type="dxa"/>
            <w:tcBorders>
              <w:bottom w:val="single" w:sz="12" w:space="0" w:color="008000"/>
            </w:tcBorders>
            <w:vAlign w:val="center"/>
          </w:tcPr>
          <w:p w14:paraId="1B511EAF" w14:textId="694A33DF" w:rsidR="00B0118C" w:rsidRPr="00B0118C" w:rsidRDefault="00B0118C" w:rsidP="00B0118C">
            <w:pPr>
              <w:pStyle w:val="CETBodytext"/>
              <w:jc w:val="center"/>
              <w:rPr>
                <w:rFonts w:cs="Arial"/>
                <w:szCs w:val="18"/>
              </w:rPr>
            </w:pPr>
            <w:r w:rsidRPr="00B0118C">
              <w:rPr>
                <w:rFonts w:cs="Arial"/>
                <w:color w:val="000000"/>
                <w:szCs w:val="18"/>
              </w:rPr>
              <w:t>109</w:t>
            </w:r>
            <w:r>
              <w:rPr>
                <w:rFonts w:cs="Arial"/>
                <w:color w:val="000000"/>
                <w:szCs w:val="18"/>
              </w:rPr>
              <w:t>.</w:t>
            </w:r>
            <w:r w:rsidRPr="00B0118C">
              <w:rPr>
                <w:rFonts w:cs="Arial"/>
                <w:color w:val="000000"/>
                <w:szCs w:val="18"/>
              </w:rPr>
              <w:t>89</w:t>
            </w:r>
          </w:p>
        </w:tc>
      </w:tr>
    </w:tbl>
    <w:p w14:paraId="01960301" w14:textId="77777777" w:rsidR="007B0584" w:rsidRDefault="007B0584" w:rsidP="00D12447">
      <w:pPr>
        <w:pStyle w:val="CETBodytext"/>
      </w:pPr>
    </w:p>
    <w:p w14:paraId="5C6B9E74" w14:textId="3F7B8B26" w:rsidR="00D12447" w:rsidRDefault="00D12447" w:rsidP="00D12447">
      <w:pPr>
        <w:pStyle w:val="CETBodytext"/>
      </w:pPr>
      <w:r>
        <w:t xml:space="preserve">With the total scores obtained for the chemical safety parameters and the process safety parameters, the analysis can be summarized by comparing these two values. The CSTS reached a value of </w:t>
      </w:r>
      <w:r w:rsidR="00800925">
        <w:t>224.08</w:t>
      </w:r>
      <w:r>
        <w:t xml:space="preserve">, while the PSTS was 109.89, indicating that the risks associated with chemical substances are higher than the hazards related to operating </w:t>
      </w:r>
      <w:r w:rsidR="00924835">
        <w:t>conditions. The</w:t>
      </w:r>
      <w:r>
        <w:t xml:space="preserve"> process inventory parameter yielded a value of 99.92%, which is a considerably high percentage. This result indicates that the risk should not be underestimated, as nearly 100% of the materials or operating conditions within the process have the potential to generate a hazardous event for the biorefinery.</w:t>
      </w:r>
    </w:p>
    <w:p w14:paraId="46F1BDC8" w14:textId="6686EFB4" w:rsidR="00B64DD4" w:rsidRDefault="007A62C0" w:rsidP="00DA1961">
      <w:pPr>
        <w:pStyle w:val="CETheadingx"/>
      </w:pPr>
      <w:proofErr w:type="spellStart"/>
      <w:r w:rsidRPr="00AF080F">
        <w:t>NuDIST</w:t>
      </w:r>
      <w:proofErr w:type="spellEnd"/>
      <w:r w:rsidRPr="00AF080F">
        <w:t xml:space="preserve"> Total Score</w:t>
      </w:r>
      <w:r>
        <w:t xml:space="preserve"> for the avocado waste biorefinery </w:t>
      </w:r>
    </w:p>
    <w:p w14:paraId="1605194B" w14:textId="46E9AEC9" w:rsidR="000E313B" w:rsidRPr="000E313B" w:rsidRDefault="000E313B" w:rsidP="000E313B">
      <w:pPr>
        <w:pStyle w:val="CETTabletitle"/>
      </w:pPr>
      <w:r>
        <w:t xml:space="preserve">Table 4. Sum of the </w:t>
      </w:r>
      <w:proofErr w:type="spellStart"/>
      <w:r>
        <w:t>NuDIST</w:t>
      </w:r>
      <w:proofErr w:type="spellEnd"/>
      <w:r>
        <w:t xml:space="preserve"> chemical and process safety evaluations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2000"/>
      </w:tblGrid>
      <w:tr w:rsidR="00B64DD4" w:rsidRPr="00B64DD4" w14:paraId="6436B98A" w14:textId="77777777" w:rsidTr="00846157">
        <w:trPr>
          <w:trHeight w:val="288"/>
        </w:trPr>
        <w:tc>
          <w:tcPr>
            <w:tcW w:w="8520" w:type="dxa"/>
            <w:gridSpan w:val="2"/>
            <w:tcBorders>
              <w:top w:val="single" w:sz="12" w:space="0" w:color="008000"/>
              <w:bottom w:val="single" w:sz="8" w:space="0" w:color="008000"/>
            </w:tcBorders>
            <w:noWrap/>
            <w:hideMark/>
          </w:tcPr>
          <w:p w14:paraId="0C70F369" w14:textId="415CFC26" w:rsidR="00B64DD4" w:rsidRPr="00B64DD4" w:rsidRDefault="00B64DD4" w:rsidP="007A62C0">
            <w:pPr>
              <w:pStyle w:val="CETBodytext"/>
              <w:jc w:val="center"/>
              <w:rPr>
                <w:b/>
                <w:bCs/>
                <w:lang w:val="es-CO"/>
              </w:rPr>
            </w:pPr>
            <w:r w:rsidRPr="00B64DD4">
              <w:rPr>
                <w:b/>
                <w:bCs/>
                <w:lang w:val="en-GB"/>
              </w:rPr>
              <w:t xml:space="preserve">Total </w:t>
            </w:r>
            <w:proofErr w:type="spellStart"/>
            <w:r w:rsidRPr="00B64DD4">
              <w:rPr>
                <w:b/>
                <w:bCs/>
                <w:lang w:val="en-GB"/>
              </w:rPr>
              <w:t>NuDIST</w:t>
            </w:r>
            <w:proofErr w:type="spellEnd"/>
            <w:r w:rsidR="007A62C0">
              <w:rPr>
                <w:b/>
                <w:bCs/>
                <w:lang w:val="en-GB"/>
              </w:rPr>
              <w:t xml:space="preserve"> score</w:t>
            </w:r>
          </w:p>
        </w:tc>
      </w:tr>
      <w:tr w:rsidR="00B64DD4" w:rsidRPr="00B64DD4" w14:paraId="03983C9E" w14:textId="77777777" w:rsidTr="00846157">
        <w:trPr>
          <w:trHeight w:val="288"/>
        </w:trPr>
        <w:tc>
          <w:tcPr>
            <w:tcW w:w="6520" w:type="dxa"/>
            <w:tcBorders>
              <w:top w:val="single" w:sz="8" w:space="0" w:color="008000"/>
            </w:tcBorders>
            <w:hideMark/>
          </w:tcPr>
          <w:p w14:paraId="2278DE64" w14:textId="6A31C74B" w:rsidR="00B64DD4" w:rsidRPr="00CB550A" w:rsidRDefault="00B64DD4" w:rsidP="00B64DD4">
            <w:pPr>
              <w:pStyle w:val="CETBodytext"/>
              <w:rPr>
                <w:i/>
                <w:iCs/>
              </w:rPr>
            </w:pPr>
            <w:r w:rsidRPr="00CB550A">
              <w:rPr>
                <w:i/>
                <w:iCs/>
              </w:rPr>
              <w:t xml:space="preserve"> </w:t>
            </w:r>
            <w:r w:rsidR="00CB550A">
              <w:t xml:space="preserve">Chemical Safety </w:t>
            </w:r>
            <w:r w:rsidR="00003027">
              <w:t xml:space="preserve">Total </w:t>
            </w:r>
            <w:r w:rsidR="00CB550A">
              <w:t xml:space="preserve">Score </w:t>
            </w:r>
            <w:r w:rsidRPr="00CB550A">
              <w:rPr>
                <w:i/>
                <w:iCs/>
              </w:rPr>
              <w:t>(CSTS)</w:t>
            </w:r>
          </w:p>
        </w:tc>
        <w:tc>
          <w:tcPr>
            <w:tcW w:w="2000" w:type="dxa"/>
            <w:tcBorders>
              <w:top w:val="single" w:sz="8" w:space="0" w:color="008000"/>
            </w:tcBorders>
            <w:noWrap/>
            <w:hideMark/>
          </w:tcPr>
          <w:p w14:paraId="11F87474" w14:textId="3B35ADFB" w:rsidR="00B64DD4" w:rsidRPr="0093131D" w:rsidRDefault="00924835" w:rsidP="00846157">
            <w:pPr>
              <w:pStyle w:val="CETBodytext"/>
              <w:jc w:val="center"/>
              <w:rPr>
                <w:lang w:val="en-GB"/>
              </w:rPr>
            </w:pPr>
            <w:r>
              <w:rPr>
                <w:lang w:val="en-GB"/>
              </w:rPr>
              <w:t>224.08</w:t>
            </w:r>
          </w:p>
        </w:tc>
      </w:tr>
      <w:tr w:rsidR="00B64DD4" w:rsidRPr="00B64DD4" w14:paraId="3E5053CD" w14:textId="77777777" w:rsidTr="00846157">
        <w:trPr>
          <w:trHeight w:val="288"/>
        </w:trPr>
        <w:tc>
          <w:tcPr>
            <w:tcW w:w="6520" w:type="dxa"/>
            <w:noWrap/>
            <w:hideMark/>
          </w:tcPr>
          <w:p w14:paraId="025A2EE7" w14:textId="55389856" w:rsidR="00B64DD4" w:rsidRPr="00CB550A" w:rsidRDefault="00B64DD4" w:rsidP="00B64DD4">
            <w:pPr>
              <w:pStyle w:val="CETBodytext"/>
              <w:rPr>
                <w:i/>
                <w:iCs/>
              </w:rPr>
            </w:pPr>
            <w:r w:rsidRPr="00CB550A">
              <w:rPr>
                <w:i/>
                <w:iCs/>
              </w:rPr>
              <w:t xml:space="preserve"> </w:t>
            </w:r>
            <w:r w:rsidR="00CB550A" w:rsidRPr="00CD289F">
              <w:t xml:space="preserve">Process Safety Total Score </w:t>
            </w:r>
            <w:r w:rsidRPr="00CB550A">
              <w:rPr>
                <w:i/>
                <w:iCs/>
              </w:rPr>
              <w:t>(PSTS)</w:t>
            </w:r>
          </w:p>
        </w:tc>
        <w:tc>
          <w:tcPr>
            <w:tcW w:w="2000" w:type="dxa"/>
            <w:noWrap/>
            <w:hideMark/>
          </w:tcPr>
          <w:p w14:paraId="58C5FB8E" w14:textId="2AA490D7" w:rsidR="00B64DD4" w:rsidRPr="0093131D" w:rsidRDefault="00B64DD4" w:rsidP="00846157">
            <w:pPr>
              <w:pStyle w:val="CETBodytext"/>
              <w:jc w:val="center"/>
              <w:rPr>
                <w:lang w:val="en-GB"/>
              </w:rPr>
            </w:pPr>
            <w:r w:rsidRPr="0093131D">
              <w:rPr>
                <w:lang w:val="en-GB"/>
              </w:rPr>
              <w:t>109</w:t>
            </w:r>
            <w:r w:rsidR="00B61F91">
              <w:rPr>
                <w:lang w:val="en-GB"/>
              </w:rPr>
              <w:t>.</w:t>
            </w:r>
            <w:r w:rsidRPr="0093131D">
              <w:rPr>
                <w:lang w:val="en-GB"/>
              </w:rPr>
              <w:t>89</w:t>
            </w:r>
          </w:p>
        </w:tc>
      </w:tr>
      <w:tr w:rsidR="00B64DD4" w:rsidRPr="00B64DD4" w14:paraId="05460B4B" w14:textId="77777777" w:rsidTr="00846157">
        <w:trPr>
          <w:trHeight w:val="288"/>
        </w:trPr>
        <w:tc>
          <w:tcPr>
            <w:tcW w:w="6520" w:type="dxa"/>
            <w:tcBorders>
              <w:bottom w:val="single" w:sz="12" w:space="0" w:color="008000"/>
            </w:tcBorders>
            <w:noWrap/>
            <w:hideMark/>
          </w:tcPr>
          <w:p w14:paraId="2AABA874" w14:textId="319678D7" w:rsidR="00B64DD4" w:rsidRPr="00B64DD4" w:rsidRDefault="00B64DD4" w:rsidP="00B64DD4">
            <w:pPr>
              <w:pStyle w:val="CETBodytext"/>
              <w:rPr>
                <w:b/>
                <w:bCs/>
                <w:lang w:val="en-GB"/>
              </w:rPr>
            </w:pPr>
            <w:r w:rsidRPr="00B64DD4">
              <w:rPr>
                <w:b/>
                <w:bCs/>
                <w:lang w:val="en-GB"/>
              </w:rPr>
              <w:t xml:space="preserve"> Total </w:t>
            </w:r>
            <w:proofErr w:type="spellStart"/>
            <w:r w:rsidRPr="00B64DD4">
              <w:rPr>
                <w:b/>
                <w:bCs/>
                <w:lang w:val="en-GB"/>
              </w:rPr>
              <w:t>NuDIST</w:t>
            </w:r>
            <w:proofErr w:type="spellEnd"/>
            <w:r w:rsidR="00CB550A">
              <w:rPr>
                <w:b/>
                <w:bCs/>
                <w:lang w:val="en-GB"/>
              </w:rPr>
              <w:t xml:space="preserve"> score</w:t>
            </w:r>
          </w:p>
        </w:tc>
        <w:tc>
          <w:tcPr>
            <w:tcW w:w="2000" w:type="dxa"/>
            <w:tcBorders>
              <w:bottom w:val="single" w:sz="12" w:space="0" w:color="008000"/>
            </w:tcBorders>
            <w:noWrap/>
            <w:hideMark/>
          </w:tcPr>
          <w:p w14:paraId="166A40D6" w14:textId="710044DC" w:rsidR="00B64DD4" w:rsidRPr="00B64DD4" w:rsidRDefault="00B61F91" w:rsidP="00846157">
            <w:pPr>
              <w:pStyle w:val="CETBodytext"/>
              <w:jc w:val="center"/>
              <w:rPr>
                <w:b/>
                <w:bCs/>
                <w:lang w:val="en-GB"/>
              </w:rPr>
            </w:pPr>
            <w:r>
              <w:rPr>
                <w:b/>
                <w:bCs/>
                <w:lang w:val="en-GB"/>
              </w:rPr>
              <w:t>333</w:t>
            </w:r>
            <w:r w:rsidR="0093131D">
              <w:rPr>
                <w:b/>
                <w:bCs/>
                <w:lang w:val="en-GB"/>
              </w:rPr>
              <w:t>.</w:t>
            </w:r>
            <w:r>
              <w:rPr>
                <w:b/>
                <w:bCs/>
                <w:lang w:val="en-GB"/>
              </w:rPr>
              <w:t>97</w:t>
            </w:r>
          </w:p>
        </w:tc>
      </w:tr>
    </w:tbl>
    <w:p w14:paraId="53FE3D00" w14:textId="77777777" w:rsidR="00464866" w:rsidRDefault="00464866" w:rsidP="00DA1961">
      <w:pPr>
        <w:pStyle w:val="CETBodytext"/>
      </w:pPr>
    </w:p>
    <w:p w14:paraId="0097D991" w14:textId="6FB2FFD3" w:rsidR="00464866" w:rsidRDefault="005F3366" w:rsidP="005F3366">
      <w:pPr>
        <w:pStyle w:val="CETBodytext"/>
      </w:pPr>
      <w:r>
        <w:t xml:space="preserve">In the literature, few studies have been found that apply the </w:t>
      </w:r>
      <w:proofErr w:type="spellStart"/>
      <w:r>
        <w:t>NuDIST</w:t>
      </w:r>
      <w:proofErr w:type="spellEnd"/>
      <w:r>
        <w:t xml:space="preserve"> evaluation to biorefineries. One of these was conducted by the authors </w:t>
      </w:r>
      <w:sdt>
        <w:sdtPr>
          <w:rPr>
            <w:rFonts w:cs="Arial"/>
            <w:color w:val="000000"/>
          </w:rPr>
          <w:tag w:val="MENDELEY_CITATION_v3_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"/>
          <w:id w:val="-859499341"/>
          <w:placeholder>
            <w:docPart w:val="DefaultPlaceholder_-1854013440"/>
          </w:placeholder>
        </w:sdtPr>
        <w:sdtContent>
          <w:r w:rsidR="0011215F" w:rsidRPr="0011215F">
            <w:rPr>
              <w:rFonts w:cs="Arial"/>
              <w:color w:val="000000"/>
            </w:rPr>
            <w:t>(</w:t>
          </w:r>
          <w:proofErr w:type="spellStart"/>
          <w:r w:rsidR="0011215F" w:rsidRPr="0011215F">
            <w:rPr>
              <w:rFonts w:cs="Arial"/>
              <w:color w:val="000000"/>
            </w:rPr>
            <w:t>Zuorro</w:t>
          </w:r>
          <w:proofErr w:type="spellEnd"/>
          <w:r w:rsidR="0011215F" w:rsidRPr="0011215F">
            <w:rPr>
              <w:rFonts w:cs="Arial"/>
              <w:color w:val="000000"/>
            </w:rPr>
            <w:t xml:space="preserve"> et al., 2020)</w:t>
          </w:r>
        </w:sdtContent>
      </w:sdt>
      <w:r>
        <w:t xml:space="preserve">, in which a Shrimp Waste Valorization biorefinery was evaluated, obtaining a total </w:t>
      </w:r>
      <w:proofErr w:type="spellStart"/>
      <w:r>
        <w:t>NuDIST</w:t>
      </w:r>
      <w:proofErr w:type="spellEnd"/>
      <w:r>
        <w:t xml:space="preserve"> score of 380.2 </w:t>
      </w:r>
      <w:sdt>
        <w:sdtPr>
          <w:rPr>
            <w:rFonts w:cs="Arial"/>
            <w:color w:val="000000"/>
          </w:rPr>
          <w:tag w:val="MENDELEY_CITATION_v3_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"/>
          <w:id w:val="1773211591"/>
          <w:placeholder>
            <w:docPart w:val="DefaultPlaceholder_-1854013440"/>
          </w:placeholder>
        </w:sdtPr>
        <w:sdtContent>
          <w:r w:rsidR="0011215F" w:rsidRPr="0011215F">
            <w:rPr>
              <w:rFonts w:cs="Arial"/>
              <w:color w:val="000000"/>
            </w:rPr>
            <w:t>(Ahmad et al., 2014)</w:t>
          </w:r>
        </w:sdtContent>
      </w:sdt>
      <w:r>
        <w:t xml:space="preserve"> also applied the </w:t>
      </w:r>
      <w:proofErr w:type="spellStart"/>
      <w:r>
        <w:t>NuDIST</w:t>
      </w:r>
      <w:proofErr w:type="spellEnd"/>
      <w:r>
        <w:t xml:space="preserve"> methodology to </w:t>
      </w:r>
      <w:r w:rsidR="00522104" w:rsidRPr="00522104">
        <w:t>methyl methacrylate (MMA) manufacturing</w:t>
      </w:r>
      <w:r>
        <w:t xml:space="preserve">, for which a total </w:t>
      </w:r>
      <w:proofErr w:type="spellStart"/>
      <w:r>
        <w:t>NuDIST</w:t>
      </w:r>
      <w:proofErr w:type="spellEnd"/>
      <w:r>
        <w:t xml:space="preserve"> score of 332 was reported.</w:t>
      </w:r>
    </w:p>
    <w:p w14:paraId="37791B56" w14:textId="02CEA7F8" w:rsidR="002D054A" w:rsidRDefault="004A200F" w:rsidP="002D054A">
      <w:pPr>
        <w:pStyle w:val="CETBodytext"/>
        <w:jc w:val="center"/>
      </w:pPr>
      <w:r>
        <w:rPr>
          <w:noProof/>
        </w:rPr>
        <w:drawing>
          <wp:inline distT="0" distB="0" distL="0" distR="0" wp14:anchorId="4D0E911C" wp14:editId="7759FE03">
            <wp:extent cx="5090160" cy="2225040"/>
            <wp:effectExtent l="0" t="0" r="0" b="3810"/>
            <wp:docPr id="1997124677" name="Chart 1">
              <a:extLst xmlns:a="http://schemas.openxmlformats.org/drawingml/2006/main">
                <a:ext uri="{FF2B5EF4-FFF2-40B4-BE49-F238E27FC236}">
                  <a16:creationId xmlns:a16="http://schemas.microsoft.com/office/drawing/2014/main" id="{7BCDC64B-413A-4F53-B261-01D19E796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3F7A9E" w14:textId="377E47BD" w:rsidR="007220B3" w:rsidRPr="00DA1961" w:rsidRDefault="007220B3" w:rsidP="007220B3">
      <w:pPr>
        <w:pStyle w:val="CETCaption"/>
      </w:pPr>
      <w:r>
        <w:t>Figure 3</w:t>
      </w:r>
      <w:r w:rsidR="00FE6B96">
        <w:t xml:space="preserve">: </w:t>
      </w:r>
      <w:r w:rsidR="00612D90">
        <w:t>Comparison of</w:t>
      </w:r>
      <w:r>
        <w:t xml:space="preserve"> </w:t>
      </w:r>
      <w:proofErr w:type="spellStart"/>
      <w:r>
        <w:t>NuDIST</w:t>
      </w:r>
      <w:proofErr w:type="spellEnd"/>
      <w:r w:rsidR="00612D90">
        <w:t xml:space="preserve"> values for several pr</w:t>
      </w:r>
      <w:r>
        <w:t>ocesses.</w:t>
      </w:r>
    </w:p>
    <w:p w14:paraId="5885BBA5" w14:textId="1DBB9C0F" w:rsidR="00464866" w:rsidRPr="00D24274" w:rsidRDefault="00FE6B96" w:rsidP="00FE6B96">
      <w:pPr>
        <w:pStyle w:val="CETBodytext"/>
        <w:rPr>
          <w:b/>
        </w:rPr>
      </w:pPr>
      <w:r w:rsidRPr="00FE6B96">
        <w:t xml:space="preserve">The total </w:t>
      </w:r>
      <w:proofErr w:type="spellStart"/>
      <w:r w:rsidRPr="00FE6B96">
        <w:t>NuDIST</w:t>
      </w:r>
      <w:proofErr w:type="spellEnd"/>
      <w:r w:rsidRPr="00FE6B96">
        <w:t xml:space="preserve"> score obtained for the hard avocado waste biorefinery is close to the average values reported in the literature for similar industrial and biorefinery systems, which places the proposed process within a low to slight inherent risk category. This result suggests that, despite the multiproduct nature of the biorefinery and the involvement of several chemical transformations, the overall configuration does not present excessive safety concerns when evaluated from an inherent safety perspective. Furthermore, the process achieved an overall production yield of 78%, reflecting an adequate conversion of avocado waste into value-added products and indicating relatively low material losses throughout the process stages. This level of efficiency demonstrates that the incorporation of safety-oriented design principles, as reflected by the </w:t>
      </w:r>
      <w:proofErr w:type="spellStart"/>
      <w:r w:rsidRPr="00FE6B96">
        <w:t>NuDIST</w:t>
      </w:r>
      <w:proofErr w:type="spellEnd"/>
      <w:r w:rsidRPr="00FE6B96">
        <w:t xml:space="preserve"> evaluation, does not adversely affect process performance. On the contrary, the results highlight that a balanced integration of productivity and safety can be achieved, supporting the technical feasibility of the biorefinery while maintaining acceptable operational conditions and minimizing the likelihood of hazardous scenarios</w:t>
      </w:r>
      <w:r w:rsidR="00D73BD2" w:rsidRPr="00D24274">
        <w:t>.</w:t>
      </w:r>
    </w:p>
    <w:p w14:paraId="677EBFF0" w14:textId="5EA71D4E" w:rsidR="00600535" w:rsidRDefault="00D356D8" w:rsidP="00600535">
      <w:pPr>
        <w:pStyle w:val="CETHeading1"/>
        <w:tabs>
          <w:tab w:val="clear" w:pos="360"/>
          <w:tab w:val="right" w:pos="7100"/>
        </w:tabs>
        <w:jc w:val="both"/>
        <w:rPr>
          <w:lang w:val="en-GB"/>
        </w:rPr>
      </w:pPr>
      <w:r>
        <w:rPr>
          <w:lang w:val="en-GB"/>
        </w:rPr>
        <w:t>Conclusion</w:t>
      </w:r>
    </w:p>
    <w:p w14:paraId="46CD158E" w14:textId="3D07DE01" w:rsidR="00FE6B96" w:rsidRPr="00FE6B96" w:rsidRDefault="00FE6B96" w:rsidP="00FE6B96">
      <w:pPr>
        <w:pStyle w:val="CETBodytext"/>
      </w:pPr>
      <w:r w:rsidRPr="00FE6B96">
        <w:t>The inherent safety assessment conducted using the Numerical Descriptive Inherent Safety Technique (</w:t>
      </w:r>
      <w:proofErr w:type="spellStart"/>
      <w:r w:rsidRPr="00FE6B96">
        <w:t>NuDIST</w:t>
      </w:r>
      <w:proofErr w:type="spellEnd"/>
      <w:r w:rsidRPr="00FE6B96">
        <w:t xml:space="preserve">) demonstrated its effectiveness in systematically identifying and prioritizing the main hazards associated with a multiproduct biorefinery based on avocado hard waste from southern Colombia. The overall </w:t>
      </w:r>
      <w:proofErr w:type="spellStart"/>
      <w:r w:rsidRPr="00FE6B96">
        <w:t>NuDIST</w:t>
      </w:r>
      <w:proofErr w:type="spellEnd"/>
      <w:r w:rsidRPr="00FE6B96">
        <w:t xml:space="preserve"> score of 333.97 places the evaluated process within a moderate and acceptable risk range when </w:t>
      </w:r>
      <w:r w:rsidRPr="00FE6B96">
        <w:lastRenderedPageBreak/>
        <w:t>compared with similar industrial and biorefinery systems reported in the literature, indicating that the proposed configuration does not represent an extreme hazard to safe operation.</w:t>
      </w:r>
      <w:r>
        <w:rPr>
          <w:b/>
        </w:rPr>
        <w:t xml:space="preserve"> </w:t>
      </w:r>
      <w:r w:rsidRPr="00FE6B96">
        <w:t xml:space="preserve">The analysis revealed that chemical-related hazards dominate the overall </w:t>
      </w:r>
      <w:proofErr w:type="gramStart"/>
      <w:r w:rsidRPr="00FE6B96">
        <w:t>safety profile</w:t>
      </w:r>
      <w:proofErr w:type="gramEnd"/>
      <w:r w:rsidRPr="00FE6B96">
        <w:t xml:space="preserve"> of the biorefinery, with sulfuric acid identified as the most critical substance due to its high toxicity and reactivity. In contrast, process-related parameters such as operating temperature, pressure, and heat of reaction exhibited a comparatively lower influence on the total safety score, suggesting that the selected operating conditions are appropriate and do not significantly exacerbate inherent risks. Nevertheless, the high value obtained for the process inventory parameter highlights the need for careful material handling and inventory management, as a large fraction of the process stream may contribute to hazardous scenarios if not adequately controlled.</w:t>
      </w:r>
    </w:p>
    <w:p w14:paraId="202CFEA1" w14:textId="77777777" w:rsidR="00FE6B96" w:rsidRDefault="00FE6B96" w:rsidP="00FE6B96">
      <w:pPr>
        <w:pStyle w:val="CETBodytext"/>
        <w:rPr>
          <w:b/>
        </w:rPr>
      </w:pPr>
      <w:r w:rsidRPr="00FE6B96">
        <w:t xml:space="preserve">From a performance perspective, the biorefinery achieved an overall production yield of 78%, demonstrating that a high degree of waste valorization can be attained without compromising inherent process safety. This result supports the technical, environmental, and potential economic feasibility of integrating avocado hard waste into a cascade biorefinery framework. Moreover, the limited number of previous studies applying </w:t>
      </w:r>
      <w:proofErr w:type="spellStart"/>
      <w:r w:rsidRPr="00FE6B96">
        <w:t>NuDIST</w:t>
      </w:r>
      <w:proofErr w:type="spellEnd"/>
      <w:r w:rsidRPr="00FE6B96">
        <w:t xml:space="preserve"> to biorefineries underscores the relevance of this work in addressing an existing gap in the literature and in expanding the applicability of inherent safety assessment tools beyond conventional petrochemical processes.</w:t>
      </w:r>
      <w:r>
        <w:rPr>
          <w:b/>
        </w:rPr>
        <w:t xml:space="preserve"> T</w:t>
      </w:r>
      <w:r w:rsidRPr="00FE6B96">
        <w:t xml:space="preserve">he findings emphasize the importance of incorporating inherent safety evaluations at early design stages of agro-industrial biorefineries, as they enable the identification of critical substances and operating conditions, guide safer process design decisions, and reveal opportunities for future improvement, such as the substitution of hazardous chemicals or further process optimization. Consequently, </w:t>
      </w:r>
      <w:proofErr w:type="spellStart"/>
      <w:r w:rsidRPr="00FE6B96">
        <w:t>NuDIST</w:t>
      </w:r>
      <w:proofErr w:type="spellEnd"/>
      <w:r w:rsidRPr="00FE6B96">
        <w:t xml:space="preserve"> emerges as a practical, transparent, and robust methodology for supporting safer and more sustainable biorefinery development.</w:t>
      </w:r>
    </w:p>
    <w:p w14:paraId="405C0B67" w14:textId="22A7F349" w:rsidR="00C76FE6" w:rsidRPr="00C76FE6" w:rsidRDefault="00C76FE6" w:rsidP="00FE6B96">
      <w:pPr>
        <w:pStyle w:val="CETAcknowledgementstitle"/>
      </w:pPr>
      <w:r w:rsidRPr="00C76FE6">
        <w:t>Acknowledgments</w:t>
      </w:r>
    </w:p>
    <w:p w14:paraId="24876D8A" w14:textId="2D8E5D1A" w:rsidR="00C24AF1" w:rsidRPr="00B57B36" w:rsidRDefault="00C76FE6" w:rsidP="00600535">
      <w:pPr>
        <w:pStyle w:val="CETBodytext"/>
        <w:rPr>
          <w:lang w:val="en-GB"/>
        </w:rPr>
      </w:pPr>
      <w:r>
        <w:rPr>
          <w:lang w:val="en-GB"/>
        </w:rPr>
        <w:t>The a</w:t>
      </w:r>
      <w:r w:rsidRPr="00BF498D">
        <w:rPr>
          <w:lang w:val="en-GB"/>
        </w:rPr>
        <w:t>uthors thank the University of Cartagena and Colombian Ministry of Science, Technology and Innovation MINCIENCIAS through the project</w:t>
      </w:r>
      <w:r>
        <w:rPr>
          <w:lang w:val="en-GB"/>
        </w:rPr>
        <w:t xml:space="preserve"> “E</w:t>
      </w:r>
      <w:r w:rsidRPr="00BF498D">
        <w:rPr>
          <w:lang w:val="en-GB"/>
        </w:rPr>
        <w:t>valuation of the sustainability of a cascade biorefinery topology for the use of Hass avocado seeds cultivated in the Amazon region”, Code</w:t>
      </w:r>
      <w:r>
        <w:rPr>
          <w:lang w:val="en-GB"/>
        </w:rPr>
        <w:t xml:space="preserve"> </w:t>
      </w:r>
      <w:r w:rsidRPr="00BF498D">
        <w:rPr>
          <w:lang w:val="en-GB"/>
        </w:rPr>
        <w:t>SIGP 100307</w:t>
      </w:r>
      <w:r>
        <w:rPr>
          <w:lang w:val="en-GB"/>
        </w:rPr>
        <w:t xml:space="preserve"> and contract 442 of 2023</w:t>
      </w:r>
      <w:r w:rsidRPr="00BF498D">
        <w:rPr>
          <w:lang w:val="en-GB"/>
        </w:rPr>
        <w:t>.</w:t>
      </w:r>
    </w:p>
    <w:p w14:paraId="4F1327F8" w14:textId="2202AF5D" w:rsidR="00600535" w:rsidRPr="006B7064" w:rsidRDefault="00600535" w:rsidP="00600535">
      <w:pPr>
        <w:pStyle w:val="CETReference"/>
        <w:rPr>
          <w:lang w:val="es-CO"/>
        </w:rPr>
      </w:pPr>
      <w:proofErr w:type="spellStart"/>
      <w:r w:rsidRPr="006B7064">
        <w:rPr>
          <w:lang w:val="es-CO"/>
        </w:rPr>
        <w:t>Referen</w:t>
      </w:r>
      <w:r w:rsidR="00C76FE6" w:rsidRPr="006B7064">
        <w:rPr>
          <w:lang w:val="es-CO"/>
        </w:rPr>
        <w:t>c</w:t>
      </w:r>
      <w:r w:rsidRPr="006B7064">
        <w:rPr>
          <w:lang w:val="es-CO"/>
        </w:rPr>
        <w:t>es</w:t>
      </w:r>
      <w:proofErr w:type="spellEnd"/>
    </w:p>
    <w:sdt>
      <w:sdtPr>
        <w:rPr>
          <w:rFonts w:cs="Arial"/>
          <w:color w:val="000000"/>
        </w:rPr>
        <w:tag w:val="MENDELEY_BIBLIOGRAPHY"/>
        <w:id w:val="256726819"/>
        <w:placeholder>
          <w:docPart w:val="DefaultPlaceholder_-1854013440"/>
        </w:placeholder>
      </w:sdtPr>
      <w:sdtContent>
        <w:p w14:paraId="6CF5209B" w14:textId="77777777" w:rsidR="00790BF8" w:rsidRPr="00790BF8" w:rsidRDefault="00790BF8">
          <w:pPr>
            <w:autoSpaceDE w:val="0"/>
            <w:autoSpaceDN w:val="0"/>
            <w:ind w:hanging="480"/>
            <w:divId w:val="2073114928"/>
            <w:rPr>
              <w:rFonts w:cs="Arial"/>
              <w:color w:val="000000"/>
              <w:szCs w:val="24"/>
            </w:rPr>
          </w:pPr>
          <w:r w:rsidRPr="00790BF8">
            <w:rPr>
              <w:rFonts w:cs="Arial"/>
              <w:color w:val="000000"/>
              <w:lang w:val="es-CO"/>
            </w:rPr>
            <w:t xml:space="preserve">Aguilar-Vasquez, E. A., Rojas-Flores, S., &amp; González-Delgado, Á. D. (2025). </w:t>
          </w:r>
          <w:r w:rsidRPr="00790BF8">
            <w:rPr>
              <w:rFonts w:cs="Arial"/>
              <w:color w:val="000000"/>
            </w:rPr>
            <w:t xml:space="preserve">Inherent Safety Analysis of a Cascade Biorefinery for the Utilization of Avocado Hard Waste from the South Colombian Region. </w:t>
          </w:r>
          <w:r w:rsidRPr="00835C6D">
            <w:rPr>
              <w:rFonts w:cs="Arial"/>
              <w:color w:val="000000"/>
            </w:rPr>
            <w:t>Sustainability (Switzerland), 17</w:t>
          </w:r>
          <w:r w:rsidRPr="00790BF8">
            <w:rPr>
              <w:rFonts w:cs="Arial"/>
              <w:color w:val="000000"/>
            </w:rPr>
            <w:t>(18), 8103. https://doi.org/10.3390/SU17188103/S1</w:t>
          </w:r>
        </w:p>
        <w:p w14:paraId="12F0DE8F" w14:textId="6C6E18E9" w:rsidR="00790BF8" w:rsidRDefault="00790BF8">
          <w:pPr>
            <w:autoSpaceDE w:val="0"/>
            <w:autoSpaceDN w:val="0"/>
            <w:ind w:hanging="480"/>
            <w:divId w:val="456147104"/>
            <w:rPr>
              <w:rFonts w:cs="Arial"/>
              <w:color w:val="000000"/>
            </w:rPr>
          </w:pPr>
          <w:r w:rsidRPr="00790BF8">
            <w:rPr>
              <w:rFonts w:cs="Arial"/>
              <w:color w:val="000000"/>
            </w:rPr>
            <w:t>Ahmad, S. I., Hashim, H., &amp; Hassim, M. H. (2014). Numerical Descriptive Inherent Safety Technique (</w:t>
          </w:r>
          <w:proofErr w:type="spellStart"/>
          <w:r w:rsidRPr="00790BF8">
            <w:rPr>
              <w:rFonts w:cs="Arial"/>
              <w:color w:val="000000"/>
            </w:rPr>
            <w:t>NuDIST</w:t>
          </w:r>
          <w:proofErr w:type="spellEnd"/>
          <w:r w:rsidRPr="00790BF8">
            <w:rPr>
              <w:rFonts w:cs="Arial"/>
              <w:color w:val="000000"/>
            </w:rPr>
            <w:t xml:space="preserve">) for inherent safety assessment in petrochemical industry. </w:t>
          </w:r>
          <w:r w:rsidRPr="00D13F75">
            <w:rPr>
              <w:rFonts w:cs="Arial"/>
              <w:color w:val="000000"/>
            </w:rPr>
            <w:t xml:space="preserve">Process Safety and Environmental Protection, </w:t>
          </w:r>
          <w:r w:rsidRPr="00790BF8">
            <w:rPr>
              <w:rFonts w:cs="Arial"/>
              <w:i/>
              <w:iCs/>
              <w:color w:val="000000"/>
            </w:rPr>
            <w:t>92</w:t>
          </w:r>
          <w:r w:rsidRPr="00790BF8">
            <w:rPr>
              <w:rFonts w:cs="Arial"/>
              <w:color w:val="000000"/>
            </w:rPr>
            <w:t>(5), 379–389</w:t>
          </w:r>
          <w:r w:rsidRPr="00790BF8">
            <w:rPr>
              <w:rFonts w:cs="Arial"/>
            </w:rPr>
            <w:t xml:space="preserve">. </w:t>
          </w:r>
          <w:hyperlink r:id="rId15" w:history="1">
            <w:r w:rsidRPr="00790BF8">
              <w:rPr>
                <w:rStyle w:val="Hyperlink"/>
                <w:rFonts w:cs="Arial"/>
                <w:color w:val="auto"/>
                <w:u w:val="none"/>
              </w:rPr>
              <w:t>https://doi.org/10.1016/J.PSEP.2014.03.009</w:t>
            </w:r>
          </w:hyperlink>
        </w:p>
        <w:p w14:paraId="73142120" w14:textId="324871F7" w:rsidR="00790BF8" w:rsidRPr="00790BF8" w:rsidRDefault="00790BF8">
          <w:pPr>
            <w:autoSpaceDE w:val="0"/>
            <w:autoSpaceDN w:val="0"/>
            <w:ind w:hanging="480"/>
            <w:divId w:val="456147104"/>
            <w:rPr>
              <w:rFonts w:cs="Arial"/>
              <w:color w:val="000000"/>
            </w:rPr>
          </w:pPr>
          <w:r w:rsidRPr="00790BF8">
            <w:rPr>
              <w:rFonts w:cs="Arial"/>
              <w:color w:val="000000"/>
            </w:rPr>
            <w:t>Ahmad, S. I., Yunus, N. A., Hashim, H., &amp; Rashid, R. (2019). Inherent safety assessment of solvent alternatives for palm oil recovery. Chemical Engineering Transactions, 72, 49–54. https://doi.org/10.3303/CET1972009</w:t>
          </w:r>
        </w:p>
        <w:p w14:paraId="3D96DE5A" w14:textId="77777777" w:rsidR="00790BF8" w:rsidRPr="00790BF8" w:rsidRDefault="00790BF8">
          <w:pPr>
            <w:autoSpaceDE w:val="0"/>
            <w:autoSpaceDN w:val="0"/>
            <w:ind w:hanging="480"/>
            <w:divId w:val="1587567223"/>
            <w:rPr>
              <w:rFonts w:cs="Arial"/>
              <w:color w:val="000000"/>
            </w:rPr>
          </w:pPr>
          <w:r w:rsidRPr="00835C6D">
            <w:rPr>
              <w:rFonts w:cs="Arial"/>
              <w:color w:val="000000"/>
              <w:lang w:val="en-US"/>
            </w:rPr>
            <w:t xml:space="preserve">Alvear-Alayon, M. R., Tejeda-Lopez, L. N., &amp; Benitez, T. (2025). </w:t>
          </w:r>
          <w:r w:rsidRPr="00790BF8">
            <w:rPr>
              <w:rFonts w:cs="Arial"/>
              <w:color w:val="000000"/>
            </w:rPr>
            <w:t xml:space="preserve">Biorefineries, Reducing the Volume of Agro-industrial Waste and Generating Products with High Added Value. </w:t>
          </w:r>
          <w:r w:rsidRPr="00835C6D">
            <w:rPr>
              <w:rFonts w:cs="Arial"/>
              <w:color w:val="000000"/>
            </w:rPr>
            <w:t xml:space="preserve">Chemical Engineering Transactions, 117, </w:t>
          </w:r>
          <w:r w:rsidRPr="00790BF8">
            <w:rPr>
              <w:rFonts w:cs="Arial"/>
              <w:color w:val="000000"/>
            </w:rPr>
            <w:t>43–48. https://doi.org/10.3303/CET25117008</w:t>
          </w:r>
        </w:p>
        <w:p w14:paraId="5FDD0AB2" w14:textId="77777777" w:rsidR="00790BF8" w:rsidRPr="00835C6D" w:rsidRDefault="00790BF8">
          <w:pPr>
            <w:autoSpaceDE w:val="0"/>
            <w:autoSpaceDN w:val="0"/>
            <w:ind w:hanging="480"/>
            <w:divId w:val="617495081"/>
            <w:rPr>
              <w:rFonts w:cs="Arial"/>
              <w:color w:val="000000"/>
              <w:lang w:val="es-CO"/>
            </w:rPr>
          </w:pPr>
          <w:r w:rsidRPr="00790BF8">
            <w:rPr>
              <w:rFonts w:cs="Arial"/>
              <w:color w:val="000000"/>
            </w:rPr>
            <w:t xml:space="preserve">Dionisio, K. L., Phillips, K., Price, P. S., Grulke, C. M., Williams, A., </w:t>
          </w:r>
          <w:proofErr w:type="spellStart"/>
          <w:r w:rsidRPr="00790BF8">
            <w:rPr>
              <w:rFonts w:cs="Arial"/>
              <w:color w:val="000000"/>
            </w:rPr>
            <w:t>Biryol</w:t>
          </w:r>
          <w:proofErr w:type="spellEnd"/>
          <w:r w:rsidRPr="00790BF8">
            <w:rPr>
              <w:rFonts w:cs="Arial"/>
              <w:color w:val="000000"/>
            </w:rPr>
            <w:t xml:space="preserve">, D., Hong, T., &amp; Isaacs, K. K. (2018). Data Descriptor: The Chemical and Products Database, a resource for exposure-relevant data on chemicals in consumer products. </w:t>
          </w:r>
          <w:r w:rsidRPr="00835C6D">
            <w:rPr>
              <w:rFonts w:cs="Arial"/>
              <w:i/>
              <w:iCs/>
              <w:color w:val="000000"/>
              <w:lang w:val="es-CO"/>
            </w:rPr>
            <w:t>Scientific Data</w:t>
          </w:r>
          <w:r w:rsidRPr="00835C6D">
            <w:rPr>
              <w:rFonts w:cs="Arial"/>
              <w:color w:val="000000"/>
              <w:lang w:val="es-CO"/>
            </w:rPr>
            <w:t xml:space="preserve">, </w:t>
          </w:r>
          <w:r w:rsidRPr="00835C6D">
            <w:rPr>
              <w:rFonts w:cs="Arial"/>
              <w:i/>
              <w:iCs/>
              <w:color w:val="000000"/>
              <w:lang w:val="es-CO"/>
            </w:rPr>
            <w:t>5</w:t>
          </w:r>
          <w:r w:rsidRPr="00835C6D">
            <w:rPr>
              <w:rFonts w:cs="Arial"/>
              <w:color w:val="000000"/>
              <w:lang w:val="es-CO"/>
            </w:rPr>
            <w:t>. https://doi.org/10.1038/sdata.2018.125</w:t>
          </w:r>
        </w:p>
        <w:p w14:paraId="41FB26C7" w14:textId="77777777" w:rsidR="00790BF8" w:rsidRPr="00790BF8" w:rsidRDefault="00790BF8">
          <w:pPr>
            <w:autoSpaceDE w:val="0"/>
            <w:autoSpaceDN w:val="0"/>
            <w:ind w:hanging="480"/>
            <w:divId w:val="1730419844"/>
            <w:rPr>
              <w:rFonts w:cs="Arial"/>
              <w:color w:val="000000"/>
              <w:lang w:val="es-CO"/>
            </w:rPr>
          </w:pPr>
          <w:r w:rsidRPr="00B43FA1">
            <w:rPr>
              <w:rFonts w:cs="Arial"/>
              <w:color w:val="000000"/>
              <w:lang w:val="es-CO"/>
            </w:rPr>
            <w:t xml:space="preserve">Gaglio, R., Barbera, M., Sciurba, L., D’Amico, A., Franciosi, E., Buzzanca, C., </w:t>
          </w:r>
          <w:proofErr w:type="spellStart"/>
          <w:r w:rsidRPr="00B43FA1">
            <w:rPr>
              <w:rFonts w:cs="Arial"/>
              <w:color w:val="000000"/>
              <w:lang w:val="es-CO"/>
            </w:rPr>
            <w:t>Farina</w:t>
          </w:r>
          <w:proofErr w:type="spellEnd"/>
          <w:r w:rsidRPr="00B43FA1">
            <w:rPr>
              <w:rFonts w:cs="Arial"/>
              <w:color w:val="000000"/>
              <w:lang w:val="es-CO"/>
            </w:rPr>
            <w:t xml:space="preserve">, V., Di Stefano, V., </w:t>
          </w:r>
          <w:proofErr w:type="spellStart"/>
          <w:r w:rsidRPr="00B43FA1">
            <w:rPr>
              <w:rFonts w:cs="Arial"/>
              <w:color w:val="000000"/>
              <w:lang w:val="es-CO"/>
            </w:rPr>
            <w:t>Tinebra</w:t>
          </w:r>
          <w:proofErr w:type="spellEnd"/>
          <w:r w:rsidRPr="00B43FA1">
            <w:rPr>
              <w:rFonts w:cs="Arial"/>
              <w:color w:val="000000"/>
              <w:lang w:val="es-CO"/>
            </w:rPr>
            <w:t xml:space="preserve">, I., &amp; Settanni, L. (2026). </w:t>
          </w:r>
          <w:proofErr w:type="spellStart"/>
          <w:r w:rsidRPr="00790BF8">
            <w:rPr>
              <w:rFonts w:cs="Arial"/>
              <w:color w:val="000000"/>
            </w:rPr>
            <w:t>Valorization</w:t>
          </w:r>
          <w:proofErr w:type="spellEnd"/>
          <w:r w:rsidRPr="00790BF8">
            <w:rPr>
              <w:rFonts w:cs="Arial"/>
              <w:color w:val="000000"/>
            </w:rPr>
            <w:t xml:space="preserve"> of avocado (cv. Hass) waste powder in industrial-scale sourdough “ciabatta” bread production: Impact on microbial dynamics, quality attributes, and phenolic </w:t>
          </w:r>
          <w:proofErr w:type="spellStart"/>
          <w:r w:rsidRPr="00D13F75">
            <w:rPr>
              <w:rFonts w:cs="Arial"/>
              <w:color w:val="000000"/>
            </w:rPr>
            <w:t>bioaccessibility</w:t>
          </w:r>
          <w:proofErr w:type="spellEnd"/>
          <w:r w:rsidRPr="00D13F75">
            <w:rPr>
              <w:rFonts w:cs="Arial"/>
              <w:color w:val="000000"/>
            </w:rPr>
            <w:t xml:space="preserve">. </w:t>
          </w:r>
          <w:proofErr w:type="spellStart"/>
          <w:r w:rsidRPr="00D13F75">
            <w:rPr>
              <w:rFonts w:cs="Arial"/>
              <w:color w:val="000000"/>
              <w:lang w:val="es-CO"/>
            </w:rPr>
            <w:t>Food</w:t>
          </w:r>
          <w:proofErr w:type="spellEnd"/>
          <w:r w:rsidRPr="00D13F75">
            <w:rPr>
              <w:rFonts w:cs="Arial"/>
              <w:color w:val="000000"/>
              <w:lang w:val="es-CO"/>
            </w:rPr>
            <w:t xml:space="preserve"> </w:t>
          </w:r>
          <w:proofErr w:type="spellStart"/>
          <w:r w:rsidRPr="00D13F75">
            <w:rPr>
              <w:rFonts w:cs="Arial"/>
              <w:color w:val="000000"/>
              <w:lang w:val="es-CO"/>
            </w:rPr>
            <w:t>Research</w:t>
          </w:r>
          <w:proofErr w:type="spellEnd"/>
          <w:r w:rsidRPr="00D13F75">
            <w:rPr>
              <w:rFonts w:cs="Arial"/>
              <w:color w:val="000000"/>
              <w:lang w:val="es-CO"/>
            </w:rPr>
            <w:t xml:space="preserve"> International, </w:t>
          </w:r>
          <w:r w:rsidRPr="00790BF8">
            <w:rPr>
              <w:rFonts w:cs="Arial"/>
              <w:i/>
              <w:iCs/>
              <w:color w:val="000000"/>
              <w:lang w:val="es-CO"/>
            </w:rPr>
            <w:t>228</w:t>
          </w:r>
          <w:r w:rsidRPr="00790BF8">
            <w:rPr>
              <w:rFonts w:cs="Arial"/>
              <w:color w:val="000000"/>
              <w:lang w:val="es-CO"/>
            </w:rPr>
            <w:t>, 118346. https://doi.org/10.1016/J.FOODRES.2026.118346</w:t>
          </w:r>
        </w:p>
        <w:p w14:paraId="5B0B6899" w14:textId="77777777" w:rsidR="00790BF8" w:rsidRPr="00790BF8" w:rsidRDefault="00790BF8">
          <w:pPr>
            <w:autoSpaceDE w:val="0"/>
            <w:autoSpaceDN w:val="0"/>
            <w:ind w:hanging="480"/>
            <w:divId w:val="496187257"/>
            <w:rPr>
              <w:rFonts w:cs="Arial"/>
              <w:color w:val="000000"/>
            </w:rPr>
          </w:pPr>
          <w:r w:rsidRPr="00790BF8">
            <w:rPr>
              <w:rFonts w:cs="Arial"/>
              <w:color w:val="000000"/>
              <w:lang w:val="es-CO"/>
            </w:rPr>
            <w:t>Valdez-</w:t>
          </w:r>
          <w:proofErr w:type="spellStart"/>
          <w:r w:rsidRPr="00790BF8">
            <w:rPr>
              <w:rFonts w:cs="Arial"/>
              <w:color w:val="000000"/>
              <w:lang w:val="es-CO"/>
            </w:rPr>
            <w:t>Valdes</w:t>
          </w:r>
          <w:proofErr w:type="spellEnd"/>
          <w:r w:rsidRPr="00790BF8">
            <w:rPr>
              <w:rFonts w:cs="Arial"/>
              <w:color w:val="000000"/>
              <w:lang w:val="es-CO"/>
            </w:rPr>
            <w:t xml:space="preserve">, S. A., Fontalvo-Morales, A. V, &amp; </w:t>
          </w:r>
          <w:proofErr w:type="spellStart"/>
          <w:r w:rsidRPr="00790BF8">
            <w:rPr>
              <w:rFonts w:cs="Arial"/>
              <w:color w:val="000000"/>
              <w:lang w:val="es-CO"/>
            </w:rPr>
            <w:t>Gonzalez</w:t>
          </w:r>
          <w:proofErr w:type="spellEnd"/>
          <w:r w:rsidRPr="00790BF8">
            <w:rPr>
              <w:rFonts w:cs="Arial"/>
              <w:color w:val="000000"/>
              <w:lang w:val="es-CO"/>
            </w:rPr>
            <w:t xml:space="preserve">-Delgado, A. D. (2025). </w:t>
          </w:r>
          <w:r w:rsidRPr="00790BF8">
            <w:rPr>
              <w:rFonts w:cs="Arial"/>
              <w:color w:val="000000"/>
            </w:rPr>
            <w:t xml:space="preserve">Technical Assessment of a Cascade Avocado Waste Biorefinery Based on Water, Energy and Product Evaluation (WEP). </w:t>
          </w:r>
          <w:r w:rsidRPr="00835C6D">
            <w:rPr>
              <w:rFonts w:cs="Arial"/>
              <w:color w:val="000000"/>
            </w:rPr>
            <w:t xml:space="preserve">Chemical Engineering Transactions, </w:t>
          </w:r>
          <w:r w:rsidRPr="00790BF8">
            <w:rPr>
              <w:rFonts w:cs="Arial"/>
              <w:i/>
              <w:iCs/>
              <w:color w:val="000000"/>
            </w:rPr>
            <w:t>119</w:t>
          </w:r>
          <w:r w:rsidRPr="00790BF8">
            <w:rPr>
              <w:rFonts w:cs="Arial"/>
              <w:color w:val="000000"/>
            </w:rPr>
            <w:t>, 277–282. https://doi.org/10.3303/CET25119047</w:t>
          </w:r>
        </w:p>
        <w:p w14:paraId="5FB89A49" w14:textId="77777777" w:rsidR="00790BF8" w:rsidRPr="00790BF8" w:rsidRDefault="00790BF8">
          <w:pPr>
            <w:autoSpaceDE w:val="0"/>
            <w:autoSpaceDN w:val="0"/>
            <w:ind w:hanging="480"/>
            <w:divId w:val="2093047079"/>
            <w:rPr>
              <w:rFonts w:cs="Arial"/>
              <w:color w:val="000000"/>
            </w:rPr>
          </w:pPr>
          <w:proofErr w:type="spellStart"/>
          <w:r w:rsidRPr="00790BF8">
            <w:rPr>
              <w:rFonts w:cs="Arial"/>
              <w:color w:val="000000"/>
            </w:rPr>
            <w:t>Zuorro</w:t>
          </w:r>
          <w:proofErr w:type="spellEnd"/>
          <w:r w:rsidRPr="00790BF8">
            <w:rPr>
              <w:rFonts w:cs="Arial"/>
              <w:color w:val="000000"/>
            </w:rPr>
            <w:t xml:space="preserve">, A., Cassiani-Cassiani, D., Meza-González, D. A., Moreno-Sader, K. A., &amp; González-Delgado, Á. D. (2020). Evaluation of shrimp waste </w:t>
          </w:r>
          <w:proofErr w:type="spellStart"/>
          <w:r w:rsidRPr="00790BF8">
            <w:rPr>
              <w:rFonts w:cs="Arial"/>
              <w:color w:val="000000"/>
            </w:rPr>
            <w:t>valorization</w:t>
          </w:r>
          <w:proofErr w:type="spellEnd"/>
          <w:r w:rsidRPr="00790BF8">
            <w:rPr>
              <w:rFonts w:cs="Arial"/>
              <w:color w:val="000000"/>
            </w:rPr>
            <w:t xml:space="preserve"> combining computer-aided simulation and numerical descriptive inherent safety technique (</w:t>
          </w:r>
          <w:proofErr w:type="spellStart"/>
          <w:r w:rsidRPr="00790BF8">
            <w:rPr>
              <w:rFonts w:cs="Arial"/>
              <w:color w:val="000000"/>
            </w:rPr>
            <w:t>NuDIST</w:t>
          </w:r>
          <w:proofErr w:type="spellEnd"/>
          <w:r w:rsidRPr="00790BF8">
            <w:rPr>
              <w:rFonts w:cs="Arial"/>
              <w:color w:val="000000"/>
            </w:rPr>
            <w:t xml:space="preserve">). </w:t>
          </w:r>
          <w:r w:rsidRPr="00835C6D">
            <w:rPr>
              <w:rFonts w:cs="Arial"/>
              <w:color w:val="000000"/>
            </w:rPr>
            <w:t>Applied Sciences (Switzerland), 10</w:t>
          </w:r>
          <w:r w:rsidRPr="00790BF8">
            <w:rPr>
              <w:rFonts w:cs="Arial"/>
              <w:color w:val="000000"/>
            </w:rPr>
            <w:t>(15). https://doi.org/10.3390/APP10155339</w:t>
          </w:r>
        </w:p>
        <w:p w14:paraId="19C4FC68" w14:textId="42F99EE2" w:rsidR="004628D2" w:rsidRDefault="00790BF8" w:rsidP="00790BF8">
          <w:pPr>
            <w:pStyle w:val="CETReferencetext"/>
          </w:pPr>
          <w:r w:rsidRPr="00790BF8">
            <w:rPr>
              <w:rFonts w:cs="Arial"/>
              <w:color w:val="000000"/>
            </w:rPr>
            <w:t> </w:t>
          </w:r>
        </w:p>
      </w:sdtContent>
    </w:sdt>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F7AB" w14:textId="77777777" w:rsidR="002E3C46" w:rsidRDefault="002E3C46" w:rsidP="004F5E36">
      <w:r>
        <w:separator/>
      </w:r>
    </w:p>
  </w:endnote>
  <w:endnote w:type="continuationSeparator" w:id="0">
    <w:p w14:paraId="4C580418" w14:textId="77777777" w:rsidR="002E3C46" w:rsidRDefault="002E3C4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6B6E" w14:textId="77777777" w:rsidR="002E3C46" w:rsidRDefault="002E3C46" w:rsidP="004F5E36">
      <w:r>
        <w:separator/>
      </w:r>
    </w:p>
  </w:footnote>
  <w:footnote w:type="continuationSeparator" w:id="0">
    <w:p w14:paraId="41A5DB31" w14:textId="77777777" w:rsidR="002E3C46" w:rsidRDefault="002E3C4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027"/>
    <w:rsid w:val="000052FB"/>
    <w:rsid w:val="00005A19"/>
    <w:rsid w:val="000117CB"/>
    <w:rsid w:val="00013CBB"/>
    <w:rsid w:val="0003148D"/>
    <w:rsid w:val="00031624"/>
    <w:rsid w:val="00031EEC"/>
    <w:rsid w:val="00046C01"/>
    <w:rsid w:val="00051566"/>
    <w:rsid w:val="00054288"/>
    <w:rsid w:val="000562A9"/>
    <w:rsid w:val="00061478"/>
    <w:rsid w:val="00062A9A"/>
    <w:rsid w:val="0006448C"/>
    <w:rsid w:val="00065058"/>
    <w:rsid w:val="00071F64"/>
    <w:rsid w:val="000725E9"/>
    <w:rsid w:val="00086C39"/>
    <w:rsid w:val="000923ED"/>
    <w:rsid w:val="000A03B2"/>
    <w:rsid w:val="000C0B4D"/>
    <w:rsid w:val="000C4F68"/>
    <w:rsid w:val="000C6AFD"/>
    <w:rsid w:val="000D0268"/>
    <w:rsid w:val="000D34BE"/>
    <w:rsid w:val="000D7700"/>
    <w:rsid w:val="000E102F"/>
    <w:rsid w:val="000E1541"/>
    <w:rsid w:val="000E313B"/>
    <w:rsid w:val="000E31B7"/>
    <w:rsid w:val="000E36F1"/>
    <w:rsid w:val="000E3A73"/>
    <w:rsid w:val="000E414A"/>
    <w:rsid w:val="000E551E"/>
    <w:rsid w:val="000F093C"/>
    <w:rsid w:val="000F787B"/>
    <w:rsid w:val="0010703F"/>
    <w:rsid w:val="0011215F"/>
    <w:rsid w:val="0012091F"/>
    <w:rsid w:val="00126BC2"/>
    <w:rsid w:val="001308B6"/>
    <w:rsid w:val="0013121F"/>
    <w:rsid w:val="00131690"/>
    <w:rsid w:val="00131FE6"/>
    <w:rsid w:val="0013263F"/>
    <w:rsid w:val="001331DF"/>
    <w:rsid w:val="001338EF"/>
    <w:rsid w:val="00133956"/>
    <w:rsid w:val="00134DE4"/>
    <w:rsid w:val="00135C78"/>
    <w:rsid w:val="0014034D"/>
    <w:rsid w:val="00144D16"/>
    <w:rsid w:val="00150E59"/>
    <w:rsid w:val="00152DE3"/>
    <w:rsid w:val="0015740A"/>
    <w:rsid w:val="00164CF9"/>
    <w:rsid w:val="001667A6"/>
    <w:rsid w:val="00166E0D"/>
    <w:rsid w:val="00172AED"/>
    <w:rsid w:val="00175697"/>
    <w:rsid w:val="001767D0"/>
    <w:rsid w:val="00183627"/>
    <w:rsid w:val="00184AD6"/>
    <w:rsid w:val="001A0BD7"/>
    <w:rsid w:val="001A4416"/>
    <w:rsid w:val="001A4AF7"/>
    <w:rsid w:val="001A707A"/>
    <w:rsid w:val="001B0349"/>
    <w:rsid w:val="001B1E93"/>
    <w:rsid w:val="001B65C1"/>
    <w:rsid w:val="001C684B"/>
    <w:rsid w:val="001D0CFB"/>
    <w:rsid w:val="001D21AF"/>
    <w:rsid w:val="001D53FC"/>
    <w:rsid w:val="001D57BD"/>
    <w:rsid w:val="001F1CF6"/>
    <w:rsid w:val="001F42A5"/>
    <w:rsid w:val="001F7B9D"/>
    <w:rsid w:val="001F7F35"/>
    <w:rsid w:val="00201C93"/>
    <w:rsid w:val="0020264C"/>
    <w:rsid w:val="00211B45"/>
    <w:rsid w:val="00215670"/>
    <w:rsid w:val="002224B4"/>
    <w:rsid w:val="002447EF"/>
    <w:rsid w:val="00251550"/>
    <w:rsid w:val="002524B7"/>
    <w:rsid w:val="00263926"/>
    <w:rsid w:val="00263B05"/>
    <w:rsid w:val="0027221A"/>
    <w:rsid w:val="00275608"/>
    <w:rsid w:val="00275B61"/>
    <w:rsid w:val="00280FAF"/>
    <w:rsid w:val="00282656"/>
    <w:rsid w:val="00296B83"/>
    <w:rsid w:val="002B4015"/>
    <w:rsid w:val="002B78CE"/>
    <w:rsid w:val="002C2FB6"/>
    <w:rsid w:val="002D054A"/>
    <w:rsid w:val="002D5F8C"/>
    <w:rsid w:val="002E3C46"/>
    <w:rsid w:val="002E5FA7"/>
    <w:rsid w:val="002F0914"/>
    <w:rsid w:val="002F0DEE"/>
    <w:rsid w:val="002F3309"/>
    <w:rsid w:val="002F7129"/>
    <w:rsid w:val="003008CE"/>
    <w:rsid w:val="003009B7"/>
    <w:rsid w:val="00300E56"/>
    <w:rsid w:val="0030152C"/>
    <w:rsid w:val="0030469C"/>
    <w:rsid w:val="003163CD"/>
    <w:rsid w:val="00321CA6"/>
    <w:rsid w:val="00323763"/>
    <w:rsid w:val="00323C5F"/>
    <w:rsid w:val="003254E6"/>
    <w:rsid w:val="00334C09"/>
    <w:rsid w:val="003546B7"/>
    <w:rsid w:val="003723D4"/>
    <w:rsid w:val="00374F0E"/>
    <w:rsid w:val="00381905"/>
    <w:rsid w:val="00384CC8"/>
    <w:rsid w:val="003871FD"/>
    <w:rsid w:val="00387D98"/>
    <w:rsid w:val="00387F04"/>
    <w:rsid w:val="003953D6"/>
    <w:rsid w:val="003A1E30"/>
    <w:rsid w:val="003A2829"/>
    <w:rsid w:val="003A3BF5"/>
    <w:rsid w:val="003A51B2"/>
    <w:rsid w:val="003A7D1C"/>
    <w:rsid w:val="003B304B"/>
    <w:rsid w:val="003B3146"/>
    <w:rsid w:val="003D78CF"/>
    <w:rsid w:val="003E086D"/>
    <w:rsid w:val="003E56E8"/>
    <w:rsid w:val="003F015E"/>
    <w:rsid w:val="003F7ACD"/>
    <w:rsid w:val="00400414"/>
    <w:rsid w:val="0041358C"/>
    <w:rsid w:val="0041446B"/>
    <w:rsid w:val="00424AF4"/>
    <w:rsid w:val="00425B11"/>
    <w:rsid w:val="00431D67"/>
    <w:rsid w:val="0044071E"/>
    <w:rsid w:val="0044329C"/>
    <w:rsid w:val="00453E24"/>
    <w:rsid w:val="00457456"/>
    <w:rsid w:val="004577FE"/>
    <w:rsid w:val="00457B9C"/>
    <w:rsid w:val="0046164A"/>
    <w:rsid w:val="004628D2"/>
    <w:rsid w:val="00462B8E"/>
    <w:rsid w:val="00462DCD"/>
    <w:rsid w:val="00464866"/>
    <w:rsid w:val="004648AD"/>
    <w:rsid w:val="004703A9"/>
    <w:rsid w:val="004760DE"/>
    <w:rsid w:val="004763D7"/>
    <w:rsid w:val="004849CD"/>
    <w:rsid w:val="004A004E"/>
    <w:rsid w:val="004A200F"/>
    <w:rsid w:val="004A24CF"/>
    <w:rsid w:val="004B1E30"/>
    <w:rsid w:val="004C0545"/>
    <w:rsid w:val="004C1111"/>
    <w:rsid w:val="004C1594"/>
    <w:rsid w:val="004C3D1D"/>
    <w:rsid w:val="004C3D84"/>
    <w:rsid w:val="004C61B6"/>
    <w:rsid w:val="004C61BA"/>
    <w:rsid w:val="004C7913"/>
    <w:rsid w:val="004D11B5"/>
    <w:rsid w:val="004D1E75"/>
    <w:rsid w:val="004D3D0F"/>
    <w:rsid w:val="004D482F"/>
    <w:rsid w:val="004E266D"/>
    <w:rsid w:val="004E4DD6"/>
    <w:rsid w:val="004F4234"/>
    <w:rsid w:val="004F5E36"/>
    <w:rsid w:val="00506EC1"/>
    <w:rsid w:val="00507B47"/>
    <w:rsid w:val="00507BEF"/>
    <w:rsid w:val="00507C28"/>
    <w:rsid w:val="00507CC9"/>
    <w:rsid w:val="005119A5"/>
    <w:rsid w:val="00522104"/>
    <w:rsid w:val="00526A6D"/>
    <w:rsid w:val="005278B7"/>
    <w:rsid w:val="00532016"/>
    <w:rsid w:val="005346C8"/>
    <w:rsid w:val="00537F1C"/>
    <w:rsid w:val="00543E7D"/>
    <w:rsid w:val="00545C41"/>
    <w:rsid w:val="00547A68"/>
    <w:rsid w:val="00550E8E"/>
    <w:rsid w:val="005530A3"/>
    <w:rsid w:val="005531C9"/>
    <w:rsid w:val="00557E00"/>
    <w:rsid w:val="00570C43"/>
    <w:rsid w:val="005728AC"/>
    <w:rsid w:val="00573BDD"/>
    <w:rsid w:val="00580FF6"/>
    <w:rsid w:val="00587229"/>
    <w:rsid w:val="005965BF"/>
    <w:rsid w:val="005B2110"/>
    <w:rsid w:val="005B3558"/>
    <w:rsid w:val="005B61E6"/>
    <w:rsid w:val="005B7E77"/>
    <w:rsid w:val="005C77E1"/>
    <w:rsid w:val="005D03AB"/>
    <w:rsid w:val="005D5EC7"/>
    <w:rsid w:val="005D668A"/>
    <w:rsid w:val="005D6A2F"/>
    <w:rsid w:val="005E1A82"/>
    <w:rsid w:val="005E53E9"/>
    <w:rsid w:val="005E794C"/>
    <w:rsid w:val="005F0A28"/>
    <w:rsid w:val="005F0E5E"/>
    <w:rsid w:val="005F3366"/>
    <w:rsid w:val="00600535"/>
    <w:rsid w:val="00607A8E"/>
    <w:rsid w:val="00610CD6"/>
    <w:rsid w:val="00612D90"/>
    <w:rsid w:val="00620DEE"/>
    <w:rsid w:val="00621F92"/>
    <w:rsid w:val="0062280A"/>
    <w:rsid w:val="00625639"/>
    <w:rsid w:val="00631B33"/>
    <w:rsid w:val="0064184D"/>
    <w:rsid w:val="006422CC"/>
    <w:rsid w:val="006459D7"/>
    <w:rsid w:val="006525AE"/>
    <w:rsid w:val="00660E3E"/>
    <w:rsid w:val="00662E74"/>
    <w:rsid w:val="00677EBB"/>
    <w:rsid w:val="00680B35"/>
    <w:rsid w:val="00680C23"/>
    <w:rsid w:val="00681460"/>
    <w:rsid w:val="00691941"/>
    <w:rsid w:val="00693766"/>
    <w:rsid w:val="006A3281"/>
    <w:rsid w:val="006B4888"/>
    <w:rsid w:val="006B4BCC"/>
    <w:rsid w:val="006B7064"/>
    <w:rsid w:val="006C0002"/>
    <w:rsid w:val="006C0441"/>
    <w:rsid w:val="006C1ED2"/>
    <w:rsid w:val="006C2E45"/>
    <w:rsid w:val="006C2E49"/>
    <w:rsid w:val="006C359C"/>
    <w:rsid w:val="006C5579"/>
    <w:rsid w:val="006C73C0"/>
    <w:rsid w:val="006C7B04"/>
    <w:rsid w:val="006D6E8B"/>
    <w:rsid w:val="006E2709"/>
    <w:rsid w:val="006E33CA"/>
    <w:rsid w:val="006E737D"/>
    <w:rsid w:val="007079DF"/>
    <w:rsid w:val="00707DD1"/>
    <w:rsid w:val="00713973"/>
    <w:rsid w:val="00720A24"/>
    <w:rsid w:val="007220B3"/>
    <w:rsid w:val="00723C54"/>
    <w:rsid w:val="00727A30"/>
    <w:rsid w:val="00731570"/>
    <w:rsid w:val="007315DD"/>
    <w:rsid w:val="00732386"/>
    <w:rsid w:val="0073514D"/>
    <w:rsid w:val="007447F3"/>
    <w:rsid w:val="007532FD"/>
    <w:rsid w:val="0075444B"/>
    <w:rsid w:val="0075499F"/>
    <w:rsid w:val="007661C8"/>
    <w:rsid w:val="0077098D"/>
    <w:rsid w:val="00776BE7"/>
    <w:rsid w:val="00782AA0"/>
    <w:rsid w:val="00783E9C"/>
    <w:rsid w:val="00790BF8"/>
    <w:rsid w:val="007931FA"/>
    <w:rsid w:val="007A080B"/>
    <w:rsid w:val="007A4861"/>
    <w:rsid w:val="007A51F4"/>
    <w:rsid w:val="007A62C0"/>
    <w:rsid w:val="007A7BBA"/>
    <w:rsid w:val="007B0584"/>
    <w:rsid w:val="007B0C50"/>
    <w:rsid w:val="007B48F9"/>
    <w:rsid w:val="007C1A43"/>
    <w:rsid w:val="007D0951"/>
    <w:rsid w:val="0080013E"/>
    <w:rsid w:val="00800925"/>
    <w:rsid w:val="00813288"/>
    <w:rsid w:val="008168FC"/>
    <w:rsid w:val="00830996"/>
    <w:rsid w:val="008345F1"/>
    <w:rsid w:val="00835C6D"/>
    <w:rsid w:val="008402E6"/>
    <w:rsid w:val="008450A5"/>
    <w:rsid w:val="00846157"/>
    <w:rsid w:val="00852301"/>
    <w:rsid w:val="008579D8"/>
    <w:rsid w:val="00865B07"/>
    <w:rsid w:val="008667EA"/>
    <w:rsid w:val="0087637F"/>
    <w:rsid w:val="00876487"/>
    <w:rsid w:val="00892AD5"/>
    <w:rsid w:val="008972A1"/>
    <w:rsid w:val="0089743E"/>
    <w:rsid w:val="008A1512"/>
    <w:rsid w:val="008A1DDD"/>
    <w:rsid w:val="008A289E"/>
    <w:rsid w:val="008A6EDA"/>
    <w:rsid w:val="008C54F8"/>
    <w:rsid w:val="008D07DA"/>
    <w:rsid w:val="008D32B9"/>
    <w:rsid w:val="008D433B"/>
    <w:rsid w:val="008D4A16"/>
    <w:rsid w:val="008E566E"/>
    <w:rsid w:val="008E58F7"/>
    <w:rsid w:val="008E60C0"/>
    <w:rsid w:val="0090161A"/>
    <w:rsid w:val="00901EB6"/>
    <w:rsid w:val="009021A4"/>
    <w:rsid w:val="009023F7"/>
    <w:rsid w:val="00904C62"/>
    <w:rsid w:val="00906A7A"/>
    <w:rsid w:val="00910B45"/>
    <w:rsid w:val="00911A5C"/>
    <w:rsid w:val="00922BA8"/>
    <w:rsid w:val="009239F0"/>
    <w:rsid w:val="00924835"/>
    <w:rsid w:val="00924DAC"/>
    <w:rsid w:val="00925E70"/>
    <w:rsid w:val="00927058"/>
    <w:rsid w:val="0093131D"/>
    <w:rsid w:val="0093731D"/>
    <w:rsid w:val="00942750"/>
    <w:rsid w:val="009450CE"/>
    <w:rsid w:val="009454ED"/>
    <w:rsid w:val="009459BB"/>
    <w:rsid w:val="00947179"/>
    <w:rsid w:val="00947B40"/>
    <w:rsid w:val="0095058D"/>
    <w:rsid w:val="0095164B"/>
    <w:rsid w:val="009530E5"/>
    <w:rsid w:val="00954090"/>
    <w:rsid w:val="009573E7"/>
    <w:rsid w:val="00963E05"/>
    <w:rsid w:val="00964A45"/>
    <w:rsid w:val="00964DBC"/>
    <w:rsid w:val="009658E1"/>
    <w:rsid w:val="00967843"/>
    <w:rsid w:val="00967D54"/>
    <w:rsid w:val="00971028"/>
    <w:rsid w:val="00993B84"/>
    <w:rsid w:val="00996483"/>
    <w:rsid w:val="00996F5A"/>
    <w:rsid w:val="009B041A"/>
    <w:rsid w:val="009C37C3"/>
    <w:rsid w:val="009C5BB4"/>
    <w:rsid w:val="009C7C86"/>
    <w:rsid w:val="009D2FF7"/>
    <w:rsid w:val="009E60D7"/>
    <w:rsid w:val="009E7884"/>
    <w:rsid w:val="009E788A"/>
    <w:rsid w:val="009F0E08"/>
    <w:rsid w:val="009F4BFD"/>
    <w:rsid w:val="00A0758E"/>
    <w:rsid w:val="00A1763D"/>
    <w:rsid w:val="00A17CEC"/>
    <w:rsid w:val="00A2638F"/>
    <w:rsid w:val="00A27EF0"/>
    <w:rsid w:val="00A42361"/>
    <w:rsid w:val="00A50B20"/>
    <w:rsid w:val="00A51390"/>
    <w:rsid w:val="00A5460D"/>
    <w:rsid w:val="00A54A4E"/>
    <w:rsid w:val="00A60415"/>
    <w:rsid w:val="00A60D13"/>
    <w:rsid w:val="00A64120"/>
    <w:rsid w:val="00A64AE8"/>
    <w:rsid w:val="00A66F33"/>
    <w:rsid w:val="00A714EF"/>
    <w:rsid w:val="00A7223D"/>
    <w:rsid w:val="00A72745"/>
    <w:rsid w:val="00A76EFC"/>
    <w:rsid w:val="00A805B9"/>
    <w:rsid w:val="00A87D50"/>
    <w:rsid w:val="00A91010"/>
    <w:rsid w:val="00A93F9B"/>
    <w:rsid w:val="00A94CA9"/>
    <w:rsid w:val="00A97F29"/>
    <w:rsid w:val="00AA4AC3"/>
    <w:rsid w:val="00AA702E"/>
    <w:rsid w:val="00AA7D26"/>
    <w:rsid w:val="00AB0964"/>
    <w:rsid w:val="00AB5011"/>
    <w:rsid w:val="00AB6261"/>
    <w:rsid w:val="00AC2463"/>
    <w:rsid w:val="00AC6909"/>
    <w:rsid w:val="00AC7368"/>
    <w:rsid w:val="00AD0E4B"/>
    <w:rsid w:val="00AD16B9"/>
    <w:rsid w:val="00AE1B10"/>
    <w:rsid w:val="00AE25DB"/>
    <w:rsid w:val="00AE377D"/>
    <w:rsid w:val="00AF080F"/>
    <w:rsid w:val="00AF0EBA"/>
    <w:rsid w:val="00AF46C8"/>
    <w:rsid w:val="00B0118C"/>
    <w:rsid w:val="00B02C8A"/>
    <w:rsid w:val="00B05202"/>
    <w:rsid w:val="00B17FBD"/>
    <w:rsid w:val="00B22C7B"/>
    <w:rsid w:val="00B315A6"/>
    <w:rsid w:val="00B31813"/>
    <w:rsid w:val="00B33365"/>
    <w:rsid w:val="00B43FA1"/>
    <w:rsid w:val="00B50043"/>
    <w:rsid w:val="00B57B36"/>
    <w:rsid w:val="00B57E6F"/>
    <w:rsid w:val="00B61F91"/>
    <w:rsid w:val="00B62600"/>
    <w:rsid w:val="00B64DD4"/>
    <w:rsid w:val="00B6607C"/>
    <w:rsid w:val="00B8686D"/>
    <w:rsid w:val="00B93F69"/>
    <w:rsid w:val="00BB1DDC"/>
    <w:rsid w:val="00BC2811"/>
    <w:rsid w:val="00BC30C9"/>
    <w:rsid w:val="00BD077D"/>
    <w:rsid w:val="00BD6E2A"/>
    <w:rsid w:val="00BE307E"/>
    <w:rsid w:val="00BE3E58"/>
    <w:rsid w:val="00BE7119"/>
    <w:rsid w:val="00BF6B3E"/>
    <w:rsid w:val="00C01616"/>
    <w:rsid w:val="00C0162B"/>
    <w:rsid w:val="00C02118"/>
    <w:rsid w:val="00C068ED"/>
    <w:rsid w:val="00C06A23"/>
    <w:rsid w:val="00C16661"/>
    <w:rsid w:val="00C17E6C"/>
    <w:rsid w:val="00C22E0C"/>
    <w:rsid w:val="00C24AF1"/>
    <w:rsid w:val="00C32DB4"/>
    <w:rsid w:val="00C345B1"/>
    <w:rsid w:val="00C40142"/>
    <w:rsid w:val="00C52C3C"/>
    <w:rsid w:val="00C55BAE"/>
    <w:rsid w:val="00C57182"/>
    <w:rsid w:val="00C57863"/>
    <w:rsid w:val="00C640AF"/>
    <w:rsid w:val="00C655FD"/>
    <w:rsid w:val="00C75407"/>
    <w:rsid w:val="00C76FE6"/>
    <w:rsid w:val="00C8022F"/>
    <w:rsid w:val="00C82A8E"/>
    <w:rsid w:val="00C841C6"/>
    <w:rsid w:val="00C870A8"/>
    <w:rsid w:val="00C94434"/>
    <w:rsid w:val="00CA0D75"/>
    <w:rsid w:val="00CA0EF2"/>
    <w:rsid w:val="00CA1C95"/>
    <w:rsid w:val="00CA2312"/>
    <w:rsid w:val="00CA5A9C"/>
    <w:rsid w:val="00CB18D1"/>
    <w:rsid w:val="00CB550A"/>
    <w:rsid w:val="00CC0427"/>
    <w:rsid w:val="00CC4C20"/>
    <w:rsid w:val="00CD3517"/>
    <w:rsid w:val="00CD5FE2"/>
    <w:rsid w:val="00CE7C68"/>
    <w:rsid w:val="00D01355"/>
    <w:rsid w:val="00D02B4C"/>
    <w:rsid w:val="00D040C4"/>
    <w:rsid w:val="00D11DB8"/>
    <w:rsid w:val="00D12447"/>
    <w:rsid w:val="00D13F75"/>
    <w:rsid w:val="00D20AD1"/>
    <w:rsid w:val="00D24274"/>
    <w:rsid w:val="00D2582C"/>
    <w:rsid w:val="00D356D8"/>
    <w:rsid w:val="00D46B7E"/>
    <w:rsid w:val="00D57C84"/>
    <w:rsid w:val="00D6057D"/>
    <w:rsid w:val="00D71640"/>
    <w:rsid w:val="00D73BD2"/>
    <w:rsid w:val="00D836C5"/>
    <w:rsid w:val="00D84576"/>
    <w:rsid w:val="00D865EF"/>
    <w:rsid w:val="00D909BA"/>
    <w:rsid w:val="00DA1399"/>
    <w:rsid w:val="00DA1961"/>
    <w:rsid w:val="00DA24C6"/>
    <w:rsid w:val="00DA4D7B"/>
    <w:rsid w:val="00DB4A34"/>
    <w:rsid w:val="00DC00FE"/>
    <w:rsid w:val="00DC0357"/>
    <w:rsid w:val="00DC0E66"/>
    <w:rsid w:val="00DC1A4E"/>
    <w:rsid w:val="00DC60C6"/>
    <w:rsid w:val="00DC7612"/>
    <w:rsid w:val="00DD05EC"/>
    <w:rsid w:val="00DD271C"/>
    <w:rsid w:val="00DE264A"/>
    <w:rsid w:val="00DE706E"/>
    <w:rsid w:val="00DE70FE"/>
    <w:rsid w:val="00DE7C45"/>
    <w:rsid w:val="00DF5072"/>
    <w:rsid w:val="00E02C39"/>
    <w:rsid w:val="00E02D18"/>
    <w:rsid w:val="00E041E7"/>
    <w:rsid w:val="00E23CA1"/>
    <w:rsid w:val="00E32D04"/>
    <w:rsid w:val="00E409A8"/>
    <w:rsid w:val="00E43E18"/>
    <w:rsid w:val="00E50C12"/>
    <w:rsid w:val="00E65B91"/>
    <w:rsid w:val="00E67F4F"/>
    <w:rsid w:val="00E7209D"/>
    <w:rsid w:val="00E72EAD"/>
    <w:rsid w:val="00E77223"/>
    <w:rsid w:val="00E8528B"/>
    <w:rsid w:val="00E85B94"/>
    <w:rsid w:val="00E87529"/>
    <w:rsid w:val="00E87F0E"/>
    <w:rsid w:val="00E978D0"/>
    <w:rsid w:val="00EA3111"/>
    <w:rsid w:val="00EA4613"/>
    <w:rsid w:val="00EA7F91"/>
    <w:rsid w:val="00EB11F1"/>
    <w:rsid w:val="00EB1523"/>
    <w:rsid w:val="00EB2611"/>
    <w:rsid w:val="00EB2A4E"/>
    <w:rsid w:val="00EC0E49"/>
    <w:rsid w:val="00EC101F"/>
    <w:rsid w:val="00EC1D9F"/>
    <w:rsid w:val="00EC7609"/>
    <w:rsid w:val="00EE0131"/>
    <w:rsid w:val="00EE0726"/>
    <w:rsid w:val="00EE17B0"/>
    <w:rsid w:val="00EF0414"/>
    <w:rsid w:val="00EF06D9"/>
    <w:rsid w:val="00F03520"/>
    <w:rsid w:val="00F06B8B"/>
    <w:rsid w:val="00F167FA"/>
    <w:rsid w:val="00F25368"/>
    <w:rsid w:val="00F258D8"/>
    <w:rsid w:val="00F27CF2"/>
    <w:rsid w:val="00F3049E"/>
    <w:rsid w:val="00F30C64"/>
    <w:rsid w:val="00F32BA2"/>
    <w:rsid w:val="00F32CDB"/>
    <w:rsid w:val="00F565FE"/>
    <w:rsid w:val="00F61778"/>
    <w:rsid w:val="00F63A70"/>
    <w:rsid w:val="00F63D8C"/>
    <w:rsid w:val="00F66807"/>
    <w:rsid w:val="00F71D4C"/>
    <w:rsid w:val="00F74F68"/>
    <w:rsid w:val="00F7534E"/>
    <w:rsid w:val="00F93EDF"/>
    <w:rsid w:val="00F94B17"/>
    <w:rsid w:val="00FA1802"/>
    <w:rsid w:val="00FA1869"/>
    <w:rsid w:val="00FA21D0"/>
    <w:rsid w:val="00FA5F5F"/>
    <w:rsid w:val="00FB3BFE"/>
    <w:rsid w:val="00FB730C"/>
    <w:rsid w:val="00FC2695"/>
    <w:rsid w:val="00FC3AA5"/>
    <w:rsid w:val="00FC3E03"/>
    <w:rsid w:val="00FC3FC1"/>
    <w:rsid w:val="00FC5A89"/>
    <w:rsid w:val="00FD0000"/>
    <w:rsid w:val="00FE57D0"/>
    <w:rsid w:val="00FE6B96"/>
    <w:rsid w:val="00FE7FE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AF080F"/>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C16661"/>
    <w:rPr>
      <w:color w:val="605E5C"/>
      <w:shd w:val="clear" w:color="auto" w:fill="E1DFDD"/>
    </w:rPr>
  </w:style>
  <w:style w:type="character" w:styleId="PlaceholderText">
    <w:name w:val="Placeholder Text"/>
    <w:basedOn w:val="DefaultParagraphFont"/>
    <w:uiPriority w:val="99"/>
    <w:semiHidden/>
    <w:rsid w:val="00FE7F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84">
      <w:marLeft w:val="480"/>
      <w:marRight w:val="0"/>
      <w:marTop w:val="0"/>
      <w:marBottom w:val="0"/>
      <w:divBdr>
        <w:top w:val="none" w:sz="0" w:space="0" w:color="auto"/>
        <w:left w:val="none" w:sz="0" w:space="0" w:color="auto"/>
        <w:bottom w:val="none" w:sz="0" w:space="0" w:color="auto"/>
        <w:right w:val="none" w:sz="0" w:space="0" w:color="auto"/>
      </w:divBdr>
    </w:div>
    <w:div w:id="116720858">
      <w:marLeft w:val="480"/>
      <w:marRight w:val="0"/>
      <w:marTop w:val="0"/>
      <w:marBottom w:val="0"/>
      <w:divBdr>
        <w:top w:val="none" w:sz="0" w:space="0" w:color="auto"/>
        <w:left w:val="none" w:sz="0" w:space="0" w:color="auto"/>
        <w:bottom w:val="none" w:sz="0" w:space="0" w:color="auto"/>
        <w:right w:val="none" w:sz="0" w:space="0" w:color="auto"/>
      </w:divBdr>
    </w:div>
    <w:div w:id="203256518">
      <w:marLeft w:val="480"/>
      <w:marRight w:val="0"/>
      <w:marTop w:val="0"/>
      <w:marBottom w:val="0"/>
      <w:divBdr>
        <w:top w:val="none" w:sz="0" w:space="0" w:color="auto"/>
        <w:left w:val="none" w:sz="0" w:space="0" w:color="auto"/>
        <w:bottom w:val="none" w:sz="0" w:space="0" w:color="auto"/>
        <w:right w:val="none" w:sz="0" w:space="0" w:color="auto"/>
      </w:divBdr>
    </w:div>
    <w:div w:id="237981276">
      <w:marLeft w:val="480"/>
      <w:marRight w:val="0"/>
      <w:marTop w:val="0"/>
      <w:marBottom w:val="0"/>
      <w:divBdr>
        <w:top w:val="none" w:sz="0" w:space="0" w:color="auto"/>
        <w:left w:val="none" w:sz="0" w:space="0" w:color="auto"/>
        <w:bottom w:val="none" w:sz="0" w:space="0" w:color="auto"/>
        <w:right w:val="none" w:sz="0" w:space="0" w:color="auto"/>
      </w:divBdr>
    </w:div>
    <w:div w:id="241183349">
      <w:marLeft w:val="480"/>
      <w:marRight w:val="0"/>
      <w:marTop w:val="0"/>
      <w:marBottom w:val="0"/>
      <w:divBdr>
        <w:top w:val="none" w:sz="0" w:space="0" w:color="auto"/>
        <w:left w:val="none" w:sz="0" w:space="0" w:color="auto"/>
        <w:bottom w:val="none" w:sz="0" w:space="0" w:color="auto"/>
        <w:right w:val="none" w:sz="0" w:space="0" w:color="auto"/>
      </w:divBdr>
    </w:div>
    <w:div w:id="254747703">
      <w:marLeft w:val="480"/>
      <w:marRight w:val="0"/>
      <w:marTop w:val="0"/>
      <w:marBottom w:val="0"/>
      <w:divBdr>
        <w:top w:val="none" w:sz="0" w:space="0" w:color="auto"/>
        <w:left w:val="none" w:sz="0" w:space="0" w:color="auto"/>
        <w:bottom w:val="none" w:sz="0" w:space="0" w:color="auto"/>
        <w:right w:val="none" w:sz="0" w:space="0" w:color="auto"/>
      </w:divBdr>
    </w:div>
    <w:div w:id="268123831">
      <w:marLeft w:val="480"/>
      <w:marRight w:val="0"/>
      <w:marTop w:val="0"/>
      <w:marBottom w:val="0"/>
      <w:divBdr>
        <w:top w:val="none" w:sz="0" w:space="0" w:color="auto"/>
        <w:left w:val="none" w:sz="0" w:space="0" w:color="auto"/>
        <w:bottom w:val="none" w:sz="0" w:space="0" w:color="auto"/>
        <w:right w:val="none" w:sz="0" w:space="0" w:color="auto"/>
      </w:divBdr>
    </w:div>
    <w:div w:id="456147104">
      <w:marLeft w:val="480"/>
      <w:marRight w:val="0"/>
      <w:marTop w:val="0"/>
      <w:marBottom w:val="0"/>
      <w:divBdr>
        <w:top w:val="none" w:sz="0" w:space="0" w:color="auto"/>
        <w:left w:val="none" w:sz="0" w:space="0" w:color="auto"/>
        <w:bottom w:val="none" w:sz="0" w:space="0" w:color="auto"/>
        <w:right w:val="none" w:sz="0" w:space="0" w:color="auto"/>
      </w:divBdr>
    </w:div>
    <w:div w:id="478696483">
      <w:marLeft w:val="480"/>
      <w:marRight w:val="0"/>
      <w:marTop w:val="0"/>
      <w:marBottom w:val="0"/>
      <w:divBdr>
        <w:top w:val="none" w:sz="0" w:space="0" w:color="auto"/>
        <w:left w:val="none" w:sz="0" w:space="0" w:color="auto"/>
        <w:bottom w:val="none" w:sz="0" w:space="0" w:color="auto"/>
        <w:right w:val="none" w:sz="0" w:space="0" w:color="auto"/>
      </w:divBdr>
    </w:div>
    <w:div w:id="490828340">
      <w:marLeft w:val="480"/>
      <w:marRight w:val="0"/>
      <w:marTop w:val="0"/>
      <w:marBottom w:val="0"/>
      <w:divBdr>
        <w:top w:val="none" w:sz="0" w:space="0" w:color="auto"/>
        <w:left w:val="none" w:sz="0" w:space="0" w:color="auto"/>
        <w:bottom w:val="none" w:sz="0" w:space="0" w:color="auto"/>
        <w:right w:val="none" w:sz="0" w:space="0" w:color="auto"/>
      </w:divBdr>
    </w:div>
    <w:div w:id="496187257">
      <w:marLeft w:val="480"/>
      <w:marRight w:val="0"/>
      <w:marTop w:val="0"/>
      <w:marBottom w:val="0"/>
      <w:divBdr>
        <w:top w:val="none" w:sz="0" w:space="0" w:color="auto"/>
        <w:left w:val="none" w:sz="0" w:space="0" w:color="auto"/>
        <w:bottom w:val="none" w:sz="0" w:space="0" w:color="auto"/>
        <w:right w:val="none" w:sz="0" w:space="0" w:color="auto"/>
      </w:divBdr>
    </w:div>
    <w:div w:id="498545049">
      <w:marLeft w:val="480"/>
      <w:marRight w:val="0"/>
      <w:marTop w:val="0"/>
      <w:marBottom w:val="0"/>
      <w:divBdr>
        <w:top w:val="none" w:sz="0" w:space="0" w:color="auto"/>
        <w:left w:val="none" w:sz="0" w:space="0" w:color="auto"/>
        <w:bottom w:val="none" w:sz="0" w:space="0" w:color="auto"/>
        <w:right w:val="none" w:sz="0" w:space="0" w:color="auto"/>
      </w:divBdr>
    </w:div>
    <w:div w:id="529497025">
      <w:marLeft w:val="480"/>
      <w:marRight w:val="0"/>
      <w:marTop w:val="0"/>
      <w:marBottom w:val="0"/>
      <w:divBdr>
        <w:top w:val="none" w:sz="0" w:space="0" w:color="auto"/>
        <w:left w:val="none" w:sz="0" w:space="0" w:color="auto"/>
        <w:bottom w:val="none" w:sz="0" w:space="0" w:color="auto"/>
        <w:right w:val="none" w:sz="0" w:space="0" w:color="auto"/>
      </w:divBdr>
    </w:div>
    <w:div w:id="551310898">
      <w:marLeft w:val="480"/>
      <w:marRight w:val="0"/>
      <w:marTop w:val="0"/>
      <w:marBottom w:val="0"/>
      <w:divBdr>
        <w:top w:val="none" w:sz="0" w:space="0" w:color="auto"/>
        <w:left w:val="none" w:sz="0" w:space="0" w:color="auto"/>
        <w:bottom w:val="none" w:sz="0" w:space="0" w:color="auto"/>
        <w:right w:val="none" w:sz="0" w:space="0" w:color="auto"/>
      </w:divBdr>
    </w:div>
    <w:div w:id="617495081">
      <w:marLeft w:val="480"/>
      <w:marRight w:val="0"/>
      <w:marTop w:val="0"/>
      <w:marBottom w:val="0"/>
      <w:divBdr>
        <w:top w:val="none" w:sz="0" w:space="0" w:color="auto"/>
        <w:left w:val="none" w:sz="0" w:space="0" w:color="auto"/>
        <w:bottom w:val="none" w:sz="0" w:space="0" w:color="auto"/>
        <w:right w:val="none" w:sz="0" w:space="0" w:color="auto"/>
      </w:divBdr>
    </w:div>
    <w:div w:id="667250376">
      <w:marLeft w:val="480"/>
      <w:marRight w:val="0"/>
      <w:marTop w:val="0"/>
      <w:marBottom w:val="0"/>
      <w:divBdr>
        <w:top w:val="none" w:sz="0" w:space="0" w:color="auto"/>
        <w:left w:val="none" w:sz="0" w:space="0" w:color="auto"/>
        <w:bottom w:val="none" w:sz="0" w:space="0" w:color="auto"/>
        <w:right w:val="none" w:sz="0" w:space="0" w:color="auto"/>
      </w:divBdr>
    </w:div>
    <w:div w:id="719472705">
      <w:marLeft w:val="480"/>
      <w:marRight w:val="0"/>
      <w:marTop w:val="0"/>
      <w:marBottom w:val="0"/>
      <w:divBdr>
        <w:top w:val="none" w:sz="0" w:space="0" w:color="auto"/>
        <w:left w:val="none" w:sz="0" w:space="0" w:color="auto"/>
        <w:bottom w:val="none" w:sz="0" w:space="0" w:color="auto"/>
        <w:right w:val="none" w:sz="0" w:space="0" w:color="auto"/>
      </w:divBdr>
    </w:div>
    <w:div w:id="725687723">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8135">
      <w:marLeft w:val="480"/>
      <w:marRight w:val="0"/>
      <w:marTop w:val="0"/>
      <w:marBottom w:val="0"/>
      <w:divBdr>
        <w:top w:val="none" w:sz="0" w:space="0" w:color="auto"/>
        <w:left w:val="none" w:sz="0" w:space="0" w:color="auto"/>
        <w:bottom w:val="none" w:sz="0" w:space="0" w:color="auto"/>
        <w:right w:val="none" w:sz="0" w:space="0" w:color="auto"/>
      </w:divBdr>
    </w:div>
    <w:div w:id="855801719">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837986">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4355">
      <w:marLeft w:val="480"/>
      <w:marRight w:val="0"/>
      <w:marTop w:val="0"/>
      <w:marBottom w:val="0"/>
      <w:divBdr>
        <w:top w:val="none" w:sz="0" w:space="0" w:color="auto"/>
        <w:left w:val="none" w:sz="0" w:space="0" w:color="auto"/>
        <w:bottom w:val="none" w:sz="0" w:space="0" w:color="auto"/>
        <w:right w:val="none" w:sz="0" w:space="0" w:color="auto"/>
      </w:divBdr>
    </w:div>
    <w:div w:id="1130778979">
      <w:marLeft w:val="480"/>
      <w:marRight w:val="0"/>
      <w:marTop w:val="0"/>
      <w:marBottom w:val="0"/>
      <w:divBdr>
        <w:top w:val="none" w:sz="0" w:space="0" w:color="auto"/>
        <w:left w:val="none" w:sz="0" w:space="0" w:color="auto"/>
        <w:bottom w:val="none" w:sz="0" w:space="0" w:color="auto"/>
        <w:right w:val="none" w:sz="0" w:space="0" w:color="auto"/>
      </w:divBdr>
    </w:div>
    <w:div w:id="1151630558">
      <w:marLeft w:val="480"/>
      <w:marRight w:val="0"/>
      <w:marTop w:val="0"/>
      <w:marBottom w:val="0"/>
      <w:divBdr>
        <w:top w:val="none" w:sz="0" w:space="0" w:color="auto"/>
        <w:left w:val="none" w:sz="0" w:space="0" w:color="auto"/>
        <w:bottom w:val="none" w:sz="0" w:space="0" w:color="auto"/>
        <w:right w:val="none" w:sz="0" w:space="0" w:color="auto"/>
      </w:divBdr>
    </w:div>
    <w:div w:id="1184594864">
      <w:marLeft w:val="480"/>
      <w:marRight w:val="0"/>
      <w:marTop w:val="0"/>
      <w:marBottom w:val="0"/>
      <w:divBdr>
        <w:top w:val="none" w:sz="0" w:space="0" w:color="auto"/>
        <w:left w:val="none" w:sz="0" w:space="0" w:color="auto"/>
        <w:bottom w:val="none" w:sz="0" w:space="0" w:color="auto"/>
        <w:right w:val="none" w:sz="0" w:space="0" w:color="auto"/>
      </w:divBdr>
    </w:div>
    <w:div w:id="1286738511">
      <w:marLeft w:val="480"/>
      <w:marRight w:val="0"/>
      <w:marTop w:val="0"/>
      <w:marBottom w:val="0"/>
      <w:divBdr>
        <w:top w:val="none" w:sz="0" w:space="0" w:color="auto"/>
        <w:left w:val="none" w:sz="0" w:space="0" w:color="auto"/>
        <w:bottom w:val="none" w:sz="0" w:space="0" w:color="auto"/>
        <w:right w:val="none" w:sz="0" w:space="0" w:color="auto"/>
      </w:divBdr>
    </w:div>
    <w:div w:id="1342972430">
      <w:marLeft w:val="480"/>
      <w:marRight w:val="0"/>
      <w:marTop w:val="0"/>
      <w:marBottom w:val="0"/>
      <w:divBdr>
        <w:top w:val="none" w:sz="0" w:space="0" w:color="auto"/>
        <w:left w:val="none" w:sz="0" w:space="0" w:color="auto"/>
        <w:bottom w:val="none" w:sz="0" w:space="0" w:color="auto"/>
        <w:right w:val="none" w:sz="0" w:space="0" w:color="auto"/>
      </w:divBdr>
    </w:div>
    <w:div w:id="1354650876">
      <w:marLeft w:val="480"/>
      <w:marRight w:val="0"/>
      <w:marTop w:val="0"/>
      <w:marBottom w:val="0"/>
      <w:divBdr>
        <w:top w:val="none" w:sz="0" w:space="0" w:color="auto"/>
        <w:left w:val="none" w:sz="0" w:space="0" w:color="auto"/>
        <w:bottom w:val="none" w:sz="0" w:space="0" w:color="auto"/>
        <w:right w:val="none" w:sz="0" w:space="0" w:color="auto"/>
      </w:divBdr>
    </w:div>
    <w:div w:id="1390956169">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3572665">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87567223">
      <w:marLeft w:val="480"/>
      <w:marRight w:val="0"/>
      <w:marTop w:val="0"/>
      <w:marBottom w:val="0"/>
      <w:divBdr>
        <w:top w:val="none" w:sz="0" w:space="0" w:color="auto"/>
        <w:left w:val="none" w:sz="0" w:space="0" w:color="auto"/>
        <w:bottom w:val="none" w:sz="0" w:space="0" w:color="auto"/>
        <w:right w:val="none" w:sz="0" w:space="0" w:color="auto"/>
      </w:divBdr>
    </w:div>
    <w:div w:id="1661226411">
      <w:marLeft w:val="480"/>
      <w:marRight w:val="0"/>
      <w:marTop w:val="0"/>
      <w:marBottom w:val="0"/>
      <w:divBdr>
        <w:top w:val="none" w:sz="0" w:space="0" w:color="auto"/>
        <w:left w:val="none" w:sz="0" w:space="0" w:color="auto"/>
        <w:bottom w:val="none" w:sz="0" w:space="0" w:color="auto"/>
        <w:right w:val="none" w:sz="0" w:space="0" w:color="auto"/>
      </w:divBdr>
    </w:div>
    <w:div w:id="1669672710">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9844">
      <w:marLeft w:val="480"/>
      <w:marRight w:val="0"/>
      <w:marTop w:val="0"/>
      <w:marBottom w:val="0"/>
      <w:divBdr>
        <w:top w:val="none" w:sz="0" w:space="0" w:color="auto"/>
        <w:left w:val="none" w:sz="0" w:space="0" w:color="auto"/>
        <w:bottom w:val="none" w:sz="0" w:space="0" w:color="auto"/>
        <w:right w:val="none" w:sz="0" w:space="0" w:color="auto"/>
      </w:divBdr>
    </w:div>
    <w:div w:id="1891920491">
      <w:marLeft w:val="480"/>
      <w:marRight w:val="0"/>
      <w:marTop w:val="0"/>
      <w:marBottom w:val="0"/>
      <w:divBdr>
        <w:top w:val="none" w:sz="0" w:space="0" w:color="auto"/>
        <w:left w:val="none" w:sz="0" w:space="0" w:color="auto"/>
        <w:bottom w:val="none" w:sz="0" w:space="0" w:color="auto"/>
        <w:right w:val="none" w:sz="0" w:space="0" w:color="auto"/>
      </w:divBdr>
    </w:div>
    <w:div w:id="1965502835">
      <w:marLeft w:val="480"/>
      <w:marRight w:val="0"/>
      <w:marTop w:val="0"/>
      <w:marBottom w:val="0"/>
      <w:divBdr>
        <w:top w:val="none" w:sz="0" w:space="0" w:color="auto"/>
        <w:left w:val="none" w:sz="0" w:space="0" w:color="auto"/>
        <w:bottom w:val="none" w:sz="0" w:space="0" w:color="auto"/>
        <w:right w:val="none" w:sz="0" w:space="0" w:color="auto"/>
      </w:divBdr>
    </w:div>
    <w:div w:id="1977031142">
      <w:marLeft w:val="480"/>
      <w:marRight w:val="0"/>
      <w:marTop w:val="0"/>
      <w:marBottom w:val="0"/>
      <w:divBdr>
        <w:top w:val="none" w:sz="0" w:space="0" w:color="auto"/>
        <w:left w:val="none" w:sz="0" w:space="0" w:color="auto"/>
        <w:bottom w:val="none" w:sz="0" w:space="0" w:color="auto"/>
        <w:right w:val="none" w:sz="0" w:space="0" w:color="auto"/>
      </w:divBdr>
    </w:div>
    <w:div w:id="1982807633">
      <w:marLeft w:val="480"/>
      <w:marRight w:val="0"/>
      <w:marTop w:val="0"/>
      <w:marBottom w:val="0"/>
      <w:divBdr>
        <w:top w:val="none" w:sz="0" w:space="0" w:color="auto"/>
        <w:left w:val="none" w:sz="0" w:space="0" w:color="auto"/>
        <w:bottom w:val="none" w:sz="0" w:space="0" w:color="auto"/>
        <w:right w:val="none" w:sz="0" w:space="0" w:color="auto"/>
      </w:divBdr>
    </w:div>
    <w:div w:id="2030838106">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2073114928">
      <w:marLeft w:val="480"/>
      <w:marRight w:val="0"/>
      <w:marTop w:val="0"/>
      <w:marBottom w:val="0"/>
      <w:divBdr>
        <w:top w:val="none" w:sz="0" w:space="0" w:color="auto"/>
        <w:left w:val="none" w:sz="0" w:space="0" w:color="auto"/>
        <w:bottom w:val="none" w:sz="0" w:space="0" w:color="auto"/>
        <w:right w:val="none" w:sz="0" w:space="0" w:color="auto"/>
      </w:divBdr>
    </w:div>
    <w:div w:id="2093047079">
      <w:marLeft w:val="480"/>
      <w:marRight w:val="0"/>
      <w:marTop w:val="0"/>
      <w:marBottom w:val="0"/>
      <w:divBdr>
        <w:top w:val="none" w:sz="0" w:space="0" w:color="auto"/>
        <w:left w:val="none" w:sz="0" w:space="0" w:color="auto"/>
        <w:bottom w:val="none" w:sz="0" w:space="0" w:color="auto"/>
        <w:right w:val="none" w:sz="0" w:space="0" w:color="auto"/>
      </w:divBdr>
    </w:div>
    <w:div w:id="2110814343">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16/J.PSEP.2014.03.009" TargetMode="External"/><Relationship Id="rId10" Type="http://schemas.openxmlformats.org/officeDocument/2006/relationships/hyperlink" Target="mailto:afontalvom@unicartagena.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CSTS:</a:t>
            </a:r>
            <a:r>
              <a:rPr lang="en-US" sz="900" baseline="0">
                <a:solidFill>
                  <a:sysClr val="windowText" lastClr="000000"/>
                </a:solidFill>
                <a:latin typeface="Arial" panose="020B0604020202020204" pitchFamily="34" charset="0"/>
                <a:cs typeface="Arial" panose="020B0604020202020204" pitchFamily="34" charset="0"/>
              </a:rPr>
              <a:t> </a:t>
            </a:r>
            <a:r>
              <a:rPr lang="en-US" sz="900">
                <a:solidFill>
                  <a:sysClr val="windowText" lastClr="000000"/>
                </a:solidFill>
                <a:latin typeface="Arial" panose="020B0604020202020204" pitchFamily="34" charset="0"/>
                <a:cs typeface="Arial" panose="020B0604020202020204" pitchFamily="34" charset="0"/>
              </a:rPr>
              <a:t>224,08 Sulfuric Acid</a:t>
            </a:r>
          </a:p>
        </c:rich>
      </c:tx>
      <c:layout>
        <c:manualLayout>
          <c:xMode val="edge"/>
          <c:yMode val="edge"/>
          <c:x val="0.35837768754515442"/>
          <c:y val="6.897370879487520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Sheet1!$C$17:$C$18</c:f>
              <c:strCache>
                <c:ptCount val="2"/>
                <c:pt idx="0">
                  <c:v>224,08</c:v>
                </c:pt>
                <c:pt idx="1">
                  <c:v>Sulfuric Acid</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Sheet1!$B$20:$B$23</c:f>
              <c:strCache>
                <c:ptCount val="4"/>
                <c:pt idx="0">
                  <c:v>Flammability(SFL, max)</c:v>
                </c:pt>
                <c:pt idx="1">
                  <c:v>Explosiveness (SEXP, max)</c:v>
                </c:pt>
                <c:pt idx="2">
                  <c:v>Toxicity (STOX,max)</c:v>
                </c:pt>
                <c:pt idx="3">
                  <c:v>Reactivity (SR,max)</c:v>
                </c:pt>
              </c:strCache>
              <c:extLst/>
            </c:strRef>
          </c:cat>
          <c:val>
            <c:numRef>
              <c:f>Sheet1!$C$20:$C$23</c:f>
              <c:numCache>
                <c:formatCode>0.00</c:formatCode>
                <c:ptCount val="4"/>
                <c:pt idx="0">
                  <c:v>74.327774340354068</c:v>
                </c:pt>
                <c:pt idx="1">
                  <c:v>0</c:v>
                </c:pt>
                <c:pt idx="2">
                  <c:v>99.75050786043596</c:v>
                </c:pt>
                <c:pt idx="3">
                  <c:v>49.999667880994096</c:v>
                </c:pt>
              </c:numCache>
              <c:extLst/>
            </c:numRef>
          </c:val>
          <c:extLst>
            <c:ext xmlns:c16="http://schemas.microsoft.com/office/drawing/2014/chart" uri="{C3380CC4-5D6E-409C-BE32-E72D297353CC}">
              <c16:uniqueId val="{00000000-FFA3-41C5-BD0A-9B53C0945821}"/>
            </c:ext>
          </c:extLst>
        </c:ser>
        <c:dLbls>
          <c:showLegendKey val="0"/>
          <c:showVal val="0"/>
          <c:showCatName val="0"/>
          <c:showSerName val="0"/>
          <c:showPercent val="0"/>
          <c:showBubbleSize val="0"/>
        </c:dLbls>
        <c:gapWidth val="219"/>
        <c:overlap val="-27"/>
        <c:axId val="1573773839"/>
        <c:axId val="1573775759"/>
      </c:barChart>
      <c:catAx>
        <c:axId val="157377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73775759"/>
        <c:crosses val="autoZero"/>
        <c:auto val="1"/>
        <c:lblAlgn val="ctr"/>
        <c:lblOffset val="100"/>
        <c:noMultiLvlLbl val="0"/>
      </c:catAx>
      <c:valAx>
        <c:axId val="1573775759"/>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73773839"/>
        <c:crosses val="autoZero"/>
        <c:crossBetween val="between"/>
      </c:valAx>
      <c:spPr>
        <a:noFill/>
        <a:ln w="190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295067520022969E-2"/>
          <c:y val="5.3850420723276296E-2"/>
          <c:w val="0.62159509609343733"/>
          <c:h val="0.83258262685975726"/>
        </c:manualLayout>
      </c:layout>
      <c:barChart>
        <c:barDir val="col"/>
        <c:grouping val="clustered"/>
        <c:varyColors val="0"/>
        <c:ser>
          <c:idx val="0"/>
          <c:order val="0"/>
          <c:tx>
            <c:strRef>
              <c:f>Sheet1!$B$3</c:f>
              <c:strCache>
                <c:ptCount val="1"/>
                <c:pt idx="0">
                  <c:v>Shrimp Waste Valorization biorefinery </c:v>
                </c:pt>
              </c:strCache>
            </c:strRef>
          </c:tx>
          <c:spPr>
            <a:solidFill>
              <a:schemeClr val="tx2">
                <a:lumMod val="20000"/>
                <a:lumOff val="80000"/>
              </a:schemeClr>
            </a:solidFill>
            <a:ln>
              <a:noFill/>
            </a:ln>
            <a:effectLst/>
          </c:spPr>
          <c:invertIfNegative val="0"/>
          <c:dLbls>
            <c:dLbl>
              <c:idx val="0"/>
              <c:layout>
                <c:manualLayout>
                  <c:x val="-2.5890582611988124E-17"/>
                  <c:y val="1.9920318725099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9B-4984-B133-1AD1477872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f>
              <c:strCache>
                <c:ptCount val="1"/>
                <c:pt idx="0">
                  <c:v> Total NuDIST value</c:v>
                </c:pt>
              </c:strCache>
            </c:strRef>
          </c:cat>
          <c:val>
            <c:numRef>
              <c:f>Sheet1!$C$3</c:f>
              <c:numCache>
                <c:formatCode>0.00</c:formatCode>
                <c:ptCount val="1"/>
                <c:pt idx="0">
                  <c:v>380.2</c:v>
                </c:pt>
              </c:numCache>
            </c:numRef>
          </c:val>
          <c:extLst>
            <c:ext xmlns:c16="http://schemas.microsoft.com/office/drawing/2014/chart" uri="{C3380CC4-5D6E-409C-BE32-E72D297353CC}">
              <c16:uniqueId val="{00000000-D19B-4984-B133-1AD147787211}"/>
            </c:ext>
          </c:extLst>
        </c:ser>
        <c:ser>
          <c:idx val="1"/>
          <c:order val="1"/>
          <c:tx>
            <c:strRef>
              <c:f>Sheet1!$B$4</c:f>
              <c:strCache>
                <c:ptCount val="1"/>
                <c:pt idx="0">
                  <c:v>Methyl methacrylate (MMA) manufacturing</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f>
              <c:strCache>
                <c:ptCount val="1"/>
                <c:pt idx="0">
                  <c:v> Total NuDIST value</c:v>
                </c:pt>
              </c:strCache>
            </c:strRef>
          </c:cat>
          <c:val>
            <c:numRef>
              <c:f>Sheet1!$C$4</c:f>
              <c:numCache>
                <c:formatCode>0.00</c:formatCode>
                <c:ptCount val="1"/>
                <c:pt idx="0">
                  <c:v>332</c:v>
                </c:pt>
              </c:numCache>
            </c:numRef>
          </c:val>
          <c:extLst>
            <c:ext xmlns:c16="http://schemas.microsoft.com/office/drawing/2014/chart" uri="{C3380CC4-5D6E-409C-BE32-E72D297353CC}">
              <c16:uniqueId val="{00000001-D19B-4984-B133-1AD147787211}"/>
            </c:ext>
          </c:extLst>
        </c:ser>
        <c:ser>
          <c:idx val="2"/>
          <c:order val="2"/>
          <c:tx>
            <c:strRef>
              <c:f>Sheet1!$B$5</c:f>
              <c:strCache>
                <c:ptCount val="1"/>
                <c:pt idx="0">
                  <c:v>Biorrefinery From Avocado Hard Waste  (This process)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f>
              <c:strCache>
                <c:ptCount val="1"/>
                <c:pt idx="0">
                  <c:v> Total NuDIST value</c:v>
                </c:pt>
              </c:strCache>
            </c:strRef>
          </c:cat>
          <c:val>
            <c:numRef>
              <c:f>Sheet1!$C$5</c:f>
              <c:numCache>
                <c:formatCode>0.00</c:formatCode>
                <c:ptCount val="1"/>
                <c:pt idx="0">
                  <c:v>333.97</c:v>
                </c:pt>
              </c:numCache>
            </c:numRef>
          </c:val>
          <c:extLst>
            <c:ext xmlns:c16="http://schemas.microsoft.com/office/drawing/2014/chart" uri="{C3380CC4-5D6E-409C-BE32-E72D297353CC}">
              <c16:uniqueId val="{00000002-D19B-4984-B133-1AD147787211}"/>
            </c:ext>
          </c:extLst>
        </c:ser>
        <c:dLbls>
          <c:dLblPos val="outEnd"/>
          <c:showLegendKey val="0"/>
          <c:showVal val="1"/>
          <c:showCatName val="0"/>
          <c:showSerName val="0"/>
          <c:showPercent val="0"/>
          <c:showBubbleSize val="0"/>
        </c:dLbls>
        <c:gapWidth val="219"/>
        <c:overlap val="-27"/>
        <c:axId val="1955918560"/>
        <c:axId val="1955924800"/>
      </c:barChart>
      <c:catAx>
        <c:axId val="1955918560"/>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955924800"/>
        <c:crosses val="autoZero"/>
        <c:auto val="1"/>
        <c:lblAlgn val="ctr"/>
        <c:lblOffset val="100"/>
        <c:noMultiLvlLbl val="0"/>
      </c:catAx>
      <c:valAx>
        <c:axId val="1955924800"/>
        <c:scaling>
          <c:orientation val="minMax"/>
          <c:max val="42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s-CO"/>
          </a:p>
        </c:txPr>
        <c:crossAx val="1955918560"/>
        <c:crosses val="autoZero"/>
        <c:crossBetween val="between"/>
      </c:valAx>
      <c:spPr>
        <a:solidFill>
          <a:schemeClr val="lt1"/>
        </a:solidFill>
        <a:ln w="12700" cap="flat" cmpd="sng" algn="ctr">
          <a:solidFill>
            <a:schemeClr val="dk1"/>
          </a:solidFill>
          <a:prstDash val="solid"/>
          <a:miter lim="800000"/>
        </a:ln>
        <a:effectLst/>
      </c:spPr>
    </c:plotArea>
    <c:legend>
      <c:legendPos val="r"/>
      <c:layout>
        <c:manualLayout>
          <c:xMode val="edge"/>
          <c:yMode val="edge"/>
          <c:x val="0.71248335292771658"/>
          <c:y val="0.10970605765912725"/>
          <c:w val="0.27303305657854032"/>
          <c:h val="0.670999989543139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1FC507-8CD1-4CE5-82AF-3AF17D0604A6}"/>
      </w:docPartPr>
      <w:docPartBody>
        <w:p w:rsidR="00612D70" w:rsidRDefault="00C50D5B">
          <w:r w:rsidRPr="00077CD2">
            <w:rPr>
              <w:rStyle w:val="PlaceholderText"/>
              <w:lang w:val="it-I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5B"/>
    <w:rsid w:val="00004D91"/>
    <w:rsid w:val="00016A7F"/>
    <w:rsid w:val="000413EF"/>
    <w:rsid w:val="001B11C4"/>
    <w:rsid w:val="00275608"/>
    <w:rsid w:val="002A1C95"/>
    <w:rsid w:val="005E53E9"/>
    <w:rsid w:val="006049E1"/>
    <w:rsid w:val="0060737A"/>
    <w:rsid w:val="00612D70"/>
    <w:rsid w:val="006C2E49"/>
    <w:rsid w:val="006E33CA"/>
    <w:rsid w:val="006E4CC1"/>
    <w:rsid w:val="00A66F33"/>
    <w:rsid w:val="00BE7119"/>
    <w:rsid w:val="00C3636A"/>
    <w:rsid w:val="00C50D5B"/>
    <w:rsid w:val="00D23E79"/>
    <w:rsid w:val="00ED2C31"/>
    <w:rsid w:val="00FC43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D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923CA4-0CBB-40FA-97DB-07F69BE8EABF}">
  <we:reference id="wa104382081" version="1.55.1.0" store="es-ES" storeType="OMEX"/>
  <we:alternateReferences>
    <we:reference id="WA104382081" version="1.55.1.0" store="" storeType="OMEX"/>
  </we:alternateReferences>
  <we:properties>
    <we:property name="MENDELEY_BIBLIOGRAPHY_IS_DIRTY" value="true"/>
    <we:property name="MENDELEY_BIBLIOGRAPHY_LAST_MODIFIED" value="1774131123676"/>
    <we:property name="MENDELEY_CITATIONS" value="[{&quot;citationID&quot;:&quot;MENDELEY_CITATION_b817b851-7f14-4a21-9098-a7c5b18df1e4&quot;,&quot;properties&quot;:{&quot;noteIndex&quot;:0},&quot;isEdited&quot;:false,&quot;manualOverride&quot;:{&quot;isManuallyOverridden&quot;:false,&quot;citeprocText&quot;:&quot;(Gaglio et al., 2026)&quot;,&quot;manualOverrideText&quot;:&quot;&quot;},&quot;citationTag&quot;:&quot;MENDELEY_CITATION_v3_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&quot;,&quot;citationItems&quot;:[{&quot;id&quot;:&quot;a02db925-49e3-39f4-9fa3-b1d5e8f91f2f&quot;,&quot;itemData&quot;:{&quot;type&quot;:&quot;article-journal&quot;,&quot;id&quot;:&quot;a02db925-49e3-39f4-9fa3-b1d5e8f91f2f&quot;,&quot;title&quot;:&quot;Valorization of avocado (cv. Hass) waste powder in industrial-scale sourdough “ciabatta” bread production: Impact on microbial dynamics, quality attributes, and phenolic bioaccessibility&quot;,&quot;author&quot;:[{&quot;family&quot;:&quot;Gaglio&quot;,&quot;given&quot;:&quot;Raimondo&quot;,&quot;parse-names&quot;:false,&quot;dropping-particle&quot;:&quot;&quot;,&quot;non-dropping-particle&quot;:&quot;&quot;},{&quot;family&quot;:&quot;Barbera&quot;,&quot;given&quot;:&quot;Marcella&quot;,&quot;parse-names&quot;:false,&quot;dropping-particle&quot;:&quot;&quot;,&quot;non-dropping-particle&quot;:&quot;&quot;},{&quot;family&quot;:&quot;Sciurba&quot;,&quot;given&quot;:&quot;Lino&quot;,&quot;parse-names&quot;:false,&quot;dropping-particle&quot;:&quot;&quot;,&quot;non-dropping-particle&quot;:&quot;&quot;},{&quot;family&quot;:&quot;D'Amico&quot;,&quot;given&quot;:&quot;Angela&quot;,&quot;parse-names&quot;:false,&quot;dropping-particle&quot;:&quot;&quot;,&quot;non-dropping-particle&quot;:&quot;&quot;},{&quot;family&quot;:&quot;Franciosi&quot;,&quot;given&quot;:&quot;Elena&quot;,&quot;parse-names&quot;:false,&quot;dropping-particle&quot;:&quot;&quot;,&quot;non-dropping-particle&quot;:&quot;&quot;},{&quot;family&quot;:&quot;Buzzanca&quot;,&quot;given&quot;:&quot;Carla&quot;,&quot;parse-names&quot;:false,&quot;dropping-particle&quot;:&quot;&quot;,&quot;non-dropping-particle&quot;:&quot;&quot;},{&quot;family&quot;:&quot;Farina&quot;,&quot;given&quot;:&quot;Vittorio&quot;,&quot;parse-names&quot;:false,&quot;dropping-particle&quot;:&quot;&quot;,&quot;non-dropping-particle&quot;:&quot;&quot;},{&quot;family&quot;:&quot;Stefano&quot;,&quot;given&quot;:&quot;Vita&quot;,&quot;parse-names&quot;:false,&quot;dropping-particle&quot;:&quot;&quot;,&quot;non-dropping-particle&quot;:&quot;Di&quot;},{&quot;family&quot;:&quot;Tinebra&quot;,&quot;given&quot;:&quot;Ilenia&quot;,&quot;parse-names&quot;:false,&quot;dropping-particle&quot;:&quot;&quot;,&quot;non-dropping-particle&quot;:&quot;&quot;},{&quot;family&quot;:&quot;Settanni&quot;,&quot;given&quot;:&quot;Luca&quot;,&quot;parse-names&quot;:false,&quot;dropping-particle&quot;:&quot;&quot;,&quot;non-dropping-particle&quot;:&quot;&quot;}],&quot;container-title&quot;:&quot;Food Research International&quot;,&quot;accessed&quot;:{&quot;date-parts&quot;:[[2026,1,21]]},&quot;DOI&quot;:&quot;10.1016/J.FOODRES.2026.118346&quot;,&quot;ISSN&quot;:&quot;0963-9969&quot;,&quot;URL&quot;:&quot;https://www.sciencedirect.com/science/article/pii/S0963996926000207&quot;,&quot;issued&quot;:{&quot;date-parts&quot;:[[2026,3,31]]},&quot;page&quot;:&quot;118346&quot;,&quot;abstract&quot;:&quot;This study investigates the incorporation of avocado waste powder (AWP), derived from peel, seeds, and discarded Hass avocados, into traditional Sicilian ciabatta bread to enhance its functional properties and promote sustainable food innovation. AWP was added at 5% and 10% levels (AWP5, AWP10), and sourdough fermentation was conducted using Fructilactobacillus sanfranciscensis, Weissella cibaria, and Leuconostoc citreum. Despite the initial microbial diversity in raw ingredients, fermentation effectively selected beneficial lactic acid bacteria, with AWP addition potentially supporting their growth. Technological parameters such as weight loss, volume, and firmness remained unaffected, while AWP significantly influenced crumb structure and color. Sensory analysis revealed a different color intensity, aroma, and taste persistency in AWP added breads, though higher AWP levels introduced off-notes. Volatile organic compound profiling showed increased terpenes and sesquiterpenes in AWP breads, enhancing aromatic complexity. Phenolic compound content was determined before and after in vitro digestion (INFOGEST protocol) in fortified breads. A significant increase in phenolic content with the incorporation of AWP compared to CTR bread was observed, with further enhancement after in vitro digestion. Higher bioaccessible polyphenols, particularly in AWP10 were catechin, gallic acid, and ellagic acid. These findings highlight ciabatta bread as a promising vehicle for functional ingredients, supporting circular economy principles and the valorization of agro-industrial by-products, while maintaining or improving key quality traits.&quot;,&quot;publisher&quot;:&quot;Elsevier&quot;,&quot;volume&quot;:&quot;228&quot;,&quot;container-title-short&quot;:&quot;&quot;},&quot;isTemporary&quot;:false}]},{&quot;citationID&quot;:&quot;MENDELEY_CITATION_13074fb6-da0c-4598-9433-193c0f1f0656&quot;,&quot;properties&quot;:{&quot;noteIndex&quot;:0},&quot;isEdited&quot;:false,&quot;manualOverride&quot;:{&quot;isManuallyOverridden&quot;:true,&quot;citeprocText&quot;:&quot;(Alvear-Alayon et al., 2025)&quot;,&quot;manualOverrideText&quot;:&quot;(Alvear-Alayon et al., 2025).&quot;},&quot;citationTag&quot;:&quot;MENDELEY_CITATION_v3_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&quot;,&quot;citationItems&quot;:[{&quot;id&quot;:&quot;09a71347-1c5a-3737-be77-ccc6e70dbf8e&quot;,&quot;itemData&quot;:{&quot;type&quot;:&quot;article-journal&quot;,&quot;id&quot;:&quot;09a71347-1c5a-3737-be77-ccc6e70dbf8e&quot;,&quot;title&quot;:&quot;Biorefineries, Reducing the Volume of Agro-industrial Waste and Generating Products with High Added Value&quot;,&quot;author&quot;:[{&quot;family&quot;:&quot;Alvear-Alayon&quot;,&quot;given&quot;:&quot;M R&quot;,&quot;parse-names&quot;:false,&quot;dropping-particle&quot;:&quot;&quot;,&quot;non-dropping-particle&quot;:&quot;&quot;},{&quot;family&quot;:&quot;Tejeda-Lopez&quot;,&quot;given&quot;:&quot;L N&quot;,&quot;parse-names&quot;:false,&quot;dropping-particle&quot;:&quot;&quot;,&quot;non-dropping-particle&quot;:&quot;&quot;},{&quot;family&quot;:&quot;Benitez&quot;,&quot;given&quot;:&quot;Tejeda&quot;,&quot;parse-names&quot;:false,&quot;dropping-particle&quot;:&quot;&quot;,&quot;non-dropping-particle&quot;:&quot;&quot;}],&quot;container-title&quot;:&quot;Chemical Engineering Transactions&quot;,&quot;container-title-short&quot;:&quot;Chem. Eng. Trans.&quot;,&quot;accessed&quot;:{&quot;date-parts&quot;:[[2026,1,21]]},&quot;DOI&quot;:&quot;10.3303/CET25117008&quot;,&quot;ISBN&quot;:&quot;979-12-81206-17-5&quot;,&quot;ISSN&quot;:&quot;2283-9216&quot;,&quot;URL&quot;:&quot;www.cetjournal.it&quot;,&quot;issued&quot;:{&quot;date-parts&quot;:[[2025]]},&quot;page&quot;:&quot;43-48&quot;,&quot;volume&quot;:&quot;117&quot;},&quot;isTemporary&quot;:false}]},{&quot;citationID&quot;:&quot;MENDELEY_CITATION_a8ca0bf8-fe5c-4b72-bc95-13f1bb830e2c&quot;,&quot;properties&quot;:{&quot;noteIndex&quot;:0},&quot;isEdited&quot;:false,&quot;manualOverride&quot;:{&quot;isManuallyOverridden&quot;:false,&quot;citeprocText&quot;:&quot;(Zuorro et al., 2020)&quot;,&quot;manualOverrideText&quot;:&quot;&quot;},&quot;citationTag&quot;:&quot;MENDELEY_CITATION_v3_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&quot;,&quot;citationItems&quot;:[{&quot;id&quot;:&quot;11edf876-e32a-3ea8-8206-c2bb0735dfe4&quot;,&quot;itemData&quot;:{&quot;type&quot;:&quot;article-journal&quot;,&quot;id&quot;:&quot;11edf876-e32a-3ea8-8206-c2bb0735dfe4&quot;,&quot;title&quot;:&quot;Evaluation of shrimp waste valorization combining computer-aided simulation and numerical descriptive inherent safety technique (NuDIST)&quot;,&quot;author&quot;:[{&quot;family&quot;:&quot;Zuorro&quot;,&quot;given&quot;:&quot;Antonio&quot;,&quot;parse-names&quot;:false,&quot;dropping-particle&quot;:&quot;&quot;,&quot;non-dropping-particle&quot;:&quot;&quot;},{&quot;family&quot;:&quot;Cassiani-Cassiani&quot;,&quot;given&quot;:&quot;Daylisney&quot;,&quot;parse-names&quot;:false,&quot;dropping-particle&quot;:&quot;&quot;,&quot;non-dropping-particle&quot;:&quot;&quot;},{&quot;family&quot;:&quot;Meza-González&quot;,&quot;given&quot;:&quot;Demmy A.&quot;,&quot;parse-names&quot;:false,&quot;dropping-particle&quot;:&quot;&quot;,&quot;non-dropping-particle&quot;:&quot;&quot;},{&quot;family&quot;:&quot;Moreno-Sader&quot;,&quot;given&quot;:&quot;Kariana Andrea&quot;,&quot;parse-names&quot;:false,&quot;dropping-particle&quot;:&quot;&quot;,&quot;non-dropping-particle&quot;:&quot;&quot;},{&quot;family&quot;:&quot;González-Delgado&quot;,&quot;given&quot;:&quot;Ángel Darío&quot;,&quot;parse-names&quot;:false,&quot;dropping-particle&quot;:&quot;&quot;,&quot;non-dropping-particle&quot;:&quot;&quot;}],&quot;container-title&quot;:&quot;Applied Sciences (Switzerland)&quot;,&quot;accessed&quot;:{&quot;date-parts&quot;:[[2026,1,21]]},&quot;DOI&quot;:&quot;10.3390/APP10155339&quot;,&quot;ISSN&quot;:&quot;20763417&quot;,&quot;URL&quot;:&quot;https://www.researchgate.net/publication/343397200_Evaluation_of_Shrimp_Waste_Valorization_Combining_Computer-Aided_Simulation_and_Numerical_Descriptive_Inherent_Safety_Technique_NuDIST&quot;,&quot;issued&quot;:{&quot;date-parts&quot;:[[2020,8,1]]},&quot;abstract&quot;:&quot;Nowadays, inherently safer designs are considered as key priorities to prevent or mitigate serious incidents with devastating consequences. The need for process safety assessment during early design phases has motivated the development of several contributions related to computer-aided assessment methodologies to measure the inherent safety of chemical processes. In this work, the large-scale production of chitosan from shrimp wastes was evaluated from a process safety point of view using the numerical descriptive inherent safety technique (NuDIST). To this end, simulation of the chitosan production was performed using Aspen Plus® to obtain extended mass and energy balances. The assessment of all the chemicals involved within the process was carried out for the following safety parameters: explosivity (EXP), flammability (FL), and toxicity (TOX). The safety assessment of the process included the parameters of temperature (T), pressure (P), and heat of reaction (HR). The maximum chemical safety score was estimated in 171.01 with ethanol as the main contributor to the parameters of explosivity and flammability. The score associated with operating data was calculated at 209.20 and heat of reaction reported to be the most affecting parameter. The NuDIST score was estimated at 380.20. This NuDIST value revealed the low hazards associated with the handling of substances such as shrimp wastes, chitosan, and water, as well as the non-extreme temperature and pressure conditions. In general, the large-scale production of chitosan from shrimp shells was shown to be an inherently safe alternative of waste valorization.&quot;,&quot;publisher&quot;:&quot;MDPI AG&quot;,&quot;issue&quot;:&quot;15&quot;,&quot;volume&quot;:&quot;10&quot;,&quot;container-title-short&quot;:&quot;&quot;},&quot;isTemporary&quot;:false}]},{&quot;citationID&quot;:&quot;MENDELEY_CITATION_8e14e8e3-699a-408f-bf93-02410cbee283&quot;,&quot;properties&quot;:{&quot;noteIndex&quot;:0},&quot;isEdited&quot;:false,&quot;manualOverride&quot;:{&quot;isManuallyOverridden&quot;:false,&quot;citeprocText&quot;:&quot;(Ahmad et al., 2014)&quot;,&quot;manualOverrideText&quot;:&quot;&quot;},&quot;citationTag&quot;:&quot;MENDELEY_CITATION_v3_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&quot;,&quot;citationItems&quot;:[{&quot;id&quot;:&quot;dc5e7797-6bc3-350b-af60-7f4bb5e4b5d1&quot;,&quot;itemData&quot;:{&quot;type&quot;:&quot;article-journal&quot;,&quot;id&quot;:&quot;dc5e7797-6bc3-350b-af60-7f4bb5e4b5d1&quot;,&quot;title&quot;:&quot;Numerical Descriptive Inherent Safety Technique (NuDIST) for inherent safety assessment in petrochemical industry&quot;,&quot;author&quot;:[{&quot;family&quot;:&quot;Ahmad&quot;,&quot;given&quot;:&quot;Syaza I.&quot;,&quot;parse-names&quot;:false,&quot;dropping-particle&quot;:&quot;&quot;,&quot;non-dropping-particle&quot;:&quot;&quot;},{&quot;family&quot;:&quot;Hashim&quot;,&quot;given&quot;:&quot;Haslenda&quot;,&quot;parse-names&quot;:false,&quot;dropping-particle&quot;:&quot;&quot;,&quot;non-dropping-particle&quot;:&quot;&quot;},{&quot;family&quot;:&quot;Hassim&quot;,&quot;given&quot;:&quot;Mimi H.&quot;,&quot;parse-names&quot;:false,&quot;dropping-particle&quot;:&quot;&quot;,&quot;non-dropping-particle&quot;:&quot;&quot;}],&quot;container-title&quot;:&quot;Process Safety and Environmental Protection&quot;,&quot;accessed&quot;:{&quot;date-parts&quot;:[[2026,1,21]]},&quot;DOI&quot;:&quot;10.1016/J.PSEP.2014.03.009&quot;,&quot;ISSN&quot;:&quot;0957-5820&quot;,&quot;URL&quot;:&quot;https://www.sciencedirect.com/science/article/abs/pii/S0957582014000457&quot;,&quot;issued&quot;:{&quot;date-parts&quot;:[[2014,9,1]]},&quot;page&quot;:&quot;379-389&quot;,&quot;abstract&quot;:&quot;This paper discusses the development of a new approach of inherent safety assessments called the Numerical Descriptive Inherent Safety Technique (NuDIST). Most current methods for assessing inherent safety use an index-based method. Among the disadvantages of such methods are the use of scaling in which hazards are divided into physical or chemical properties with subjective ranges and discontinuity at the sub-range boundaries. This new technique uses numerical assessment methods, can overcome the limitations inherent in the index-based methods and provides insights into the effect of safety parameters, i.e. temperature, pressure, heat of reaction, process inventory, flammability, explosiveness, toxicity and reactivity for the petrochemical industry. The results of the assessment can be used to easily identify the safest route among several alternatives for chemical synthesis or process retrofitting in addition to, highlighting potential sources of hazards. The proposed technique was tested using the methyl methacrylate manufacturing process. This test highlights the superiority of the Numerical Descriptive Inherent Safety Technique (NuDIST) over index-based methods. The results show that among the six routes of the MMA manufacturing process, the tertiary butyl alcohol (TBA) based route has the lowest total score and is considered the safest route, whereas the ethylene via propionaldehyde (C2/PA) based route has the highest score.&quot;,&quot;publisher&quot;:&quot;Elsevier&quot;,&quot;issue&quot;:&quot;5&quot;,&quot;volume&quot;:&quot;92&quot;,&quot;container-title-short&quot;:&quot;&quot;},&quot;isTemporary&quot;:false}]},{&quot;citationID&quot;:&quot;MENDELEY_CITATION_abbe8636-0334-4468-802a-b83282beb2c7&quot;,&quot;properties&quot;:{&quot;noteIndex&quot;:0},&quot;isEdited&quot;:false,&quot;manualOverride&quot;:{&quot;isManuallyOverridden&quot;:true,&quot;citeprocText&quot;:&quot;(Editors et al., 2019)&quot;,&quot;manualOverrideText&quot;:&quot;(Shiun lim et al., (2019).&quot;},&quot;citationTag&quot;:&quot;MENDELEY_CITATION_v3_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&quot;,&quot;citationItems&quot;:[{&quot;id&quot;:&quot;b30fa99a-3210-3f38-81de-bdb8a3604fd3&quot;,&quot;itemData&quot;:{&quot;type&quot;:&quot;article-journal&quot;,&quot;id&quot;:&quot;b30fa99a-3210-3f38-81de-bdb8a3604fd3&quot;,&quot;title&quot;:&quot;Inherent Safety Assessment of Solvent Alternatives for Palm Oil Recovery&quot;,&quot;author&quot;:[{&quot;family&quot;:&quot;Editors&quot;,&quot;given&quot;:&quot;Guest&quot;,&quot;parse-names&quot;:false,&quot;dropping-particle&quot;:&quot;&quot;,&quot;non-dropping-particle&quot;:&quot;&quot;},{&quot;family&quot;:&quot;Shiun Lim&quot;,&quot;given&quot;:&quot;Jeng&quot;,&quot;parse-names&quot;:false,&quot;dropping-particle&quot;:&quot;&quot;,&quot;non-dropping-particle&quot;:&quot;&quot;},{&quot;family&quot;:&quot;Azri Mustaffa&quot;,&quot;given&quot;:&quot;Azizul&quot;,&quot;parse-names&quot;:false,&quot;dropping-particle&quot;:&quot;&quot;,&quot;non-dropping-particle&quot;:&quot;&quot;},{&quot;family&quot;:&quot;Nabila Abdul Hamid&quot;,&quot;given&quot;:&quot;Nur&quot;,&quot;parse-names&quot;:false,&quot;dropping-particle&quot;:&quot;&quot;,&quot;non-dropping-particle&quot;:&quot;&quot;},{&quot;family&quot;:&quot;Jaromír Klemeš&quot;,&quot;given&quot;:&quot;Jiří&quot;,&quot;parse-names&quot;:false,&quot;dropping-particle&quot;:&quot;&quot;,&quot;non-dropping-particle&quot;:&quot;&quot;},{&quot;family&quot;:&quot;Izyanni Ahmad&quot;,&quot;given&quot;:&quot;Syaza&quot;,&quot;parse-names&quot;:false,&quot;dropping-particle&quot;:&quot;&quot;,&quot;non-dropping-particle&quot;:&quot;&quot;},{&quot;family&quot;:&quot;Alafiza Yunus&quot;,&quot;given&quot;:&quot;Nor&quot;,&quot;parse-names&quot;:false,&quot;dropping-particle&quot;:&quot;&quot;,&quot;non-dropping-particle&quot;:&quot;&quot;},{&quot;family&quot;:&quot;Hashim&quot;,&quot;given&quot;:&quot;Haslenda&quot;,&quot;parse-names&quot;:false,&quot;dropping-particle&quot;:&quot;&quot;,&quot;non-dropping-particle&quot;:&quot;&quot;},{&quot;family&quot;:&quot;Rashid&quot;,&quot;given&quot;:&quot;Roslina&quot;,&quot;parse-names&quot;:false,&quot;dropping-particle&quot;:&quot;&quot;,&quot;non-dropping-particle&quot;:&quot;&quot;}],&quot;container-title&quot;:&quot;CHEMICAL ENGINEERING TRANSACTIONS&quot;,&quot;container-title-short&quot;:&quot;Chem. Eng. Trans.&quot;,&quot;accessed&quot;:{&quot;date-parts&quot;:[[2026,1,21]]},&quot;DOI&quot;:&quot;10.3303/CET1972009&quot;,&quot;ISBN&quot;:&quot;978-88-95608-69-3&quot;,&quot;ISSN&quot;:&quot;2283-9216&quot;,&quot;URL&quot;:&quot;www.aidic.it/cet&quot;,&quot;issued&quot;:{&quot;date-parts&quot;:[[2019]]},&quot;volume&quot;:&quot;72&quot;},&quot;isTemporary&quot;:false}]},{&quot;citationID&quot;:&quot;MENDELEY_CITATION_176bd8f6-256a-468e-a05a-aa90d4254a25&quot;,&quot;properties&quot;:{&quot;noteIndex&quot;:0},&quot;isEdited&quot;:false,&quot;manualOverride&quot;:{&quot;isManuallyOverridden&quot;:false,&quot;citeprocText&quot;:&quot;(Valdez-Valdes et al., 2025)&quot;,&quot;manualOverrideText&quot;:&quot;&quot;},&quot;citationTag&quot;:&quot;MENDELEY_CITATION_v3_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&quot;,&quot;citationItems&quot;:[{&quot;id&quot;:&quot;4cefedf8-1e5d-35a2-91b8-8808ca25265e&quot;,&quot;itemData&quot;:{&quot;type&quot;:&quot;article-journal&quot;,&quot;id&quot;:&quot;4cefedf8-1e5d-35a2-91b8-8808ca25265e&quot;,&quot;title&quot;:&quot;Technical Assessment of a Cascade Avocado Waste Biorefinery Based on Water, Energy and Product Evaluation (WEP)&quot;,&quot;author&quot;:[{&quot;family&quot;:&quot;Valdez-Valdes&quot;,&quot;given&quot;:&quot;S A&quot;,&quot;parse-names&quot;:false,&quot;dropping-particle&quot;:&quot;&quot;,&quot;non-dropping-particle&quot;:&quot;&quot;},{&quot;family&quot;:&quot;Fontalvo-Morales&quot;,&quot;given&quot;:&quot;A&quot;,&quot;parse-names&quot;:false,&quot;dropping-particle&quot;:&quot;V&quot;,&quot;non-dropping-particle&quot;:&quot;&quot;},{&quot;family&quot;:&quot;Gonzalez-Delgado&quot;,&quot;given&quot;:&quot;A D&quot;,&quot;parse-names&quot;:false,&quot;dropping-particle&quot;:&quot;&quot;,&quot;non-dropping-particle&quot;:&quot;&quot;}],&quot;container-title&quot;:&quot;Chemical Engineering Transactions&quot;,&quot;container-title-short&quot;:&quot;Chem. Eng. Trans.&quot;,&quot;accessed&quot;:{&quot;date-parts&quot;:[[2025,12,9]]},&quot;DOI&quot;:&quot;10.3303/CET25119047&quot;,&quot;ISBN&quot;:&quot;979-12-81206-20-5&quot;,&quot;ISSN&quot;:&quot;2283-9216&quot;,&quot;URL&quot;:&quot;www.cetjournal.it&quot;,&quot;issued&quot;:{&quot;date-parts&quot;:[[2025]]},&quot;page&quot;:&quot;277-282&quot;,&quot;abstract&quot;:&quot;The rising global population is driving significant changes in climate and environmental conditions, emphasizing the urgent need for sustainable practices across all sectors. This study evaluates the technical performance of a cascade biorefinery for processing avocado waste from Colombia. This waste can be transformed into value-added products such as starch and bioplastic films. The assessment was conducted using the Water-Energy-Product (WEP) framework, analyzing key metrics on water and energy consumption along with product outputs. Eight critical process parameters and eleven technical indicators were calculated. Results indicate efficient resource use, with a 61.93 % fractional water consumption and an energy-specific intensity of 89.22 MJ/t. However, challenges remain, including a 46.93 % wastewater production ratio and high energy costs (50.38 %). Scenario analysis suggests that integrating renewable energy sources and enhancing material recirculation could further optimize efficiency. These findings highlight the potential of cascade biorefineries to support circular economy principles and sustainable waste management, providing a scalable model for agricultural residue valorization.&quot;,&quot;volume&quot;:&quot;119&quot;},&quot;isTemporary&quot;:false}]},{&quot;citationID&quot;:&quot;MENDELEY_CITATION_bdce6fd6-98a8-4410-bdd5-a39a9e68c277&quot;,&quot;properties&quot;:{&quot;noteIndex&quot;:0},&quot;isEdited&quot;:false,&quot;manualOverride&quot;:{&quot;isManuallyOverridden&quot;:false,&quot;citeprocText&quot;:&quot;(Dionisio et al., 2018)&quot;,&quot;manualOverrideText&quot;:&quot;&quot;},&quot;citationTag&quot;:&quot;MENDELEY_CITATION_v3_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&quot;,&quot;citationItems&quot;:[{&quot;id&quot;:&quot;0678b302-f14a-37d4-bc40-2a15aeef8743&quot;,&quot;itemData&quot;:{&quot;type&quot;:&quot;article-journal&quot;,&quot;id&quot;:&quot;0678b302-f14a-37d4-bc40-2a15aeef8743&quot;,&quot;title&quot;:&quot;Data Descriptor: The Chemical and Products Database, a resource for exposure-relevant data on chemicals in consumer products&quot;,&quot;author&quot;:[{&quot;family&quot;:&quot;Dionisio&quot;,&quot;given&quot;:&quot;Kathie L.&quot;,&quot;parse-names&quot;:false,&quot;dropping-particle&quot;:&quot;&quot;,&quot;non-dropping-particle&quot;:&quot;&quot;},{&quot;family&quot;:&quot;Phillips&quot;,&quot;given&quot;:&quot;Katherine&quot;,&quot;parse-names&quot;:false,&quot;dropping-particle&quot;:&quot;&quot;,&quot;non-dropping-particle&quot;:&quot;&quot;},{&quot;family&quot;:&quot;Price&quot;,&quot;given&quot;:&quot;Paul S.&quot;,&quot;parse-names&quot;:false,&quot;dropping-particle&quot;:&quot;&quot;,&quot;non-dropping-particle&quot;:&quot;&quot;},{&quot;family&quot;:&quot;Grulke&quot;,&quot;given&quot;:&quot;Christopher M.&quot;,&quot;parse-names&quot;:false,&quot;dropping-particle&quot;:&quot;&quot;,&quot;non-dropping-particle&quot;:&quot;&quot;},{&quot;family&quot;:&quot;Williams&quot;,&quot;given&quot;:&quot;Antony&quot;,&quot;parse-names&quot;:false,&quot;dropping-particle&quot;:&quot;&quot;,&quot;non-dropping-particle&quot;:&quot;&quot;},{&quot;family&quot;:&quot;Biryol&quot;,&quot;given&quot;:&quot;Derya&quot;,&quot;parse-names&quot;:false,&quot;dropping-particle&quot;:&quot;&quot;,&quot;non-dropping-particle&quot;:&quot;&quot;},{&quot;family&quot;:&quot;Hong&quot;,&quot;given&quot;:&quot;Tao&quot;,&quot;parse-names&quot;:false,&quot;dropping-particle&quot;:&quot;&quot;,&quot;non-dropping-particle&quot;:&quot;&quot;},{&quot;family&quot;:&quot;Isaacs&quot;,&quot;given&quot;:&quot;Kristin K.&quot;,&quot;parse-names&quot;:false,&quot;dropping-particle&quot;:&quot;&quot;,&quot;non-dropping-particle&quot;:&quot;&quot;}],&quot;container-title&quot;:&quot;Scientific Data&quot;,&quot;container-title-short&quot;:&quot;Sci. Data&quot;,&quot;accessed&quot;:{&quot;date-parts&quot;:[[2026,3,20]]},&quot;DOI&quot;:&quot;10.1038/sdata.2018.125&quot;,&quot;ISSN&quot;:&quot;20524463&quot;,&quot;PMID&quot;:&quot;29989593&quot;,&quot;issued&quot;:{&quot;date-parts&quot;:[[2018,7,10]]},&quot;abstract&quot;:&quot;Quantitative data on product chemical composition is a necessary parameter for characterizing near-field exposure. This data set comprises reported and predicted information on more than 75,000 chemicals and more than 15,000 consumer products. The data's primary intended use is for exposure, risk, and safety assessments. The data set includes specific products with quantitative or qualitative ingredient information, which has been publicly disclosed through material safety data sheets (MSDS) and ingredient lists. A single product category from a refined and harmonized set of categories has been assigned to each product. The data set also contains information on the functional role of chemicals in products, which can inform predictions of the concentrations in which they occur. These data will be useful to exposure and risk assessors evaluating chemical and product safety.&quot;,&quot;publisher&quot;:&quot;Nature Publishing Groups&quot;,&quot;volume&quot;:&quot;5&quot;},&quot;isTemporary&quot;:false}]},{&quot;citationID&quot;:&quot;MENDELEY_CITATION_6c2de6d4-d451-44ac-bf84-2ee713cd0da8&quot;,&quot;properties&quot;:{&quot;noteIndex&quot;:0},&quot;isEdited&quot;:false,&quot;manualOverride&quot;:{&quot;isManuallyOverridden&quot;:true,&quot;citeprocText&quot;:&quot;(Aguilar-Vasquez et al., 2025)&quot;,&quot;manualOverrideText&quot;:&quot;(Aguilar-Vasquez et al., 2025).&quot;},&quot;citationTag&quot;:&quot;MENDELEY_CITATION_v3_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&quot;,&quot;citationItems&quot;:[{&quot;id&quot;:&quot;81559ca7-5168-37e8-8007-9a3182c2eef5&quot;,&quot;itemData&quot;:{&quot;type&quot;:&quot;article-journal&quot;,&quot;id&quot;:&quot;81559ca7-5168-37e8-8007-9a3182c2eef5&quot;,&quot;title&quot;:&quot;Inherent Safety Analysis of a Cascade Biorefinery for the Utilization of Avocado Hard Waste from the South Colombian Region&quot;,&quot;author&quot;:[{&quot;family&quot;:&quot;Aguilar-Vasquez&quot;,&quot;given&quot;:&quot;Eduardo Andres&quot;,&quot;parse-names&quot;:false,&quot;dropping-particle&quot;:&quot;&quot;,&quot;non-dropping-particle&quot;:&quot;&quot;},{&quot;family&quot;:&quot;Rojas-Flores&quot;,&quot;given&quot;:&quot;Segundo&quot;,&quot;parse-names&quot;:false,&quot;dropping-particle&quot;:&quot;&quot;,&quot;non-dropping-particle&quot;:&quot;&quot;},{&quot;family&quot;:&quot;González-Delgado&quot;,&quot;given&quot;:&quot;Ángel Darío&quot;,&quot;parse-names&quot;:false,&quot;dropping-particle&quot;:&quot;&quot;,&quot;non-dropping-particle&quot;:&quot;&quot;}],&quot;container-title&quot;:&quot;Sustainability (Switzerland)&quot;,&quot;accessed&quot;:{&quot;date-parts&quot;:[[2026,1,24]]},&quot;DOI&quot;:&quot;10.3390/SU17188103/S1&quot;,&quot;ISSN&quot;:&quot;20711050&quot;,&quot;URL&quot;:&quot;https://www.mdpi.com/2071-1050/17/18/8103/htm&quot;,&quot;issued&quot;:{&quot;date-parts&quot;:[[2025,9,1]]},&quot;page&quot;:&quot;8103&quot;,&quot;abstract&quot;:&quot;Cascade biorefineries have demonstrated potential due to their ability to further valorize a wide variety of waste, including agricultural residues such as avocado hard waste. The intrinsic safety aspects of these technologies have been scarcely studied. Therefore, an inherent safety analysis was applied to identify and assess the risks of an avocado cascade biorefinery in the Amazon region. Several available databases (online) were used to determine the safety data of the substances in the process, such as CameoChemicals, INCHEM, and NIOSH. Additionally, data from extended mass and energy balance (based on the literature) were collected to assess the process operating conditions. The results show that the process is slightly unsafe, with an overall inherent safety score of 25, and that it achieved a performance of 96% relative to the neutral operating point (24). Chemical risks represented the most critical challenges of the process, with a score of 16, with exothermic reactions, hazardous substances, and dangerous chemical interactions being the most significant sources of risks. On the other hand, the process safety indicator scored 9, indicating that these aspects are not a major source of risk, as the process had mostly low operating conditions (near-environment temperatures and pressures; low inventory), with equipment being the only significant risk factor. Nonetheless, the safety structure subindex for this process was 2, as no clear and recognizable risks existed (at least in the literature) for this type of scheme at the scale analyzed (small scale). This score needs to be studied to properly assess the risks in bioprocesses like cascade biorefineries. Finally, replacing acid hydrolysis with enzymatic hydrolysis, along with another method for bioactive extraction, is recommended to reduce the inherent risks.&quot;,&quot;publisher&quot;:&quot;Multidisciplinary Digital Publishing Institute (MDPI)&quot;,&quot;issue&quot;:&quot;18&quot;,&quot;volume&quot;:&quot;17&quot;,&quot;container-title-short&quot;:&quot;&quot;},&quot;isTemporary&quot;:false}]},{&quot;citationID&quot;:&quot;MENDELEY_CITATION_14c05689-a8f5-42ac-aa9a-5943fcdf622f&quot;,&quot;properties&quot;:{&quot;noteIndex&quot;:0},&quot;isEdited&quot;:false,&quot;manualOverride&quot;:{&quot;isManuallyOverridden&quot;:false,&quot;citeprocText&quot;:&quot;(Zuorro et al., 2020)&quot;,&quot;manualOverrideText&quot;:&quot;&quot;},&quot;citationTag&quot;:&quot;MENDELEY_CITATION_v3_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&quot;,&quot;citationItems&quot;:[{&quot;id&quot;:&quot;11edf876-e32a-3ea8-8206-c2bb0735dfe4&quot;,&quot;itemData&quot;:{&quot;type&quot;:&quot;article-journal&quot;,&quot;id&quot;:&quot;11edf876-e32a-3ea8-8206-c2bb0735dfe4&quot;,&quot;title&quot;:&quot;Evaluation of shrimp waste valorization combining computer-aided simulation and numerical descriptive inherent safety technique (NuDIST)&quot;,&quot;author&quot;:[{&quot;family&quot;:&quot;Zuorro&quot;,&quot;given&quot;:&quot;Antonio&quot;,&quot;parse-names&quot;:false,&quot;dropping-particle&quot;:&quot;&quot;,&quot;non-dropping-particle&quot;:&quot;&quot;},{&quot;family&quot;:&quot;Cassiani-Cassiani&quot;,&quot;given&quot;:&quot;Daylisney&quot;,&quot;parse-names&quot;:false,&quot;dropping-particle&quot;:&quot;&quot;,&quot;non-dropping-particle&quot;:&quot;&quot;},{&quot;family&quot;:&quot;Meza-González&quot;,&quot;given&quot;:&quot;Demmy A.&quot;,&quot;parse-names&quot;:false,&quot;dropping-particle&quot;:&quot;&quot;,&quot;non-dropping-particle&quot;:&quot;&quot;},{&quot;family&quot;:&quot;Moreno-Sader&quot;,&quot;given&quot;:&quot;Kariana Andrea&quot;,&quot;parse-names&quot;:false,&quot;dropping-particle&quot;:&quot;&quot;,&quot;non-dropping-particle&quot;:&quot;&quot;},{&quot;family&quot;:&quot;González-Delgado&quot;,&quot;given&quot;:&quot;Ángel Darío&quot;,&quot;parse-names&quot;:false,&quot;dropping-particle&quot;:&quot;&quot;,&quot;non-dropping-particle&quot;:&quot;&quot;}],&quot;container-title&quot;:&quot;Applied Sciences (Switzerland)&quot;,&quot;accessed&quot;:{&quot;date-parts&quot;:[[2026,1,21]]},&quot;DOI&quot;:&quot;10.3390/APP10155339&quot;,&quot;ISSN&quot;:&quot;20763417&quot;,&quot;URL&quot;:&quot;https://www.researchgate.net/publication/343397200_Evaluation_of_Shrimp_Waste_Valorization_Combining_Computer-Aided_Simulation_and_Numerical_Descriptive_Inherent_Safety_Technique_NuDIST&quot;,&quot;issued&quot;:{&quot;date-parts&quot;:[[2020,8,1]]},&quot;abstract&quot;:&quot;Nowadays, inherently safer designs are considered as key priorities to prevent or mitigate serious incidents with devastating consequences. The need for process safety assessment during early design phases has motivated the development of several contributions related to computer-aided assessment methodologies to measure the inherent safety of chemical processes. In this work, the large-scale production of chitosan from shrimp wastes was evaluated from a process safety point of view using the numerical descriptive inherent safety technique (NuDIST). To this end, simulation of the chitosan production was performed using Aspen Plus® to obtain extended mass and energy balances. The assessment of all the chemicals involved within the process was carried out for the following safety parameters: explosivity (EXP), flammability (FL), and toxicity (TOX). The safety assessment of the process included the parameters of temperature (T), pressure (P), and heat of reaction (HR). The maximum chemical safety score was estimated in 171.01 with ethanol as the main contributor to the parameters of explosivity and flammability. The score associated with operating data was calculated at 209.20 and heat of reaction reported to be the most affecting parameter. The NuDIST score was estimated at 380.20. This NuDIST value revealed the low hazards associated with the handling of substances such as shrimp wastes, chitosan, and water, as well as the non-extreme temperature and pressure conditions. In general, the large-scale production of chitosan from shrimp shells was shown to be an inherently safe alternative of waste valorization.&quot;,&quot;publisher&quot;:&quot;MDPI AG&quot;,&quot;issue&quot;:&quot;15&quot;,&quot;volume&quot;:&quot;10&quot;,&quot;container-title-short&quot;:&quot;&quot;},&quot;isTemporary&quot;:false}]},{&quot;citationID&quot;:&quot;MENDELEY_CITATION_9cd36c08-59a7-4536-b0a6-468e3ba59f1e&quot;,&quot;properties&quot;:{&quot;noteIndex&quot;:0},&quot;isEdited&quot;:false,&quot;manualOverride&quot;:{&quot;isManuallyOverridden&quot;:false,&quot;citeprocText&quot;:&quot;(Ahmad et al., 2014)&quot;,&quot;manualOverrideText&quot;:&quot;&quot;},&quot;citationTag&quot;:&quot;MENDELEY_CITATION_v3_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&quot;,&quot;citationItems&quot;:[{&quot;id&quot;:&quot;dc5e7797-6bc3-350b-af60-7f4bb5e4b5d1&quot;,&quot;itemData&quot;:{&quot;type&quot;:&quot;article-journal&quot;,&quot;id&quot;:&quot;dc5e7797-6bc3-350b-af60-7f4bb5e4b5d1&quot;,&quot;title&quot;:&quot;Numerical Descriptive Inherent Safety Technique (NuDIST) for inherent safety assessment in petrochemical industry&quot;,&quot;author&quot;:[{&quot;family&quot;:&quot;Ahmad&quot;,&quot;given&quot;:&quot;Syaza I.&quot;,&quot;parse-names&quot;:false,&quot;dropping-particle&quot;:&quot;&quot;,&quot;non-dropping-particle&quot;:&quot;&quot;},{&quot;family&quot;:&quot;Hashim&quot;,&quot;given&quot;:&quot;Haslenda&quot;,&quot;parse-names&quot;:false,&quot;dropping-particle&quot;:&quot;&quot;,&quot;non-dropping-particle&quot;:&quot;&quot;},{&quot;family&quot;:&quot;Hassim&quot;,&quot;given&quot;:&quot;Mimi H.&quot;,&quot;parse-names&quot;:false,&quot;dropping-particle&quot;:&quot;&quot;,&quot;non-dropping-particle&quot;:&quot;&quot;}],&quot;container-title&quot;:&quot;Process Safety and Environmental Protection&quot;,&quot;accessed&quot;:{&quot;date-parts&quot;:[[2026,1,21]]},&quot;DOI&quot;:&quot;10.1016/J.PSEP.2014.03.009&quot;,&quot;ISSN&quot;:&quot;0957-5820&quot;,&quot;URL&quot;:&quot;https://www.sciencedirect.com/science/article/abs/pii/S0957582014000457&quot;,&quot;issued&quot;:{&quot;date-parts&quot;:[[2014,9,1]]},&quot;page&quot;:&quot;379-389&quot;,&quot;abstract&quot;:&quot;This paper discusses the development of a new approach of inherent safety assessments called the Numerical Descriptive Inherent Safety Technique (NuDIST). Most current methods for assessing inherent safety use an index-based method. Among the disadvantages of such methods are the use of scaling in which hazards are divided into physical or chemical properties with subjective ranges and discontinuity at the sub-range boundaries. This new technique uses numerical assessment methods, can overcome the limitations inherent in the index-based methods and provides insights into the effect of safety parameters, i.e. temperature, pressure, heat of reaction, process inventory, flammability, explosiveness, toxicity and reactivity for the petrochemical industry. The results of the assessment can be used to easily identify the safest route among several alternatives for chemical synthesis or process retrofitting in addition to, highlighting potential sources of hazards. The proposed technique was tested using the methyl methacrylate manufacturing process. This test highlights the superiority of the Numerical Descriptive Inherent Safety Technique (NuDIST) over index-based methods. The results show that among the six routes of the MMA manufacturing process, the tertiary butyl alcohol (TBA) based route has the lowest total score and is considered the safest route, whereas the ethylene via propionaldehyde (C2/PA) based route has the highest score.&quot;,&quot;publisher&quot;:&quot;Elsevier&quot;,&quot;issue&quot;:&quot;5&quot;,&quot;volume&quot;:&quot;92&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3166</Words>
  <Characters>17415</Characters>
  <Application>Microsoft Office Word</Application>
  <DocSecurity>0</DocSecurity>
  <Lines>145</Lines>
  <Paragraphs>41</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Aleja F</cp:lastModifiedBy>
  <cp:revision>3</cp:revision>
  <cp:lastPrinted>2015-05-12T18:31:00Z</cp:lastPrinted>
  <dcterms:created xsi:type="dcterms:W3CDTF">2026-03-21T22:23:00Z</dcterms:created>
  <dcterms:modified xsi:type="dcterms:W3CDTF">2026-03-21T22:25:00Z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