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E57CFB">
        <w:trPr>
          <w:trHeight w:val="852"/>
          <w:jc w:val="center"/>
        </w:trPr>
        <w:tc>
          <w:tcPr>
            <w:tcW w:w="6940"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pt-BR" w:eastAsia="pt-BR"/>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753620B8"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AD0278">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AD0278">
              <w:rPr>
                <w:rFonts w:cs="Arial"/>
                <w:b/>
                <w:bCs/>
                <w:i/>
                <w:iCs/>
                <w:color w:val="000066"/>
                <w:sz w:val="22"/>
                <w:szCs w:val="22"/>
                <w:lang w:eastAsia="it-IT"/>
              </w:rPr>
              <w:t>6</w:t>
            </w:r>
          </w:p>
        </w:tc>
        <w:tc>
          <w:tcPr>
            <w:tcW w:w="1842"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pt-BR" w:eastAsia="pt-BR"/>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E57CFB">
        <w:trPr>
          <w:trHeight w:val="567"/>
          <w:jc w:val="center"/>
        </w:trPr>
        <w:tc>
          <w:tcPr>
            <w:tcW w:w="6940" w:type="dxa"/>
            <w:vMerge/>
            <w:tcBorders>
              <w:right w:val="single" w:sz="4" w:space="0" w:color="auto"/>
            </w:tcBorders>
          </w:tcPr>
          <w:p w14:paraId="39E5E4C1" w14:textId="77777777" w:rsidR="000A03B2" w:rsidRPr="00B57B36"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E57CFB">
        <w:trPr>
          <w:trHeight w:val="68"/>
          <w:jc w:val="center"/>
        </w:trPr>
        <w:tc>
          <w:tcPr>
            <w:tcW w:w="8782" w:type="dxa"/>
            <w:gridSpan w:val="2"/>
          </w:tcPr>
          <w:p w14:paraId="1D8DD3C9" w14:textId="61229B97" w:rsidR="00AA7D26" w:rsidRPr="00E57CFB" w:rsidRDefault="004A5E57" w:rsidP="004A5E57">
            <w:pPr>
              <w:ind w:left="-107"/>
              <w:outlineLvl w:val="2"/>
              <w:rPr>
                <w:rFonts w:ascii="Tahoma" w:hAnsi="Tahoma" w:cs="Tahoma"/>
                <w:bCs/>
                <w:color w:val="000000"/>
                <w:sz w:val="14"/>
                <w:szCs w:val="14"/>
                <w:lang w:eastAsia="it-IT"/>
              </w:rPr>
            </w:pPr>
            <w:r w:rsidRPr="00E57CFB">
              <w:rPr>
                <w:rFonts w:ascii="Tahoma" w:hAnsi="Tahoma" w:cs="Tahoma"/>
                <w:iCs/>
                <w:color w:val="333333"/>
                <w:sz w:val="14"/>
                <w:szCs w:val="14"/>
                <w:lang w:eastAsia="it-IT"/>
              </w:rPr>
              <w:t>Guest Editors:</w:t>
            </w:r>
            <w:r w:rsidRPr="00E57CFB">
              <w:rPr>
                <w:rFonts w:ascii="Tahoma" w:hAnsi="Tahoma" w:cs="Tahoma"/>
                <w:color w:val="000000"/>
                <w:sz w:val="14"/>
                <w:szCs w:val="14"/>
                <w:shd w:val="clear" w:color="auto" w:fill="FFFFFF"/>
              </w:rPr>
              <w:t xml:space="preserve"> </w:t>
            </w:r>
            <w:r w:rsidR="00EA3EF9" w:rsidRPr="00E57CFB">
              <w:rPr>
                <w:rFonts w:ascii="Tahoma" w:hAnsi="Tahoma" w:cs="Tahoma"/>
                <w:color w:val="000000"/>
                <w:sz w:val="14"/>
                <w:szCs w:val="14"/>
                <w:shd w:val="clear" w:color="auto" w:fill="FFFFFF"/>
              </w:rPr>
              <w:t xml:space="preserve">Leonardo Tognotti, </w:t>
            </w:r>
            <w:r w:rsidR="00EA3EF9" w:rsidRPr="00E57CFB">
              <w:rPr>
                <w:rFonts w:ascii="Tahoma" w:hAnsi="Tahoma" w:cs="Tahoma"/>
                <w:color w:val="000000"/>
                <w:sz w:val="14"/>
                <w:szCs w:val="14"/>
              </w:rPr>
              <w:t>Rubens Maciel Filho</w:t>
            </w:r>
            <w:r w:rsidR="00EA3EF9" w:rsidRPr="00E57CFB">
              <w:rPr>
                <w:rFonts w:ascii="Tahoma" w:hAnsi="Tahoma" w:cs="Tahoma"/>
                <w:color w:val="000000"/>
                <w:sz w:val="14"/>
                <w:szCs w:val="14"/>
                <w:shd w:val="clear" w:color="auto" w:fill="FFFFFF"/>
              </w:rPr>
              <w:t xml:space="preserve">, </w:t>
            </w:r>
            <w:r w:rsidR="00EA3EF9" w:rsidRPr="00E57CFB">
              <w:rPr>
                <w:rFonts w:ascii="Tahoma" w:hAnsi="Tahoma" w:cs="Tahoma"/>
                <w:color w:val="000000"/>
                <w:sz w:val="14"/>
                <w:szCs w:val="14"/>
              </w:rPr>
              <w:t>Viatcheslav Kafarov</w:t>
            </w:r>
          </w:p>
          <w:p w14:paraId="1B0F1814" w14:textId="710B7B96"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005884">
              <w:rPr>
                <w:rFonts w:ascii="Tahoma" w:hAnsi="Tahoma" w:cs="Tahoma"/>
                <w:iCs/>
                <w:color w:val="333333"/>
                <w:sz w:val="14"/>
                <w:szCs w:val="14"/>
                <w:lang w:eastAsia="it-IT"/>
              </w:rPr>
              <w:t>6</w:t>
            </w:r>
            <w:r w:rsidRPr="00B57B36">
              <w:rPr>
                <w:rFonts w:ascii="Tahoma" w:hAnsi="Tahoma" w:cs="Tahoma"/>
                <w:iCs/>
                <w:color w:val="333333"/>
                <w:sz w:val="14"/>
                <w:szCs w:val="14"/>
                <w:lang w:eastAsia="it-IT"/>
              </w:rPr>
              <w:t>, AIDIC Servizi S.r.l.</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005884">
              <w:rPr>
                <w:rFonts w:ascii="Tahoma" w:hAnsi="Tahoma" w:cs="Tahoma"/>
                <w:sz w:val="14"/>
                <w:szCs w:val="14"/>
              </w:rPr>
              <w:t>xx</w:t>
            </w:r>
            <w:r w:rsidR="009041F8">
              <w:rPr>
                <w:rFonts w:ascii="Tahoma" w:hAnsi="Tahoma" w:cs="Tahoma"/>
                <w:sz w:val="14"/>
                <w:szCs w:val="14"/>
              </w:rPr>
              <w:t>-</w:t>
            </w:r>
            <w:r w:rsidR="00005884">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2E667253" w14:textId="63E0ACD9" w:rsidR="00E978D0" w:rsidRPr="00B57B36" w:rsidRDefault="00E57CFB" w:rsidP="00E978D0">
      <w:pPr>
        <w:pStyle w:val="CETTitle"/>
      </w:pPr>
      <w:r>
        <w:t>Exploring the Complexity of the Reuse of Wood Waste: Safety, Environmental, and Economic Concerns</w:t>
      </w:r>
    </w:p>
    <w:p w14:paraId="4AC59717" w14:textId="77777777" w:rsidR="00E57CFB" w:rsidRDefault="00E57CFB" w:rsidP="00E57CFB">
      <w:pPr>
        <w:pStyle w:val="CETAuthors"/>
        <w:rPr>
          <w:lang w:val="pt-BR"/>
        </w:rPr>
      </w:pPr>
      <w:r>
        <w:rPr>
          <w:lang w:val="pt-BR"/>
        </w:rPr>
        <w:t>Miguel Afonso Sellitto</w:t>
      </w:r>
      <w:r>
        <w:rPr>
          <w:vertAlign w:val="superscript"/>
          <w:lang w:val="pt-BR"/>
        </w:rPr>
        <w:t>a,</w:t>
      </w:r>
      <w:r>
        <w:rPr>
          <w:lang w:val="pt-BR"/>
        </w:rPr>
        <w:t>*, Rodinaldo Ferreira dos Santos</w:t>
      </w:r>
      <w:r>
        <w:rPr>
          <w:vertAlign w:val="superscript"/>
          <w:lang w:val="pt-BR"/>
        </w:rPr>
        <w:t>a</w:t>
      </w:r>
      <w:r>
        <w:rPr>
          <w:lang w:val="pt-BR"/>
        </w:rPr>
        <w:t>, Henrique Luis Sauer Oliveira</w:t>
      </w:r>
      <w:r>
        <w:rPr>
          <w:vertAlign w:val="superscript"/>
          <w:lang w:val="pt-BR"/>
        </w:rPr>
        <w:t>b</w:t>
      </w:r>
    </w:p>
    <w:p w14:paraId="19422DF1" w14:textId="77777777" w:rsidR="00E57CFB" w:rsidRDefault="00E57CFB" w:rsidP="00E57CFB">
      <w:pPr>
        <w:pStyle w:val="CETAddress"/>
        <w:rPr>
          <w:lang w:val="pt-BR"/>
        </w:rPr>
      </w:pPr>
      <w:r>
        <w:rPr>
          <w:vertAlign w:val="superscript"/>
          <w:lang w:val="pt-BR"/>
        </w:rPr>
        <w:t>a</w:t>
      </w:r>
      <w:r>
        <w:rPr>
          <w:lang w:val="pt-BR"/>
        </w:rPr>
        <w:t xml:space="preserve">PPGEPS UNISINOS, Av. Unisinos 950, São Leopoldo, 93022-000, Brazil </w:t>
      </w:r>
    </w:p>
    <w:p w14:paraId="1AE92F33" w14:textId="77777777" w:rsidR="00E57CFB" w:rsidRDefault="00E57CFB" w:rsidP="00E57CFB">
      <w:pPr>
        <w:pStyle w:val="CETAddress"/>
        <w:rPr>
          <w:lang w:val="pt-BR"/>
        </w:rPr>
      </w:pPr>
      <w:r>
        <w:rPr>
          <w:vertAlign w:val="superscript"/>
          <w:lang w:val="pt-BR"/>
        </w:rPr>
        <w:t>b</w:t>
      </w:r>
      <w:r>
        <w:rPr>
          <w:lang w:val="pt-BR"/>
        </w:rPr>
        <w:t xml:space="preserve">PPGEP UFSM, Av. Roraima 1000, Santa Maria, 97105-900, Brazil </w:t>
      </w:r>
    </w:p>
    <w:p w14:paraId="73F1267A" w14:textId="7EC4774A" w:rsidR="00B57E6F" w:rsidRPr="003B4EA5" w:rsidRDefault="00E57CFB" w:rsidP="00E57CFB">
      <w:pPr>
        <w:pStyle w:val="CETemail"/>
        <w:rPr>
          <w:lang w:val="fr-FR"/>
        </w:rPr>
      </w:pPr>
      <w:r>
        <w:rPr>
          <w:lang w:val="pt-BR"/>
        </w:rPr>
        <w:t xml:space="preserve"> </w:t>
      </w:r>
      <w:r>
        <w:rPr>
          <w:lang w:val="en-US"/>
        </w:rPr>
        <w:t>*sellitto@unisinos.br</w:t>
      </w:r>
    </w:p>
    <w:p w14:paraId="37A61FCE" w14:textId="4474E682" w:rsidR="00DA24C6" w:rsidRDefault="00E57CFB" w:rsidP="00E57CFB">
      <w:pPr>
        <w:pStyle w:val="CETBodytext"/>
      </w:pPr>
      <w:r>
        <w:t xml:space="preserve">The wood processing industry generates substantial waste. If not managed, this </w:t>
      </w:r>
      <w:r w:rsidR="00BB3C04">
        <w:t xml:space="preserve">kind of </w:t>
      </w:r>
      <w:r>
        <w:t xml:space="preserve">waste </w:t>
      </w:r>
      <w:r w:rsidR="00BB3C04">
        <w:t xml:space="preserve">can </w:t>
      </w:r>
      <w:r>
        <w:t>pose environmental and safety concerns. One solution is to convert waste into an alternative industrial fuel. This article examines the challenges and opportunities wood industry companies face when repurposing waste into secondary fuels. The study compares manufacturing networks in two companies in southern Brazil: one reuses its wood waste, and the other does not. The research uses interviews with key decision-makers, analysis of internal documents (the order database), and plant visits. A proxy variable is employed to assess the complexity of manufacturing arrangements. In this context, Shannon entropy serves as a proxy for system variability, reflecting the network's intrinsic complexity. The findings highlight several factors that influence the decision to reuse wood waste. These include limited profitability, the need for chemical analysis, seasonality requiring warehousing and handling, and safety and regulatory constraints. Understanding how these factors add to system complexity helps support more informed and viable decisions about waste reuse</w:t>
      </w:r>
    </w:p>
    <w:p w14:paraId="476B2F2E" w14:textId="77777777" w:rsidR="00600535" w:rsidRPr="00B57B36" w:rsidRDefault="00600535" w:rsidP="00600535">
      <w:pPr>
        <w:pStyle w:val="CETHeading1"/>
        <w:rPr>
          <w:lang w:val="en-GB"/>
        </w:rPr>
      </w:pPr>
      <w:r w:rsidRPr="00B57B36">
        <w:rPr>
          <w:lang w:val="en-GB"/>
        </w:rPr>
        <w:t>Introduction</w:t>
      </w:r>
    </w:p>
    <w:p w14:paraId="0882784A" w14:textId="77777777" w:rsidR="00E57CFB" w:rsidRPr="00E57CFB" w:rsidRDefault="00E57CFB" w:rsidP="00E57CFB">
      <w:pPr>
        <w:pStyle w:val="CETBodytext"/>
        <w:rPr>
          <w:rFonts w:ascii="Times New Roman" w:hAnsi="Times New Roman"/>
          <w:sz w:val="24"/>
        </w:rPr>
      </w:pPr>
      <w:r>
        <w:t>Complexity is a property of systems of interconnected elements. These interactions generate collective behaviors absent in isolated parts. Causal relationships are not proportional. Outcomes result from adaptive feedback dependent on initial conditions. Changes in key parameters may alter system dynamics, thereby limiting predictive power (Murphy et al., 2024). The number of components does not determine complexity; it depends on their interactions over time. Complexity studies avoid reducing objects to independent parts and instead focus on relations, flows, and processes. This perspective seeks statistical regularities, interaction structures, and self-organization mechanisms explaining pattern formation without centralized control or fixed laws (Artime and De Domenico, 2022). Biological, economic, and social systems show this type of organization. Their patterns emerge from local interactions (Jusup et al., 2022).</w:t>
      </w:r>
    </w:p>
    <w:p w14:paraId="104D6D27" w14:textId="77777777" w:rsidR="00E57CFB" w:rsidRDefault="00E57CFB" w:rsidP="00E57CFB">
      <w:pPr>
        <w:pStyle w:val="CETBodytext"/>
      </w:pPr>
      <w:r>
        <w:t>A concept associated with complexity and shared across multiple scientific domains is emergence: the disclosing of global-level properties or behaviors that are not present at the local level. The concept of emergence enables the description of analogous processes across domains using a common conceptual framework, thereby allowing formal comparisons among physical, biological, and social systems and the transfer of established methods within a given field. Complexity may function as a scientific reference framework guiding model construction and data interpretation, emphasizing relations and processes instead of individual behaviors (Rosas et al., 2020).</w:t>
      </w:r>
    </w:p>
    <w:p w14:paraId="0561227A" w14:textId="77777777" w:rsidR="00E57CFB" w:rsidRDefault="00E57CFB" w:rsidP="00E57CFB">
      <w:pPr>
        <w:pStyle w:val="CETBodytext"/>
      </w:pPr>
      <w:r>
        <w:t xml:space="preserve">Industrial operations that reuse biomass are inherently complex due to the diverse materials, processes, and interactions involved. For example, wood industry waste—sawdust, chips, bark, and sludge—varies in composition, moisture, and particle size, affecting collection, processing, storage, and distribution (Nunes et al., 2020). Operations such as drying, combustion, gasification, pyrolysis, and biochemical conversion rely on interactions among biomass properties, operating parameters, and environmental conditions. These interdependencies create nonlinear behaviors, since changes in one stage affect others. An isolated analysis </w:t>
      </w:r>
      <w:r>
        <w:lastRenderedPageBreak/>
        <w:t>would ignore feedbacks in material and energy flows, which influence efficiency, emissions, and by-product generation (Hossain et al., 2022).</w:t>
      </w:r>
    </w:p>
    <w:p w14:paraId="7A74435C" w14:textId="77777777" w:rsidR="00E57CFB" w:rsidRDefault="00E57CFB" w:rsidP="00E57CFB">
      <w:pPr>
        <w:pStyle w:val="CETBodytext"/>
      </w:pPr>
      <w:r>
        <w:t>Measuring complexity in wood waste reuse requires viewing the operation as a network of interdependent processes. Technology choices, pretreatment, and energy integration all affect costs, resource use, and environmental impacts. Variability in residue supply, often driven by seasonal and logistical factors, introduces uncertainty (Nunes et al., 2020). Complex systems-based models, such as dynamic simulations and network analysis, help evaluate integration scenarios among industrial units, cogeneration, and bioproduct production. They also show trade-offs under uncertainty, a feature typical of complex environments (Gital et al., 2024).</w:t>
      </w:r>
    </w:p>
    <w:p w14:paraId="2815502B" w14:textId="5BBA4784" w:rsidR="00E57CFB" w:rsidRDefault="00E57CFB" w:rsidP="00E57CFB">
      <w:pPr>
        <w:pStyle w:val="CETBodytext"/>
      </w:pPr>
      <w:r>
        <w:t>Searches in Scopus, including articles in English from 2020 to 2026, returned 2,713 and 357 articles for the keywords "wood waste" and "complexity management," respectively. A third search for their intersection returned zero articles, confirming that exploring complexity in wood waste reuse operations is a research gap, even when alternative terms such as "waste repurposing" or "wood reuse" were used. This gap motivates the present article, which aims to compare the network complexity of manufacturing activities in two companies in southern Brazil: one company that does not reuse its wood waste and another that does. Using a quantitative modelling approach, the study identifies key factors that increase complexity in biomass-reuse operations. The expected contribution is to reveal how complexity can be measured and managed in industrial settings, providing analytical insights to aid decision-making about waste reutilization strategies. The following sections detail the literature review, methodological procedures, results, discussion, conclusions, and future research.</w:t>
      </w:r>
    </w:p>
    <w:p w14:paraId="0011A0F6" w14:textId="7CC61B22" w:rsidR="00E57CFB" w:rsidRPr="00E57CFB" w:rsidRDefault="00E57CFB" w:rsidP="00E57CFB">
      <w:pPr>
        <w:pStyle w:val="CETHeading1"/>
        <w:tabs>
          <w:tab w:val="num" w:pos="360"/>
        </w:tabs>
        <w:rPr>
          <w:lang w:val="en-GB"/>
        </w:rPr>
      </w:pPr>
      <w:r w:rsidRPr="00E57CFB">
        <w:rPr>
          <w:lang w:val="en-GB"/>
        </w:rPr>
        <w:t xml:space="preserve">Wood </w:t>
      </w:r>
      <w:r w:rsidR="00BD3483" w:rsidRPr="00E57CFB">
        <w:rPr>
          <w:lang w:val="en-GB"/>
        </w:rPr>
        <w:t xml:space="preserve">waste reuse, drivers of complexity and </w:t>
      </w:r>
      <w:r w:rsidRPr="00E57CFB">
        <w:rPr>
          <w:lang w:val="en-GB"/>
        </w:rPr>
        <w:t xml:space="preserve">Shannon </w:t>
      </w:r>
      <w:r w:rsidR="00BD3483">
        <w:rPr>
          <w:lang w:val="en-GB"/>
        </w:rPr>
        <w:t>e</w:t>
      </w:r>
      <w:r w:rsidRPr="00E57CFB">
        <w:rPr>
          <w:lang w:val="en-GB"/>
        </w:rPr>
        <w:t>ntropy</w:t>
      </w:r>
    </w:p>
    <w:p w14:paraId="08EA6B05" w14:textId="1CC06BE0" w:rsidR="00E57CFB" w:rsidRPr="00E57CFB" w:rsidRDefault="005350E3" w:rsidP="00E57CFB">
      <w:pPr>
        <w:pStyle w:val="CETBodytext"/>
        <w:rPr>
          <w:rFonts w:ascii="Times New Roman" w:hAnsi="Times New Roman"/>
          <w:sz w:val="24"/>
        </w:rPr>
      </w:pPr>
      <w:r w:rsidRPr="005350E3">
        <w:t>In industry, wood waste reuse is widely studied as a way to add value to by-products from the forest, timber, and furniture sectors, incl</w:t>
      </w:r>
      <w:bookmarkStart w:id="1" w:name="_GoBack"/>
      <w:bookmarkEnd w:id="1"/>
      <w:r w:rsidRPr="005350E3">
        <w:t>uding packaging, mainly pallets (Adlmaier and Sellitto, 2007).</w:t>
      </w:r>
      <w:r w:rsidR="00E57CFB">
        <w:t xml:space="preserve"> </w:t>
      </w:r>
      <w:r w:rsidRPr="005350E3">
        <w:t xml:space="preserve">Residues such as sawdust, chips, shavings, bark, offcuts, and sludge </w:t>
      </w:r>
      <w:r>
        <w:t>occupy</w:t>
      </w:r>
      <w:r w:rsidRPr="005350E3">
        <w:t xml:space="preserve"> large volumes, prompting the need for technologies to reintegrate them as industrial inputs or energy (Putra et al., 2024). Reusing wood waste reduces primary resource use, diverts waste from landfills, and advances circular economy </w:t>
      </w:r>
      <w:r>
        <w:t>principles (Leone et al., 2025)</w:t>
      </w:r>
      <w:r w:rsidR="00E57CFB">
        <w:t>.</w:t>
      </w:r>
    </w:p>
    <w:p w14:paraId="24184807" w14:textId="5C6FD8A6" w:rsidR="00E57CFB" w:rsidRDefault="00E57CFB" w:rsidP="00E57CFB">
      <w:pPr>
        <w:pStyle w:val="CETBodytext"/>
      </w:pPr>
      <w:r>
        <w:t>As material inputs, wood waste is used to make particle boards, MDF, OSB, and other lignocellulosic composites. In these products, particles or fibers are bonded using synthetic resins or binders. Wood waste also serves as filler or reinforcement in polymeric materials, wood–cement composites, and biocomposites. This allows partial substitution for mineral or petrochemical inputs. Physical and chemical pretreatments, including grinding, drying, particle classification, and surface modification, are needed for mechanical performance and stability. Feedstock variability is a recurring issue in the literature. It affects product quality, process repetition, and industrial control (Akter et al., 2022).</w:t>
      </w:r>
    </w:p>
    <w:p w14:paraId="52900AA3" w14:textId="77777777" w:rsidR="00E57CFB" w:rsidRDefault="00E57CFB" w:rsidP="00E57CFB">
      <w:pPr>
        <w:pStyle w:val="CETBodytext"/>
      </w:pPr>
      <w:r>
        <w:t>For energy applications, wood waste is used as solid fuel or for thermal and thermochemical conversion. Direct combustion for heat and power generation is the most established route, particularly in cogeneration systems—facilities that produce both electricity and useful heat—integrated with pulp, paper, and panel industries (Gil, 2021). Gasification and pyrolysis produce syngas, bio-oil, and biochar, while briquetting and pelletizing serve as secondary fuels. Parameters such as heating value, moisture, ash, and composition affect energy efficiency, emission levels, and equipment performance (Voulgaris et al., 2021).</w:t>
      </w:r>
    </w:p>
    <w:p w14:paraId="02126C1F" w14:textId="4D949889" w:rsidR="00864CA3" w:rsidRDefault="00E57CFB" w:rsidP="00E57CFB">
      <w:pPr>
        <w:pStyle w:val="CETBodytext"/>
      </w:pPr>
      <w:r>
        <w:t xml:space="preserve">Several methods have been proposed to measure complexity in industrial operations. This study uses Shannon entropy to quantify operational states (Sellitto et al., 2025; Herrera-Vidal et al., 2024). Equation (1) defines Shannon’s entropy in bits, as shown in Equation (2), for the discrete outcomes of a random variable that reveals if specific information is needed. Greater operational complexity means a higher chance that more information will be needed. quantifies uncertainty in a probability distribution: higher values mean more randomness and unpredictability, while lower values mean increased predictability and less uncertainty. As predictability goes up, coordination needs fall, lowering internal complexity. A higher value thus means more information is required to reduce uncertainty. A lower value means the opposite. For multiple operations, this is expressed in Equation (3). In this study, </w:t>
      </w:r>
      <w:r w:rsidR="00C97E1C" w:rsidRPr="00C97E1C">
        <w:rPr>
          <w:i/>
        </w:rPr>
        <w:t>n</w:t>
      </w:r>
      <w:r w:rsidR="00C97E1C">
        <w:t xml:space="preserve"> = 2, </w:t>
      </w:r>
      <w:r>
        <w:t>the binary Shannon entropy</w:t>
      </w:r>
      <w:r w:rsidR="00C97E1C">
        <w:t>, that</w:t>
      </w:r>
      <w:r>
        <w:t xml:space="preserve"> appears in Equation (4). Maximum entropy occurs when </w:t>
      </w:r>
      <w:r w:rsidRPr="00E57CFB">
        <w:rPr>
          <w:i/>
        </w:rPr>
        <w:t>p</w:t>
      </w:r>
      <w:r w:rsidRPr="00E57CFB">
        <w:rPr>
          <w:i/>
          <w:vertAlign w:val="subscript"/>
        </w:rPr>
        <w:t>i</w:t>
      </w:r>
      <w:r>
        <w:t xml:space="preserve"> = 0.5 (Sellitto et al., 2025).</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560"/>
      </w:tblGrid>
      <w:tr w:rsidR="00791805" w:rsidRPr="00864CA3" w14:paraId="35E37620" w14:textId="77777777" w:rsidTr="00864CA3">
        <w:tc>
          <w:tcPr>
            <w:tcW w:w="8217" w:type="dxa"/>
            <w:vAlign w:val="center"/>
          </w:tcPr>
          <w:p w14:paraId="5221FDF6" w14:textId="401F4299" w:rsidR="00791805" w:rsidRPr="00864CA3" w:rsidRDefault="00791805" w:rsidP="00864CA3">
            <w:pPr>
              <w:pStyle w:val="CETEquation"/>
              <w:rPr>
                <w:rFonts w:cs="Arial"/>
              </w:rPr>
            </w:pPr>
            <m:oMathPara>
              <m:oMathParaPr>
                <m:jc m:val="left"/>
              </m:oMathParaPr>
              <m:oMath>
                <m:r>
                  <w:rPr>
                    <w:rFonts w:ascii="Cambria Math" w:hAnsi="Cambria Math" w:cs="Arial"/>
                  </w:rPr>
                  <m:t>H</m:t>
                </m:r>
                <m:d>
                  <m:dPr>
                    <m:ctrlPr>
                      <w:rPr>
                        <w:rFonts w:ascii="Cambria Math" w:hAnsi="Cambria Math" w:cs="Arial"/>
                      </w:rPr>
                    </m:ctrlPr>
                  </m:dPr>
                  <m:e>
                    <m:r>
                      <w:rPr>
                        <w:rFonts w:ascii="Cambria Math" w:hAnsi="Cambria Math" w:cs="Arial"/>
                      </w:rPr>
                      <m:t>P</m:t>
                    </m:r>
                  </m:e>
                </m:d>
                <m:r>
                  <m:rPr>
                    <m:sty m:val="p"/>
                  </m:rPr>
                  <w:rPr>
                    <w:rFonts w:ascii="Cambria Math" w:hAnsi="Cambria Math" w:cs="Arial"/>
                  </w:rPr>
                  <m:t>=-</m:t>
                </m:r>
                <m:nary>
                  <m:naryPr>
                    <m:chr m:val="∑"/>
                    <m:limLoc m:val="undOvr"/>
                    <m:ctrlPr>
                      <w:rPr>
                        <w:rFonts w:ascii="Cambria Math" w:hAnsi="Cambria Math" w:cs="Arial"/>
                      </w:rPr>
                    </m:ctrlPr>
                  </m:naryPr>
                  <m:sub>
                    <m:r>
                      <w:rPr>
                        <w:rFonts w:ascii="Cambria Math" w:hAnsi="Cambria Math" w:cs="Arial"/>
                      </w:rPr>
                      <m:t>i</m:t>
                    </m:r>
                    <m:r>
                      <m:rPr>
                        <m:sty m:val="p"/>
                      </m:rPr>
                      <w:rPr>
                        <w:rFonts w:ascii="Cambria Math" w:hAnsi="Cambria Math" w:cs="Arial"/>
                      </w:rPr>
                      <m:t>=1</m:t>
                    </m:r>
                  </m:sub>
                  <m:sup>
                    <m:r>
                      <w:rPr>
                        <w:rFonts w:ascii="Cambria Math" w:hAnsi="Cambria Math" w:cs="Arial"/>
                      </w:rPr>
                      <m:t>n</m:t>
                    </m:r>
                  </m:sup>
                  <m:e>
                    <m:sSub>
                      <m:sSubPr>
                        <m:ctrlPr>
                          <w:rPr>
                            <w:rFonts w:ascii="Cambria Math" w:hAnsi="Cambria Math" w:cs="Arial"/>
                          </w:rPr>
                        </m:ctrlPr>
                      </m:sSubPr>
                      <m:e>
                        <m:sSub>
                          <m:sSubPr>
                            <m:ctrlPr>
                              <w:rPr>
                                <w:rFonts w:ascii="Cambria Math" w:hAnsi="Cambria Math" w:cs="Arial"/>
                              </w:rPr>
                            </m:ctrlPr>
                          </m:sSubPr>
                          <m:e>
                            <m:r>
                              <w:rPr>
                                <w:rFonts w:ascii="Cambria Math" w:hAnsi="Cambria Math" w:cs="Arial"/>
                              </w:rPr>
                              <m:t>p</m:t>
                            </m:r>
                          </m:e>
                          <m:sub>
                            <m:r>
                              <w:rPr>
                                <w:rFonts w:ascii="Cambria Math" w:hAnsi="Cambria Math" w:cs="Arial"/>
                              </w:rPr>
                              <m:t>i</m:t>
                            </m:r>
                          </m:sub>
                        </m:sSub>
                        <m:r>
                          <m:rPr>
                            <m:sty m:val="p"/>
                          </m:rPr>
                          <w:rPr>
                            <w:rFonts w:ascii="Cambria Math" w:hAnsi="Cambria Math" w:cs="Arial"/>
                          </w:rPr>
                          <m:t>.log⁡(</m:t>
                        </m:r>
                        <m:r>
                          <w:rPr>
                            <w:rFonts w:ascii="Cambria Math" w:hAnsi="Cambria Math" w:cs="Arial"/>
                          </w:rPr>
                          <m:t>p</m:t>
                        </m:r>
                      </m:e>
                      <m:sub>
                        <m:r>
                          <w:rPr>
                            <w:rFonts w:ascii="Cambria Math" w:hAnsi="Cambria Math" w:cs="Arial"/>
                          </w:rPr>
                          <m:t>i</m:t>
                        </m:r>
                      </m:sub>
                    </m:sSub>
                    <m:r>
                      <m:rPr>
                        <m:sty m:val="p"/>
                      </m:rPr>
                      <w:rPr>
                        <w:rFonts w:ascii="Cambria Math" w:hAnsi="Cambria Math" w:cs="Arial"/>
                      </w:rPr>
                      <m:t>)</m:t>
                    </m:r>
                  </m:e>
                </m:nary>
              </m:oMath>
            </m:oMathPara>
          </w:p>
        </w:tc>
        <w:tc>
          <w:tcPr>
            <w:tcW w:w="560" w:type="dxa"/>
            <w:vAlign w:val="center"/>
          </w:tcPr>
          <w:p w14:paraId="7D18A79F" w14:textId="7C95E414" w:rsidR="00791805" w:rsidRPr="00864CA3" w:rsidRDefault="00791805" w:rsidP="00864CA3">
            <w:pPr>
              <w:pStyle w:val="CETEquation"/>
              <w:rPr>
                <w:rFonts w:cs="Arial"/>
              </w:rPr>
            </w:pPr>
            <w:r w:rsidRPr="00864CA3">
              <w:rPr>
                <w:rFonts w:cs="Arial"/>
              </w:rPr>
              <w:t>(1)</w:t>
            </w:r>
          </w:p>
        </w:tc>
      </w:tr>
      <w:tr w:rsidR="00791805" w:rsidRPr="00864CA3" w14:paraId="634F0C82" w14:textId="77777777" w:rsidTr="00864CA3">
        <w:tc>
          <w:tcPr>
            <w:tcW w:w="8217" w:type="dxa"/>
            <w:vAlign w:val="center"/>
          </w:tcPr>
          <w:p w14:paraId="5E90CFAF" w14:textId="0C83638A" w:rsidR="00791805" w:rsidRPr="00864CA3" w:rsidRDefault="0043552D" w:rsidP="00864CA3">
            <w:pPr>
              <w:pStyle w:val="CETEquation"/>
              <w:rPr>
                <w:rFonts w:cs="Arial"/>
              </w:rPr>
            </w:pPr>
            <m:oMathPara>
              <m:oMathParaPr>
                <m:jc m:val="left"/>
              </m:oMathParaPr>
              <m:oMath>
                <m:nary>
                  <m:naryPr>
                    <m:chr m:val="∑"/>
                    <m:limLoc m:val="undOvr"/>
                    <m:ctrlPr>
                      <w:rPr>
                        <w:rFonts w:ascii="Cambria Math" w:hAnsi="Cambria Math" w:cs="Arial"/>
                      </w:rPr>
                    </m:ctrlPr>
                  </m:naryPr>
                  <m:sub>
                    <m:r>
                      <w:rPr>
                        <w:rFonts w:ascii="Cambria Math" w:hAnsi="Cambria Math" w:cs="Arial"/>
                      </w:rPr>
                      <m:t>i</m:t>
                    </m:r>
                    <m:r>
                      <m:rPr>
                        <m:sty m:val="p"/>
                      </m:rPr>
                      <w:rPr>
                        <w:rFonts w:ascii="Cambria Math" w:hAnsi="Cambria Math" w:cs="Arial"/>
                      </w:rPr>
                      <m:t>=1</m:t>
                    </m:r>
                  </m:sub>
                  <m:sup>
                    <m:r>
                      <w:rPr>
                        <w:rFonts w:ascii="Cambria Math" w:hAnsi="Cambria Math" w:cs="Arial"/>
                      </w:rPr>
                      <m:t>n</m:t>
                    </m:r>
                  </m:sup>
                  <m:e>
                    <m:sSub>
                      <m:sSubPr>
                        <m:ctrlPr>
                          <w:rPr>
                            <w:rFonts w:ascii="Cambria Math" w:hAnsi="Cambria Math" w:cs="Arial"/>
                          </w:rPr>
                        </m:ctrlPr>
                      </m:sSubPr>
                      <m:e>
                        <m:r>
                          <w:rPr>
                            <w:rFonts w:ascii="Cambria Math" w:hAnsi="Cambria Math" w:cs="Arial"/>
                          </w:rPr>
                          <m:t>p</m:t>
                        </m:r>
                      </m:e>
                      <m:sub>
                        <m:r>
                          <w:rPr>
                            <w:rFonts w:ascii="Cambria Math" w:hAnsi="Cambria Math" w:cs="Arial"/>
                          </w:rPr>
                          <m:t>i</m:t>
                        </m:r>
                      </m:sub>
                    </m:sSub>
                    <m:r>
                      <m:rPr>
                        <m:sty m:val="p"/>
                      </m:rPr>
                      <w:rPr>
                        <w:rFonts w:ascii="Cambria Math" w:hAnsi="Cambria Math" w:cs="Arial"/>
                      </w:rPr>
                      <m:t>=1</m:t>
                    </m:r>
                  </m:e>
                </m:nary>
              </m:oMath>
            </m:oMathPara>
          </w:p>
        </w:tc>
        <w:tc>
          <w:tcPr>
            <w:tcW w:w="560" w:type="dxa"/>
            <w:vAlign w:val="center"/>
          </w:tcPr>
          <w:p w14:paraId="747C6581" w14:textId="625AC68B" w:rsidR="00791805" w:rsidRPr="00864CA3" w:rsidRDefault="00791805" w:rsidP="00864CA3">
            <w:pPr>
              <w:pStyle w:val="CETEquation"/>
              <w:rPr>
                <w:rFonts w:cs="Arial"/>
              </w:rPr>
            </w:pPr>
            <w:r w:rsidRPr="00864CA3">
              <w:rPr>
                <w:rFonts w:cs="Arial"/>
              </w:rPr>
              <w:t>(2)</w:t>
            </w:r>
          </w:p>
        </w:tc>
      </w:tr>
      <w:tr w:rsidR="00791805" w:rsidRPr="00864CA3" w14:paraId="5961FD42" w14:textId="77777777" w:rsidTr="00864CA3">
        <w:trPr>
          <w:trHeight w:val="723"/>
        </w:trPr>
        <w:tc>
          <w:tcPr>
            <w:tcW w:w="8217" w:type="dxa"/>
            <w:vAlign w:val="center"/>
          </w:tcPr>
          <w:p w14:paraId="6A9FC0CC" w14:textId="2A59EE6A" w:rsidR="00791805" w:rsidRPr="00864CA3" w:rsidRDefault="00791805" w:rsidP="00864CA3">
            <w:pPr>
              <w:pStyle w:val="CETEquation"/>
              <w:rPr>
                <w:rFonts w:cs="Arial"/>
              </w:rPr>
            </w:pPr>
            <m:oMathPara>
              <m:oMathParaPr>
                <m:jc m:val="left"/>
              </m:oMathParaPr>
              <m:oMath>
                <m:r>
                  <w:rPr>
                    <w:rFonts w:ascii="Cambria Math" w:hAnsi="Cambria Math" w:cs="Arial"/>
                  </w:rPr>
                  <w:lastRenderedPageBreak/>
                  <m:t>H</m:t>
                </m:r>
                <m:d>
                  <m:dPr>
                    <m:ctrlPr>
                      <w:rPr>
                        <w:rFonts w:ascii="Cambria Math" w:hAnsi="Cambria Math" w:cs="Arial"/>
                      </w:rPr>
                    </m:ctrlPr>
                  </m:dPr>
                  <m:e>
                    <m:r>
                      <w:rPr>
                        <w:rFonts w:ascii="Cambria Math" w:hAnsi="Cambria Math" w:cs="Arial"/>
                      </w:rPr>
                      <m:t>P</m:t>
                    </m:r>
                  </m:e>
                </m:d>
                <m:r>
                  <m:rPr>
                    <m:sty m:val="p"/>
                  </m:rPr>
                  <w:rPr>
                    <w:rFonts w:ascii="Cambria Math" w:hAnsi="Cambria Math" w:cs="Arial"/>
                  </w:rPr>
                  <m:t>=-</m:t>
                </m:r>
                <m:nary>
                  <m:naryPr>
                    <m:chr m:val="∑"/>
                    <m:limLoc m:val="undOvr"/>
                    <m:ctrlPr>
                      <w:rPr>
                        <w:rFonts w:ascii="Cambria Math" w:hAnsi="Cambria Math" w:cs="Arial"/>
                      </w:rPr>
                    </m:ctrlPr>
                  </m:naryPr>
                  <m:sub>
                    <m:r>
                      <w:rPr>
                        <w:rFonts w:ascii="Cambria Math" w:hAnsi="Cambria Math" w:cs="Arial"/>
                      </w:rPr>
                      <m:t>k</m:t>
                    </m:r>
                    <m:r>
                      <m:rPr>
                        <m:sty m:val="p"/>
                      </m:rPr>
                      <w:rPr>
                        <w:rFonts w:ascii="Cambria Math" w:hAnsi="Cambria Math" w:cs="Arial"/>
                      </w:rPr>
                      <m:t>=1</m:t>
                    </m:r>
                  </m:sub>
                  <m:sup>
                    <m:r>
                      <w:rPr>
                        <w:rFonts w:ascii="Cambria Math" w:hAnsi="Cambria Math" w:cs="Arial"/>
                      </w:rPr>
                      <m:t>m</m:t>
                    </m:r>
                  </m:sup>
                  <m:e>
                    <m:r>
                      <m:rPr>
                        <m:sty m:val="p"/>
                      </m:rPr>
                      <w:rPr>
                        <w:rFonts w:ascii="Cambria Math" w:hAnsi="Cambria Math" w:cs="Arial"/>
                      </w:rPr>
                      <m:t>…</m:t>
                    </m:r>
                  </m:e>
                </m:nary>
                <m:nary>
                  <m:naryPr>
                    <m:chr m:val="∑"/>
                    <m:limLoc m:val="undOvr"/>
                    <m:ctrlPr>
                      <w:rPr>
                        <w:rFonts w:ascii="Cambria Math" w:hAnsi="Cambria Math" w:cs="Arial"/>
                      </w:rPr>
                    </m:ctrlPr>
                  </m:naryPr>
                  <m:sub>
                    <m:r>
                      <w:rPr>
                        <w:rFonts w:ascii="Cambria Math" w:hAnsi="Cambria Math" w:cs="Arial"/>
                      </w:rPr>
                      <m:t>i</m:t>
                    </m:r>
                    <m:r>
                      <m:rPr>
                        <m:sty m:val="p"/>
                      </m:rPr>
                      <w:rPr>
                        <w:rFonts w:ascii="Cambria Math" w:hAnsi="Cambria Math" w:cs="Arial"/>
                      </w:rPr>
                      <m:t>=1</m:t>
                    </m:r>
                  </m:sub>
                  <m:sup>
                    <m:r>
                      <w:rPr>
                        <w:rFonts w:ascii="Cambria Math" w:hAnsi="Cambria Math" w:cs="Arial"/>
                      </w:rPr>
                      <m:t>n</m:t>
                    </m:r>
                  </m:sup>
                  <m:e>
                    <m:sSub>
                      <m:sSubPr>
                        <m:ctrlPr>
                          <w:rPr>
                            <w:rFonts w:ascii="Cambria Math" w:hAnsi="Cambria Math" w:cs="Arial"/>
                          </w:rPr>
                        </m:ctrlPr>
                      </m:sSubPr>
                      <m:e>
                        <m:sSub>
                          <m:sSubPr>
                            <m:ctrlPr>
                              <w:rPr>
                                <w:rFonts w:ascii="Cambria Math" w:hAnsi="Cambria Math" w:cs="Arial"/>
                              </w:rPr>
                            </m:ctrlPr>
                          </m:sSubPr>
                          <m:e>
                            <m:r>
                              <w:rPr>
                                <w:rFonts w:ascii="Cambria Math" w:hAnsi="Cambria Math" w:cs="Arial"/>
                              </w:rPr>
                              <m:t>p</m:t>
                            </m:r>
                          </m:e>
                          <m:sub>
                            <m:r>
                              <w:rPr>
                                <w:rFonts w:ascii="Cambria Math" w:hAnsi="Cambria Math" w:cs="Arial"/>
                              </w:rPr>
                              <m:t>i</m:t>
                            </m:r>
                            <m:r>
                              <m:rPr>
                                <m:sty m:val="p"/>
                              </m:rPr>
                              <w:rPr>
                                <w:rFonts w:ascii="Cambria Math" w:hAnsi="Cambria Math" w:cs="Arial"/>
                              </w:rPr>
                              <m:t>…</m:t>
                            </m:r>
                            <m:r>
                              <w:rPr>
                                <w:rFonts w:ascii="Cambria Math" w:hAnsi="Cambria Math" w:cs="Arial"/>
                              </w:rPr>
                              <m:t>k</m:t>
                            </m:r>
                          </m:sub>
                        </m:sSub>
                        <m:r>
                          <m:rPr>
                            <m:sty m:val="p"/>
                          </m:rPr>
                          <w:rPr>
                            <w:rFonts w:ascii="Cambria Math" w:hAnsi="Cambria Math" w:cs="Arial"/>
                          </w:rPr>
                          <m:t>.log⁡(</m:t>
                        </m:r>
                        <m:r>
                          <w:rPr>
                            <w:rFonts w:ascii="Cambria Math" w:hAnsi="Cambria Math" w:cs="Arial"/>
                          </w:rPr>
                          <m:t>p</m:t>
                        </m:r>
                      </m:e>
                      <m:sub>
                        <m:r>
                          <w:rPr>
                            <w:rFonts w:ascii="Cambria Math" w:hAnsi="Cambria Math" w:cs="Arial"/>
                          </w:rPr>
                          <m:t>i</m:t>
                        </m:r>
                        <m:r>
                          <m:rPr>
                            <m:sty m:val="p"/>
                          </m:rPr>
                          <w:rPr>
                            <w:rFonts w:ascii="Cambria Math" w:hAnsi="Cambria Math" w:cs="Arial"/>
                          </w:rPr>
                          <m:t>...</m:t>
                        </m:r>
                        <m:r>
                          <w:rPr>
                            <w:rFonts w:ascii="Cambria Math" w:hAnsi="Cambria Math" w:cs="Arial"/>
                          </w:rPr>
                          <m:t>k</m:t>
                        </m:r>
                      </m:sub>
                    </m:sSub>
                    <m:r>
                      <m:rPr>
                        <m:sty m:val="p"/>
                      </m:rPr>
                      <w:rPr>
                        <w:rFonts w:ascii="Cambria Math" w:hAnsi="Cambria Math" w:cs="Arial"/>
                      </w:rPr>
                      <m:t>)</m:t>
                    </m:r>
                  </m:e>
                </m:nary>
              </m:oMath>
            </m:oMathPara>
          </w:p>
        </w:tc>
        <w:tc>
          <w:tcPr>
            <w:tcW w:w="560" w:type="dxa"/>
            <w:vAlign w:val="center"/>
          </w:tcPr>
          <w:p w14:paraId="0DB44FB1" w14:textId="7EA96F9D" w:rsidR="00791805" w:rsidRPr="00864CA3" w:rsidRDefault="00791805" w:rsidP="00864CA3">
            <w:pPr>
              <w:pStyle w:val="CETEquation"/>
              <w:rPr>
                <w:rFonts w:cs="Arial"/>
              </w:rPr>
            </w:pPr>
            <w:r w:rsidRPr="00864CA3">
              <w:rPr>
                <w:rFonts w:cs="Arial"/>
              </w:rPr>
              <w:t>(3)</w:t>
            </w:r>
          </w:p>
        </w:tc>
      </w:tr>
      <w:tr w:rsidR="00791805" w:rsidRPr="00864CA3" w14:paraId="67AC4018" w14:textId="77777777" w:rsidTr="00864CA3">
        <w:tc>
          <w:tcPr>
            <w:tcW w:w="8217" w:type="dxa"/>
            <w:vAlign w:val="center"/>
          </w:tcPr>
          <w:p w14:paraId="1F3DC384" w14:textId="3EECB9D3" w:rsidR="00791805" w:rsidRPr="00864CA3" w:rsidRDefault="0043552D" w:rsidP="00864CA3">
            <w:pPr>
              <w:pStyle w:val="CETEquation"/>
              <w:rPr>
                <w:rFonts w:cs="Arial"/>
              </w:rPr>
            </w:pPr>
            <m:oMathPara>
              <m:oMathParaPr>
                <m:jc m:val="left"/>
              </m:oMathParaPr>
              <m:oMath>
                <m:sSub>
                  <m:sSubPr>
                    <m:ctrlPr>
                      <w:rPr>
                        <w:rFonts w:ascii="Cambria Math" w:hAnsi="Cambria Math" w:cs="Arial"/>
                      </w:rPr>
                    </m:ctrlPr>
                  </m:sSubPr>
                  <m:e>
                    <m:r>
                      <w:rPr>
                        <w:rFonts w:ascii="Cambria Math" w:hAnsi="Cambria Math" w:cs="Arial"/>
                      </w:rPr>
                      <m:t>H</m:t>
                    </m:r>
                  </m:e>
                  <m:sub>
                    <m:r>
                      <w:rPr>
                        <w:rFonts w:ascii="Cambria Math" w:hAnsi="Cambria Math" w:cs="Arial"/>
                      </w:rPr>
                      <m:t>bin</m:t>
                    </m:r>
                  </m:sub>
                </m:sSub>
                <m:d>
                  <m:dPr>
                    <m:ctrlPr>
                      <w:rPr>
                        <w:rFonts w:ascii="Cambria Math" w:hAnsi="Cambria Math" w:cs="Arial"/>
                      </w:rPr>
                    </m:ctrlPr>
                  </m:dPr>
                  <m:e>
                    <m:r>
                      <w:rPr>
                        <w:rFonts w:ascii="Cambria Math" w:hAnsi="Cambria Math" w:cs="Arial"/>
                      </w:rPr>
                      <m:t>p</m:t>
                    </m:r>
                  </m:e>
                </m:d>
                <m:r>
                  <m:rPr>
                    <m:sty m:val="p"/>
                  </m:rPr>
                  <w:rPr>
                    <w:rFonts w:ascii="Cambria Math" w:hAnsi="Cambria Math" w:cs="Arial"/>
                  </w:rPr>
                  <m:t>=-</m:t>
                </m:r>
                <m:r>
                  <w:rPr>
                    <w:rFonts w:ascii="Cambria Math" w:hAnsi="Cambria Math" w:cs="Arial"/>
                  </w:rPr>
                  <m:t>p</m:t>
                </m:r>
                <m:r>
                  <m:rPr>
                    <m:sty m:val="p"/>
                  </m:rPr>
                  <w:rPr>
                    <w:rFonts w:ascii="Cambria Math" w:hAnsi="Cambria Math" w:cs="Arial"/>
                  </w:rPr>
                  <m:t>.</m:t>
                </m:r>
                <m:func>
                  <m:funcPr>
                    <m:ctrlPr>
                      <w:rPr>
                        <w:rFonts w:ascii="Cambria Math" w:hAnsi="Cambria Math" w:cs="Arial"/>
                      </w:rPr>
                    </m:ctrlPr>
                  </m:funcPr>
                  <m:fName>
                    <m:r>
                      <m:rPr>
                        <m:sty m:val="p"/>
                      </m:rPr>
                      <w:rPr>
                        <w:rFonts w:ascii="Cambria Math" w:hAnsi="Cambria Math" w:cs="Arial"/>
                      </w:rPr>
                      <m:t>log</m:t>
                    </m:r>
                  </m:fName>
                  <m:e>
                    <m:d>
                      <m:dPr>
                        <m:ctrlPr>
                          <w:rPr>
                            <w:rFonts w:ascii="Cambria Math" w:hAnsi="Cambria Math" w:cs="Arial"/>
                          </w:rPr>
                        </m:ctrlPr>
                      </m:dPr>
                      <m:e>
                        <m:r>
                          <w:rPr>
                            <w:rFonts w:ascii="Cambria Math" w:hAnsi="Cambria Math" w:cs="Arial"/>
                          </w:rPr>
                          <m:t>p</m:t>
                        </m:r>
                      </m:e>
                    </m:d>
                  </m:e>
                </m:func>
                <m:r>
                  <m:rPr>
                    <m:sty m:val="p"/>
                  </m:rPr>
                  <w:rPr>
                    <w:rFonts w:ascii="Cambria Math" w:hAnsi="Cambria Math" w:cs="Arial"/>
                  </w:rPr>
                  <m:t>-</m:t>
                </m:r>
                <m:d>
                  <m:dPr>
                    <m:ctrlPr>
                      <w:rPr>
                        <w:rFonts w:ascii="Cambria Math" w:hAnsi="Cambria Math" w:cs="Arial"/>
                      </w:rPr>
                    </m:ctrlPr>
                  </m:dPr>
                  <m:e>
                    <m:r>
                      <m:rPr>
                        <m:sty m:val="p"/>
                      </m:rPr>
                      <w:rPr>
                        <w:rFonts w:ascii="Cambria Math" w:hAnsi="Cambria Math" w:cs="Arial"/>
                      </w:rPr>
                      <m:t>1-</m:t>
                    </m:r>
                    <m:r>
                      <w:rPr>
                        <w:rFonts w:ascii="Cambria Math" w:hAnsi="Cambria Math" w:cs="Arial"/>
                      </w:rPr>
                      <m:t>p</m:t>
                    </m:r>
                  </m:e>
                </m:d>
                <m:r>
                  <m:rPr>
                    <m:sty m:val="p"/>
                  </m:rPr>
                  <w:rPr>
                    <w:rFonts w:ascii="Cambria Math" w:hAnsi="Cambria Math" w:cs="Arial"/>
                  </w:rPr>
                  <m:t>.</m:t>
                </m:r>
                <m:func>
                  <m:funcPr>
                    <m:ctrlPr>
                      <w:rPr>
                        <w:rFonts w:ascii="Cambria Math" w:hAnsi="Cambria Math" w:cs="Arial"/>
                      </w:rPr>
                    </m:ctrlPr>
                  </m:funcPr>
                  <m:fName>
                    <m:r>
                      <m:rPr>
                        <m:sty m:val="p"/>
                      </m:rPr>
                      <w:rPr>
                        <w:rFonts w:ascii="Cambria Math" w:hAnsi="Cambria Math" w:cs="Arial"/>
                      </w:rPr>
                      <m:t>log</m:t>
                    </m:r>
                  </m:fName>
                  <m:e>
                    <m:d>
                      <m:dPr>
                        <m:ctrlPr>
                          <w:rPr>
                            <w:rFonts w:ascii="Cambria Math" w:hAnsi="Cambria Math" w:cs="Arial"/>
                          </w:rPr>
                        </m:ctrlPr>
                      </m:dPr>
                      <m:e>
                        <m:r>
                          <m:rPr>
                            <m:sty m:val="p"/>
                          </m:rPr>
                          <w:rPr>
                            <w:rFonts w:ascii="Cambria Math" w:hAnsi="Cambria Math" w:cs="Arial"/>
                          </w:rPr>
                          <m:t>1-</m:t>
                        </m:r>
                        <m:r>
                          <w:rPr>
                            <w:rFonts w:ascii="Cambria Math" w:hAnsi="Cambria Math" w:cs="Arial"/>
                          </w:rPr>
                          <m:t>p</m:t>
                        </m:r>
                      </m:e>
                    </m:d>
                  </m:e>
                </m:func>
              </m:oMath>
            </m:oMathPara>
          </w:p>
        </w:tc>
        <w:tc>
          <w:tcPr>
            <w:tcW w:w="560" w:type="dxa"/>
            <w:vAlign w:val="center"/>
          </w:tcPr>
          <w:p w14:paraId="1F826011" w14:textId="3CD05695" w:rsidR="00791805" w:rsidRPr="00864CA3" w:rsidRDefault="00791805" w:rsidP="00864CA3">
            <w:pPr>
              <w:pStyle w:val="CETEquation"/>
              <w:rPr>
                <w:rFonts w:cs="Arial"/>
              </w:rPr>
            </w:pPr>
            <w:r w:rsidRPr="00864CA3">
              <w:rPr>
                <w:rFonts w:cs="Arial"/>
              </w:rPr>
              <w:t>(4)</w:t>
            </w:r>
          </w:p>
        </w:tc>
      </w:tr>
    </w:tbl>
    <w:p w14:paraId="19ADCB91" w14:textId="77777777" w:rsidR="00791805" w:rsidRDefault="00791805" w:rsidP="00E57CFB">
      <w:pPr>
        <w:pStyle w:val="CETBodytext"/>
      </w:pPr>
    </w:p>
    <w:p w14:paraId="4B987AB9" w14:textId="3BB5EEBD" w:rsidR="00E57CFB" w:rsidRDefault="00E57CFB" w:rsidP="00864CA3">
      <w:pPr>
        <w:pStyle w:val="CETEquation"/>
      </w:pPr>
      <w:r>
        <w:t>Where:</w:t>
      </w:r>
    </w:p>
    <w:p w14:paraId="33A8DC95" w14:textId="77777777" w:rsidR="00E57CFB" w:rsidRDefault="00E57CFB" w:rsidP="00BD3483">
      <w:pPr>
        <w:pStyle w:val="CETBodytext"/>
      </w:pPr>
      <w:r>
        <w:rPr>
          <w:i/>
        </w:rPr>
        <w:t>H</w:t>
      </w:r>
      <w:r>
        <w:t>(</w:t>
      </w:r>
      <w:r>
        <w:rPr>
          <w:i/>
        </w:rPr>
        <w:t>P</w:t>
      </w:r>
      <w:r>
        <w:t>) = entropy of a random variable;</w:t>
      </w:r>
    </w:p>
    <w:p w14:paraId="7022FDA4" w14:textId="77777777" w:rsidR="00E57CFB" w:rsidRDefault="00E57CFB" w:rsidP="00BD3483">
      <w:pPr>
        <w:pStyle w:val="CETBodytext"/>
      </w:pPr>
      <w:r>
        <w:rPr>
          <w:i/>
        </w:rPr>
        <w:t>p</w:t>
      </w:r>
      <w:r>
        <w:rPr>
          <w:i/>
          <w:vertAlign w:val="subscript"/>
        </w:rPr>
        <w:t>i</w:t>
      </w:r>
      <w:r>
        <w:rPr>
          <w:i/>
        </w:rPr>
        <w:t xml:space="preserve"> </w:t>
      </w:r>
      <w:r>
        <w:t xml:space="preserve">is the probability of the </w:t>
      </w:r>
      <w:r>
        <w:rPr>
          <w:i/>
        </w:rPr>
        <w:t>i</w:t>
      </w:r>
      <w:r>
        <w:rPr>
          <w:i/>
          <w:vertAlign w:val="subscript"/>
        </w:rPr>
        <w:t>th</w:t>
      </w:r>
      <w:r>
        <w:t xml:space="preserve"> outcome for a variable;</w:t>
      </w:r>
    </w:p>
    <w:p w14:paraId="096981A8" w14:textId="77777777" w:rsidR="00E57CFB" w:rsidRDefault="00E57CFB" w:rsidP="00BD3483">
      <w:pPr>
        <w:pStyle w:val="CETBodytext"/>
      </w:pPr>
      <w:r>
        <w:rPr>
          <w:i/>
        </w:rPr>
        <w:t xml:space="preserve">n </w:t>
      </w:r>
      <w:r>
        <w:t>is the number of possible outcomes for a variable;</w:t>
      </w:r>
    </w:p>
    <w:p w14:paraId="2F9FADEC" w14:textId="77777777" w:rsidR="00E57CFB" w:rsidRDefault="00E57CFB" w:rsidP="00BD3483">
      <w:pPr>
        <w:pStyle w:val="CETBodytext"/>
        <w:rPr>
          <w:i/>
        </w:rPr>
      </w:pPr>
      <w:r>
        <w:rPr>
          <w:i/>
        </w:rPr>
        <w:t>m</w:t>
      </w:r>
      <w:r>
        <w:t xml:space="preserve"> is the number of elements in a given dimension of the problem;</w:t>
      </w:r>
    </w:p>
    <w:p w14:paraId="1BE010CD" w14:textId="60FFAFF7" w:rsidR="00E57CFB" w:rsidRDefault="00E57CFB" w:rsidP="00BD3483">
      <w:pPr>
        <w:pStyle w:val="CETBodytext"/>
      </w:pPr>
      <w:r>
        <w:rPr>
          <w:i/>
        </w:rPr>
        <w:t>p</w:t>
      </w:r>
      <w:r>
        <w:rPr>
          <w:i/>
          <w:vertAlign w:val="subscript"/>
        </w:rPr>
        <w:t>i…k</w:t>
      </w:r>
      <w:r>
        <w:rPr>
          <w:i/>
        </w:rPr>
        <w:t xml:space="preserve"> </w:t>
      </w:r>
      <w:r>
        <w:t xml:space="preserve">are the probabilities of the possible outcomes for the variables in a </w:t>
      </w:r>
      <w:r w:rsidR="00BD3483">
        <w:t>multidimensional</w:t>
      </w:r>
      <w:r>
        <w:t xml:space="preserve"> problem.</w:t>
      </w:r>
    </w:p>
    <w:p w14:paraId="4916482F" w14:textId="77777777" w:rsidR="00B92C41" w:rsidRDefault="00B92C41" w:rsidP="00B92C41">
      <w:pPr>
        <w:pStyle w:val="CETBodytext"/>
        <w:rPr>
          <w:lang w:val="en-GB"/>
        </w:rPr>
      </w:pPr>
    </w:p>
    <w:p w14:paraId="3C23EBB5" w14:textId="3CA54CCC" w:rsidR="00B92C41" w:rsidRDefault="00B92C41" w:rsidP="00B92C41">
      <w:pPr>
        <w:pStyle w:val="CETBodytext"/>
      </w:pPr>
      <w:r>
        <w:rPr>
          <w:lang w:val="en-GB"/>
        </w:rPr>
        <w:t xml:space="preserve">As the complexity </w:t>
      </w:r>
      <w:r>
        <w:rPr>
          <w:rFonts w:cs="Arial"/>
          <w:lang w:val="en-GB"/>
        </w:rPr>
        <w:t xml:space="preserve">depends on the network’s size, a relative metric is due, given by the absolute entropy provided by Equation (3) divided by the maximum possible entropy. </w:t>
      </w:r>
      <w:r>
        <w:rPr>
          <w:rFonts w:cs="Arial"/>
          <w:i/>
          <w:iCs/>
          <w:lang w:val="en-GB"/>
        </w:rPr>
        <w:t>H</w:t>
      </w:r>
      <w:r>
        <w:rPr>
          <w:rFonts w:cs="Arial"/>
          <w:lang w:val="en-GB"/>
        </w:rPr>
        <w:t>(</w:t>
      </w:r>
      <w:r>
        <w:rPr>
          <w:rFonts w:cs="Arial"/>
          <w:i/>
          <w:iCs/>
          <w:lang w:val="en-GB"/>
        </w:rPr>
        <w:t>P</w:t>
      </w:r>
      <w:r>
        <w:rPr>
          <w:rFonts w:cs="Arial"/>
          <w:lang w:val="en-GB"/>
        </w:rPr>
        <w:t xml:space="preserve">) reaches its maximum when </w:t>
      </w:r>
      <w:r>
        <w:rPr>
          <w:rFonts w:cs="Arial"/>
          <w:i/>
          <w:iCs/>
          <w:lang w:val="en-GB"/>
        </w:rPr>
        <w:t>p</w:t>
      </w:r>
      <w:r>
        <w:rPr>
          <w:rFonts w:cs="Arial"/>
          <w:lang w:val="en-GB"/>
        </w:rPr>
        <w:t xml:space="preserve"> = 0.5 for every operation. Since </w:t>
      </w:r>
      <m:oMath>
        <m:r>
          <w:rPr>
            <w:rFonts w:ascii="Cambria Math" w:hAnsi="Cambria Math" w:cs="Arial"/>
            <w:lang w:val="en-GB"/>
          </w:rPr>
          <m:t>H(p)=H(1-p)</m:t>
        </m:r>
      </m:oMath>
      <w:r>
        <w:rPr>
          <w:rFonts w:cs="Arial"/>
          <w:lang w:val="en-GB"/>
        </w:rPr>
        <w:t>, when the probability of the existence of a complexity driver is 0% or 100%, variability is equally null, and the resulting increase in complexity is identical in both cases. However, the degree of complication is greater in the second case, reinforcing the notion that complexity and complication</w:t>
      </w:r>
      <w:r>
        <w:rPr>
          <w:lang w:val="en-GB"/>
        </w:rPr>
        <w:t xml:space="preserve"> are not synonymous (Sellitto et al., 2024). For example, in both studied cases, managing compliance with environmental regulation is necessary for all orders, so the probability of needing further action is 100% and the complement is 0%. Even more complicated, the complexity is the same, as the variability or uncertainty in merit is null.   </w:t>
      </w:r>
    </w:p>
    <w:p w14:paraId="304E4F3A" w14:textId="79DC718C" w:rsidR="00E57CFB" w:rsidRDefault="00BD3483" w:rsidP="00BD3483">
      <w:pPr>
        <w:pStyle w:val="CETHeading1"/>
        <w:tabs>
          <w:tab w:val="num" w:pos="360"/>
        </w:tabs>
        <w:rPr>
          <w:lang w:val="en-GB"/>
        </w:rPr>
      </w:pPr>
      <w:r w:rsidRPr="00BD3483">
        <w:rPr>
          <w:lang w:val="en-GB"/>
        </w:rPr>
        <w:t>The research</w:t>
      </w:r>
    </w:p>
    <w:p w14:paraId="3C416AA8" w14:textId="06AD915C" w:rsidR="00B92C41" w:rsidRPr="00B57B36" w:rsidRDefault="00B92C41" w:rsidP="00B92C41">
      <w:pPr>
        <w:pStyle w:val="CETheadingx"/>
      </w:pPr>
      <w:r>
        <w:t>Me</w:t>
      </w:r>
      <w:r w:rsidRPr="00B57B36">
        <w:t>t</w:t>
      </w:r>
      <w:r>
        <w:t>hodology</w:t>
      </w:r>
    </w:p>
    <w:p w14:paraId="4A17DC8B" w14:textId="77777777" w:rsidR="00374AD8" w:rsidRPr="00374AD8" w:rsidRDefault="00374AD8" w:rsidP="00374AD8">
      <w:pPr>
        <w:pStyle w:val="CETBodytext"/>
        <w:rPr>
          <w:rFonts w:ascii="Times New Roman" w:hAnsi="Times New Roman"/>
          <w:sz w:val="24"/>
        </w:rPr>
      </w:pPr>
      <w:r>
        <w:t xml:space="preserve">The study adopted the following steps: (i) a literature review identified drivers with potential to boost complexity in wood waste reuse operations; (ii) a focus group composed of three scholars specialized in waste reuse in industrial operations evaluated the set of drivers, identified redundancies, and simplified the measurement model; (iii) two companies from the Southern Brazilian furniture industry that generate wood waste were identified. One company operates under MTS (make-to-stock), and the other under ETO (engineering-to-order); (iv) two managers from each company were interviewed and answered the question: what is the probability that a production order </w:t>
      </w:r>
      <w:r w:rsidRPr="00374AD8">
        <w:rPr>
          <w:i/>
          <w:iCs/>
        </w:rPr>
        <w:t>j</w:t>
      </w:r>
      <w:r>
        <w:t xml:space="preserve"> is affected by driver </w:t>
      </w:r>
      <w:r w:rsidRPr="00374AD8">
        <w:rPr>
          <w:i/>
          <w:iCs/>
        </w:rPr>
        <w:t>i</w:t>
      </w:r>
      <w:r>
        <w:t xml:space="preserve">? If the probability is greater than 50%, for parsimony the study assumes the complement, since </w:t>
      </w:r>
      <w:r w:rsidRPr="00374AD8">
        <w:rPr>
          <w:i/>
          <w:iCs/>
        </w:rPr>
        <w:t>H</w:t>
      </w:r>
      <w:r>
        <w:t>(</w:t>
      </w:r>
      <w:r w:rsidRPr="00374AD8">
        <w:rPr>
          <w:i/>
          <w:iCs/>
        </w:rPr>
        <w:t>p</w:t>
      </w:r>
      <w:r>
        <w:t xml:space="preserve">) = </w:t>
      </w:r>
      <w:r w:rsidRPr="00374AD8">
        <w:rPr>
          <w:i/>
          <w:iCs/>
        </w:rPr>
        <w:t>H</w:t>
      </w:r>
      <w:r>
        <w:t>(1-</w:t>
      </w:r>
      <w:r w:rsidRPr="00374AD8">
        <w:rPr>
          <w:i/>
          <w:iCs/>
        </w:rPr>
        <w:t>p</w:t>
      </w:r>
      <w:r>
        <w:t xml:space="preserve">) (v). Using Shannon entropy, the increase in complexity due to waste reuse was calculated, compared, and discussed. The calculation embraces two outcomes and four operations: collection, processing, storage, and destination, so Equations (3-4) are due. </w:t>
      </w:r>
    </w:p>
    <w:p w14:paraId="4813D78F" w14:textId="584BCEAC" w:rsidR="00B92C41" w:rsidRPr="00374AD8" w:rsidRDefault="00374AD8" w:rsidP="00374AD8">
      <w:pPr>
        <w:pStyle w:val="CETheadingx"/>
      </w:pPr>
      <w:r>
        <w:t>Results and discussion</w:t>
      </w:r>
    </w:p>
    <w:p w14:paraId="3C7A3657" w14:textId="77777777" w:rsidR="00374AD8" w:rsidRPr="00374AD8" w:rsidRDefault="00374AD8" w:rsidP="00374AD8">
      <w:pPr>
        <w:pStyle w:val="CETBodytext"/>
        <w:rPr>
          <w:rFonts w:ascii="Times New Roman" w:hAnsi="Times New Roman"/>
          <w:sz w:val="24"/>
        </w:rPr>
      </w:pPr>
      <w:r>
        <w:t>The first operation involves the production of standardized components for the furniture industry and generates approximately 20% waste, which is solid (offcuts, cutting leftovers, defective parts, and panel remnants) or particulate (sawdust, wood shavings, chips, and wood dust). The materials are collected, sorted, packaged, stored, and dispatched by logistics operators for further application. The ETO operation may generate up to 50% waste, consisting of solid particulates and leftovers that require segregation, such as glues, resins, adhesives, paints, varnishes, or solvents that emit volatile organic compounds (VOCs). Given the volume, the company produces briquettes for combustion in industrial boilers, which requires industrial machines. Comparing the processes, the first case is expected to be less complex.</w:t>
      </w:r>
    </w:p>
    <w:p w14:paraId="378383B1" w14:textId="77777777" w:rsidR="00374AD8" w:rsidRDefault="00374AD8" w:rsidP="00374AD8">
      <w:pPr>
        <w:pStyle w:val="CETBodytext"/>
      </w:pPr>
      <w:r>
        <w:t>Wood waste reuse systems exhibit structural and operational complexity arising from the interactions among sources of variability, technological choices, logistical constraints, and multi-level decision dependencies across industrial networks. A review of the literature identified the most important factors that could increase complexity in wood waste reuse operations. The scholars evaluated the drivers and suggested reducing indicators by aggregating those deemed similar or correlated across the studied cases. For further applications, the original, complete model should be considered. The companies’ managers evaluated the probability of each driver being active (and therefore requiring further coordination actions) in the fulfilment of the production order across four processes: collection (C), processing (P), storage (S), and destination (D). The evaluation included consulting the production orders’ database of the companies and a technical evaluation in the field supported by practitioners. Table 1 synthesizes the drivers, classified as safety (S), environment (EV), and economic (EC) concerns. Tables 2 and 3 show the probabilities and the entropies of the operations calculated by Equation 3.</w:t>
      </w:r>
    </w:p>
    <w:p w14:paraId="7BAB2B79" w14:textId="77777777" w:rsidR="00117295" w:rsidRDefault="00117295" w:rsidP="00117295">
      <w:pPr>
        <w:pStyle w:val="CETTabletitle"/>
      </w:pPr>
      <w:r>
        <w:lastRenderedPageBreak/>
        <w:t>Table 1: Drivers of complexity in wood waste reuse operations</w:t>
      </w:r>
    </w:p>
    <w:tbl>
      <w:tblPr>
        <w:tblW w:w="8789"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2410"/>
        <w:gridCol w:w="4394"/>
        <w:gridCol w:w="1985"/>
      </w:tblGrid>
      <w:tr w:rsidR="00117295" w14:paraId="08937532" w14:textId="77777777" w:rsidTr="00117295">
        <w:tc>
          <w:tcPr>
            <w:tcW w:w="2410" w:type="dxa"/>
            <w:tcBorders>
              <w:top w:val="single" w:sz="12" w:space="0" w:color="008000"/>
              <w:left w:val="nil"/>
              <w:bottom w:val="single" w:sz="6" w:space="0" w:color="008000"/>
              <w:right w:val="nil"/>
            </w:tcBorders>
            <w:shd w:val="clear" w:color="auto" w:fill="FFFFFF"/>
            <w:hideMark/>
          </w:tcPr>
          <w:p w14:paraId="70AFC1E8" w14:textId="77777777" w:rsidR="00117295" w:rsidRDefault="00117295">
            <w:pPr>
              <w:pStyle w:val="CETBodytext"/>
              <w:rPr>
                <w:lang w:val="en-GB"/>
              </w:rPr>
            </w:pPr>
            <w:r>
              <w:rPr>
                <w:lang w:val="en-GB"/>
              </w:rPr>
              <w:t>Driver</w:t>
            </w:r>
          </w:p>
        </w:tc>
        <w:tc>
          <w:tcPr>
            <w:tcW w:w="4394" w:type="dxa"/>
            <w:tcBorders>
              <w:top w:val="single" w:sz="12" w:space="0" w:color="008000"/>
              <w:left w:val="nil"/>
              <w:bottom w:val="single" w:sz="6" w:space="0" w:color="008000"/>
              <w:right w:val="nil"/>
            </w:tcBorders>
            <w:shd w:val="clear" w:color="auto" w:fill="FFFFFF"/>
            <w:hideMark/>
          </w:tcPr>
          <w:p w14:paraId="21AED25A" w14:textId="77777777" w:rsidR="00117295" w:rsidRDefault="00117295">
            <w:pPr>
              <w:pStyle w:val="CETBodytext"/>
              <w:rPr>
                <w:lang w:val="en-GB"/>
              </w:rPr>
            </w:pPr>
            <w:r>
              <w:rPr>
                <w:lang w:val="en-GB"/>
              </w:rPr>
              <w:t>Description</w:t>
            </w:r>
          </w:p>
        </w:tc>
        <w:tc>
          <w:tcPr>
            <w:tcW w:w="1985" w:type="dxa"/>
            <w:tcBorders>
              <w:top w:val="single" w:sz="12" w:space="0" w:color="008000"/>
              <w:left w:val="nil"/>
              <w:bottom w:val="single" w:sz="6" w:space="0" w:color="008000"/>
              <w:right w:val="nil"/>
            </w:tcBorders>
            <w:shd w:val="clear" w:color="auto" w:fill="FFFFFF"/>
            <w:hideMark/>
          </w:tcPr>
          <w:p w14:paraId="4AC87DEB" w14:textId="77777777" w:rsidR="00117295" w:rsidRDefault="00117295">
            <w:pPr>
              <w:pStyle w:val="CETBodytext"/>
              <w:ind w:right="-1"/>
              <w:rPr>
                <w:rFonts w:cs="Arial"/>
                <w:szCs w:val="18"/>
                <w:lang w:val="en-GB"/>
              </w:rPr>
            </w:pPr>
            <w:r>
              <w:rPr>
                <w:rFonts w:cs="Arial"/>
                <w:szCs w:val="18"/>
                <w:lang w:val="en-GB"/>
              </w:rPr>
              <w:t>Empirical reference</w:t>
            </w:r>
          </w:p>
        </w:tc>
      </w:tr>
      <w:tr w:rsidR="00117295" w14:paraId="2C8E7110" w14:textId="77777777" w:rsidTr="00117295">
        <w:tc>
          <w:tcPr>
            <w:tcW w:w="2410" w:type="dxa"/>
            <w:tcBorders>
              <w:top w:val="nil"/>
              <w:left w:val="nil"/>
              <w:bottom w:val="nil"/>
              <w:right w:val="nil"/>
            </w:tcBorders>
            <w:shd w:val="clear" w:color="auto" w:fill="FFFFFF"/>
            <w:hideMark/>
          </w:tcPr>
          <w:p w14:paraId="1C03A3F5" w14:textId="77777777" w:rsidR="00117295" w:rsidRDefault="00117295">
            <w:pPr>
              <w:pStyle w:val="CETBodytext"/>
              <w:jc w:val="left"/>
            </w:pPr>
            <w:r>
              <w:t>Technology route selection (S1)</w:t>
            </w:r>
          </w:p>
        </w:tc>
        <w:tc>
          <w:tcPr>
            <w:tcW w:w="4394" w:type="dxa"/>
            <w:tcBorders>
              <w:top w:val="nil"/>
              <w:left w:val="nil"/>
              <w:bottom w:val="nil"/>
              <w:right w:val="nil"/>
            </w:tcBorders>
            <w:shd w:val="clear" w:color="auto" w:fill="auto"/>
            <w:hideMark/>
          </w:tcPr>
          <w:p w14:paraId="52B5A899" w14:textId="77777777" w:rsidR="00117295" w:rsidRDefault="00117295">
            <w:pPr>
              <w:pStyle w:val="CETBodytext"/>
              <w:jc w:val="left"/>
            </w:pPr>
            <w:r>
              <w:t>Choice among combustion, gasification, pyrolysis, panel manufacturing, or chemical conversion.</w:t>
            </w:r>
          </w:p>
        </w:tc>
        <w:tc>
          <w:tcPr>
            <w:tcW w:w="1985" w:type="dxa"/>
            <w:tcBorders>
              <w:top w:val="nil"/>
              <w:left w:val="nil"/>
              <w:bottom w:val="nil"/>
              <w:right w:val="nil"/>
            </w:tcBorders>
            <w:shd w:val="clear" w:color="auto" w:fill="auto"/>
            <w:hideMark/>
          </w:tcPr>
          <w:p w14:paraId="1E11D112" w14:textId="77777777" w:rsidR="00117295" w:rsidRDefault="00117295">
            <w:pPr>
              <w:pStyle w:val="CETBodytext"/>
              <w:ind w:right="-1"/>
              <w:jc w:val="left"/>
            </w:pPr>
            <w:r>
              <w:t>(Rosas et al., 2020)</w:t>
            </w:r>
          </w:p>
        </w:tc>
      </w:tr>
      <w:tr w:rsidR="00117295" w14:paraId="6863CBAB" w14:textId="77777777" w:rsidTr="00117295">
        <w:tc>
          <w:tcPr>
            <w:tcW w:w="2410" w:type="dxa"/>
            <w:tcBorders>
              <w:top w:val="nil"/>
              <w:left w:val="nil"/>
              <w:bottom w:val="nil"/>
              <w:right w:val="nil"/>
            </w:tcBorders>
            <w:shd w:val="clear" w:color="auto" w:fill="FFFFFF"/>
            <w:hideMark/>
          </w:tcPr>
          <w:p w14:paraId="6F943E43" w14:textId="77777777" w:rsidR="00117295" w:rsidRDefault="00117295">
            <w:pPr>
              <w:pStyle w:val="CETBodytext"/>
              <w:jc w:val="left"/>
            </w:pPr>
            <w:r>
              <w:t>Pre-treatment requirements (S2)</w:t>
            </w:r>
          </w:p>
        </w:tc>
        <w:tc>
          <w:tcPr>
            <w:tcW w:w="4394" w:type="dxa"/>
            <w:tcBorders>
              <w:top w:val="nil"/>
              <w:left w:val="nil"/>
              <w:bottom w:val="nil"/>
              <w:right w:val="nil"/>
            </w:tcBorders>
            <w:shd w:val="clear" w:color="auto" w:fill="auto"/>
            <w:hideMark/>
          </w:tcPr>
          <w:p w14:paraId="25258D2C" w14:textId="77777777" w:rsidR="00117295" w:rsidRDefault="00117295">
            <w:pPr>
              <w:pStyle w:val="CETBodytext"/>
              <w:jc w:val="left"/>
            </w:pPr>
            <w:r>
              <w:t xml:space="preserve">Drying, grinding, classification, and homogenization may introduce additional energy and material decisions </w:t>
            </w:r>
          </w:p>
        </w:tc>
        <w:tc>
          <w:tcPr>
            <w:tcW w:w="1985" w:type="dxa"/>
            <w:tcBorders>
              <w:top w:val="nil"/>
              <w:left w:val="nil"/>
              <w:bottom w:val="nil"/>
              <w:right w:val="nil"/>
            </w:tcBorders>
            <w:shd w:val="clear" w:color="auto" w:fill="auto"/>
            <w:hideMark/>
          </w:tcPr>
          <w:p w14:paraId="2CA59C24" w14:textId="77777777" w:rsidR="00117295" w:rsidRDefault="00117295">
            <w:pPr>
              <w:pStyle w:val="CETBodytext"/>
              <w:ind w:right="-1"/>
              <w:jc w:val="left"/>
            </w:pPr>
            <w:r>
              <w:t>(Liu, 2015)</w:t>
            </w:r>
          </w:p>
        </w:tc>
      </w:tr>
      <w:tr w:rsidR="00117295" w:rsidRPr="003C082F" w14:paraId="1C4CD4AF" w14:textId="77777777" w:rsidTr="00117295">
        <w:tc>
          <w:tcPr>
            <w:tcW w:w="2410" w:type="dxa"/>
            <w:tcBorders>
              <w:top w:val="nil"/>
              <w:left w:val="nil"/>
              <w:bottom w:val="nil"/>
              <w:right w:val="nil"/>
            </w:tcBorders>
            <w:shd w:val="clear" w:color="auto" w:fill="FFFFFF"/>
            <w:hideMark/>
          </w:tcPr>
          <w:p w14:paraId="578960F9" w14:textId="77777777" w:rsidR="00117295" w:rsidRDefault="00117295">
            <w:pPr>
              <w:pStyle w:val="CETBodytext"/>
              <w:jc w:val="left"/>
            </w:pPr>
            <w:r>
              <w:t>Storage and degradation (S3)</w:t>
            </w:r>
          </w:p>
        </w:tc>
        <w:tc>
          <w:tcPr>
            <w:tcW w:w="4394" w:type="dxa"/>
            <w:tcBorders>
              <w:top w:val="nil"/>
              <w:left w:val="nil"/>
              <w:bottom w:val="nil"/>
              <w:right w:val="nil"/>
            </w:tcBorders>
            <w:shd w:val="clear" w:color="auto" w:fill="auto"/>
            <w:hideMark/>
          </w:tcPr>
          <w:p w14:paraId="4C5A01FB" w14:textId="77777777" w:rsidR="00117295" w:rsidRDefault="00117295">
            <w:pPr>
              <w:pStyle w:val="CETBodytext"/>
              <w:jc w:val="left"/>
            </w:pPr>
            <w:r>
              <w:t>Physic-chemical and biological changes during the storage time affecting processing parameters.</w:t>
            </w:r>
          </w:p>
        </w:tc>
        <w:tc>
          <w:tcPr>
            <w:tcW w:w="1985" w:type="dxa"/>
            <w:tcBorders>
              <w:top w:val="nil"/>
              <w:left w:val="nil"/>
              <w:bottom w:val="nil"/>
              <w:right w:val="nil"/>
            </w:tcBorders>
            <w:shd w:val="clear" w:color="auto" w:fill="auto"/>
            <w:hideMark/>
          </w:tcPr>
          <w:p w14:paraId="340AC5A3" w14:textId="77777777" w:rsidR="00117295" w:rsidRDefault="00117295">
            <w:pPr>
              <w:pStyle w:val="CETBodytext"/>
              <w:ind w:right="-1"/>
              <w:jc w:val="left"/>
              <w:rPr>
                <w:lang w:val="it-IT"/>
              </w:rPr>
            </w:pPr>
            <w:r>
              <w:rPr>
                <w:lang w:val="it-IT"/>
              </w:rPr>
              <w:t>(Pari et al., 2020; Sellitto et al., 2012)</w:t>
            </w:r>
          </w:p>
        </w:tc>
      </w:tr>
      <w:tr w:rsidR="00117295" w14:paraId="54787886" w14:textId="77777777" w:rsidTr="00117295">
        <w:tc>
          <w:tcPr>
            <w:tcW w:w="2410" w:type="dxa"/>
            <w:tcBorders>
              <w:top w:val="nil"/>
              <w:left w:val="nil"/>
              <w:bottom w:val="nil"/>
              <w:right w:val="nil"/>
            </w:tcBorders>
            <w:shd w:val="clear" w:color="auto" w:fill="FFFFFF"/>
            <w:hideMark/>
          </w:tcPr>
          <w:p w14:paraId="4A880894" w14:textId="77777777" w:rsidR="00117295" w:rsidRDefault="00117295">
            <w:pPr>
              <w:pStyle w:val="CETBodytext"/>
              <w:jc w:val="left"/>
              <w:rPr>
                <w:lang w:val="en-GB"/>
              </w:rPr>
            </w:pPr>
            <w:r>
              <w:t>Multi-actor coordination (S4)</w:t>
            </w:r>
          </w:p>
        </w:tc>
        <w:tc>
          <w:tcPr>
            <w:tcW w:w="4394" w:type="dxa"/>
            <w:tcBorders>
              <w:top w:val="nil"/>
              <w:left w:val="nil"/>
              <w:bottom w:val="nil"/>
              <w:right w:val="nil"/>
            </w:tcBorders>
            <w:shd w:val="clear" w:color="auto" w:fill="auto"/>
            <w:hideMark/>
          </w:tcPr>
          <w:p w14:paraId="5FBDE8C9" w14:textId="77777777" w:rsidR="00117295" w:rsidRDefault="00117295">
            <w:pPr>
              <w:pStyle w:val="CETBodytext"/>
              <w:jc w:val="left"/>
            </w:pPr>
            <w:r>
              <w:t>Interactions among waste producers, processors, logistics providers, and consumers.</w:t>
            </w:r>
          </w:p>
        </w:tc>
        <w:tc>
          <w:tcPr>
            <w:tcW w:w="1985" w:type="dxa"/>
            <w:tcBorders>
              <w:top w:val="nil"/>
              <w:left w:val="nil"/>
              <w:bottom w:val="nil"/>
              <w:right w:val="nil"/>
            </w:tcBorders>
            <w:shd w:val="clear" w:color="auto" w:fill="auto"/>
            <w:hideMark/>
          </w:tcPr>
          <w:p w14:paraId="13984AC1" w14:textId="77777777" w:rsidR="00117295" w:rsidRDefault="00117295">
            <w:pPr>
              <w:pStyle w:val="CETBodytext"/>
              <w:ind w:right="-1"/>
              <w:jc w:val="left"/>
            </w:pPr>
            <w:r>
              <w:t>(Artime &amp; De Domenico, 2022)</w:t>
            </w:r>
          </w:p>
        </w:tc>
      </w:tr>
      <w:tr w:rsidR="00117295" w14:paraId="17341054" w14:textId="77777777" w:rsidTr="00117295">
        <w:trPr>
          <w:trHeight w:val="218"/>
        </w:trPr>
        <w:tc>
          <w:tcPr>
            <w:tcW w:w="2410" w:type="dxa"/>
            <w:tcBorders>
              <w:top w:val="nil"/>
              <w:left w:val="nil"/>
              <w:bottom w:val="nil"/>
              <w:right w:val="nil"/>
            </w:tcBorders>
            <w:shd w:val="clear" w:color="auto" w:fill="FFFFFF"/>
            <w:hideMark/>
          </w:tcPr>
          <w:p w14:paraId="2CB47F2D" w14:textId="77777777" w:rsidR="00117295" w:rsidRDefault="00117295">
            <w:pPr>
              <w:pStyle w:val="CETBodytext"/>
              <w:jc w:val="left"/>
            </w:pPr>
            <w:r>
              <w:t>Control and automation (S5)</w:t>
            </w:r>
          </w:p>
        </w:tc>
        <w:tc>
          <w:tcPr>
            <w:tcW w:w="4394" w:type="dxa"/>
            <w:tcBorders>
              <w:top w:val="nil"/>
              <w:left w:val="nil"/>
              <w:bottom w:val="nil"/>
              <w:right w:val="nil"/>
            </w:tcBorders>
            <w:shd w:val="clear" w:color="auto" w:fill="auto"/>
            <w:hideMark/>
          </w:tcPr>
          <w:p w14:paraId="237FBAAA" w14:textId="77777777" w:rsidR="00117295" w:rsidRDefault="00117295">
            <w:pPr>
              <w:pStyle w:val="CETBodytext"/>
              <w:jc w:val="left"/>
            </w:pPr>
            <w:r>
              <w:t>Difficulty in maintaining operational stability under variable inputs and multiple operating strategies.</w:t>
            </w:r>
          </w:p>
        </w:tc>
        <w:tc>
          <w:tcPr>
            <w:tcW w:w="1985" w:type="dxa"/>
            <w:tcBorders>
              <w:top w:val="nil"/>
              <w:left w:val="nil"/>
              <w:bottom w:val="nil"/>
              <w:right w:val="nil"/>
            </w:tcBorders>
            <w:shd w:val="clear" w:color="auto" w:fill="auto"/>
            <w:hideMark/>
          </w:tcPr>
          <w:p w14:paraId="7628D303" w14:textId="77777777" w:rsidR="00117295" w:rsidRDefault="00117295">
            <w:pPr>
              <w:pStyle w:val="CETBodytext"/>
              <w:ind w:right="-1"/>
              <w:jc w:val="left"/>
            </w:pPr>
            <w:r>
              <w:t>(Herrera-Vidal et al., 2025)</w:t>
            </w:r>
          </w:p>
        </w:tc>
      </w:tr>
      <w:tr w:rsidR="00117295" w14:paraId="145AAF43" w14:textId="77777777" w:rsidTr="00117295">
        <w:trPr>
          <w:trHeight w:val="218"/>
        </w:trPr>
        <w:tc>
          <w:tcPr>
            <w:tcW w:w="2410" w:type="dxa"/>
            <w:tcBorders>
              <w:top w:val="nil"/>
              <w:left w:val="nil"/>
              <w:bottom w:val="nil"/>
              <w:right w:val="nil"/>
            </w:tcBorders>
            <w:shd w:val="clear" w:color="auto" w:fill="FFFFFF"/>
            <w:hideMark/>
          </w:tcPr>
          <w:p w14:paraId="43633245" w14:textId="77777777" w:rsidR="00117295" w:rsidRDefault="00117295">
            <w:pPr>
              <w:pStyle w:val="CETBodytext"/>
              <w:jc w:val="left"/>
            </w:pPr>
            <w:r>
              <w:t>Collection and transport (EV1)</w:t>
            </w:r>
          </w:p>
        </w:tc>
        <w:tc>
          <w:tcPr>
            <w:tcW w:w="4394" w:type="dxa"/>
            <w:tcBorders>
              <w:top w:val="nil"/>
              <w:left w:val="nil"/>
              <w:bottom w:val="nil"/>
              <w:right w:val="nil"/>
            </w:tcBorders>
            <w:shd w:val="clear" w:color="auto" w:fill="auto"/>
            <w:hideMark/>
          </w:tcPr>
          <w:p w14:paraId="4F8C4D0B" w14:textId="77777777" w:rsidR="00117295" w:rsidRDefault="00117295">
            <w:pPr>
              <w:pStyle w:val="CETBodytext"/>
              <w:jc w:val="left"/>
            </w:pPr>
            <w:r>
              <w:t xml:space="preserve">Geographical dispersion of sources affecting transportation requirements. </w:t>
            </w:r>
          </w:p>
        </w:tc>
        <w:tc>
          <w:tcPr>
            <w:tcW w:w="1985" w:type="dxa"/>
            <w:tcBorders>
              <w:top w:val="nil"/>
              <w:left w:val="nil"/>
              <w:bottom w:val="nil"/>
              <w:right w:val="nil"/>
            </w:tcBorders>
            <w:shd w:val="clear" w:color="auto" w:fill="auto"/>
            <w:hideMark/>
          </w:tcPr>
          <w:p w14:paraId="54747FE1" w14:textId="77777777" w:rsidR="00117295" w:rsidRDefault="00117295">
            <w:pPr>
              <w:pStyle w:val="CETBodytext"/>
              <w:ind w:right="-1"/>
              <w:jc w:val="left"/>
            </w:pPr>
            <w:r>
              <w:t>(González-García and Bacenetti, 2019)</w:t>
            </w:r>
          </w:p>
        </w:tc>
      </w:tr>
      <w:tr w:rsidR="00117295" w14:paraId="22F34C12" w14:textId="77777777" w:rsidTr="00117295">
        <w:trPr>
          <w:trHeight w:val="218"/>
        </w:trPr>
        <w:tc>
          <w:tcPr>
            <w:tcW w:w="2410" w:type="dxa"/>
            <w:tcBorders>
              <w:top w:val="nil"/>
              <w:left w:val="nil"/>
              <w:bottom w:val="nil"/>
              <w:right w:val="nil"/>
            </w:tcBorders>
            <w:shd w:val="clear" w:color="auto" w:fill="FFFFFF"/>
            <w:hideMark/>
          </w:tcPr>
          <w:p w14:paraId="76024C9E" w14:textId="77777777" w:rsidR="00117295" w:rsidRDefault="00117295">
            <w:pPr>
              <w:pStyle w:val="CETBodytext"/>
              <w:jc w:val="left"/>
            </w:pPr>
            <w:r>
              <w:t>Secondary waste generation (EV2)</w:t>
            </w:r>
          </w:p>
        </w:tc>
        <w:tc>
          <w:tcPr>
            <w:tcW w:w="4394" w:type="dxa"/>
            <w:tcBorders>
              <w:top w:val="nil"/>
              <w:left w:val="nil"/>
              <w:bottom w:val="nil"/>
              <w:right w:val="nil"/>
            </w:tcBorders>
            <w:shd w:val="clear" w:color="auto" w:fill="auto"/>
            <w:hideMark/>
          </w:tcPr>
          <w:p w14:paraId="51423AD7" w14:textId="77777777" w:rsidR="00117295" w:rsidRDefault="00117295">
            <w:pPr>
              <w:pStyle w:val="CETBodytext"/>
              <w:jc w:val="left"/>
            </w:pPr>
            <w:r>
              <w:t>Production of ashes, tars, effluents, and rejects requiring further treatment or disposal.</w:t>
            </w:r>
          </w:p>
        </w:tc>
        <w:tc>
          <w:tcPr>
            <w:tcW w:w="1985" w:type="dxa"/>
            <w:tcBorders>
              <w:top w:val="nil"/>
              <w:left w:val="nil"/>
              <w:bottom w:val="nil"/>
              <w:right w:val="nil"/>
            </w:tcBorders>
            <w:shd w:val="clear" w:color="auto" w:fill="auto"/>
            <w:hideMark/>
          </w:tcPr>
          <w:p w14:paraId="74D8243E" w14:textId="77777777" w:rsidR="00117295" w:rsidRDefault="00117295">
            <w:pPr>
              <w:pStyle w:val="CETBodytext"/>
              <w:ind w:right="-1"/>
              <w:jc w:val="left"/>
            </w:pPr>
            <w:r>
              <w:t>(Arena, 2012)</w:t>
            </w:r>
          </w:p>
        </w:tc>
      </w:tr>
      <w:tr w:rsidR="00117295" w14:paraId="4C88A013" w14:textId="77777777" w:rsidTr="00117295">
        <w:trPr>
          <w:trHeight w:val="218"/>
        </w:trPr>
        <w:tc>
          <w:tcPr>
            <w:tcW w:w="2410" w:type="dxa"/>
            <w:tcBorders>
              <w:top w:val="nil"/>
              <w:left w:val="nil"/>
              <w:bottom w:val="nil"/>
              <w:right w:val="nil"/>
            </w:tcBorders>
            <w:shd w:val="clear" w:color="auto" w:fill="FFFFFF"/>
            <w:hideMark/>
          </w:tcPr>
          <w:p w14:paraId="6ABA1798" w14:textId="77777777" w:rsidR="00117295" w:rsidRDefault="00117295">
            <w:pPr>
              <w:pStyle w:val="CETBodytext"/>
              <w:jc w:val="left"/>
            </w:pPr>
            <w:r>
              <w:t>Data availability and monitoring (EV3)</w:t>
            </w:r>
          </w:p>
        </w:tc>
        <w:tc>
          <w:tcPr>
            <w:tcW w:w="4394" w:type="dxa"/>
            <w:tcBorders>
              <w:top w:val="nil"/>
              <w:left w:val="nil"/>
              <w:bottom w:val="nil"/>
              <w:right w:val="nil"/>
            </w:tcBorders>
            <w:shd w:val="clear" w:color="auto" w:fill="auto"/>
            <w:hideMark/>
          </w:tcPr>
          <w:p w14:paraId="0027FFE2" w14:textId="77777777" w:rsidR="00117295" w:rsidRDefault="00117295">
            <w:pPr>
              <w:pStyle w:val="CETBodytext"/>
              <w:jc w:val="left"/>
            </w:pPr>
            <w:r>
              <w:t xml:space="preserve">Limited real-time measurement of biomass properties and process performance </w:t>
            </w:r>
          </w:p>
        </w:tc>
        <w:tc>
          <w:tcPr>
            <w:tcW w:w="1985" w:type="dxa"/>
            <w:tcBorders>
              <w:top w:val="nil"/>
              <w:left w:val="nil"/>
              <w:bottom w:val="nil"/>
              <w:right w:val="nil"/>
            </w:tcBorders>
            <w:shd w:val="clear" w:color="auto" w:fill="auto"/>
            <w:hideMark/>
          </w:tcPr>
          <w:p w14:paraId="19903687" w14:textId="77777777" w:rsidR="00117295" w:rsidRDefault="00117295">
            <w:pPr>
              <w:pStyle w:val="CETBodytext"/>
              <w:ind w:right="-1"/>
              <w:jc w:val="left"/>
            </w:pPr>
            <w:r>
              <w:t>(Rosas et al., 2020).</w:t>
            </w:r>
          </w:p>
        </w:tc>
      </w:tr>
      <w:tr w:rsidR="00117295" w14:paraId="0D6ECAF2" w14:textId="77777777" w:rsidTr="00117295">
        <w:tc>
          <w:tcPr>
            <w:tcW w:w="2410" w:type="dxa"/>
            <w:tcBorders>
              <w:top w:val="nil"/>
              <w:left w:val="nil"/>
              <w:bottom w:val="nil"/>
              <w:right w:val="nil"/>
            </w:tcBorders>
            <w:shd w:val="clear" w:color="auto" w:fill="FFFFFF"/>
            <w:hideMark/>
          </w:tcPr>
          <w:p w14:paraId="3071E89A" w14:textId="77777777" w:rsidR="00117295" w:rsidRDefault="00117295">
            <w:pPr>
              <w:jc w:val="left"/>
            </w:pPr>
            <w:r>
              <w:t>Regulatory constraints (EV4)</w:t>
            </w:r>
          </w:p>
        </w:tc>
        <w:tc>
          <w:tcPr>
            <w:tcW w:w="4394" w:type="dxa"/>
            <w:tcBorders>
              <w:top w:val="nil"/>
              <w:left w:val="nil"/>
              <w:bottom w:val="nil"/>
              <w:right w:val="nil"/>
            </w:tcBorders>
            <w:shd w:val="clear" w:color="auto" w:fill="auto"/>
            <w:hideMark/>
          </w:tcPr>
          <w:p w14:paraId="1CF536FC" w14:textId="77777777" w:rsidR="00117295" w:rsidRDefault="00117295">
            <w:pPr>
              <w:pStyle w:val="CETBodytext"/>
              <w:jc w:val="left"/>
            </w:pPr>
            <w:r>
              <w:t>Emission limits, product quality standards, and traceability requirements.</w:t>
            </w:r>
          </w:p>
        </w:tc>
        <w:tc>
          <w:tcPr>
            <w:tcW w:w="1985" w:type="dxa"/>
            <w:tcBorders>
              <w:top w:val="nil"/>
              <w:left w:val="nil"/>
              <w:bottom w:val="nil"/>
              <w:right w:val="nil"/>
            </w:tcBorders>
            <w:shd w:val="clear" w:color="auto" w:fill="auto"/>
            <w:hideMark/>
          </w:tcPr>
          <w:p w14:paraId="064B2FA0" w14:textId="77777777" w:rsidR="00117295" w:rsidRDefault="00117295">
            <w:pPr>
              <w:pStyle w:val="CETBodytext"/>
              <w:ind w:right="-1"/>
              <w:jc w:val="left"/>
            </w:pPr>
            <w:r>
              <w:t>(Agyemang et al., 2024)</w:t>
            </w:r>
          </w:p>
        </w:tc>
      </w:tr>
      <w:tr w:rsidR="00117295" w14:paraId="0A347B38" w14:textId="77777777" w:rsidTr="00117295">
        <w:tc>
          <w:tcPr>
            <w:tcW w:w="2410" w:type="dxa"/>
            <w:tcBorders>
              <w:top w:val="nil"/>
              <w:left w:val="nil"/>
              <w:bottom w:val="nil"/>
              <w:right w:val="nil"/>
            </w:tcBorders>
            <w:shd w:val="clear" w:color="auto" w:fill="FFFFFF"/>
            <w:hideMark/>
          </w:tcPr>
          <w:p w14:paraId="6E6C53C5" w14:textId="77777777" w:rsidR="00117295" w:rsidRDefault="00117295">
            <w:pPr>
              <w:jc w:val="left"/>
            </w:pPr>
            <w:r>
              <w:t>Energy and material efficiency trade-offs (EV5)</w:t>
            </w:r>
          </w:p>
        </w:tc>
        <w:tc>
          <w:tcPr>
            <w:tcW w:w="4394" w:type="dxa"/>
            <w:tcBorders>
              <w:top w:val="nil"/>
              <w:left w:val="nil"/>
              <w:bottom w:val="nil"/>
              <w:right w:val="nil"/>
            </w:tcBorders>
            <w:shd w:val="clear" w:color="auto" w:fill="auto"/>
            <w:hideMark/>
          </w:tcPr>
          <w:p w14:paraId="4CD68CB3" w14:textId="77777777" w:rsidR="00117295" w:rsidRDefault="00117295">
            <w:pPr>
              <w:pStyle w:val="CETBodytext"/>
              <w:jc w:val="left"/>
            </w:pPr>
            <w:r>
              <w:t>Balancing yield maximization, energy consumption, and by-product generation.</w:t>
            </w:r>
          </w:p>
        </w:tc>
        <w:tc>
          <w:tcPr>
            <w:tcW w:w="1985" w:type="dxa"/>
            <w:tcBorders>
              <w:top w:val="nil"/>
              <w:left w:val="nil"/>
              <w:bottom w:val="nil"/>
              <w:right w:val="nil"/>
            </w:tcBorders>
            <w:shd w:val="clear" w:color="auto" w:fill="auto"/>
            <w:hideMark/>
          </w:tcPr>
          <w:p w14:paraId="5DE08AAA" w14:textId="77777777" w:rsidR="00117295" w:rsidRDefault="00117295">
            <w:pPr>
              <w:pStyle w:val="CETBodytext"/>
              <w:ind w:right="-1"/>
              <w:jc w:val="left"/>
            </w:pPr>
            <w:r>
              <w:t>(Corona et al., 2020)</w:t>
            </w:r>
          </w:p>
        </w:tc>
      </w:tr>
      <w:tr w:rsidR="00117295" w14:paraId="5937F848" w14:textId="77777777" w:rsidTr="00117295">
        <w:tc>
          <w:tcPr>
            <w:tcW w:w="2410" w:type="dxa"/>
            <w:tcBorders>
              <w:top w:val="nil"/>
              <w:left w:val="nil"/>
              <w:bottom w:val="nil"/>
              <w:right w:val="nil"/>
            </w:tcBorders>
            <w:shd w:val="clear" w:color="auto" w:fill="FFFFFF"/>
            <w:hideMark/>
          </w:tcPr>
          <w:p w14:paraId="1A67D68F" w14:textId="77777777" w:rsidR="00117295" w:rsidRDefault="00117295">
            <w:pPr>
              <w:jc w:val="left"/>
            </w:pPr>
            <w:r>
              <w:t>Mixed origin (EC1)</w:t>
            </w:r>
          </w:p>
        </w:tc>
        <w:tc>
          <w:tcPr>
            <w:tcW w:w="4394" w:type="dxa"/>
            <w:tcBorders>
              <w:top w:val="nil"/>
              <w:left w:val="nil"/>
              <w:bottom w:val="nil"/>
              <w:right w:val="nil"/>
            </w:tcBorders>
            <w:shd w:val="clear" w:color="auto" w:fill="auto"/>
            <w:hideMark/>
          </w:tcPr>
          <w:p w14:paraId="1C9EDCCE" w14:textId="77777777" w:rsidR="00117295" w:rsidRDefault="00117295">
            <w:pPr>
              <w:pStyle w:val="CETBodytext"/>
              <w:jc w:val="left"/>
            </w:pPr>
            <w:r>
              <w:t xml:space="preserve">Combination of waste from multiple industrial processes, suppliers, and production stages </w:t>
            </w:r>
          </w:p>
        </w:tc>
        <w:tc>
          <w:tcPr>
            <w:tcW w:w="1985" w:type="dxa"/>
            <w:tcBorders>
              <w:top w:val="nil"/>
              <w:left w:val="nil"/>
              <w:bottom w:val="nil"/>
              <w:right w:val="nil"/>
            </w:tcBorders>
            <w:shd w:val="clear" w:color="auto" w:fill="auto"/>
            <w:hideMark/>
          </w:tcPr>
          <w:p w14:paraId="15898ECC" w14:textId="77777777" w:rsidR="00117295" w:rsidRDefault="00117295">
            <w:pPr>
              <w:pStyle w:val="CETBodytext"/>
              <w:ind w:right="-1"/>
              <w:jc w:val="left"/>
            </w:pPr>
            <w:r>
              <w:t>(Robichaud et al., 2019)</w:t>
            </w:r>
          </w:p>
        </w:tc>
      </w:tr>
      <w:tr w:rsidR="00117295" w14:paraId="28AA247C" w14:textId="77777777" w:rsidTr="00117295">
        <w:tc>
          <w:tcPr>
            <w:tcW w:w="2410" w:type="dxa"/>
            <w:tcBorders>
              <w:top w:val="nil"/>
              <w:left w:val="nil"/>
              <w:bottom w:val="nil"/>
              <w:right w:val="nil"/>
            </w:tcBorders>
            <w:shd w:val="clear" w:color="auto" w:fill="FFFFFF"/>
            <w:hideMark/>
          </w:tcPr>
          <w:p w14:paraId="533CC9A2" w14:textId="77777777" w:rsidR="00117295" w:rsidRDefault="00117295">
            <w:pPr>
              <w:jc w:val="left"/>
              <w:rPr>
                <w:lang w:val="en-US"/>
              </w:rPr>
            </w:pPr>
            <w:r>
              <w:t>Feedstock variability (EC2)</w:t>
            </w:r>
          </w:p>
        </w:tc>
        <w:tc>
          <w:tcPr>
            <w:tcW w:w="4394" w:type="dxa"/>
            <w:tcBorders>
              <w:top w:val="nil"/>
              <w:left w:val="nil"/>
              <w:bottom w:val="nil"/>
              <w:right w:val="nil"/>
            </w:tcBorders>
            <w:shd w:val="clear" w:color="auto" w:fill="auto"/>
            <w:hideMark/>
          </w:tcPr>
          <w:p w14:paraId="5E101FC5" w14:textId="77777777" w:rsidR="00117295" w:rsidRDefault="00117295">
            <w:pPr>
              <w:pStyle w:val="CETBodytext"/>
              <w:jc w:val="left"/>
            </w:pPr>
            <w:r>
              <w:t>Differences in wood species, moisture, chemical composition, density, and particle size</w:t>
            </w:r>
          </w:p>
        </w:tc>
        <w:tc>
          <w:tcPr>
            <w:tcW w:w="1985" w:type="dxa"/>
            <w:tcBorders>
              <w:top w:val="nil"/>
              <w:left w:val="nil"/>
              <w:bottom w:val="nil"/>
              <w:right w:val="nil"/>
            </w:tcBorders>
            <w:shd w:val="clear" w:color="auto" w:fill="auto"/>
            <w:hideMark/>
          </w:tcPr>
          <w:p w14:paraId="2B9FB331" w14:textId="77777777" w:rsidR="00117295" w:rsidRDefault="00117295">
            <w:pPr>
              <w:pStyle w:val="CETBodytext"/>
              <w:ind w:right="-1"/>
              <w:jc w:val="left"/>
            </w:pPr>
            <w:r>
              <w:t>(Mancini et al., 2021).</w:t>
            </w:r>
          </w:p>
        </w:tc>
      </w:tr>
      <w:tr w:rsidR="00117295" w14:paraId="1F943A55" w14:textId="77777777" w:rsidTr="00117295">
        <w:tc>
          <w:tcPr>
            <w:tcW w:w="2410" w:type="dxa"/>
            <w:tcBorders>
              <w:top w:val="nil"/>
              <w:left w:val="nil"/>
              <w:bottom w:val="nil"/>
              <w:right w:val="nil"/>
            </w:tcBorders>
            <w:shd w:val="clear" w:color="auto" w:fill="FFFFFF"/>
            <w:hideMark/>
          </w:tcPr>
          <w:p w14:paraId="2246800A" w14:textId="77777777" w:rsidR="00117295" w:rsidRDefault="00117295">
            <w:pPr>
              <w:jc w:val="left"/>
              <w:rPr>
                <w:lang w:val="en-US"/>
              </w:rPr>
            </w:pPr>
            <w:r>
              <w:rPr>
                <w:lang w:val="en-US"/>
              </w:rPr>
              <w:t xml:space="preserve">Supply fluctuations </w:t>
            </w:r>
            <w:r>
              <w:t>(EC3)</w:t>
            </w:r>
          </w:p>
        </w:tc>
        <w:tc>
          <w:tcPr>
            <w:tcW w:w="4394" w:type="dxa"/>
            <w:tcBorders>
              <w:top w:val="nil"/>
              <w:left w:val="nil"/>
              <w:bottom w:val="nil"/>
              <w:right w:val="nil"/>
            </w:tcBorders>
            <w:shd w:val="clear" w:color="auto" w:fill="auto"/>
            <w:hideMark/>
          </w:tcPr>
          <w:p w14:paraId="05AAD50E" w14:textId="77777777" w:rsidR="00117295" w:rsidRDefault="00117295">
            <w:pPr>
              <w:pStyle w:val="CETBodytext"/>
              <w:jc w:val="left"/>
            </w:pPr>
            <w:r>
              <w:t xml:space="preserve">Variation in waste availability due to seasonality, demand, and production rates </w:t>
            </w:r>
          </w:p>
        </w:tc>
        <w:tc>
          <w:tcPr>
            <w:tcW w:w="1985" w:type="dxa"/>
            <w:tcBorders>
              <w:top w:val="nil"/>
              <w:left w:val="nil"/>
              <w:bottom w:val="nil"/>
              <w:right w:val="nil"/>
            </w:tcBorders>
            <w:shd w:val="clear" w:color="auto" w:fill="auto"/>
            <w:hideMark/>
          </w:tcPr>
          <w:p w14:paraId="05BC3043" w14:textId="77777777" w:rsidR="00117295" w:rsidRDefault="00117295">
            <w:pPr>
              <w:pStyle w:val="CETBodytext"/>
              <w:ind w:right="-1"/>
              <w:jc w:val="left"/>
            </w:pPr>
            <w:r>
              <w:t xml:space="preserve">(Okolo and Susaeta, 2025) </w:t>
            </w:r>
          </w:p>
        </w:tc>
      </w:tr>
      <w:tr w:rsidR="00117295" w14:paraId="14494BF4" w14:textId="77777777" w:rsidTr="00117295">
        <w:tc>
          <w:tcPr>
            <w:tcW w:w="2410" w:type="dxa"/>
            <w:tcBorders>
              <w:top w:val="nil"/>
              <w:left w:val="nil"/>
              <w:bottom w:val="nil"/>
              <w:right w:val="nil"/>
            </w:tcBorders>
            <w:shd w:val="clear" w:color="auto" w:fill="FFFFFF"/>
            <w:hideMark/>
          </w:tcPr>
          <w:p w14:paraId="148E8701" w14:textId="77777777" w:rsidR="00117295" w:rsidRDefault="00117295">
            <w:pPr>
              <w:jc w:val="left"/>
              <w:rPr>
                <w:lang w:val="en-US"/>
              </w:rPr>
            </w:pPr>
            <w:r>
              <w:rPr>
                <w:lang w:val="en-US"/>
              </w:rPr>
              <w:t xml:space="preserve">Process integration </w:t>
            </w:r>
            <w:r>
              <w:t>(EC4)</w:t>
            </w:r>
          </w:p>
        </w:tc>
        <w:tc>
          <w:tcPr>
            <w:tcW w:w="4394" w:type="dxa"/>
            <w:tcBorders>
              <w:top w:val="nil"/>
              <w:left w:val="nil"/>
              <w:bottom w:val="nil"/>
              <w:right w:val="nil"/>
            </w:tcBorders>
            <w:shd w:val="clear" w:color="auto" w:fill="auto"/>
            <w:hideMark/>
          </w:tcPr>
          <w:p w14:paraId="3ADDE6B6" w14:textId="77777777" w:rsidR="00117295" w:rsidRDefault="00117295">
            <w:pPr>
              <w:pStyle w:val="CETBodytext"/>
              <w:jc w:val="left"/>
            </w:pPr>
            <w:r>
              <w:t xml:space="preserve">Coupling of biomass conversion units with existing industrial processes </w:t>
            </w:r>
          </w:p>
        </w:tc>
        <w:tc>
          <w:tcPr>
            <w:tcW w:w="1985" w:type="dxa"/>
            <w:tcBorders>
              <w:top w:val="nil"/>
              <w:left w:val="nil"/>
              <w:bottom w:val="nil"/>
              <w:right w:val="nil"/>
            </w:tcBorders>
            <w:shd w:val="clear" w:color="auto" w:fill="auto"/>
            <w:hideMark/>
          </w:tcPr>
          <w:p w14:paraId="6DE8BA8B" w14:textId="77777777" w:rsidR="00117295" w:rsidRDefault="00117295">
            <w:pPr>
              <w:pStyle w:val="CETBodytext"/>
              <w:ind w:right="-1"/>
              <w:jc w:val="left"/>
            </w:pPr>
            <w:r>
              <w:t>(Ochieng et al., 2022)</w:t>
            </w:r>
          </w:p>
        </w:tc>
      </w:tr>
      <w:tr w:rsidR="00117295" w14:paraId="78BF7581" w14:textId="77777777" w:rsidTr="00117295">
        <w:tc>
          <w:tcPr>
            <w:tcW w:w="2410" w:type="dxa"/>
            <w:tcBorders>
              <w:top w:val="nil"/>
              <w:left w:val="nil"/>
              <w:bottom w:val="nil"/>
              <w:right w:val="nil"/>
            </w:tcBorders>
            <w:shd w:val="clear" w:color="auto" w:fill="FFFFFF"/>
            <w:hideMark/>
          </w:tcPr>
          <w:p w14:paraId="5AF38104" w14:textId="77777777" w:rsidR="00117295" w:rsidRDefault="00117295">
            <w:pPr>
              <w:jc w:val="left"/>
              <w:rPr>
                <w:lang w:val="en-US"/>
              </w:rPr>
            </w:pPr>
            <w:r>
              <w:rPr>
                <w:lang w:val="en-US"/>
              </w:rPr>
              <w:t xml:space="preserve">Interdependence between stages </w:t>
            </w:r>
            <w:r>
              <w:t>(EC5)</w:t>
            </w:r>
          </w:p>
        </w:tc>
        <w:tc>
          <w:tcPr>
            <w:tcW w:w="4394" w:type="dxa"/>
            <w:tcBorders>
              <w:top w:val="nil"/>
              <w:left w:val="nil"/>
              <w:bottom w:val="nil"/>
              <w:right w:val="nil"/>
            </w:tcBorders>
            <w:shd w:val="clear" w:color="auto" w:fill="auto"/>
            <w:hideMark/>
          </w:tcPr>
          <w:p w14:paraId="4AA96B31" w14:textId="77777777" w:rsidR="00117295" w:rsidRDefault="00117295">
            <w:pPr>
              <w:pStyle w:val="CETBodytext"/>
              <w:jc w:val="left"/>
            </w:pPr>
            <w:r>
              <w:t>Influence of operational parameters in one unit on downstream performance.</w:t>
            </w:r>
          </w:p>
        </w:tc>
        <w:tc>
          <w:tcPr>
            <w:tcW w:w="1985" w:type="dxa"/>
            <w:tcBorders>
              <w:top w:val="nil"/>
              <w:left w:val="nil"/>
              <w:bottom w:val="nil"/>
              <w:right w:val="nil"/>
            </w:tcBorders>
            <w:shd w:val="clear" w:color="auto" w:fill="auto"/>
            <w:hideMark/>
          </w:tcPr>
          <w:p w14:paraId="6082107D" w14:textId="77777777" w:rsidR="00117295" w:rsidRDefault="00117295">
            <w:pPr>
              <w:pStyle w:val="CETBodytext"/>
              <w:ind w:right="-1"/>
              <w:jc w:val="left"/>
            </w:pPr>
            <w:r>
              <w:t>(Murphy et al., 2024)</w:t>
            </w:r>
          </w:p>
        </w:tc>
      </w:tr>
      <w:tr w:rsidR="00117295" w14:paraId="0AEFB0EA" w14:textId="77777777" w:rsidTr="00117295">
        <w:tc>
          <w:tcPr>
            <w:tcW w:w="2410" w:type="dxa"/>
            <w:tcBorders>
              <w:top w:val="nil"/>
              <w:left w:val="nil"/>
              <w:bottom w:val="nil"/>
              <w:right w:val="nil"/>
            </w:tcBorders>
            <w:shd w:val="clear" w:color="auto" w:fill="FFFFFF"/>
            <w:hideMark/>
          </w:tcPr>
          <w:p w14:paraId="640BDDDB" w14:textId="77777777" w:rsidR="00117295" w:rsidRDefault="00117295">
            <w:pPr>
              <w:jc w:val="left"/>
              <w:rPr>
                <w:lang w:val="en-US"/>
              </w:rPr>
            </w:pPr>
            <w:r>
              <w:t>Market uncertainty (EC6)</w:t>
            </w:r>
          </w:p>
        </w:tc>
        <w:tc>
          <w:tcPr>
            <w:tcW w:w="4394" w:type="dxa"/>
            <w:tcBorders>
              <w:top w:val="nil"/>
              <w:left w:val="nil"/>
              <w:bottom w:val="nil"/>
              <w:right w:val="nil"/>
            </w:tcBorders>
            <w:shd w:val="clear" w:color="auto" w:fill="auto"/>
            <w:hideMark/>
          </w:tcPr>
          <w:p w14:paraId="364B0E79" w14:textId="77777777" w:rsidR="00117295" w:rsidRDefault="00117295">
            <w:pPr>
              <w:pStyle w:val="CETBodytext"/>
              <w:jc w:val="left"/>
            </w:pPr>
            <w:r>
              <w:t>Fluctuations in demand for wood-based products and bioenergy</w:t>
            </w:r>
          </w:p>
        </w:tc>
        <w:tc>
          <w:tcPr>
            <w:tcW w:w="1985" w:type="dxa"/>
            <w:tcBorders>
              <w:top w:val="nil"/>
              <w:left w:val="nil"/>
              <w:bottom w:val="nil"/>
              <w:right w:val="nil"/>
            </w:tcBorders>
            <w:shd w:val="clear" w:color="auto" w:fill="auto"/>
            <w:hideMark/>
          </w:tcPr>
          <w:p w14:paraId="787711B8" w14:textId="77777777" w:rsidR="00117295" w:rsidRDefault="00117295">
            <w:pPr>
              <w:pStyle w:val="CETBodytext"/>
              <w:ind w:right="-1"/>
              <w:jc w:val="left"/>
            </w:pPr>
            <w:r>
              <w:t xml:space="preserve">(Okolo and Susaeta, 2025) </w:t>
            </w:r>
          </w:p>
        </w:tc>
      </w:tr>
      <w:tr w:rsidR="00117295" w14:paraId="74374C3B" w14:textId="77777777" w:rsidTr="00117295">
        <w:tc>
          <w:tcPr>
            <w:tcW w:w="2410" w:type="dxa"/>
            <w:tcBorders>
              <w:top w:val="nil"/>
              <w:left w:val="nil"/>
              <w:bottom w:val="nil"/>
              <w:right w:val="nil"/>
            </w:tcBorders>
            <w:shd w:val="clear" w:color="auto" w:fill="FFFFFF"/>
            <w:hideMark/>
          </w:tcPr>
          <w:p w14:paraId="2862B83B" w14:textId="77777777" w:rsidR="00117295" w:rsidRDefault="00117295">
            <w:pPr>
              <w:pStyle w:val="CETBodytext"/>
              <w:ind w:right="-1"/>
              <w:jc w:val="left"/>
            </w:pPr>
            <w:r>
              <w:t>Economic viability (EC7)</w:t>
            </w:r>
          </w:p>
        </w:tc>
        <w:tc>
          <w:tcPr>
            <w:tcW w:w="4394" w:type="dxa"/>
            <w:tcBorders>
              <w:top w:val="nil"/>
              <w:left w:val="nil"/>
              <w:bottom w:val="nil"/>
              <w:right w:val="nil"/>
            </w:tcBorders>
            <w:shd w:val="clear" w:color="auto" w:fill="auto"/>
            <w:hideMark/>
          </w:tcPr>
          <w:p w14:paraId="6E428440" w14:textId="77777777" w:rsidR="00117295" w:rsidRDefault="00117295">
            <w:pPr>
              <w:pStyle w:val="CETBodytext"/>
              <w:jc w:val="left"/>
            </w:pPr>
            <w:r>
              <w:t xml:space="preserve">Sensitivity to energy prices, feedstock costs, transport expenses, and capital investment </w:t>
            </w:r>
          </w:p>
        </w:tc>
        <w:tc>
          <w:tcPr>
            <w:tcW w:w="1985" w:type="dxa"/>
            <w:tcBorders>
              <w:top w:val="nil"/>
              <w:left w:val="nil"/>
              <w:bottom w:val="nil"/>
              <w:right w:val="nil"/>
            </w:tcBorders>
            <w:shd w:val="clear" w:color="auto" w:fill="auto"/>
            <w:hideMark/>
          </w:tcPr>
          <w:p w14:paraId="08D87CC5" w14:textId="77777777" w:rsidR="00117295" w:rsidRDefault="00117295">
            <w:pPr>
              <w:pStyle w:val="CETBodytext"/>
              <w:jc w:val="left"/>
            </w:pPr>
            <w:r>
              <w:t>(Wüstenhagen and Menichetti, 2012)</w:t>
            </w:r>
          </w:p>
        </w:tc>
      </w:tr>
      <w:tr w:rsidR="00117295" w14:paraId="45F8B108" w14:textId="77777777" w:rsidTr="00117295">
        <w:tc>
          <w:tcPr>
            <w:tcW w:w="2410" w:type="dxa"/>
            <w:tcBorders>
              <w:top w:val="nil"/>
              <w:left w:val="nil"/>
              <w:bottom w:val="single" w:sz="12" w:space="0" w:color="008000"/>
              <w:right w:val="nil"/>
            </w:tcBorders>
            <w:shd w:val="clear" w:color="auto" w:fill="FFFFFF"/>
            <w:hideMark/>
          </w:tcPr>
          <w:p w14:paraId="08747C42" w14:textId="77777777" w:rsidR="00117295" w:rsidRDefault="00117295">
            <w:pPr>
              <w:pStyle w:val="CETBodytext"/>
              <w:ind w:right="-1"/>
              <w:jc w:val="left"/>
            </w:pPr>
            <w:r>
              <w:t>Scale of operation (EC8)</w:t>
            </w:r>
          </w:p>
        </w:tc>
        <w:tc>
          <w:tcPr>
            <w:tcW w:w="4394" w:type="dxa"/>
            <w:tcBorders>
              <w:top w:val="nil"/>
              <w:left w:val="nil"/>
              <w:bottom w:val="single" w:sz="12" w:space="0" w:color="008000"/>
              <w:right w:val="nil"/>
            </w:tcBorders>
            <w:shd w:val="clear" w:color="auto" w:fill="FFFFFF"/>
            <w:hideMark/>
          </w:tcPr>
          <w:p w14:paraId="77CF9729" w14:textId="77777777" w:rsidR="00117295" w:rsidRDefault="00117295">
            <w:pPr>
              <w:pStyle w:val="CETBodytext"/>
              <w:ind w:right="-1"/>
              <w:jc w:val="left"/>
            </w:pPr>
            <w:r>
              <w:t>Differences in strategic performance between small, medium, and large batches.</w:t>
            </w:r>
          </w:p>
        </w:tc>
        <w:tc>
          <w:tcPr>
            <w:tcW w:w="1985" w:type="dxa"/>
            <w:tcBorders>
              <w:top w:val="nil"/>
              <w:left w:val="nil"/>
              <w:bottom w:val="single" w:sz="12" w:space="0" w:color="008000"/>
              <w:right w:val="nil"/>
            </w:tcBorders>
            <w:shd w:val="clear" w:color="auto" w:fill="FFFFFF"/>
            <w:hideMark/>
          </w:tcPr>
          <w:p w14:paraId="71E70005" w14:textId="77777777" w:rsidR="00117295" w:rsidRDefault="00117295">
            <w:pPr>
              <w:pStyle w:val="CETBodytext"/>
              <w:ind w:right="-1"/>
              <w:jc w:val="left"/>
            </w:pPr>
            <w:r>
              <w:t>(Demirbas, 2010)</w:t>
            </w:r>
          </w:p>
        </w:tc>
      </w:tr>
    </w:tbl>
    <w:p w14:paraId="70AC6B6D" w14:textId="77777777" w:rsidR="00117295" w:rsidRDefault="00117295" w:rsidP="00117295">
      <w:pPr>
        <w:pStyle w:val="CETTabletitle"/>
      </w:pPr>
      <w:r>
        <w:t>Table 2: Probabilities of existence of active complexity drivers in individual operations</w:t>
      </w:r>
    </w:p>
    <w:tbl>
      <w:tblPr>
        <w:tblW w:w="0" w:type="dxa"/>
        <w:tblBorders>
          <w:top w:val="single" w:sz="12" w:space="0" w:color="008000"/>
          <w:bottom w:val="single" w:sz="12" w:space="0" w:color="008000"/>
        </w:tblBorders>
        <w:tblLayout w:type="fixed"/>
        <w:tblLook w:val="04A0" w:firstRow="1" w:lastRow="0" w:firstColumn="1" w:lastColumn="0" w:noHBand="0" w:noVBand="1"/>
      </w:tblPr>
      <w:tblGrid>
        <w:gridCol w:w="993"/>
        <w:gridCol w:w="960"/>
        <w:gridCol w:w="960"/>
        <w:gridCol w:w="961"/>
        <w:gridCol w:w="961"/>
        <w:gridCol w:w="961"/>
        <w:gridCol w:w="961"/>
        <w:gridCol w:w="961"/>
        <w:gridCol w:w="961"/>
      </w:tblGrid>
      <w:tr w:rsidR="00117295" w14:paraId="116D4846" w14:textId="77777777" w:rsidTr="00117295">
        <w:tc>
          <w:tcPr>
            <w:tcW w:w="993" w:type="dxa"/>
            <w:tcBorders>
              <w:top w:val="single" w:sz="12" w:space="0" w:color="008000"/>
              <w:left w:val="nil"/>
              <w:bottom w:val="single" w:sz="8" w:space="0" w:color="008000"/>
              <w:right w:val="nil"/>
            </w:tcBorders>
            <w:shd w:val="clear" w:color="auto" w:fill="FFFFFF"/>
            <w:vAlign w:val="center"/>
            <w:hideMark/>
          </w:tcPr>
          <w:p w14:paraId="21A2278A" w14:textId="77777777" w:rsidR="00117295" w:rsidRDefault="00117295">
            <w:pPr>
              <w:pStyle w:val="CETBodytext"/>
              <w:spacing w:line="240" w:lineRule="auto"/>
              <w:jc w:val="center"/>
              <w:rPr>
                <w:lang w:val="en-GB"/>
              </w:rPr>
            </w:pPr>
            <w:r>
              <w:rPr>
                <w:lang w:val="en-GB"/>
              </w:rPr>
              <w:t>Driver</w:t>
            </w:r>
          </w:p>
        </w:tc>
        <w:tc>
          <w:tcPr>
            <w:tcW w:w="960" w:type="dxa"/>
            <w:tcBorders>
              <w:top w:val="single" w:sz="12" w:space="0" w:color="008000"/>
              <w:left w:val="nil"/>
              <w:bottom w:val="single" w:sz="8" w:space="0" w:color="008000"/>
              <w:right w:val="nil"/>
            </w:tcBorders>
            <w:shd w:val="clear" w:color="auto" w:fill="FFFFFF"/>
            <w:vAlign w:val="center"/>
            <w:hideMark/>
          </w:tcPr>
          <w:p w14:paraId="64D3A52F" w14:textId="77777777" w:rsidR="00117295" w:rsidRDefault="00117295">
            <w:pPr>
              <w:pStyle w:val="CETBodytext"/>
              <w:spacing w:line="240" w:lineRule="auto"/>
              <w:jc w:val="center"/>
              <w:rPr>
                <w:lang w:val="en-GB"/>
              </w:rPr>
            </w:pPr>
            <w:r>
              <w:rPr>
                <w:lang w:val="en-GB"/>
              </w:rPr>
              <w:t>C1</w:t>
            </w:r>
          </w:p>
        </w:tc>
        <w:tc>
          <w:tcPr>
            <w:tcW w:w="960" w:type="dxa"/>
            <w:tcBorders>
              <w:top w:val="single" w:sz="12" w:space="0" w:color="008000"/>
              <w:left w:val="nil"/>
              <w:bottom w:val="single" w:sz="8" w:space="0" w:color="008000"/>
              <w:right w:val="nil"/>
            </w:tcBorders>
            <w:shd w:val="clear" w:color="auto" w:fill="FFFFFF"/>
            <w:vAlign w:val="center"/>
            <w:hideMark/>
          </w:tcPr>
          <w:p w14:paraId="2674E3ED" w14:textId="77777777" w:rsidR="00117295" w:rsidRDefault="00117295">
            <w:pPr>
              <w:pStyle w:val="CETBodytext"/>
              <w:spacing w:line="240" w:lineRule="auto"/>
              <w:jc w:val="center"/>
              <w:rPr>
                <w:lang w:val="en-GB"/>
              </w:rPr>
            </w:pPr>
            <w:r>
              <w:rPr>
                <w:lang w:val="en-GB"/>
              </w:rPr>
              <w:t>P1</w:t>
            </w:r>
          </w:p>
        </w:tc>
        <w:tc>
          <w:tcPr>
            <w:tcW w:w="961" w:type="dxa"/>
            <w:tcBorders>
              <w:top w:val="single" w:sz="12" w:space="0" w:color="008000"/>
              <w:left w:val="nil"/>
              <w:bottom w:val="single" w:sz="8" w:space="0" w:color="008000"/>
              <w:right w:val="nil"/>
            </w:tcBorders>
            <w:shd w:val="clear" w:color="auto" w:fill="FFFFFF"/>
            <w:vAlign w:val="center"/>
            <w:hideMark/>
          </w:tcPr>
          <w:p w14:paraId="6D58CB7E" w14:textId="77777777" w:rsidR="00117295" w:rsidRDefault="00117295">
            <w:pPr>
              <w:pStyle w:val="CETBodytext"/>
              <w:spacing w:line="240" w:lineRule="auto"/>
              <w:jc w:val="center"/>
              <w:rPr>
                <w:lang w:val="en-GB"/>
              </w:rPr>
            </w:pPr>
            <w:r>
              <w:rPr>
                <w:lang w:val="en-GB"/>
              </w:rPr>
              <w:t>S1</w:t>
            </w:r>
          </w:p>
        </w:tc>
        <w:tc>
          <w:tcPr>
            <w:tcW w:w="961" w:type="dxa"/>
            <w:tcBorders>
              <w:top w:val="single" w:sz="12" w:space="0" w:color="008000"/>
              <w:left w:val="nil"/>
              <w:bottom w:val="single" w:sz="8" w:space="0" w:color="008000"/>
              <w:right w:val="nil"/>
            </w:tcBorders>
            <w:shd w:val="clear" w:color="auto" w:fill="FFFFFF"/>
            <w:vAlign w:val="center"/>
            <w:hideMark/>
          </w:tcPr>
          <w:p w14:paraId="02839D29" w14:textId="77777777" w:rsidR="00117295" w:rsidRDefault="00117295">
            <w:pPr>
              <w:pStyle w:val="CETBodytext"/>
              <w:spacing w:line="240" w:lineRule="auto"/>
              <w:jc w:val="center"/>
              <w:rPr>
                <w:lang w:val="en-GB"/>
              </w:rPr>
            </w:pPr>
            <w:r>
              <w:rPr>
                <w:lang w:val="en-GB"/>
              </w:rPr>
              <w:t>D1</w:t>
            </w:r>
          </w:p>
        </w:tc>
        <w:tc>
          <w:tcPr>
            <w:tcW w:w="961" w:type="dxa"/>
            <w:tcBorders>
              <w:top w:val="single" w:sz="12" w:space="0" w:color="008000"/>
              <w:left w:val="nil"/>
              <w:bottom w:val="single" w:sz="8" w:space="0" w:color="008000"/>
              <w:right w:val="nil"/>
            </w:tcBorders>
            <w:vAlign w:val="center"/>
            <w:hideMark/>
          </w:tcPr>
          <w:p w14:paraId="0E30CF17" w14:textId="77777777" w:rsidR="00117295" w:rsidRDefault="00117295">
            <w:pPr>
              <w:pStyle w:val="CETBodytext"/>
              <w:spacing w:line="240" w:lineRule="auto"/>
              <w:jc w:val="center"/>
              <w:rPr>
                <w:lang w:val="en-GB"/>
              </w:rPr>
            </w:pPr>
            <w:r>
              <w:rPr>
                <w:lang w:val="en-GB"/>
              </w:rPr>
              <w:t>C2</w:t>
            </w:r>
          </w:p>
        </w:tc>
        <w:tc>
          <w:tcPr>
            <w:tcW w:w="961" w:type="dxa"/>
            <w:tcBorders>
              <w:top w:val="single" w:sz="12" w:space="0" w:color="008000"/>
              <w:left w:val="nil"/>
              <w:bottom w:val="single" w:sz="8" w:space="0" w:color="008000"/>
              <w:right w:val="nil"/>
            </w:tcBorders>
            <w:vAlign w:val="center"/>
            <w:hideMark/>
          </w:tcPr>
          <w:p w14:paraId="01856ABF" w14:textId="77777777" w:rsidR="00117295" w:rsidRDefault="00117295">
            <w:pPr>
              <w:pStyle w:val="CETBodytext"/>
              <w:spacing w:line="240" w:lineRule="auto"/>
              <w:jc w:val="center"/>
              <w:rPr>
                <w:lang w:val="en-GB"/>
              </w:rPr>
            </w:pPr>
            <w:r>
              <w:rPr>
                <w:lang w:val="en-GB"/>
              </w:rPr>
              <w:t>P2</w:t>
            </w:r>
          </w:p>
        </w:tc>
        <w:tc>
          <w:tcPr>
            <w:tcW w:w="961" w:type="dxa"/>
            <w:tcBorders>
              <w:top w:val="single" w:sz="12" w:space="0" w:color="008000"/>
              <w:left w:val="nil"/>
              <w:bottom w:val="single" w:sz="8" w:space="0" w:color="008000"/>
              <w:right w:val="nil"/>
            </w:tcBorders>
            <w:vAlign w:val="center"/>
            <w:hideMark/>
          </w:tcPr>
          <w:p w14:paraId="765CCD24" w14:textId="77777777" w:rsidR="00117295" w:rsidRDefault="00117295">
            <w:pPr>
              <w:pStyle w:val="CETBodytext"/>
              <w:spacing w:line="240" w:lineRule="auto"/>
              <w:jc w:val="center"/>
              <w:rPr>
                <w:lang w:val="en-GB"/>
              </w:rPr>
            </w:pPr>
            <w:r>
              <w:rPr>
                <w:lang w:val="en-GB"/>
              </w:rPr>
              <w:t>S2</w:t>
            </w:r>
          </w:p>
        </w:tc>
        <w:tc>
          <w:tcPr>
            <w:tcW w:w="961" w:type="dxa"/>
            <w:tcBorders>
              <w:top w:val="single" w:sz="12" w:space="0" w:color="008000"/>
              <w:left w:val="nil"/>
              <w:bottom w:val="single" w:sz="8" w:space="0" w:color="008000"/>
              <w:right w:val="nil"/>
            </w:tcBorders>
            <w:vAlign w:val="center"/>
            <w:hideMark/>
          </w:tcPr>
          <w:p w14:paraId="6136E147" w14:textId="77777777" w:rsidR="00117295" w:rsidRDefault="00117295">
            <w:pPr>
              <w:pStyle w:val="CETBodytext"/>
              <w:spacing w:line="240" w:lineRule="auto"/>
              <w:jc w:val="center"/>
              <w:rPr>
                <w:lang w:val="en-GB"/>
              </w:rPr>
            </w:pPr>
            <w:r>
              <w:rPr>
                <w:lang w:val="en-GB"/>
              </w:rPr>
              <w:t>D2</w:t>
            </w:r>
          </w:p>
        </w:tc>
      </w:tr>
      <w:tr w:rsidR="00117295" w14:paraId="23F2E4DC" w14:textId="77777777" w:rsidTr="00117295">
        <w:tc>
          <w:tcPr>
            <w:tcW w:w="993" w:type="dxa"/>
            <w:tcBorders>
              <w:top w:val="single" w:sz="8" w:space="0" w:color="008000"/>
              <w:left w:val="nil"/>
              <w:bottom w:val="nil"/>
              <w:right w:val="nil"/>
            </w:tcBorders>
            <w:shd w:val="clear" w:color="auto" w:fill="FFFFFF"/>
            <w:vAlign w:val="center"/>
            <w:hideMark/>
          </w:tcPr>
          <w:p w14:paraId="287A52FD" w14:textId="77777777" w:rsidR="00117295" w:rsidRDefault="00117295">
            <w:pPr>
              <w:pStyle w:val="CETBodytext"/>
              <w:jc w:val="center"/>
              <w:rPr>
                <w:rFonts w:cs="Arial"/>
                <w:szCs w:val="18"/>
                <w:lang w:val="en-GB"/>
              </w:rPr>
            </w:pPr>
            <w:r>
              <w:rPr>
                <w:rFonts w:cs="Arial"/>
                <w:color w:val="000000"/>
                <w:szCs w:val="18"/>
              </w:rPr>
              <w:t>S1-2</w:t>
            </w:r>
          </w:p>
        </w:tc>
        <w:tc>
          <w:tcPr>
            <w:tcW w:w="960" w:type="dxa"/>
            <w:tcBorders>
              <w:top w:val="single" w:sz="8" w:space="0" w:color="008000"/>
              <w:left w:val="nil"/>
              <w:bottom w:val="nil"/>
              <w:right w:val="nil"/>
            </w:tcBorders>
            <w:shd w:val="clear" w:color="auto" w:fill="FFFFFF"/>
            <w:vAlign w:val="bottom"/>
            <w:hideMark/>
          </w:tcPr>
          <w:p w14:paraId="77CE782B" w14:textId="77777777" w:rsidR="00117295" w:rsidRDefault="00117295">
            <w:pPr>
              <w:pStyle w:val="CETBodytext"/>
              <w:jc w:val="center"/>
              <w:rPr>
                <w:rFonts w:cs="Arial"/>
                <w:color w:val="000000"/>
                <w:szCs w:val="18"/>
              </w:rPr>
            </w:pPr>
            <w:r>
              <w:rPr>
                <w:rFonts w:cs="Arial"/>
                <w:color w:val="000000"/>
                <w:szCs w:val="18"/>
              </w:rPr>
              <w:t>0%</w:t>
            </w:r>
          </w:p>
        </w:tc>
        <w:tc>
          <w:tcPr>
            <w:tcW w:w="960" w:type="dxa"/>
            <w:tcBorders>
              <w:top w:val="single" w:sz="8" w:space="0" w:color="008000"/>
              <w:left w:val="nil"/>
              <w:bottom w:val="nil"/>
              <w:right w:val="nil"/>
            </w:tcBorders>
            <w:shd w:val="clear" w:color="auto" w:fill="FFFFFF"/>
            <w:vAlign w:val="bottom"/>
            <w:hideMark/>
          </w:tcPr>
          <w:p w14:paraId="46E4F5AB" w14:textId="77777777" w:rsidR="00117295" w:rsidRDefault="00117295">
            <w:pPr>
              <w:pStyle w:val="CETBodytext"/>
              <w:jc w:val="center"/>
              <w:rPr>
                <w:rFonts w:cs="Arial"/>
                <w:color w:val="000000"/>
                <w:szCs w:val="18"/>
              </w:rPr>
            </w:pPr>
            <w:r>
              <w:rPr>
                <w:rFonts w:cs="Arial"/>
                <w:color w:val="000000"/>
                <w:szCs w:val="18"/>
              </w:rPr>
              <w:t>0%</w:t>
            </w:r>
          </w:p>
        </w:tc>
        <w:tc>
          <w:tcPr>
            <w:tcW w:w="961" w:type="dxa"/>
            <w:tcBorders>
              <w:top w:val="single" w:sz="8" w:space="0" w:color="008000"/>
              <w:left w:val="nil"/>
              <w:bottom w:val="nil"/>
              <w:right w:val="nil"/>
            </w:tcBorders>
            <w:shd w:val="clear" w:color="auto" w:fill="FFFFFF"/>
            <w:vAlign w:val="bottom"/>
            <w:hideMark/>
          </w:tcPr>
          <w:p w14:paraId="58B17843" w14:textId="77777777" w:rsidR="00117295" w:rsidRDefault="00117295">
            <w:pPr>
              <w:pStyle w:val="CETBodytext"/>
              <w:jc w:val="center"/>
              <w:rPr>
                <w:rFonts w:cs="Arial"/>
                <w:color w:val="000000"/>
                <w:szCs w:val="18"/>
              </w:rPr>
            </w:pPr>
            <w:r>
              <w:rPr>
                <w:rFonts w:cs="Arial"/>
                <w:color w:val="000000"/>
                <w:szCs w:val="18"/>
              </w:rPr>
              <w:t>0%</w:t>
            </w:r>
          </w:p>
        </w:tc>
        <w:tc>
          <w:tcPr>
            <w:tcW w:w="961" w:type="dxa"/>
            <w:tcBorders>
              <w:top w:val="single" w:sz="8" w:space="0" w:color="008000"/>
              <w:left w:val="nil"/>
              <w:bottom w:val="nil"/>
              <w:right w:val="nil"/>
            </w:tcBorders>
            <w:shd w:val="clear" w:color="auto" w:fill="FFFFFF"/>
            <w:vAlign w:val="bottom"/>
            <w:hideMark/>
          </w:tcPr>
          <w:p w14:paraId="2B5F85B2" w14:textId="77777777" w:rsidR="00117295" w:rsidRDefault="00117295">
            <w:pPr>
              <w:pStyle w:val="CETBodytext"/>
              <w:jc w:val="center"/>
              <w:rPr>
                <w:rFonts w:cs="Arial"/>
                <w:color w:val="000000"/>
                <w:szCs w:val="18"/>
              </w:rPr>
            </w:pPr>
            <w:r>
              <w:rPr>
                <w:rFonts w:cs="Arial"/>
                <w:color w:val="000000"/>
                <w:szCs w:val="18"/>
              </w:rPr>
              <w:t>0%</w:t>
            </w:r>
          </w:p>
        </w:tc>
        <w:tc>
          <w:tcPr>
            <w:tcW w:w="961" w:type="dxa"/>
            <w:tcBorders>
              <w:top w:val="single" w:sz="8" w:space="0" w:color="008000"/>
              <w:left w:val="nil"/>
              <w:bottom w:val="nil"/>
              <w:right w:val="nil"/>
            </w:tcBorders>
            <w:vAlign w:val="bottom"/>
            <w:hideMark/>
          </w:tcPr>
          <w:p w14:paraId="0A98D1F6" w14:textId="77777777" w:rsidR="00117295" w:rsidRDefault="00117295">
            <w:pPr>
              <w:pStyle w:val="CETBodytext"/>
              <w:jc w:val="center"/>
              <w:rPr>
                <w:rFonts w:cs="Arial"/>
                <w:color w:val="000000"/>
                <w:szCs w:val="18"/>
              </w:rPr>
            </w:pPr>
            <w:r>
              <w:rPr>
                <w:rFonts w:cs="Arial"/>
                <w:color w:val="000000"/>
                <w:szCs w:val="18"/>
              </w:rPr>
              <w:t>0%</w:t>
            </w:r>
          </w:p>
        </w:tc>
        <w:tc>
          <w:tcPr>
            <w:tcW w:w="961" w:type="dxa"/>
            <w:tcBorders>
              <w:top w:val="single" w:sz="8" w:space="0" w:color="008000"/>
              <w:left w:val="nil"/>
              <w:bottom w:val="nil"/>
              <w:right w:val="nil"/>
            </w:tcBorders>
            <w:vAlign w:val="bottom"/>
            <w:hideMark/>
          </w:tcPr>
          <w:p w14:paraId="23BB8B1B" w14:textId="77777777" w:rsidR="00117295" w:rsidRDefault="00117295">
            <w:pPr>
              <w:pStyle w:val="CETBodytext"/>
              <w:jc w:val="center"/>
              <w:rPr>
                <w:rFonts w:cs="Arial"/>
                <w:color w:val="000000"/>
                <w:szCs w:val="18"/>
              </w:rPr>
            </w:pPr>
            <w:r>
              <w:rPr>
                <w:rFonts w:cs="Arial"/>
                <w:color w:val="000000"/>
                <w:szCs w:val="18"/>
              </w:rPr>
              <w:t>0%</w:t>
            </w:r>
          </w:p>
        </w:tc>
        <w:tc>
          <w:tcPr>
            <w:tcW w:w="961" w:type="dxa"/>
            <w:tcBorders>
              <w:top w:val="single" w:sz="8" w:space="0" w:color="008000"/>
              <w:left w:val="nil"/>
              <w:bottom w:val="nil"/>
              <w:right w:val="nil"/>
            </w:tcBorders>
            <w:vAlign w:val="bottom"/>
            <w:hideMark/>
          </w:tcPr>
          <w:p w14:paraId="6CD4623F" w14:textId="77777777" w:rsidR="00117295" w:rsidRDefault="00117295">
            <w:pPr>
              <w:pStyle w:val="CETBodytext"/>
              <w:jc w:val="center"/>
              <w:rPr>
                <w:rFonts w:cs="Arial"/>
                <w:color w:val="000000"/>
                <w:szCs w:val="18"/>
              </w:rPr>
            </w:pPr>
            <w:r>
              <w:rPr>
                <w:rFonts w:cs="Arial"/>
                <w:color w:val="000000"/>
                <w:szCs w:val="18"/>
              </w:rPr>
              <w:t>0%</w:t>
            </w:r>
          </w:p>
        </w:tc>
        <w:tc>
          <w:tcPr>
            <w:tcW w:w="961" w:type="dxa"/>
            <w:tcBorders>
              <w:top w:val="single" w:sz="8" w:space="0" w:color="008000"/>
              <w:left w:val="nil"/>
              <w:bottom w:val="nil"/>
              <w:right w:val="nil"/>
            </w:tcBorders>
            <w:vAlign w:val="bottom"/>
            <w:hideMark/>
          </w:tcPr>
          <w:p w14:paraId="2ACA0A1E" w14:textId="77777777" w:rsidR="00117295" w:rsidRDefault="00117295">
            <w:pPr>
              <w:pStyle w:val="CETBodytext"/>
              <w:jc w:val="center"/>
              <w:rPr>
                <w:rFonts w:cs="Arial"/>
                <w:color w:val="000000"/>
                <w:szCs w:val="18"/>
              </w:rPr>
            </w:pPr>
            <w:r>
              <w:rPr>
                <w:rFonts w:cs="Arial"/>
                <w:color w:val="000000"/>
                <w:szCs w:val="18"/>
              </w:rPr>
              <w:t>0%</w:t>
            </w:r>
          </w:p>
        </w:tc>
      </w:tr>
      <w:tr w:rsidR="00117295" w14:paraId="03F40391" w14:textId="77777777" w:rsidTr="00117295">
        <w:trPr>
          <w:trHeight w:val="218"/>
        </w:trPr>
        <w:tc>
          <w:tcPr>
            <w:tcW w:w="993" w:type="dxa"/>
            <w:tcBorders>
              <w:top w:val="nil"/>
              <w:left w:val="nil"/>
              <w:bottom w:val="nil"/>
              <w:right w:val="nil"/>
            </w:tcBorders>
            <w:shd w:val="clear" w:color="auto" w:fill="FFFFFF"/>
            <w:vAlign w:val="center"/>
            <w:hideMark/>
          </w:tcPr>
          <w:p w14:paraId="38429C19" w14:textId="77777777" w:rsidR="00117295" w:rsidRDefault="00117295">
            <w:pPr>
              <w:pStyle w:val="CETBodytext"/>
              <w:jc w:val="center"/>
              <w:rPr>
                <w:rFonts w:cs="Arial"/>
                <w:szCs w:val="18"/>
                <w:lang w:val="en-GB"/>
              </w:rPr>
            </w:pPr>
            <w:r>
              <w:rPr>
                <w:rFonts w:cs="Arial"/>
                <w:color w:val="000000"/>
                <w:szCs w:val="18"/>
              </w:rPr>
              <w:t>S3</w:t>
            </w:r>
          </w:p>
        </w:tc>
        <w:tc>
          <w:tcPr>
            <w:tcW w:w="960" w:type="dxa"/>
            <w:tcBorders>
              <w:top w:val="nil"/>
              <w:left w:val="nil"/>
              <w:bottom w:val="nil"/>
              <w:right w:val="nil"/>
            </w:tcBorders>
            <w:shd w:val="clear" w:color="auto" w:fill="FFFFFF"/>
            <w:vAlign w:val="bottom"/>
            <w:hideMark/>
          </w:tcPr>
          <w:p w14:paraId="6E6B2C31" w14:textId="77777777" w:rsidR="00117295" w:rsidRDefault="00117295">
            <w:pPr>
              <w:pStyle w:val="CETBodytext"/>
              <w:jc w:val="center"/>
              <w:rPr>
                <w:rFonts w:cs="Arial"/>
                <w:color w:val="000000"/>
                <w:szCs w:val="18"/>
              </w:rPr>
            </w:pPr>
            <w:r>
              <w:rPr>
                <w:rFonts w:cs="Arial"/>
                <w:color w:val="000000"/>
                <w:szCs w:val="18"/>
              </w:rPr>
              <w:t>10%</w:t>
            </w:r>
          </w:p>
        </w:tc>
        <w:tc>
          <w:tcPr>
            <w:tcW w:w="960" w:type="dxa"/>
            <w:tcBorders>
              <w:top w:val="nil"/>
              <w:left w:val="nil"/>
              <w:bottom w:val="nil"/>
              <w:right w:val="nil"/>
            </w:tcBorders>
            <w:shd w:val="clear" w:color="auto" w:fill="FFFFFF"/>
            <w:vAlign w:val="bottom"/>
            <w:hideMark/>
          </w:tcPr>
          <w:p w14:paraId="208B4E16" w14:textId="77777777" w:rsidR="00117295" w:rsidRDefault="00117295">
            <w:pPr>
              <w:pStyle w:val="CETBodytext"/>
              <w:jc w:val="center"/>
              <w:rPr>
                <w:rFonts w:cs="Arial"/>
                <w:color w:val="000000"/>
                <w:szCs w:val="18"/>
              </w:rPr>
            </w:pPr>
            <w:r>
              <w:rPr>
                <w:rFonts w:cs="Arial"/>
                <w:color w:val="000000"/>
                <w:szCs w:val="18"/>
              </w:rPr>
              <w:t>10%</w:t>
            </w:r>
          </w:p>
        </w:tc>
        <w:tc>
          <w:tcPr>
            <w:tcW w:w="961" w:type="dxa"/>
            <w:tcBorders>
              <w:top w:val="nil"/>
              <w:left w:val="nil"/>
              <w:bottom w:val="nil"/>
              <w:right w:val="nil"/>
            </w:tcBorders>
            <w:shd w:val="clear" w:color="auto" w:fill="FFFFFF"/>
            <w:vAlign w:val="bottom"/>
            <w:hideMark/>
          </w:tcPr>
          <w:p w14:paraId="1B3F6641" w14:textId="77777777" w:rsidR="00117295" w:rsidRDefault="00117295">
            <w:pPr>
              <w:pStyle w:val="CETBodytext"/>
              <w:jc w:val="center"/>
              <w:rPr>
                <w:rFonts w:cs="Arial"/>
                <w:color w:val="000000"/>
                <w:szCs w:val="18"/>
              </w:rPr>
            </w:pPr>
            <w:r>
              <w:rPr>
                <w:rFonts w:cs="Arial"/>
                <w:color w:val="000000"/>
                <w:szCs w:val="18"/>
              </w:rPr>
              <w:t>20%</w:t>
            </w:r>
          </w:p>
        </w:tc>
        <w:tc>
          <w:tcPr>
            <w:tcW w:w="961" w:type="dxa"/>
            <w:tcBorders>
              <w:top w:val="nil"/>
              <w:left w:val="nil"/>
              <w:bottom w:val="nil"/>
              <w:right w:val="nil"/>
            </w:tcBorders>
            <w:shd w:val="clear" w:color="auto" w:fill="FFFFFF"/>
            <w:vAlign w:val="bottom"/>
            <w:hideMark/>
          </w:tcPr>
          <w:p w14:paraId="6A42914B" w14:textId="77777777" w:rsidR="00117295" w:rsidRDefault="00117295">
            <w:pPr>
              <w:pStyle w:val="CETBodytext"/>
              <w:jc w:val="center"/>
              <w:rPr>
                <w:rFonts w:cs="Arial"/>
                <w:color w:val="000000"/>
                <w:szCs w:val="18"/>
              </w:rPr>
            </w:pPr>
            <w:r>
              <w:rPr>
                <w:rFonts w:cs="Arial"/>
                <w:color w:val="000000"/>
                <w:szCs w:val="18"/>
              </w:rPr>
              <w:t>10%</w:t>
            </w:r>
          </w:p>
        </w:tc>
        <w:tc>
          <w:tcPr>
            <w:tcW w:w="961" w:type="dxa"/>
            <w:tcBorders>
              <w:top w:val="nil"/>
              <w:left w:val="nil"/>
              <w:bottom w:val="nil"/>
              <w:right w:val="nil"/>
            </w:tcBorders>
            <w:vAlign w:val="bottom"/>
            <w:hideMark/>
          </w:tcPr>
          <w:p w14:paraId="16CCE79B" w14:textId="77777777" w:rsidR="00117295" w:rsidRDefault="00117295">
            <w:pPr>
              <w:pStyle w:val="CETBodytext"/>
              <w:jc w:val="center"/>
              <w:rPr>
                <w:rFonts w:cs="Arial"/>
                <w:color w:val="000000"/>
                <w:szCs w:val="18"/>
              </w:rPr>
            </w:pPr>
            <w:r>
              <w:rPr>
                <w:rFonts w:cs="Arial"/>
                <w:color w:val="000000"/>
                <w:szCs w:val="18"/>
              </w:rPr>
              <w:t>0%</w:t>
            </w:r>
          </w:p>
        </w:tc>
        <w:tc>
          <w:tcPr>
            <w:tcW w:w="961" w:type="dxa"/>
            <w:tcBorders>
              <w:top w:val="nil"/>
              <w:left w:val="nil"/>
              <w:bottom w:val="nil"/>
              <w:right w:val="nil"/>
            </w:tcBorders>
            <w:vAlign w:val="bottom"/>
            <w:hideMark/>
          </w:tcPr>
          <w:p w14:paraId="4DDDD45D" w14:textId="77777777" w:rsidR="00117295" w:rsidRDefault="00117295">
            <w:pPr>
              <w:pStyle w:val="CETBodytext"/>
              <w:jc w:val="center"/>
              <w:rPr>
                <w:rFonts w:cs="Arial"/>
                <w:color w:val="000000"/>
                <w:szCs w:val="18"/>
              </w:rPr>
            </w:pPr>
            <w:r>
              <w:rPr>
                <w:rFonts w:cs="Arial"/>
                <w:color w:val="000000"/>
                <w:szCs w:val="18"/>
              </w:rPr>
              <w:t>10%</w:t>
            </w:r>
          </w:p>
        </w:tc>
        <w:tc>
          <w:tcPr>
            <w:tcW w:w="961" w:type="dxa"/>
            <w:tcBorders>
              <w:top w:val="nil"/>
              <w:left w:val="nil"/>
              <w:bottom w:val="nil"/>
              <w:right w:val="nil"/>
            </w:tcBorders>
            <w:vAlign w:val="bottom"/>
            <w:hideMark/>
          </w:tcPr>
          <w:p w14:paraId="5228D052" w14:textId="77777777" w:rsidR="00117295" w:rsidRDefault="00117295">
            <w:pPr>
              <w:pStyle w:val="CETBodytext"/>
              <w:jc w:val="center"/>
              <w:rPr>
                <w:rFonts w:cs="Arial"/>
                <w:color w:val="000000"/>
                <w:szCs w:val="18"/>
              </w:rPr>
            </w:pPr>
            <w:r>
              <w:rPr>
                <w:rFonts w:cs="Arial"/>
                <w:color w:val="000000"/>
                <w:szCs w:val="18"/>
              </w:rPr>
              <w:t>20%</w:t>
            </w:r>
          </w:p>
        </w:tc>
        <w:tc>
          <w:tcPr>
            <w:tcW w:w="961" w:type="dxa"/>
            <w:tcBorders>
              <w:top w:val="nil"/>
              <w:left w:val="nil"/>
              <w:bottom w:val="nil"/>
              <w:right w:val="nil"/>
            </w:tcBorders>
            <w:vAlign w:val="bottom"/>
            <w:hideMark/>
          </w:tcPr>
          <w:p w14:paraId="02CCC025" w14:textId="77777777" w:rsidR="00117295" w:rsidRDefault="00117295">
            <w:pPr>
              <w:pStyle w:val="CETBodytext"/>
              <w:jc w:val="center"/>
              <w:rPr>
                <w:rFonts w:cs="Arial"/>
                <w:color w:val="000000"/>
                <w:szCs w:val="18"/>
              </w:rPr>
            </w:pPr>
            <w:r>
              <w:rPr>
                <w:rFonts w:cs="Arial"/>
                <w:color w:val="000000"/>
                <w:szCs w:val="18"/>
              </w:rPr>
              <w:t>20%</w:t>
            </w:r>
          </w:p>
        </w:tc>
      </w:tr>
      <w:tr w:rsidR="00117295" w14:paraId="0423F8DC" w14:textId="77777777" w:rsidTr="00117295">
        <w:trPr>
          <w:trHeight w:val="218"/>
        </w:trPr>
        <w:tc>
          <w:tcPr>
            <w:tcW w:w="993" w:type="dxa"/>
            <w:tcBorders>
              <w:top w:val="nil"/>
              <w:left w:val="nil"/>
              <w:bottom w:val="nil"/>
              <w:right w:val="nil"/>
            </w:tcBorders>
            <w:shd w:val="clear" w:color="auto" w:fill="FFFFFF"/>
            <w:vAlign w:val="center"/>
            <w:hideMark/>
          </w:tcPr>
          <w:p w14:paraId="43398707" w14:textId="77777777" w:rsidR="00117295" w:rsidRDefault="00117295">
            <w:pPr>
              <w:pStyle w:val="CETBodytext"/>
              <w:jc w:val="center"/>
              <w:rPr>
                <w:rFonts w:cs="Arial"/>
                <w:szCs w:val="18"/>
                <w:lang w:val="en-GB"/>
              </w:rPr>
            </w:pPr>
            <w:r>
              <w:rPr>
                <w:rFonts w:cs="Arial"/>
                <w:color w:val="000000"/>
                <w:szCs w:val="18"/>
              </w:rPr>
              <w:t>S4</w:t>
            </w:r>
          </w:p>
        </w:tc>
        <w:tc>
          <w:tcPr>
            <w:tcW w:w="960" w:type="dxa"/>
            <w:tcBorders>
              <w:top w:val="nil"/>
              <w:left w:val="nil"/>
              <w:bottom w:val="nil"/>
              <w:right w:val="nil"/>
            </w:tcBorders>
            <w:shd w:val="clear" w:color="auto" w:fill="FFFFFF"/>
            <w:vAlign w:val="bottom"/>
            <w:hideMark/>
          </w:tcPr>
          <w:p w14:paraId="10FDEE9A" w14:textId="77777777" w:rsidR="00117295" w:rsidRDefault="00117295">
            <w:pPr>
              <w:pStyle w:val="CETBodytext"/>
              <w:jc w:val="center"/>
              <w:rPr>
                <w:rFonts w:cs="Arial"/>
                <w:color w:val="000000"/>
                <w:szCs w:val="18"/>
              </w:rPr>
            </w:pPr>
            <w:r>
              <w:rPr>
                <w:rFonts w:cs="Arial"/>
                <w:color w:val="000000"/>
                <w:szCs w:val="18"/>
              </w:rPr>
              <w:t>20%</w:t>
            </w:r>
          </w:p>
        </w:tc>
        <w:tc>
          <w:tcPr>
            <w:tcW w:w="960" w:type="dxa"/>
            <w:tcBorders>
              <w:top w:val="nil"/>
              <w:left w:val="nil"/>
              <w:bottom w:val="nil"/>
              <w:right w:val="nil"/>
            </w:tcBorders>
            <w:shd w:val="clear" w:color="auto" w:fill="FFFFFF"/>
            <w:vAlign w:val="bottom"/>
            <w:hideMark/>
          </w:tcPr>
          <w:p w14:paraId="78B7570B" w14:textId="77777777" w:rsidR="00117295" w:rsidRDefault="00117295">
            <w:pPr>
              <w:pStyle w:val="CETBodytext"/>
              <w:jc w:val="center"/>
              <w:rPr>
                <w:rFonts w:cs="Arial"/>
                <w:color w:val="000000"/>
                <w:szCs w:val="18"/>
              </w:rPr>
            </w:pPr>
            <w:r>
              <w:rPr>
                <w:rFonts w:cs="Arial"/>
                <w:color w:val="000000"/>
                <w:szCs w:val="18"/>
              </w:rPr>
              <w:t>0%</w:t>
            </w:r>
          </w:p>
        </w:tc>
        <w:tc>
          <w:tcPr>
            <w:tcW w:w="961" w:type="dxa"/>
            <w:tcBorders>
              <w:top w:val="nil"/>
              <w:left w:val="nil"/>
              <w:bottom w:val="nil"/>
              <w:right w:val="nil"/>
            </w:tcBorders>
            <w:shd w:val="clear" w:color="auto" w:fill="FFFFFF"/>
            <w:vAlign w:val="bottom"/>
            <w:hideMark/>
          </w:tcPr>
          <w:p w14:paraId="2C933DAE" w14:textId="77777777" w:rsidR="00117295" w:rsidRDefault="00117295">
            <w:pPr>
              <w:pStyle w:val="CETBodytext"/>
              <w:jc w:val="center"/>
              <w:rPr>
                <w:rFonts w:cs="Arial"/>
                <w:color w:val="000000"/>
                <w:szCs w:val="18"/>
              </w:rPr>
            </w:pPr>
            <w:r>
              <w:rPr>
                <w:rFonts w:cs="Arial"/>
                <w:color w:val="000000"/>
                <w:szCs w:val="18"/>
              </w:rPr>
              <w:t>0%</w:t>
            </w:r>
          </w:p>
        </w:tc>
        <w:tc>
          <w:tcPr>
            <w:tcW w:w="961" w:type="dxa"/>
            <w:tcBorders>
              <w:top w:val="nil"/>
              <w:left w:val="nil"/>
              <w:bottom w:val="nil"/>
              <w:right w:val="nil"/>
            </w:tcBorders>
            <w:shd w:val="clear" w:color="auto" w:fill="FFFFFF"/>
            <w:vAlign w:val="bottom"/>
            <w:hideMark/>
          </w:tcPr>
          <w:p w14:paraId="27B1F948" w14:textId="77777777" w:rsidR="00117295" w:rsidRDefault="00117295">
            <w:pPr>
              <w:pStyle w:val="CETBodytext"/>
              <w:jc w:val="center"/>
              <w:rPr>
                <w:rFonts w:cs="Arial"/>
                <w:color w:val="000000"/>
                <w:szCs w:val="18"/>
              </w:rPr>
            </w:pPr>
            <w:r>
              <w:rPr>
                <w:rFonts w:cs="Arial"/>
                <w:color w:val="000000"/>
                <w:szCs w:val="18"/>
              </w:rPr>
              <w:t>0%</w:t>
            </w:r>
          </w:p>
        </w:tc>
        <w:tc>
          <w:tcPr>
            <w:tcW w:w="961" w:type="dxa"/>
            <w:tcBorders>
              <w:top w:val="nil"/>
              <w:left w:val="nil"/>
              <w:bottom w:val="nil"/>
              <w:right w:val="nil"/>
            </w:tcBorders>
            <w:vAlign w:val="bottom"/>
            <w:hideMark/>
          </w:tcPr>
          <w:p w14:paraId="71B4F40E" w14:textId="77777777" w:rsidR="00117295" w:rsidRDefault="00117295">
            <w:pPr>
              <w:pStyle w:val="CETBodytext"/>
              <w:jc w:val="center"/>
              <w:rPr>
                <w:rFonts w:cs="Arial"/>
                <w:color w:val="000000"/>
                <w:szCs w:val="18"/>
              </w:rPr>
            </w:pPr>
            <w:r>
              <w:rPr>
                <w:rFonts w:cs="Arial"/>
                <w:color w:val="000000"/>
                <w:szCs w:val="18"/>
              </w:rPr>
              <w:t>20%</w:t>
            </w:r>
          </w:p>
        </w:tc>
        <w:tc>
          <w:tcPr>
            <w:tcW w:w="961" w:type="dxa"/>
            <w:tcBorders>
              <w:top w:val="nil"/>
              <w:left w:val="nil"/>
              <w:bottom w:val="nil"/>
              <w:right w:val="nil"/>
            </w:tcBorders>
            <w:vAlign w:val="bottom"/>
            <w:hideMark/>
          </w:tcPr>
          <w:p w14:paraId="4603A011" w14:textId="77777777" w:rsidR="00117295" w:rsidRDefault="00117295">
            <w:pPr>
              <w:pStyle w:val="CETBodytext"/>
              <w:jc w:val="center"/>
              <w:rPr>
                <w:rFonts w:cs="Arial"/>
                <w:color w:val="000000"/>
                <w:szCs w:val="18"/>
              </w:rPr>
            </w:pPr>
            <w:r>
              <w:rPr>
                <w:rFonts w:cs="Arial"/>
                <w:color w:val="000000"/>
                <w:szCs w:val="18"/>
              </w:rPr>
              <w:t>30%</w:t>
            </w:r>
          </w:p>
        </w:tc>
        <w:tc>
          <w:tcPr>
            <w:tcW w:w="961" w:type="dxa"/>
            <w:tcBorders>
              <w:top w:val="nil"/>
              <w:left w:val="nil"/>
              <w:bottom w:val="nil"/>
              <w:right w:val="nil"/>
            </w:tcBorders>
            <w:vAlign w:val="bottom"/>
            <w:hideMark/>
          </w:tcPr>
          <w:p w14:paraId="14208412" w14:textId="77777777" w:rsidR="00117295" w:rsidRDefault="00117295">
            <w:pPr>
              <w:pStyle w:val="CETBodytext"/>
              <w:jc w:val="center"/>
              <w:rPr>
                <w:rFonts w:cs="Arial"/>
                <w:color w:val="000000"/>
                <w:szCs w:val="18"/>
              </w:rPr>
            </w:pPr>
            <w:r>
              <w:rPr>
                <w:rFonts w:cs="Arial"/>
                <w:color w:val="000000"/>
                <w:szCs w:val="18"/>
              </w:rPr>
              <w:t>10%</w:t>
            </w:r>
          </w:p>
        </w:tc>
        <w:tc>
          <w:tcPr>
            <w:tcW w:w="961" w:type="dxa"/>
            <w:tcBorders>
              <w:top w:val="nil"/>
              <w:left w:val="nil"/>
              <w:bottom w:val="nil"/>
              <w:right w:val="nil"/>
            </w:tcBorders>
            <w:vAlign w:val="bottom"/>
            <w:hideMark/>
          </w:tcPr>
          <w:p w14:paraId="3E775C7D" w14:textId="77777777" w:rsidR="00117295" w:rsidRDefault="00117295">
            <w:pPr>
              <w:pStyle w:val="CETBodytext"/>
              <w:jc w:val="center"/>
              <w:rPr>
                <w:rFonts w:cs="Arial"/>
                <w:color w:val="000000"/>
                <w:szCs w:val="18"/>
              </w:rPr>
            </w:pPr>
            <w:r>
              <w:rPr>
                <w:rFonts w:cs="Arial"/>
                <w:color w:val="000000"/>
                <w:szCs w:val="18"/>
              </w:rPr>
              <w:t>10%</w:t>
            </w:r>
          </w:p>
        </w:tc>
      </w:tr>
      <w:tr w:rsidR="00117295" w14:paraId="65C8EABA" w14:textId="77777777" w:rsidTr="00117295">
        <w:trPr>
          <w:trHeight w:val="218"/>
        </w:trPr>
        <w:tc>
          <w:tcPr>
            <w:tcW w:w="993" w:type="dxa"/>
            <w:tcBorders>
              <w:top w:val="nil"/>
              <w:left w:val="nil"/>
              <w:bottom w:val="nil"/>
              <w:right w:val="nil"/>
            </w:tcBorders>
            <w:shd w:val="clear" w:color="auto" w:fill="FFFFFF"/>
            <w:vAlign w:val="center"/>
            <w:hideMark/>
          </w:tcPr>
          <w:p w14:paraId="730ED467" w14:textId="77777777" w:rsidR="00117295" w:rsidRDefault="00117295">
            <w:pPr>
              <w:pStyle w:val="CETBodytext"/>
              <w:jc w:val="center"/>
              <w:rPr>
                <w:rFonts w:cs="Arial"/>
                <w:szCs w:val="18"/>
                <w:lang w:val="en-GB"/>
              </w:rPr>
            </w:pPr>
            <w:r>
              <w:rPr>
                <w:rFonts w:cs="Arial"/>
                <w:color w:val="000000"/>
                <w:szCs w:val="18"/>
              </w:rPr>
              <w:t>S5</w:t>
            </w:r>
          </w:p>
        </w:tc>
        <w:tc>
          <w:tcPr>
            <w:tcW w:w="960" w:type="dxa"/>
            <w:tcBorders>
              <w:top w:val="nil"/>
              <w:left w:val="nil"/>
              <w:bottom w:val="nil"/>
              <w:right w:val="nil"/>
            </w:tcBorders>
            <w:shd w:val="clear" w:color="auto" w:fill="FFFFFF"/>
            <w:vAlign w:val="bottom"/>
            <w:hideMark/>
          </w:tcPr>
          <w:p w14:paraId="1AF7745F" w14:textId="77777777" w:rsidR="00117295" w:rsidRDefault="00117295">
            <w:pPr>
              <w:pStyle w:val="CETBodytext"/>
              <w:jc w:val="center"/>
              <w:rPr>
                <w:rFonts w:cs="Arial"/>
                <w:color w:val="000000"/>
                <w:szCs w:val="18"/>
              </w:rPr>
            </w:pPr>
            <w:r>
              <w:rPr>
                <w:rFonts w:cs="Arial"/>
                <w:color w:val="000000"/>
                <w:szCs w:val="18"/>
              </w:rPr>
              <w:t>0%</w:t>
            </w:r>
          </w:p>
        </w:tc>
        <w:tc>
          <w:tcPr>
            <w:tcW w:w="960" w:type="dxa"/>
            <w:tcBorders>
              <w:top w:val="nil"/>
              <w:left w:val="nil"/>
              <w:bottom w:val="nil"/>
              <w:right w:val="nil"/>
            </w:tcBorders>
            <w:shd w:val="clear" w:color="auto" w:fill="FFFFFF"/>
            <w:vAlign w:val="bottom"/>
            <w:hideMark/>
          </w:tcPr>
          <w:p w14:paraId="22382B38" w14:textId="77777777" w:rsidR="00117295" w:rsidRDefault="00117295">
            <w:pPr>
              <w:pStyle w:val="CETBodytext"/>
              <w:jc w:val="center"/>
              <w:rPr>
                <w:rFonts w:cs="Arial"/>
                <w:color w:val="000000"/>
                <w:szCs w:val="18"/>
              </w:rPr>
            </w:pPr>
            <w:r>
              <w:rPr>
                <w:rFonts w:cs="Arial"/>
                <w:color w:val="000000"/>
                <w:szCs w:val="18"/>
              </w:rPr>
              <w:t>0%</w:t>
            </w:r>
          </w:p>
        </w:tc>
        <w:tc>
          <w:tcPr>
            <w:tcW w:w="961" w:type="dxa"/>
            <w:tcBorders>
              <w:top w:val="nil"/>
              <w:left w:val="nil"/>
              <w:bottom w:val="nil"/>
              <w:right w:val="nil"/>
            </w:tcBorders>
            <w:shd w:val="clear" w:color="auto" w:fill="FFFFFF"/>
            <w:vAlign w:val="bottom"/>
            <w:hideMark/>
          </w:tcPr>
          <w:p w14:paraId="5FDEBA7D" w14:textId="77777777" w:rsidR="00117295" w:rsidRDefault="00117295">
            <w:pPr>
              <w:pStyle w:val="CETBodytext"/>
              <w:jc w:val="center"/>
              <w:rPr>
                <w:rFonts w:cs="Arial"/>
                <w:color w:val="000000"/>
                <w:szCs w:val="18"/>
              </w:rPr>
            </w:pPr>
            <w:r>
              <w:rPr>
                <w:rFonts w:cs="Arial"/>
                <w:color w:val="000000"/>
                <w:szCs w:val="18"/>
              </w:rPr>
              <w:t>0%</w:t>
            </w:r>
          </w:p>
        </w:tc>
        <w:tc>
          <w:tcPr>
            <w:tcW w:w="961" w:type="dxa"/>
            <w:tcBorders>
              <w:top w:val="nil"/>
              <w:left w:val="nil"/>
              <w:bottom w:val="nil"/>
              <w:right w:val="nil"/>
            </w:tcBorders>
            <w:shd w:val="clear" w:color="auto" w:fill="FFFFFF"/>
            <w:vAlign w:val="bottom"/>
            <w:hideMark/>
          </w:tcPr>
          <w:p w14:paraId="7EA5419F" w14:textId="77777777" w:rsidR="00117295" w:rsidRDefault="00117295">
            <w:pPr>
              <w:pStyle w:val="CETBodytext"/>
              <w:jc w:val="center"/>
              <w:rPr>
                <w:rFonts w:cs="Arial"/>
                <w:color w:val="000000"/>
                <w:szCs w:val="18"/>
              </w:rPr>
            </w:pPr>
            <w:r>
              <w:rPr>
                <w:rFonts w:cs="Arial"/>
                <w:color w:val="000000"/>
                <w:szCs w:val="18"/>
              </w:rPr>
              <w:t>0%</w:t>
            </w:r>
          </w:p>
        </w:tc>
        <w:tc>
          <w:tcPr>
            <w:tcW w:w="961" w:type="dxa"/>
            <w:tcBorders>
              <w:top w:val="nil"/>
              <w:left w:val="nil"/>
              <w:bottom w:val="nil"/>
              <w:right w:val="nil"/>
            </w:tcBorders>
            <w:vAlign w:val="bottom"/>
            <w:hideMark/>
          </w:tcPr>
          <w:p w14:paraId="24D36667" w14:textId="77777777" w:rsidR="00117295" w:rsidRDefault="00117295">
            <w:pPr>
              <w:pStyle w:val="CETBodytext"/>
              <w:jc w:val="center"/>
              <w:rPr>
                <w:rFonts w:cs="Arial"/>
                <w:color w:val="000000"/>
                <w:szCs w:val="18"/>
              </w:rPr>
            </w:pPr>
            <w:r>
              <w:rPr>
                <w:rFonts w:cs="Arial"/>
                <w:color w:val="000000"/>
                <w:szCs w:val="18"/>
              </w:rPr>
              <w:t>0%</w:t>
            </w:r>
          </w:p>
        </w:tc>
        <w:tc>
          <w:tcPr>
            <w:tcW w:w="961" w:type="dxa"/>
            <w:tcBorders>
              <w:top w:val="nil"/>
              <w:left w:val="nil"/>
              <w:bottom w:val="nil"/>
              <w:right w:val="nil"/>
            </w:tcBorders>
            <w:vAlign w:val="bottom"/>
            <w:hideMark/>
          </w:tcPr>
          <w:p w14:paraId="5D0C37C9" w14:textId="77777777" w:rsidR="00117295" w:rsidRDefault="00117295">
            <w:pPr>
              <w:pStyle w:val="CETBodytext"/>
              <w:jc w:val="center"/>
              <w:rPr>
                <w:rFonts w:cs="Arial"/>
                <w:color w:val="000000"/>
                <w:szCs w:val="18"/>
              </w:rPr>
            </w:pPr>
            <w:r>
              <w:rPr>
                <w:rFonts w:cs="Arial"/>
                <w:color w:val="000000"/>
                <w:szCs w:val="18"/>
              </w:rPr>
              <w:t>0%</w:t>
            </w:r>
          </w:p>
        </w:tc>
        <w:tc>
          <w:tcPr>
            <w:tcW w:w="961" w:type="dxa"/>
            <w:tcBorders>
              <w:top w:val="nil"/>
              <w:left w:val="nil"/>
              <w:bottom w:val="nil"/>
              <w:right w:val="nil"/>
            </w:tcBorders>
            <w:vAlign w:val="bottom"/>
            <w:hideMark/>
          </w:tcPr>
          <w:p w14:paraId="38C506F7" w14:textId="77777777" w:rsidR="00117295" w:rsidRDefault="00117295">
            <w:pPr>
              <w:pStyle w:val="CETBodytext"/>
              <w:jc w:val="center"/>
              <w:rPr>
                <w:rFonts w:cs="Arial"/>
                <w:color w:val="000000"/>
                <w:szCs w:val="18"/>
              </w:rPr>
            </w:pPr>
            <w:r>
              <w:rPr>
                <w:rFonts w:cs="Arial"/>
                <w:color w:val="000000"/>
                <w:szCs w:val="18"/>
              </w:rPr>
              <w:t>0%</w:t>
            </w:r>
          </w:p>
        </w:tc>
        <w:tc>
          <w:tcPr>
            <w:tcW w:w="961" w:type="dxa"/>
            <w:tcBorders>
              <w:top w:val="nil"/>
              <w:left w:val="nil"/>
              <w:bottom w:val="nil"/>
              <w:right w:val="nil"/>
            </w:tcBorders>
            <w:vAlign w:val="bottom"/>
            <w:hideMark/>
          </w:tcPr>
          <w:p w14:paraId="79A90F9D" w14:textId="77777777" w:rsidR="00117295" w:rsidRDefault="00117295">
            <w:pPr>
              <w:pStyle w:val="CETBodytext"/>
              <w:jc w:val="center"/>
              <w:rPr>
                <w:rFonts w:cs="Arial"/>
                <w:color w:val="000000"/>
                <w:szCs w:val="18"/>
              </w:rPr>
            </w:pPr>
            <w:r>
              <w:rPr>
                <w:rFonts w:cs="Arial"/>
                <w:color w:val="000000"/>
                <w:szCs w:val="18"/>
              </w:rPr>
              <w:t>0%</w:t>
            </w:r>
          </w:p>
        </w:tc>
      </w:tr>
      <w:tr w:rsidR="00117295" w14:paraId="4C93467A" w14:textId="77777777" w:rsidTr="00117295">
        <w:trPr>
          <w:trHeight w:val="218"/>
        </w:trPr>
        <w:tc>
          <w:tcPr>
            <w:tcW w:w="993" w:type="dxa"/>
            <w:tcBorders>
              <w:top w:val="nil"/>
              <w:left w:val="nil"/>
              <w:bottom w:val="nil"/>
              <w:right w:val="nil"/>
            </w:tcBorders>
            <w:shd w:val="clear" w:color="auto" w:fill="FFFFFF"/>
            <w:vAlign w:val="center"/>
            <w:hideMark/>
          </w:tcPr>
          <w:p w14:paraId="67E1C29A" w14:textId="77777777" w:rsidR="00117295" w:rsidRDefault="00117295">
            <w:pPr>
              <w:pStyle w:val="CETBodytext"/>
              <w:jc w:val="center"/>
              <w:rPr>
                <w:rFonts w:cs="Arial"/>
                <w:szCs w:val="18"/>
                <w:lang w:val="en-GB"/>
              </w:rPr>
            </w:pPr>
            <w:r>
              <w:rPr>
                <w:rFonts w:cs="Arial"/>
                <w:color w:val="000000"/>
                <w:szCs w:val="18"/>
              </w:rPr>
              <w:t>EV1</w:t>
            </w:r>
          </w:p>
        </w:tc>
        <w:tc>
          <w:tcPr>
            <w:tcW w:w="960" w:type="dxa"/>
            <w:tcBorders>
              <w:top w:val="nil"/>
              <w:left w:val="nil"/>
              <w:bottom w:val="nil"/>
              <w:right w:val="nil"/>
            </w:tcBorders>
            <w:shd w:val="clear" w:color="auto" w:fill="FFFFFF"/>
            <w:vAlign w:val="bottom"/>
            <w:hideMark/>
          </w:tcPr>
          <w:p w14:paraId="5AF37066" w14:textId="77777777" w:rsidR="00117295" w:rsidRDefault="00117295">
            <w:pPr>
              <w:pStyle w:val="CETBodytext"/>
              <w:jc w:val="center"/>
              <w:rPr>
                <w:rFonts w:cs="Arial"/>
                <w:color w:val="000000"/>
                <w:szCs w:val="18"/>
              </w:rPr>
            </w:pPr>
            <w:r>
              <w:rPr>
                <w:rFonts w:cs="Arial"/>
                <w:color w:val="000000"/>
                <w:szCs w:val="18"/>
              </w:rPr>
              <w:t>20%</w:t>
            </w:r>
          </w:p>
        </w:tc>
        <w:tc>
          <w:tcPr>
            <w:tcW w:w="960" w:type="dxa"/>
            <w:tcBorders>
              <w:top w:val="nil"/>
              <w:left w:val="nil"/>
              <w:bottom w:val="nil"/>
              <w:right w:val="nil"/>
            </w:tcBorders>
            <w:shd w:val="clear" w:color="auto" w:fill="FFFFFF"/>
            <w:vAlign w:val="bottom"/>
            <w:hideMark/>
          </w:tcPr>
          <w:p w14:paraId="482BECD2" w14:textId="77777777" w:rsidR="00117295" w:rsidRDefault="00117295">
            <w:pPr>
              <w:pStyle w:val="CETBodytext"/>
              <w:jc w:val="center"/>
              <w:rPr>
                <w:rFonts w:cs="Arial"/>
                <w:color w:val="000000"/>
                <w:szCs w:val="18"/>
              </w:rPr>
            </w:pPr>
            <w:r>
              <w:rPr>
                <w:rFonts w:cs="Arial"/>
                <w:color w:val="000000"/>
                <w:szCs w:val="18"/>
              </w:rPr>
              <w:t>0%</w:t>
            </w:r>
          </w:p>
        </w:tc>
        <w:tc>
          <w:tcPr>
            <w:tcW w:w="961" w:type="dxa"/>
            <w:tcBorders>
              <w:top w:val="nil"/>
              <w:left w:val="nil"/>
              <w:bottom w:val="nil"/>
              <w:right w:val="nil"/>
            </w:tcBorders>
            <w:shd w:val="clear" w:color="auto" w:fill="FFFFFF"/>
            <w:vAlign w:val="bottom"/>
            <w:hideMark/>
          </w:tcPr>
          <w:p w14:paraId="5829001E" w14:textId="77777777" w:rsidR="00117295" w:rsidRDefault="00117295">
            <w:pPr>
              <w:pStyle w:val="CETBodytext"/>
              <w:jc w:val="center"/>
              <w:rPr>
                <w:rFonts w:cs="Arial"/>
                <w:color w:val="000000"/>
                <w:szCs w:val="18"/>
              </w:rPr>
            </w:pPr>
            <w:r>
              <w:rPr>
                <w:rFonts w:cs="Arial"/>
                <w:color w:val="000000"/>
                <w:szCs w:val="18"/>
              </w:rPr>
              <w:t>0%</w:t>
            </w:r>
          </w:p>
        </w:tc>
        <w:tc>
          <w:tcPr>
            <w:tcW w:w="961" w:type="dxa"/>
            <w:tcBorders>
              <w:top w:val="nil"/>
              <w:left w:val="nil"/>
              <w:bottom w:val="nil"/>
              <w:right w:val="nil"/>
            </w:tcBorders>
            <w:shd w:val="clear" w:color="auto" w:fill="FFFFFF"/>
            <w:vAlign w:val="bottom"/>
            <w:hideMark/>
          </w:tcPr>
          <w:p w14:paraId="37F651D8" w14:textId="77777777" w:rsidR="00117295" w:rsidRDefault="00117295">
            <w:pPr>
              <w:pStyle w:val="CETBodytext"/>
              <w:jc w:val="center"/>
              <w:rPr>
                <w:rFonts w:cs="Arial"/>
                <w:color w:val="000000"/>
                <w:szCs w:val="18"/>
              </w:rPr>
            </w:pPr>
            <w:r>
              <w:rPr>
                <w:rFonts w:cs="Arial"/>
                <w:color w:val="000000"/>
                <w:szCs w:val="18"/>
              </w:rPr>
              <w:t>20%</w:t>
            </w:r>
          </w:p>
        </w:tc>
        <w:tc>
          <w:tcPr>
            <w:tcW w:w="961" w:type="dxa"/>
            <w:tcBorders>
              <w:top w:val="nil"/>
              <w:left w:val="nil"/>
              <w:bottom w:val="nil"/>
              <w:right w:val="nil"/>
            </w:tcBorders>
            <w:vAlign w:val="bottom"/>
            <w:hideMark/>
          </w:tcPr>
          <w:p w14:paraId="7FAEA83A" w14:textId="77777777" w:rsidR="00117295" w:rsidRDefault="00117295">
            <w:pPr>
              <w:pStyle w:val="CETBodytext"/>
              <w:jc w:val="center"/>
              <w:rPr>
                <w:rFonts w:cs="Arial"/>
                <w:color w:val="000000"/>
                <w:szCs w:val="18"/>
              </w:rPr>
            </w:pPr>
            <w:r>
              <w:rPr>
                <w:rFonts w:cs="Arial"/>
                <w:color w:val="000000"/>
                <w:szCs w:val="18"/>
              </w:rPr>
              <w:t>20%</w:t>
            </w:r>
          </w:p>
        </w:tc>
        <w:tc>
          <w:tcPr>
            <w:tcW w:w="961" w:type="dxa"/>
            <w:tcBorders>
              <w:top w:val="nil"/>
              <w:left w:val="nil"/>
              <w:bottom w:val="nil"/>
              <w:right w:val="nil"/>
            </w:tcBorders>
            <w:vAlign w:val="bottom"/>
            <w:hideMark/>
          </w:tcPr>
          <w:p w14:paraId="6A78B453" w14:textId="77777777" w:rsidR="00117295" w:rsidRDefault="00117295">
            <w:pPr>
              <w:pStyle w:val="CETBodytext"/>
              <w:jc w:val="center"/>
              <w:rPr>
                <w:rFonts w:cs="Arial"/>
                <w:color w:val="000000"/>
                <w:szCs w:val="18"/>
              </w:rPr>
            </w:pPr>
            <w:r>
              <w:rPr>
                <w:rFonts w:cs="Arial"/>
                <w:color w:val="000000"/>
                <w:szCs w:val="18"/>
              </w:rPr>
              <w:t>10%</w:t>
            </w:r>
          </w:p>
        </w:tc>
        <w:tc>
          <w:tcPr>
            <w:tcW w:w="961" w:type="dxa"/>
            <w:tcBorders>
              <w:top w:val="nil"/>
              <w:left w:val="nil"/>
              <w:bottom w:val="nil"/>
              <w:right w:val="nil"/>
            </w:tcBorders>
            <w:vAlign w:val="bottom"/>
            <w:hideMark/>
          </w:tcPr>
          <w:p w14:paraId="33AACCB7" w14:textId="77777777" w:rsidR="00117295" w:rsidRDefault="00117295">
            <w:pPr>
              <w:pStyle w:val="CETBodytext"/>
              <w:jc w:val="center"/>
              <w:rPr>
                <w:rFonts w:cs="Arial"/>
                <w:color w:val="000000"/>
                <w:szCs w:val="18"/>
              </w:rPr>
            </w:pPr>
            <w:r>
              <w:rPr>
                <w:rFonts w:cs="Arial"/>
                <w:color w:val="000000"/>
                <w:szCs w:val="18"/>
              </w:rPr>
              <w:t>0%</w:t>
            </w:r>
          </w:p>
        </w:tc>
        <w:tc>
          <w:tcPr>
            <w:tcW w:w="961" w:type="dxa"/>
            <w:tcBorders>
              <w:top w:val="nil"/>
              <w:left w:val="nil"/>
              <w:bottom w:val="nil"/>
              <w:right w:val="nil"/>
            </w:tcBorders>
            <w:vAlign w:val="bottom"/>
            <w:hideMark/>
          </w:tcPr>
          <w:p w14:paraId="3A7C45EC" w14:textId="77777777" w:rsidR="00117295" w:rsidRDefault="00117295">
            <w:pPr>
              <w:pStyle w:val="CETBodytext"/>
              <w:jc w:val="center"/>
              <w:rPr>
                <w:rFonts w:cs="Arial"/>
                <w:color w:val="000000"/>
                <w:szCs w:val="18"/>
              </w:rPr>
            </w:pPr>
            <w:r>
              <w:rPr>
                <w:rFonts w:cs="Arial"/>
                <w:color w:val="000000"/>
                <w:szCs w:val="18"/>
              </w:rPr>
              <w:t>10%</w:t>
            </w:r>
          </w:p>
        </w:tc>
      </w:tr>
      <w:tr w:rsidR="00117295" w14:paraId="7599DBF4" w14:textId="77777777" w:rsidTr="00117295">
        <w:trPr>
          <w:trHeight w:val="218"/>
        </w:trPr>
        <w:tc>
          <w:tcPr>
            <w:tcW w:w="993" w:type="dxa"/>
            <w:tcBorders>
              <w:top w:val="nil"/>
              <w:left w:val="nil"/>
              <w:bottom w:val="nil"/>
              <w:right w:val="nil"/>
            </w:tcBorders>
            <w:shd w:val="clear" w:color="auto" w:fill="FFFFFF"/>
            <w:vAlign w:val="center"/>
            <w:hideMark/>
          </w:tcPr>
          <w:p w14:paraId="490384B2" w14:textId="77777777" w:rsidR="00117295" w:rsidRDefault="00117295">
            <w:pPr>
              <w:pStyle w:val="CETBodytext"/>
              <w:jc w:val="center"/>
              <w:rPr>
                <w:rFonts w:cs="Arial"/>
                <w:szCs w:val="18"/>
                <w:lang w:val="en-GB"/>
              </w:rPr>
            </w:pPr>
            <w:r>
              <w:rPr>
                <w:rFonts w:cs="Arial"/>
                <w:color w:val="000000"/>
                <w:szCs w:val="18"/>
              </w:rPr>
              <w:t>EV2</w:t>
            </w:r>
          </w:p>
        </w:tc>
        <w:tc>
          <w:tcPr>
            <w:tcW w:w="960" w:type="dxa"/>
            <w:tcBorders>
              <w:top w:val="nil"/>
              <w:left w:val="nil"/>
              <w:bottom w:val="nil"/>
              <w:right w:val="nil"/>
            </w:tcBorders>
            <w:shd w:val="clear" w:color="auto" w:fill="FFFFFF"/>
            <w:vAlign w:val="bottom"/>
            <w:hideMark/>
          </w:tcPr>
          <w:p w14:paraId="27067A5B" w14:textId="77777777" w:rsidR="00117295" w:rsidRDefault="00117295">
            <w:pPr>
              <w:pStyle w:val="CETBodytext"/>
              <w:jc w:val="center"/>
              <w:rPr>
                <w:rFonts w:cs="Arial"/>
                <w:color w:val="000000"/>
                <w:szCs w:val="18"/>
              </w:rPr>
            </w:pPr>
            <w:r>
              <w:rPr>
                <w:rFonts w:cs="Arial"/>
                <w:color w:val="000000"/>
                <w:szCs w:val="18"/>
              </w:rPr>
              <w:t>0%</w:t>
            </w:r>
          </w:p>
        </w:tc>
        <w:tc>
          <w:tcPr>
            <w:tcW w:w="960" w:type="dxa"/>
            <w:tcBorders>
              <w:top w:val="nil"/>
              <w:left w:val="nil"/>
              <w:bottom w:val="nil"/>
              <w:right w:val="nil"/>
            </w:tcBorders>
            <w:shd w:val="clear" w:color="auto" w:fill="FFFFFF"/>
            <w:vAlign w:val="bottom"/>
            <w:hideMark/>
          </w:tcPr>
          <w:p w14:paraId="3E90B8CB" w14:textId="77777777" w:rsidR="00117295" w:rsidRDefault="00117295">
            <w:pPr>
              <w:pStyle w:val="CETBodytext"/>
              <w:jc w:val="center"/>
              <w:rPr>
                <w:rFonts w:cs="Arial"/>
                <w:color w:val="000000"/>
                <w:szCs w:val="18"/>
              </w:rPr>
            </w:pPr>
            <w:r>
              <w:rPr>
                <w:rFonts w:cs="Arial"/>
                <w:color w:val="000000"/>
                <w:szCs w:val="18"/>
              </w:rPr>
              <w:t>0%</w:t>
            </w:r>
          </w:p>
        </w:tc>
        <w:tc>
          <w:tcPr>
            <w:tcW w:w="961" w:type="dxa"/>
            <w:tcBorders>
              <w:top w:val="nil"/>
              <w:left w:val="nil"/>
              <w:bottom w:val="nil"/>
              <w:right w:val="nil"/>
            </w:tcBorders>
            <w:shd w:val="clear" w:color="auto" w:fill="FFFFFF"/>
            <w:vAlign w:val="bottom"/>
            <w:hideMark/>
          </w:tcPr>
          <w:p w14:paraId="510E2560" w14:textId="77777777" w:rsidR="00117295" w:rsidRDefault="00117295">
            <w:pPr>
              <w:pStyle w:val="CETBodytext"/>
              <w:jc w:val="center"/>
              <w:rPr>
                <w:rFonts w:cs="Arial"/>
                <w:color w:val="000000"/>
                <w:szCs w:val="18"/>
              </w:rPr>
            </w:pPr>
            <w:r>
              <w:rPr>
                <w:rFonts w:cs="Arial"/>
                <w:color w:val="000000"/>
                <w:szCs w:val="18"/>
              </w:rPr>
              <w:t>0%</w:t>
            </w:r>
          </w:p>
        </w:tc>
        <w:tc>
          <w:tcPr>
            <w:tcW w:w="961" w:type="dxa"/>
            <w:tcBorders>
              <w:top w:val="nil"/>
              <w:left w:val="nil"/>
              <w:bottom w:val="nil"/>
              <w:right w:val="nil"/>
            </w:tcBorders>
            <w:shd w:val="clear" w:color="auto" w:fill="FFFFFF"/>
            <w:vAlign w:val="bottom"/>
            <w:hideMark/>
          </w:tcPr>
          <w:p w14:paraId="26BCC7B7" w14:textId="77777777" w:rsidR="00117295" w:rsidRDefault="00117295">
            <w:pPr>
              <w:pStyle w:val="CETBodytext"/>
              <w:jc w:val="center"/>
              <w:rPr>
                <w:rFonts w:cs="Arial"/>
                <w:color w:val="000000"/>
                <w:szCs w:val="18"/>
              </w:rPr>
            </w:pPr>
            <w:r>
              <w:rPr>
                <w:rFonts w:cs="Arial"/>
                <w:color w:val="000000"/>
                <w:szCs w:val="18"/>
              </w:rPr>
              <w:t>0%</w:t>
            </w:r>
          </w:p>
        </w:tc>
        <w:tc>
          <w:tcPr>
            <w:tcW w:w="961" w:type="dxa"/>
            <w:tcBorders>
              <w:top w:val="nil"/>
              <w:left w:val="nil"/>
              <w:bottom w:val="nil"/>
              <w:right w:val="nil"/>
            </w:tcBorders>
            <w:vAlign w:val="bottom"/>
            <w:hideMark/>
          </w:tcPr>
          <w:p w14:paraId="33468A47" w14:textId="77777777" w:rsidR="00117295" w:rsidRDefault="00117295">
            <w:pPr>
              <w:pStyle w:val="CETBodytext"/>
              <w:jc w:val="center"/>
              <w:rPr>
                <w:rFonts w:cs="Arial"/>
                <w:color w:val="000000"/>
                <w:szCs w:val="18"/>
              </w:rPr>
            </w:pPr>
            <w:r>
              <w:rPr>
                <w:rFonts w:cs="Arial"/>
                <w:color w:val="000000"/>
                <w:szCs w:val="18"/>
              </w:rPr>
              <w:t>0%</w:t>
            </w:r>
          </w:p>
        </w:tc>
        <w:tc>
          <w:tcPr>
            <w:tcW w:w="961" w:type="dxa"/>
            <w:tcBorders>
              <w:top w:val="nil"/>
              <w:left w:val="nil"/>
              <w:bottom w:val="nil"/>
              <w:right w:val="nil"/>
            </w:tcBorders>
            <w:vAlign w:val="bottom"/>
            <w:hideMark/>
          </w:tcPr>
          <w:p w14:paraId="3433949E" w14:textId="77777777" w:rsidR="00117295" w:rsidRDefault="00117295">
            <w:pPr>
              <w:pStyle w:val="CETBodytext"/>
              <w:jc w:val="center"/>
              <w:rPr>
                <w:rFonts w:cs="Arial"/>
                <w:color w:val="000000"/>
                <w:szCs w:val="18"/>
              </w:rPr>
            </w:pPr>
            <w:r>
              <w:rPr>
                <w:rFonts w:cs="Arial"/>
                <w:color w:val="000000"/>
                <w:szCs w:val="18"/>
              </w:rPr>
              <w:t>20%</w:t>
            </w:r>
          </w:p>
        </w:tc>
        <w:tc>
          <w:tcPr>
            <w:tcW w:w="961" w:type="dxa"/>
            <w:tcBorders>
              <w:top w:val="nil"/>
              <w:left w:val="nil"/>
              <w:bottom w:val="nil"/>
              <w:right w:val="nil"/>
            </w:tcBorders>
            <w:vAlign w:val="bottom"/>
            <w:hideMark/>
          </w:tcPr>
          <w:p w14:paraId="39D94E89" w14:textId="77777777" w:rsidR="00117295" w:rsidRDefault="00117295">
            <w:pPr>
              <w:pStyle w:val="CETBodytext"/>
              <w:jc w:val="center"/>
              <w:rPr>
                <w:rFonts w:cs="Arial"/>
                <w:color w:val="000000"/>
                <w:szCs w:val="18"/>
              </w:rPr>
            </w:pPr>
            <w:r>
              <w:rPr>
                <w:rFonts w:cs="Arial"/>
                <w:color w:val="000000"/>
                <w:szCs w:val="18"/>
              </w:rPr>
              <w:t>10%</w:t>
            </w:r>
          </w:p>
        </w:tc>
        <w:tc>
          <w:tcPr>
            <w:tcW w:w="961" w:type="dxa"/>
            <w:tcBorders>
              <w:top w:val="nil"/>
              <w:left w:val="nil"/>
              <w:bottom w:val="nil"/>
              <w:right w:val="nil"/>
            </w:tcBorders>
            <w:vAlign w:val="bottom"/>
            <w:hideMark/>
          </w:tcPr>
          <w:p w14:paraId="60A6AF24" w14:textId="77777777" w:rsidR="00117295" w:rsidRDefault="00117295">
            <w:pPr>
              <w:pStyle w:val="CETBodytext"/>
              <w:jc w:val="center"/>
              <w:rPr>
                <w:rFonts w:cs="Arial"/>
                <w:color w:val="000000"/>
                <w:szCs w:val="18"/>
              </w:rPr>
            </w:pPr>
            <w:r>
              <w:rPr>
                <w:rFonts w:cs="Arial"/>
                <w:color w:val="000000"/>
                <w:szCs w:val="18"/>
              </w:rPr>
              <w:t>10%</w:t>
            </w:r>
          </w:p>
        </w:tc>
      </w:tr>
      <w:tr w:rsidR="00117295" w14:paraId="43B15C40" w14:textId="77777777" w:rsidTr="00117295">
        <w:trPr>
          <w:trHeight w:val="218"/>
        </w:trPr>
        <w:tc>
          <w:tcPr>
            <w:tcW w:w="993" w:type="dxa"/>
            <w:tcBorders>
              <w:top w:val="nil"/>
              <w:left w:val="nil"/>
              <w:bottom w:val="nil"/>
              <w:right w:val="nil"/>
            </w:tcBorders>
            <w:shd w:val="clear" w:color="auto" w:fill="FFFFFF"/>
            <w:vAlign w:val="center"/>
            <w:hideMark/>
          </w:tcPr>
          <w:p w14:paraId="2A9824B7" w14:textId="77777777" w:rsidR="00117295" w:rsidRDefault="00117295">
            <w:pPr>
              <w:pStyle w:val="CETBodytext"/>
              <w:jc w:val="center"/>
              <w:rPr>
                <w:rFonts w:cs="Arial"/>
                <w:szCs w:val="18"/>
                <w:lang w:val="en-GB"/>
              </w:rPr>
            </w:pPr>
            <w:r>
              <w:rPr>
                <w:rFonts w:cs="Arial"/>
                <w:color w:val="000000"/>
                <w:szCs w:val="18"/>
              </w:rPr>
              <w:t>EV3-4</w:t>
            </w:r>
          </w:p>
        </w:tc>
        <w:tc>
          <w:tcPr>
            <w:tcW w:w="960" w:type="dxa"/>
            <w:tcBorders>
              <w:top w:val="nil"/>
              <w:left w:val="nil"/>
              <w:bottom w:val="nil"/>
              <w:right w:val="nil"/>
            </w:tcBorders>
            <w:shd w:val="clear" w:color="auto" w:fill="FFFFFF"/>
            <w:vAlign w:val="bottom"/>
            <w:hideMark/>
          </w:tcPr>
          <w:p w14:paraId="29C54ABC" w14:textId="77777777" w:rsidR="00117295" w:rsidRDefault="00117295">
            <w:pPr>
              <w:pStyle w:val="CETBodytext"/>
              <w:jc w:val="center"/>
              <w:rPr>
                <w:rFonts w:cs="Arial"/>
                <w:color w:val="000000"/>
                <w:szCs w:val="18"/>
              </w:rPr>
            </w:pPr>
            <w:r>
              <w:rPr>
                <w:rFonts w:cs="Arial"/>
                <w:color w:val="000000"/>
                <w:szCs w:val="18"/>
              </w:rPr>
              <w:t>0%</w:t>
            </w:r>
          </w:p>
        </w:tc>
        <w:tc>
          <w:tcPr>
            <w:tcW w:w="960" w:type="dxa"/>
            <w:tcBorders>
              <w:top w:val="nil"/>
              <w:left w:val="nil"/>
              <w:bottom w:val="nil"/>
              <w:right w:val="nil"/>
            </w:tcBorders>
            <w:shd w:val="clear" w:color="auto" w:fill="FFFFFF"/>
            <w:vAlign w:val="bottom"/>
            <w:hideMark/>
          </w:tcPr>
          <w:p w14:paraId="10D0E85D" w14:textId="77777777" w:rsidR="00117295" w:rsidRDefault="00117295">
            <w:pPr>
              <w:pStyle w:val="CETBodytext"/>
              <w:jc w:val="center"/>
              <w:rPr>
                <w:rFonts w:cs="Arial"/>
                <w:color w:val="000000"/>
                <w:szCs w:val="18"/>
              </w:rPr>
            </w:pPr>
            <w:r>
              <w:rPr>
                <w:rFonts w:cs="Arial"/>
                <w:color w:val="000000"/>
                <w:szCs w:val="18"/>
              </w:rPr>
              <w:t>0%</w:t>
            </w:r>
          </w:p>
        </w:tc>
        <w:tc>
          <w:tcPr>
            <w:tcW w:w="961" w:type="dxa"/>
            <w:tcBorders>
              <w:top w:val="nil"/>
              <w:left w:val="nil"/>
              <w:bottom w:val="nil"/>
              <w:right w:val="nil"/>
            </w:tcBorders>
            <w:shd w:val="clear" w:color="auto" w:fill="FFFFFF"/>
            <w:vAlign w:val="bottom"/>
            <w:hideMark/>
          </w:tcPr>
          <w:p w14:paraId="396EF800" w14:textId="77777777" w:rsidR="00117295" w:rsidRDefault="00117295">
            <w:pPr>
              <w:pStyle w:val="CETBodytext"/>
              <w:jc w:val="center"/>
              <w:rPr>
                <w:rFonts w:cs="Arial"/>
                <w:color w:val="000000"/>
                <w:szCs w:val="18"/>
              </w:rPr>
            </w:pPr>
            <w:r>
              <w:rPr>
                <w:rFonts w:cs="Arial"/>
                <w:color w:val="000000"/>
                <w:szCs w:val="18"/>
              </w:rPr>
              <w:t>0%</w:t>
            </w:r>
          </w:p>
        </w:tc>
        <w:tc>
          <w:tcPr>
            <w:tcW w:w="961" w:type="dxa"/>
            <w:tcBorders>
              <w:top w:val="nil"/>
              <w:left w:val="nil"/>
              <w:bottom w:val="nil"/>
              <w:right w:val="nil"/>
            </w:tcBorders>
            <w:shd w:val="clear" w:color="auto" w:fill="FFFFFF"/>
            <w:vAlign w:val="bottom"/>
            <w:hideMark/>
          </w:tcPr>
          <w:p w14:paraId="712CE506" w14:textId="77777777" w:rsidR="00117295" w:rsidRDefault="00117295">
            <w:pPr>
              <w:pStyle w:val="CETBodytext"/>
              <w:jc w:val="center"/>
              <w:rPr>
                <w:rFonts w:cs="Arial"/>
                <w:color w:val="000000"/>
                <w:szCs w:val="18"/>
              </w:rPr>
            </w:pPr>
            <w:r>
              <w:rPr>
                <w:rFonts w:cs="Arial"/>
                <w:color w:val="000000"/>
                <w:szCs w:val="18"/>
              </w:rPr>
              <w:t>0%</w:t>
            </w:r>
          </w:p>
        </w:tc>
        <w:tc>
          <w:tcPr>
            <w:tcW w:w="961" w:type="dxa"/>
            <w:tcBorders>
              <w:top w:val="nil"/>
              <w:left w:val="nil"/>
              <w:bottom w:val="nil"/>
              <w:right w:val="nil"/>
            </w:tcBorders>
            <w:vAlign w:val="bottom"/>
            <w:hideMark/>
          </w:tcPr>
          <w:p w14:paraId="625B0CE4" w14:textId="77777777" w:rsidR="00117295" w:rsidRDefault="00117295">
            <w:pPr>
              <w:pStyle w:val="CETBodytext"/>
              <w:jc w:val="center"/>
              <w:rPr>
                <w:rFonts w:cs="Arial"/>
                <w:color w:val="000000"/>
                <w:szCs w:val="18"/>
              </w:rPr>
            </w:pPr>
            <w:r>
              <w:rPr>
                <w:rFonts w:cs="Arial"/>
                <w:color w:val="000000"/>
                <w:szCs w:val="18"/>
              </w:rPr>
              <w:t>0%</w:t>
            </w:r>
          </w:p>
        </w:tc>
        <w:tc>
          <w:tcPr>
            <w:tcW w:w="961" w:type="dxa"/>
            <w:tcBorders>
              <w:top w:val="nil"/>
              <w:left w:val="nil"/>
              <w:bottom w:val="nil"/>
              <w:right w:val="nil"/>
            </w:tcBorders>
            <w:vAlign w:val="bottom"/>
            <w:hideMark/>
          </w:tcPr>
          <w:p w14:paraId="5A0A6E74" w14:textId="77777777" w:rsidR="00117295" w:rsidRDefault="00117295">
            <w:pPr>
              <w:pStyle w:val="CETBodytext"/>
              <w:jc w:val="center"/>
              <w:rPr>
                <w:rFonts w:cs="Arial"/>
                <w:color w:val="000000"/>
                <w:szCs w:val="18"/>
              </w:rPr>
            </w:pPr>
            <w:r>
              <w:rPr>
                <w:rFonts w:cs="Arial"/>
                <w:color w:val="000000"/>
                <w:szCs w:val="18"/>
              </w:rPr>
              <w:t>0%</w:t>
            </w:r>
          </w:p>
        </w:tc>
        <w:tc>
          <w:tcPr>
            <w:tcW w:w="961" w:type="dxa"/>
            <w:tcBorders>
              <w:top w:val="nil"/>
              <w:left w:val="nil"/>
              <w:bottom w:val="nil"/>
              <w:right w:val="nil"/>
            </w:tcBorders>
            <w:vAlign w:val="bottom"/>
            <w:hideMark/>
          </w:tcPr>
          <w:p w14:paraId="5D3C39FF" w14:textId="77777777" w:rsidR="00117295" w:rsidRDefault="00117295">
            <w:pPr>
              <w:pStyle w:val="CETBodytext"/>
              <w:jc w:val="center"/>
              <w:rPr>
                <w:rFonts w:cs="Arial"/>
                <w:color w:val="000000"/>
                <w:szCs w:val="18"/>
              </w:rPr>
            </w:pPr>
            <w:r>
              <w:rPr>
                <w:rFonts w:cs="Arial"/>
                <w:color w:val="000000"/>
                <w:szCs w:val="18"/>
              </w:rPr>
              <w:t>0%</w:t>
            </w:r>
          </w:p>
        </w:tc>
        <w:tc>
          <w:tcPr>
            <w:tcW w:w="961" w:type="dxa"/>
            <w:tcBorders>
              <w:top w:val="nil"/>
              <w:left w:val="nil"/>
              <w:bottom w:val="nil"/>
              <w:right w:val="nil"/>
            </w:tcBorders>
            <w:vAlign w:val="bottom"/>
            <w:hideMark/>
          </w:tcPr>
          <w:p w14:paraId="6A89CE04" w14:textId="77777777" w:rsidR="00117295" w:rsidRDefault="00117295">
            <w:pPr>
              <w:pStyle w:val="CETBodytext"/>
              <w:jc w:val="center"/>
              <w:rPr>
                <w:rFonts w:cs="Arial"/>
                <w:color w:val="000000"/>
                <w:szCs w:val="18"/>
              </w:rPr>
            </w:pPr>
            <w:r>
              <w:rPr>
                <w:rFonts w:cs="Arial"/>
                <w:color w:val="000000"/>
                <w:szCs w:val="18"/>
              </w:rPr>
              <w:t>0%</w:t>
            </w:r>
          </w:p>
        </w:tc>
      </w:tr>
      <w:tr w:rsidR="00117295" w14:paraId="0D517ED7" w14:textId="77777777" w:rsidTr="00117295">
        <w:trPr>
          <w:trHeight w:val="218"/>
        </w:trPr>
        <w:tc>
          <w:tcPr>
            <w:tcW w:w="993" w:type="dxa"/>
            <w:tcBorders>
              <w:top w:val="nil"/>
              <w:left w:val="nil"/>
              <w:bottom w:val="nil"/>
              <w:right w:val="nil"/>
            </w:tcBorders>
            <w:shd w:val="clear" w:color="auto" w:fill="FFFFFF"/>
            <w:vAlign w:val="center"/>
            <w:hideMark/>
          </w:tcPr>
          <w:p w14:paraId="062CD334" w14:textId="77777777" w:rsidR="00117295" w:rsidRDefault="00117295">
            <w:pPr>
              <w:pStyle w:val="CETBodytext"/>
              <w:jc w:val="center"/>
              <w:rPr>
                <w:rFonts w:cs="Arial"/>
                <w:szCs w:val="18"/>
                <w:lang w:val="en-GB"/>
              </w:rPr>
            </w:pPr>
            <w:r>
              <w:rPr>
                <w:rFonts w:cs="Arial"/>
                <w:color w:val="000000"/>
                <w:szCs w:val="18"/>
              </w:rPr>
              <w:t>EV5</w:t>
            </w:r>
          </w:p>
        </w:tc>
        <w:tc>
          <w:tcPr>
            <w:tcW w:w="960" w:type="dxa"/>
            <w:tcBorders>
              <w:top w:val="nil"/>
              <w:left w:val="nil"/>
              <w:bottom w:val="nil"/>
              <w:right w:val="nil"/>
            </w:tcBorders>
            <w:shd w:val="clear" w:color="auto" w:fill="FFFFFF"/>
            <w:vAlign w:val="bottom"/>
            <w:hideMark/>
          </w:tcPr>
          <w:p w14:paraId="00AF1E1A" w14:textId="77777777" w:rsidR="00117295" w:rsidRDefault="00117295">
            <w:pPr>
              <w:pStyle w:val="CETBodytext"/>
              <w:jc w:val="center"/>
              <w:rPr>
                <w:rFonts w:cs="Arial"/>
                <w:color w:val="000000"/>
                <w:szCs w:val="18"/>
              </w:rPr>
            </w:pPr>
            <w:r>
              <w:rPr>
                <w:rFonts w:cs="Arial"/>
                <w:color w:val="000000"/>
                <w:szCs w:val="18"/>
              </w:rPr>
              <w:t>0%</w:t>
            </w:r>
          </w:p>
        </w:tc>
        <w:tc>
          <w:tcPr>
            <w:tcW w:w="960" w:type="dxa"/>
            <w:tcBorders>
              <w:top w:val="nil"/>
              <w:left w:val="nil"/>
              <w:bottom w:val="nil"/>
              <w:right w:val="nil"/>
            </w:tcBorders>
            <w:shd w:val="clear" w:color="auto" w:fill="FFFFFF"/>
            <w:vAlign w:val="bottom"/>
            <w:hideMark/>
          </w:tcPr>
          <w:p w14:paraId="5922855D" w14:textId="77777777" w:rsidR="00117295" w:rsidRDefault="00117295">
            <w:pPr>
              <w:pStyle w:val="CETBodytext"/>
              <w:jc w:val="center"/>
              <w:rPr>
                <w:rFonts w:cs="Arial"/>
                <w:color w:val="000000"/>
                <w:szCs w:val="18"/>
              </w:rPr>
            </w:pPr>
            <w:r>
              <w:rPr>
                <w:rFonts w:cs="Arial"/>
                <w:color w:val="000000"/>
                <w:szCs w:val="18"/>
              </w:rPr>
              <w:t>20%</w:t>
            </w:r>
          </w:p>
        </w:tc>
        <w:tc>
          <w:tcPr>
            <w:tcW w:w="961" w:type="dxa"/>
            <w:tcBorders>
              <w:top w:val="nil"/>
              <w:left w:val="nil"/>
              <w:bottom w:val="nil"/>
              <w:right w:val="nil"/>
            </w:tcBorders>
            <w:shd w:val="clear" w:color="auto" w:fill="FFFFFF"/>
            <w:vAlign w:val="bottom"/>
            <w:hideMark/>
          </w:tcPr>
          <w:p w14:paraId="1C632A4A" w14:textId="77777777" w:rsidR="00117295" w:rsidRDefault="00117295">
            <w:pPr>
              <w:pStyle w:val="CETBodytext"/>
              <w:jc w:val="center"/>
              <w:rPr>
                <w:rFonts w:cs="Arial"/>
                <w:color w:val="000000"/>
                <w:szCs w:val="18"/>
              </w:rPr>
            </w:pPr>
            <w:r>
              <w:rPr>
                <w:rFonts w:cs="Arial"/>
                <w:color w:val="000000"/>
                <w:szCs w:val="18"/>
              </w:rPr>
              <w:t>10%</w:t>
            </w:r>
          </w:p>
        </w:tc>
        <w:tc>
          <w:tcPr>
            <w:tcW w:w="961" w:type="dxa"/>
            <w:tcBorders>
              <w:top w:val="nil"/>
              <w:left w:val="nil"/>
              <w:bottom w:val="nil"/>
              <w:right w:val="nil"/>
            </w:tcBorders>
            <w:shd w:val="clear" w:color="auto" w:fill="FFFFFF"/>
            <w:vAlign w:val="bottom"/>
            <w:hideMark/>
          </w:tcPr>
          <w:p w14:paraId="235A0E3C" w14:textId="77777777" w:rsidR="00117295" w:rsidRDefault="00117295">
            <w:pPr>
              <w:pStyle w:val="CETBodytext"/>
              <w:jc w:val="center"/>
              <w:rPr>
                <w:rFonts w:cs="Arial"/>
                <w:color w:val="000000"/>
                <w:szCs w:val="18"/>
              </w:rPr>
            </w:pPr>
            <w:r>
              <w:rPr>
                <w:rFonts w:cs="Arial"/>
                <w:color w:val="000000"/>
                <w:szCs w:val="18"/>
              </w:rPr>
              <w:t>0%</w:t>
            </w:r>
          </w:p>
        </w:tc>
        <w:tc>
          <w:tcPr>
            <w:tcW w:w="961" w:type="dxa"/>
            <w:tcBorders>
              <w:top w:val="nil"/>
              <w:left w:val="nil"/>
              <w:bottom w:val="nil"/>
              <w:right w:val="nil"/>
            </w:tcBorders>
            <w:vAlign w:val="bottom"/>
            <w:hideMark/>
          </w:tcPr>
          <w:p w14:paraId="50E0D3DC" w14:textId="77777777" w:rsidR="00117295" w:rsidRDefault="00117295">
            <w:pPr>
              <w:pStyle w:val="CETBodytext"/>
              <w:jc w:val="center"/>
              <w:rPr>
                <w:rFonts w:cs="Arial"/>
                <w:color w:val="000000"/>
                <w:szCs w:val="18"/>
              </w:rPr>
            </w:pPr>
            <w:r>
              <w:rPr>
                <w:rFonts w:cs="Arial"/>
                <w:color w:val="000000"/>
                <w:szCs w:val="18"/>
              </w:rPr>
              <w:t>10%</w:t>
            </w:r>
          </w:p>
        </w:tc>
        <w:tc>
          <w:tcPr>
            <w:tcW w:w="961" w:type="dxa"/>
            <w:tcBorders>
              <w:top w:val="nil"/>
              <w:left w:val="nil"/>
              <w:bottom w:val="nil"/>
              <w:right w:val="nil"/>
            </w:tcBorders>
            <w:vAlign w:val="bottom"/>
            <w:hideMark/>
          </w:tcPr>
          <w:p w14:paraId="5C2C8460" w14:textId="77777777" w:rsidR="00117295" w:rsidRDefault="00117295">
            <w:pPr>
              <w:pStyle w:val="CETBodytext"/>
              <w:jc w:val="center"/>
              <w:rPr>
                <w:rFonts w:cs="Arial"/>
                <w:color w:val="000000"/>
                <w:szCs w:val="18"/>
              </w:rPr>
            </w:pPr>
            <w:r>
              <w:rPr>
                <w:rFonts w:cs="Arial"/>
                <w:color w:val="000000"/>
                <w:szCs w:val="18"/>
              </w:rPr>
              <w:t>20%</w:t>
            </w:r>
          </w:p>
        </w:tc>
        <w:tc>
          <w:tcPr>
            <w:tcW w:w="961" w:type="dxa"/>
            <w:tcBorders>
              <w:top w:val="nil"/>
              <w:left w:val="nil"/>
              <w:bottom w:val="nil"/>
              <w:right w:val="nil"/>
            </w:tcBorders>
            <w:vAlign w:val="bottom"/>
            <w:hideMark/>
          </w:tcPr>
          <w:p w14:paraId="32DF2E78" w14:textId="77777777" w:rsidR="00117295" w:rsidRDefault="00117295">
            <w:pPr>
              <w:pStyle w:val="CETBodytext"/>
              <w:jc w:val="center"/>
              <w:rPr>
                <w:rFonts w:cs="Arial"/>
                <w:color w:val="000000"/>
                <w:szCs w:val="18"/>
              </w:rPr>
            </w:pPr>
            <w:r>
              <w:rPr>
                <w:rFonts w:cs="Arial"/>
                <w:color w:val="000000"/>
                <w:szCs w:val="18"/>
              </w:rPr>
              <w:t>10%</w:t>
            </w:r>
          </w:p>
        </w:tc>
        <w:tc>
          <w:tcPr>
            <w:tcW w:w="961" w:type="dxa"/>
            <w:tcBorders>
              <w:top w:val="nil"/>
              <w:left w:val="nil"/>
              <w:bottom w:val="nil"/>
              <w:right w:val="nil"/>
            </w:tcBorders>
            <w:vAlign w:val="bottom"/>
            <w:hideMark/>
          </w:tcPr>
          <w:p w14:paraId="37067208" w14:textId="77777777" w:rsidR="00117295" w:rsidRDefault="00117295">
            <w:pPr>
              <w:pStyle w:val="CETBodytext"/>
              <w:jc w:val="center"/>
              <w:rPr>
                <w:rFonts w:cs="Arial"/>
                <w:color w:val="000000"/>
                <w:szCs w:val="18"/>
              </w:rPr>
            </w:pPr>
            <w:r>
              <w:rPr>
                <w:rFonts w:cs="Arial"/>
                <w:color w:val="000000"/>
                <w:szCs w:val="18"/>
              </w:rPr>
              <w:t>0%</w:t>
            </w:r>
          </w:p>
        </w:tc>
      </w:tr>
      <w:tr w:rsidR="00117295" w14:paraId="718285A2" w14:textId="77777777" w:rsidTr="00117295">
        <w:tc>
          <w:tcPr>
            <w:tcW w:w="993" w:type="dxa"/>
            <w:tcBorders>
              <w:top w:val="nil"/>
              <w:left w:val="nil"/>
              <w:bottom w:val="nil"/>
              <w:right w:val="nil"/>
            </w:tcBorders>
            <w:shd w:val="clear" w:color="auto" w:fill="FFFFFF"/>
            <w:vAlign w:val="center"/>
            <w:hideMark/>
          </w:tcPr>
          <w:p w14:paraId="0A7BC118" w14:textId="77777777" w:rsidR="00117295" w:rsidRDefault="00117295">
            <w:pPr>
              <w:jc w:val="center"/>
              <w:rPr>
                <w:rFonts w:cs="Arial"/>
                <w:color w:val="000000"/>
                <w:szCs w:val="18"/>
              </w:rPr>
            </w:pPr>
            <w:r>
              <w:rPr>
                <w:rFonts w:cs="Arial"/>
                <w:color w:val="000000"/>
                <w:szCs w:val="18"/>
              </w:rPr>
              <w:t>EC1-2</w:t>
            </w:r>
          </w:p>
        </w:tc>
        <w:tc>
          <w:tcPr>
            <w:tcW w:w="960" w:type="dxa"/>
            <w:tcBorders>
              <w:top w:val="nil"/>
              <w:left w:val="nil"/>
              <w:bottom w:val="nil"/>
              <w:right w:val="nil"/>
            </w:tcBorders>
            <w:shd w:val="clear" w:color="auto" w:fill="FFFFFF"/>
            <w:vAlign w:val="bottom"/>
            <w:hideMark/>
          </w:tcPr>
          <w:p w14:paraId="48AB7808" w14:textId="77777777" w:rsidR="00117295" w:rsidRDefault="00117295">
            <w:pPr>
              <w:pStyle w:val="CETBodytext"/>
              <w:jc w:val="center"/>
              <w:rPr>
                <w:rFonts w:cs="Arial"/>
                <w:color w:val="000000"/>
                <w:szCs w:val="18"/>
              </w:rPr>
            </w:pPr>
            <w:r>
              <w:rPr>
                <w:rFonts w:cs="Arial"/>
                <w:color w:val="000000"/>
                <w:szCs w:val="18"/>
              </w:rPr>
              <w:t>0%</w:t>
            </w:r>
          </w:p>
        </w:tc>
        <w:tc>
          <w:tcPr>
            <w:tcW w:w="960" w:type="dxa"/>
            <w:tcBorders>
              <w:top w:val="nil"/>
              <w:left w:val="nil"/>
              <w:bottom w:val="nil"/>
              <w:right w:val="nil"/>
            </w:tcBorders>
            <w:shd w:val="clear" w:color="auto" w:fill="FFFFFF"/>
            <w:vAlign w:val="bottom"/>
            <w:hideMark/>
          </w:tcPr>
          <w:p w14:paraId="75289B3A" w14:textId="77777777" w:rsidR="00117295" w:rsidRDefault="00117295">
            <w:pPr>
              <w:pStyle w:val="CETBodytext"/>
              <w:jc w:val="center"/>
              <w:rPr>
                <w:rFonts w:cs="Arial"/>
                <w:color w:val="000000"/>
                <w:szCs w:val="18"/>
              </w:rPr>
            </w:pPr>
            <w:r>
              <w:rPr>
                <w:rFonts w:cs="Arial"/>
                <w:color w:val="000000"/>
                <w:szCs w:val="18"/>
              </w:rPr>
              <w:t>0%</w:t>
            </w:r>
          </w:p>
        </w:tc>
        <w:tc>
          <w:tcPr>
            <w:tcW w:w="961" w:type="dxa"/>
            <w:tcBorders>
              <w:top w:val="nil"/>
              <w:left w:val="nil"/>
              <w:bottom w:val="nil"/>
              <w:right w:val="nil"/>
            </w:tcBorders>
            <w:shd w:val="clear" w:color="auto" w:fill="FFFFFF"/>
            <w:vAlign w:val="bottom"/>
            <w:hideMark/>
          </w:tcPr>
          <w:p w14:paraId="31D7F57C" w14:textId="77777777" w:rsidR="00117295" w:rsidRDefault="00117295">
            <w:pPr>
              <w:pStyle w:val="CETBodytext"/>
              <w:jc w:val="center"/>
              <w:rPr>
                <w:rFonts w:cs="Arial"/>
                <w:color w:val="000000"/>
                <w:szCs w:val="18"/>
              </w:rPr>
            </w:pPr>
            <w:r>
              <w:rPr>
                <w:rFonts w:cs="Arial"/>
                <w:color w:val="000000"/>
                <w:szCs w:val="18"/>
              </w:rPr>
              <w:t>0%</w:t>
            </w:r>
          </w:p>
        </w:tc>
        <w:tc>
          <w:tcPr>
            <w:tcW w:w="961" w:type="dxa"/>
            <w:tcBorders>
              <w:top w:val="nil"/>
              <w:left w:val="nil"/>
              <w:bottom w:val="nil"/>
              <w:right w:val="nil"/>
            </w:tcBorders>
            <w:shd w:val="clear" w:color="auto" w:fill="FFFFFF"/>
            <w:vAlign w:val="bottom"/>
            <w:hideMark/>
          </w:tcPr>
          <w:p w14:paraId="44F161CD" w14:textId="77777777" w:rsidR="00117295" w:rsidRDefault="00117295">
            <w:pPr>
              <w:pStyle w:val="CETBodytext"/>
              <w:jc w:val="center"/>
              <w:rPr>
                <w:rFonts w:cs="Arial"/>
                <w:color w:val="000000"/>
                <w:szCs w:val="18"/>
              </w:rPr>
            </w:pPr>
            <w:r>
              <w:rPr>
                <w:rFonts w:cs="Arial"/>
                <w:color w:val="000000"/>
                <w:szCs w:val="18"/>
              </w:rPr>
              <w:t>0%</w:t>
            </w:r>
          </w:p>
        </w:tc>
        <w:tc>
          <w:tcPr>
            <w:tcW w:w="961" w:type="dxa"/>
            <w:tcBorders>
              <w:top w:val="nil"/>
              <w:left w:val="nil"/>
              <w:bottom w:val="nil"/>
              <w:right w:val="nil"/>
            </w:tcBorders>
            <w:vAlign w:val="bottom"/>
            <w:hideMark/>
          </w:tcPr>
          <w:p w14:paraId="7B41C172" w14:textId="77777777" w:rsidR="00117295" w:rsidRDefault="00117295">
            <w:pPr>
              <w:pStyle w:val="CETBodytext"/>
              <w:jc w:val="center"/>
              <w:rPr>
                <w:rFonts w:cs="Arial"/>
                <w:color w:val="000000"/>
                <w:szCs w:val="18"/>
              </w:rPr>
            </w:pPr>
            <w:r>
              <w:rPr>
                <w:rFonts w:cs="Arial"/>
                <w:color w:val="000000"/>
                <w:szCs w:val="18"/>
              </w:rPr>
              <w:t>20%</w:t>
            </w:r>
          </w:p>
        </w:tc>
        <w:tc>
          <w:tcPr>
            <w:tcW w:w="961" w:type="dxa"/>
            <w:tcBorders>
              <w:top w:val="nil"/>
              <w:left w:val="nil"/>
              <w:bottom w:val="nil"/>
              <w:right w:val="nil"/>
            </w:tcBorders>
            <w:vAlign w:val="bottom"/>
            <w:hideMark/>
          </w:tcPr>
          <w:p w14:paraId="24A739A9" w14:textId="77777777" w:rsidR="00117295" w:rsidRDefault="00117295">
            <w:pPr>
              <w:pStyle w:val="CETBodytext"/>
              <w:jc w:val="center"/>
              <w:rPr>
                <w:rFonts w:cs="Arial"/>
                <w:color w:val="000000"/>
                <w:szCs w:val="18"/>
              </w:rPr>
            </w:pPr>
            <w:r>
              <w:rPr>
                <w:rFonts w:cs="Arial"/>
                <w:color w:val="000000"/>
                <w:szCs w:val="18"/>
              </w:rPr>
              <w:t>20%</w:t>
            </w:r>
          </w:p>
        </w:tc>
        <w:tc>
          <w:tcPr>
            <w:tcW w:w="961" w:type="dxa"/>
            <w:tcBorders>
              <w:top w:val="nil"/>
              <w:left w:val="nil"/>
              <w:bottom w:val="nil"/>
              <w:right w:val="nil"/>
            </w:tcBorders>
            <w:vAlign w:val="bottom"/>
            <w:hideMark/>
          </w:tcPr>
          <w:p w14:paraId="3E5BDCFD" w14:textId="77777777" w:rsidR="00117295" w:rsidRDefault="00117295">
            <w:pPr>
              <w:pStyle w:val="CETBodytext"/>
              <w:jc w:val="center"/>
              <w:rPr>
                <w:rFonts w:cs="Arial"/>
                <w:color w:val="000000"/>
                <w:szCs w:val="18"/>
              </w:rPr>
            </w:pPr>
            <w:r>
              <w:rPr>
                <w:rFonts w:cs="Arial"/>
                <w:color w:val="000000"/>
                <w:szCs w:val="18"/>
              </w:rPr>
              <w:t>0%</w:t>
            </w:r>
          </w:p>
        </w:tc>
        <w:tc>
          <w:tcPr>
            <w:tcW w:w="961" w:type="dxa"/>
            <w:tcBorders>
              <w:top w:val="nil"/>
              <w:left w:val="nil"/>
              <w:bottom w:val="nil"/>
              <w:right w:val="nil"/>
            </w:tcBorders>
            <w:vAlign w:val="bottom"/>
            <w:hideMark/>
          </w:tcPr>
          <w:p w14:paraId="6539B285" w14:textId="77777777" w:rsidR="00117295" w:rsidRDefault="00117295">
            <w:pPr>
              <w:pStyle w:val="CETBodytext"/>
              <w:jc w:val="center"/>
              <w:rPr>
                <w:rFonts w:cs="Arial"/>
                <w:color w:val="000000"/>
                <w:szCs w:val="18"/>
              </w:rPr>
            </w:pPr>
            <w:r>
              <w:rPr>
                <w:rFonts w:cs="Arial"/>
                <w:color w:val="000000"/>
                <w:szCs w:val="18"/>
              </w:rPr>
              <w:t>0%</w:t>
            </w:r>
          </w:p>
        </w:tc>
      </w:tr>
      <w:tr w:rsidR="00117295" w14:paraId="7AAD1A37" w14:textId="77777777" w:rsidTr="00117295">
        <w:tc>
          <w:tcPr>
            <w:tcW w:w="993" w:type="dxa"/>
            <w:tcBorders>
              <w:top w:val="nil"/>
              <w:left w:val="nil"/>
              <w:bottom w:val="nil"/>
              <w:right w:val="nil"/>
            </w:tcBorders>
            <w:shd w:val="clear" w:color="auto" w:fill="FFFFFF"/>
            <w:vAlign w:val="center"/>
            <w:hideMark/>
          </w:tcPr>
          <w:p w14:paraId="374D9894" w14:textId="77777777" w:rsidR="00117295" w:rsidRDefault="00117295">
            <w:pPr>
              <w:jc w:val="center"/>
              <w:rPr>
                <w:rFonts w:cs="Arial"/>
                <w:color w:val="000000"/>
                <w:szCs w:val="18"/>
              </w:rPr>
            </w:pPr>
            <w:r>
              <w:rPr>
                <w:rFonts w:cs="Arial"/>
                <w:color w:val="000000"/>
                <w:szCs w:val="18"/>
              </w:rPr>
              <w:t>EC3</w:t>
            </w:r>
          </w:p>
        </w:tc>
        <w:tc>
          <w:tcPr>
            <w:tcW w:w="960" w:type="dxa"/>
            <w:tcBorders>
              <w:top w:val="nil"/>
              <w:left w:val="nil"/>
              <w:bottom w:val="nil"/>
              <w:right w:val="nil"/>
            </w:tcBorders>
            <w:shd w:val="clear" w:color="auto" w:fill="FFFFFF"/>
            <w:vAlign w:val="bottom"/>
            <w:hideMark/>
          </w:tcPr>
          <w:p w14:paraId="36E34201" w14:textId="77777777" w:rsidR="00117295" w:rsidRDefault="00117295">
            <w:pPr>
              <w:pStyle w:val="CETBodytext"/>
              <w:jc w:val="center"/>
              <w:rPr>
                <w:rFonts w:cs="Arial"/>
                <w:color w:val="000000"/>
                <w:szCs w:val="18"/>
              </w:rPr>
            </w:pPr>
            <w:r>
              <w:rPr>
                <w:rFonts w:cs="Arial"/>
                <w:color w:val="000000"/>
                <w:szCs w:val="18"/>
              </w:rPr>
              <w:t>10%</w:t>
            </w:r>
          </w:p>
        </w:tc>
        <w:tc>
          <w:tcPr>
            <w:tcW w:w="960" w:type="dxa"/>
            <w:tcBorders>
              <w:top w:val="nil"/>
              <w:left w:val="nil"/>
              <w:bottom w:val="nil"/>
              <w:right w:val="nil"/>
            </w:tcBorders>
            <w:shd w:val="clear" w:color="auto" w:fill="FFFFFF"/>
            <w:vAlign w:val="bottom"/>
            <w:hideMark/>
          </w:tcPr>
          <w:p w14:paraId="4767EAD8" w14:textId="77777777" w:rsidR="00117295" w:rsidRDefault="00117295">
            <w:pPr>
              <w:pStyle w:val="CETBodytext"/>
              <w:jc w:val="center"/>
              <w:rPr>
                <w:rFonts w:cs="Arial"/>
                <w:color w:val="000000"/>
                <w:szCs w:val="18"/>
              </w:rPr>
            </w:pPr>
            <w:r>
              <w:rPr>
                <w:rFonts w:cs="Arial"/>
                <w:color w:val="000000"/>
                <w:szCs w:val="18"/>
              </w:rPr>
              <w:t>10%</w:t>
            </w:r>
          </w:p>
        </w:tc>
        <w:tc>
          <w:tcPr>
            <w:tcW w:w="961" w:type="dxa"/>
            <w:tcBorders>
              <w:top w:val="nil"/>
              <w:left w:val="nil"/>
              <w:bottom w:val="nil"/>
              <w:right w:val="nil"/>
            </w:tcBorders>
            <w:shd w:val="clear" w:color="auto" w:fill="FFFFFF"/>
            <w:vAlign w:val="bottom"/>
            <w:hideMark/>
          </w:tcPr>
          <w:p w14:paraId="78A92912" w14:textId="77777777" w:rsidR="00117295" w:rsidRDefault="00117295">
            <w:pPr>
              <w:pStyle w:val="CETBodytext"/>
              <w:jc w:val="center"/>
              <w:rPr>
                <w:rFonts w:cs="Arial"/>
                <w:color w:val="000000"/>
                <w:szCs w:val="18"/>
              </w:rPr>
            </w:pPr>
            <w:r>
              <w:rPr>
                <w:rFonts w:cs="Arial"/>
                <w:color w:val="000000"/>
                <w:szCs w:val="18"/>
              </w:rPr>
              <w:t>0%</w:t>
            </w:r>
          </w:p>
        </w:tc>
        <w:tc>
          <w:tcPr>
            <w:tcW w:w="961" w:type="dxa"/>
            <w:tcBorders>
              <w:top w:val="nil"/>
              <w:left w:val="nil"/>
              <w:bottom w:val="nil"/>
              <w:right w:val="nil"/>
            </w:tcBorders>
            <w:shd w:val="clear" w:color="auto" w:fill="FFFFFF"/>
            <w:vAlign w:val="bottom"/>
            <w:hideMark/>
          </w:tcPr>
          <w:p w14:paraId="0C99981F" w14:textId="77777777" w:rsidR="00117295" w:rsidRDefault="00117295">
            <w:pPr>
              <w:pStyle w:val="CETBodytext"/>
              <w:jc w:val="center"/>
              <w:rPr>
                <w:rFonts w:cs="Arial"/>
                <w:color w:val="000000"/>
                <w:szCs w:val="18"/>
              </w:rPr>
            </w:pPr>
            <w:r>
              <w:rPr>
                <w:rFonts w:cs="Arial"/>
                <w:color w:val="000000"/>
                <w:szCs w:val="18"/>
              </w:rPr>
              <w:t>0%</w:t>
            </w:r>
          </w:p>
        </w:tc>
        <w:tc>
          <w:tcPr>
            <w:tcW w:w="961" w:type="dxa"/>
            <w:tcBorders>
              <w:top w:val="nil"/>
              <w:left w:val="nil"/>
              <w:bottom w:val="nil"/>
              <w:right w:val="nil"/>
            </w:tcBorders>
            <w:vAlign w:val="bottom"/>
            <w:hideMark/>
          </w:tcPr>
          <w:p w14:paraId="7B6D850C" w14:textId="77777777" w:rsidR="00117295" w:rsidRDefault="00117295">
            <w:pPr>
              <w:pStyle w:val="CETBodytext"/>
              <w:jc w:val="center"/>
              <w:rPr>
                <w:rFonts w:cs="Arial"/>
                <w:color w:val="000000"/>
                <w:szCs w:val="18"/>
              </w:rPr>
            </w:pPr>
            <w:r>
              <w:rPr>
                <w:rFonts w:cs="Arial"/>
                <w:color w:val="000000"/>
                <w:szCs w:val="18"/>
              </w:rPr>
              <w:t>10%</w:t>
            </w:r>
          </w:p>
        </w:tc>
        <w:tc>
          <w:tcPr>
            <w:tcW w:w="961" w:type="dxa"/>
            <w:tcBorders>
              <w:top w:val="nil"/>
              <w:left w:val="nil"/>
              <w:bottom w:val="nil"/>
              <w:right w:val="nil"/>
            </w:tcBorders>
            <w:vAlign w:val="bottom"/>
            <w:hideMark/>
          </w:tcPr>
          <w:p w14:paraId="33960882" w14:textId="77777777" w:rsidR="00117295" w:rsidRDefault="00117295">
            <w:pPr>
              <w:pStyle w:val="CETBodytext"/>
              <w:jc w:val="center"/>
              <w:rPr>
                <w:rFonts w:cs="Arial"/>
                <w:color w:val="000000"/>
                <w:szCs w:val="18"/>
              </w:rPr>
            </w:pPr>
            <w:r>
              <w:rPr>
                <w:rFonts w:cs="Arial"/>
                <w:color w:val="000000"/>
                <w:szCs w:val="18"/>
              </w:rPr>
              <w:t>10%</w:t>
            </w:r>
          </w:p>
        </w:tc>
        <w:tc>
          <w:tcPr>
            <w:tcW w:w="961" w:type="dxa"/>
            <w:tcBorders>
              <w:top w:val="nil"/>
              <w:left w:val="nil"/>
              <w:bottom w:val="nil"/>
              <w:right w:val="nil"/>
            </w:tcBorders>
            <w:vAlign w:val="bottom"/>
            <w:hideMark/>
          </w:tcPr>
          <w:p w14:paraId="1DD1337A" w14:textId="77777777" w:rsidR="00117295" w:rsidRDefault="00117295">
            <w:pPr>
              <w:pStyle w:val="CETBodytext"/>
              <w:jc w:val="center"/>
              <w:rPr>
                <w:rFonts w:cs="Arial"/>
                <w:color w:val="000000"/>
                <w:szCs w:val="18"/>
              </w:rPr>
            </w:pPr>
            <w:r>
              <w:rPr>
                <w:rFonts w:cs="Arial"/>
                <w:color w:val="000000"/>
                <w:szCs w:val="18"/>
              </w:rPr>
              <w:t>0%</w:t>
            </w:r>
          </w:p>
        </w:tc>
        <w:tc>
          <w:tcPr>
            <w:tcW w:w="961" w:type="dxa"/>
            <w:tcBorders>
              <w:top w:val="nil"/>
              <w:left w:val="nil"/>
              <w:bottom w:val="nil"/>
              <w:right w:val="nil"/>
            </w:tcBorders>
            <w:vAlign w:val="bottom"/>
            <w:hideMark/>
          </w:tcPr>
          <w:p w14:paraId="7DB09766" w14:textId="77777777" w:rsidR="00117295" w:rsidRDefault="00117295">
            <w:pPr>
              <w:pStyle w:val="CETBodytext"/>
              <w:jc w:val="center"/>
              <w:rPr>
                <w:rFonts w:cs="Arial"/>
                <w:color w:val="000000"/>
                <w:szCs w:val="18"/>
              </w:rPr>
            </w:pPr>
            <w:r>
              <w:rPr>
                <w:rFonts w:cs="Arial"/>
                <w:color w:val="000000"/>
                <w:szCs w:val="18"/>
              </w:rPr>
              <w:t>0%</w:t>
            </w:r>
          </w:p>
        </w:tc>
      </w:tr>
      <w:tr w:rsidR="00117295" w14:paraId="7399EB5B" w14:textId="77777777" w:rsidTr="00117295">
        <w:tc>
          <w:tcPr>
            <w:tcW w:w="993" w:type="dxa"/>
            <w:tcBorders>
              <w:top w:val="nil"/>
              <w:left w:val="nil"/>
              <w:bottom w:val="nil"/>
              <w:right w:val="nil"/>
            </w:tcBorders>
            <w:shd w:val="clear" w:color="auto" w:fill="FFFFFF"/>
            <w:vAlign w:val="center"/>
            <w:hideMark/>
          </w:tcPr>
          <w:p w14:paraId="5DD39B0D" w14:textId="77777777" w:rsidR="00117295" w:rsidRDefault="00117295">
            <w:pPr>
              <w:jc w:val="center"/>
              <w:rPr>
                <w:rFonts w:cs="Arial"/>
                <w:color w:val="000000"/>
                <w:szCs w:val="18"/>
              </w:rPr>
            </w:pPr>
            <w:r>
              <w:rPr>
                <w:rFonts w:cs="Arial"/>
                <w:color w:val="000000"/>
                <w:szCs w:val="18"/>
              </w:rPr>
              <w:t>EC4-5</w:t>
            </w:r>
          </w:p>
        </w:tc>
        <w:tc>
          <w:tcPr>
            <w:tcW w:w="960" w:type="dxa"/>
            <w:tcBorders>
              <w:top w:val="nil"/>
              <w:left w:val="nil"/>
              <w:bottom w:val="nil"/>
              <w:right w:val="nil"/>
            </w:tcBorders>
            <w:shd w:val="clear" w:color="auto" w:fill="FFFFFF"/>
            <w:vAlign w:val="bottom"/>
            <w:hideMark/>
          </w:tcPr>
          <w:p w14:paraId="19F0314B" w14:textId="77777777" w:rsidR="00117295" w:rsidRDefault="00117295">
            <w:pPr>
              <w:pStyle w:val="CETBodytext"/>
              <w:jc w:val="center"/>
              <w:rPr>
                <w:rFonts w:cs="Arial"/>
                <w:color w:val="000000"/>
                <w:szCs w:val="18"/>
              </w:rPr>
            </w:pPr>
            <w:r>
              <w:rPr>
                <w:rFonts w:cs="Arial"/>
                <w:color w:val="000000"/>
                <w:szCs w:val="18"/>
              </w:rPr>
              <w:t>20%</w:t>
            </w:r>
          </w:p>
        </w:tc>
        <w:tc>
          <w:tcPr>
            <w:tcW w:w="960" w:type="dxa"/>
            <w:tcBorders>
              <w:top w:val="nil"/>
              <w:left w:val="nil"/>
              <w:bottom w:val="nil"/>
              <w:right w:val="nil"/>
            </w:tcBorders>
            <w:shd w:val="clear" w:color="auto" w:fill="FFFFFF"/>
            <w:vAlign w:val="bottom"/>
            <w:hideMark/>
          </w:tcPr>
          <w:p w14:paraId="2E9FCF7B" w14:textId="77777777" w:rsidR="00117295" w:rsidRDefault="00117295">
            <w:pPr>
              <w:pStyle w:val="CETBodytext"/>
              <w:jc w:val="center"/>
              <w:rPr>
                <w:rFonts w:cs="Arial"/>
                <w:color w:val="000000"/>
                <w:szCs w:val="18"/>
              </w:rPr>
            </w:pPr>
            <w:r>
              <w:rPr>
                <w:rFonts w:cs="Arial"/>
                <w:color w:val="000000"/>
                <w:szCs w:val="18"/>
              </w:rPr>
              <w:t>10%</w:t>
            </w:r>
          </w:p>
        </w:tc>
        <w:tc>
          <w:tcPr>
            <w:tcW w:w="961" w:type="dxa"/>
            <w:tcBorders>
              <w:top w:val="nil"/>
              <w:left w:val="nil"/>
              <w:bottom w:val="nil"/>
              <w:right w:val="nil"/>
            </w:tcBorders>
            <w:shd w:val="clear" w:color="auto" w:fill="FFFFFF"/>
            <w:vAlign w:val="bottom"/>
            <w:hideMark/>
          </w:tcPr>
          <w:p w14:paraId="43E7753B" w14:textId="77777777" w:rsidR="00117295" w:rsidRDefault="00117295">
            <w:pPr>
              <w:pStyle w:val="CETBodytext"/>
              <w:jc w:val="center"/>
              <w:rPr>
                <w:rFonts w:cs="Arial"/>
                <w:color w:val="000000"/>
                <w:szCs w:val="18"/>
              </w:rPr>
            </w:pPr>
            <w:r>
              <w:rPr>
                <w:rFonts w:cs="Arial"/>
                <w:color w:val="000000"/>
                <w:szCs w:val="18"/>
              </w:rPr>
              <w:t>0%</w:t>
            </w:r>
          </w:p>
        </w:tc>
        <w:tc>
          <w:tcPr>
            <w:tcW w:w="961" w:type="dxa"/>
            <w:tcBorders>
              <w:top w:val="nil"/>
              <w:left w:val="nil"/>
              <w:bottom w:val="nil"/>
              <w:right w:val="nil"/>
            </w:tcBorders>
            <w:shd w:val="clear" w:color="auto" w:fill="FFFFFF"/>
            <w:vAlign w:val="bottom"/>
            <w:hideMark/>
          </w:tcPr>
          <w:p w14:paraId="21892038" w14:textId="77777777" w:rsidR="00117295" w:rsidRDefault="00117295">
            <w:pPr>
              <w:pStyle w:val="CETBodytext"/>
              <w:jc w:val="center"/>
              <w:rPr>
                <w:rFonts w:cs="Arial"/>
                <w:color w:val="000000"/>
                <w:szCs w:val="18"/>
              </w:rPr>
            </w:pPr>
            <w:r>
              <w:rPr>
                <w:rFonts w:cs="Arial"/>
                <w:color w:val="000000"/>
                <w:szCs w:val="18"/>
              </w:rPr>
              <w:t>0%</w:t>
            </w:r>
          </w:p>
        </w:tc>
        <w:tc>
          <w:tcPr>
            <w:tcW w:w="961" w:type="dxa"/>
            <w:tcBorders>
              <w:top w:val="nil"/>
              <w:left w:val="nil"/>
              <w:bottom w:val="nil"/>
              <w:right w:val="nil"/>
            </w:tcBorders>
            <w:vAlign w:val="bottom"/>
            <w:hideMark/>
          </w:tcPr>
          <w:p w14:paraId="24A5B845" w14:textId="77777777" w:rsidR="00117295" w:rsidRDefault="00117295">
            <w:pPr>
              <w:pStyle w:val="CETBodytext"/>
              <w:jc w:val="center"/>
              <w:rPr>
                <w:rFonts w:cs="Arial"/>
                <w:color w:val="000000"/>
                <w:szCs w:val="18"/>
              </w:rPr>
            </w:pPr>
            <w:r>
              <w:rPr>
                <w:rFonts w:cs="Arial"/>
                <w:color w:val="000000"/>
                <w:szCs w:val="18"/>
              </w:rPr>
              <w:t>10%</w:t>
            </w:r>
          </w:p>
        </w:tc>
        <w:tc>
          <w:tcPr>
            <w:tcW w:w="961" w:type="dxa"/>
            <w:tcBorders>
              <w:top w:val="nil"/>
              <w:left w:val="nil"/>
              <w:bottom w:val="nil"/>
              <w:right w:val="nil"/>
            </w:tcBorders>
            <w:vAlign w:val="bottom"/>
            <w:hideMark/>
          </w:tcPr>
          <w:p w14:paraId="049B0430" w14:textId="77777777" w:rsidR="00117295" w:rsidRDefault="00117295">
            <w:pPr>
              <w:pStyle w:val="CETBodytext"/>
              <w:jc w:val="center"/>
              <w:rPr>
                <w:rFonts w:cs="Arial"/>
                <w:color w:val="000000"/>
                <w:szCs w:val="18"/>
              </w:rPr>
            </w:pPr>
            <w:r>
              <w:rPr>
                <w:rFonts w:cs="Arial"/>
                <w:color w:val="000000"/>
                <w:szCs w:val="18"/>
              </w:rPr>
              <w:t>20%</w:t>
            </w:r>
          </w:p>
        </w:tc>
        <w:tc>
          <w:tcPr>
            <w:tcW w:w="961" w:type="dxa"/>
            <w:tcBorders>
              <w:top w:val="nil"/>
              <w:left w:val="nil"/>
              <w:bottom w:val="nil"/>
              <w:right w:val="nil"/>
            </w:tcBorders>
            <w:vAlign w:val="bottom"/>
            <w:hideMark/>
          </w:tcPr>
          <w:p w14:paraId="49FC661A" w14:textId="77777777" w:rsidR="00117295" w:rsidRDefault="00117295">
            <w:pPr>
              <w:pStyle w:val="CETBodytext"/>
              <w:jc w:val="center"/>
              <w:rPr>
                <w:rFonts w:cs="Arial"/>
                <w:color w:val="000000"/>
                <w:szCs w:val="18"/>
              </w:rPr>
            </w:pPr>
            <w:r>
              <w:rPr>
                <w:rFonts w:cs="Arial"/>
                <w:color w:val="000000"/>
                <w:szCs w:val="18"/>
              </w:rPr>
              <w:t>10%</w:t>
            </w:r>
          </w:p>
        </w:tc>
        <w:tc>
          <w:tcPr>
            <w:tcW w:w="961" w:type="dxa"/>
            <w:tcBorders>
              <w:top w:val="nil"/>
              <w:left w:val="nil"/>
              <w:bottom w:val="nil"/>
              <w:right w:val="nil"/>
            </w:tcBorders>
            <w:vAlign w:val="bottom"/>
            <w:hideMark/>
          </w:tcPr>
          <w:p w14:paraId="72E5C3EA" w14:textId="77777777" w:rsidR="00117295" w:rsidRDefault="00117295">
            <w:pPr>
              <w:pStyle w:val="CETBodytext"/>
              <w:jc w:val="center"/>
              <w:rPr>
                <w:rFonts w:cs="Arial"/>
                <w:color w:val="000000"/>
                <w:szCs w:val="18"/>
              </w:rPr>
            </w:pPr>
            <w:r>
              <w:rPr>
                <w:rFonts w:cs="Arial"/>
                <w:color w:val="000000"/>
                <w:szCs w:val="18"/>
              </w:rPr>
              <w:t>20%</w:t>
            </w:r>
          </w:p>
        </w:tc>
      </w:tr>
      <w:tr w:rsidR="00117295" w14:paraId="4DF3C470" w14:textId="77777777" w:rsidTr="00117295">
        <w:tc>
          <w:tcPr>
            <w:tcW w:w="993" w:type="dxa"/>
            <w:tcBorders>
              <w:top w:val="nil"/>
              <w:left w:val="nil"/>
              <w:bottom w:val="nil"/>
              <w:right w:val="nil"/>
            </w:tcBorders>
            <w:shd w:val="clear" w:color="auto" w:fill="FFFFFF"/>
            <w:vAlign w:val="center"/>
            <w:hideMark/>
          </w:tcPr>
          <w:p w14:paraId="72E6EBEE" w14:textId="77777777" w:rsidR="00117295" w:rsidRDefault="00117295">
            <w:pPr>
              <w:jc w:val="center"/>
              <w:rPr>
                <w:rFonts w:cs="Arial"/>
                <w:color w:val="000000"/>
                <w:szCs w:val="18"/>
              </w:rPr>
            </w:pPr>
            <w:r>
              <w:rPr>
                <w:rFonts w:cs="Arial"/>
                <w:color w:val="000000"/>
                <w:szCs w:val="18"/>
              </w:rPr>
              <w:t>EC6-7-8</w:t>
            </w:r>
          </w:p>
        </w:tc>
        <w:tc>
          <w:tcPr>
            <w:tcW w:w="960" w:type="dxa"/>
            <w:tcBorders>
              <w:top w:val="nil"/>
              <w:left w:val="nil"/>
              <w:bottom w:val="nil"/>
              <w:right w:val="nil"/>
            </w:tcBorders>
            <w:shd w:val="clear" w:color="auto" w:fill="FFFFFF"/>
            <w:vAlign w:val="bottom"/>
            <w:hideMark/>
          </w:tcPr>
          <w:p w14:paraId="1FF5FCA1" w14:textId="77777777" w:rsidR="00117295" w:rsidRDefault="00117295">
            <w:pPr>
              <w:pStyle w:val="CETBodytext"/>
              <w:jc w:val="center"/>
              <w:rPr>
                <w:rFonts w:cs="Arial"/>
                <w:color w:val="000000"/>
                <w:szCs w:val="18"/>
              </w:rPr>
            </w:pPr>
            <w:r>
              <w:rPr>
                <w:rFonts w:cs="Arial"/>
                <w:color w:val="000000"/>
                <w:szCs w:val="18"/>
              </w:rPr>
              <w:t>10%</w:t>
            </w:r>
          </w:p>
        </w:tc>
        <w:tc>
          <w:tcPr>
            <w:tcW w:w="960" w:type="dxa"/>
            <w:tcBorders>
              <w:top w:val="nil"/>
              <w:left w:val="nil"/>
              <w:bottom w:val="nil"/>
              <w:right w:val="nil"/>
            </w:tcBorders>
            <w:shd w:val="clear" w:color="auto" w:fill="FFFFFF"/>
            <w:vAlign w:val="bottom"/>
            <w:hideMark/>
          </w:tcPr>
          <w:p w14:paraId="3AE96702" w14:textId="77777777" w:rsidR="00117295" w:rsidRDefault="00117295">
            <w:pPr>
              <w:pStyle w:val="CETBodytext"/>
              <w:jc w:val="center"/>
              <w:rPr>
                <w:rFonts w:cs="Arial"/>
                <w:color w:val="000000"/>
                <w:szCs w:val="18"/>
              </w:rPr>
            </w:pPr>
            <w:r>
              <w:rPr>
                <w:rFonts w:cs="Arial"/>
                <w:color w:val="000000"/>
                <w:szCs w:val="18"/>
              </w:rPr>
              <w:t>10%</w:t>
            </w:r>
          </w:p>
        </w:tc>
        <w:tc>
          <w:tcPr>
            <w:tcW w:w="961" w:type="dxa"/>
            <w:tcBorders>
              <w:top w:val="nil"/>
              <w:left w:val="nil"/>
              <w:bottom w:val="nil"/>
              <w:right w:val="nil"/>
            </w:tcBorders>
            <w:shd w:val="clear" w:color="auto" w:fill="FFFFFF"/>
            <w:vAlign w:val="bottom"/>
            <w:hideMark/>
          </w:tcPr>
          <w:p w14:paraId="27218C3F" w14:textId="77777777" w:rsidR="00117295" w:rsidRDefault="00117295">
            <w:pPr>
              <w:pStyle w:val="CETBodytext"/>
              <w:jc w:val="center"/>
              <w:rPr>
                <w:rFonts w:cs="Arial"/>
                <w:color w:val="000000"/>
                <w:szCs w:val="18"/>
              </w:rPr>
            </w:pPr>
            <w:r>
              <w:rPr>
                <w:rFonts w:cs="Arial"/>
                <w:color w:val="000000"/>
                <w:szCs w:val="18"/>
              </w:rPr>
              <w:t>0%</w:t>
            </w:r>
          </w:p>
        </w:tc>
        <w:tc>
          <w:tcPr>
            <w:tcW w:w="961" w:type="dxa"/>
            <w:tcBorders>
              <w:top w:val="nil"/>
              <w:left w:val="nil"/>
              <w:bottom w:val="nil"/>
              <w:right w:val="nil"/>
            </w:tcBorders>
            <w:shd w:val="clear" w:color="auto" w:fill="FFFFFF"/>
            <w:vAlign w:val="bottom"/>
            <w:hideMark/>
          </w:tcPr>
          <w:p w14:paraId="4D0E2287" w14:textId="77777777" w:rsidR="00117295" w:rsidRDefault="00117295">
            <w:pPr>
              <w:pStyle w:val="CETBodytext"/>
              <w:jc w:val="center"/>
              <w:rPr>
                <w:rFonts w:cs="Arial"/>
                <w:color w:val="000000"/>
                <w:szCs w:val="18"/>
              </w:rPr>
            </w:pPr>
            <w:r>
              <w:rPr>
                <w:rFonts w:cs="Arial"/>
                <w:color w:val="000000"/>
                <w:szCs w:val="18"/>
              </w:rPr>
              <w:t>0%</w:t>
            </w:r>
          </w:p>
        </w:tc>
        <w:tc>
          <w:tcPr>
            <w:tcW w:w="961" w:type="dxa"/>
            <w:tcBorders>
              <w:top w:val="nil"/>
              <w:left w:val="nil"/>
              <w:bottom w:val="nil"/>
              <w:right w:val="nil"/>
            </w:tcBorders>
            <w:vAlign w:val="bottom"/>
            <w:hideMark/>
          </w:tcPr>
          <w:p w14:paraId="324F867C" w14:textId="77777777" w:rsidR="00117295" w:rsidRDefault="00117295">
            <w:pPr>
              <w:pStyle w:val="CETBodytext"/>
              <w:jc w:val="center"/>
              <w:rPr>
                <w:rFonts w:cs="Arial"/>
                <w:color w:val="000000"/>
                <w:szCs w:val="18"/>
              </w:rPr>
            </w:pPr>
            <w:r>
              <w:rPr>
                <w:rFonts w:cs="Arial"/>
                <w:color w:val="000000"/>
                <w:szCs w:val="18"/>
              </w:rPr>
              <w:t>10%</w:t>
            </w:r>
          </w:p>
        </w:tc>
        <w:tc>
          <w:tcPr>
            <w:tcW w:w="961" w:type="dxa"/>
            <w:tcBorders>
              <w:top w:val="nil"/>
              <w:left w:val="nil"/>
              <w:bottom w:val="nil"/>
              <w:right w:val="nil"/>
            </w:tcBorders>
            <w:vAlign w:val="bottom"/>
            <w:hideMark/>
          </w:tcPr>
          <w:p w14:paraId="2FE71D09" w14:textId="77777777" w:rsidR="00117295" w:rsidRDefault="00117295">
            <w:pPr>
              <w:pStyle w:val="CETBodytext"/>
              <w:jc w:val="center"/>
              <w:rPr>
                <w:rFonts w:cs="Arial"/>
                <w:color w:val="000000"/>
                <w:szCs w:val="18"/>
              </w:rPr>
            </w:pPr>
            <w:r>
              <w:rPr>
                <w:rFonts w:cs="Arial"/>
                <w:color w:val="000000"/>
                <w:szCs w:val="18"/>
              </w:rPr>
              <w:t>10%</w:t>
            </w:r>
          </w:p>
        </w:tc>
        <w:tc>
          <w:tcPr>
            <w:tcW w:w="961" w:type="dxa"/>
            <w:tcBorders>
              <w:top w:val="nil"/>
              <w:left w:val="nil"/>
              <w:bottom w:val="nil"/>
              <w:right w:val="nil"/>
            </w:tcBorders>
            <w:vAlign w:val="bottom"/>
            <w:hideMark/>
          </w:tcPr>
          <w:p w14:paraId="5051C1E1" w14:textId="77777777" w:rsidR="00117295" w:rsidRDefault="00117295">
            <w:pPr>
              <w:pStyle w:val="CETBodytext"/>
              <w:jc w:val="center"/>
              <w:rPr>
                <w:rFonts w:cs="Arial"/>
                <w:color w:val="000000"/>
                <w:szCs w:val="18"/>
              </w:rPr>
            </w:pPr>
            <w:r>
              <w:rPr>
                <w:rFonts w:cs="Arial"/>
                <w:color w:val="000000"/>
                <w:szCs w:val="18"/>
              </w:rPr>
              <w:t>10%</w:t>
            </w:r>
          </w:p>
        </w:tc>
        <w:tc>
          <w:tcPr>
            <w:tcW w:w="961" w:type="dxa"/>
            <w:tcBorders>
              <w:top w:val="nil"/>
              <w:left w:val="nil"/>
              <w:bottom w:val="nil"/>
              <w:right w:val="nil"/>
            </w:tcBorders>
            <w:vAlign w:val="bottom"/>
            <w:hideMark/>
          </w:tcPr>
          <w:p w14:paraId="6B87A5E2" w14:textId="77777777" w:rsidR="00117295" w:rsidRDefault="00117295">
            <w:pPr>
              <w:pStyle w:val="CETBodytext"/>
              <w:jc w:val="center"/>
              <w:rPr>
                <w:rFonts w:cs="Arial"/>
                <w:color w:val="000000"/>
                <w:szCs w:val="18"/>
              </w:rPr>
            </w:pPr>
            <w:r>
              <w:rPr>
                <w:rFonts w:cs="Arial"/>
                <w:color w:val="000000"/>
                <w:szCs w:val="18"/>
              </w:rPr>
              <w:t>10%</w:t>
            </w:r>
          </w:p>
        </w:tc>
      </w:tr>
      <w:tr w:rsidR="00117295" w14:paraId="23E0B94A" w14:textId="77777777" w:rsidTr="00117295">
        <w:tc>
          <w:tcPr>
            <w:tcW w:w="993" w:type="dxa"/>
            <w:tcBorders>
              <w:top w:val="nil"/>
              <w:left w:val="nil"/>
              <w:bottom w:val="single" w:sz="12" w:space="0" w:color="008000"/>
              <w:right w:val="nil"/>
            </w:tcBorders>
            <w:shd w:val="clear" w:color="auto" w:fill="FFFFFF"/>
            <w:vAlign w:val="center"/>
            <w:hideMark/>
          </w:tcPr>
          <w:p w14:paraId="1BC3E7EA" w14:textId="77777777" w:rsidR="00117295" w:rsidRDefault="00117295">
            <w:pPr>
              <w:jc w:val="center"/>
              <w:rPr>
                <w:rFonts w:cs="Arial"/>
                <w:color w:val="000000"/>
                <w:szCs w:val="18"/>
              </w:rPr>
            </w:pPr>
            <w:r>
              <w:rPr>
                <w:rFonts w:cs="Arial"/>
                <w:color w:val="000000"/>
                <w:szCs w:val="18"/>
              </w:rPr>
              <w:t>Average</w:t>
            </w:r>
          </w:p>
        </w:tc>
        <w:tc>
          <w:tcPr>
            <w:tcW w:w="960" w:type="dxa"/>
            <w:tcBorders>
              <w:top w:val="nil"/>
              <w:left w:val="nil"/>
              <w:bottom w:val="single" w:sz="12" w:space="0" w:color="008000"/>
              <w:right w:val="nil"/>
            </w:tcBorders>
            <w:shd w:val="clear" w:color="auto" w:fill="FFFFFF"/>
            <w:vAlign w:val="bottom"/>
            <w:hideMark/>
          </w:tcPr>
          <w:p w14:paraId="45A4ACB6" w14:textId="77777777" w:rsidR="00117295" w:rsidRDefault="00117295">
            <w:pPr>
              <w:pStyle w:val="CETBodytext"/>
              <w:jc w:val="center"/>
              <w:rPr>
                <w:rFonts w:cs="Arial"/>
                <w:color w:val="000000"/>
                <w:szCs w:val="18"/>
              </w:rPr>
            </w:pPr>
            <w:r>
              <w:rPr>
                <w:rFonts w:cs="Arial"/>
                <w:color w:val="000000"/>
                <w:szCs w:val="18"/>
              </w:rPr>
              <w:t>8%</w:t>
            </w:r>
          </w:p>
        </w:tc>
        <w:tc>
          <w:tcPr>
            <w:tcW w:w="960" w:type="dxa"/>
            <w:tcBorders>
              <w:top w:val="nil"/>
              <w:left w:val="nil"/>
              <w:bottom w:val="single" w:sz="12" w:space="0" w:color="008000"/>
              <w:right w:val="nil"/>
            </w:tcBorders>
            <w:shd w:val="clear" w:color="auto" w:fill="FFFFFF"/>
            <w:vAlign w:val="bottom"/>
            <w:hideMark/>
          </w:tcPr>
          <w:p w14:paraId="59829E81" w14:textId="77777777" w:rsidR="00117295" w:rsidRDefault="00117295">
            <w:pPr>
              <w:pStyle w:val="CETBodytext"/>
              <w:jc w:val="center"/>
              <w:rPr>
                <w:rFonts w:cs="Arial"/>
                <w:color w:val="000000"/>
                <w:szCs w:val="18"/>
              </w:rPr>
            </w:pPr>
            <w:r>
              <w:rPr>
                <w:rFonts w:cs="Arial"/>
                <w:color w:val="000000"/>
                <w:szCs w:val="18"/>
              </w:rPr>
              <w:t>5%</w:t>
            </w:r>
          </w:p>
        </w:tc>
        <w:tc>
          <w:tcPr>
            <w:tcW w:w="961" w:type="dxa"/>
            <w:tcBorders>
              <w:top w:val="nil"/>
              <w:left w:val="nil"/>
              <w:bottom w:val="single" w:sz="12" w:space="0" w:color="008000"/>
              <w:right w:val="nil"/>
            </w:tcBorders>
            <w:shd w:val="clear" w:color="auto" w:fill="FFFFFF"/>
            <w:vAlign w:val="bottom"/>
            <w:hideMark/>
          </w:tcPr>
          <w:p w14:paraId="03079348" w14:textId="77777777" w:rsidR="00117295" w:rsidRDefault="00117295">
            <w:pPr>
              <w:pStyle w:val="CETBodytext"/>
              <w:jc w:val="center"/>
              <w:rPr>
                <w:rFonts w:cs="Arial"/>
                <w:color w:val="000000"/>
                <w:szCs w:val="18"/>
              </w:rPr>
            </w:pPr>
            <w:r>
              <w:rPr>
                <w:rFonts w:cs="Arial"/>
                <w:color w:val="000000"/>
                <w:szCs w:val="18"/>
              </w:rPr>
              <w:t>3%</w:t>
            </w:r>
          </w:p>
        </w:tc>
        <w:tc>
          <w:tcPr>
            <w:tcW w:w="961" w:type="dxa"/>
            <w:tcBorders>
              <w:top w:val="nil"/>
              <w:left w:val="nil"/>
              <w:bottom w:val="single" w:sz="12" w:space="0" w:color="008000"/>
              <w:right w:val="nil"/>
            </w:tcBorders>
            <w:shd w:val="clear" w:color="auto" w:fill="FFFFFF"/>
            <w:vAlign w:val="bottom"/>
            <w:hideMark/>
          </w:tcPr>
          <w:p w14:paraId="54A9F185" w14:textId="77777777" w:rsidR="00117295" w:rsidRDefault="00117295">
            <w:pPr>
              <w:pStyle w:val="CETBodytext"/>
              <w:jc w:val="center"/>
              <w:rPr>
                <w:rFonts w:cs="Arial"/>
                <w:color w:val="000000"/>
                <w:szCs w:val="18"/>
              </w:rPr>
            </w:pPr>
            <w:r>
              <w:rPr>
                <w:rFonts w:cs="Arial"/>
                <w:color w:val="000000"/>
                <w:szCs w:val="18"/>
              </w:rPr>
              <w:t>3%</w:t>
            </w:r>
          </w:p>
        </w:tc>
        <w:tc>
          <w:tcPr>
            <w:tcW w:w="961" w:type="dxa"/>
            <w:tcBorders>
              <w:top w:val="nil"/>
              <w:left w:val="nil"/>
              <w:bottom w:val="single" w:sz="12" w:space="0" w:color="008000"/>
              <w:right w:val="nil"/>
            </w:tcBorders>
            <w:vAlign w:val="bottom"/>
            <w:hideMark/>
          </w:tcPr>
          <w:p w14:paraId="16A35649" w14:textId="77777777" w:rsidR="00117295" w:rsidRDefault="00117295">
            <w:pPr>
              <w:pStyle w:val="CETBodytext"/>
              <w:jc w:val="center"/>
              <w:rPr>
                <w:rFonts w:cs="Arial"/>
                <w:color w:val="000000"/>
                <w:szCs w:val="18"/>
              </w:rPr>
            </w:pPr>
            <w:r>
              <w:rPr>
                <w:rFonts w:cs="Arial"/>
                <w:color w:val="000000"/>
                <w:szCs w:val="18"/>
              </w:rPr>
              <w:t>8%</w:t>
            </w:r>
          </w:p>
        </w:tc>
        <w:tc>
          <w:tcPr>
            <w:tcW w:w="961" w:type="dxa"/>
            <w:tcBorders>
              <w:top w:val="nil"/>
              <w:left w:val="nil"/>
              <w:bottom w:val="single" w:sz="12" w:space="0" w:color="008000"/>
              <w:right w:val="nil"/>
            </w:tcBorders>
            <w:vAlign w:val="bottom"/>
            <w:hideMark/>
          </w:tcPr>
          <w:p w14:paraId="1331E645" w14:textId="77777777" w:rsidR="00117295" w:rsidRDefault="00117295">
            <w:pPr>
              <w:pStyle w:val="CETBodytext"/>
              <w:jc w:val="center"/>
              <w:rPr>
                <w:rFonts w:cs="Arial"/>
                <w:color w:val="000000"/>
                <w:szCs w:val="18"/>
              </w:rPr>
            </w:pPr>
            <w:r>
              <w:rPr>
                <w:rFonts w:cs="Arial"/>
                <w:color w:val="000000"/>
                <w:szCs w:val="18"/>
              </w:rPr>
              <w:t>13%</w:t>
            </w:r>
          </w:p>
        </w:tc>
        <w:tc>
          <w:tcPr>
            <w:tcW w:w="961" w:type="dxa"/>
            <w:tcBorders>
              <w:top w:val="nil"/>
              <w:left w:val="nil"/>
              <w:bottom w:val="single" w:sz="12" w:space="0" w:color="008000"/>
              <w:right w:val="nil"/>
            </w:tcBorders>
            <w:vAlign w:val="bottom"/>
            <w:hideMark/>
          </w:tcPr>
          <w:p w14:paraId="7C5B9DEF" w14:textId="77777777" w:rsidR="00117295" w:rsidRDefault="00117295">
            <w:pPr>
              <w:pStyle w:val="CETBodytext"/>
              <w:jc w:val="center"/>
              <w:rPr>
                <w:rFonts w:cs="Arial"/>
                <w:color w:val="000000"/>
                <w:szCs w:val="18"/>
              </w:rPr>
            </w:pPr>
            <w:r>
              <w:rPr>
                <w:rFonts w:cs="Arial"/>
                <w:color w:val="000000"/>
                <w:szCs w:val="18"/>
              </w:rPr>
              <w:t>6%</w:t>
            </w:r>
          </w:p>
        </w:tc>
        <w:tc>
          <w:tcPr>
            <w:tcW w:w="961" w:type="dxa"/>
            <w:tcBorders>
              <w:top w:val="nil"/>
              <w:left w:val="nil"/>
              <w:bottom w:val="single" w:sz="12" w:space="0" w:color="008000"/>
              <w:right w:val="nil"/>
            </w:tcBorders>
            <w:vAlign w:val="bottom"/>
            <w:hideMark/>
          </w:tcPr>
          <w:p w14:paraId="61C6D4DB" w14:textId="77777777" w:rsidR="00117295" w:rsidRDefault="00117295">
            <w:pPr>
              <w:pStyle w:val="CETBodytext"/>
              <w:jc w:val="center"/>
              <w:rPr>
                <w:rFonts w:cs="Arial"/>
                <w:color w:val="000000"/>
                <w:szCs w:val="18"/>
              </w:rPr>
            </w:pPr>
            <w:r>
              <w:rPr>
                <w:rFonts w:cs="Arial"/>
                <w:color w:val="000000"/>
                <w:szCs w:val="18"/>
              </w:rPr>
              <w:t>7%</w:t>
            </w:r>
          </w:p>
        </w:tc>
      </w:tr>
    </w:tbl>
    <w:p w14:paraId="7F311CA7" w14:textId="77777777" w:rsidR="00117295" w:rsidRDefault="00117295" w:rsidP="00117295">
      <w:pPr>
        <w:pStyle w:val="CETBodytext"/>
      </w:pPr>
    </w:p>
    <w:p w14:paraId="1A252B88" w14:textId="77777777" w:rsidR="00117295" w:rsidRDefault="00117295" w:rsidP="00117295">
      <w:pPr>
        <w:pStyle w:val="CETTabletitle"/>
      </w:pPr>
      <w:r>
        <w:t>Table 3: Calculated entropies of all individual operations</w:t>
      </w:r>
    </w:p>
    <w:tbl>
      <w:tblPr>
        <w:tblW w:w="0" w:type="dxa"/>
        <w:tblBorders>
          <w:top w:val="single" w:sz="12" w:space="0" w:color="008000"/>
          <w:bottom w:val="single" w:sz="12" w:space="0" w:color="008000"/>
        </w:tblBorders>
        <w:tblLayout w:type="fixed"/>
        <w:tblLook w:val="04A0" w:firstRow="1" w:lastRow="0" w:firstColumn="1" w:lastColumn="0" w:noHBand="0" w:noVBand="1"/>
      </w:tblPr>
      <w:tblGrid>
        <w:gridCol w:w="993"/>
        <w:gridCol w:w="960"/>
        <w:gridCol w:w="960"/>
        <w:gridCol w:w="961"/>
        <w:gridCol w:w="961"/>
        <w:gridCol w:w="961"/>
        <w:gridCol w:w="961"/>
        <w:gridCol w:w="961"/>
        <w:gridCol w:w="961"/>
      </w:tblGrid>
      <w:tr w:rsidR="00117295" w14:paraId="6845924F" w14:textId="77777777" w:rsidTr="00117295">
        <w:tc>
          <w:tcPr>
            <w:tcW w:w="993" w:type="dxa"/>
            <w:tcBorders>
              <w:top w:val="single" w:sz="12" w:space="0" w:color="008000"/>
              <w:left w:val="nil"/>
              <w:bottom w:val="single" w:sz="6" w:space="0" w:color="008000"/>
              <w:right w:val="nil"/>
            </w:tcBorders>
            <w:shd w:val="clear" w:color="auto" w:fill="FFFFFF"/>
            <w:vAlign w:val="center"/>
            <w:hideMark/>
          </w:tcPr>
          <w:p w14:paraId="1F03B36F" w14:textId="77777777" w:rsidR="00117295" w:rsidRDefault="00117295">
            <w:pPr>
              <w:pStyle w:val="CETBodytext"/>
              <w:spacing w:line="240" w:lineRule="auto"/>
              <w:jc w:val="center"/>
              <w:rPr>
                <w:rFonts w:cs="Arial"/>
                <w:szCs w:val="18"/>
                <w:lang w:val="en-GB"/>
              </w:rPr>
            </w:pPr>
            <w:r>
              <w:rPr>
                <w:rFonts w:cs="Arial"/>
                <w:szCs w:val="18"/>
                <w:lang w:val="en-GB"/>
              </w:rPr>
              <w:t>Driver</w:t>
            </w:r>
          </w:p>
        </w:tc>
        <w:tc>
          <w:tcPr>
            <w:tcW w:w="960" w:type="dxa"/>
            <w:tcBorders>
              <w:top w:val="single" w:sz="12" w:space="0" w:color="008000"/>
              <w:left w:val="nil"/>
              <w:bottom w:val="single" w:sz="6" w:space="0" w:color="008000"/>
              <w:right w:val="nil"/>
            </w:tcBorders>
            <w:shd w:val="clear" w:color="auto" w:fill="FFFFFF"/>
            <w:vAlign w:val="center"/>
            <w:hideMark/>
          </w:tcPr>
          <w:p w14:paraId="6C07778C" w14:textId="77777777" w:rsidR="00117295" w:rsidRDefault="00117295">
            <w:pPr>
              <w:pStyle w:val="CETBodytext"/>
              <w:spacing w:line="240" w:lineRule="auto"/>
              <w:jc w:val="center"/>
              <w:rPr>
                <w:rFonts w:cs="Arial"/>
                <w:szCs w:val="18"/>
                <w:lang w:val="en-GB"/>
              </w:rPr>
            </w:pPr>
            <w:r>
              <w:rPr>
                <w:rFonts w:cs="Arial"/>
                <w:szCs w:val="18"/>
                <w:lang w:val="en-GB"/>
              </w:rPr>
              <w:t>C1</w:t>
            </w:r>
          </w:p>
        </w:tc>
        <w:tc>
          <w:tcPr>
            <w:tcW w:w="960" w:type="dxa"/>
            <w:tcBorders>
              <w:top w:val="single" w:sz="12" w:space="0" w:color="008000"/>
              <w:left w:val="nil"/>
              <w:bottom w:val="single" w:sz="8" w:space="0" w:color="008000"/>
              <w:right w:val="nil"/>
            </w:tcBorders>
            <w:shd w:val="clear" w:color="auto" w:fill="FFFFFF"/>
            <w:vAlign w:val="center"/>
            <w:hideMark/>
          </w:tcPr>
          <w:p w14:paraId="758227F9" w14:textId="77777777" w:rsidR="00117295" w:rsidRDefault="00117295">
            <w:pPr>
              <w:pStyle w:val="CETBodytext"/>
              <w:spacing w:line="240" w:lineRule="auto"/>
              <w:jc w:val="center"/>
              <w:rPr>
                <w:rFonts w:cs="Arial"/>
                <w:szCs w:val="18"/>
                <w:lang w:val="en-GB"/>
              </w:rPr>
            </w:pPr>
            <w:r>
              <w:rPr>
                <w:rFonts w:cs="Arial"/>
                <w:szCs w:val="18"/>
                <w:lang w:val="en-GB"/>
              </w:rPr>
              <w:t>P1</w:t>
            </w:r>
          </w:p>
        </w:tc>
        <w:tc>
          <w:tcPr>
            <w:tcW w:w="961" w:type="dxa"/>
            <w:tcBorders>
              <w:top w:val="single" w:sz="12" w:space="0" w:color="008000"/>
              <w:left w:val="nil"/>
              <w:bottom w:val="single" w:sz="8" w:space="0" w:color="008000"/>
              <w:right w:val="nil"/>
            </w:tcBorders>
            <w:shd w:val="clear" w:color="auto" w:fill="FFFFFF"/>
            <w:vAlign w:val="center"/>
            <w:hideMark/>
          </w:tcPr>
          <w:p w14:paraId="1D446DE0" w14:textId="77777777" w:rsidR="00117295" w:rsidRDefault="00117295">
            <w:pPr>
              <w:pStyle w:val="CETBodytext"/>
              <w:spacing w:line="240" w:lineRule="auto"/>
              <w:jc w:val="center"/>
              <w:rPr>
                <w:rFonts w:cs="Arial"/>
                <w:szCs w:val="18"/>
                <w:lang w:val="en-GB"/>
              </w:rPr>
            </w:pPr>
            <w:r>
              <w:rPr>
                <w:rFonts w:cs="Arial"/>
                <w:szCs w:val="18"/>
                <w:lang w:val="en-GB"/>
              </w:rPr>
              <w:t>S1</w:t>
            </w:r>
          </w:p>
        </w:tc>
        <w:tc>
          <w:tcPr>
            <w:tcW w:w="961" w:type="dxa"/>
            <w:tcBorders>
              <w:top w:val="single" w:sz="12" w:space="0" w:color="008000"/>
              <w:left w:val="nil"/>
              <w:bottom w:val="single" w:sz="8" w:space="0" w:color="008000"/>
              <w:right w:val="nil"/>
            </w:tcBorders>
            <w:shd w:val="clear" w:color="auto" w:fill="FFFFFF"/>
            <w:vAlign w:val="center"/>
            <w:hideMark/>
          </w:tcPr>
          <w:p w14:paraId="6537EBEF" w14:textId="77777777" w:rsidR="00117295" w:rsidRDefault="00117295">
            <w:pPr>
              <w:pStyle w:val="CETBodytext"/>
              <w:spacing w:line="240" w:lineRule="auto"/>
              <w:jc w:val="center"/>
              <w:rPr>
                <w:rFonts w:cs="Arial"/>
                <w:szCs w:val="18"/>
                <w:lang w:val="en-GB"/>
              </w:rPr>
            </w:pPr>
            <w:r>
              <w:rPr>
                <w:rFonts w:cs="Arial"/>
                <w:szCs w:val="18"/>
                <w:lang w:val="en-GB"/>
              </w:rPr>
              <w:t>D1</w:t>
            </w:r>
          </w:p>
        </w:tc>
        <w:tc>
          <w:tcPr>
            <w:tcW w:w="961" w:type="dxa"/>
            <w:tcBorders>
              <w:top w:val="single" w:sz="12" w:space="0" w:color="008000"/>
              <w:left w:val="nil"/>
              <w:bottom w:val="single" w:sz="8" w:space="0" w:color="008000"/>
              <w:right w:val="nil"/>
            </w:tcBorders>
            <w:vAlign w:val="center"/>
            <w:hideMark/>
          </w:tcPr>
          <w:p w14:paraId="2D632D8E" w14:textId="77777777" w:rsidR="00117295" w:rsidRDefault="00117295">
            <w:pPr>
              <w:pStyle w:val="CETBodytext"/>
              <w:spacing w:line="240" w:lineRule="auto"/>
              <w:jc w:val="center"/>
              <w:rPr>
                <w:rFonts w:cs="Arial"/>
                <w:szCs w:val="18"/>
                <w:lang w:val="en-GB"/>
              </w:rPr>
            </w:pPr>
            <w:r>
              <w:rPr>
                <w:rFonts w:cs="Arial"/>
                <w:szCs w:val="18"/>
                <w:lang w:val="en-GB"/>
              </w:rPr>
              <w:t>C2</w:t>
            </w:r>
          </w:p>
        </w:tc>
        <w:tc>
          <w:tcPr>
            <w:tcW w:w="961" w:type="dxa"/>
            <w:tcBorders>
              <w:top w:val="single" w:sz="12" w:space="0" w:color="008000"/>
              <w:left w:val="nil"/>
              <w:bottom w:val="single" w:sz="8" w:space="0" w:color="008000"/>
              <w:right w:val="nil"/>
            </w:tcBorders>
            <w:vAlign w:val="center"/>
            <w:hideMark/>
          </w:tcPr>
          <w:p w14:paraId="50D7727B" w14:textId="77777777" w:rsidR="00117295" w:rsidRDefault="00117295">
            <w:pPr>
              <w:pStyle w:val="CETBodytext"/>
              <w:spacing w:line="240" w:lineRule="auto"/>
              <w:jc w:val="center"/>
              <w:rPr>
                <w:rFonts w:cs="Arial"/>
                <w:szCs w:val="18"/>
                <w:lang w:val="en-GB"/>
              </w:rPr>
            </w:pPr>
            <w:r>
              <w:rPr>
                <w:rFonts w:cs="Arial"/>
                <w:szCs w:val="18"/>
                <w:lang w:val="en-GB"/>
              </w:rPr>
              <w:t>P2</w:t>
            </w:r>
          </w:p>
        </w:tc>
        <w:tc>
          <w:tcPr>
            <w:tcW w:w="961" w:type="dxa"/>
            <w:tcBorders>
              <w:top w:val="single" w:sz="12" w:space="0" w:color="008000"/>
              <w:left w:val="nil"/>
              <w:bottom w:val="single" w:sz="8" w:space="0" w:color="008000"/>
              <w:right w:val="nil"/>
            </w:tcBorders>
            <w:vAlign w:val="center"/>
            <w:hideMark/>
          </w:tcPr>
          <w:p w14:paraId="744FC6FA" w14:textId="77777777" w:rsidR="00117295" w:rsidRDefault="00117295">
            <w:pPr>
              <w:pStyle w:val="CETBodytext"/>
              <w:spacing w:line="240" w:lineRule="auto"/>
              <w:jc w:val="center"/>
              <w:rPr>
                <w:rFonts w:cs="Arial"/>
                <w:szCs w:val="18"/>
                <w:lang w:val="en-GB"/>
              </w:rPr>
            </w:pPr>
            <w:r>
              <w:rPr>
                <w:rFonts w:cs="Arial"/>
                <w:szCs w:val="18"/>
                <w:lang w:val="en-GB"/>
              </w:rPr>
              <w:t>S2</w:t>
            </w:r>
          </w:p>
        </w:tc>
        <w:tc>
          <w:tcPr>
            <w:tcW w:w="961" w:type="dxa"/>
            <w:tcBorders>
              <w:top w:val="single" w:sz="12" w:space="0" w:color="008000"/>
              <w:left w:val="nil"/>
              <w:bottom w:val="single" w:sz="8" w:space="0" w:color="008000"/>
              <w:right w:val="nil"/>
            </w:tcBorders>
            <w:vAlign w:val="center"/>
            <w:hideMark/>
          </w:tcPr>
          <w:p w14:paraId="33914D0C" w14:textId="77777777" w:rsidR="00117295" w:rsidRDefault="00117295">
            <w:pPr>
              <w:pStyle w:val="CETBodytext"/>
              <w:spacing w:line="240" w:lineRule="auto"/>
              <w:jc w:val="center"/>
              <w:rPr>
                <w:rFonts w:cs="Arial"/>
                <w:szCs w:val="18"/>
                <w:lang w:val="en-GB"/>
              </w:rPr>
            </w:pPr>
            <w:r>
              <w:rPr>
                <w:rFonts w:cs="Arial"/>
                <w:szCs w:val="18"/>
                <w:lang w:val="en-GB"/>
              </w:rPr>
              <w:t>D2</w:t>
            </w:r>
          </w:p>
        </w:tc>
      </w:tr>
      <w:tr w:rsidR="00117295" w14:paraId="5C1732B2" w14:textId="77777777" w:rsidTr="00117295">
        <w:tc>
          <w:tcPr>
            <w:tcW w:w="993" w:type="dxa"/>
            <w:tcBorders>
              <w:top w:val="nil"/>
              <w:left w:val="nil"/>
              <w:bottom w:val="nil"/>
              <w:right w:val="nil"/>
            </w:tcBorders>
            <w:shd w:val="clear" w:color="auto" w:fill="FFFFFF"/>
            <w:vAlign w:val="center"/>
            <w:hideMark/>
          </w:tcPr>
          <w:p w14:paraId="500ACF71" w14:textId="77777777" w:rsidR="00117295" w:rsidRDefault="00117295">
            <w:pPr>
              <w:pStyle w:val="CETBodytext"/>
              <w:jc w:val="center"/>
              <w:rPr>
                <w:rFonts w:cs="Arial"/>
                <w:szCs w:val="18"/>
                <w:lang w:val="en-GB"/>
              </w:rPr>
            </w:pPr>
            <w:r>
              <w:rPr>
                <w:rFonts w:cs="Arial"/>
                <w:color w:val="000000"/>
                <w:szCs w:val="18"/>
              </w:rPr>
              <w:t>S1-2</w:t>
            </w:r>
          </w:p>
        </w:tc>
        <w:tc>
          <w:tcPr>
            <w:tcW w:w="960" w:type="dxa"/>
            <w:tcBorders>
              <w:top w:val="nil"/>
              <w:left w:val="nil"/>
              <w:bottom w:val="nil"/>
              <w:right w:val="nil"/>
            </w:tcBorders>
            <w:shd w:val="clear" w:color="auto" w:fill="FFFFFF"/>
            <w:vAlign w:val="bottom"/>
            <w:hideMark/>
          </w:tcPr>
          <w:p w14:paraId="49C50DB9" w14:textId="77777777" w:rsidR="00117295" w:rsidRDefault="00117295">
            <w:pPr>
              <w:pStyle w:val="CETBodytext"/>
              <w:jc w:val="center"/>
              <w:rPr>
                <w:rFonts w:cs="Arial"/>
                <w:color w:val="000000"/>
                <w:szCs w:val="18"/>
              </w:rPr>
            </w:pPr>
            <w:r>
              <w:rPr>
                <w:rFonts w:cs="Arial"/>
                <w:color w:val="000000"/>
                <w:szCs w:val="18"/>
              </w:rPr>
              <w:t>0.00</w:t>
            </w:r>
          </w:p>
        </w:tc>
        <w:tc>
          <w:tcPr>
            <w:tcW w:w="960" w:type="dxa"/>
            <w:tcBorders>
              <w:top w:val="single" w:sz="8" w:space="0" w:color="008000"/>
              <w:left w:val="nil"/>
              <w:bottom w:val="nil"/>
              <w:right w:val="nil"/>
            </w:tcBorders>
            <w:shd w:val="clear" w:color="auto" w:fill="FFFFFF"/>
            <w:vAlign w:val="bottom"/>
            <w:hideMark/>
          </w:tcPr>
          <w:p w14:paraId="27AC4CB9" w14:textId="77777777" w:rsidR="00117295" w:rsidRDefault="00117295">
            <w:pPr>
              <w:pStyle w:val="CETBodytext"/>
              <w:spacing w:line="240" w:lineRule="auto"/>
              <w:jc w:val="center"/>
              <w:rPr>
                <w:rFonts w:cs="Arial"/>
                <w:szCs w:val="18"/>
                <w:lang w:val="en-GB"/>
              </w:rPr>
            </w:pPr>
            <w:r>
              <w:rPr>
                <w:rFonts w:cs="Arial"/>
                <w:szCs w:val="18"/>
                <w:lang w:val="en-GB"/>
              </w:rPr>
              <w:t>0.00</w:t>
            </w:r>
          </w:p>
        </w:tc>
        <w:tc>
          <w:tcPr>
            <w:tcW w:w="961" w:type="dxa"/>
            <w:tcBorders>
              <w:top w:val="single" w:sz="8" w:space="0" w:color="008000"/>
              <w:left w:val="nil"/>
              <w:bottom w:val="nil"/>
              <w:right w:val="nil"/>
            </w:tcBorders>
            <w:shd w:val="clear" w:color="auto" w:fill="FFFFFF"/>
            <w:vAlign w:val="bottom"/>
            <w:hideMark/>
          </w:tcPr>
          <w:p w14:paraId="180818DF" w14:textId="77777777" w:rsidR="00117295" w:rsidRDefault="00117295">
            <w:pPr>
              <w:pStyle w:val="CETBodytext"/>
              <w:jc w:val="center"/>
              <w:rPr>
                <w:rFonts w:cs="Arial"/>
                <w:color w:val="000000"/>
                <w:szCs w:val="18"/>
              </w:rPr>
            </w:pPr>
            <w:r>
              <w:rPr>
                <w:rFonts w:cs="Arial"/>
                <w:color w:val="000000"/>
                <w:szCs w:val="18"/>
              </w:rPr>
              <w:t>0.00</w:t>
            </w:r>
          </w:p>
        </w:tc>
        <w:tc>
          <w:tcPr>
            <w:tcW w:w="961" w:type="dxa"/>
            <w:tcBorders>
              <w:top w:val="single" w:sz="8" w:space="0" w:color="008000"/>
              <w:left w:val="nil"/>
              <w:bottom w:val="nil"/>
              <w:right w:val="nil"/>
            </w:tcBorders>
            <w:shd w:val="clear" w:color="auto" w:fill="FFFFFF"/>
            <w:vAlign w:val="bottom"/>
            <w:hideMark/>
          </w:tcPr>
          <w:p w14:paraId="09AED751" w14:textId="77777777" w:rsidR="00117295" w:rsidRDefault="00117295">
            <w:pPr>
              <w:pStyle w:val="CETBodytext"/>
              <w:jc w:val="center"/>
              <w:rPr>
                <w:rFonts w:cs="Arial"/>
                <w:color w:val="000000"/>
                <w:szCs w:val="18"/>
              </w:rPr>
            </w:pPr>
            <w:r>
              <w:rPr>
                <w:rFonts w:cs="Arial"/>
                <w:color w:val="000000"/>
                <w:szCs w:val="18"/>
              </w:rPr>
              <w:t>0.00</w:t>
            </w:r>
          </w:p>
        </w:tc>
        <w:tc>
          <w:tcPr>
            <w:tcW w:w="961" w:type="dxa"/>
            <w:tcBorders>
              <w:top w:val="single" w:sz="8" w:space="0" w:color="008000"/>
              <w:left w:val="nil"/>
              <w:bottom w:val="nil"/>
              <w:right w:val="nil"/>
            </w:tcBorders>
            <w:vAlign w:val="bottom"/>
            <w:hideMark/>
          </w:tcPr>
          <w:p w14:paraId="1386E9AA" w14:textId="77777777" w:rsidR="00117295" w:rsidRDefault="00117295">
            <w:pPr>
              <w:pStyle w:val="CETBodytext"/>
              <w:jc w:val="center"/>
              <w:rPr>
                <w:rFonts w:cs="Arial"/>
                <w:color w:val="000000"/>
                <w:szCs w:val="18"/>
              </w:rPr>
            </w:pPr>
            <w:r>
              <w:rPr>
                <w:rFonts w:cs="Arial"/>
                <w:color w:val="000000"/>
                <w:szCs w:val="18"/>
              </w:rPr>
              <w:t>0.00</w:t>
            </w:r>
          </w:p>
        </w:tc>
        <w:tc>
          <w:tcPr>
            <w:tcW w:w="961" w:type="dxa"/>
            <w:tcBorders>
              <w:top w:val="single" w:sz="8" w:space="0" w:color="008000"/>
              <w:left w:val="nil"/>
              <w:bottom w:val="nil"/>
              <w:right w:val="nil"/>
            </w:tcBorders>
            <w:vAlign w:val="bottom"/>
            <w:hideMark/>
          </w:tcPr>
          <w:p w14:paraId="39BECAD1" w14:textId="77777777" w:rsidR="00117295" w:rsidRDefault="00117295">
            <w:pPr>
              <w:pStyle w:val="CETBodytext"/>
              <w:jc w:val="center"/>
              <w:rPr>
                <w:rFonts w:cs="Arial"/>
                <w:color w:val="000000"/>
                <w:szCs w:val="18"/>
              </w:rPr>
            </w:pPr>
            <w:r>
              <w:rPr>
                <w:rFonts w:cs="Arial"/>
                <w:color w:val="000000"/>
                <w:szCs w:val="18"/>
              </w:rPr>
              <w:t>0.00</w:t>
            </w:r>
          </w:p>
        </w:tc>
        <w:tc>
          <w:tcPr>
            <w:tcW w:w="961" w:type="dxa"/>
            <w:tcBorders>
              <w:top w:val="single" w:sz="8" w:space="0" w:color="008000"/>
              <w:left w:val="nil"/>
              <w:bottom w:val="nil"/>
              <w:right w:val="nil"/>
            </w:tcBorders>
            <w:vAlign w:val="bottom"/>
            <w:hideMark/>
          </w:tcPr>
          <w:p w14:paraId="67778645" w14:textId="77777777" w:rsidR="00117295" w:rsidRDefault="00117295">
            <w:pPr>
              <w:pStyle w:val="CETBodytext"/>
              <w:jc w:val="center"/>
              <w:rPr>
                <w:rFonts w:cs="Arial"/>
                <w:color w:val="000000"/>
                <w:szCs w:val="18"/>
              </w:rPr>
            </w:pPr>
            <w:r>
              <w:rPr>
                <w:rFonts w:cs="Arial"/>
                <w:color w:val="000000"/>
                <w:szCs w:val="18"/>
              </w:rPr>
              <w:t>0.00</w:t>
            </w:r>
          </w:p>
        </w:tc>
        <w:tc>
          <w:tcPr>
            <w:tcW w:w="961" w:type="dxa"/>
            <w:tcBorders>
              <w:top w:val="single" w:sz="8" w:space="0" w:color="008000"/>
              <w:left w:val="nil"/>
              <w:bottom w:val="nil"/>
              <w:right w:val="nil"/>
            </w:tcBorders>
            <w:vAlign w:val="bottom"/>
            <w:hideMark/>
          </w:tcPr>
          <w:p w14:paraId="6F66F6CE" w14:textId="77777777" w:rsidR="00117295" w:rsidRDefault="00117295">
            <w:pPr>
              <w:pStyle w:val="CETBodytext"/>
              <w:jc w:val="center"/>
              <w:rPr>
                <w:rFonts w:cs="Arial"/>
                <w:color w:val="000000"/>
                <w:szCs w:val="18"/>
              </w:rPr>
            </w:pPr>
            <w:r>
              <w:rPr>
                <w:rFonts w:cs="Arial"/>
                <w:color w:val="000000"/>
                <w:szCs w:val="18"/>
              </w:rPr>
              <w:t>0.00</w:t>
            </w:r>
          </w:p>
        </w:tc>
      </w:tr>
      <w:tr w:rsidR="00117295" w14:paraId="3FF7B9D2" w14:textId="77777777" w:rsidTr="00117295">
        <w:trPr>
          <w:trHeight w:val="218"/>
        </w:trPr>
        <w:tc>
          <w:tcPr>
            <w:tcW w:w="993" w:type="dxa"/>
            <w:tcBorders>
              <w:top w:val="nil"/>
              <w:left w:val="nil"/>
              <w:bottom w:val="nil"/>
              <w:right w:val="nil"/>
            </w:tcBorders>
            <w:shd w:val="clear" w:color="auto" w:fill="FFFFFF"/>
            <w:vAlign w:val="center"/>
            <w:hideMark/>
          </w:tcPr>
          <w:p w14:paraId="0100CC3B" w14:textId="77777777" w:rsidR="00117295" w:rsidRDefault="00117295">
            <w:pPr>
              <w:pStyle w:val="CETBodytext"/>
              <w:jc w:val="center"/>
              <w:rPr>
                <w:rFonts w:cs="Arial"/>
                <w:szCs w:val="18"/>
                <w:lang w:val="en-GB"/>
              </w:rPr>
            </w:pPr>
            <w:r>
              <w:rPr>
                <w:rFonts w:cs="Arial"/>
                <w:color w:val="000000"/>
                <w:szCs w:val="18"/>
              </w:rPr>
              <w:t>S3</w:t>
            </w:r>
          </w:p>
        </w:tc>
        <w:tc>
          <w:tcPr>
            <w:tcW w:w="960" w:type="dxa"/>
            <w:tcBorders>
              <w:top w:val="nil"/>
              <w:left w:val="nil"/>
              <w:bottom w:val="nil"/>
              <w:right w:val="nil"/>
            </w:tcBorders>
            <w:shd w:val="clear" w:color="auto" w:fill="FFFFFF"/>
            <w:vAlign w:val="bottom"/>
            <w:hideMark/>
          </w:tcPr>
          <w:p w14:paraId="16A7A6B0" w14:textId="77777777" w:rsidR="00117295" w:rsidRDefault="00117295">
            <w:pPr>
              <w:pStyle w:val="CETBodytext"/>
              <w:jc w:val="center"/>
              <w:rPr>
                <w:rFonts w:cs="Arial"/>
                <w:color w:val="000000"/>
                <w:szCs w:val="18"/>
              </w:rPr>
            </w:pPr>
            <w:r>
              <w:rPr>
                <w:rFonts w:cs="Arial"/>
                <w:color w:val="000000"/>
                <w:szCs w:val="18"/>
              </w:rPr>
              <w:t>-0.47</w:t>
            </w:r>
          </w:p>
        </w:tc>
        <w:tc>
          <w:tcPr>
            <w:tcW w:w="960" w:type="dxa"/>
            <w:tcBorders>
              <w:top w:val="nil"/>
              <w:left w:val="nil"/>
              <w:bottom w:val="nil"/>
              <w:right w:val="nil"/>
            </w:tcBorders>
            <w:shd w:val="clear" w:color="auto" w:fill="FFFFFF"/>
            <w:vAlign w:val="bottom"/>
            <w:hideMark/>
          </w:tcPr>
          <w:p w14:paraId="38B26AB5" w14:textId="77777777" w:rsidR="00117295" w:rsidRDefault="00117295">
            <w:pPr>
              <w:pStyle w:val="CETBodytext"/>
              <w:jc w:val="center"/>
              <w:rPr>
                <w:rFonts w:cs="Arial"/>
                <w:color w:val="000000"/>
                <w:szCs w:val="18"/>
              </w:rPr>
            </w:pPr>
            <w:r>
              <w:rPr>
                <w:rFonts w:cs="Arial"/>
                <w:color w:val="000000"/>
                <w:szCs w:val="18"/>
              </w:rPr>
              <w:t>-0.47</w:t>
            </w:r>
          </w:p>
        </w:tc>
        <w:tc>
          <w:tcPr>
            <w:tcW w:w="961" w:type="dxa"/>
            <w:tcBorders>
              <w:top w:val="nil"/>
              <w:left w:val="nil"/>
              <w:bottom w:val="nil"/>
              <w:right w:val="nil"/>
            </w:tcBorders>
            <w:shd w:val="clear" w:color="auto" w:fill="FFFFFF"/>
            <w:vAlign w:val="bottom"/>
            <w:hideMark/>
          </w:tcPr>
          <w:p w14:paraId="2FB46CA5" w14:textId="77777777" w:rsidR="00117295" w:rsidRDefault="00117295">
            <w:pPr>
              <w:pStyle w:val="CETBodytext"/>
              <w:jc w:val="center"/>
              <w:rPr>
                <w:rFonts w:cs="Arial"/>
                <w:color w:val="000000"/>
                <w:szCs w:val="18"/>
              </w:rPr>
            </w:pPr>
            <w:r>
              <w:rPr>
                <w:rFonts w:cs="Arial"/>
                <w:color w:val="000000"/>
                <w:szCs w:val="18"/>
              </w:rPr>
              <w:t>-0.72</w:t>
            </w:r>
          </w:p>
        </w:tc>
        <w:tc>
          <w:tcPr>
            <w:tcW w:w="961" w:type="dxa"/>
            <w:tcBorders>
              <w:top w:val="nil"/>
              <w:left w:val="nil"/>
              <w:bottom w:val="nil"/>
              <w:right w:val="nil"/>
            </w:tcBorders>
            <w:shd w:val="clear" w:color="auto" w:fill="FFFFFF"/>
            <w:vAlign w:val="bottom"/>
            <w:hideMark/>
          </w:tcPr>
          <w:p w14:paraId="37B8D1A8" w14:textId="77777777" w:rsidR="00117295" w:rsidRDefault="00117295">
            <w:pPr>
              <w:pStyle w:val="CETBodytext"/>
              <w:jc w:val="center"/>
              <w:rPr>
                <w:rFonts w:cs="Arial"/>
                <w:color w:val="000000"/>
                <w:szCs w:val="18"/>
              </w:rPr>
            </w:pPr>
            <w:r>
              <w:rPr>
                <w:rFonts w:cs="Arial"/>
                <w:color w:val="000000"/>
                <w:szCs w:val="18"/>
              </w:rPr>
              <w:t>-0.47</w:t>
            </w:r>
          </w:p>
        </w:tc>
        <w:tc>
          <w:tcPr>
            <w:tcW w:w="961" w:type="dxa"/>
            <w:tcBorders>
              <w:top w:val="nil"/>
              <w:left w:val="nil"/>
              <w:bottom w:val="nil"/>
              <w:right w:val="nil"/>
            </w:tcBorders>
            <w:vAlign w:val="bottom"/>
            <w:hideMark/>
          </w:tcPr>
          <w:p w14:paraId="484FDA18" w14:textId="77777777" w:rsidR="00117295" w:rsidRDefault="00117295">
            <w:pPr>
              <w:pStyle w:val="CETBodytext"/>
              <w:jc w:val="center"/>
              <w:rPr>
                <w:rFonts w:cs="Arial"/>
                <w:color w:val="000000"/>
                <w:szCs w:val="18"/>
              </w:rPr>
            </w:pPr>
            <w:r>
              <w:rPr>
                <w:rFonts w:cs="Arial"/>
                <w:color w:val="000000"/>
                <w:szCs w:val="18"/>
              </w:rPr>
              <w:t>0.00</w:t>
            </w:r>
          </w:p>
        </w:tc>
        <w:tc>
          <w:tcPr>
            <w:tcW w:w="961" w:type="dxa"/>
            <w:tcBorders>
              <w:top w:val="nil"/>
              <w:left w:val="nil"/>
              <w:bottom w:val="nil"/>
              <w:right w:val="nil"/>
            </w:tcBorders>
            <w:vAlign w:val="bottom"/>
            <w:hideMark/>
          </w:tcPr>
          <w:p w14:paraId="3A6EB02C" w14:textId="77777777" w:rsidR="00117295" w:rsidRDefault="00117295">
            <w:pPr>
              <w:pStyle w:val="CETBodytext"/>
              <w:jc w:val="center"/>
              <w:rPr>
                <w:rFonts w:cs="Arial"/>
                <w:color w:val="000000"/>
                <w:szCs w:val="18"/>
              </w:rPr>
            </w:pPr>
            <w:r>
              <w:rPr>
                <w:rFonts w:cs="Arial"/>
                <w:color w:val="000000"/>
                <w:szCs w:val="18"/>
              </w:rPr>
              <w:t>-0.47</w:t>
            </w:r>
          </w:p>
        </w:tc>
        <w:tc>
          <w:tcPr>
            <w:tcW w:w="961" w:type="dxa"/>
            <w:tcBorders>
              <w:top w:val="nil"/>
              <w:left w:val="nil"/>
              <w:bottom w:val="nil"/>
              <w:right w:val="nil"/>
            </w:tcBorders>
            <w:vAlign w:val="bottom"/>
            <w:hideMark/>
          </w:tcPr>
          <w:p w14:paraId="43695F93" w14:textId="77777777" w:rsidR="00117295" w:rsidRDefault="00117295">
            <w:pPr>
              <w:pStyle w:val="CETBodytext"/>
              <w:jc w:val="center"/>
              <w:rPr>
                <w:rFonts w:cs="Arial"/>
                <w:color w:val="000000"/>
                <w:szCs w:val="18"/>
              </w:rPr>
            </w:pPr>
            <w:r>
              <w:rPr>
                <w:rFonts w:cs="Arial"/>
                <w:color w:val="000000"/>
                <w:szCs w:val="18"/>
              </w:rPr>
              <w:t>-0.72</w:t>
            </w:r>
          </w:p>
        </w:tc>
        <w:tc>
          <w:tcPr>
            <w:tcW w:w="961" w:type="dxa"/>
            <w:tcBorders>
              <w:top w:val="nil"/>
              <w:left w:val="nil"/>
              <w:bottom w:val="nil"/>
              <w:right w:val="nil"/>
            </w:tcBorders>
            <w:vAlign w:val="bottom"/>
            <w:hideMark/>
          </w:tcPr>
          <w:p w14:paraId="3C847134" w14:textId="77777777" w:rsidR="00117295" w:rsidRDefault="00117295">
            <w:pPr>
              <w:pStyle w:val="CETBodytext"/>
              <w:jc w:val="center"/>
              <w:rPr>
                <w:rFonts w:cs="Arial"/>
                <w:color w:val="000000"/>
                <w:szCs w:val="18"/>
              </w:rPr>
            </w:pPr>
            <w:r>
              <w:rPr>
                <w:rFonts w:cs="Arial"/>
                <w:color w:val="000000"/>
                <w:szCs w:val="18"/>
              </w:rPr>
              <w:t>-0.72</w:t>
            </w:r>
          </w:p>
        </w:tc>
      </w:tr>
      <w:tr w:rsidR="00117295" w14:paraId="5E6FC0B8" w14:textId="77777777" w:rsidTr="00117295">
        <w:trPr>
          <w:trHeight w:val="218"/>
        </w:trPr>
        <w:tc>
          <w:tcPr>
            <w:tcW w:w="993" w:type="dxa"/>
            <w:tcBorders>
              <w:top w:val="nil"/>
              <w:left w:val="nil"/>
              <w:bottom w:val="nil"/>
              <w:right w:val="nil"/>
            </w:tcBorders>
            <w:shd w:val="clear" w:color="auto" w:fill="FFFFFF"/>
            <w:vAlign w:val="center"/>
            <w:hideMark/>
          </w:tcPr>
          <w:p w14:paraId="1DA096A4" w14:textId="77777777" w:rsidR="00117295" w:rsidRDefault="00117295">
            <w:pPr>
              <w:pStyle w:val="CETBodytext"/>
              <w:jc w:val="center"/>
              <w:rPr>
                <w:rFonts w:cs="Arial"/>
                <w:szCs w:val="18"/>
                <w:lang w:val="en-GB"/>
              </w:rPr>
            </w:pPr>
            <w:r>
              <w:rPr>
                <w:rFonts w:cs="Arial"/>
                <w:color w:val="000000"/>
                <w:szCs w:val="18"/>
              </w:rPr>
              <w:t>S4</w:t>
            </w:r>
          </w:p>
        </w:tc>
        <w:tc>
          <w:tcPr>
            <w:tcW w:w="960" w:type="dxa"/>
            <w:tcBorders>
              <w:top w:val="nil"/>
              <w:left w:val="nil"/>
              <w:bottom w:val="nil"/>
              <w:right w:val="nil"/>
            </w:tcBorders>
            <w:shd w:val="clear" w:color="auto" w:fill="FFFFFF"/>
            <w:vAlign w:val="bottom"/>
            <w:hideMark/>
          </w:tcPr>
          <w:p w14:paraId="34BFD3E4" w14:textId="77777777" w:rsidR="00117295" w:rsidRDefault="00117295">
            <w:pPr>
              <w:pStyle w:val="CETBodytext"/>
              <w:jc w:val="center"/>
              <w:rPr>
                <w:rFonts w:cs="Arial"/>
                <w:color w:val="000000"/>
                <w:szCs w:val="18"/>
              </w:rPr>
            </w:pPr>
            <w:r>
              <w:rPr>
                <w:rFonts w:cs="Arial"/>
                <w:color w:val="000000"/>
                <w:szCs w:val="18"/>
              </w:rPr>
              <w:t>-0.72</w:t>
            </w:r>
          </w:p>
        </w:tc>
        <w:tc>
          <w:tcPr>
            <w:tcW w:w="960" w:type="dxa"/>
            <w:tcBorders>
              <w:top w:val="nil"/>
              <w:left w:val="nil"/>
              <w:bottom w:val="nil"/>
              <w:right w:val="nil"/>
            </w:tcBorders>
            <w:shd w:val="clear" w:color="auto" w:fill="FFFFFF"/>
            <w:vAlign w:val="bottom"/>
            <w:hideMark/>
          </w:tcPr>
          <w:p w14:paraId="3E30A227" w14:textId="77777777" w:rsidR="00117295" w:rsidRDefault="00117295">
            <w:pPr>
              <w:pStyle w:val="CETBodytext"/>
              <w:jc w:val="center"/>
              <w:rPr>
                <w:rFonts w:cs="Arial"/>
                <w:color w:val="000000"/>
                <w:szCs w:val="18"/>
              </w:rPr>
            </w:pPr>
            <w:r>
              <w:rPr>
                <w:rFonts w:cs="Arial"/>
                <w:color w:val="000000"/>
                <w:szCs w:val="18"/>
              </w:rPr>
              <w:t>0.00</w:t>
            </w:r>
          </w:p>
        </w:tc>
        <w:tc>
          <w:tcPr>
            <w:tcW w:w="961" w:type="dxa"/>
            <w:tcBorders>
              <w:top w:val="nil"/>
              <w:left w:val="nil"/>
              <w:bottom w:val="nil"/>
              <w:right w:val="nil"/>
            </w:tcBorders>
            <w:shd w:val="clear" w:color="auto" w:fill="FFFFFF"/>
            <w:vAlign w:val="bottom"/>
            <w:hideMark/>
          </w:tcPr>
          <w:p w14:paraId="6AC98137" w14:textId="77777777" w:rsidR="00117295" w:rsidRDefault="00117295">
            <w:pPr>
              <w:pStyle w:val="CETBodytext"/>
              <w:jc w:val="center"/>
              <w:rPr>
                <w:rFonts w:cs="Arial"/>
                <w:color w:val="000000"/>
                <w:szCs w:val="18"/>
              </w:rPr>
            </w:pPr>
            <w:r>
              <w:rPr>
                <w:rFonts w:cs="Arial"/>
                <w:color w:val="000000"/>
                <w:szCs w:val="18"/>
              </w:rPr>
              <w:t>0.00</w:t>
            </w:r>
          </w:p>
        </w:tc>
        <w:tc>
          <w:tcPr>
            <w:tcW w:w="961" w:type="dxa"/>
            <w:tcBorders>
              <w:top w:val="nil"/>
              <w:left w:val="nil"/>
              <w:bottom w:val="nil"/>
              <w:right w:val="nil"/>
            </w:tcBorders>
            <w:shd w:val="clear" w:color="auto" w:fill="FFFFFF"/>
            <w:vAlign w:val="bottom"/>
            <w:hideMark/>
          </w:tcPr>
          <w:p w14:paraId="4F6F0D05" w14:textId="77777777" w:rsidR="00117295" w:rsidRDefault="00117295">
            <w:pPr>
              <w:pStyle w:val="CETBodytext"/>
              <w:jc w:val="center"/>
              <w:rPr>
                <w:rFonts w:cs="Arial"/>
                <w:color w:val="000000"/>
                <w:szCs w:val="18"/>
              </w:rPr>
            </w:pPr>
            <w:r>
              <w:rPr>
                <w:rFonts w:cs="Arial"/>
                <w:color w:val="000000"/>
                <w:szCs w:val="18"/>
              </w:rPr>
              <w:t>0.00</w:t>
            </w:r>
          </w:p>
        </w:tc>
        <w:tc>
          <w:tcPr>
            <w:tcW w:w="961" w:type="dxa"/>
            <w:tcBorders>
              <w:top w:val="nil"/>
              <w:left w:val="nil"/>
              <w:bottom w:val="nil"/>
              <w:right w:val="nil"/>
            </w:tcBorders>
            <w:vAlign w:val="bottom"/>
            <w:hideMark/>
          </w:tcPr>
          <w:p w14:paraId="72536456" w14:textId="77777777" w:rsidR="00117295" w:rsidRDefault="00117295">
            <w:pPr>
              <w:pStyle w:val="CETBodytext"/>
              <w:jc w:val="center"/>
              <w:rPr>
                <w:rFonts w:cs="Arial"/>
                <w:color w:val="000000"/>
                <w:szCs w:val="18"/>
              </w:rPr>
            </w:pPr>
            <w:r>
              <w:rPr>
                <w:rFonts w:cs="Arial"/>
                <w:color w:val="000000"/>
                <w:szCs w:val="18"/>
              </w:rPr>
              <w:t>-0.72</w:t>
            </w:r>
          </w:p>
        </w:tc>
        <w:tc>
          <w:tcPr>
            <w:tcW w:w="961" w:type="dxa"/>
            <w:tcBorders>
              <w:top w:val="nil"/>
              <w:left w:val="nil"/>
              <w:bottom w:val="nil"/>
              <w:right w:val="nil"/>
            </w:tcBorders>
            <w:vAlign w:val="bottom"/>
            <w:hideMark/>
          </w:tcPr>
          <w:p w14:paraId="043D2A30" w14:textId="77777777" w:rsidR="00117295" w:rsidRDefault="00117295">
            <w:pPr>
              <w:pStyle w:val="CETBodytext"/>
              <w:jc w:val="center"/>
              <w:rPr>
                <w:rFonts w:cs="Arial"/>
                <w:color w:val="000000"/>
                <w:szCs w:val="18"/>
              </w:rPr>
            </w:pPr>
            <w:r>
              <w:rPr>
                <w:rFonts w:cs="Arial"/>
                <w:color w:val="000000"/>
                <w:szCs w:val="18"/>
              </w:rPr>
              <w:t>-0.88</w:t>
            </w:r>
          </w:p>
        </w:tc>
        <w:tc>
          <w:tcPr>
            <w:tcW w:w="961" w:type="dxa"/>
            <w:tcBorders>
              <w:top w:val="nil"/>
              <w:left w:val="nil"/>
              <w:bottom w:val="nil"/>
              <w:right w:val="nil"/>
            </w:tcBorders>
            <w:vAlign w:val="bottom"/>
            <w:hideMark/>
          </w:tcPr>
          <w:p w14:paraId="39881921" w14:textId="77777777" w:rsidR="00117295" w:rsidRDefault="00117295">
            <w:pPr>
              <w:pStyle w:val="CETBodytext"/>
              <w:jc w:val="center"/>
              <w:rPr>
                <w:rFonts w:cs="Arial"/>
                <w:color w:val="000000"/>
                <w:szCs w:val="18"/>
              </w:rPr>
            </w:pPr>
            <w:r>
              <w:rPr>
                <w:rFonts w:cs="Arial"/>
                <w:color w:val="000000"/>
                <w:szCs w:val="18"/>
              </w:rPr>
              <w:t>-0.47</w:t>
            </w:r>
          </w:p>
        </w:tc>
        <w:tc>
          <w:tcPr>
            <w:tcW w:w="961" w:type="dxa"/>
            <w:tcBorders>
              <w:top w:val="nil"/>
              <w:left w:val="nil"/>
              <w:bottom w:val="nil"/>
              <w:right w:val="nil"/>
            </w:tcBorders>
            <w:vAlign w:val="bottom"/>
            <w:hideMark/>
          </w:tcPr>
          <w:p w14:paraId="3538C87A" w14:textId="77777777" w:rsidR="00117295" w:rsidRDefault="00117295">
            <w:pPr>
              <w:pStyle w:val="CETBodytext"/>
              <w:jc w:val="center"/>
              <w:rPr>
                <w:rFonts w:cs="Arial"/>
                <w:color w:val="000000"/>
                <w:szCs w:val="18"/>
              </w:rPr>
            </w:pPr>
            <w:r>
              <w:rPr>
                <w:rFonts w:cs="Arial"/>
                <w:color w:val="000000"/>
                <w:szCs w:val="18"/>
              </w:rPr>
              <w:t>-0.47</w:t>
            </w:r>
          </w:p>
        </w:tc>
      </w:tr>
      <w:tr w:rsidR="00117295" w14:paraId="596AB271" w14:textId="77777777" w:rsidTr="00117295">
        <w:trPr>
          <w:trHeight w:val="218"/>
        </w:trPr>
        <w:tc>
          <w:tcPr>
            <w:tcW w:w="993" w:type="dxa"/>
            <w:tcBorders>
              <w:top w:val="nil"/>
              <w:left w:val="nil"/>
              <w:bottom w:val="nil"/>
              <w:right w:val="nil"/>
            </w:tcBorders>
            <w:shd w:val="clear" w:color="auto" w:fill="FFFFFF"/>
            <w:vAlign w:val="center"/>
            <w:hideMark/>
          </w:tcPr>
          <w:p w14:paraId="004128DE" w14:textId="77777777" w:rsidR="00117295" w:rsidRDefault="00117295">
            <w:pPr>
              <w:pStyle w:val="CETBodytext"/>
              <w:jc w:val="center"/>
              <w:rPr>
                <w:rFonts w:cs="Arial"/>
                <w:szCs w:val="18"/>
                <w:lang w:val="en-GB"/>
              </w:rPr>
            </w:pPr>
            <w:r>
              <w:rPr>
                <w:rFonts w:cs="Arial"/>
                <w:color w:val="000000"/>
                <w:szCs w:val="18"/>
              </w:rPr>
              <w:t>S5</w:t>
            </w:r>
          </w:p>
        </w:tc>
        <w:tc>
          <w:tcPr>
            <w:tcW w:w="960" w:type="dxa"/>
            <w:tcBorders>
              <w:top w:val="nil"/>
              <w:left w:val="nil"/>
              <w:bottom w:val="nil"/>
              <w:right w:val="nil"/>
            </w:tcBorders>
            <w:shd w:val="clear" w:color="auto" w:fill="FFFFFF"/>
            <w:vAlign w:val="bottom"/>
            <w:hideMark/>
          </w:tcPr>
          <w:p w14:paraId="5EC96DD7" w14:textId="77777777" w:rsidR="00117295" w:rsidRDefault="00117295">
            <w:pPr>
              <w:pStyle w:val="CETBodytext"/>
              <w:jc w:val="center"/>
              <w:rPr>
                <w:rFonts w:cs="Arial"/>
                <w:color w:val="000000"/>
                <w:szCs w:val="18"/>
              </w:rPr>
            </w:pPr>
            <w:r>
              <w:rPr>
                <w:rFonts w:cs="Arial"/>
                <w:color w:val="000000"/>
                <w:szCs w:val="18"/>
              </w:rPr>
              <w:t>0.00</w:t>
            </w:r>
          </w:p>
        </w:tc>
        <w:tc>
          <w:tcPr>
            <w:tcW w:w="960" w:type="dxa"/>
            <w:tcBorders>
              <w:top w:val="nil"/>
              <w:left w:val="nil"/>
              <w:bottom w:val="nil"/>
              <w:right w:val="nil"/>
            </w:tcBorders>
            <w:shd w:val="clear" w:color="auto" w:fill="FFFFFF"/>
            <w:vAlign w:val="bottom"/>
            <w:hideMark/>
          </w:tcPr>
          <w:p w14:paraId="7087BCDA" w14:textId="77777777" w:rsidR="00117295" w:rsidRDefault="00117295">
            <w:pPr>
              <w:pStyle w:val="CETBodytext"/>
              <w:jc w:val="center"/>
              <w:rPr>
                <w:rFonts w:cs="Arial"/>
                <w:color w:val="000000"/>
                <w:szCs w:val="18"/>
              </w:rPr>
            </w:pPr>
            <w:r>
              <w:rPr>
                <w:rFonts w:cs="Arial"/>
                <w:color w:val="000000"/>
                <w:szCs w:val="18"/>
              </w:rPr>
              <w:t>0.00</w:t>
            </w:r>
          </w:p>
        </w:tc>
        <w:tc>
          <w:tcPr>
            <w:tcW w:w="961" w:type="dxa"/>
            <w:tcBorders>
              <w:top w:val="nil"/>
              <w:left w:val="nil"/>
              <w:bottom w:val="nil"/>
              <w:right w:val="nil"/>
            </w:tcBorders>
            <w:shd w:val="clear" w:color="auto" w:fill="FFFFFF"/>
            <w:vAlign w:val="bottom"/>
            <w:hideMark/>
          </w:tcPr>
          <w:p w14:paraId="2264E711" w14:textId="77777777" w:rsidR="00117295" w:rsidRDefault="00117295">
            <w:pPr>
              <w:pStyle w:val="CETBodytext"/>
              <w:jc w:val="center"/>
              <w:rPr>
                <w:rFonts w:cs="Arial"/>
                <w:color w:val="000000"/>
                <w:szCs w:val="18"/>
              </w:rPr>
            </w:pPr>
            <w:r>
              <w:rPr>
                <w:rFonts w:cs="Arial"/>
                <w:color w:val="000000"/>
                <w:szCs w:val="18"/>
              </w:rPr>
              <w:t>0.00</w:t>
            </w:r>
          </w:p>
        </w:tc>
        <w:tc>
          <w:tcPr>
            <w:tcW w:w="961" w:type="dxa"/>
            <w:tcBorders>
              <w:top w:val="nil"/>
              <w:left w:val="nil"/>
              <w:bottom w:val="nil"/>
              <w:right w:val="nil"/>
            </w:tcBorders>
            <w:shd w:val="clear" w:color="auto" w:fill="FFFFFF"/>
            <w:vAlign w:val="bottom"/>
            <w:hideMark/>
          </w:tcPr>
          <w:p w14:paraId="140131FF" w14:textId="77777777" w:rsidR="00117295" w:rsidRDefault="00117295">
            <w:pPr>
              <w:pStyle w:val="CETBodytext"/>
              <w:jc w:val="center"/>
              <w:rPr>
                <w:rFonts w:cs="Arial"/>
                <w:color w:val="000000"/>
                <w:szCs w:val="18"/>
              </w:rPr>
            </w:pPr>
            <w:r>
              <w:rPr>
                <w:rFonts w:cs="Arial"/>
                <w:color w:val="000000"/>
                <w:szCs w:val="18"/>
              </w:rPr>
              <w:t>0.00</w:t>
            </w:r>
          </w:p>
        </w:tc>
        <w:tc>
          <w:tcPr>
            <w:tcW w:w="961" w:type="dxa"/>
            <w:tcBorders>
              <w:top w:val="nil"/>
              <w:left w:val="nil"/>
              <w:bottom w:val="nil"/>
              <w:right w:val="nil"/>
            </w:tcBorders>
            <w:vAlign w:val="bottom"/>
            <w:hideMark/>
          </w:tcPr>
          <w:p w14:paraId="0CE7CDAB" w14:textId="77777777" w:rsidR="00117295" w:rsidRDefault="00117295">
            <w:pPr>
              <w:pStyle w:val="CETBodytext"/>
              <w:jc w:val="center"/>
              <w:rPr>
                <w:rFonts w:cs="Arial"/>
                <w:color w:val="000000"/>
                <w:szCs w:val="18"/>
              </w:rPr>
            </w:pPr>
            <w:r>
              <w:rPr>
                <w:rFonts w:cs="Arial"/>
                <w:color w:val="000000"/>
                <w:szCs w:val="18"/>
              </w:rPr>
              <w:t>0.00</w:t>
            </w:r>
          </w:p>
        </w:tc>
        <w:tc>
          <w:tcPr>
            <w:tcW w:w="961" w:type="dxa"/>
            <w:tcBorders>
              <w:top w:val="nil"/>
              <w:left w:val="nil"/>
              <w:bottom w:val="nil"/>
              <w:right w:val="nil"/>
            </w:tcBorders>
            <w:vAlign w:val="bottom"/>
            <w:hideMark/>
          </w:tcPr>
          <w:p w14:paraId="33C9DE48" w14:textId="77777777" w:rsidR="00117295" w:rsidRDefault="00117295">
            <w:pPr>
              <w:pStyle w:val="CETBodytext"/>
              <w:jc w:val="center"/>
              <w:rPr>
                <w:rFonts w:cs="Arial"/>
                <w:color w:val="000000"/>
                <w:szCs w:val="18"/>
              </w:rPr>
            </w:pPr>
            <w:r>
              <w:rPr>
                <w:rFonts w:cs="Arial"/>
                <w:color w:val="000000"/>
                <w:szCs w:val="18"/>
              </w:rPr>
              <w:t>0.00</w:t>
            </w:r>
          </w:p>
        </w:tc>
        <w:tc>
          <w:tcPr>
            <w:tcW w:w="961" w:type="dxa"/>
            <w:tcBorders>
              <w:top w:val="nil"/>
              <w:left w:val="nil"/>
              <w:bottom w:val="nil"/>
              <w:right w:val="nil"/>
            </w:tcBorders>
            <w:vAlign w:val="bottom"/>
            <w:hideMark/>
          </w:tcPr>
          <w:p w14:paraId="62613CBB" w14:textId="77777777" w:rsidR="00117295" w:rsidRDefault="00117295">
            <w:pPr>
              <w:pStyle w:val="CETBodytext"/>
              <w:jc w:val="center"/>
              <w:rPr>
                <w:rFonts w:cs="Arial"/>
                <w:color w:val="000000"/>
                <w:szCs w:val="18"/>
              </w:rPr>
            </w:pPr>
            <w:r>
              <w:rPr>
                <w:rFonts w:cs="Arial"/>
                <w:color w:val="000000"/>
                <w:szCs w:val="18"/>
              </w:rPr>
              <w:t>0.00</w:t>
            </w:r>
          </w:p>
        </w:tc>
        <w:tc>
          <w:tcPr>
            <w:tcW w:w="961" w:type="dxa"/>
            <w:tcBorders>
              <w:top w:val="nil"/>
              <w:left w:val="nil"/>
              <w:bottom w:val="nil"/>
              <w:right w:val="nil"/>
            </w:tcBorders>
            <w:vAlign w:val="bottom"/>
            <w:hideMark/>
          </w:tcPr>
          <w:p w14:paraId="4763C433" w14:textId="77777777" w:rsidR="00117295" w:rsidRDefault="00117295">
            <w:pPr>
              <w:pStyle w:val="CETBodytext"/>
              <w:jc w:val="center"/>
              <w:rPr>
                <w:rFonts w:cs="Arial"/>
                <w:color w:val="000000"/>
                <w:szCs w:val="18"/>
              </w:rPr>
            </w:pPr>
            <w:r>
              <w:rPr>
                <w:rFonts w:cs="Arial"/>
                <w:color w:val="000000"/>
                <w:szCs w:val="18"/>
              </w:rPr>
              <w:t>0.00</w:t>
            </w:r>
          </w:p>
        </w:tc>
      </w:tr>
      <w:tr w:rsidR="00117295" w14:paraId="27D8603F" w14:textId="77777777" w:rsidTr="00117295">
        <w:trPr>
          <w:trHeight w:val="218"/>
        </w:trPr>
        <w:tc>
          <w:tcPr>
            <w:tcW w:w="993" w:type="dxa"/>
            <w:tcBorders>
              <w:top w:val="nil"/>
              <w:left w:val="nil"/>
              <w:bottom w:val="nil"/>
              <w:right w:val="nil"/>
            </w:tcBorders>
            <w:shd w:val="clear" w:color="auto" w:fill="FFFFFF"/>
            <w:vAlign w:val="center"/>
            <w:hideMark/>
          </w:tcPr>
          <w:p w14:paraId="6D4C71B0" w14:textId="77777777" w:rsidR="00117295" w:rsidRDefault="00117295">
            <w:pPr>
              <w:pStyle w:val="CETBodytext"/>
              <w:jc w:val="center"/>
              <w:rPr>
                <w:rFonts w:cs="Arial"/>
                <w:szCs w:val="18"/>
                <w:lang w:val="en-GB"/>
              </w:rPr>
            </w:pPr>
            <w:r>
              <w:rPr>
                <w:rFonts w:cs="Arial"/>
                <w:color w:val="000000"/>
                <w:szCs w:val="18"/>
              </w:rPr>
              <w:t>EV1</w:t>
            </w:r>
          </w:p>
        </w:tc>
        <w:tc>
          <w:tcPr>
            <w:tcW w:w="960" w:type="dxa"/>
            <w:tcBorders>
              <w:top w:val="nil"/>
              <w:left w:val="nil"/>
              <w:bottom w:val="nil"/>
              <w:right w:val="nil"/>
            </w:tcBorders>
            <w:shd w:val="clear" w:color="auto" w:fill="FFFFFF"/>
            <w:vAlign w:val="bottom"/>
            <w:hideMark/>
          </w:tcPr>
          <w:p w14:paraId="28B26892" w14:textId="77777777" w:rsidR="00117295" w:rsidRDefault="00117295">
            <w:pPr>
              <w:pStyle w:val="CETBodytext"/>
              <w:jc w:val="center"/>
              <w:rPr>
                <w:rFonts w:cs="Arial"/>
                <w:color w:val="000000"/>
                <w:szCs w:val="18"/>
              </w:rPr>
            </w:pPr>
            <w:r>
              <w:rPr>
                <w:rFonts w:cs="Arial"/>
                <w:color w:val="000000"/>
                <w:szCs w:val="18"/>
              </w:rPr>
              <w:t>-0.72</w:t>
            </w:r>
          </w:p>
        </w:tc>
        <w:tc>
          <w:tcPr>
            <w:tcW w:w="960" w:type="dxa"/>
            <w:tcBorders>
              <w:top w:val="nil"/>
              <w:left w:val="nil"/>
              <w:bottom w:val="nil"/>
              <w:right w:val="nil"/>
            </w:tcBorders>
            <w:shd w:val="clear" w:color="auto" w:fill="FFFFFF"/>
            <w:vAlign w:val="bottom"/>
            <w:hideMark/>
          </w:tcPr>
          <w:p w14:paraId="5F6277C9" w14:textId="77777777" w:rsidR="00117295" w:rsidRDefault="00117295">
            <w:pPr>
              <w:pStyle w:val="CETBodytext"/>
              <w:jc w:val="center"/>
              <w:rPr>
                <w:rFonts w:cs="Arial"/>
                <w:color w:val="000000"/>
                <w:szCs w:val="18"/>
              </w:rPr>
            </w:pPr>
            <w:r>
              <w:rPr>
                <w:rFonts w:cs="Arial"/>
                <w:color w:val="000000"/>
                <w:szCs w:val="18"/>
              </w:rPr>
              <w:t>0.00</w:t>
            </w:r>
          </w:p>
        </w:tc>
        <w:tc>
          <w:tcPr>
            <w:tcW w:w="961" w:type="dxa"/>
            <w:tcBorders>
              <w:top w:val="nil"/>
              <w:left w:val="nil"/>
              <w:bottom w:val="nil"/>
              <w:right w:val="nil"/>
            </w:tcBorders>
            <w:shd w:val="clear" w:color="auto" w:fill="FFFFFF"/>
            <w:vAlign w:val="bottom"/>
            <w:hideMark/>
          </w:tcPr>
          <w:p w14:paraId="5F9A568C" w14:textId="77777777" w:rsidR="00117295" w:rsidRDefault="00117295">
            <w:pPr>
              <w:pStyle w:val="CETBodytext"/>
              <w:jc w:val="center"/>
              <w:rPr>
                <w:rFonts w:cs="Arial"/>
                <w:color w:val="000000"/>
                <w:szCs w:val="18"/>
              </w:rPr>
            </w:pPr>
            <w:r>
              <w:rPr>
                <w:rFonts w:cs="Arial"/>
                <w:color w:val="000000"/>
                <w:szCs w:val="18"/>
              </w:rPr>
              <w:t>0.00</w:t>
            </w:r>
          </w:p>
        </w:tc>
        <w:tc>
          <w:tcPr>
            <w:tcW w:w="961" w:type="dxa"/>
            <w:tcBorders>
              <w:top w:val="nil"/>
              <w:left w:val="nil"/>
              <w:bottom w:val="nil"/>
              <w:right w:val="nil"/>
            </w:tcBorders>
            <w:shd w:val="clear" w:color="auto" w:fill="FFFFFF"/>
            <w:vAlign w:val="bottom"/>
            <w:hideMark/>
          </w:tcPr>
          <w:p w14:paraId="3EF734B7" w14:textId="77777777" w:rsidR="00117295" w:rsidRDefault="00117295">
            <w:pPr>
              <w:pStyle w:val="CETBodytext"/>
              <w:jc w:val="center"/>
              <w:rPr>
                <w:rFonts w:cs="Arial"/>
                <w:color w:val="000000"/>
                <w:szCs w:val="18"/>
              </w:rPr>
            </w:pPr>
            <w:r>
              <w:rPr>
                <w:rFonts w:cs="Arial"/>
                <w:color w:val="000000"/>
                <w:szCs w:val="18"/>
              </w:rPr>
              <w:t>-0.72</w:t>
            </w:r>
          </w:p>
        </w:tc>
        <w:tc>
          <w:tcPr>
            <w:tcW w:w="961" w:type="dxa"/>
            <w:tcBorders>
              <w:top w:val="nil"/>
              <w:left w:val="nil"/>
              <w:bottom w:val="nil"/>
              <w:right w:val="nil"/>
            </w:tcBorders>
            <w:vAlign w:val="bottom"/>
            <w:hideMark/>
          </w:tcPr>
          <w:p w14:paraId="2CAE33FD" w14:textId="77777777" w:rsidR="00117295" w:rsidRDefault="00117295">
            <w:pPr>
              <w:pStyle w:val="CETBodytext"/>
              <w:jc w:val="center"/>
              <w:rPr>
                <w:rFonts w:cs="Arial"/>
                <w:color w:val="000000"/>
                <w:szCs w:val="18"/>
              </w:rPr>
            </w:pPr>
            <w:r>
              <w:rPr>
                <w:rFonts w:cs="Arial"/>
                <w:color w:val="000000"/>
                <w:szCs w:val="18"/>
              </w:rPr>
              <w:t>-0.72</w:t>
            </w:r>
          </w:p>
        </w:tc>
        <w:tc>
          <w:tcPr>
            <w:tcW w:w="961" w:type="dxa"/>
            <w:tcBorders>
              <w:top w:val="nil"/>
              <w:left w:val="nil"/>
              <w:bottom w:val="nil"/>
              <w:right w:val="nil"/>
            </w:tcBorders>
            <w:vAlign w:val="bottom"/>
            <w:hideMark/>
          </w:tcPr>
          <w:p w14:paraId="320D2CC7" w14:textId="77777777" w:rsidR="00117295" w:rsidRDefault="00117295">
            <w:pPr>
              <w:pStyle w:val="CETBodytext"/>
              <w:jc w:val="center"/>
              <w:rPr>
                <w:rFonts w:cs="Arial"/>
                <w:color w:val="000000"/>
                <w:szCs w:val="18"/>
              </w:rPr>
            </w:pPr>
            <w:r>
              <w:rPr>
                <w:rFonts w:cs="Arial"/>
                <w:color w:val="000000"/>
                <w:szCs w:val="18"/>
              </w:rPr>
              <w:t>-0.47</w:t>
            </w:r>
          </w:p>
        </w:tc>
        <w:tc>
          <w:tcPr>
            <w:tcW w:w="961" w:type="dxa"/>
            <w:tcBorders>
              <w:top w:val="nil"/>
              <w:left w:val="nil"/>
              <w:bottom w:val="nil"/>
              <w:right w:val="nil"/>
            </w:tcBorders>
            <w:vAlign w:val="bottom"/>
            <w:hideMark/>
          </w:tcPr>
          <w:p w14:paraId="3E7BAD27" w14:textId="77777777" w:rsidR="00117295" w:rsidRDefault="00117295">
            <w:pPr>
              <w:pStyle w:val="CETBodytext"/>
              <w:jc w:val="center"/>
              <w:rPr>
                <w:rFonts w:cs="Arial"/>
                <w:color w:val="000000"/>
                <w:szCs w:val="18"/>
              </w:rPr>
            </w:pPr>
            <w:r>
              <w:rPr>
                <w:rFonts w:cs="Arial"/>
                <w:color w:val="000000"/>
                <w:szCs w:val="18"/>
              </w:rPr>
              <w:t>0.00</w:t>
            </w:r>
          </w:p>
        </w:tc>
        <w:tc>
          <w:tcPr>
            <w:tcW w:w="961" w:type="dxa"/>
            <w:tcBorders>
              <w:top w:val="nil"/>
              <w:left w:val="nil"/>
              <w:bottom w:val="nil"/>
              <w:right w:val="nil"/>
            </w:tcBorders>
            <w:vAlign w:val="bottom"/>
            <w:hideMark/>
          </w:tcPr>
          <w:p w14:paraId="29AE895C" w14:textId="77777777" w:rsidR="00117295" w:rsidRDefault="00117295">
            <w:pPr>
              <w:pStyle w:val="CETBodytext"/>
              <w:jc w:val="center"/>
              <w:rPr>
                <w:rFonts w:cs="Arial"/>
                <w:color w:val="000000"/>
                <w:szCs w:val="18"/>
              </w:rPr>
            </w:pPr>
            <w:r>
              <w:rPr>
                <w:rFonts w:cs="Arial"/>
                <w:color w:val="000000"/>
                <w:szCs w:val="18"/>
              </w:rPr>
              <w:t>-0.47</w:t>
            </w:r>
          </w:p>
        </w:tc>
      </w:tr>
      <w:tr w:rsidR="00117295" w14:paraId="0D21EBF6" w14:textId="77777777" w:rsidTr="00117295">
        <w:trPr>
          <w:trHeight w:val="218"/>
        </w:trPr>
        <w:tc>
          <w:tcPr>
            <w:tcW w:w="993" w:type="dxa"/>
            <w:tcBorders>
              <w:top w:val="nil"/>
              <w:left w:val="nil"/>
              <w:bottom w:val="nil"/>
              <w:right w:val="nil"/>
            </w:tcBorders>
            <w:shd w:val="clear" w:color="auto" w:fill="FFFFFF"/>
            <w:vAlign w:val="center"/>
            <w:hideMark/>
          </w:tcPr>
          <w:p w14:paraId="32F111DA" w14:textId="77777777" w:rsidR="00117295" w:rsidRDefault="00117295">
            <w:pPr>
              <w:pStyle w:val="CETBodytext"/>
              <w:jc w:val="center"/>
              <w:rPr>
                <w:rFonts w:cs="Arial"/>
                <w:szCs w:val="18"/>
                <w:lang w:val="en-GB"/>
              </w:rPr>
            </w:pPr>
            <w:r>
              <w:rPr>
                <w:rFonts w:cs="Arial"/>
                <w:color w:val="000000"/>
                <w:szCs w:val="18"/>
              </w:rPr>
              <w:t>EV2</w:t>
            </w:r>
          </w:p>
        </w:tc>
        <w:tc>
          <w:tcPr>
            <w:tcW w:w="960" w:type="dxa"/>
            <w:tcBorders>
              <w:top w:val="nil"/>
              <w:left w:val="nil"/>
              <w:bottom w:val="nil"/>
              <w:right w:val="nil"/>
            </w:tcBorders>
            <w:shd w:val="clear" w:color="auto" w:fill="FFFFFF"/>
            <w:vAlign w:val="bottom"/>
            <w:hideMark/>
          </w:tcPr>
          <w:p w14:paraId="65469E2D" w14:textId="77777777" w:rsidR="00117295" w:rsidRDefault="00117295">
            <w:pPr>
              <w:pStyle w:val="CETBodytext"/>
              <w:jc w:val="center"/>
              <w:rPr>
                <w:rFonts w:cs="Arial"/>
                <w:color w:val="000000"/>
                <w:szCs w:val="18"/>
              </w:rPr>
            </w:pPr>
            <w:r>
              <w:rPr>
                <w:rFonts w:cs="Arial"/>
                <w:color w:val="000000"/>
                <w:szCs w:val="18"/>
              </w:rPr>
              <w:t>0.00</w:t>
            </w:r>
          </w:p>
        </w:tc>
        <w:tc>
          <w:tcPr>
            <w:tcW w:w="960" w:type="dxa"/>
            <w:tcBorders>
              <w:top w:val="nil"/>
              <w:left w:val="nil"/>
              <w:bottom w:val="nil"/>
              <w:right w:val="nil"/>
            </w:tcBorders>
            <w:shd w:val="clear" w:color="auto" w:fill="FFFFFF"/>
            <w:vAlign w:val="bottom"/>
            <w:hideMark/>
          </w:tcPr>
          <w:p w14:paraId="612F1736" w14:textId="77777777" w:rsidR="00117295" w:rsidRDefault="00117295">
            <w:pPr>
              <w:pStyle w:val="CETBodytext"/>
              <w:jc w:val="center"/>
              <w:rPr>
                <w:rFonts w:cs="Arial"/>
                <w:color w:val="000000"/>
                <w:szCs w:val="18"/>
              </w:rPr>
            </w:pPr>
            <w:r>
              <w:rPr>
                <w:rFonts w:cs="Arial"/>
                <w:color w:val="000000"/>
                <w:szCs w:val="18"/>
              </w:rPr>
              <w:t>0.00</w:t>
            </w:r>
          </w:p>
        </w:tc>
        <w:tc>
          <w:tcPr>
            <w:tcW w:w="961" w:type="dxa"/>
            <w:tcBorders>
              <w:top w:val="nil"/>
              <w:left w:val="nil"/>
              <w:bottom w:val="nil"/>
              <w:right w:val="nil"/>
            </w:tcBorders>
            <w:shd w:val="clear" w:color="auto" w:fill="FFFFFF"/>
            <w:vAlign w:val="bottom"/>
            <w:hideMark/>
          </w:tcPr>
          <w:p w14:paraId="669A5DEA" w14:textId="77777777" w:rsidR="00117295" w:rsidRDefault="00117295">
            <w:pPr>
              <w:pStyle w:val="CETBodytext"/>
              <w:jc w:val="center"/>
              <w:rPr>
                <w:rFonts w:cs="Arial"/>
                <w:color w:val="000000"/>
                <w:szCs w:val="18"/>
              </w:rPr>
            </w:pPr>
            <w:r>
              <w:rPr>
                <w:rFonts w:cs="Arial"/>
                <w:color w:val="000000"/>
                <w:szCs w:val="18"/>
              </w:rPr>
              <w:t>0.00</w:t>
            </w:r>
          </w:p>
        </w:tc>
        <w:tc>
          <w:tcPr>
            <w:tcW w:w="961" w:type="dxa"/>
            <w:tcBorders>
              <w:top w:val="nil"/>
              <w:left w:val="nil"/>
              <w:bottom w:val="nil"/>
              <w:right w:val="nil"/>
            </w:tcBorders>
            <w:shd w:val="clear" w:color="auto" w:fill="FFFFFF"/>
            <w:vAlign w:val="bottom"/>
            <w:hideMark/>
          </w:tcPr>
          <w:p w14:paraId="4B11B80B" w14:textId="77777777" w:rsidR="00117295" w:rsidRDefault="00117295">
            <w:pPr>
              <w:pStyle w:val="CETBodytext"/>
              <w:jc w:val="center"/>
              <w:rPr>
                <w:rFonts w:cs="Arial"/>
                <w:color w:val="000000"/>
                <w:szCs w:val="18"/>
              </w:rPr>
            </w:pPr>
            <w:r>
              <w:rPr>
                <w:rFonts w:cs="Arial"/>
                <w:color w:val="000000"/>
                <w:szCs w:val="18"/>
              </w:rPr>
              <w:t>0.00</w:t>
            </w:r>
          </w:p>
        </w:tc>
        <w:tc>
          <w:tcPr>
            <w:tcW w:w="961" w:type="dxa"/>
            <w:tcBorders>
              <w:top w:val="nil"/>
              <w:left w:val="nil"/>
              <w:bottom w:val="nil"/>
              <w:right w:val="nil"/>
            </w:tcBorders>
            <w:vAlign w:val="bottom"/>
            <w:hideMark/>
          </w:tcPr>
          <w:p w14:paraId="01CE5644" w14:textId="77777777" w:rsidR="00117295" w:rsidRDefault="00117295">
            <w:pPr>
              <w:pStyle w:val="CETBodytext"/>
              <w:jc w:val="center"/>
              <w:rPr>
                <w:rFonts w:cs="Arial"/>
                <w:color w:val="000000"/>
                <w:szCs w:val="18"/>
              </w:rPr>
            </w:pPr>
            <w:r>
              <w:rPr>
                <w:rFonts w:cs="Arial"/>
                <w:color w:val="000000"/>
                <w:szCs w:val="18"/>
              </w:rPr>
              <w:t>0.00</w:t>
            </w:r>
          </w:p>
        </w:tc>
        <w:tc>
          <w:tcPr>
            <w:tcW w:w="961" w:type="dxa"/>
            <w:tcBorders>
              <w:top w:val="nil"/>
              <w:left w:val="nil"/>
              <w:bottom w:val="nil"/>
              <w:right w:val="nil"/>
            </w:tcBorders>
            <w:vAlign w:val="bottom"/>
            <w:hideMark/>
          </w:tcPr>
          <w:p w14:paraId="63D02121" w14:textId="77777777" w:rsidR="00117295" w:rsidRDefault="00117295">
            <w:pPr>
              <w:pStyle w:val="CETBodytext"/>
              <w:jc w:val="center"/>
              <w:rPr>
                <w:rFonts w:cs="Arial"/>
                <w:color w:val="000000"/>
                <w:szCs w:val="18"/>
              </w:rPr>
            </w:pPr>
            <w:r>
              <w:rPr>
                <w:rFonts w:cs="Arial"/>
                <w:color w:val="000000"/>
                <w:szCs w:val="18"/>
              </w:rPr>
              <w:t>-0.72</w:t>
            </w:r>
          </w:p>
        </w:tc>
        <w:tc>
          <w:tcPr>
            <w:tcW w:w="961" w:type="dxa"/>
            <w:tcBorders>
              <w:top w:val="nil"/>
              <w:left w:val="nil"/>
              <w:bottom w:val="nil"/>
              <w:right w:val="nil"/>
            </w:tcBorders>
            <w:vAlign w:val="bottom"/>
            <w:hideMark/>
          </w:tcPr>
          <w:p w14:paraId="4293D232" w14:textId="77777777" w:rsidR="00117295" w:rsidRDefault="00117295">
            <w:pPr>
              <w:pStyle w:val="CETBodytext"/>
              <w:jc w:val="center"/>
              <w:rPr>
                <w:rFonts w:cs="Arial"/>
                <w:color w:val="000000"/>
                <w:szCs w:val="18"/>
              </w:rPr>
            </w:pPr>
            <w:r>
              <w:rPr>
                <w:rFonts w:cs="Arial"/>
                <w:color w:val="000000"/>
                <w:szCs w:val="18"/>
              </w:rPr>
              <w:t>-0.47</w:t>
            </w:r>
          </w:p>
        </w:tc>
        <w:tc>
          <w:tcPr>
            <w:tcW w:w="961" w:type="dxa"/>
            <w:tcBorders>
              <w:top w:val="nil"/>
              <w:left w:val="nil"/>
              <w:bottom w:val="nil"/>
              <w:right w:val="nil"/>
            </w:tcBorders>
            <w:vAlign w:val="bottom"/>
            <w:hideMark/>
          </w:tcPr>
          <w:p w14:paraId="3BF3A586" w14:textId="77777777" w:rsidR="00117295" w:rsidRDefault="00117295">
            <w:pPr>
              <w:pStyle w:val="CETBodytext"/>
              <w:jc w:val="center"/>
              <w:rPr>
                <w:rFonts w:cs="Arial"/>
                <w:color w:val="000000"/>
                <w:szCs w:val="18"/>
              </w:rPr>
            </w:pPr>
            <w:r>
              <w:rPr>
                <w:rFonts w:cs="Arial"/>
                <w:color w:val="000000"/>
                <w:szCs w:val="18"/>
              </w:rPr>
              <w:t>-0.47</w:t>
            </w:r>
          </w:p>
        </w:tc>
      </w:tr>
      <w:tr w:rsidR="00117295" w14:paraId="1BF6EE69" w14:textId="77777777" w:rsidTr="00117295">
        <w:trPr>
          <w:trHeight w:val="218"/>
        </w:trPr>
        <w:tc>
          <w:tcPr>
            <w:tcW w:w="993" w:type="dxa"/>
            <w:tcBorders>
              <w:top w:val="nil"/>
              <w:left w:val="nil"/>
              <w:bottom w:val="nil"/>
              <w:right w:val="nil"/>
            </w:tcBorders>
            <w:shd w:val="clear" w:color="auto" w:fill="FFFFFF"/>
            <w:vAlign w:val="center"/>
            <w:hideMark/>
          </w:tcPr>
          <w:p w14:paraId="6965ED85" w14:textId="77777777" w:rsidR="00117295" w:rsidRDefault="00117295">
            <w:pPr>
              <w:pStyle w:val="CETBodytext"/>
              <w:jc w:val="center"/>
              <w:rPr>
                <w:rFonts w:cs="Arial"/>
                <w:szCs w:val="18"/>
                <w:lang w:val="en-GB"/>
              </w:rPr>
            </w:pPr>
            <w:r>
              <w:rPr>
                <w:rFonts w:cs="Arial"/>
                <w:color w:val="000000"/>
                <w:szCs w:val="18"/>
              </w:rPr>
              <w:t>EV3-4</w:t>
            </w:r>
          </w:p>
        </w:tc>
        <w:tc>
          <w:tcPr>
            <w:tcW w:w="960" w:type="dxa"/>
            <w:tcBorders>
              <w:top w:val="nil"/>
              <w:left w:val="nil"/>
              <w:bottom w:val="nil"/>
              <w:right w:val="nil"/>
            </w:tcBorders>
            <w:shd w:val="clear" w:color="auto" w:fill="FFFFFF"/>
            <w:vAlign w:val="bottom"/>
            <w:hideMark/>
          </w:tcPr>
          <w:p w14:paraId="0655E727" w14:textId="77777777" w:rsidR="00117295" w:rsidRDefault="00117295">
            <w:pPr>
              <w:pStyle w:val="CETBodytext"/>
              <w:jc w:val="center"/>
              <w:rPr>
                <w:rFonts w:cs="Arial"/>
                <w:color w:val="000000"/>
                <w:szCs w:val="18"/>
              </w:rPr>
            </w:pPr>
            <w:r>
              <w:rPr>
                <w:rFonts w:cs="Arial"/>
                <w:color w:val="000000"/>
                <w:szCs w:val="18"/>
              </w:rPr>
              <w:t>0.00</w:t>
            </w:r>
          </w:p>
        </w:tc>
        <w:tc>
          <w:tcPr>
            <w:tcW w:w="960" w:type="dxa"/>
            <w:tcBorders>
              <w:top w:val="nil"/>
              <w:left w:val="nil"/>
              <w:bottom w:val="nil"/>
              <w:right w:val="nil"/>
            </w:tcBorders>
            <w:shd w:val="clear" w:color="auto" w:fill="FFFFFF"/>
            <w:vAlign w:val="bottom"/>
            <w:hideMark/>
          </w:tcPr>
          <w:p w14:paraId="289182DC" w14:textId="77777777" w:rsidR="00117295" w:rsidRDefault="00117295">
            <w:pPr>
              <w:pStyle w:val="CETBodytext"/>
              <w:jc w:val="center"/>
              <w:rPr>
                <w:rFonts w:cs="Arial"/>
                <w:color w:val="000000"/>
                <w:szCs w:val="18"/>
              </w:rPr>
            </w:pPr>
            <w:r>
              <w:rPr>
                <w:rFonts w:cs="Arial"/>
                <w:color w:val="000000"/>
                <w:szCs w:val="18"/>
              </w:rPr>
              <w:t>0.00</w:t>
            </w:r>
          </w:p>
        </w:tc>
        <w:tc>
          <w:tcPr>
            <w:tcW w:w="961" w:type="dxa"/>
            <w:tcBorders>
              <w:top w:val="nil"/>
              <w:left w:val="nil"/>
              <w:bottom w:val="nil"/>
              <w:right w:val="nil"/>
            </w:tcBorders>
            <w:shd w:val="clear" w:color="auto" w:fill="FFFFFF"/>
            <w:vAlign w:val="bottom"/>
            <w:hideMark/>
          </w:tcPr>
          <w:p w14:paraId="7155F488" w14:textId="77777777" w:rsidR="00117295" w:rsidRDefault="00117295">
            <w:pPr>
              <w:pStyle w:val="CETBodytext"/>
              <w:jc w:val="center"/>
              <w:rPr>
                <w:rFonts w:cs="Arial"/>
                <w:color w:val="000000"/>
                <w:szCs w:val="18"/>
              </w:rPr>
            </w:pPr>
            <w:r>
              <w:rPr>
                <w:rFonts w:cs="Arial"/>
                <w:color w:val="000000"/>
                <w:szCs w:val="18"/>
              </w:rPr>
              <w:t>0.00</w:t>
            </w:r>
          </w:p>
        </w:tc>
        <w:tc>
          <w:tcPr>
            <w:tcW w:w="961" w:type="dxa"/>
            <w:tcBorders>
              <w:top w:val="nil"/>
              <w:left w:val="nil"/>
              <w:bottom w:val="nil"/>
              <w:right w:val="nil"/>
            </w:tcBorders>
            <w:shd w:val="clear" w:color="auto" w:fill="FFFFFF"/>
            <w:vAlign w:val="bottom"/>
            <w:hideMark/>
          </w:tcPr>
          <w:p w14:paraId="0992F19B" w14:textId="77777777" w:rsidR="00117295" w:rsidRDefault="00117295">
            <w:pPr>
              <w:pStyle w:val="CETBodytext"/>
              <w:jc w:val="center"/>
              <w:rPr>
                <w:rFonts w:cs="Arial"/>
                <w:color w:val="000000"/>
                <w:szCs w:val="18"/>
              </w:rPr>
            </w:pPr>
            <w:r>
              <w:rPr>
                <w:rFonts w:cs="Arial"/>
                <w:color w:val="000000"/>
                <w:szCs w:val="18"/>
              </w:rPr>
              <w:t>0.00</w:t>
            </w:r>
          </w:p>
        </w:tc>
        <w:tc>
          <w:tcPr>
            <w:tcW w:w="961" w:type="dxa"/>
            <w:tcBorders>
              <w:top w:val="nil"/>
              <w:left w:val="nil"/>
              <w:bottom w:val="nil"/>
              <w:right w:val="nil"/>
            </w:tcBorders>
            <w:vAlign w:val="bottom"/>
            <w:hideMark/>
          </w:tcPr>
          <w:p w14:paraId="654B85DF" w14:textId="77777777" w:rsidR="00117295" w:rsidRDefault="00117295">
            <w:pPr>
              <w:pStyle w:val="CETBodytext"/>
              <w:jc w:val="center"/>
              <w:rPr>
                <w:rFonts w:cs="Arial"/>
                <w:color w:val="000000"/>
                <w:szCs w:val="18"/>
              </w:rPr>
            </w:pPr>
            <w:r>
              <w:rPr>
                <w:rFonts w:cs="Arial"/>
                <w:color w:val="000000"/>
                <w:szCs w:val="18"/>
              </w:rPr>
              <w:t>0.00</w:t>
            </w:r>
          </w:p>
        </w:tc>
        <w:tc>
          <w:tcPr>
            <w:tcW w:w="961" w:type="dxa"/>
            <w:tcBorders>
              <w:top w:val="nil"/>
              <w:left w:val="nil"/>
              <w:bottom w:val="nil"/>
              <w:right w:val="nil"/>
            </w:tcBorders>
            <w:vAlign w:val="bottom"/>
            <w:hideMark/>
          </w:tcPr>
          <w:p w14:paraId="1D5BAF8E" w14:textId="77777777" w:rsidR="00117295" w:rsidRDefault="00117295">
            <w:pPr>
              <w:pStyle w:val="CETBodytext"/>
              <w:jc w:val="center"/>
              <w:rPr>
                <w:rFonts w:cs="Arial"/>
                <w:color w:val="000000"/>
                <w:szCs w:val="18"/>
              </w:rPr>
            </w:pPr>
            <w:r>
              <w:rPr>
                <w:rFonts w:cs="Arial"/>
                <w:color w:val="000000"/>
                <w:szCs w:val="18"/>
              </w:rPr>
              <w:t>0.00</w:t>
            </w:r>
          </w:p>
        </w:tc>
        <w:tc>
          <w:tcPr>
            <w:tcW w:w="961" w:type="dxa"/>
            <w:tcBorders>
              <w:top w:val="nil"/>
              <w:left w:val="nil"/>
              <w:bottom w:val="nil"/>
              <w:right w:val="nil"/>
            </w:tcBorders>
            <w:vAlign w:val="bottom"/>
            <w:hideMark/>
          </w:tcPr>
          <w:p w14:paraId="616A9182" w14:textId="77777777" w:rsidR="00117295" w:rsidRDefault="00117295">
            <w:pPr>
              <w:pStyle w:val="CETBodytext"/>
              <w:jc w:val="center"/>
              <w:rPr>
                <w:rFonts w:cs="Arial"/>
                <w:color w:val="000000"/>
                <w:szCs w:val="18"/>
              </w:rPr>
            </w:pPr>
            <w:r>
              <w:rPr>
                <w:rFonts w:cs="Arial"/>
                <w:color w:val="000000"/>
                <w:szCs w:val="18"/>
              </w:rPr>
              <w:t>0.00</w:t>
            </w:r>
          </w:p>
        </w:tc>
        <w:tc>
          <w:tcPr>
            <w:tcW w:w="961" w:type="dxa"/>
            <w:tcBorders>
              <w:top w:val="nil"/>
              <w:left w:val="nil"/>
              <w:bottom w:val="nil"/>
              <w:right w:val="nil"/>
            </w:tcBorders>
            <w:vAlign w:val="bottom"/>
            <w:hideMark/>
          </w:tcPr>
          <w:p w14:paraId="505D0789" w14:textId="77777777" w:rsidR="00117295" w:rsidRDefault="00117295">
            <w:pPr>
              <w:pStyle w:val="CETBodytext"/>
              <w:jc w:val="center"/>
              <w:rPr>
                <w:rFonts w:cs="Arial"/>
                <w:color w:val="000000"/>
                <w:szCs w:val="18"/>
              </w:rPr>
            </w:pPr>
            <w:r>
              <w:rPr>
                <w:rFonts w:cs="Arial"/>
                <w:color w:val="000000"/>
                <w:szCs w:val="18"/>
              </w:rPr>
              <w:t>0.00</w:t>
            </w:r>
          </w:p>
        </w:tc>
      </w:tr>
      <w:tr w:rsidR="00117295" w14:paraId="51ABC672" w14:textId="77777777" w:rsidTr="00117295">
        <w:trPr>
          <w:trHeight w:val="218"/>
        </w:trPr>
        <w:tc>
          <w:tcPr>
            <w:tcW w:w="993" w:type="dxa"/>
            <w:tcBorders>
              <w:top w:val="nil"/>
              <w:left w:val="nil"/>
              <w:bottom w:val="nil"/>
              <w:right w:val="nil"/>
            </w:tcBorders>
            <w:shd w:val="clear" w:color="auto" w:fill="FFFFFF"/>
            <w:vAlign w:val="center"/>
            <w:hideMark/>
          </w:tcPr>
          <w:p w14:paraId="6B24EB3D" w14:textId="77777777" w:rsidR="00117295" w:rsidRDefault="00117295">
            <w:pPr>
              <w:pStyle w:val="CETBodytext"/>
              <w:jc w:val="center"/>
              <w:rPr>
                <w:rFonts w:cs="Arial"/>
                <w:szCs w:val="18"/>
                <w:lang w:val="en-GB"/>
              </w:rPr>
            </w:pPr>
            <w:r>
              <w:rPr>
                <w:rFonts w:cs="Arial"/>
                <w:color w:val="000000"/>
                <w:szCs w:val="18"/>
              </w:rPr>
              <w:t>EV5</w:t>
            </w:r>
          </w:p>
        </w:tc>
        <w:tc>
          <w:tcPr>
            <w:tcW w:w="960" w:type="dxa"/>
            <w:tcBorders>
              <w:top w:val="nil"/>
              <w:left w:val="nil"/>
              <w:bottom w:val="nil"/>
              <w:right w:val="nil"/>
            </w:tcBorders>
            <w:shd w:val="clear" w:color="auto" w:fill="FFFFFF"/>
            <w:vAlign w:val="bottom"/>
            <w:hideMark/>
          </w:tcPr>
          <w:p w14:paraId="02616CBD" w14:textId="77777777" w:rsidR="00117295" w:rsidRDefault="00117295">
            <w:pPr>
              <w:pStyle w:val="CETBodytext"/>
              <w:jc w:val="center"/>
              <w:rPr>
                <w:rFonts w:cs="Arial"/>
                <w:color w:val="000000"/>
                <w:szCs w:val="18"/>
              </w:rPr>
            </w:pPr>
            <w:r>
              <w:rPr>
                <w:rFonts w:cs="Arial"/>
                <w:color w:val="000000"/>
                <w:szCs w:val="18"/>
              </w:rPr>
              <w:t>0.00</w:t>
            </w:r>
          </w:p>
        </w:tc>
        <w:tc>
          <w:tcPr>
            <w:tcW w:w="960" w:type="dxa"/>
            <w:tcBorders>
              <w:top w:val="nil"/>
              <w:left w:val="nil"/>
              <w:bottom w:val="nil"/>
              <w:right w:val="nil"/>
            </w:tcBorders>
            <w:shd w:val="clear" w:color="auto" w:fill="FFFFFF"/>
            <w:vAlign w:val="bottom"/>
            <w:hideMark/>
          </w:tcPr>
          <w:p w14:paraId="6E953F96" w14:textId="77777777" w:rsidR="00117295" w:rsidRDefault="00117295">
            <w:pPr>
              <w:pStyle w:val="CETBodytext"/>
              <w:jc w:val="center"/>
              <w:rPr>
                <w:rFonts w:cs="Arial"/>
                <w:color w:val="000000"/>
                <w:szCs w:val="18"/>
              </w:rPr>
            </w:pPr>
            <w:r>
              <w:rPr>
                <w:rFonts w:cs="Arial"/>
                <w:color w:val="000000"/>
                <w:szCs w:val="18"/>
              </w:rPr>
              <w:t>-0.72</w:t>
            </w:r>
          </w:p>
        </w:tc>
        <w:tc>
          <w:tcPr>
            <w:tcW w:w="961" w:type="dxa"/>
            <w:tcBorders>
              <w:top w:val="nil"/>
              <w:left w:val="nil"/>
              <w:bottom w:val="nil"/>
              <w:right w:val="nil"/>
            </w:tcBorders>
            <w:shd w:val="clear" w:color="auto" w:fill="FFFFFF"/>
            <w:vAlign w:val="bottom"/>
            <w:hideMark/>
          </w:tcPr>
          <w:p w14:paraId="6EB54EC9" w14:textId="77777777" w:rsidR="00117295" w:rsidRDefault="00117295">
            <w:pPr>
              <w:pStyle w:val="CETBodytext"/>
              <w:jc w:val="center"/>
              <w:rPr>
                <w:rFonts w:cs="Arial"/>
                <w:color w:val="000000"/>
                <w:szCs w:val="18"/>
              </w:rPr>
            </w:pPr>
            <w:r>
              <w:rPr>
                <w:rFonts w:cs="Arial"/>
                <w:color w:val="000000"/>
                <w:szCs w:val="18"/>
              </w:rPr>
              <w:t>-0.47</w:t>
            </w:r>
          </w:p>
        </w:tc>
        <w:tc>
          <w:tcPr>
            <w:tcW w:w="961" w:type="dxa"/>
            <w:tcBorders>
              <w:top w:val="nil"/>
              <w:left w:val="nil"/>
              <w:bottom w:val="nil"/>
              <w:right w:val="nil"/>
            </w:tcBorders>
            <w:shd w:val="clear" w:color="auto" w:fill="FFFFFF"/>
            <w:vAlign w:val="bottom"/>
            <w:hideMark/>
          </w:tcPr>
          <w:p w14:paraId="3C9C5826" w14:textId="77777777" w:rsidR="00117295" w:rsidRDefault="00117295">
            <w:pPr>
              <w:pStyle w:val="CETBodytext"/>
              <w:jc w:val="center"/>
              <w:rPr>
                <w:rFonts w:cs="Arial"/>
                <w:color w:val="000000"/>
                <w:szCs w:val="18"/>
              </w:rPr>
            </w:pPr>
            <w:r>
              <w:rPr>
                <w:rFonts w:cs="Arial"/>
                <w:color w:val="000000"/>
                <w:szCs w:val="18"/>
              </w:rPr>
              <w:t>0.00</w:t>
            </w:r>
          </w:p>
        </w:tc>
        <w:tc>
          <w:tcPr>
            <w:tcW w:w="961" w:type="dxa"/>
            <w:tcBorders>
              <w:top w:val="nil"/>
              <w:left w:val="nil"/>
              <w:bottom w:val="nil"/>
              <w:right w:val="nil"/>
            </w:tcBorders>
            <w:vAlign w:val="bottom"/>
            <w:hideMark/>
          </w:tcPr>
          <w:p w14:paraId="54EE8FA2" w14:textId="77777777" w:rsidR="00117295" w:rsidRDefault="00117295">
            <w:pPr>
              <w:pStyle w:val="CETBodytext"/>
              <w:jc w:val="center"/>
              <w:rPr>
                <w:rFonts w:cs="Arial"/>
                <w:color w:val="000000"/>
                <w:szCs w:val="18"/>
              </w:rPr>
            </w:pPr>
            <w:r>
              <w:rPr>
                <w:rFonts w:cs="Arial"/>
                <w:color w:val="000000"/>
                <w:szCs w:val="18"/>
              </w:rPr>
              <w:t>-0.47</w:t>
            </w:r>
          </w:p>
        </w:tc>
        <w:tc>
          <w:tcPr>
            <w:tcW w:w="961" w:type="dxa"/>
            <w:tcBorders>
              <w:top w:val="nil"/>
              <w:left w:val="nil"/>
              <w:bottom w:val="nil"/>
              <w:right w:val="nil"/>
            </w:tcBorders>
            <w:vAlign w:val="bottom"/>
            <w:hideMark/>
          </w:tcPr>
          <w:p w14:paraId="5F090DEB" w14:textId="77777777" w:rsidR="00117295" w:rsidRDefault="00117295">
            <w:pPr>
              <w:pStyle w:val="CETBodytext"/>
              <w:jc w:val="center"/>
              <w:rPr>
                <w:rFonts w:cs="Arial"/>
                <w:color w:val="000000"/>
                <w:szCs w:val="18"/>
              </w:rPr>
            </w:pPr>
            <w:r>
              <w:rPr>
                <w:rFonts w:cs="Arial"/>
                <w:color w:val="000000"/>
                <w:szCs w:val="18"/>
              </w:rPr>
              <w:t>-0.72</w:t>
            </w:r>
          </w:p>
        </w:tc>
        <w:tc>
          <w:tcPr>
            <w:tcW w:w="961" w:type="dxa"/>
            <w:tcBorders>
              <w:top w:val="nil"/>
              <w:left w:val="nil"/>
              <w:bottom w:val="nil"/>
              <w:right w:val="nil"/>
            </w:tcBorders>
            <w:vAlign w:val="bottom"/>
            <w:hideMark/>
          </w:tcPr>
          <w:p w14:paraId="7967E8ED" w14:textId="77777777" w:rsidR="00117295" w:rsidRDefault="00117295">
            <w:pPr>
              <w:pStyle w:val="CETBodytext"/>
              <w:jc w:val="center"/>
              <w:rPr>
                <w:rFonts w:cs="Arial"/>
                <w:color w:val="000000"/>
                <w:szCs w:val="18"/>
              </w:rPr>
            </w:pPr>
            <w:r>
              <w:rPr>
                <w:rFonts w:cs="Arial"/>
                <w:color w:val="000000"/>
                <w:szCs w:val="18"/>
              </w:rPr>
              <w:t>-0.47</w:t>
            </w:r>
          </w:p>
        </w:tc>
        <w:tc>
          <w:tcPr>
            <w:tcW w:w="961" w:type="dxa"/>
            <w:tcBorders>
              <w:top w:val="nil"/>
              <w:left w:val="nil"/>
              <w:bottom w:val="nil"/>
              <w:right w:val="nil"/>
            </w:tcBorders>
            <w:vAlign w:val="bottom"/>
            <w:hideMark/>
          </w:tcPr>
          <w:p w14:paraId="225FD644" w14:textId="77777777" w:rsidR="00117295" w:rsidRDefault="00117295">
            <w:pPr>
              <w:pStyle w:val="CETBodytext"/>
              <w:jc w:val="center"/>
              <w:rPr>
                <w:rFonts w:cs="Arial"/>
                <w:color w:val="000000"/>
                <w:szCs w:val="18"/>
              </w:rPr>
            </w:pPr>
            <w:r>
              <w:rPr>
                <w:rFonts w:cs="Arial"/>
                <w:color w:val="000000"/>
                <w:szCs w:val="18"/>
              </w:rPr>
              <w:t>0.00</w:t>
            </w:r>
          </w:p>
        </w:tc>
      </w:tr>
      <w:tr w:rsidR="00117295" w14:paraId="115EC0AE" w14:textId="77777777" w:rsidTr="00117295">
        <w:tc>
          <w:tcPr>
            <w:tcW w:w="993" w:type="dxa"/>
            <w:tcBorders>
              <w:top w:val="nil"/>
              <w:left w:val="nil"/>
              <w:bottom w:val="nil"/>
              <w:right w:val="nil"/>
            </w:tcBorders>
            <w:shd w:val="clear" w:color="auto" w:fill="FFFFFF"/>
            <w:vAlign w:val="center"/>
            <w:hideMark/>
          </w:tcPr>
          <w:p w14:paraId="45E8D1CA" w14:textId="77777777" w:rsidR="00117295" w:rsidRDefault="00117295">
            <w:pPr>
              <w:jc w:val="center"/>
              <w:rPr>
                <w:rFonts w:cs="Arial"/>
                <w:color w:val="000000"/>
                <w:szCs w:val="18"/>
              </w:rPr>
            </w:pPr>
            <w:r>
              <w:rPr>
                <w:rFonts w:cs="Arial"/>
                <w:color w:val="000000"/>
                <w:szCs w:val="18"/>
              </w:rPr>
              <w:t>EC1-2</w:t>
            </w:r>
          </w:p>
        </w:tc>
        <w:tc>
          <w:tcPr>
            <w:tcW w:w="960" w:type="dxa"/>
            <w:tcBorders>
              <w:top w:val="nil"/>
              <w:left w:val="nil"/>
              <w:bottom w:val="nil"/>
              <w:right w:val="nil"/>
            </w:tcBorders>
            <w:shd w:val="clear" w:color="auto" w:fill="FFFFFF"/>
            <w:vAlign w:val="bottom"/>
            <w:hideMark/>
          </w:tcPr>
          <w:p w14:paraId="0FC50C13" w14:textId="77777777" w:rsidR="00117295" w:rsidRDefault="00117295">
            <w:pPr>
              <w:pStyle w:val="CETBodytext"/>
              <w:jc w:val="center"/>
              <w:rPr>
                <w:rFonts w:cs="Arial"/>
                <w:color w:val="000000"/>
                <w:szCs w:val="18"/>
              </w:rPr>
            </w:pPr>
            <w:r>
              <w:rPr>
                <w:rFonts w:cs="Arial"/>
                <w:color w:val="000000"/>
                <w:szCs w:val="18"/>
              </w:rPr>
              <w:t>0.00</w:t>
            </w:r>
          </w:p>
        </w:tc>
        <w:tc>
          <w:tcPr>
            <w:tcW w:w="960" w:type="dxa"/>
            <w:tcBorders>
              <w:top w:val="nil"/>
              <w:left w:val="nil"/>
              <w:bottom w:val="nil"/>
              <w:right w:val="nil"/>
            </w:tcBorders>
            <w:shd w:val="clear" w:color="auto" w:fill="FFFFFF"/>
            <w:vAlign w:val="bottom"/>
            <w:hideMark/>
          </w:tcPr>
          <w:p w14:paraId="156CF8A4" w14:textId="77777777" w:rsidR="00117295" w:rsidRDefault="00117295">
            <w:pPr>
              <w:pStyle w:val="CETBodytext"/>
              <w:jc w:val="center"/>
              <w:rPr>
                <w:rFonts w:cs="Arial"/>
                <w:color w:val="000000"/>
                <w:szCs w:val="18"/>
              </w:rPr>
            </w:pPr>
            <w:r>
              <w:rPr>
                <w:rFonts w:cs="Arial"/>
                <w:color w:val="000000"/>
                <w:szCs w:val="18"/>
              </w:rPr>
              <w:t>0.00</w:t>
            </w:r>
          </w:p>
        </w:tc>
        <w:tc>
          <w:tcPr>
            <w:tcW w:w="961" w:type="dxa"/>
            <w:tcBorders>
              <w:top w:val="nil"/>
              <w:left w:val="nil"/>
              <w:bottom w:val="nil"/>
              <w:right w:val="nil"/>
            </w:tcBorders>
            <w:shd w:val="clear" w:color="auto" w:fill="FFFFFF"/>
            <w:vAlign w:val="bottom"/>
            <w:hideMark/>
          </w:tcPr>
          <w:p w14:paraId="108B66DA" w14:textId="77777777" w:rsidR="00117295" w:rsidRDefault="00117295">
            <w:pPr>
              <w:pStyle w:val="CETBodytext"/>
              <w:jc w:val="center"/>
              <w:rPr>
                <w:rFonts w:cs="Arial"/>
                <w:color w:val="000000"/>
                <w:szCs w:val="18"/>
              </w:rPr>
            </w:pPr>
            <w:r>
              <w:rPr>
                <w:rFonts w:cs="Arial"/>
                <w:color w:val="000000"/>
                <w:szCs w:val="18"/>
              </w:rPr>
              <w:t>0.00</w:t>
            </w:r>
          </w:p>
        </w:tc>
        <w:tc>
          <w:tcPr>
            <w:tcW w:w="961" w:type="dxa"/>
            <w:tcBorders>
              <w:top w:val="nil"/>
              <w:left w:val="nil"/>
              <w:bottom w:val="nil"/>
              <w:right w:val="nil"/>
            </w:tcBorders>
            <w:shd w:val="clear" w:color="auto" w:fill="FFFFFF"/>
            <w:vAlign w:val="bottom"/>
            <w:hideMark/>
          </w:tcPr>
          <w:p w14:paraId="4EF5604F" w14:textId="77777777" w:rsidR="00117295" w:rsidRDefault="00117295">
            <w:pPr>
              <w:pStyle w:val="CETBodytext"/>
              <w:jc w:val="center"/>
              <w:rPr>
                <w:rFonts w:cs="Arial"/>
                <w:color w:val="000000"/>
                <w:szCs w:val="18"/>
              </w:rPr>
            </w:pPr>
            <w:r>
              <w:rPr>
                <w:rFonts w:cs="Arial"/>
                <w:color w:val="000000"/>
                <w:szCs w:val="18"/>
              </w:rPr>
              <w:t>0.00</w:t>
            </w:r>
          </w:p>
        </w:tc>
        <w:tc>
          <w:tcPr>
            <w:tcW w:w="961" w:type="dxa"/>
            <w:tcBorders>
              <w:top w:val="nil"/>
              <w:left w:val="nil"/>
              <w:bottom w:val="nil"/>
              <w:right w:val="nil"/>
            </w:tcBorders>
            <w:vAlign w:val="bottom"/>
            <w:hideMark/>
          </w:tcPr>
          <w:p w14:paraId="367C897F" w14:textId="77777777" w:rsidR="00117295" w:rsidRDefault="00117295">
            <w:pPr>
              <w:pStyle w:val="CETBodytext"/>
              <w:jc w:val="center"/>
              <w:rPr>
                <w:rFonts w:cs="Arial"/>
                <w:color w:val="000000"/>
                <w:szCs w:val="18"/>
              </w:rPr>
            </w:pPr>
            <w:r>
              <w:rPr>
                <w:rFonts w:cs="Arial"/>
                <w:color w:val="000000"/>
                <w:szCs w:val="18"/>
              </w:rPr>
              <w:t>-0.72</w:t>
            </w:r>
          </w:p>
        </w:tc>
        <w:tc>
          <w:tcPr>
            <w:tcW w:w="961" w:type="dxa"/>
            <w:tcBorders>
              <w:top w:val="nil"/>
              <w:left w:val="nil"/>
              <w:bottom w:val="nil"/>
              <w:right w:val="nil"/>
            </w:tcBorders>
            <w:vAlign w:val="bottom"/>
            <w:hideMark/>
          </w:tcPr>
          <w:p w14:paraId="62B39BF6" w14:textId="77777777" w:rsidR="00117295" w:rsidRDefault="00117295">
            <w:pPr>
              <w:pStyle w:val="CETBodytext"/>
              <w:jc w:val="center"/>
              <w:rPr>
                <w:rFonts w:cs="Arial"/>
                <w:color w:val="000000"/>
                <w:szCs w:val="18"/>
              </w:rPr>
            </w:pPr>
            <w:r>
              <w:rPr>
                <w:rFonts w:cs="Arial"/>
                <w:color w:val="000000"/>
                <w:szCs w:val="18"/>
              </w:rPr>
              <w:t>-0.72</w:t>
            </w:r>
          </w:p>
        </w:tc>
        <w:tc>
          <w:tcPr>
            <w:tcW w:w="961" w:type="dxa"/>
            <w:tcBorders>
              <w:top w:val="nil"/>
              <w:left w:val="nil"/>
              <w:bottom w:val="nil"/>
              <w:right w:val="nil"/>
            </w:tcBorders>
            <w:vAlign w:val="bottom"/>
            <w:hideMark/>
          </w:tcPr>
          <w:p w14:paraId="1F730981" w14:textId="77777777" w:rsidR="00117295" w:rsidRDefault="00117295">
            <w:pPr>
              <w:pStyle w:val="CETBodytext"/>
              <w:jc w:val="center"/>
              <w:rPr>
                <w:rFonts w:cs="Arial"/>
                <w:color w:val="000000"/>
                <w:szCs w:val="18"/>
              </w:rPr>
            </w:pPr>
            <w:r>
              <w:rPr>
                <w:rFonts w:cs="Arial"/>
                <w:color w:val="000000"/>
                <w:szCs w:val="18"/>
              </w:rPr>
              <w:t>0.00</w:t>
            </w:r>
          </w:p>
        </w:tc>
        <w:tc>
          <w:tcPr>
            <w:tcW w:w="961" w:type="dxa"/>
            <w:tcBorders>
              <w:top w:val="nil"/>
              <w:left w:val="nil"/>
              <w:bottom w:val="nil"/>
              <w:right w:val="nil"/>
            </w:tcBorders>
            <w:vAlign w:val="bottom"/>
            <w:hideMark/>
          </w:tcPr>
          <w:p w14:paraId="1B406B3D" w14:textId="77777777" w:rsidR="00117295" w:rsidRDefault="00117295">
            <w:pPr>
              <w:pStyle w:val="CETBodytext"/>
              <w:jc w:val="center"/>
              <w:rPr>
                <w:rFonts w:cs="Arial"/>
                <w:color w:val="000000"/>
                <w:szCs w:val="18"/>
              </w:rPr>
            </w:pPr>
            <w:r>
              <w:rPr>
                <w:rFonts w:cs="Arial"/>
                <w:color w:val="000000"/>
                <w:szCs w:val="18"/>
              </w:rPr>
              <w:t>0.00</w:t>
            </w:r>
          </w:p>
        </w:tc>
      </w:tr>
      <w:tr w:rsidR="00117295" w14:paraId="29913071" w14:textId="77777777" w:rsidTr="00117295">
        <w:tc>
          <w:tcPr>
            <w:tcW w:w="993" w:type="dxa"/>
            <w:tcBorders>
              <w:top w:val="nil"/>
              <w:left w:val="nil"/>
              <w:bottom w:val="nil"/>
              <w:right w:val="nil"/>
            </w:tcBorders>
            <w:shd w:val="clear" w:color="auto" w:fill="FFFFFF"/>
            <w:vAlign w:val="center"/>
            <w:hideMark/>
          </w:tcPr>
          <w:p w14:paraId="7B128B8E" w14:textId="77777777" w:rsidR="00117295" w:rsidRDefault="00117295">
            <w:pPr>
              <w:jc w:val="center"/>
              <w:rPr>
                <w:rFonts w:cs="Arial"/>
                <w:color w:val="000000"/>
                <w:szCs w:val="18"/>
              </w:rPr>
            </w:pPr>
            <w:r>
              <w:rPr>
                <w:rFonts w:cs="Arial"/>
                <w:color w:val="000000"/>
                <w:szCs w:val="18"/>
              </w:rPr>
              <w:t>EC3</w:t>
            </w:r>
          </w:p>
        </w:tc>
        <w:tc>
          <w:tcPr>
            <w:tcW w:w="960" w:type="dxa"/>
            <w:tcBorders>
              <w:top w:val="nil"/>
              <w:left w:val="nil"/>
              <w:bottom w:val="nil"/>
              <w:right w:val="nil"/>
            </w:tcBorders>
            <w:shd w:val="clear" w:color="auto" w:fill="FFFFFF"/>
            <w:vAlign w:val="bottom"/>
            <w:hideMark/>
          </w:tcPr>
          <w:p w14:paraId="1180B735" w14:textId="77777777" w:rsidR="00117295" w:rsidRDefault="00117295">
            <w:pPr>
              <w:pStyle w:val="CETBodytext"/>
              <w:jc w:val="center"/>
              <w:rPr>
                <w:rFonts w:cs="Arial"/>
                <w:color w:val="000000"/>
                <w:szCs w:val="18"/>
              </w:rPr>
            </w:pPr>
            <w:r>
              <w:rPr>
                <w:rFonts w:cs="Arial"/>
                <w:color w:val="000000"/>
                <w:szCs w:val="18"/>
              </w:rPr>
              <w:t>-0.47</w:t>
            </w:r>
          </w:p>
        </w:tc>
        <w:tc>
          <w:tcPr>
            <w:tcW w:w="960" w:type="dxa"/>
            <w:tcBorders>
              <w:top w:val="nil"/>
              <w:left w:val="nil"/>
              <w:bottom w:val="nil"/>
              <w:right w:val="nil"/>
            </w:tcBorders>
            <w:shd w:val="clear" w:color="auto" w:fill="FFFFFF"/>
            <w:vAlign w:val="bottom"/>
            <w:hideMark/>
          </w:tcPr>
          <w:p w14:paraId="12012008" w14:textId="77777777" w:rsidR="00117295" w:rsidRDefault="00117295">
            <w:pPr>
              <w:pStyle w:val="CETBodytext"/>
              <w:jc w:val="center"/>
              <w:rPr>
                <w:rFonts w:cs="Arial"/>
                <w:color w:val="000000"/>
                <w:szCs w:val="18"/>
              </w:rPr>
            </w:pPr>
            <w:r>
              <w:rPr>
                <w:rFonts w:cs="Arial"/>
                <w:color w:val="000000"/>
                <w:szCs w:val="18"/>
              </w:rPr>
              <w:t>-0.47</w:t>
            </w:r>
          </w:p>
        </w:tc>
        <w:tc>
          <w:tcPr>
            <w:tcW w:w="961" w:type="dxa"/>
            <w:tcBorders>
              <w:top w:val="nil"/>
              <w:left w:val="nil"/>
              <w:bottom w:val="nil"/>
              <w:right w:val="nil"/>
            </w:tcBorders>
            <w:shd w:val="clear" w:color="auto" w:fill="FFFFFF"/>
            <w:vAlign w:val="bottom"/>
            <w:hideMark/>
          </w:tcPr>
          <w:p w14:paraId="50369A16" w14:textId="77777777" w:rsidR="00117295" w:rsidRDefault="00117295">
            <w:pPr>
              <w:pStyle w:val="CETBodytext"/>
              <w:jc w:val="center"/>
              <w:rPr>
                <w:rFonts w:cs="Arial"/>
                <w:color w:val="000000"/>
                <w:szCs w:val="18"/>
              </w:rPr>
            </w:pPr>
            <w:r>
              <w:rPr>
                <w:rFonts w:cs="Arial"/>
                <w:color w:val="000000"/>
                <w:szCs w:val="18"/>
              </w:rPr>
              <w:t>0.00</w:t>
            </w:r>
          </w:p>
        </w:tc>
        <w:tc>
          <w:tcPr>
            <w:tcW w:w="961" w:type="dxa"/>
            <w:tcBorders>
              <w:top w:val="nil"/>
              <w:left w:val="nil"/>
              <w:bottom w:val="nil"/>
              <w:right w:val="nil"/>
            </w:tcBorders>
            <w:shd w:val="clear" w:color="auto" w:fill="FFFFFF"/>
            <w:vAlign w:val="bottom"/>
            <w:hideMark/>
          </w:tcPr>
          <w:p w14:paraId="59C22D42" w14:textId="77777777" w:rsidR="00117295" w:rsidRDefault="00117295">
            <w:pPr>
              <w:pStyle w:val="CETBodytext"/>
              <w:jc w:val="center"/>
              <w:rPr>
                <w:rFonts w:cs="Arial"/>
                <w:color w:val="000000"/>
                <w:szCs w:val="18"/>
              </w:rPr>
            </w:pPr>
            <w:r>
              <w:rPr>
                <w:rFonts w:cs="Arial"/>
                <w:color w:val="000000"/>
                <w:szCs w:val="18"/>
              </w:rPr>
              <w:t>0.00</w:t>
            </w:r>
          </w:p>
        </w:tc>
        <w:tc>
          <w:tcPr>
            <w:tcW w:w="961" w:type="dxa"/>
            <w:tcBorders>
              <w:top w:val="nil"/>
              <w:left w:val="nil"/>
              <w:bottom w:val="nil"/>
              <w:right w:val="nil"/>
            </w:tcBorders>
            <w:vAlign w:val="bottom"/>
            <w:hideMark/>
          </w:tcPr>
          <w:p w14:paraId="094F3311" w14:textId="77777777" w:rsidR="00117295" w:rsidRDefault="00117295">
            <w:pPr>
              <w:pStyle w:val="CETBodytext"/>
              <w:jc w:val="center"/>
              <w:rPr>
                <w:rFonts w:cs="Arial"/>
                <w:color w:val="000000"/>
                <w:szCs w:val="18"/>
              </w:rPr>
            </w:pPr>
            <w:r>
              <w:rPr>
                <w:rFonts w:cs="Arial"/>
                <w:color w:val="000000"/>
                <w:szCs w:val="18"/>
              </w:rPr>
              <w:t>-0.47</w:t>
            </w:r>
          </w:p>
        </w:tc>
        <w:tc>
          <w:tcPr>
            <w:tcW w:w="961" w:type="dxa"/>
            <w:tcBorders>
              <w:top w:val="nil"/>
              <w:left w:val="nil"/>
              <w:bottom w:val="nil"/>
              <w:right w:val="nil"/>
            </w:tcBorders>
            <w:vAlign w:val="bottom"/>
            <w:hideMark/>
          </w:tcPr>
          <w:p w14:paraId="3E66D0D8" w14:textId="77777777" w:rsidR="00117295" w:rsidRDefault="00117295">
            <w:pPr>
              <w:pStyle w:val="CETBodytext"/>
              <w:jc w:val="center"/>
              <w:rPr>
                <w:rFonts w:cs="Arial"/>
                <w:color w:val="000000"/>
                <w:szCs w:val="18"/>
              </w:rPr>
            </w:pPr>
            <w:r>
              <w:rPr>
                <w:rFonts w:cs="Arial"/>
                <w:color w:val="000000"/>
                <w:szCs w:val="18"/>
              </w:rPr>
              <w:t>-0.47</w:t>
            </w:r>
          </w:p>
        </w:tc>
        <w:tc>
          <w:tcPr>
            <w:tcW w:w="961" w:type="dxa"/>
            <w:tcBorders>
              <w:top w:val="nil"/>
              <w:left w:val="nil"/>
              <w:bottom w:val="nil"/>
              <w:right w:val="nil"/>
            </w:tcBorders>
            <w:vAlign w:val="bottom"/>
            <w:hideMark/>
          </w:tcPr>
          <w:p w14:paraId="0966B4C1" w14:textId="77777777" w:rsidR="00117295" w:rsidRDefault="00117295">
            <w:pPr>
              <w:pStyle w:val="CETBodytext"/>
              <w:jc w:val="center"/>
              <w:rPr>
                <w:rFonts w:cs="Arial"/>
                <w:color w:val="000000"/>
                <w:szCs w:val="18"/>
              </w:rPr>
            </w:pPr>
            <w:r>
              <w:rPr>
                <w:rFonts w:cs="Arial"/>
                <w:color w:val="000000"/>
                <w:szCs w:val="18"/>
              </w:rPr>
              <w:t>0.00</w:t>
            </w:r>
          </w:p>
        </w:tc>
        <w:tc>
          <w:tcPr>
            <w:tcW w:w="961" w:type="dxa"/>
            <w:tcBorders>
              <w:top w:val="nil"/>
              <w:left w:val="nil"/>
              <w:bottom w:val="nil"/>
              <w:right w:val="nil"/>
            </w:tcBorders>
            <w:vAlign w:val="bottom"/>
            <w:hideMark/>
          </w:tcPr>
          <w:p w14:paraId="44311220" w14:textId="77777777" w:rsidR="00117295" w:rsidRDefault="00117295">
            <w:pPr>
              <w:pStyle w:val="CETBodytext"/>
              <w:jc w:val="center"/>
              <w:rPr>
                <w:rFonts w:cs="Arial"/>
                <w:color w:val="000000"/>
                <w:szCs w:val="18"/>
              </w:rPr>
            </w:pPr>
            <w:r>
              <w:rPr>
                <w:rFonts w:cs="Arial"/>
                <w:color w:val="000000"/>
                <w:szCs w:val="18"/>
              </w:rPr>
              <w:t>0.00</w:t>
            </w:r>
          </w:p>
        </w:tc>
      </w:tr>
      <w:tr w:rsidR="00117295" w14:paraId="39FC3FC9" w14:textId="77777777" w:rsidTr="00117295">
        <w:tc>
          <w:tcPr>
            <w:tcW w:w="993" w:type="dxa"/>
            <w:tcBorders>
              <w:top w:val="nil"/>
              <w:left w:val="nil"/>
              <w:bottom w:val="nil"/>
              <w:right w:val="nil"/>
            </w:tcBorders>
            <w:shd w:val="clear" w:color="auto" w:fill="FFFFFF"/>
            <w:vAlign w:val="center"/>
            <w:hideMark/>
          </w:tcPr>
          <w:p w14:paraId="41FC1839" w14:textId="77777777" w:rsidR="00117295" w:rsidRDefault="00117295">
            <w:pPr>
              <w:jc w:val="center"/>
              <w:rPr>
                <w:rFonts w:cs="Arial"/>
                <w:color w:val="000000"/>
                <w:szCs w:val="18"/>
              </w:rPr>
            </w:pPr>
            <w:r>
              <w:rPr>
                <w:rFonts w:cs="Arial"/>
                <w:color w:val="000000"/>
                <w:szCs w:val="18"/>
              </w:rPr>
              <w:t>EC4-5</w:t>
            </w:r>
          </w:p>
        </w:tc>
        <w:tc>
          <w:tcPr>
            <w:tcW w:w="960" w:type="dxa"/>
            <w:tcBorders>
              <w:top w:val="nil"/>
              <w:left w:val="nil"/>
              <w:bottom w:val="nil"/>
              <w:right w:val="nil"/>
            </w:tcBorders>
            <w:shd w:val="clear" w:color="auto" w:fill="FFFFFF"/>
            <w:vAlign w:val="bottom"/>
            <w:hideMark/>
          </w:tcPr>
          <w:p w14:paraId="7F3A0CE2" w14:textId="77777777" w:rsidR="00117295" w:rsidRDefault="00117295">
            <w:pPr>
              <w:pStyle w:val="CETBodytext"/>
              <w:jc w:val="center"/>
              <w:rPr>
                <w:rFonts w:cs="Arial"/>
                <w:color w:val="000000"/>
                <w:szCs w:val="18"/>
              </w:rPr>
            </w:pPr>
            <w:r>
              <w:rPr>
                <w:rFonts w:cs="Arial"/>
                <w:color w:val="000000"/>
                <w:szCs w:val="18"/>
              </w:rPr>
              <w:t>-0.72</w:t>
            </w:r>
          </w:p>
        </w:tc>
        <w:tc>
          <w:tcPr>
            <w:tcW w:w="960" w:type="dxa"/>
            <w:tcBorders>
              <w:top w:val="nil"/>
              <w:left w:val="nil"/>
              <w:bottom w:val="nil"/>
              <w:right w:val="nil"/>
            </w:tcBorders>
            <w:shd w:val="clear" w:color="auto" w:fill="FFFFFF"/>
            <w:vAlign w:val="bottom"/>
            <w:hideMark/>
          </w:tcPr>
          <w:p w14:paraId="710D338F" w14:textId="77777777" w:rsidR="00117295" w:rsidRDefault="00117295">
            <w:pPr>
              <w:pStyle w:val="CETBodytext"/>
              <w:jc w:val="center"/>
              <w:rPr>
                <w:rFonts w:cs="Arial"/>
                <w:color w:val="000000"/>
                <w:szCs w:val="18"/>
              </w:rPr>
            </w:pPr>
            <w:r>
              <w:rPr>
                <w:rFonts w:cs="Arial"/>
                <w:color w:val="000000"/>
                <w:szCs w:val="18"/>
              </w:rPr>
              <w:t>-0.47</w:t>
            </w:r>
          </w:p>
        </w:tc>
        <w:tc>
          <w:tcPr>
            <w:tcW w:w="961" w:type="dxa"/>
            <w:tcBorders>
              <w:top w:val="nil"/>
              <w:left w:val="nil"/>
              <w:bottom w:val="nil"/>
              <w:right w:val="nil"/>
            </w:tcBorders>
            <w:shd w:val="clear" w:color="auto" w:fill="FFFFFF"/>
            <w:vAlign w:val="bottom"/>
            <w:hideMark/>
          </w:tcPr>
          <w:p w14:paraId="227FDFB9" w14:textId="77777777" w:rsidR="00117295" w:rsidRDefault="00117295">
            <w:pPr>
              <w:pStyle w:val="CETBodytext"/>
              <w:jc w:val="center"/>
              <w:rPr>
                <w:rFonts w:cs="Arial"/>
                <w:color w:val="000000"/>
                <w:szCs w:val="18"/>
              </w:rPr>
            </w:pPr>
            <w:r>
              <w:rPr>
                <w:rFonts w:cs="Arial"/>
                <w:color w:val="000000"/>
                <w:szCs w:val="18"/>
              </w:rPr>
              <w:t>0.00</w:t>
            </w:r>
          </w:p>
        </w:tc>
        <w:tc>
          <w:tcPr>
            <w:tcW w:w="961" w:type="dxa"/>
            <w:tcBorders>
              <w:top w:val="nil"/>
              <w:left w:val="nil"/>
              <w:bottom w:val="nil"/>
              <w:right w:val="nil"/>
            </w:tcBorders>
            <w:shd w:val="clear" w:color="auto" w:fill="FFFFFF"/>
            <w:vAlign w:val="bottom"/>
            <w:hideMark/>
          </w:tcPr>
          <w:p w14:paraId="1EB68FE7" w14:textId="77777777" w:rsidR="00117295" w:rsidRDefault="00117295">
            <w:pPr>
              <w:pStyle w:val="CETBodytext"/>
              <w:jc w:val="center"/>
              <w:rPr>
                <w:rFonts w:cs="Arial"/>
                <w:color w:val="000000"/>
                <w:szCs w:val="18"/>
              </w:rPr>
            </w:pPr>
            <w:r>
              <w:rPr>
                <w:rFonts w:cs="Arial"/>
                <w:color w:val="000000"/>
                <w:szCs w:val="18"/>
              </w:rPr>
              <w:t>0.00</w:t>
            </w:r>
          </w:p>
        </w:tc>
        <w:tc>
          <w:tcPr>
            <w:tcW w:w="961" w:type="dxa"/>
            <w:tcBorders>
              <w:top w:val="nil"/>
              <w:left w:val="nil"/>
              <w:bottom w:val="nil"/>
              <w:right w:val="nil"/>
            </w:tcBorders>
            <w:vAlign w:val="bottom"/>
            <w:hideMark/>
          </w:tcPr>
          <w:p w14:paraId="5CBB66A2" w14:textId="77777777" w:rsidR="00117295" w:rsidRDefault="00117295">
            <w:pPr>
              <w:pStyle w:val="CETBodytext"/>
              <w:jc w:val="center"/>
              <w:rPr>
                <w:rFonts w:cs="Arial"/>
                <w:color w:val="000000"/>
                <w:szCs w:val="18"/>
              </w:rPr>
            </w:pPr>
            <w:r>
              <w:rPr>
                <w:rFonts w:cs="Arial"/>
                <w:color w:val="000000"/>
                <w:szCs w:val="18"/>
              </w:rPr>
              <w:t>-0.47</w:t>
            </w:r>
          </w:p>
        </w:tc>
        <w:tc>
          <w:tcPr>
            <w:tcW w:w="961" w:type="dxa"/>
            <w:tcBorders>
              <w:top w:val="nil"/>
              <w:left w:val="nil"/>
              <w:bottom w:val="nil"/>
              <w:right w:val="nil"/>
            </w:tcBorders>
            <w:vAlign w:val="bottom"/>
            <w:hideMark/>
          </w:tcPr>
          <w:p w14:paraId="1C5D4D44" w14:textId="77777777" w:rsidR="00117295" w:rsidRDefault="00117295">
            <w:pPr>
              <w:pStyle w:val="CETBodytext"/>
              <w:jc w:val="center"/>
              <w:rPr>
                <w:rFonts w:cs="Arial"/>
                <w:color w:val="000000"/>
                <w:szCs w:val="18"/>
              </w:rPr>
            </w:pPr>
            <w:r>
              <w:rPr>
                <w:rFonts w:cs="Arial"/>
                <w:color w:val="000000"/>
                <w:szCs w:val="18"/>
              </w:rPr>
              <w:t>-0.72</w:t>
            </w:r>
          </w:p>
        </w:tc>
        <w:tc>
          <w:tcPr>
            <w:tcW w:w="961" w:type="dxa"/>
            <w:tcBorders>
              <w:top w:val="nil"/>
              <w:left w:val="nil"/>
              <w:bottom w:val="nil"/>
              <w:right w:val="nil"/>
            </w:tcBorders>
            <w:vAlign w:val="bottom"/>
            <w:hideMark/>
          </w:tcPr>
          <w:p w14:paraId="4269D935" w14:textId="77777777" w:rsidR="00117295" w:rsidRDefault="00117295">
            <w:pPr>
              <w:pStyle w:val="CETBodytext"/>
              <w:jc w:val="center"/>
              <w:rPr>
                <w:rFonts w:cs="Arial"/>
                <w:color w:val="000000"/>
                <w:szCs w:val="18"/>
              </w:rPr>
            </w:pPr>
            <w:r>
              <w:rPr>
                <w:rFonts w:cs="Arial"/>
                <w:color w:val="000000"/>
                <w:szCs w:val="18"/>
              </w:rPr>
              <w:t>-0.47</w:t>
            </w:r>
          </w:p>
        </w:tc>
        <w:tc>
          <w:tcPr>
            <w:tcW w:w="961" w:type="dxa"/>
            <w:tcBorders>
              <w:top w:val="nil"/>
              <w:left w:val="nil"/>
              <w:bottom w:val="nil"/>
              <w:right w:val="nil"/>
            </w:tcBorders>
            <w:vAlign w:val="bottom"/>
            <w:hideMark/>
          </w:tcPr>
          <w:p w14:paraId="71BEA63C" w14:textId="77777777" w:rsidR="00117295" w:rsidRDefault="00117295">
            <w:pPr>
              <w:pStyle w:val="CETBodytext"/>
              <w:jc w:val="center"/>
              <w:rPr>
                <w:rFonts w:cs="Arial"/>
                <w:color w:val="000000"/>
                <w:szCs w:val="18"/>
              </w:rPr>
            </w:pPr>
            <w:r>
              <w:rPr>
                <w:rFonts w:cs="Arial"/>
                <w:color w:val="000000"/>
                <w:szCs w:val="18"/>
              </w:rPr>
              <w:t>-0.72</w:t>
            </w:r>
          </w:p>
        </w:tc>
      </w:tr>
      <w:tr w:rsidR="00117295" w14:paraId="39D734BA" w14:textId="77777777" w:rsidTr="00A7491D">
        <w:tc>
          <w:tcPr>
            <w:tcW w:w="993" w:type="dxa"/>
            <w:tcBorders>
              <w:top w:val="nil"/>
              <w:left w:val="nil"/>
              <w:bottom w:val="nil"/>
              <w:right w:val="nil"/>
            </w:tcBorders>
            <w:shd w:val="clear" w:color="auto" w:fill="FFFFFF"/>
            <w:vAlign w:val="center"/>
            <w:hideMark/>
          </w:tcPr>
          <w:p w14:paraId="1D27E2C1" w14:textId="77777777" w:rsidR="00117295" w:rsidRDefault="00117295">
            <w:pPr>
              <w:jc w:val="center"/>
              <w:rPr>
                <w:rFonts w:cs="Arial"/>
                <w:color w:val="000000"/>
                <w:szCs w:val="18"/>
              </w:rPr>
            </w:pPr>
            <w:r>
              <w:rPr>
                <w:rFonts w:cs="Arial"/>
                <w:color w:val="000000"/>
                <w:szCs w:val="18"/>
              </w:rPr>
              <w:t>EC6-7-8</w:t>
            </w:r>
          </w:p>
        </w:tc>
        <w:tc>
          <w:tcPr>
            <w:tcW w:w="960" w:type="dxa"/>
            <w:tcBorders>
              <w:top w:val="nil"/>
              <w:left w:val="nil"/>
              <w:bottom w:val="nil"/>
              <w:right w:val="nil"/>
            </w:tcBorders>
            <w:shd w:val="clear" w:color="auto" w:fill="FFFFFF"/>
            <w:vAlign w:val="bottom"/>
            <w:hideMark/>
          </w:tcPr>
          <w:p w14:paraId="1E32CCB3" w14:textId="77777777" w:rsidR="00117295" w:rsidRDefault="00117295">
            <w:pPr>
              <w:pStyle w:val="CETBodytext"/>
              <w:jc w:val="center"/>
              <w:rPr>
                <w:rFonts w:cs="Arial"/>
                <w:color w:val="000000"/>
                <w:szCs w:val="18"/>
              </w:rPr>
            </w:pPr>
            <w:r>
              <w:rPr>
                <w:rFonts w:cs="Arial"/>
                <w:color w:val="000000"/>
                <w:szCs w:val="18"/>
              </w:rPr>
              <w:t>-0.47</w:t>
            </w:r>
          </w:p>
        </w:tc>
        <w:tc>
          <w:tcPr>
            <w:tcW w:w="960" w:type="dxa"/>
            <w:tcBorders>
              <w:top w:val="nil"/>
              <w:left w:val="nil"/>
              <w:bottom w:val="nil"/>
              <w:right w:val="nil"/>
            </w:tcBorders>
            <w:shd w:val="clear" w:color="auto" w:fill="FFFFFF"/>
            <w:vAlign w:val="bottom"/>
            <w:hideMark/>
          </w:tcPr>
          <w:p w14:paraId="1DE3A68D" w14:textId="77777777" w:rsidR="00117295" w:rsidRDefault="00117295">
            <w:pPr>
              <w:pStyle w:val="CETBodytext"/>
              <w:jc w:val="center"/>
              <w:rPr>
                <w:rFonts w:cs="Arial"/>
                <w:color w:val="000000"/>
                <w:szCs w:val="18"/>
              </w:rPr>
            </w:pPr>
            <w:r>
              <w:rPr>
                <w:rFonts w:cs="Arial"/>
                <w:color w:val="000000"/>
                <w:szCs w:val="18"/>
              </w:rPr>
              <w:t>-0.47</w:t>
            </w:r>
          </w:p>
        </w:tc>
        <w:tc>
          <w:tcPr>
            <w:tcW w:w="961" w:type="dxa"/>
            <w:tcBorders>
              <w:top w:val="nil"/>
              <w:left w:val="nil"/>
              <w:bottom w:val="nil"/>
              <w:right w:val="nil"/>
            </w:tcBorders>
            <w:shd w:val="clear" w:color="auto" w:fill="FFFFFF"/>
            <w:vAlign w:val="bottom"/>
            <w:hideMark/>
          </w:tcPr>
          <w:p w14:paraId="4179398D" w14:textId="77777777" w:rsidR="00117295" w:rsidRDefault="00117295">
            <w:pPr>
              <w:pStyle w:val="CETBodytext"/>
              <w:jc w:val="center"/>
              <w:rPr>
                <w:rFonts w:cs="Arial"/>
                <w:color w:val="000000"/>
                <w:szCs w:val="18"/>
              </w:rPr>
            </w:pPr>
            <w:r>
              <w:rPr>
                <w:rFonts w:cs="Arial"/>
                <w:color w:val="000000"/>
                <w:szCs w:val="18"/>
              </w:rPr>
              <w:t>0.00</w:t>
            </w:r>
          </w:p>
        </w:tc>
        <w:tc>
          <w:tcPr>
            <w:tcW w:w="961" w:type="dxa"/>
            <w:tcBorders>
              <w:top w:val="nil"/>
              <w:left w:val="nil"/>
              <w:bottom w:val="nil"/>
              <w:right w:val="nil"/>
            </w:tcBorders>
            <w:shd w:val="clear" w:color="auto" w:fill="FFFFFF"/>
            <w:vAlign w:val="bottom"/>
            <w:hideMark/>
          </w:tcPr>
          <w:p w14:paraId="62A1B741" w14:textId="77777777" w:rsidR="00117295" w:rsidRDefault="00117295">
            <w:pPr>
              <w:pStyle w:val="CETBodytext"/>
              <w:jc w:val="center"/>
              <w:rPr>
                <w:rFonts w:cs="Arial"/>
                <w:color w:val="000000"/>
                <w:szCs w:val="18"/>
              </w:rPr>
            </w:pPr>
            <w:r>
              <w:rPr>
                <w:rFonts w:cs="Arial"/>
                <w:color w:val="000000"/>
                <w:szCs w:val="18"/>
              </w:rPr>
              <w:t>0.00</w:t>
            </w:r>
          </w:p>
        </w:tc>
        <w:tc>
          <w:tcPr>
            <w:tcW w:w="961" w:type="dxa"/>
            <w:tcBorders>
              <w:top w:val="nil"/>
              <w:left w:val="nil"/>
              <w:bottom w:val="nil"/>
              <w:right w:val="nil"/>
            </w:tcBorders>
            <w:vAlign w:val="bottom"/>
            <w:hideMark/>
          </w:tcPr>
          <w:p w14:paraId="71001B11" w14:textId="77777777" w:rsidR="00117295" w:rsidRDefault="00117295">
            <w:pPr>
              <w:pStyle w:val="CETBodytext"/>
              <w:jc w:val="center"/>
              <w:rPr>
                <w:rFonts w:cs="Arial"/>
                <w:color w:val="000000"/>
                <w:szCs w:val="18"/>
              </w:rPr>
            </w:pPr>
            <w:r>
              <w:rPr>
                <w:rFonts w:cs="Arial"/>
                <w:color w:val="000000"/>
                <w:szCs w:val="18"/>
              </w:rPr>
              <w:t>-0.47</w:t>
            </w:r>
          </w:p>
        </w:tc>
        <w:tc>
          <w:tcPr>
            <w:tcW w:w="961" w:type="dxa"/>
            <w:tcBorders>
              <w:top w:val="nil"/>
              <w:left w:val="nil"/>
              <w:bottom w:val="nil"/>
              <w:right w:val="nil"/>
            </w:tcBorders>
            <w:vAlign w:val="bottom"/>
            <w:hideMark/>
          </w:tcPr>
          <w:p w14:paraId="2C1B4EF1" w14:textId="77777777" w:rsidR="00117295" w:rsidRDefault="00117295">
            <w:pPr>
              <w:pStyle w:val="CETBodytext"/>
              <w:jc w:val="center"/>
              <w:rPr>
                <w:rFonts w:cs="Arial"/>
                <w:color w:val="000000"/>
                <w:szCs w:val="18"/>
              </w:rPr>
            </w:pPr>
            <w:r>
              <w:rPr>
                <w:rFonts w:cs="Arial"/>
                <w:color w:val="000000"/>
                <w:szCs w:val="18"/>
              </w:rPr>
              <w:t>-0.47</w:t>
            </w:r>
          </w:p>
        </w:tc>
        <w:tc>
          <w:tcPr>
            <w:tcW w:w="961" w:type="dxa"/>
            <w:tcBorders>
              <w:top w:val="nil"/>
              <w:left w:val="nil"/>
              <w:bottom w:val="nil"/>
              <w:right w:val="nil"/>
            </w:tcBorders>
            <w:vAlign w:val="bottom"/>
            <w:hideMark/>
          </w:tcPr>
          <w:p w14:paraId="2EB03F74" w14:textId="77777777" w:rsidR="00117295" w:rsidRDefault="00117295">
            <w:pPr>
              <w:pStyle w:val="CETBodytext"/>
              <w:jc w:val="center"/>
              <w:rPr>
                <w:rFonts w:cs="Arial"/>
                <w:color w:val="000000"/>
                <w:szCs w:val="18"/>
              </w:rPr>
            </w:pPr>
            <w:r>
              <w:rPr>
                <w:rFonts w:cs="Arial"/>
                <w:color w:val="000000"/>
                <w:szCs w:val="18"/>
              </w:rPr>
              <w:t>-0.47</w:t>
            </w:r>
          </w:p>
        </w:tc>
        <w:tc>
          <w:tcPr>
            <w:tcW w:w="961" w:type="dxa"/>
            <w:tcBorders>
              <w:top w:val="nil"/>
              <w:left w:val="nil"/>
              <w:bottom w:val="nil"/>
              <w:right w:val="nil"/>
            </w:tcBorders>
            <w:vAlign w:val="bottom"/>
            <w:hideMark/>
          </w:tcPr>
          <w:p w14:paraId="3A7F1F0E" w14:textId="77777777" w:rsidR="00117295" w:rsidRDefault="00117295">
            <w:pPr>
              <w:pStyle w:val="CETBodytext"/>
              <w:jc w:val="center"/>
              <w:rPr>
                <w:rFonts w:cs="Arial"/>
                <w:color w:val="000000"/>
                <w:szCs w:val="18"/>
              </w:rPr>
            </w:pPr>
            <w:r>
              <w:rPr>
                <w:rFonts w:cs="Arial"/>
                <w:color w:val="000000"/>
                <w:szCs w:val="18"/>
              </w:rPr>
              <w:t>-0.47</w:t>
            </w:r>
          </w:p>
        </w:tc>
      </w:tr>
      <w:tr w:rsidR="00117295" w14:paraId="29A1EA39" w14:textId="77777777" w:rsidTr="00A7491D">
        <w:tc>
          <w:tcPr>
            <w:tcW w:w="993" w:type="dxa"/>
            <w:tcBorders>
              <w:top w:val="nil"/>
              <w:left w:val="nil"/>
              <w:bottom w:val="single" w:sz="18" w:space="0" w:color="008000"/>
              <w:right w:val="nil"/>
            </w:tcBorders>
            <w:shd w:val="clear" w:color="auto" w:fill="FFFFFF"/>
            <w:vAlign w:val="center"/>
            <w:hideMark/>
          </w:tcPr>
          <w:p w14:paraId="100E98D8" w14:textId="77777777" w:rsidR="00117295" w:rsidRDefault="00117295">
            <w:pPr>
              <w:jc w:val="center"/>
              <w:rPr>
                <w:rFonts w:cs="Arial"/>
                <w:color w:val="000000"/>
                <w:szCs w:val="18"/>
              </w:rPr>
            </w:pPr>
            <w:r>
              <w:rPr>
                <w:rFonts w:cs="Arial"/>
                <w:color w:val="000000"/>
                <w:szCs w:val="18"/>
              </w:rPr>
              <w:t>Entropy</w:t>
            </w:r>
          </w:p>
        </w:tc>
        <w:tc>
          <w:tcPr>
            <w:tcW w:w="960" w:type="dxa"/>
            <w:tcBorders>
              <w:top w:val="nil"/>
              <w:left w:val="nil"/>
              <w:bottom w:val="single" w:sz="18" w:space="0" w:color="008000"/>
              <w:right w:val="nil"/>
            </w:tcBorders>
            <w:shd w:val="clear" w:color="auto" w:fill="FFFFFF"/>
            <w:vAlign w:val="bottom"/>
          </w:tcPr>
          <w:p w14:paraId="1B0A3EB5" w14:textId="77777777" w:rsidR="00117295" w:rsidRDefault="00117295">
            <w:pPr>
              <w:pStyle w:val="CETBodytext"/>
              <w:jc w:val="center"/>
              <w:rPr>
                <w:rFonts w:cs="Arial"/>
                <w:color w:val="000000"/>
                <w:szCs w:val="18"/>
              </w:rPr>
            </w:pPr>
          </w:p>
        </w:tc>
        <w:tc>
          <w:tcPr>
            <w:tcW w:w="960" w:type="dxa"/>
            <w:tcBorders>
              <w:top w:val="nil"/>
              <w:left w:val="nil"/>
              <w:bottom w:val="single" w:sz="18" w:space="0" w:color="008000"/>
              <w:right w:val="nil"/>
            </w:tcBorders>
            <w:shd w:val="clear" w:color="auto" w:fill="FFFFFF"/>
            <w:vAlign w:val="bottom"/>
          </w:tcPr>
          <w:p w14:paraId="73146DFB" w14:textId="77777777" w:rsidR="00117295" w:rsidRDefault="00117295">
            <w:pPr>
              <w:pStyle w:val="CETBodytext"/>
              <w:jc w:val="center"/>
              <w:rPr>
                <w:rFonts w:cs="Arial"/>
                <w:color w:val="000000"/>
                <w:szCs w:val="18"/>
              </w:rPr>
            </w:pPr>
          </w:p>
        </w:tc>
        <w:tc>
          <w:tcPr>
            <w:tcW w:w="961" w:type="dxa"/>
            <w:tcBorders>
              <w:top w:val="nil"/>
              <w:left w:val="nil"/>
              <w:bottom w:val="single" w:sz="18" w:space="0" w:color="008000"/>
              <w:right w:val="nil"/>
            </w:tcBorders>
            <w:shd w:val="clear" w:color="auto" w:fill="FFFFFF"/>
            <w:vAlign w:val="bottom"/>
          </w:tcPr>
          <w:p w14:paraId="71CC3A48" w14:textId="77777777" w:rsidR="00117295" w:rsidRDefault="00117295">
            <w:pPr>
              <w:pStyle w:val="CETBodytext"/>
              <w:jc w:val="center"/>
              <w:rPr>
                <w:rFonts w:cs="Arial"/>
                <w:color w:val="000000"/>
                <w:szCs w:val="18"/>
              </w:rPr>
            </w:pPr>
          </w:p>
        </w:tc>
        <w:tc>
          <w:tcPr>
            <w:tcW w:w="961" w:type="dxa"/>
            <w:tcBorders>
              <w:top w:val="nil"/>
              <w:left w:val="nil"/>
              <w:bottom w:val="single" w:sz="18" w:space="0" w:color="008000"/>
              <w:right w:val="nil"/>
            </w:tcBorders>
            <w:shd w:val="clear" w:color="auto" w:fill="FFFFFF"/>
            <w:vAlign w:val="bottom"/>
            <w:hideMark/>
          </w:tcPr>
          <w:p w14:paraId="42E4BEFD" w14:textId="77777777" w:rsidR="00117295" w:rsidRDefault="00117295">
            <w:pPr>
              <w:pStyle w:val="CETBodytext"/>
              <w:jc w:val="center"/>
              <w:rPr>
                <w:rFonts w:cs="Arial"/>
                <w:color w:val="000000"/>
                <w:szCs w:val="18"/>
              </w:rPr>
            </w:pPr>
            <w:r>
              <w:rPr>
                <w:rFonts w:cs="Arial"/>
                <w:color w:val="000000"/>
                <w:szCs w:val="18"/>
              </w:rPr>
              <w:t>8.55</w:t>
            </w:r>
          </w:p>
        </w:tc>
        <w:tc>
          <w:tcPr>
            <w:tcW w:w="961" w:type="dxa"/>
            <w:tcBorders>
              <w:top w:val="nil"/>
              <w:left w:val="nil"/>
              <w:bottom w:val="single" w:sz="18" w:space="0" w:color="008000"/>
              <w:right w:val="nil"/>
            </w:tcBorders>
            <w:vAlign w:val="bottom"/>
          </w:tcPr>
          <w:p w14:paraId="5C7FB9DD" w14:textId="77777777" w:rsidR="00117295" w:rsidRDefault="00117295">
            <w:pPr>
              <w:pStyle w:val="CETBodytext"/>
              <w:jc w:val="center"/>
              <w:rPr>
                <w:rFonts w:cs="Arial"/>
                <w:color w:val="000000"/>
                <w:szCs w:val="18"/>
              </w:rPr>
            </w:pPr>
          </w:p>
        </w:tc>
        <w:tc>
          <w:tcPr>
            <w:tcW w:w="961" w:type="dxa"/>
            <w:tcBorders>
              <w:top w:val="nil"/>
              <w:left w:val="nil"/>
              <w:bottom w:val="single" w:sz="18" w:space="0" w:color="008000"/>
              <w:right w:val="nil"/>
            </w:tcBorders>
            <w:vAlign w:val="bottom"/>
          </w:tcPr>
          <w:p w14:paraId="2B0A37D7" w14:textId="77777777" w:rsidR="00117295" w:rsidRDefault="00117295">
            <w:pPr>
              <w:pStyle w:val="CETBodytext"/>
              <w:jc w:val="center"/>
              <w:rPr>
                <w:rFonts w:cs="Arial"/>
                <w:color w:val="000000"/>
                <w:szCs w:val="18"/>
              </w:rPr>
            </w:pPr>
          </w:p>
        </w:tc>
        <w:tc>
          <w:tcPr>
            <w:tcW w:w="961" w:type="dxa"/>
            <w:tcBorders>
              <w:top w:val="nil"/>
              <w:left w:val="nil"/>
              <w:bottom w:val="single" w:sz="18" w:space="0" w:color="008000"/>
              <w:right w:val="nil"/>
            </w:tcBorders>
            <w:vAlign w:val="bottom"/>
          </w:tcPr>
          <w:p w14:paraId="420D03CE" w14:textId="77777777" w:rsidR="00117295" w:rsidRDefault="00117295">
            <w:pPr>
              <w:pStyle w:val="CETBodytext"/>
              <w:jc w:val="center"/>
              <w:rPr>
                <w:rFonts w:cs="Arial"/>
                <w:color w:val="000000"/>
                <w:szCs w:val="18"/>
              </w:rPr>
            </w:pPr>
          </w:p>
        </w:tc>
        <w:tc>
          <w:tcPr>
            <w:tcW w:w="961" w:type="dxa"/>
            <w:tcBorders>
              <w:top w:val="nil"/>
              <w:left w:val="nil"/>
              <w:bottom w:val="single" w:sz="18" w:space="0" w:color="008000"/>
              <w:right w:val="nil"/>
            </w:tcBorders>
            <w:vAlign w:val="bottom"/>
            <w:hideMark/>
          </w:tcPr>
          <w:p w14:paraId="0857C15E" w14:textId="77777777" w:rsidR="00117295" w:rsidRDefault="00117295">
            <w:pPr>
              <w:pStyle w:val="CETBodytext"/>
              <w:jc w:val="center"/>
              <w:rPr>
                <w:rFonts w:cs="Arial"/>
                <w:color w:val="000000"/>
                <w:szCs w:val="18"/>
              </w:rPr>
            </w:pPr>
            <w:r>
              <w:rPr>
                <w:rFonts w:cs="Arial"/>
                <w:color w:val="000000"/>
                <w:szCs w:val="18"/>
              </w:rPr>
              <w:t>16.07</w:t>
            </w:r>
          </w:p>
        </w:tc>
      </w:tr>
    </w:tbl>
    <w:p w14:paraId="43A35397" w14:textId="77777777" w:rsidR="00117295" w:rsidRDefault="00117295" w:rsidP="00117295">
      <w:pPr>
        <w:pStyle w:val="CETBodytext"/>
      </w:pPr>
    </w:p>
    <w:p w14:paraId="3D53E4D7" w14:textId="66910FAE" w:rsidR="00117295" w:rsidRDefault="00117295" w:rsidP="00117295">
      <w:pPr>
        <w:pStyle w:val="CETBodytext"/>
        <w:rPr>
          <w:rFonts w:ascii="Times New Roman" w:hAnsi="Times New Roman"/>
          <w:sz w:val="24"/>
        </w:rPr>
      </w:pPr>
      <w:r>
        <w:t>For the first and second cases, reported by Tables 2 and 3, complexity increases by 8.55 and 16.07 bits, respectively. As the maximum possible complexity is 48 (if all probabilities were 50%), the percentage entropies are 17.8% and 33.5%, respectively. The first case embeds less variability, requires less coordination effort, allows more automation as processes become more stable, and is therefore less complex. The second embeds more variability, which implies more extraordinary coordination actions, resulting in a more complex operation. In the first case, the operation that contributes most to complexity is material collection, explained by the diversity of waste volumes and particle sizes. The second case’s collection operation adds approximately the same amount of complexity, as the operations are similar. In the second case, the operation that contributes most to complexity is processing, explained by the need for segregation due to contaminated fractions and by the briquetting operation. Storage and distribution operations add more complexity than in the first case, due to the larger waste volume and packaging. The first case prioritizes cost and quality, characterizing an efficient, small number of emergencies, a low complexity network that requires lean strategies. The second prioritizes flexibility and dependability that require agile strategies, characterizing a responsive, high complexity network that allows emergencies to improve the capacity to tackle unexpected problems. In short, controlling complexity may require either avoiding or allowing emergencies, depending on the strategic priorities.</w:t>
      </w:r>
    </w:p>
    <w:p w14:paraId="677EBFF0" w14:textId="5362DE68" w:rsidR="00600535" w:rsidRDefault="00A7491D" w:rsidP="00600535">
      <w:pPr>
        <w:pStyle w:val="CETHeading1"/>
        <w:tabs>
          <w:tab w:val="right" w:pos="7100"/>
        </w:tabs>
        <w:jc w:val="both"/>
        <w:rPr>
          <w:lang w:val="en-GB"/>
        </w:rPr>
      </w:pPr>
      <w:r>
        <w:rPr>
          <w:lang w:val="en-GB"/>
        </w:rPr>
        <w:t>Conclusion</w:t>
      </w:r>
    </w:p>
    <w:p w14:paraId="58412285" w14:textId="62A85C80" w:rsidR="00A7491D" w:rsidRPr="00A7491D" w:rsidRDefault="00A7491D" w:rsidP="00A7491D">
      <w:pPr>
        <w:pStyle w:val="CETBodytext"/>
        <w:rPr>
          <w:rFonts w:ascii="Times New Roman" w:hAnsi="Times New Roman"/>
          <w:sz w:val="24"/>
        </w:rPr>
      </w:pPr>
      <w:r>
        <w:t>This study demonstrates that the complexity inherent in wood waste valorization extends underlying technical issues, encompassing interactions among safety protocols, environmental compliance, and economic viability. Using Shannon entropy analysis, we quantified operational complexity across two distinct production strategies: an MTS operation exhibited 17.8% entropy (8.55 bits), while an ETO operation reached 33.5% entropy (16.07 bits). The comparative analysis reveals that strategic priorities fundamentally shape the approaches to complexity management. Lean-oriented operations favor efficient, low-complexity networks with standardized processes, whereas responsive-prioritizing systems require agile, high-complexity configurations capable of supporting emergent challenges. The main study´s contribution is to underscore that successful wood waste reuse demands holistic complexity assessment rather than isolated technical optimization. Future research should incorporate multicriteria decision-making frameworks, expand sample sizes, and develop refined metrics to address multicollinearity in multivariate analyses. Understanding complexity dynamics enables wood processing industries to design economically viable, environmentally sustainable, and operationally safe waste valorization strategies aligned with circular economy principles.</w:t>
      </w:r>
    </w:p>
    <w:p w14:paraId="623EF9AA" w14:textId="77777777" w:rsidR="00A7491D" w:rsidRDefault="00A7491D" w:rsidP="00A7491D">
      <w:pPr>
        <w:pStyle w:val="CETAcknowledgementstitle"/>
      </w:pPr>
      <w:r>
        <w:t>Acknowledgments</w:t>
      </w:r>
    </w:p>
    <w:p w14:paraId="24FCCFA4" w14:textId="77777777" w:rsidR="00A7491D" w:rsidRDefault="00A7491D" w:rsidP="00A7491D">
      <w:pPr>
        <w:pStyle w:val="CETBodytext"/>
        <w:rPr>
          <w:lang w:val="en-GB"/>
        </w:rPr>
      </w:pPr>
      <w:r>
        <w:rPr>
          <w:lang w:val="en-GB"/>
        </w:rPr>
        <w:t>The research was funded by FAPERGS (grant number 23/2551-0000831-7), a Brazilian research agency.</w:t>
      </w:r>
    </w:p>
    <w:p w14:paraId="11B69B1A" w14:textId="77777777" w:rsidR="00A7491D" w:rsidRDefault="00A7491D" w:rsidP="00A7491D">
      <w:pPr>
        <w:pStyle w:val="CETReference"/>
        <w:rPr>
          <w:lang w:val="en-US"/>
        </w:rPr>
      </w:pPr>
      <w:r>
        <w:rPr>
          <w:lang w:val="en-US"/>
        </w:rPr>
        <w:t>References</w:t>
      </w:r>
    </w:p>
    <w:p w14:paraId="4311F706" w14:textId="1328929D" w:rsidR="0043552D" w:rsidRPr="0043552D" w:rsidRDefault="0043552D" w:rsidP="00A7491D">
      <w:pPr>
        <w:pStyle w:val="CETReferencetext"/>
        <w:rPr>
          <w:lang w:val="en-US"/>
        </w:rPr>
      </w:pPr>
      <w:r w:rsidRPr="0043552D">
        <w:rPr>
          <w:lang w:val="it-IT"/>
        </w:rPr>
        <w:t xml:space="preserve">Adlmaier, D., </w:t>
      </w:r>
      <w:r>
        <w:rPr>
          <w:lang w:val="it-IT"/>
        </w:rPr>
        <w:t>Sellitto, M</w:t>
      </w:r>
      <w:r w:rsidRPr="0043552D">
        <w:rPr>
          <w:lang w:val="it-IT"/>
        </w:rPr>
        <w:t>.</w:t>
      </w:r>
      <w:r>
        <w:rPr>
          <w:lang w:val="it-IT"/>
        </w:rPr>
        <w:t>, 2007</w:t>
      </w:r>
      <w:r w:rsidRPr="0043552D">
        <w:rPr>
          <w:lang w:val="it-IT"/>
        </w:rPr>
        <w:t xml:space="preserve">. </w:t>
      </w:r>
      <w:r w:rsidRPr="0043552D">
        <w:rPr>
          <w:lang w:val="en-US"/>
        </w:rPr>
        <w:t>Returnable packaging for transportation of manufactured goods: a case study in reverse logistics. Production, 17, 395-406.</w:t>
      </w:r>
    </w:p>
    <w:p w14:paraId="2568E3BA" w14:textId="233E7028" w:rsidR="00A7491D" w:rsidRDefault="00A7491D" w:rsidP="00A7491D">
      <w:pPr>
        <w:pStyle w:val="CETReferencetext"/>
        <w:rPr>
          <w:lang w:val="en-US"/>
        </w:rPr>
      </w:pPr>
      <w:r>
        <w:rPr>
          <w:lang w:val="en-US"/>
        </w:rPr>
        <w:t>Agyemang, E., Ofori-Dua, K., Dwumah, P., Forkuor, J.</w:t>
      </w:r>
      <w:r w:rsidR="003C082F">
        <w:rPr>
          <w:lang w:val="en-US"/>
        </w:rPr>
        <w:t>,</w:t>
      </w:r>
      <w:r>
        <w:rPr>
          <w:lang w:val="en-US"/>
        </w:rPr>
        <w:t xml:space="preserve"> 2024, Towards responsible resource utilization: A review of sustainable vs. unsustainable reuse</w:t>
      </w:r>
      <w:r w:rsidR="003C082F">
        <w:rPr>
          <w:lang w:val="en-US"/>
        </w:rPr>
        <w:t xml:space="preserve"> of wood waste. PLoS One, 19</w:t>
      </w:r>
      <w:r>
        <w:rPr>
          <w:lang w:val="en-US"/>
        </w:rPr>
        <w:t>, e0312527.</w:t>
      </w:r>
    </w:p>
    <w:p w14:paraId="43F521A6" w14:textId="3FA89F2E" w:rsidR="00A7491D" w:rsidRDefault="00A7491D" w:rsidP="00A7491D">
      <w:pPr>
        <w:pStyle w:val="CETReferencetext"/>
        <w:rPr>
          <w:lang w:val="en-US"/>
        </w:rPr>
      </w:pPr>
      <w:r>
        <w:rPr>
          <w:lang w:val="en-US"/>
        </w:rPr>
        <w:t>Ak</w:t>
      </w:r>
      <w:r w:rsidR="003C082F">
        <w:rPr>
          <w:lang w:val="en-US"/>
        </w:rPr>
        <w:t>ter, M., Uddin, M., Tania, I.,</w:t>
      </w:r>
      <w:r>
        <w:rPr>
          <w:lang w:val="en-US"/>
        </w:rPr>
        <w:t xml:space="preserve"> 2022, Biocomposites based on natural fibers and polymers: A review on properties and potential applications. Journal of Reinforced Plastics and Composites, 41(17–18), 705–742.</w:t>
      </w:r>
    </w:p>
    <w:p w14:paraId="2E18B74C" w14:textId="728582D4" w:rsidR="00A7491D" w:rsidRDefault="00A7491D" w:rsidP="00A7491D">
      <w:pPr>
        <w:pStyle w:val="CETReferencetext"/>
        <w:rPr>
          <w:lang w:val="en-US"/>
        </w:rPr>
      </w:pPr>
      <w:r>
        <w:rPr>
          <w:lang w:val="en-US"/>
        </w:rPr>
        <w:t>Arena, U.</w:t>
      </w:r>
      <w:r w:rsidR="003C082F">
        <w:rPr>
          <w:lang w:val="en-US"/>
        </w:rPr>
        <w:t>,</w:t>
      </w:r>
      <w:r>
        <w:rPr>
          <w:lang w:val="en-US"/>
        </w:rPr>
        <w:t xml:space="preserve"> 2012, Process and technological aspects of municipal solid waste gasification. Waste Management, 32, 625–639.</w:t>
      </w:r>
    </w:p>
    <w:p w14:paraId="053C97DC" w14:textId="6E2D2ECA" w:rsidR="00A7491D" w:rsidRDefault="00A7491D" w:rsidP="00A7491D">
      <w:pPr>
        <w:pStyle w:val="CETReferencetext"/>
        <w:rPr>
          <w:lang w:val="en-US"/>
        </w:rPr>
      </w:pPr>
      <w:r>
        <w:rPr>
          <w:lang w:val="en-US"/>
        </w:rPr>
        <w:t>Artime, O., De Domenico, M.</w:t>
      </w:r>
      <w:r w:rsidR="003C082F">
        <w:rPr>
          <w:lang w:val="en-US"/>
        </w:rPr>
        <w:t>,</w:t>
      </w:r>
      <w:r>
        <w:rPr>
          <w:lang w:val="en-US"/>
        </w:rPr>
        <w:t xml:space="preserve"> 2022, From the origin of life to pandemics: Emergent phenomena in complex systems. Philosophical Transactions o</w:t>
      </w:r>
      <w:r w:rsidR="003C082F">
        <w:rPr>
          <w:lang w:val="en-US"/>
        </w:rPr>
        <w:t>f the Royal Society A, 380</w:t>
      </w:r>
      <w:r>
        <w:rPr>
          <w:lang w:val="en-US"/>
        </w:rPr>
        <w:t>, 20200410.</w:t>
      </w:r>
    </w:p>
    <w:p w14:paraId="009A7DB6" w14:textId="5668F1B2" w:rsidR="00A7491D" w:rsidRDefault="00A7491D" w:rsidP="00A7491D">
      <w:pPr>
        <w:pStyle w:val="CETReferencetext"/>
        <w:rPr>
          <w:lang w:val="en-US"/>
        </w:rPr>
      </w:pPr>
      <w:r>
        <w:rPr>
          <w:lang w:val="en-US"/>
        </w:rPr>
        <w:t>Corona, B., Shen, L., Sommersacher, P., Junginger, M.</w:t>
      </w:r>
      <w:r w:rsidR="003C082F">
        <w:rPr>
          <w:lang w:val="en-US"/>
        </w:rPr>
        <w:t>,</w:t>
      </w:r>
      <w:r>
        <w:rPr>
          <w:lang w:val="en-US"/>
        </w:rPr>
        <w:t xml:space="preserve"> 2020, Consequential Life Cycle Assessment of energy generation from waste wood and forest residues: The effect of resource-efficient additives. Journal of Cleaner Production, 259, 120948.</w:t>
      </w:r>
    </w:p>
    <w:p w14:paraId="41D557BB" w14:textId="2A5664A8" w:rsidR="00A7491D" w:rsidRDefault="00A7491D" w:rsidP="00A7491D">
      <w:pPr>
        <w:pStyle w:val="CETReferencetext"/>
        <w:rPr>
          <w:lang w:val="en-US"/>
        </w:rPr>
      </w:pPr>
      <w:r>
        <w:rPr>
          <w:lang w:val="en-US"/>
        </w:rPr>
        <w:t>Demirbas, A.</w:t>
      </w:r>
      <w:r w:rsidR="003C082F">
        <w:rPr>
          <w:lang w:val="en-US"/>
        </w:rPr>
        <w:t>,</w:t>
      </w:r>
      <w:r>
        <w:rPr>
          <w:lang w:val="en-US"/>
        </w:rPr>
        <w:t xml:space="preserve"> 2010, Biorefinery technologies for biomass upgrading. Energy Sources, Part A: Recovery, Utilization, and Environmental Eff</w:t>
      </w:r>
      <w:r w:rsidR="003C082F">
        <w:rPr>
          <w:lang w:val="en-US"/>
        </w:rPr>
        <w:t>ects, 32</w:t>
      </w:r>
      <w:r>
        <w:rPr>
          <w:lang w:val="en-US"/>
        </w:rPr>
        <w:t>, 1547–1558.</w:t>
      </w:r>
    </w:p>
    <w:p w14:paraId="309365A5" w14:textId="4F6051BA" w:rsidR="00A7491D" w:rsidRDefault="00A7491D" w:rsidP="00A7491D">
      <w:pPr>
        <w:pStyle w:val="CETReferencetext"/>
        <w:rPr>
          <w:lang w:val="en-US"/>
        </w:rPr>
      </w:pPr>
      <w:r>
        <w:rPr>
          <w:lang w:val="en-US"/>
        </w:rPr>
        <w:t>Gil, A.</w:t>
      </w:r>
      <w:r w:rsidR="003C082F">
        <w:rPr>
          <w:lang w:val="en-US"/>
        </w:rPr>
        <w:t>,</w:t>
      </w:r>
      <w:r>
        <w:rPr>
          <w:lang w:val="en-US"/>
        </w:rPr>
        <w:t xml:space="preserve"> 2021, Current insights into lignocellulose related waste valorization. Chemical Engineering Journal Advances, 8, 100186.</w:t>
      </w:r>
    </w:p>
    <w:p w14:paraId="21AF3F8A" w14:textId="3D2C3E76" w:rsidR="00A7491D" w:rsidRDefault="00A7491D" w:rsidP="00A7491D">
      <w:pPr>
        <w:pStyle w:val="CETReferencetext"/>
        <w:rPr>
          <w:lang w:val="en-US"/>
        </w:rPr>
      </w:pPr>
      <w:r>
        <w:rPr>
          <w:lang w:val="en-US"/>
        </w:rPr>
        <w:t>Gital, Y., Bilgen, B.</w:t>
      </w:r>
      <w:r w:rsidR="003C082F">
        <w:rPr>
          <w:lang w:val="en-US"/>
        </w:rPr>
        <w:t>,</w:t>
      </w:r>
      <w:r>
        <w:rPr>
          <w:lang w:val="en-US"/>
        </w:rPr>
        <w:t xml:space="preserve"> 2024, Biomass supply chain network design under uncertainty, risk and resilience: A systematic literature review. Computers &amp; Industrial Engineering, 193, 110270.</w:t>
      </w:r>
    </w:p>
    <w:p w14:paraId="5B254761" w14:textId="6565124D" w:rsidR="00A7491D" w:rsidRDefault="00A7491D" w:rsidP="00A7491D">
      <w:pPr>
        <w:pStyle w:val="CETReferencetext"/>
        <w:rPr>
          <w:lang w:val="en-US"/>
        </w:rPr>
      </w:pPr>
      <w:r>
        <w:rPr>
          <w:lang w:val="en-US"/>
        </w:rPr>
        <w:t>González-García, S., Bacenetti, J.</w:t>
      </w:r>
      <w:r w:rsidR="003C082F">
        <w:rPr>
          <w:lang w:val="en-US"/>
        </w:rPr>
        <w:t>,</w:t>
      </w:r>
      <w:r>
        <w:rPr>
          <w:lang w:val="en-US"/>
        </w:rPr>
        <w:t xml:space="preserve"> 2019, Exploring the production of bio-energy from wood biomass. Italian case study. Science of the Total Environment, 647, 158–168.</w:t>
      </w:r>
    </w:p>
    <w:p w14:paraId="4030418F" w14:textId="786A7A71" w:rsidR="00A7491D" w:rsidRDefault="00A7491D" w:rsidP="00A7491D">
      <w:pPr>
        <w:pStyle w:val="CETReferencetext"/>
        <w:rPr>
          <w:lang w:val="en-US"/>
        </w:rPr>
      </w:pPr>
      <w:r>
        <w:rPr>
          <w:lang w:val="en-US"/>
        </w:rPr>
        <w:t>Herrera-Vida</w:t>
      </w:r>
      <w:r w:rsidR="003C082F">
        <w:rPr>
          <w:lang w:val="en-US"/>
        </w:rPr>
        <w:t>l, G., Coronado-Hernández, J.</w:t>
      </w:r>
      <w:r>
        <w:rPr>
          <w:lang w:val="en-US"/>
        </w:rPr>
        <w:t>, Derpich-</w:t>
      </w:r>
      <w:r w:rsidR="003C082F">
        <w:rPr>
          <w:lang w:val="en-US"/>
        </w:rPr>
        <w:t>Contreras, I., Paredes, B.</w:t>
      </w:r>
      <w:r>
        <w:rPr>
          <w:lang w:val="en-US"/>
        </w:rPr>
        <w:t>, Gatica, G.</w:t>
      </w:r>
      <w:r w:rsidR="003C082F">
        <w:rPr>
          <w:lang w:val="en-US"/>
        </w:rPr>
        <w:t>,</w:t>
      </w:r>
      <w:r>
        <w:rPr>
          <w:lang w:val="en-US"/>
        </w:rPr>
        <w:t xml:space="preserve"> 2025, Measuring complexity in manufacturing using </w:t>
      </w:r>
      <w:r w:rsidR="003C082F">
        <w:rPr>
          <w:lang w:val="en-US"/>
        </w:rPr>
        <w:t>entropic methods. Entropy, 27</w:t>
      </w:r>
      <w:r>
        <w:rPr>
          <w:lang w:val="en-US"/>
        </w:rPr>
        <w:t>, 50.</w:t>
      </w:r>
    </w:p>
    <w:p w14:paraId="164FE551" w14:textId="27E83438" w:rsidR="00A7491D" w:rsidRDefault="00A7491D" w:rsidP="00A7491D">
      <w:pPr>
        <w:pStyle w:val="CETReferencetext"/>
        <w:rPr>
          <w:lang w:val="en-US"/>
        </w:rPr>
      </w:pPr>
      <w:r>
        <w:rPr>
          <w:lang w:val="en-US"/>
        </w:rPr>
        <w:t>Hossain, T., Jones, D., Hartley, D., Thompson, D., Langholtz, M., Davis, M.</w:t>
      </w:r>
      <w:r w:rsidR="003C082F">
        <w:rPr>
          <w:lang w:val="en-US"/>
        </w:rPr>
        <w:t>,</w:t>
      </w:r>
      <w:r>
        <w:rPr>
          <w:lang w:val="en-US"/>
        </w:rPr>
        <w:t xml:space="preserve"> 2022, Nth-plant scenario for forest resources and short rotation woody crops: Biorefineries and depots in the contiguous US. Applied Energy, 325, 119881.</w:t>
      </w:r>
    </w:p>
    <w:p w14:paraId="121D0A27" w14:textId="77777777" w:rsidR="00A7491D" w:rsidRDefault="00A7491D" w:rsidP="00A7491D">
      <w:pPr>
        <w:pStyle w:val="CETReferencetext"/>
        <w:rPr>
          <w:lang w:val="en-US"/>
        </w:rPr>
      </w:pPr>
      <w:r>
        <w:rPr>
          <w:lang w:val="en-US"/>
        </w:rPr>
        <w:t>Jusup, M., Holme, P., Kanazawa, K., Takayasu, M., Romić, I., Wang, Z., Perc, M. 2022, Social physics. Physics Reports, 948, 1–148.</w:t>
      </w:r>
    </w:p>
    <w:p w14:paraId="7F1B36B5" w14:textId="122802DE" w:rsidR="00A7491D" w:rsidRDefault="00A7491D" w:rsidP="00A7491D">
      <w:pPr>
        <w:pStyle w:val="CETReferencetext"/>
        <w:rPr>
          <w:lang w:val="en-US"/>
        </w:rPr>
      </w:pPr>
      <w:r>
        <w:rPr>
          <w:lang w:val="en-US"/>
        </w:rPr>
        <w:t>Leone, R., La Scalia, G., Saeli, M.</w:t>
      </w:r>
      <w:r w:rsidR="003C082F">
        <w:rPr>
          <w:lang w:val="en-US"/>
        </w:rPr>
        <w:t>,</w:t>
      </w:r>
      <w:r>
        <w:rPr>
          <w:lang w:val="en-US"/>
        </w:rPr>
        <w:t xml:space="preserve"> 2025, A critical review on reuse potentials of wood waste for innovative products and applications: trends and future challenges. Sustainable Futures, 10, 100869.</w:t>
      </w:r>
    </w:p>
    <w:p w14:paraId="520EB4F7" w14:textId="2402ACCE" w:rsidR="00A7491D" w:rsidRDefault="00A7491D" w:rsidP="00A7491D">
      <w:pPr>
        <w:pStyle w:val="CETReferencetext"/>
        <w:rPr>
          <w:lang w:val="en-US"/>
        </w:rPr>
      </w:pPr>
      <w:r>
        <w:rPr>
          <w:lang w:val="en-US"/>
        </w:rPr>
        <w:t>Liu, S.</w:t>
      </w:r>
      <w:r w:rsidR="003C082F">
        <w:rPr>
          <w:lang w:val="en-US"/>
        </w:rPr>
        <w:t>,</w:t>
      </w:r>
      <w:r>
        <w:rPr>
          <w:lang w:val="en-US"/>
        </w:rPr>
        <w:t xml:space="preserve"> 2015, A synergetic pretreatment technology for woody biomass conversion. Applied Energy, 144, 114–128.</w:t>
      </w:r>
    </w:p>
    <w:p w14:paraId="19414146" w14:textId="15AC307B" w:rsidR="00A7491D" w:rsidRDefault="00A7491D" w:rsidP="00A7491D">
      <w:pPr>
        <w:pStyle w:val="CETReferencetext"/>
        <w:rPr>
          <w:lang w:val="it-IT"/>
        </w:rPr>
      </w:pPr>
      <w:r>
        <w:rPr>
          <w:lang w:val="en-US"/>
        </w:rPr>
        <w:t>Mancini, M., Rinnan, Å.</w:t>
      </w:r>
      <w:r w:rsidR="003C082F">
        <w:rPr>
          <w:lang w:val="en-US"/>
        </w:rPr>
        <w:t>,</w:t>
      </w:r>
      <w:r>
        <w:rPr>
          <w:lang w:val="en-US"/>
        </w:rPr>
        <w:t xml:space="preserve"> 2021, Study of variability of waste wood samples collected in a panel board industry. </w:t>
      </w:r>
      <w:r>
        <w:rPr>
          <w:lang w:val="it-IT"/>
        </w:rPr>
        <w:t>Frontiers in Chemistry, 9, 722090.</w:t>
      </w:r>
    </w:p>
    <w:p w14:paraId="644E2AF1" w14:textId="1996DFA0" w:rsidR="00A7491D" w:rsidRDefault="00A7491D" w:rsidP="00A7491D">
      <w:pPr>
        <w:pStyle w:val="CETReferencetext"/>
        <w:rPr>
          <w:lang w:val="en-US"/>
        </w:rPr>
      </w:pPr>
      <w:r>
        <w:rPr>
          <w:lang w:val="en-US"/>
        </w:rPr>
        <w:t>Murphy, C., Thibeault, V., Desrosiers, P.</w:t>
      </w:r>
      <w:r w:rsidR="003C082F">
        <w:rPr>
          <w:lang w:val="en-US"/>
        </w:rPr>
        <w:t>,</w:t>
      </w:r>
      <w:r>
        <w:rPr>
          <w:lang w:val="en-US"/>
        </w:rPr>
        <w:t xml:space="preserve"> 2024, Duality between predictability and reconstructability in complex systems. Nature Communications, 15, 4478.</w:t>
      </w:r>
    </w:p>
    <w:p w14:paraId="25D252B8" w14:textId="4C0DCE46" w:rsidR="00A7491D" w:rsidRDefault="00A7491D" w:rsidP="00A7491D">
      <w:pPr>
        <w:pStyle w:val="CETReferencetext"/>
        <w:rPr>
          <w:lang w:val="en-US"/>
        </w:rPr>
      </w:pPr>
      <w:r>
        <w:rPr>
          <w:lang w:val="en-US"/>
        </w:rPr>
        <w:t>Nunes, L., Causer, T., Ciolkosz, D.</w:t>
      </w:r>
      <w:r w:rsidR="003C082F">
        <w:rPr>
          <w:lang w:val="en-US"/>
        </w:rPr>
        <w:t>,</w:t>
      </w:r>
      <w:r>
        <w:rPr>
          <w:lang w:val="en-US"/>
        </w:rPr>
        <w:t xml:space="preserve"> 2020, Biomass for energy: A review on supply chain management models. Renewable and Sustainable Energy Reviews, 120, 109658.</w:t>
      </w:r>
    </w:p>
    <w:p w14:paraId="10BC174B" w14:textId="65640EE7" w:rsidR="00A7491D" w:rsidRDefault="00A7491D" w:rsidP="00A7491D">
      <w:pPr>
        <w:pStyle w:val="CETReferencetext"/>
        <w:rPr>
          <w:lang w:val="en-US"/>
        </w:rPr>
      </w:pPr>
      <w:r>
        <w:rPr>
          <w:lang w:val="en-US"/>
        </w:rPr>
        <w:t>Ochieng, R., Gebremedhin, A., Sarker, S.</w:t>
      </w:r>
      <w:r w:rsidR="003C082F">
        <w:rPr>
          <w:lang w:val="en-US"/>
        </w:rPr>
        <w:t>,</w:t>
      </w:r>
      <w:r>
        <w:rPr>
          <w:lang w:val="en-US"/>
        </w:rPr>
        <w:t xml:space="preserve"> 2022, Integration of waste to bioenergy conversion systems: a </w:t>
      </w:r>
      <w:r w:rsidR="003C082F">
        <w:rPr>
          <w:lang w:val="en-US"/>
        </w:rPr>
        <w:t>critical review. Energies, 15</w:t>
      </w:r>
      <w:r>
        <w:rPr>
          <w:lang w:val="en-US"/>
        </w:rPr>
        <w:t>, 2697.</w:t>
      </w:r>
    </w:p>
    <w:p w14:paraId="1AD63F70" w14:textId="18341CC0" w:rsidR="00A7491D" w:rsidRDefault="00A7491D" w:rsidP="00A7491D">
      <w:pPr>
        <w:pStyle w:val="CETReferencetext"/>
        <w:rPr>
          <w:lang w:val="en-US"/>
        </w:rPr>
      </w:pPr>
      <w:r>
        <w:rPr>
          <w:lang w:val="en-US"/>
        </w:rPr>
        <w:t>Okolo, C., Susaeta, A.</w:t>
      </w:r>
      <w:r w:rsidR="003C082F">
        <w:rPr>
          <w:lang w:val="en-US"/>
        </w:rPr>
        <w:t>,</w:t>
      </w:r>
      <w:r>
        <w:rPr>
          <w:lang w:val="en-US"/>
        </w:rPr>
        <w:t xml:space="preserve"> 2025, Forest biomass fuels and energy price stability: policy implications for US gasoline and </w:t>
      </w:r>
      <w:r w:rsidR="003C082F">
        <w:rPr>
          <w:lang w:val="en-US"/>
        </w:rPr>
        <w:t>diesel markets. Energies, 18</w:t>
      </w:r>
      <w:r>
        <w:rPr>
          <w:lang w:val="en-US"/>
        </w:rPr>
        <w:t>, 3732.</w:t>
      </w:r>
    </w:p>
    <w:p w14:paraId="284C5F17" w14:textId="30A9926B" w:rsidR="00A7491D" w:rsidRDefault="00A7491D" w:rsidP="00A7491D">
      <w:pPr>
        <w:pStyle w:val="CETReferencetext"/>
        <w:rPr>
          <w:lang w:val="en-US"/>
        </w:rPr>
      </w:pPr>
      <w:r>
        <w:rPr>
          <w:lang w:val="en-US"/>
        </w:rPr>
        <w:t>Pari, L., Bergonzoli, S., Cetera, P., Mattei, P., Alfano, V., Rezaei, N., Scarfone, A.</w:t>
      </w:r>
      <w:r w:rsidR="003C082F">
        <w:rPr>
          <w:lang w:val="en-US"/>
        </w:rPr>
        <w:t>,</w:t>
      </w:r>
      <w:r>
        <w:rPr>
          <w:lang w:val="en-US"/>
        </w:rPr>
        <w:t xml:space="preserve"> 2020, Storage of fine woodchips from a medium rotation coppice Eucalyptus plantation in central It</w:t>
      </w:r>
      <w:r w:rsidR="003C082F">
        <w:rPr>
          <w:lang w:val="en-US"/>
        </w:rPr>
        <w:t>aly. Energies, 13</w:t>
      </w:r>
      <w:r>
        <w:rPr>
          <w:lang w:val="en-US"/>
        </w:rPr>
        <w:t>, 2355.</w:t>
      </w:r>
    </w:p>
    <w:p w14:paraId="14E8C010" w14:textId="7EB1B39C" w:rsidR="00A7491D" w:rsidRDefault="00A7491D" w:rsidP="00A7491D">
      <w:pPr>
        <w:pStyle w:val="CETReferencetext"/>
        <w:rPr>
          <w:lang w:val="en-US"/>
        </w:rPr>
      </w:pPr>
      <w:r>
        <w:rPr>
          <w:lang w:val="en-US"/>
        </w:rPr>
        <w:t>Putra, N., Veza, I., Irianto, I.</w:t>
      </w:r>
      <w:r w:rsidR="003C082F">
        <w:rPr>
          <w:lang w:val="en-US"/>
        </w:rPr>
        <w:t>,</w:t>
      </w:r>
      <w:r>
        <w:rPr>
          <w:lang w:val="en-US"/>
        </w:rPr>
        <w:t xml:space="preserve"> 2024, Harnessing wood waste for sustainable biofuel: A bibliometric analysis and review of valorisation strategies.</w:t>
      </w:r>
      <w:r w:rsidR="003C082F">
        <w:rPr>
          <w:lang w:val="en-US"/>
        </w:rPr>
        <w:t xml:space="preserve"> Waste Management Bulletin, 2</w:t>
      </w:r>
      <w:r>
        <w:rPr>
          <w:lang w:val="en-US"/>
        </w:rPr>
        <w:t>, 209–222.</w:t>
      </w:r>
    </w:p>
    <w:p w14:paraId="401CDCF6" w14:textId="024453DF" w:rsidR="00A7491D" w:rsidRDefault="00A7491D" w:rsidP="00A7491D">
      <w:pPr>
        <w:pStyle w:val="CETReferencetext"/>
        <w:rPr>
          <w:lang w:val="en-US"/>
        </w:rPr>
      </w:pPr>
      <w:r>
        <w:rPr>
          <w:lang w:val="en-US"/>
        </w:rPr>
        <w:t>Robichaud, K., Lebeau, M., Martineau, S., Amyot, M.</w:t>
      </w:r>
      <w:r w:rsidR="003C082F">
        <w:rPr>
          <w:lang w:val="en-US"/>
        </w:rPr>
        <w:t>,</w:t>
      </w:r>
      <w:r>
        <w:rPr>
          <w:lang w:val="en-US"/>
        </w:rPr>
        <w:t xml:space="preserve"> 2019, Bioremediation of engine-oil contaminated soil using local residual organic matter. PeerJ, 7, e7389.</w:t>
      </w:r>
    </w:p>
    <w:p w14:paraId="2E559738" w14:textId="7AEA0AF1" w:rsidR="00A7491D" w:rsidRDefault="00A7491D" w:rsidP="00A7491D">
      <w:pPr>
        <w:pStyle w:val="CETReferencetext"/>
        <w:rPr>
          <w:lang w:val="en-US"/>
        </w:rPr>
      </w:pPr>
      <w:r>
        <w:rPr>
          <w:lang w:val="en-US"/>
        </w:rPr>
        <w:t>Rosas, F., Mediano, P., Jensen, H., Seth, A., Barrett, A., Carhart-Harris, R., Bor, D. 2020, Reconciling emergences: An information-theoretic approach to identify causal emergence in multivariate data. PL</w:t>
      </w:r>
      <w:r w:rsidR="003C082F">
        <w:rPr>
          <w:lang w:val="en-US"/>
        </w:rPr>
        <w:t>oS Computational Biology, 16</w:t>
      </w:r>
      <w:r>
        <w:rPr>
          <w:lang w:val="en-US"/>
        </w:rPr>
        <w:t>, e1008289.</w:t>
      </w:r>
    </w:p>
    <w:p w14:paraId="24970E9F" w14:textId="05AA155A" w:rsidR="00A7491D" w:rsidRDefault="00A7491D" w:rsidP="00A7491D">
      <w:pPr>
        <w:pStyle w:val="CETReferencetext"/>
        <w:rPr>
          <w:lang w:val="en-US"/>
        </w:rPr>
      </w:pPr>
      <w:r>
        <w:rPr>
          <w:lang w:val="en-US"/>
        </w:rPr>
        <w:t>Sellitto, M., Borchardt, M., Pereira, G., Gomes, L.</w:t>
      </w:r>
      <w:r w:rsidR="003C082F">
        <w:rPr>
          <w:lang w:val="en-US"/>
        </w:rPr>
        <w:t>,</w:t>
      </w:r>
      <w:r>
        <w:rPr>
          <w:lang w:val="en-US"/>
        </w:rPr>
        <w:t xml:space="preserve"> 2012. </w:t>
      </w:r>
      <w:r>
        <w:t>Environmental performance assessment of a provider of logistical services in an industrial supply chain. Theoretical Foundations of Chemical Engineering, </w:t>
      </w:r>
      <w:r w:rsidRPr="003C082F">
        <w:rPr>
          <w:iCs/>
        </w:rPr>
        <w:t>46</w:t>
      </w:r>
      <w:r>
        <w:t>, 691-703.</w:t>
      </w:r>
    </w:p>
    <w:p w14:paraId="5218A3FB" w14:textId="0D6A287D" w:rsidR="00A7491D" w:rsidRDefault="00A7491D" w:rsidP="00A7491D">
      <w:pPr>
        <w:pStyle w:val="CETReferencetext"/>
        <w:rPr>
          <w:lang w:val="en-US"/>
        </w:rPr>
      </w:pPr>
      <w:r>
        <w:rPr>
          <w:lang w:val="en-US"/>
        </w:rPr>
        <w:t>Sellitto, M., Baierle, I., Rinaldi, M.</w:t>
      </w:r>
      <w:r w:rsidR="003C082F">
        <w:rPr>
          <w:lang w:val="en-US"/>
        </w:rPr>
        <w:t>,</w:t>
      </w:r>
      <w:r>
        <w:rPr>
          <w:lang w:val="en-US"/>
        </w:rPr>
        <w:t xml:space="preserve"> 2025, Complexity of Supply Chains Using Shannon Entropy: Strategic Relationship with Competitive Priorities. Applied System Inn</w:t>
      </w:r>
      <w:r w:rsidR="003C082F">
        <w:rPr>
          <w:lang w:val="en-US"/>
        </w:rPr>
        <w:t>ovation, 8</w:t>
      </w:r>
      <w:r>
        <w:rPr>
          <w:lang w:val="en-US"/>
        </w:rPr>
        <w:t>, 105.</w:t>
      </w:r>
    </w:p>
    <w:p w14:paraId="3D8244EE" w14:textId="71BB3B1A" w:rsidR="00A7491D" w:rsidRDefault="00A7491D" w:rsidP="00A7491D">
      <w:pPr>
        <w:pStyle w:val="CETReferencetext"/>
        <w:rPr>
          <w:lang w:val="en-US"/>
        </w:rPr>
      </w:pPr>
      <w:r>
        <w:rPr>
          <w:lang w:val="en-US"/>
        </w:rPr>
        <w:t>Voulgaris, D., Papadopoulou, K., Zabaniotou, A.</w:t>
      </w:r>
      <w:r w:rsidR="003C082F">
        <w:rPr>
          <w:lang w:val="en-US"/>
        </w:rPr>
        <w:t>,</w:t>
      </w:r>
      <w:r>
        <w:rPr>
          <w:lang w:val="en-US"/>
        </w:rPr>
        <w:t xml:space="preserve"> 2021, Management of lignocellulosic waste towards energy recovery by pyrolysis in the framework of circular ec</w:t>
      </w:r>
      <w:r w:rsidR="003C082F">
        <w:rPr>
          <w:lang w:val="en-US"/>
        </w:rPr>
        <w:t>onomy strategy. Energies, 14</w:t>
      </w:r>
      <w:r>
        <w:rPr>
          <w:lang w:val="en-US"/>
        </w:rPr>
        <w:t>, 5864.</w:t>
      </w:r>
    </w:p>
    <w:p w14:paraId="00BA3D4F" w14:textId="7A0BA1C3" w:rsidR="00C52C3C" w:rsidRPr="003C082F" w:rsidRDefault="00A7491D" w:rsidP="003C082F">
      <w:pPr>
        <w:pStyle w:val="CETReferencetext"/>
        <w:rPr>
          <w:lang w:val="en-US"/>
        </w:rPr>
      </w:pPr>
      <w:r>
        <w:rPr>
          <w:lang w:val="en-US"/>
        </w:rPr>
        <w:t>Wüstenhagen, R., Menichetti, E.</w:t>
      </w:r>
      <w:r w:rsidR="003C082F">
        <w:rPr>
          <w:lang w:val="en-US"/>
        </w:rPr>
        <w:t>,</w:t>
      </w:r>
      <w:r>
        <w:rPr>
          <w:lang w:val="en-US"/>
        </w:rPr>
        <w:t xml:space="preserve"> 2012, Strategic choices for renewable energy investment: Conceptual framework and opportunities for further research. Energy Policy, 40, 1–10.</w:t>
      </w:r>
    </w:p>
    <w:sectPr w:rsidR="00C52C3C" w:rsidRPr="003C082F"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09A9B6" w14:textId="77777777" w:rsidR="00781887" w:rsidRDefault="00781887" w:rsidP="004F5E36">
      <w:r>
        <w:separator/>
      </w:r>
    </w:p>
  </w:endnote>
  <w:endnote w:type="continuationSeparator" w:id="0">
    <w:p w14:paraId="6C7FFF43" w14:textId="77777777" w:rsidR="00781887" w:rsidRDefault="00781887"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5EF03D" w14:textId="77777777" w:rsidR="00781887" w:rsidRDefault="00781887" w:rsidP="004F5E36">
      <w:r>
        <w:separator/>
      </w:r>
    </w:p>
  </w:footnote>
  <w:footnote w:type="continuationSeparator" w:id="0">
    <w:p w14:paraId="1CEB8280" w14:textId="77777777" w:rsidR="00781887" w:rsidRDefault="00781887" w:rsidP="004F5E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58AF15E"/>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asimples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9"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8"/>
  </w:num>
  <w:num w:numId="13">
    <w:abstractNumId w:val="13"/>
  </w:num>
  <w:num w:numId="14">
    <w:abstractNumId w:val="19"/>
  </w:num>
  <w:num w:numId="15">
    <w:abstractNumId w:val="21"/>
  </w:num>
  <w:num w:numId="16">
    <w:abstractNumId w:val="20"/>
  </w:num>
  <w:num w:numId="17">
    <w:abstractNumId w:val="12"/>
  </w:num>
  <w:num w:numId="18">
    <w:abstractNumId w:val="13"/>
    <w:lvlOverride w:ilvl="0">
      <w:startOverride w:val="1"/>
    </w:lvlOverride>
  </w:num>
  <w:num w:numId="19">
    <w:abstractNumId w:val="17"/>
  </w:num>
  <w:num w:numId="20">
    <w:abstractNumId w:val="16"/>
  </w:num>
  <w:num w:numId="21">
    <w:abstractNumId w:val="15"/>
  </w:num>
  <w:num w:numId="22">
    <w:abstractNumId w:val="14"/>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1"/>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884"/>
    <w:rsid w:val="00005A19"/>
    <w:rsid w:val="000117CB"/>
    <w:rsid w:val="0003148D"/>
    <w:rsid w:val="00031EEC"/>
    <w:rsid w:val="00051566"/>
    <w:rsid w:val="000562A9"/>
    <w:rsid w:val="00062A9A"/>
    <w:rsid w:val="00065058"/>
    <w:rsid w:val="00086C39"/>
    <w:rsid w:val="000A03B2"/>
    <w:rsid w:val="000D0268"/>
    <w:rsid w:val="000D34BE"/>
    <w:rsid w:val="000E102F"/>
    <w:rsid w:val="000E36F1"/>
    <w:rsid w:val="000E3A73"/>
    <w:rsid w:val="000E4123"/>
    <w:rsid w:val="000E414A"/>
    <w:rsid w:val="000E75FD"/>
    <w:rsid w:val="000F093C"/>
    <w:rsid w:val="000F787B"/>
    <w:rsid w:val="00101F02"/>
    <w:rsid w:val="00117295"/>
    <w:rsid w:val="0012091F"/>
    <w:rsid w:val="00124AAD"/>
    <w:rsid w:val="00126BC2"/>
    <w:rsid w:val="001308B6"/>
    <w:rsid w:val="0013121F"/>
    <w:rsid w:val="00131FE6"/>
    <w:rsid w:val="0013263F"/>
    <w:rsid w:val="001331DF"/>
    <w:rsid w:val="00134DE4"/>
    <w:rsid w:val="0014034D"/>
    <w:rsid w:val="00140FE3"/>
    <w:rsid w:val="00144D16"/>
    <w:rsid w:val="00150E59"/>
    <w:rsid w:val="00152DE3"/>
    <w:rsid w:val="00164CF9"/>
    <w:rsid w:val="001667A6"/>
    <w:rsid w:val="00184AD6"/>
    <w:rsid w:val="001A4AF7"/>
    <w:rsid w:val="001B0349"/>
    <w:rsid w:val="001B1E93"/>
    <w:rsid w:val="001B65C1"/>
    <w:rsid w:val="001C260F"/>
    <w:rsid w:val="001C33F1"/>
    <w:rsid w:val="001C684B"/>
    <w:rsid w:val="001D0CFB"/>
    <w:rsid w:val="001D21AF"/>
    <w:rsid w:val="001D53FC"/>
    <w:rsid w:val="001F42A5"/>
    <w:rsid w:val="001F7B9D"/>
    <w:rsid w:val="00201C93"/>
    <w:rsid w:val="002224B4"/>
    <w:rsid w:val="00240B19"/>
    <w:rsid w:val="002447EF"/>
    <w:rsid w:val="00251550"/>
    <w:rsid w:val="00263B05"/>
    <w:rsid w:val="0027221A"/>
    <w:rsid w:val="00275B61"/>
    <w:rsid w:val="00280FAF"/>
    <w:rsid w:val="00282656"/>
    <w:rsid w:val="00296B83"/>
    <w:rsid w:val="002B4015"/>
    <w:rsid w:val="002B5C01"/>
    <w:rsid w:val="002B78CE"/>
    <w:rsid w:val="002C2FB6"/>
    <w:rsid w:val="002E5FA7"/>
    <w:rsid w:val="002F3309"/>
    <w:rsid w:val="003008CE"/>
    <w:rsid w:val="003009B7"/>
    <w:rsid w:val="00300E56"/>
    <w:rsid w:val="0030152C"/>
    <w:rsid w:val="0030469C"/>
    <w:rsid w:val="00321CA6"/>
    <w:rsid w:val="00323763"/>
    <w:rsid w:val="00323C5F"/>
    <w:rsid w:val="00334C09"/>
    <w:rsid w:val="003723D4"/>
    <w:rsid w:val="00374AD8"/>
    <w:rsid w:val="00381905"/>
    <w:rsid w:val="00384CC8"/>
    <w:rsid w:val="003871FD"/>
    <w:rsid w:val="003A1E30"/>
    <w:rsid w:val="003A2829"/>
    <w:rsid w:val="003A7D1C"/>
    <w:rsid w:val="003B304B"/>
    <w:rsid w:val="003B3146"/>
    <w:rsid w:val="003B4EA5"/>
    <w:rsid w:val="003C082F"/>
    <w:rsid w:val="003D1E02"/>
    <w:rsid w:val="003F015E"/>
    <w:rsid w:val="00400414"/>
    <w:rsid w:val="0041446B"/>
    <w:rsid w:val="0043552D"/>
    <w:rsid w:val="0044071E"/>
    <w:rsid w:val="0044329C"/>
    <w:rsid w:val="00453E24"/>
    <w:rsid w:val="00457456"/>
    <w:rsid w:val="004577FE"/>
    <w:rsid w:val="00457B9C"/>
    <w:rsid w:val="0046164A"/>
    <w:rsid w:val="004628D2"/>
    <w:rsid w:val="00462DCD"/>
    <w:rsid w:val="004648AD"/>
    <w:rsid w:val="004703A9"/>
    <w:rsid w:val="004760DE"/>
    <w:rsid w:val="004763D7"/>
    <w:rsid w:val="00493EF4"/>
    <w:rsid w:val="004A004E"/>
    <w:rsid w:val="004A24CF"/>
    <w:rsid w:val="004A5E57"/>
    <w:rsid w:val="004C194F"/>
    <w:rsid w:val="004C3D1D"/>
    <w:rsid w:val="004C3D84"/>
    <w:rsid w:val="004C7913"/>
    <w:rsid w:val="004E04DF"/>
    <w:rsid w:val="004E4DD6"/>
    <w:rsid w:val="004F5E36"/>
    <w:rsid w:val="00507B47"/>
    <w:rsid w:val="00507BEF"/>
    <w:rsid w:val="00507CC9"/>
    <w:rsid w:val="005119A5"/>
    <w:rsid w:val="005278B7"/>
    <w:rsid w:val="00532016"/>
    <w:rsid w:val="005346C8"/>
    <w:rsid w:val="005350E3"/>
    <w:rsid w:val="00543E7D"/>
    <w:rsid w:val="00547A68"/>
    <w:rsid w:val="005531C9"/>
    <w:rsid w:val="00570C43"/>
    <w:rsid w:val="00592274"/>
    <w:rsid w:val="005B2110"/>
    <w:rsid w:val="005B61E6"/>
    <w:rsid w:val="005C77E1"/>
    <w:rsid w:val="005D668A"/>
    <w:rsid w:val="005D6A2F"/>
    <w:rsid w:val="005E0592"/>
    <w:rsid w:val="005E1A82"/>
    <w:rsid w:val="005E794C"/>
    <w:rsid w:val="005F0A28"/>
    <w:rsid w:val="005F0E5E"/>
    <w:rsid w:val="00600535"/>
    <w:rsid w:val="00610CD6"/>
    <w:rsid w:val="00620DEE"/>
    <w:rsid w:val="00621F92"/>
    <w:rsid w:val="0062280A"/>
    <w:rsid w:val="006231E1"/>
    <w:rsid w:val="00625639"/>
    <w:rsid w:val="00631B33"/>
    <w:rsid w:val="0064184D"/>
    <w:rsid w:val="006422CC"/>
    <w:rsid w:val="00651D18"/>
    <w:rsid w:val="00660E3E"/>
    <w:rsid w:val="00662E74"/>
    <w:rsid w:val="00664F9F"/>
    <w:rsid w:val="00680C23"/>
    <w:rsid w:val="00683E23"/>
    <w:rsid w:val="00693766"/>
    <w:rsid w:val="006A3281"/>
    <w:rsid w:val="006B4888"/>
    <w:rsid w:val="006C2E45"/>
    <w:rsid w:val="006C359C"/>
    <w:rsid w:val="006C5579"/>
    <w:rsid w:val="006D6E8B"/>
    <w:rsid w:val="006D7209"/>
    <w:rsid w:val="006E737D"/>
    <w:rsid w:val="00707DD1"/>
    <w:rsid w:val="00713973"/>
    <w:rsid w:val="00720A24"/>
    <w:rsid w:val="00732386"/>
    <w:rsid w:val="0073514D"/>
    <w:rsid w:val="007447F3"/>
    <w:rsid w:val="0075499F"/>
    <w:rsid w:val="007617CC"/>
    <w:rsid w:val="007661C8"/>
    <w:rsid w:val="0077098D"/>
    <w:rsid w:val="00781887"/>
    <w:rsid w:val="00785BF9"/>
    <w:rsid w:val="00791805"/>
    <w:rsid w:val="007931FA"/>
    <w:rsid w:val="007A4861"/>
    <w:rsid w:val="007A7BBA"/>
    <w:rsid w:val="007B0C50"/>
    <w:rsid w:val="007B48F9"/>
    <w:rsid w:val="007C1A43"/>
    <w:rsid w:val="007D0951"/>
    <w:rsid w:val="007F27C8"/>
    <w:rsid w:val="0080013E"/>
    <w:rsid w:val="00813288"/>
    <w:rsid w:val="008168FC"/>
    <w:rsid w:val="00830996"/>
    <w:rsid w:val="008314D7"/>
    <w:rsid w:val="008345F1"/>
    <w:rsid w:val="00864CA3"/>
    <w:rsid w:val="00865B07"/>
    <w:rsid w:val="008667EA"/>
    <w:rsid w:val="0087637F"/>
    <w:rsid w:val="00892AD5"/>
    <w:rsid w:val="008A1512"/>
    <w:rsid w:val="008D32B9"/>
    <w:rsid w:val="008D433B"/>
    <w:rsid w:val="008D4A16"/>
    <w:rsid w:val="008E209A"/>
    <w:rsid w:val="008E45BC"/>
    <w:rsid w:val="008E566E"/>
    <w:rsid w:val="0090161A"/>
    <w:rsid w:val="00901EB6"/>
    <w:rsid w:val="009041F8"/>
    <w:rsid w:val="00904C62"/>
    <w:rsid w:val="00922BA8"/>
    <w:rsid w:val="00924DAC"/>
    <w:rsid w:val="00927058"/>
    <w:rsid w:val="00942750"/>
    <w:rsid w:val="009450CE"/>
    <w:rsid w:val="009459BB"/>
    <w:rsid w:val="00947179"/>
    <w:rsid w:val="0095164B"/>
    <w:rsid w:val="00954090"/>
    <w:rsid w:val="009573E7"/>
    <w:rsid w:val="00963E05"/>
    <w:rsid w:val="00964A45"/>
    <w:rsid w:val="00967843"/>
    <w:rsid w:val="00967D54"/>
    <w:rsid w:val="00971028"/>
    <w:rsid w:val="00993B84"/>
    <w:rsid w:val="00996483"/>
    <w:rsid w:val="00996F5A"/>
    <w:rsid w:val="009B041A"/>
    <w:rsid w:val="009C37C3"/>
    <w:rsid w:val="009C7C86"/>
    <w:rsid w:val="009D2FF7"/>
    <w:rsid w:val="009E7884"/>
    <w:rsid w:val="009E788A"/>
    <w:rsid w:val="009F0E08"/>
    <w:rsid w:val="00A079AE"/>
    <w:rsid w:val="00A1763D"/>
    <w:rsid w:val="00A17CEC"/>
    <w:rsid w:val="00A26CBB"/>
    <w:rsid w:val="00A27EF0"/>
    <w:rsid w:val="00A42361"/>
    <w:rsid w:val="00A50B20"/>
    <w:rsid w:val="00A51390"/>
    <w:rsid w:val="00A60D13"/>
    <w:rsid w:val="00A7223D"/>
    <w:rsid w:val="00A72745"/>
    <w:rsid w:val="00A7491D"/>
    <w:rsid w:val="00A76EFC"/>
    <w:rsid w:val="00A87D50"/>
    <w:rsid w:val="00A91010"/>
    <w:rsid w:val="00A97F29"/>
    <w:rsid w:val="00AA702E"/>
    <w:rsid w:val="00AA7D26"/>
    <w:rsid w:val="00AB0964"/>
    <w:rsid w:val="00AB5011"/>
    <w:rsid w:val="00AC7368"/>
    <w:rsid w:val="00AD0278"/>
    <w:rsid w:val="00AD16B9"/>
    <w:rsid w:val="00AE377D"/>
    <w:rsid w:val="00AF0EBA"/>
    <w:rsid w:val="00B02C8A"/>
    <w:rsid w:val="00B04627"/>
    <w:rsid w:val="00B17FBD"/>
    <w:rsid w:val="00B315A6"/>
    <w:rsid w:val="00B31813"/>
    <w:rsid w:val="00B33365"/>
    <w:rsid w:val="00B57B36"/>
    <w:rsid w:val="00B57E6F"/>
    <w:rsid w:val="00B8686D"/>
    <w:rsid w:val="00B92C41"/>
    <w:rsid w:val="00B93F69"/>
    <w:rsid w:val="00BB1DDC"/>
    <w:rsid w:val="00BB3C04"/>
    <w:rsid w:val="00BC30C9"/>
    <w:rsid w:val="00BD077D"/>
    <w:rsid w:val="00BD3483"/>
    <w:rsid w:val="00BE3E58"/>
    <w:rsid w:val="00C01616"/>
    <w:rsid w:val="00C0162B"/>
    <w:rsid w:val="00C068ED"/>
    <w:rsid w:val="00C208E9"/>
    <w:rsid w:val="00C22E0C"/>
    <w:rsid w:val="00C345B1"/>
    <w:rsid w:val="00C40142"/>
    <w:rsid w:val="00C52C3C"/>
    <w:rsid w:val="00C57182"/>
    <w:rsid w:val="00C57863"/>
    <w:rsid w:val="00C640AF"/>
    <w:rsid w:val="00C655FD"/>
    <w:rsid w:val="00C75407"/>
    <w:rsid w:val="00C77B95"/>
    <w:rsid w:val="00C841C6"/>
    <w:rsid w:val="00C870A8"/>
    <w:rsid w:val="00C94434"/>
    <w:rsid w:val="00C97E1C"/>
    <w:rsid w:val="00CA0D75"/>
    <w:rsid w:val="00CA1C95"/>
    <w:rsid w:val="00CA5A9C"/>
    <w:rsid w:val="00CC4C20"/>
    <w:rsid w:val="00CD3517"/>
    <w:rsid w:val="00CD5FE2"/>
    <w:rsid w:val="00CE7C68"/>
    <w:rsid w:val="00D02B4C"/>
    <w:rsid w:val="00D040C4"/>
    <w:rsid w:val="00D20AD1"/>
    <w:rsid w:val="00D2582C"/>
    <w:rsid w:val="00D46B7E"/>
    <w:rsid w:val="00D57C84"/>
    <w:rsid w:val="00D6057D"/>
    <w:rsid w:val="00D71640"/>
    <w:rsid w:val="00D836C5"/>
    <w:rsid w:val="00D84576"/>
    <w:rsid w:val="00DA1399"/>
    <w:rsid w:val="00DA24C6"/>
    <w:rsid w:val="00DA4D7B"/>
    <w:rsid w:val="00DD271C"/>
    <w:rsid w:val="00DE264A"/>
    <w:rsid w:val="00DF5072"/>
    <w:rsid w:val="00E02D18"/>
    <w:rsid w:val="00E041E7"/>
    <w:rsid w:val="00E23CA1"/>
    <w:rsid w:val="00E409A8"/>
    <w:rsid w:val="00E47D61"/>
    <w:rsid w:val="00E50C12"/>
    <w:rsid w:val="00E57CFB"/>
    <w:rsid w:val="00E65B91"/>
    <w:rsid w:val="00E7209D"/>
    <w:rsid w:val="00E72EAD"/>
    <w:rsid w:val="00E77223"/>
    <w:rsid w:val="00E8528B"/>
    <w:rsid w:val="00E85B94"/>
    <w:rsid w:val="00E978D0"/>
    <w:rsid w:val="00EA3EF9"/>
    <w:rsid w:val="00EA4613"/>
    <w:rsid w:val="00EA7F91"/>
    <w:rsid w:val="00EB1523"/>
    <w:rsid w:val="00EC0E49"/>
    <w:rsid w:val="00EC101F"/>
    <w:rsid w:val="00EC1D9F"/>
    <w:rsid w:val="00EE0131"/>
    <w:rsid w:val="00EE17B0"/>
    <w:rsid w:val="00EF06D9"/>
    <w:rsid w:val="00EF0982"/>
    <w:rsid w:val="00F126A5"/>
    <w:rsid w:val="00F3049E"/>
    <w:rsid w:val="00F30C64"/>
    <w:rsid w:val="00F32BA2"/>
    <w:rsid w:val="00F32CDB"/>
    <w:rsid w:val="00F3348F"/>
    <w:rsid w:val="00F37280"/>
    <w:rsid w:val="00F41EE4"/>
    <w:rsid w:val="00F565FE"/>
    <w:rsid w:val="00F63A70"/>
    <w:rsid w:val="00F63D8C"/>
    <w:rsid w:val="00F7534E"/>
    <w:rsid w:val="00F7757C"/>
    <w:rsid w:val="00F93EDF"/>
    <w:rsid w:val="00FA1802"/>
    <w:rsid w:val="00FA21D0"/>
    <w:rsid w:val="00FA5F5F"/>
    <w:rsid w:val="00FB730C"/>
    <w:rsid w:val="00FC2695"/>
    <w:rsid w:val="00FC3E03"/>
    <w:rsid w:val="00FC3FC1"/>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ET Top_page"/>
    <w:rsid w:val="00781887"/>
    <w:pPr>
      <w:tabs>
        <w:tab w:val="right" w:pos="7100"/>
      </w:tabs>
      <w:spacing w:after="0" w:line="264" w:lineRule="auto"/>
      <w:jc w:val="both"/>
    </w:pPr>
    <w:rPr>
      <w:rFonts w:ascii="Arial" w:eastAsia="Times New Roman" w:hAnsi="Arial" w:cs="Times New Roman"/>
      <w:sz w:val="18"/>
      <w:szCs w:val="20"/>
      <w:lang w:val="en-GB"/>
    </w:rPr>
  </w:style>
  <w:style w:type="paragraph" w:styleId="Ttulo1">
    <w:name w:val="heading 1"/>
    <w:basedOn w:val="CETHeading1"/>
    <w:next w:val="Normal"/>
    <w:link w:val="Ttulo1Char"/>
    <w:uiPriority w:val="9"/>
    <w:rsid w:val="004F5E36"/>
    <w:pPr>
      <w:tabs>
        <w:tab w:val="right" w:pos="7100"/>
      </w:tabs>
      <w:jc w:val="both"/>
      <w:outlineLvl w:val="0"/>
    </w:pPr>
    <w:rPr>
      <w:lang w:val="en-GB"/>
    </w:rPr>
  </w:style>
  <w:style w:type="paragraph" w:styleId="Ttulo2">
    <w:name w:val="heading 2"/>
    <w:basedOn w:val="Normal"/>
    <w:next w:val="Normal"/>
    <w:link w:val="Ttulo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asimples1">
    <w:name w:val="Table Simple 1"/>
    <w:basedOn w:val="Tabela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efdecomentrio">
    <w:name w:val="annotation reference"/>
    <w:basedOn w:val="Fontepargpadro"/>
    <w:uiPriority w:val="99"/>
    <w:semiHidden/>
    <w:unhideWhenUsed/>
    <w:rsid w:val="004577FE"/>
    <w:rPr>
      <w:sz w:val="16"/>
      <w:szCs w:val="16"/>
    </w:rPr>
  </w:style>
  <w:style w:type="paragraph" w:styleId="Textodebalo">
    <w:name w:val="Balloon Text"/>
    <w:basedOn w:val="Normal"/>
    <w:link w:val="TextodebaloChar"/>
    <w:uiPriority w:val="99"/>
    <w:semiHidden/>
    <w:unhideWhenUsed/>
    <w:rsid w:val="000D34BE"/>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texto2">
    <w:name w:val="Body Text 2"/>
    <w:basedOn w:val="Normal"/>
    <w:link w:val="Corpodetexto2Char"/>
    <w:uiPriority w:val="99"/>
    <w:semiHidden/>
    <w:unhideWhenUsed/>
    <w:rsid w:val="0003148D"/>
    <w:pPr>
      <w:spacing w:after="120" w:line="480" w:lineRule="auto"/>
    </w:pPr>
  </w:style>
  <w:style w:type="character" w:customStyle="1" w:styleId="Corpodetexto2Char">
    <w:name w:val="Corpo de texto 2 Char"/>
    <w:basedOn w:val="Fontepargpadro"/>
    <w:link w:val="Corpodetexto2"/>
    <w:uiPriority w:val="99"/>
    <w:semiHidden/>
    <w:rsid w:val="0003148D"/>
  </w:style>
  <w:style w:type="paragraph" w:styleId="Corpodetexto3">
    <w:name w:val="Body Text 3"/>
    <w:basedOn w:val="Normal"/>
    <w:link w:val="Corpodetexto3Char"/>
    <w:uiPriority w:val="99"/>
    <w:semiHidden/>
    <w:unhideWhenUsed/>
    <w:rsid w:val="0003148D"/>
    <w:pPr>
      <w:spacing w:after="120"/>
    </w:pPr>
    <w:rPr>
      <w:sz w:val="16"/>
      <w:szCs w:val="16"/>
    </w:rPr>
  </w:style>
  <w:style w:type="character" w:customStyle="1" w:styleId="Corpodetexto3Char">
    <w:name w:val="Corpo de texto 3 Char"/>
    <w:basedOn w:val="Fontepargpadro"/>
    <w:link w:val="Corpodetexto3"/>
    <w:uiPriority w:val="99"/>
    <w:semiHidden/>
    <w:rsid w:val="0003148D"/>
    <w:rPr>
      <w:sz w:val="16"/>
      <w:szCs w:val="16"/>
    </w:rPr>
  </w:style>
  <w:style w:type="paragraph" w:styleId="Corpodetexto">
    <w:name w:val="Body Text"/>
    <w:basedOn w:val="Normal"/>
    <w:link w:val="CorpodetextoChar"/>
    <w:uiPriority w:val="99"/>
    <w:semiHidden/>
    <w:unhideWhenUsed/>
    <w:rsid w:val="0003148D"/>
    <w:pPr>
      <w:spacing w:after="120"/>
    </w:pPr>
  </w:style>
  <w:style w:type="character" w:customStyle="1" w:styleId="CorpodetextoChar">
    <w:name w:val="Corpo de texto Char"/>
    <w:basedOn w:val="Fontepargpadro"/>
    <w:link w:val="Corpodetexto"/>
    <w:uiPriority w:val="99"/>
    <w:semiHidden/>
    <w:rsid w:val="0003148D"/>
  </w:style>
  <w:style w:type="paragraph" w:styleId="Data">
    <w:name w:val="Date"/>
    <w:basedOn w:val="Normal"/>
    <w:next w:val="Normal"/>
    <w:link w:val="DataChar"/>
    <w:uiPriority w:val="99"/>
    <w:semiHidden/>
    <w:unhideWhenUsed/>
    <w:rsid w:val="0003148D"/>
  </w:style>
  <w:style w:type="character" w:customStyle="1" w:styleId="DataChar">
    <w:name w:val="Data Char"/>
    <w:basedOn w:val="Fontepargpadro"/>
    <w:link w:val="Data"/>
    <w:uiPriority w:val="99"/>
    <w:semiHidden/>
    <w:rsid w:val="0003148D"/>
  </w:style>
  <w:style w:type="paragraph" w:styleId="Legenda">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a">
    <w:name w:val="List"/>
    <w:basedOn w:val="Normal"/>
    <w:uiPriority w:val="99"/>
    <w:semiHidden/>
    <w:unhideWhenUsed/>
    <w:rsid w:val="0003148D"/>
    <w:pPr>
      <w:ind w:left="283" w:hanging="283"/>
      <w:contextualSpacing/>
    </w:pPr>
  </w:style>
  <w:style w:type="paragraph" w:styleId="Lista2">
    <w:name w:val="List 2"/>
    <w:basedOn w:val="Normal"/>
    <w:uiPriority w:val="99"/>
    <w:semiHidden/>
    <w:unhideWhenUsed/>
    <w:rsid w:val="0003148D"/>
    <w:pPr>
      <w:ind w:left="566" w:hanging="283"/>
      <w:contextualSpacing/>
    </w:pPr>
  </w:style>
  <w:style w:type="paragraph" w:styleId="Lista3">
    <w:name w:val="List 3"/>
    <w:basedOn w:val="Normal"/>
    <w:uiPriority w:val="99"/>
    <w:semiHidden/>
    <w:unhideWhenUsed/>
    <w:rsid w:val="0003148D"/>
    <w:pPr>
      <w:ind w:left="849" w:hanging="283"/>
      <w:contextualSpacing/>
    </w:pPr>
  </w:style>
  <w:style w:type="paragraph" w:styleId="Lista4">
    <w:name w:val="List 4"/>
    <w:basedOn w:val="Normal"/>
    <w:uiPriority w:val="99"/>
    <w:semiHidden/>
    <w:unhideWhenUsed/>
    <w:rsid w:val="0003148D"/>
    <w:pPr>
      <w:ind w:left="1132" w:hanging="283"/>
      <w:contextualSpacing/>
    </w:pPr>
  </w:style>
  <w:style w:type="paragraph" w:styleId="Lista5">
    <w:name w:val="List 5"/>
    <w:basedOn w:val="Normal"/>
    <w:uiPriority w:val="99"/>
    <w:semiHidden/>
    <w:unhideWhenUsed/>
    <w:rsid w:val="0003148D"/>
    <w:pPr>
      <w:ind w:left="1415" w:hanging="283"/>
      <w:contextualSpacing/>
    </w:pPr>
  </w:style>
  <w:style w:type="paragraph" w:styleId="Listadecontinuao">
    <w:name w:val="List Continue"/>
    <w:basedOn w:val="Normal"/>
    <w:uiPriority w:val="99"/>
    <w:semiHidden/>
    <w:unhideWhenUsed/>
    <w:rsid w:val="0003148D"/>
    <w:pPr>
      <w:spacing w:after="120"/>
      <w:ind w:left="283"/>
      <w:contextualSpacing/>
    </w:pPr>
  </w:style>
  <w:style w:type="paragraph" w:styleId="Listadecontinuao2">
    <w:name w:val="List Continue 2"/>
    <w:basedOn w:val="Normal"/>
    <w:uiPriority w:val="99"/>
    <w:semiHidden/>
    <w:unhideWhenUsed/>
    <w:rsid w:val="0003148D"/>
    <w:pPr>
      <w:spacing w:after="120"/>
      <w:ind w:left="566"/>
      <w:contextualSpacing/>
    </w:pPr>
  </w:style>
  <w:style w:type="paragraph" w:styleId="Listadecontinuao3">
    <w:name w:val="List Continue 3"/>
    <w:basedOn w:val="Normal"/>
    <w:uiPriority w:val="99"/>
    <w:semiHidden/>
    <w:unhideWhenUsed/>
    <w:rsid w:val="0003148D"/>
    <w:pPr>
      <w:spacing w:after="120"/>
      <w:ind w:left="849"/>
      <w:contextualSpacing/>
    </w:pPr>
  </w:style>
  <w:style w:type="paragraph" w:styleId="Listadecontinuao4">
    <w:name w:val="List Continue 4"/>
    <w:basedOn w:val="Normal"/>
    <w:uiPriority w:val="99"/>
    <w:semiHidden/>
    <w:unhideWhenUsed/>
    <w:rsid w:val="0003148D"/>
    <w:pPr>
      <w:spacing w:after="120"/>
      <w:ind w:left="1132"/>
      <w:contextualSpacing/>
    </w:pPr>
  </w:style>
  <w:style w:type="paragraph" w:styleId="Listadecontinuao5">
    <w:name w:val="List Continue 5"/>
    <w:basedOn w:val="Normal"/>
    <w:uiPriority w:val="99"/>
    <w:semiHidden/>
    <w:unhideWhenUsed/>
    <w:rsid w:val="0003148D"/>
    <w:pPr>
      <w:spacing w:after="120"/>
      <w:ind w:left="1415"/>
      <w:contextualSpacing/>
    </w:pPr>
  </w:style>
  <w:style w:type="paragraph" w:styleId="Assinatura">
    <w:name w:val="Signature"/>
    <w:basedOn w:val="Normal"/>
    <w:link w:val="AssinaturaChar"/>
    <w:uiPriority w:val="99"/>
    <w:semiHidden/>
    <w:unhideWhenUsed/>
    <w:rsid w:val="0003148D"/>
    <w:pPr>
      <w:spacing w:line="240" w:lineRule="auto"/>
      <w:ind w:left="4252"/>
    </w:pPr>
  </w:style>
  <w:style w:type="character" w:customStyle="1" w:styleId="AssinaturaChar">
    <w:name w:val="Assinatura Char"/>
    <w:basedOn w:val="Fontepargpadro"/>
    <w:link w:val="Assinatura"/>
    <w:uiPriority w:val="99"/>
    <w:semiHidden/>
    <w:rsid w:val="0003148D"/>
  </w:style>
  <w:style w:type="paragraph" w:styleId="AssinaturadeEmail">
    <w:name w:val="E-mail Signature"/>
    <w:basedOn w:val="Normal"/>
    <w:link w:val="AssinaturadeEmailChar"/>
    <w:uiPriority w:val="99"/>
    <w:semiHidden/>
    <w:unhideWhenUsed/>
    <w:rsid w:val="0003148D"/>
    <w:pPr>
      <w:spacing w:line="240" w:lineRule="auto"/>
    </w:pPr>
  </w:style>
  <w:style w:type="character" w:customStyle="1" w:styleId="AssinaturadeEmailChar">
    <w:name w:val="Assinatura de Email Char"/>
    <w:basedOn w:val="Fontepargpadro"/>
    <w:link w:val="AssinaturadeEmail"/>
    <w:uiPriority w:val="99"/>
    <w:semiHidden/>
    <w:rsid w:val="0003148D"/>
  </w:style>
  <w:style w:type="paragraph" w:styleId="Saudao">
    <w:name w:val="Salutation"/>
    <w:basedOn w:val="Normal"/>
    <w:next w:val="Normal"/>
    <w:link w:val="SaudaoChar"/>
    <w:uiPriority w:val="99"/>
    <w:semiHidden/>
    <w:unhideWhenUsed/>
    <w:rsid w:val="0003148D"/>
  </w:style>
  <w:style w:type="character" w:customStyle="1" w:styleId="SaudaoChar">
    <w:name w:val="Saudação Char"/>
    <w:basedOn w:val="Fontepargpadro"/>
    <w:link w:val="Saudao"/>
    <w:uiPriority w:val="99"/>
    <w:semiHidden/>
    <w:rsid w:val="0003148D"/>
  </w:style>
  <w:style w:type="paragraph" w:styleId="Encerramento">
    <w:name w:val="Closing"/>
    <w:basedOn w:val="Normal"/>
    <w:link w:val="EncerramentoChar"/>
    <w:uiPriority w:val="99"/>
    <w:semiHidden/>
    <w:unhideWhenUsed/>
    <w:rsid w:val="0003148D"/>
    <w:pPr>
      <w:spacing w:line="240" w:lineRule="auto"/>
      <w:ind w:left="4252"/>
    </w:pPr>
  </w:style>
  <w:style w:type="character" w:customStyle="1" w:styleId="EncerramentoChar">
    <w:name w:val="Encerramento Char"/>
    <w:basedOn w:val="Fontepargpadro"/>
    <w:link w:val="Encerramento"/>
    <w:uiPriority w:val="99"/>
    <w:semiHidden/>
    <w:rsid w:val="0003148D"/>
  </w:style>
  <w:style w:type="paragraph" w:styleId="Remissivo1">
    <w:name w:val="index 1"/>
    <w:basedOn w:val="Normal"/>
    <w:next w:val="Normal"/>
    <w:autoRedefine/>
    <w:uiPriority w:val="99"/>
    <w:semiHidden/>
    <w:unhideWhenUsed/>
    <w:rsid w:val="0003148D"/>
    <w:pPr>
      <w:spacing w:line="240" w:lineRule="auto"/>
      <w:ind w:left="220" w:hanging="220"/>
    </w:pPr>
  </w:style>
  <w:style w:type="paragraph" w:styleId="Remissivo2">
    <w:name w:val="index 2"/>
    <w:basedOn w:val="Normal"/>
    <w:next w:val="Normal"/>
    <w:autoRedefine/>
    <w:uiPriority w:val="99"/>
    <w:semiHidden/>
    <w:unhideWhenUsed/>
    <w:rsid w:val="0003148D"/>
    <w:pPr>
      <w:spacing w:line="240" w:lineRule="auto"/>
      <w:ind w:left="440" w:hanging="220"/>
    </w:pPr>
  </w:style>
  <w:style w:type="paragraph" w:styleId="Remissivo3">
    <w:name w:val="index 3"/>
    <w:basedOn w:val="Normal"/>
    <w:next w:val="Normal"/>
    <w:autoRedefine/>
    <w:uiPriority w:val="99"/>
    <w:semiHidden/>
    <w:unhideWhenUsed/>
    <w:rsid w:val="0003148D"/>
    <w:pPr>
      <w:spacing w:line="240" w:lineRule="auto"/>
      <w:ind w:left="660" w:hanging="220"/>
    </w:pPr>
  </w:style>
  <w:style w:type="paragraph" w:styleId="Remissivo4">
    <w:name w:val="index 4"/>
    <w:basedOn w:val="Normal"/>
    <w:next w:val="Normal"/>
    <w:autoRedefine/>
    <w:uiPriority w:val="99"/>
    <w:semiHidden/>
    <w:unhideWhenUsed/>
    <w:rsid w:val="0003148D"/>
    <w:pPr>
      <w:spacing w:line="240" w:lineRule="auto"/>
      <w:ind w:left="880" w:hanging="220"/>
    </w:pPr>
  </w:style>
  <w:style w:type="paragraph" w:styleId="Remissivo5">
    <w:name w:val="index 5"/>
    <w:basedOn w:val="Normal"/>
    <w:next w:val="Normal"/>
    <w:autoRedefine/>
    <w:uiPriority w:val="99"/>
    <w:semiHidden/>
    <w:unhideWhenUsed/>
    <w:rsid w:val="0003148D"/>
    <w:pPr>
      <w:spacing w:line="240" w:lineRule="auto"/>
      <w:ind w:left="1100" w:hanging="220"/>
    </w:pPr>
  </w:style>
  <w:style w:type="paragraph" w:styleId="Remissivo6">
    <w:name w:val="index 6"/>
    <w:basedOn w:val="Normal"/>
    <w:next w:val="Normal"/>
    <w:autoRedefine/>
    <w:uiPriority w:val="99"/>
    <w:semiHidden/>
    <w:unhideWhenUsed/>
    <w:rsid w:val="0003148D"/>
    <w:pPr>
      <w:spacing w:line="240" w:lineRule="auto"/>
      <w:ind w:left="1320" w:hanging="220"/>
    </w:pPr>
  </w:style>
  <w:style w:type="paragraph" w:styleId="Remissivo7">
    <w:name w:val="index 7"/>
    <w:basedOn w:val="Normal"/>
    <w:next w:val="Normal"/>
    <w:autoRedefine/>
    <w:uiPriority w:val="99"/>
    <w:semiHidden/>
    <w:unhideWhenUsed/>
    <w:rsid w:val="0003148D"/>
    <w:pPr>
      <w:spacing w:line="240" w:lineRule="auto"/>
      <w:ind w:left="1540" w:hanging="220"/>
    </w:pPr>
  </w:style>
  <w:style w:type="paragraph" w:styleId="Remissivo8">
    <w:name w:val="index 8"/>
    <w:basedOn w:val="Normal"/>
    <w:next w:val="Normal"/>
    <w:autoRedefine/>
    <w:uiPriority w:val="99"/>
    <w:semiHidden/>
    <w:unhideWhenUsed/>
    <w:rsid w:val="0003148D"/>
    <w:pPr>
      <w:spacing w:line="240" w:lineRule="auto"/>
      <w:ind w:left="1760" w:hanging="220"/>
    </w:pPr>
  </w:style>
  <w:style w:type="paragraph" w:styleId="Remissivo9">
    <w:name w:val="index 9"/>
    <w:basedOn w:val="Normal"/>
    <w:next w:val="Normal"/>
    <w:autoRedefine/>
    <w:uiPriority w:val="99"/>
    <w:semiHidden/>
    <w:unhideWhenUsed/>
    <w:rsid w:val="0003148D"/>
    <w:pPr>
      <w:spacing w:line="240" w:lineRule="auto"/>
      <w:ind w:left="1980" w:hanging="220"/>
    </w:pPr>
  </w:style>
  <w:style w:type="paragraph" w:styleId="ndicedeilustraes">
    <w:name w:val="table of figures"/>
    <w:basedOn w:val="Normal"/>
    <w:next w:val="Normal"/>
    <w:uiPriority w:val="99"/>
    <w:semiHidden/>
    <w:unhideWhenUsed/>
    <w:rsid w:val="0003148D"/>
  </w:style>
  <w:style w:type="paragraph" w:styleId="ndicedeautoridades">
    <w:name w:val="table of authorities"/>
    <w:basedOn w:val="Normal"/>
    <w:next w:val="Normal"/>
    <w:uiPriority w:val="99"/>
    <w:semiHidden/>
    <w:unhideWhenUsed/>
    <w:rsid w:val="0003148D"/>
    <w:pPr>
      <w:ind w:left="220" w:hanging="220"/>
    </w:pPr>
  </w:style>
  <w:style w:type="paragraph" w:styleId="Destinatrio">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dereoHTML">
    <w:name w:val="HTML Address"/>
    <w:basedOn w:val="Normal"/>
    <w:link w:val="EndereoHTMLChar"/>
    <w:uiPriority w:val="99"/>
    <w:semiHidden/>
    <w:unhideWhenUsed/>
    <w:rsid w:val="0003148D"/>
    <w:pPr>
      <w:spacing w:line="240" w:lineRule="auto"/>
    </w:pPr>
    <w:rPr>
      <w:i/>
      <w:iCs/>
    </w:rPr>
  </w:style>
  <w:style w:type="character" w:customStyle="1" w:styleId="EndereoHTMLChar">
    <w:name w:val="Endereço HTML Char"/>
    <w:basedOn w:val="Fontepargpadro"/>
    <w:link w:val="EndereoHTML"/>
    <w:uiPriority w:val="99"/>
    <w:semiHidden/>
    <w:rsid w:val="0003148D"/>
    <w:rPr>
      <w:i/>
      <w:iCs/>
    </w:rPr>
  </w:style>
  <w:style w:type="paragraph" w:styleId="Remetente">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Cabealhodamensagem">
    <w:name w:val="Message Header"/>
    <w:basedOn w:val="Normal"/>
    <w:link w:val="Cabealhodamensagem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CabealhodamensagemChar">
    <w:name w:val="Cabeçalho da mensagem Char"/>
    <w:basedOn w:val="Fontepargpadro"/>
    <w:link w:val="Cabealhodamensagem"/>
    <w:uiPriority w:val="99"/>
    <w:semiHidden/>
    <w:rsid w:val="0003148D"/>
    <w:rPr>
      <w:rFonts w:asciiTheme="majorHAnsi" w:eastAsiaTheme="majorEastAsia" w:hAnsiTheme="majorHAnsi" w:cstheme="majorBidi"/>
      <w:sz w:val="24"/>
      <w:szCs w:val="24"/>
      <w:shd w:val="pct20" w:color="auto" w:fill="auto"/>
    </w:rPr>
  </w:style>
  <w:style w:type="paragraph" w:styleId="Ttulodanota">
    <w:name w:val="Note Heading"/>
    <w:basedOn w:val="Normal"/>
    <w:next w:val="Normal"/>
    <w:link w:val="TtulodanotaChar"/>
    <w:uiPriority w:val="99"/>
    <w:semiHidden/>
    <w:unhideWhenUsed/>
    <w:rsid w:val="0003148D"/>
    <w:pPr>
      <w:spacing w:line="240" w:lineRule="auto"/>
    </w:pPr>
  </w:style>
  <w:style w:type="character" w:customStyle="1" w:styleId="TtulodanotaChar">
    <w:name w:val="Título da nota Char"/>
    <w:basedOn w:val="Fontepargpadro"/>
    <w:link w:val="Ttulodanota"/>
    <w:uiPriority w:val="99"/>
    <w:semiHidden/>
    <w:rsid w:val="0003148D"/>
  </w:style>
  <w:style w:type="paragraph" w:styleId="MapadoDocumento">
    <w:name w:val="Document Map"/>
    <w:basedOn w:val="Normal"/>
    <w:link w:val="MapadoDocumentoChar"/>
    <w:uiPriority w:val="99"/>
    <w:semiHidden/>
    <w:unhideWhenUsed/>
    <w:rsid w:val="0003148D"/>
    <w:pPr>
      <w:spacing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Numerada">
    <w:name w:val="List Number"/>
    <w:basedOn w:val="Normal"/>
    <w:uiPriority w:val="99"/>
    <w:semiHidden/>
    <w:unhideWhenUsed/>
    <w:rsid w:val="0003148D"/>
    <w:pPr>
      <w:numPr>
        <w:numId w:val="2"/>
      </w:numPr>
      <w:contextualSpacing/>
    </w:pPr>
  </w:style>
  <w:style w:type="paragraph" w:styleId="Numerada2">
    <w:name w:val="List Number 2"/>
    <w:basedOn w:val="Normal"/>
    <w:uiPriority w:val="99"/>
    <w:semiHidden/>
    <w:unhideWhenUsed/>
    <w:rsid w:val="0003148D"/>
    <w:pPr>
      <w:numPr>
        <w:numId w:val="3"/>
      </w:numPr>
      <w:contextualSpacing/>
    </w:pPr>
  </w:style>
  <w:style w:type="paragraph" w:styleId="Numerada3">
    <w:name w:val="List Number 3"/>
    <w:basedOn w:val="Normal"/>
    <w:uiPriority w:val="99"/>
    <w:semiHidden/>
    <w:unhideWhenUsed/>
    <w:rsid w:val="0003148D"/>
    <w:pPr>
      <w:numPr>
        <w:numId w:val="4"/>
      </w:numPr>
      <w:contextualSpacing/>
    </w:pPr>
  </w:style>
  <w:style w:type="paragraph" w:styleId="Numerada4">
    <w:name w:val="List Number 4"/>
    <w:basedOn w:val="Normal"/>
    <w:uiPriority w:val="99"/>
    <w:semiHidden/>
    <w:unhideWhenUsed/>
    <w:rsid w:val="0003148D"/>
    <w:pPr>
      <w:numPr>
        <w:numId w:val="5"/>
      </w:numPr>
      <w:contextualSpacing/>
    </w:pPr>
  </w:style>
  <w:style w:type="paragraph" w:styleId="Numerada5">
    <w:name w:val="List Number 5"/>
    <w:basedOn w:val="Normal"/>
    <w:uiPriority w:val="99"/>
    <w:semiHidden/>
    <w:unhideWhenUsed/>
    <w:rsid w:val="0003148D"/>
    <w:pPr>
      <w:numPr>
        <w:numId w:val="6"/>
      </w:numPr>
      <w:contextualSpacing/>
    </w:pPr>
  </w:style>
  <w:style w:type="paragraph" w:styleId="Pr-formataoHTML">
    <w:name w:val="HTML Preformatted"/>
    <w:basedOn w:val="Normal"/>
    <w:link w:val="Pr-formataoHTMLChar"/>
    <w:uiPriority w:val="99"/>
    <w:semiHidden/>
    <w:unhideWhenUsed/>
    <w:rsid w:val="0003148D"/>
    <w:pPr>
      <w:spacing w:line="240" w:lineRule="auto"/>
    </w:pPr>
    <w:rPr>
      <w:rFonts w:ascii="Consolas" w:hAnsi="Consolas" w:cs="Consolas"/>
    </w:rPr>
  </w:style>
  <w:style w:type="character" w:customStyle="1" w:styleId="Pr-formataoHTMLChar">
    <w:name w:val="Pré-formatação HTML Char"/>
    <w:basedOn w:val="Fontepargpadro"/>
    <w:link w:val="Pr-formataoHTML"/>
    <w:uiPriority w:val="99"/>
    <w:semiHidden/>
    <w:rsid w:val="0003148D"/>
    <w:rPr>
      <w:rFonts w:ascii="Consolas" w:hAnsi="Consolas" w:cs="Consolas"/>
      <w:sz w:val="20"/>
      <w:szCs w:val="20"/>
    </w:rPr>
  </w:style>
  <w:style w:type="paragraph" w:styleId="Primeirorecuodecorpodetexto">
    <w:name w:val="Body Text First Indent"/>
    <w:basedOn w:val="Corpodetexto"/>
    <w:link w:val="PrimeirorecuodecorpodetextoChar"/>
    <w:uiPriority w:val="99"/>
    <w:semiHidden/>
    <w:unhideWhenUsed/>
    <w:rsid w:val="0003148D"/>
    <w:pPr>
      <w:spacing w:after="200"/>
      <w:ind w:firstLine="360"/>
    </w:pPr>
  </w:style>
  <w:style w:type="character" w:customStyle="1" w:styleId="PrimeirorecuodecorpodetextoChar">
    <w:name w:val="Primeiro recuo de corpo de texto Char"/>
    <w:basedOn w:val="CorpodetextoChar"/>
    <w:link w:val="Primeirorecuodecorpodetexto"/>
    <w:uiPriority w:val="99"/>
    <w:semiHidden/>
    <w:rsid w:val="0003148D"/>
  </w:style>
  <w:style w:type="paragraph" w:styleId="Recuodecorpodetexto">
    <w:name w:val="Body Text Indent"/>
    <w:basedOn w:val="Normal"/>
    <w:link w:val="RecuodecorpodetextoChar"/>
    <w:uiPriority w:val="99"/>
    <w:semiHidden/>
    <w:unhideWhenUsed/>
    <w:rsid w:val="0003148D"/>
    <w:pPr>
      <w:spacing w:after="120"/>
      <w:ind w:left="283"/>
    </w:pPr>
  </w:style>
  <w:style w:type="character" w:customStyle="1" w:styleId="RecuodecorpodetextoChar">
    <w:name w:val="Recuo de corpo de texto Char"/>
    <w:basedOn w:val="Fontepargpadro"/>
    <w:link w:val="Recuodecorpodetexto"/>
    <w:uiPriority w:val="99"/>
    <w:semiHidden/>
    <w:rsid w:val="0003148D"/>
  </w:style>
  <w:style w:type="paragraph" w:styleId="Primeirorecuodecorpodetexto2">
    <w:name w:val="Body Text First Indent 2"/>
    <w:basedOn w:val="Recuodecorpodetexto"/>
    <w:link w:val="Primeirorecuodecorpodetexto2Char"/>
    <w:uiPriority w:val="99"/>
    <w:semiHidden/>
    <w:unhideWhenUsed/>
    <w:rsid w:val="0003148D"/>
    <w:pPr>
      <w:spacing w:after="200"/>
      <w:ind w:left="360" w:firstLine="360"/>
    </w:pPr>
  </w:style>
  <w:style w:type="character" w:customStyle="1" w:styleId="Primeirorecuodecorpodetexto2Char">
    <w:name w:val="Primeiro recuo de corpo de texto 2 Char"/>
    <w:basedOn w:val="RecuodecorpodetextoChar"/>
    <w:link w:val="Primeirorecuodecorpodetexto2"/>
    <w:uiPriority w:val="99"/>
    <w:semiHidden/>
    <w:rsid w:val="0003148D"/>
  </w:style>
  <w:style w:type="paragraph" w:styleId="Commarcadores">
    <w:name w:val="List Bullet"/>
    <w:basedOn w:val="Normal"/>
    <w:uiPriority w:val="99"/>
    <w:semiHidden/>
    <w:unhideWhenUsed/>
    <w:rsid w:val="0003148D"/>
    <w:pPr>
      <w:numPr>
        <w:numId w:val="7"/>
      </w:numPr>
      <w:contextualSpacing/>
    </w:pPr>
  </w:style>
  <w:style w:type="paragraph" w:styleId="Commarcadores2">
    <w:name w:val="List Bullet 2"/>
    <w:basedOn w:val="Normal"/>
    <w:uiPriority w:val="99"/>
    <w:semiHidden/>
    <w:unhideWhenUsed/>
    <w:rsid w:val="0003148D"/>
    <w:pPr>
      <w:numPr>
        <w:numId w:val="8"/>
      </w:numPr>
      <w:contextualSpacing/>
    </w:pPr>
  </w:style>
  <w:style w:type="paragraph" w:styleId="Commarcadores3">
    <w:name w:val="List Bullet 3"/>
    <w:basedOn w:val="Normal"/>
    <w:uiPriority w:val="99"/>
    <w:semiHidden/>
    <w:unhideWhenUsed/>
    <w:rsid w:val="0003148D"/>
    <w:pPr>
      <w:numPr>
        <w:numId w:val="9"/>
      </w:numPr>
      <w:contextualSpacing/>
    </w:pPr>
  </w:style>
  <w:style w:type="paragraph" w:styleId="Commarcadores4">
    <w:name w:val="List Bullet 4"/>
    <w:basedOn w:val="Normal"/>
    <w:uiPriority w:val="99"/>
    <w:semiHidden/>
    <w:unhideWhenUsed/>
    <w:rsid w:val="0003148D"/>
    <w:pPr>
      <w:numPr>
        <w:numId w:val="10"/>
      </w:numPr>
      <w:contextualSpacing/>
    </w:pPr>
  </w:style>
  <w:style w:type="paragraph" w:styleId="Commarcadores5">
    <w:name w:val="List Bullet 5"/>
    <w:basedOn w:val="Normal"/>
    <w:uiPriority w:val="99"/>
    <w:semiHidden/>
    <w:unhideWhenUsed/>
    <w:rsid w:val="0003148D"/>
    <w:pPr>
      <w:numPr>
        <w:numId w:val="11"/>
      </w:numPr>
      <w:contextualSpacing/>
    </w:pPr>
  </w:style>
  <w:style w:type="paragraph" w:styleId="Recuodecorpodetexto2">
    <w:name w:val="Body Text Indent 2"/>
    <w:basedOn w:val="Normal"/>
    <w:link w:val="Recuodecorpodetexto2Char"/>
    <w:uiPriority w:val="99"/>
    <w:semiHidden/>
    <w:unhideWhenUsed/>
    <w:rsid w:val="0003148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03148D"/>
  </w:style>
  <w:style w:type="paragraph" w:styleId="Recuodecorpodetexto3">
    <w:name w:val="Body Text Indent 3"/>
    <w:basedOn w:val="Normal"/>
    <w:link w:val="Recuodecorpodetexto3Char"/>
    <w:uiPriority w:val="99"/>
    <w:semiHidden/>
    <w:unhideWhenUsed/>
    <w:rsid w:val="0003148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03148D"/>
    <w:rPr>
      <w:sz w:val="16"/>
      <w:szCs w:val="16"/>
    </w:rPr>
  </w:style>
  <w:style w:type="paragraph" w:styleId="Recuonormal">
    <w:name w:val="Normal Indent"/>
    <w:basedOn w:val="Normal"/>
    <w:uiPriority w:val="99"/>
    <w:semiHidden/>
    <w:unhideWhenUsed/>
    <w:rsid w:val="0003148D"/>
    <w:pPr>
      <w:ind w:left="720"/>
    </w:pPr>
  </w:style>
  <w:style w:type="paragraph" w:styleId="Textodecomentrio">
    <w:name w:val="annotation text"/>
    <w:basedOn w:val="Normal"/>
    <w:link w:val="TextodecomentrioChar"/>
    <w:uiPriority w:val="99"/>
    <w:unhideWhenUsed/>
    <w:rsid w:val="0003148D"/>
    <w:pPr>
      <w:spacing w:line="240" w:lineRule="auto"/>
    </w:pPr>
  </w:style>
  <w:style w:type="character" w:customStyle="1" w:styleId="TextodecomentrioChar">
    <w:name w:val="Texto de comentário Char"/>
    <w:basedOn w:val="Fontepargpadro"/>
    <w:link w:val="Textodecomentrio"/>
    <w:uiPriority w:val="99"/>
    <w:rsid w:val="0003148D"/>
    <w:rPr>
      <w:sz w:val="20"/>
      <w:szCs w:val="20"/>
    </w:rPr>
  </w:style>
  <w:style w:type="paragraph" w:styleId="Assuntodocomentrio">
    <w:name w:val="annotation subject"/>
    <w:basedOn w:val="Textodecomentrio"/>
    <w:next w:val="Textodecomentrio"/>
    <w:link w:val="AssuntodocomentrioChar"/>
    <w:uiPriority w:val="99"/>
    <w:semiHidden/>
    <w:unhideWhenUsed/>
    <w:rsid w:val="0003148D"/>
    <w:rPr>
      <w:b/>
      <w:bCs/>
    </w:rPr>
  </w:style>
  <w:style w:type="character" w:customStyle="1" w:styleId="AssuntodocomentrioChar">
    <w:name w:val="Assunto do comentário Char"/>
    <w:basedOn w:val="TextodecomentrioChar"/>
    <w:link w:val="Assuntodocomentrio"/>
    <w:uiPriority w:val="99"/>
    <w:semiHidden/>
    <w:rsid w:val="0003148D"/>
    <w:rPr>
      <w:b/>
      <w:bCs/>
      <w:sz w:val="20"/>
      <w:szCs w:val="20"/>
    </w:rPr>
  </w:style>
  <w:style w:type="paragraph" w:styleId="Sumrio1">
    <w:name w:val="toc 1"/>
    <w:basedOn w:val="Normal"/>
    <w:next w:val="Normal"/>
    <w:autoRedefine/>
    <w:uiPriority w:val="39"/>
    <w:semiHidden/>
    <w:unhideWhenUsed/>
    <w:rsid w:val="0003148D"/>
    <w:pPr>
      <w:spacing w:after="100"/>
    </w:pPr>
  </w:style>
  <w:style w:type="paragraph" w:styleId="Sumrio2">
    <w:name w:val="toc 2"/>
    <w:basedOn w:val="Normal"/>
    <w:next w:val="Normal"/>
    <w:autoRedefine/>
    <w:uiPriority w:val="39"/>
    <w:semiHidden/>
    <w:unhideWhenUsed/>
    <w:rsid w:val="0003148D"/>
    <w:pPr>
      <w:spacing w:after="100"/>
      <w:ind w:left="220"/>
    </w:pPr>
  </w:style>
  <w:style w:type="paragraph" w:styleId="Sumrio3">
    <w:name w:val="toc 3"/>
    <w:basedOn w:val="Normal"/>
    <w:next w:val="Normal"/>
    <w:autoRedefine/>
    <w:uiPriority w:val="39"/>
    <w:semiHidden/>
    <w:unhideWhenUsed/>
    <w:rsid w:val="0003148D"/>
    <w:pPr>
      <w:spacing w:after="100"/>
      <w:ind w:left="440"/>
    </w:pPr>
  </w:style>
  <w:style w:type="paragraph" w:styleId="Sumrio4">
    <w:name w:val="toc 4"/>
    <w:basedOn w:val="Normal"/>
    <w:next w:val="Normal"/>
    <w:autoRedefine/>
    <w:uiPriority w:val="39"/>
    <w:semiHidden/>
    <w:unhideWhenUsed/>
    <w:rsid w:val="0003148D"/>
    <w:pPr>
      <w:spacing w:after="100"/>
      <w:ind w:left="660"/>
    </w:pPr>
  </w:style>
  <w:style w:type="paragraph" w:styleId="Sumrio5">
    <w:name w:val="toc 5"/>
    <w:basedOn w:val="Normal"/>
    <w:next w:val="Normal"/>
    <w:autoRedefine/>
    <w:uiPriority w:val="39"/>
    <w:semiHidden/>
    <w:unhideWhenUsed/>
    <w:rsid w:val="0003148D"/>
    <w:pPr>
      <w:spacing w:after="100"/>
      <w:ind w:left="880"/>
    </w:pPr>
  </w:style>
  <w:style w:type="paragraph" w:styleId="Sumrio6">
    <w:name w:val="toc 6"/>
    <w:basedOn w:val="Normal"/>
    <w:next w:val="Normal"/>
    <w:autoRedefine/>
    <w:uiPriority w:val="39"/>
    <w:semiHidden/>
    <w:unhideWhenUsed/>
    <w:rsid w:val="0003148D"/>
    <w:pPr>
      <w:spacing w:after="100"/>
      <w:ind w:left="1100"/>
    </w:pPr>
  </w:style>
  <w:style w:type="paragraph" w:styleId="Sumrio7">
    <w:name w:val="toc 7"/>
    <w:basedOn w:val="Normal"/>
    <w:next w:val="Normal"/>
    <w:autoRedefine/>
    <w:uiPriority w:val="39"/>
    <w:semiHidden/>
    <w:unhideWhenUsed/>
    <w:rsid w:val="0003148D"/>
    <w:pPr>
      <w:spacing w:after="100"/>
      <w:ind w:left="1320"/>
    </w:pPr>
  </w:style>
  <w:style w:type="paragraph" w:styleId="Sumrio8">
    <w:name w:val="toc 8"/>
    <w:basedOn w:val="Normal"/>
    <w:next w:val="Normal"/>
    <w:autoRedefine/>
    <w:uiPriority w:val="39"/>
    <w:semiHidden/>
    <w:unhideWhenUsed/>
    <w:rsid w:val="0003148D"/>
    <w:pPr>
      <w:spacing w:after="100"/>
      <w:ind w:left="1540"/>
    </w:pPr>
  </w:style>
  <w:style w:type="paragraph" w:styleId="Sumrio9">
    <w:name w:val="toc 9"/>
    <w:basedOn w:val="Normal"/>
    <w:next w:val="Normal"/>
    <w:autoRedefine/>
    <w:uiPriority w:val="39"/>
    <w:semiHidden/>
    <w:unhideWhenUsed/>
    <w:rsid w:val="0003148D"/>
    <w:pPr>
      <w:spacing w:after="100"/>
      <w:ind w:left="1760"/>
    </w:pPr>
  </w:style>
  <w:style w:type="paragraph" w:styleId="Textoembloco">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odemacro">
    <w:name w:val="macro"/>
    <w:link w:val="Textodemacro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demacroChar">
    <w:name w:val="Texto de macro Char"/>
    <w:basedOn w:val="Fontepargpadro"/>
    <w:link w:val="Textodemacro"/>
    <w:uiPriority w:val="99"/>
    <w:semiHidden/>
    <w:rsid w:val="0003148D"/>
    <w:rPr>
      <w:rFonts w:ascii="Consolas" w:hAnsi="Consolas" w:cs="Consolas"/>
      <w:sz w:val="20"/>
      <w:szCs w:val="20"/>
    </w:rPr>
  </w:style>
  <w:style w:type="paragraph" w:styleId="TextosemFormatao">
    <w:name w:val="Plain Text"/>
    <w:basedOn w:val="Normal"/>
    <w:link w:val="TextosemFormataoChar"/>
    <w:uiPriority w:val="99"/>
    <w:semiHidden/>
    <w:unhideWhenUsed/>
    <w:rsid w:val="0003148D"/>
    <w:pPr>
      <w:spacing w:line="240" w:lineRule="auto"/>
    </w:pPr>
    <w:rPr>
      <w:rFonts w:ascii="Consolas" w:hAnsi="Consolas" w:cs="Consolas"/>
      <w:sz w:val="21"/>
      <w:szCs w:val="21"/>
    </w:rPr>
  </w:style>
  <w:style w:type="character" w:customStyle="1" w:styleId="TextosemFormataoChar">
    <w:name w:val="Texto sem Formatação Char"/>
    <w:basedOn w:val="Fontepargpadro"/>
    <w:link w:val="TextosemFormatao"/>
    <w:uiPriority w:val="99"/>
    <w:semiHidden/>
    <w:rsid w:val="0003148D"/>
    <w:rPr>
      <w:rFonts w:ascii="Consolas" w:hAnsi="Consolas" w:cs="Consolas"/>
      <w:sz w:val="21"/>
      <w:szCs w:val="21"/>
    </w:rPr>
  </w:style>
  <w:style w:type="paragraph" w:styleId="Textodenotaderodap">
    <w:name w:val="footnote text"/>
    <w:basedOn w:val="Normal"/>
    <w:link w:val="TextodenotaderodapChar"/>
    <w:uiPriority w:val="99"/>
    <w:semiHidden/>
    <w:unhideWhenUsed/>
    <w:rsid w:val="0003148D"/>
    <w:pPr>
      <w:spacing w:line="240" w:lineRule="auto"/>
    </w:pPr>
  </w:style>
  <w:style w:type="character" w:customStyle="1" w:styleId="TextodenotaderodapChar">
    <w:name w:val="Texto de nota de rodapé Char"/>
    <w:basedOn w:val="Fontepargpadro"/>
    <w:link w:val="Textodenotaderodap"/>
    <w:uiPriority w:val="99"/>
    <w:semiHidden/>
    <w:rsid w:val="0003148D"/>
    <w:rPr>
      <w:sz w:val="20"/>
      <w:szCs w:val="20"/>
    </w:rPr>
  </w:style>
  <w:style w:type="paragraph" w:styleId="Textodenotadefim">
    <w:name w:val="endnote text"/>
    <w:basedOn w:val="Normal"/>
    <w:link w:val="TextodenotadefimChar"/>
    <w:uiPriority w:val="99"/>
    <w:semiHidden/>
    <w:unhideWhenUsed/>
    <w:rsid w:val="0003148D"/>
    <w:pPr>
      <w:spacing w:line="240" w:lineRule="auto"/>
    </w:pPr>
  </w:style>
  <w:style w:type="character" w:customStyle="1" w:styleId="TextodenotadefimChar">
    <w:name w:val="Texto de nota de fim Char"/>
    <w:basedOn w:val="Fontepargpadro"/>
    <w:link w:val="Textodenotadefim"/>
    <w:uiPriority w:val="99"/>
    <w:semiHidden/>
    <w:rsid w:val="0003148D"/>
    <w:rPr>
      <w:sz w:val="20"/>
      <w:szCs w:val="20"/>
    </w:rPr>
  </w:style>
  <w:style w:type="character" w:customStyle="1" w:styleId="Ttulo1Char">
    <w:name w:val="Título 1 Char"/>
    <w:basedOn w:val="Fontepargpadro"/>
    <w:link w:val="Ttulo1"/>
    <w:uiPriority w:val="9"/>
    <w:rsid w:val="004F5E36"/>
    <w:rPr>
      <w:rFonts w:ascii="Arial" w:eastAsia="Times New Roman" w:hAnsi="Arial" w:cs="Times New Roman"/>
      <w:b/>
      <w:sz w:val="20"/>
      <w:szCs w:val="20"/>
      <w:lang w:val="en-GB"/>
    </w:rPr>
  </w:style>
  <w:style w:type="character" w:customStyle="1" w:styleId="Ttulo2Char">
    <w:name w:val="Título 2 Char"/>
    <w:basedOn w:val="Fontepargpadro"/>
    <w:link w:val="Ttu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03148D"/>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03148D"/>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03148D"/>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03148D"/>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03148D"/>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03148D"/>
    <w:rPr>
      <w:rFonts w:asciiTheme="majorHAnsi" w:eastAsiaTheme="majorEastAsia" w:hAnsiTheme="majorHAnsi" w:cstheme="majorBidi"/>
      <w:i/>
      <w:iCs/>
      <w:color w:val="404040" w:themeColor="text1" w:themeTint="BF"/>
      <w:sz w:val="20"/>
      <w:szCs w:val="20"/>
    </w:rPr>
  </w:style>
  <w:style w:type="paragraph" w:styleId="Ttulodendiceremissivo">
    <w:name w:val="index heading"/>
    <w:basedOn w:val="Normal"/>
    <w:next w:val="Remissivo1"/>
    <w:uiPriority w:val="99"/>
    <w:semiHidden/>
    <w:unhideWhenUsed/>
    <w:rsid w:val="0003148D"/>
    <w:rPr>
      <w:rFonts w:asciiTheme="majorHAnsi" w:eastAsiaTheme="majorEastAsia" w:hAnsiTheme="majorHAnsi" w:cstheme="majorBidi"/>
      <w:b/>
      <w:bCs/>
    </w:rPr>
  </w:style>
  <w:style w:type="paragraph" w:styleId="Ttulodendicedeautoridades">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CabealhodoSumrio">
    <w:name w:val="TOC Heading"/>
    <w:basedOn w:val="Ttulo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Fontepargpadr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Cabealho">
    <w:name w:val="header"/>
    <w:basedOn w:val="Normal"/>
    <w:link w:val="CabealhoChar"/>
    <w:uiPriority w:val="99"/>
    <w:unhideWhenUsed/>
    <w:rsid w:val="005278B7"/>
    <w:pPr>
      <w:tabs>
        <w:tab w:val="clear" w:pos="7100"/>
        <w:tab w:val="center" w:pos="4819"/>
        <w:tab w:val="right" w:pos="9638"/>
      </w:tabs>
      <w:spacing w:line="240" w:lineRule="auto"/>
    </w:pPr>
  </w:style>
  <w:style w:type="character" w:customStyle="1" w:styleId="CabealhoChar">
    <w:name w:val="Cabeçalho Char"/>
    <w:basedOn w:val="Fontepargpadro"/>
    <w:link w:val="Cabealho"/>
    <w:uiPriority w:val="99"/>
    <w:rsid w:val="005278B7"/>
    <w:rPr>
      <w:rFonts w:ascii="Arial" w:eastAsia="Times New Roman" w:hAnsi="Arial" w:cs="Times New Roman"/>
      <w:sz w:val="18"/>
      <w:szCs w:val="20"/>
      <w:lang w:val="en-GB"/>
    </w:rPr>
  </w:style>
  <w:style w:type="paragraph" w:styleId="Rodap">
    <w:name w:val="footer"/>
    <w:basedOn w:val="Normal"/>
    <w:link w:val="RodapChar"/>
    <w:uiPriority w:val="99"/>
    <w:unhideWhenUsed/>
    <w:rsid w:val="005278B7"/>
    <w:pPr>
      <w:tabs>
        <w:tab w:val="clear" w:pos="7100"/>
        <w:tab w:val="center" w:pos="4819"/>
        <w:tab w:val="right" w:pos="9638"/>
      </w:tabs>
      <w:spacing w:line="240" w:lineRule="auto"/>
    </w:pPr>
  </w:style>
  <w:style w:type="character" w:customStyle="1" w:styleId="RodapChar">
    <w:name w:val="Rodapé Char"/>
    <w:basedOn w:val="Fontepargpadro"/>
    <w:link w:val="Rodap"/>
    <w:uiPriority w:val="99"/>
    <w:rsid w:val="005278B7"/>
    <w:rPr>
      <w:rFonts w:ascii="Arial" w:eastAsia="Times New Roman" w:hAnsi="Arial" w:cs="Times New Roman"/>
      <w:sz w:val="18"/>
      <w:szCs w:val="20"/>
      <w:lang w:val="en-GB"/>
    </w:rPr>
  </w:style>
  <w:style w:type="table" w:styleId="Tabelacomgrade">
    <w:name w:val="Table Grid"/>
    <w:basedOn w:val="Tabela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904C62"/>
    <w:rPr>
      <w:color w:val="0000FF" w:themeColor="hyperlink"/>
      <w:u w:val="single"/>
    </w:rPr>
  </w:style>
  <w:style w:type="character" w:customStyle="1" w:styleId="eudoraheader">
    <w:name w:val="eudoraheader"/>
    <w:basedOn w:val="Fontepargpadr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grafodaLista">
    <w:name w:val="List Paragraph"/>
    <w:basedOn w:val="Normal"/>
    <w:uiPriority w:val="34"/>
    <w:rsid w:val="00280FAF"/>
    <w:pPr>
      <w:ind w:left="720"/>
      <w:contextualSpacing/>
    </w:pPr>
  </w:style>
  <w:style w:type="character" w:customStyle="1" w:styleId="gmail-apple-converted-space">
    <w:name w:val="gmail-apple-converted-space"/>
    <w:basedOn w:val="Fontepargpadro"/>
    <w:rsid w:val="00005A19"/>
  </w:style>
  <w:style w:type="paragraph" w:customStyle="1" w:styleId="MDPI31text">
    <w:name w:val="MDPI_3.1_text"/>
    <w:qFormat/>
    <w:rsid w:val="00E57CFB"/>
    <w:pPr>
      <w:adjustRightInd w:val="0"/>
      <w:snapToGrid w:val="0"/>
      <w:spacing w:after="0" w:line="228" w:lineRule="auto"/>
      <w:ind w:left="2608" w:firstLine="425"/>
      <w:jc w:val="both"/>
    </w:pPr>
    <w:rPr>
      <w:rFonts w:ascii="Palatino Linotype" w:eastAsia="Times New Roman" w:hAnsi="Palatino Linotype" w:cs="Times New Roman"/>
      <w:color w:val="000000"/>
      <w:sz w:val="20"/>
      <w:lang w:val="en-US" w:eastAsia="de-DE" w:bidi="en-US"/>
    </w:rPr>
  </w:style>
  <w:style w:type="character" w:styleId="TextodoEspaoReservado">
    <w:name w:val="Placeholder Text"/>
    <w:basedOn w:val="Fontepargpadro"/>
    <w:uiPriority w:val="99"/>
    <w:semiHidden/>
    <w:rsid w:val="0078188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821512">
      <w:bodyDiv w:val="1"/>
      <w:marLeft w:val="0"/>
      <w:marRight w:val="0"/>
      <w:marTop w:val="0"/>
      <w:marBottom w:val="0"/>
      <w:divBdr>
        <w:top w:val="none" w:sz="0" w:space="0" w:color="auto"/>
        <w:left w:val="none" w:sz="0" w:space="0" w:color="auto"/>
        <w:bottom w:val="none" w:sz="0" w:space="0" w:color="auto"/>
        <w:right w:val="none" w:sz="0" w:space="0" w:color="auto"/>
      </w:divBdr>
    </w:div>
    <w:div w:id="710955074">
      <w:bodyDiv w:val="1"/>
      <w:marLeft w:val="0"/>
      <w:marRight w:val="0"/>
      <w:marTop w:val="0"/>
      <w:marBottom w:val="0"/>
      <w:divBdr>
        <w:top w:val="none" w:sz="0" w:space="0" w:color="auto"/>
        <w:left w:val="none" w:sz="0" w:space="0" w:color="auto"/>
        <w:bottom w:val="none" w:sz="0" w:space="0" w:color="auto"/>
        <w:right w:val="none" w:sz="0" w:space="0" w:color="auto"/>
      </w:divBdr>
    </w:div>
    <w:div w:id="735862612">
      <w:bodyDiv w:val="1"/>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868847">
      <w:bodyDiv w:val="1"/>
      <w:marLeft w:val="0"/>
      <w:marRight w:val="0"/>
      <w:marTop w:val="0"/>
      <w:marBottom w:val="0"/>
      <w:divBdr>
        <w:top w:val="none" w:sz="0" w:space="0" w:color="auto"/>
        <w:left w:val="none" w:sz="0" w:space="0" w:color="auto"/>
        <w:bottom w:val="none" w:sz="0" w:space="0" w:color="auto"/>
        <w:right w:val="none" w:sz="0" w:space="0" w:color="auto"/>
      </w:divBdr>
    </w:div>
    <w:div w:id="840924785">
      <w:bodyDiv w:val="1"/>
      <w:marLeft w:val="0"/>
      <w:marRight w:val="0"/>
      <w:marTop w:val="0"/>
      <w:marBottom w:val="0"/>
      <w:divBdr>
        <w:top w:val="none" w:sz="0" w:space="0" w:color="auto"/>
        <w:left w:val="none" w:sz="0" w:space="0" w:color="auto"/>
        <w:bottom w:val="none" w:sz="0" w:space="0" w:color="auto"/>
        <w:right w:val="none" w:sz="0" w:space="0" w:color="auto"/>
      </w:divBdr>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4169">
      <w:bodyDiv w:val="1"/>
      <w:marLeft w:val="0"/>
      <w:marRight w:val="0"/>
      <w:marTop w:val="0"/>
      <w:marBottom w:val="0"/>
      <w:divBdr>
        <w:top w:val="none" w:sz="0" w:space="0" w:color="auto"/>
        <w:left w:val="none" w:sz="0" w:space="0" w:color="auto"/>
        <w:bottom w:val="none" w:sz="0" w:space="0" w:color="auto"/>
        <w:right w:val="none" w:sz="0" w:space="0" w:color="auto"/>
      </w:divBdr>
    </w:div>
    <w:div w:id="1097752949">
      <w:bodyDiv w:val="1"/>
      <w:marLeft w:val="0"/>
      <w:marRight w:val="0"/>
      <w:marTop w:val="0"/>
      <w:marBottom w:val="0"/>
      <w:divBdr>
        <w:top w:val="none" w:sz="0" w:space="0" w:color="auto"/>
        <w:left w:val="none" w:sz="0" w:space="0" w:color="auto"/>
        <w:bottom w:val="none" w:sz="0" w:space="0" w:color="auto"/>
        <w:right w:val="none" w:sz="0" w:space="0" w:color="auto"/>
      </w:divBdr>
    </w:div>
    <w:div w:id="1116410717">
      <w:bodyDiv w:val="1"/>
      <w:marLeft w:val="0"/>
      <w:marRight w:val="0"/>
      <w:marTop w:val="0"/>
      <w:marBottom w:val="0"/>
      <w:divBdr>
        <w:top w:val="none" w:sz="0" w:space="0" w:color="auto"/>
        <w:left w:val="none" w:sz="0" w:space="0" w:color="auto"/>
        <w:bottom w:val="none" w:sz="0" w:space="0" w:color="auto"/>
        <w:right w:val="none" w:sz="0" w:space="0" w:color="auto"/>
      </w:divBdr>
    </w:div>
    <w:div w:id="1166432224">
      <w:bodyDiv w:val="1"/>
      <w:marLeft w:val="0"/>
      <w:marRight w:val="0"/>
      <w:marTop w:val="0"/>
      <w:marBottom w:val="0"/>
      <w:divBdr>
        <w:top w:val="none" w:sz="0" w:space="0" w:color="auto"/>
        <w:left w:val="none" w:sz="0" w:space="0" w:color="auto"/>
        <w:bottom w:val="none" w:sz="0" w:space="0" w:color="auto"/>
        <w:right w:val="none" w:sz="0" w:space="0" w:color="auto"/>
      </w:divBdr>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352217529">
      <w:bodyDiv w:val="1"/>
      <w:marLeft w:val="0"/>
      <w:marRight w:val="0"/>
      <w:marTop w:val="0"/>
      <w:marBottom w:val="0"/>
      <w:divBdr>
        <w:top w:val="none" w:sz="0" w:space="0" w:color="auto"/>
        <w:left w:val="none" w:sz="0" w:space="0" w:color="auto"/>
        <w:bottom w:val="none" w:sz="0" w:space="0" w:color="auto"/>
        <w:right w:val="none" w:sz="0" w:space="0" w:color="auto"/>
      </w:divBdr>
    </w:div>
    <w:div w:id="1387601746">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550069347">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914472">
      <w:bodyDiv w:val="1"/>
      <w:marLeft w:val="0"/>
      <w:marRight w:val="0"/>
      <w:marTop w:val="0"/>
      <w:marBottom w:val="0"/>
      <w:divBdr>
        <w:top w:val="none" w:sz="0" w:space="0" w:color="auto"/>
        <w:left w:val="none" w:sz="0" w:space="0" w:color="auto"/>
        <w:bottom w:val="none" w:sz="0" w:space="0" w:color="auto"/>
        <w:right w:val="none" w:sz="0" w:space="0" w:color="auto"/>
      </w:divBdr>
    </w:div>
    <w:div w:id="2105954593">
      <w:bodyDiv w:val="1"/>
      <w:marLeft w:val="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6415A-2939-4AFB-82FA-BB702F8A2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6</Pages>
  <Words>3972</Words>
  <Characters>21452</Characters>
  <Application>Microsoft Office Word</Application>
  <DocSecurity>0</DocSecurity>
  <Lines>178</Lines>
  <Paragraphs>50</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Dipartimento CMIC - Politecnico di Milano</Company>
  <LinksUpToDate>false</LinksUpToDate>
  <CharactersWithSpaces>25374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Prof. Miguel</cp:lastModifiedBy>
  <cp:revision>20</cp:revision>
  <cp:lastPrinted>2015-05-12T18:31:00Z</cp:lastPrinted>
  <dcterms:created xsi:type="dcterms:W3CDTF">2025-12-15T13:40:00Z</dcterms:created>
  <dcterms:modified xsi:type="dcterms:W3CDTF">2026-04-02T13:42:00Z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