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13167">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13167">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13167">
        <w:trPr>
          <w:trHeight w:val="68"/>
          <w:jc w:val="center"/>
        </w:trPr>
        <w:tc>
          <w:tcPr>
            <w:tcW w:w="8782" w:type="dxa"/>
            <w:gridSpan w:val="2"/>
          </w:tcPr>
          <w:p w14:paraId="1D8DD3C9" w14:textId="61229B97" w:rsidR="00AA7D26" w:rsidRPr="00EA3EF9" w:rsidRDefault="004A5E57" w:rsidP="004A5E57">
            <w:pPr>
              <w:ind w:left="-107"/>
              <w:outlineLvl w:val="2"/>
              <w:rPr>
                <w:rFonts w:ascii="Tahoma" w:hAnsi="Tahoma" w:cs="Tahoma"/>
                <w:bCs/>
                <w:color w:val="000000"/>
                <w:sz w:val="14"/>
                <w:szCs w:val="14"/>
                <w:lang w:val="it-IT" w:eastAsia="it-IT"/>
              </w:rPr>
            </w:pPr>
            <w:r w:rsidRPr="00EA3EF9">
              <w:rPr>
                <w:rFonts w:ascii="Tahoma" w:hAnsi="Tahoma" w:cs="Tahoma"/>
                <w:iCs/>
                <w:color w:val="333333"/>
                <w:sz w:val="14"/>
                <w:szCs w:val="14"/>
                <w:lang w:val="it-IT" w:eastAsia="it-IT"/>
              </w:rPr>
              <w:t>Guest Editors:</w:t>
            </w:r>
            <w:r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shd w:val="clear" w:color="auto" w:fill="FFFFFF"/>
                <w:lang w:val="it-IT"/>
              </w:rPr>
              <w:t xml:space="preserve">Leonardo Tognotti, </w:t>
            </w:r>
            <w:r w:rsidR="00EA3EF9" w:rsidRPr="00EA3EF9">
              <w:rPr>
                <w:rFonts w:ascii="Tahoma" w:hAnsi="Tahoma" w:cs="Tahoma"/>
                <w:color w:val="000000"/>
                <w:sz w:val="14"/>
                <w:szCs w:val="14"/>
                <w:lang w:val="it-IT"/>
              </w:rPr>
              <w:t>Rubens Maciel Filho</w:t>
            </w:r>
            <w:r w:rsidR="00EA3EF9"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lang w:val="it-IT"/>
              </w:rPr>
              <w:t>Viatcheslav Kafarov</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641F97A5" w:rsidR="00E978D0" w:rsidRPr="00977C8D" w:rsidRDefault="00977C8D" w:rsidP="00E978D0">
      <w:pPr>
        <w:pStyle w:val="CETTitle"/>
        <w:rPr>
          <w:lang w:val="en-US"/>
        </w:rPr>
      </w:pPr>
      <w:r w:rsidRPr="00977C8D">
        <w:rPr>
          <w:lang w:val="en-US"/>
        </w:rPr>
        <w:t xml:space="preserve">Life </w:t>
      </w:r>
      <w:r w:rsidR="00067A62">
        <w:rPr>
          <w:lang w:val="en-US"/>
        </w:rPr>
        <w:t>c</w:t>
      </w:r>
      <w:r w:rsidRPr="00977C8D">
        <w:rPr>
          <w:lang w:val="en-US"/>
        </w:rPr>
        <w:t xml:space="preserve">ycle </w:t>
      </w:r>
      <w:r w:rsidR="00067A62">
        <w:rPr>
          <w:lang w:val="en-US"/>
        </w:rPr>
        <w:t>a</w:t>
      </w:r>
      <w:r w:rsidRPr="00977C8D">
        <w:rPr>
          <w:lang w:val="en-US"/>
        </w:rPr>
        <w:t xml:space="preserve">ssessment of a heat-integrated thermal-extractive </w:t>
      </w:r>
      <w:r>
        <w:rPr>
          <w:lang w:val="en-US"/>
        </w:rPr>
        <w:t>avocado oil biorefinery</w:t>
      </w:r>
      <w:r w:rsidR="00D13167" w:rsidRPr="00977C8D">
        <w:rPr>
          <w:lang w:val="en-US"/>
        </w:rPr>
        <w:t xml:space="preserve"> </w:t>
      </w:r>
    </w:p>
    <w:p w14:paraId="0488FED2" w14:textId="5273A689" w:rsidR="00B57E6F" w:rsidRPr="00D13167" w:rsidRDefault="00D13167" w:rsidP="00B57E6F">
      <w:pPr>
        <w:pStyle w:val="CETAuthors"/>
        <w:rPr>
          <w:lang w:val="es-419"/>
        </w:rPr>
      </w:pPr>
      <w:r w:rsidRPr="00D13167">
        <w:rPr>
          <w:lang w:val="es-419"/>
        </w:rPr>
        <w:t>Samir Meramo</w:t>
      </w:r>
      <w:r>
        <w:rPr>
          <w:vertAlign w:val="superscript"/>
          <w:lang w:val="es-419"/>
        </w:rPr>
        <w:t>*</w:t>
      </w:r>
      <w:r w:rsidR="00B57E6F" w:rsidRPr="00D13167">
        <w:rPr>
          <w:lang w:val="es-419"/>
        </w:rPr>
        <w:t xml:space="preserve">, </w:t>
      </w:r>
      <w:r w:rsidRPr="00D13167">
        <w:rPr>
          <w:lang w:val="es-419"/>
        </w:rPr>
        <w:t>Tamy Herrera</w:t>
      </w:r>
      <w:r>
        <w:rPr>
          <w:lang w:val="es-419"/>
        </w:rPr>
        <w:t>-Rodriguez,</w:t>
      </w:r>
      <w:r w:rsidR="006035EB">
        <w:rPr>
          <w:lang w:val="es-419"/>
        </w:rPr>
        <w:t xml:space="preserve"> </w:t>
      </w:r>
      <w:r>
        <w:rPr>
          <w:lang w:val="es-419"/>
        </w:rPr>
        <w:t>Angel Dario Gonzalez-Delgado</w:t>
      </w:r>
    </w:p>
    <w:p w14:paraId="3D72B0B0" w14:textId="73877EDF" w:rsidR="00B57E6F" w:rsidRPr="00B57B36" w:rsidRDefault="00B57E6F" w:rsidP="00B57E6F">
      <w:pPr>
        <w:pStyle w:val="CETAddress"/>
      </w:pPr>
      <w:r w:rsidRPr="00B57B36">
        <w:rPr>
          <w:vertAlign w:val="superscript"/>
        </w:rPr>
        <w:t>a</w:t>
      </w:r>
      <w:r w:rsidR="00D13167" w:rsidRPr="00D13167">
        <w:t xml:space="preserve"> Nanomaterials and</w:t>
      </w:r>
      <w:r w:rsidR="00801D7C">
        <w:t xml:space="preserve"> </w:t>
      </w:r>
      <w:r w:rsidR="00D13167" w:rsidRPr="00D13167">
        <w:t>Computer Aided Process Engineering Research Group (NIPAC), Chemical Engineering Department, Faculty of Engineering, University of Cartagena, Av. del Consulado Calle 30 No. 48-152, Cartagena, Colombia.</w:t>
      </w:r>
    </w:p>
    <w:p w14:paraId="73F1267A" w14:textId="1C8BBE1B" w:rsidR="00B57E6F" w:rsidRPr="003B4EA5" w:rsidRDefault="00B57E6F" w:rsidP="00B57E6F">
      <w:pPr>
        <w:pStyle w:val="CETemail"/>
        <w:rPr>
          <w:lang w:val="fr-FR"/>
        </w:rPr>
      </w:pPr>
      <w:r>
        <w:t xml:space="preserve"> </w:t>
      </w:r>
      <w:r w:rsidR="00D13167">
        <w:rPr>
          <w:lang w:val="fr-FR"/>
        </w:rPr>
        <w:t>smeramoh@unicartagena.edu.co.</w:t>
      </w:r>
    </w:p>
    <w:p w14:paraId="57F00777" w14:textId="55560226" w:rsidR="00D13167" w:rsidRDefault="00977C8D" w:rsidP="00600535">
      <w:pPr>
        <w:pStyle w:val="CETBodytext"/>
        <w:rPr>
          <w:lang w:val="en-GB"/>
        </w:rPr>
      </w:pPr>
      <w:r w:rsidRPr="00977C8D">
        <w:rPr>
          <w:lang w:val="en-GB"/>
        </w:rPr>
        <w:t xml:space="preserve">This study evaluates the environmental performance of a heat-integrated avocado oil biorefinery using a combined process-integration and life cycle assessment (LCA) approach. Heat-integration strategies were implemented to improve resource efficiency and reduce the environmental impacts associated with the </w:t>
      </w:r>
      <w:proofErr w:type="spellStart"/>
      <w:r w:rsidRPr="00977C8D">
        <w:rPr>
          <w:lang w:val="en-GB"/>
        </w:rPr>
        <w:t>valorization</w:t>
      </w:r>
      <w:proofErr w:type="spellEnd"/>
      <w:r w:rsidRPr="00977C8D">
        <w:rPr>
          <w:lang w:val="en-GB"/>
        </w:rPr>
        <w:t xml:space="preserve"> of avocado processing side streams. Foreground data were obtained from detailed process simulations, while background systems were </w:t>
      </w:r>
      <w:proofErr w:type="spellStart"/>
      <w:r w:rsidRPr="00977C8D">
        <w:rPr>
          <w:lang w:val="en-GB"/>
        </w:rPr>
        <w:t>modeled</w:t>
      </w:r>
      <w:proofErr w:type="spellEnd"/>
      <w:r w:rsidRPr="00977C8D">
        <w:rPr>
          <w:lang w:val="en-GB"/>
        </w:rPr>
        <w:t xml:space="preserve"> using the </w:t>
      </w:r>
      <w:proofErr w:type="spellStart"/>
      <w:r w:rsidRPr="00977C8D">
        <w:rPr>
          <w:lang w:val="en-GB"/>
        </w:rPr>
        <w:t>ecoinvent</w:t>
      </w:r>
      <w:proofErr w:type="spellEnd"/>
      <w:r w:rsidRPr="00977C8D">
        <w:rPr>
          <w:lang w:val="en-GB"/>
        </w:rPr>
        <w:t xml:space="preserve"> database under a cradle-to-gate system boundary. The heat-integrated design achieves substantial reductions in utility demand, with </w:t>
      </w:r>
      <w:r w:rsidR="00CD4D10">
        <w:rPr>
          <w:lang w:val="en-GB"/>
        </w:rPr>
        <w:t xml:space="preserve">external </w:t>
      </w:r>
      <w:r w:rsidRPr="00977C8D">
        <w:rPr>
          <w:lang w:val="en-GB"/>
        </w:rPr>
        <w:t xml:space="preserve">heating and cooling requirements decreased by approximately 90–95%, resulting in significantly lower steam and cooling-water consumption in the life cycle inventory. Compared with a previously published non-integrated baseline, the integrated system demonstrates marked environmental benefits, including an approximately </w:t>
      </w:r>
      <w:r w:rsidR="00CD4D10">
        <w:rPr>
          <w:lang w:val="en-GB"/>
        </w:rPr>
        <w:t>50</w:t>
      </w:r>
      <w:r w:rsidRPr="00977C8D">
        <w:rPr>
          <w:lang w:val="en-GB"/>
        </w:rPr>
        <w:t>% reduction in climate-change impacts, with similar reductions across other impact categories driven by decreased energy use. Overall, the results highlight the importance of energy optimization and heat integration in improving the sustainability of emerging biorefinery systems and circular agri-food value chains</w:t>
      </w:r>
      <w:r w:rsidR="00D13167" w:rsidRPr="00D13167">
        <w:rPr>
          <w:lang w:val="en-GB"/>
        </w:rPr>
        <w:t>.</w:t>
      </w:r>
    </w:p>
    <w:p w14:paraId="5DEDC542" w14:textId="77777777" w:rsidR="00C553C9" w:rsidRDefault="00600535" w:rsidP="00C553C9">
      <w:pPr>
        <w:pStyle w:val="CETHeading1"/>
        <w:rPr>
          <w:lang w:val="en-GB"/>
        </w:rPr>
      </w:pPr>
      <w:r w:rsidRPr="00B57B36">
        <w:rPr>
          <w:lang w:val="en-GB"/>
        </w:rPr>
        <w:t>Introduction</w:t>
      </w:r>
    </w:p>
    <w:p w14:paraId="6C32256F" w14:textId="77777777" w:rsidR="00EA20D9" w:rsidRDefault="00EA20D9" w:rsidP="00EA20D9">
      <w:pPr>
        <w:pStyle w:val="CETBodytext"/>
      </w:pPr>
      <w:r>
        <w:t>The global demand for avocado-derived products has increased rapidly due to their nutritional value and expanding applications in the food, cosmetic, and pharmaceutical industries. This growth has intensified processing activities, leading to higher energy consumption and the generation of significant organic residues. As a result, improving the environmental sustainability of avocado-processing systems has become a critical priority under rising energy costs and stricter environmental regulations. Avocado processing is inherently energy intensive, involving multiple heating, cooling, and solvent recovery stages that strongly influence its environmental footprint (Solarte-Toro et al., 2023).</w:t>
      </w:r>
      <w:r>
        <w:t xml:space="preserve"> </w:t>
      </w:r>
      <w:r>
        <w:t>Life Cycle Assessment (LCA) is widely used to evaluate the environmental performance of agro-industrial and bio-based systems, enabling identification of hotspots and comparison of process configurations. Its relevance is particularly high for emerging technologies, where early design choices strongly affect long-term sustainability (</w:t>
      </w:r>
      <w:proofErr w:type="spellStart"/>
      <w:r>
        <w:t>Riondet</w:t>
      </w:r>
      <w:proofErr w:type="spellEnd"/>
      <w:r>
        <w:t xml:space="preserve"> et al., 2024). In the agri-food sector, LCA is increasingly applied within circular economy frameworks, especially for biomass valorization systems (Mondello et al., 2024).</w:t>
      </w:r>
    </w:p>
    <w:p w14:paraId="17F9BEB5" w14:textId="5AD2F900" w:rsidR="00093FAD" w:rsidRPr="00EB4993" w:rsidRDefault="00EA20D9" w:rsidP="00EA20D9">
      <w:pPr>
        <w:pStyle w:val="CETBodytext"/>
      </w:pPr>
      <w:r>
        <w:t>The integration of LCA with process modeling enables environmental impacts to be directly linked to mass and energy balances, allowing the effects of design improvements—such as energy optimization—to be quantified at the system level (Gamero et al., 2024). Previous LCA studies of avocado biorefineries have identified energy consumption as a dominant contributor to environmental impacts, with results highly sensitive to process configuration and utility demand (Solarte-Toro et al., 2023; Garcia-Vallejo et al., 2023; Marques et al., 2025).</w:t>
      </w:r>
      <w:r>
        <w:t xml:space="preserve"> </w:t>
      </w:r>
      <w:r>
        <w:t>Building on this background, this study evaluates the environmental performance of a thermal–extractive avocado oil biorefinery using LCA integrated with process simulation. The effect of heat integration on reducing utility consumption and associated environmental impacts is assessed under a cradle-to-gate system boundary, providing insights for the development of more sustainable avocado biorefineries.</w:t>
      </w:r>
    </w:p>
    <w:p w14:paraId="5741900F" w14:textId="1FB8B971" w:rsidR="00453E24" w:rsidRPr="00093FAD" w:rsidRDefault="00093FAD" w:rsidP="00093FAD">
      <w:pPr>
        <w:pStyle w:val="CETheadingx"/>
        <w:numPr>
          <w:ilvl w:val="0"/>
          <w:numId w:val="0"/>
        </w:numPr>
      </w:pPr>
      <w:r>
        <w:lastRenderedPageBreak/>
        <w:t>2.</w:t>
      </w:r>
      <w:r w:rsidR="001C3AE2">
        <w:t>Materials and methods</w:t>
      </w:r>
    </w:p>
    <w:p w14:paraId="0636B784" w14:textId="0B5CEAD8" w:rsidR="00453E24" w:rsidRDefault="001C3AE2" w:rsidP="00093FAD">
      <w:pPr>
        <w:pStyle w:val="CETheadingx"/>
        <w:numPr>
          <w:ilvl w:val="1"/>
          <w:numId w:val="23"/>
        </w:numPr>
      </w:pPr>
      <w:r>
        <w:t>Process description</w:t>
      </w:r>
    </w:p>
    <w:p w14:paraId="62159C71" w14:textId="7BD89425" w:rsidR="00EA20D9" w:rsidRDefault="00EA20D9" w:rsidP="00EA20D9">
      <w:pPr>
        <w:pStyle w:val="CETBodytext"/>
      </w:pPr>
      <w:r>
        <w:t>The thermal-extractive avocado biorefinery is designed to valorize avocado side streams unsuitable for human consumption through the integrated production of avocado oil as the main product, alongside biochar, a chlorophyll-rich extract, treated peel, and defatted pulp. The conceptual basis and early-stage assessment of this process were previously developed and reported by the authors, including thermodynamic, exergy, and sustainability-oriented evaluations of avocado oil extraction systems (Herrera et al., 2022). In the present work, the previously proposed process is further expanded and consolidated through detailed life cycle assessment, considering a plant capacity of approximately 10,605 t·y</w:t>
      </w:r>
      <w:r>
        <w:rPr>
          <w:rFonts w:ascii="Cambria Math" w:hAnsi="Cambria Math" w:cs="Cambria Math"/>
        </w:rPr>
        <w:t>⁻</w:t>
      </w:r>
      <w:r>
        <w:rPr>
          <w:rFonts w:cs="Arial"/>
        </w:rPr>
        <w:t>¹</w:t>
      </w:r>
      <w:r>
        <w:t xml:space="preserve"> of avocado, based on feedstock availability in Northern Colombia. In addition, the process was optimized through heat integration. The process simulation and heat integration results enabled the generation of detailed mass and energy balances, which were used to complete the life cycle inventory for the LCA.</w:t>
      </w:r>
      <w:r>
        <w:t xml:space="preserve"> </w:t>
      </w:r>
      <w:r>
        <w:t>The process, illustrated in Figure 1, begins with feedstock conditioning, where avocados are washed, disinfected, and mechanically separated into pulp, peel, and seed fractions. The pulp is directed to thermal-extractive oil production, while the peel undergoes chlorophyll extraction using ethanol followed by solvent recovery. The two chlorophyll-rich extract streams shown in Figure 1 correspond to intermediate and concentrated streams within the extraction–distillation sequence. Residual peel after extraction is handled as a separate stream for further valorization or disposal, explaining the additional peel-related block in the diagram. The seed fraction is processed independently through drying and pyrolysis to produce biochar.</w:t>
      </w:r>
    </w:p>
    <w:p w14:paraId="7BA9A861" w14:textId="0F984EA1" w:rsidR="009B2BD9" w:rsidRDefault="00067A62" w:rsidP="00093FAD">
      <w:pPr>
        <w:pStyle w:val="CETheadingx"/>
        <w:numPr>
          <w:ilvl w:val="1"/>
          <w:numId w:val="23"/>
        </w:numPr>
      </w:pPr>
      <w:r>
        <w:t>Life Cycle Assessment</w:t>
      </w:r>
    </w:p>
    <w:p w14:paraId="7319B33B" w14:textId="658C18A7" w:rsidR="00DC52E3" w:rsidRDefault="00067A62" w:rsidP="00C553C9">
      <w:pPr>
        <w:pStyle w:val="CETBodytext"/>
      </w:pPr>
      <w:r w:rsidRPr="00067A62">
        <w:t>LCA was applied as a standardized framework to quantify the environmental impacts associated with the avocado oil biorefinery, following the principles and requirements defined in ISO 14040 and ISO 14044. LCA provides a structured approach comprising goal and scope definition, life cycle inventory</w:t>
      </w:r>
      <w:r w:rsidR="00EA20D9">
        <w:t xml:space="preserve"> (LCI)</w:t>
      </w:r>
      <w:r w:rsidRPr="00067A62">
        <w:t xml:space="preserve"> analysis, life cycle impact assessment</w:t>
      </w:r>
      <w:r w:rsidR="00EA20D9">
        <w:t xml:space="preserve"> (LCIA)</w:t>
      </w:r>
      <w:r w:rsidRPr="00067A62">
        <w:t>, and interpretation, enabling consistent evaluation of environmental burdens across complex agro-industrial systems.</w:t>
      </w:r>
    </w:p>
    <w:p w14:paraId="43ED80AF" w14:textId="39692987" w:rsidR="00067A62" w:rsidRDefault="00067A62" w:rsidP="00EF0B5F">
      <w:pPr>
        <w:pStyle w:val="CETHeadingxx"/>
      </w:pPr>
      <w:r>
        <w:t>Goal and Scope definition</w:t>
      </w:r>
    </w:p>
    <w:p w14:paraId="7D22EC52" w14:textId="0E79332B" w:rsidR="008851C7" w:rsidRDefault="00EE2682" w:rsidP="00EE2682">
      <w:pPr>
        <w:pStyle w:val="CETBodytext"/>
      </w:pPr>
      <w:r>
        <w:t>The goal of this study is to evaluate the environmental performance of a thermal–extractive avocado oil biorefinery and quantify the effect of energy-oriented process improvements using LCA. The assessment supports sustainability-oriented process design by identifying environmental hotspots and the benefits of reduced external utility demand. The functional unit is 1 kg of refined avocado oil at the biorefinery gate, serving as the reference for LCI and LCIA results.</w:t>
      </w:r>
      <w:r>
        <w:t xml:space="preserve"> </w:t>
      </w:r>
      <w:r>
        <w:t>A cradle-to-gate system boundary was adopted, including raw material supply, transportation, processing and extraction, utility generation, and on-site emissions up to the production stage. Downstream stages (distribution, use, and end-of-life) were excluded, as they are not influenced by the evaluated process design. The study follows the cut-off approach, assigning environmental burdens of waste to the generating system; thus, avocado side streams enter the system without upstream burdens.</w:t>
      </w:r>
      <w:r>
        <w:t xml:space="preserve"> </w:t>
      </w:r>
      <w:r>
        <w:t>The geographical scope corresponds to northern Colombia, reflecting regional feedstock availability and background conditions. The multiproduct system was addressed through subdivision, with economic allocation applied where necessary. The overall system boundary is shown in Figure 1.</w:t>
      </w:r>
    </w:p>
    <w:p w14:paraId="66614C04" w14:textId="77777777" w:rsidR="008851C7" w:rsidRDefault="008851C7" w:rsidP="008851C7">
      <w:pPr>
        <w:pStyle w:val="CETBodytext"/>
      </w:pPr>
    </w:p>
    <w:p w14:paraId="7BF23F30" w14:textId="77777777" w:rsidR="008851C7" w:rsidRDefault="008851C7" w:rsidP="008851C7">
      <w:pPr>
        <w:pStyle w:val="CETBodytext"/>
      </w:pPr>
      <w:r>
        <w:rPr>
          <w:noProof/>
        </w:rPr>
        <w:drawing>
          <wp:inline distT="0" distB="0" distL="0" distR="0" wp14:anchorId="18588D48" wp14:editId="761C8C4D">
            <wp:extent cx="4860050" cy="1562100"/>
            <wp:effectExtent l="0" t="0" r="0" b="0"/>
            <wp:docPr id="1615173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2381" cy="1569277"/>
                    </a:xfrm>
                    <a:prstGeom prst="rect">
                      <a:avLst/>
                    </a:prstGeom>
                    <a:noFill/>
                    <a:ln>
                      <a:noFill/>
                    </a:ln>
                  </pic:spPr>
                </pic:pic>
              </a:graphicData>
            </a:graphic>
          </wp:inline>
        </w:drawing>
      </w:r>
    </w:p>
    <w:p w14:paraId="4F72A35E" w14:textId="2A0F3E77" w:rsidR="008851C7" w:rsidRPr="008851C7" w:rsidRDefault="008851C7" w:rsidP="008851C7">
      <w:pPr>
        <w:pStyle w:val="CETCaption"/>
      </w:pPr>
      <w:r w:rsidRPr="00BD077D">
        <w:rPr>
          <w:rStyle w:val="CETCaptionCarattere"/>
          <w:i/>
        </w:rPr>
        <w:t>Figure 1:</w:t>
      </w:r>
      <w:r>
        <w:rPr>
          <w:rStyle w:val="CETCaptionCarattere"/>
          <w:i/>
        </w:rPr>
        <w:t xml:space="preserve"> System boundary of</w:t>
      </w:r>
      <w:r w:rsidR="00E36BE7">
        <w:rPr>
          <w:rStyle w:val="CETCaptionCarattere"/>
          <w:i/>
        </w:rPr>
        <w:t xml:space="preserve"> heat-integrated thermal-extractive</w:t>
      </w:r>
      <w:r>
        <w:rPr>
          <w:rStyle w:val="CETCaptionCarattere"/>
          <w:i/>
        </w:rPr>
        <w:t xml:space="preserve"> avocado oil biorefinery.</w:t>
      </w:r>
    </w:p>
    <w:p w14:paraId="298BE39C" w14:textId="7341E931" w:rsidR="00067A62" w:rsidRDefault="00067A62" w:rsidP="00FD7477">
      <w:pPr>
        <w:pStyle w:val="CETHeadingxx"/>
      </w:pPr>
      <w:r>
        <w:lastRenderedPageBreak/>
        <w:t>Life Cycle Inventory</w:t>
      </w:r>
    </w:p>
    <w:p w14:paraId="0E69A605" w14:textId="7BD56AD1" w:rsidR="00F7620A" w:rsidRDefault="0093357C" w:rsidP="0093357C">
      <w:pPr>
        <w:pStyle w:val="CETBodytext"/>
      </w:pPr>
      <w:r>
        <w:t>The life cycle inventory (LCI) was developed by combining foreground process data from detailed simulations with background datasets from established life cycle databases. Foreground data describe mass and energy balances for all major processing units in the thermal–extractive avocado oil biorefinery and were refined through heat integration using a pinch-based approach. This included identification of hot and cold streams, determination of minimum utility requirements, and synthesis of a heat exchanger network (HEN), achieving reductions of approximately 90–95% in cooling demand and 14% in heating demand compared to the non-integrated case. These improvements were incorporated into the LCI through reduced utility consumption.</w:t>
      </w:r>
      <w:r>
        <w:t xml:space="preserve"> </w:t>
      </w:r>
      <w:r>
        <w:t>The inventory includes raw material inputs, intermediate flows, energy use, and direct emissions. Utility demands were calculated from the optimized simulations and reflect the heat-integrated configuration. Background processes</w:t>
      </w:r>
      <w:r>
        <w:t xml:space="preserve">, </w:t>
      </w:r>
      <w:r>
        <w:t>such as electricity, steam, cooling water, transportation, and auxiliary materials</w:t>
      </w:r>
      <w:r>
        <w:t xml:space="preserve"> </w:t>
      </w:r>
      <w:r>
        <w:t xml:space="preserve">were modeled using </w:t>
      </w:r>
      <w:proofErr w:type="spellStart"/>
      <w:r>
        <w:t>ecoinvent</w:t>
      </w:r>
      <w:proofErr w:type="spellEnd"/>
      <w:r>
        <w:t xml:space="preserve"> datasets, selected to match the geographical scope where possible. Wastewater treatment was modeled using average market datasets from </w:t>
      </w:r>
      <w:proofErr w:type="spellStart"/>
      <w:r>
        <w:t>ecoinvent</w:t>
      </w:r>
      <w:proofErr w:type="spellEnd"/>
      <w:r>
        <w:t>, representing conventional treatment processes and associated emissions.</w:t>
      </w:r>
      <w:r>
        <w:t xml:space="preserve"> </w:t>
      </w:r>
      <w:r>
        <w:t>All inventory data were scaled to the functional unit of 1 kg of avocado oil at the biorefinery gate and verified for mass and energy balance consistency prior to impact assessment. Table 1 summarizes the LCI and corresponding background data sources.</w:t>
      </w:r>
    </w:p>
    <w:p w14:paraId="142F0A81" w14:textId="07032DCB" w:rsidR="00F7620A" w:rsidRPr="00B57B36" w:rsidRDefault="00F7620A" w:rsidP="00F7620A">
      <w:pPr>
        <w:pStyle w:val="CETTabletitle"/>
      </w:pPr>
      <w:r w:rsidRPr="00B57B36">
        <w:t xml:space="preserve">Table </w:t>
      </w:r>
      <w:r>
        <w:t>1</w:t>
      </w:r>
      <w:r w:rsidRPr="00B57B36">
        <w:t xml:space="preserve">: </w:t>
      </w:r>
      <w:r w:rsidR="00FD7477">
        <w:t xml:space="preserve">LCI of </w:t>
      </w:r>
      <w:r w:rsidR="00FD7477" w:rsidRPr="00FD7477">
        <w:t>the heat-integrated thermal</w:t>
      </w:r>
      <w:r w:rsidR="00E36BE7">
        <w:t>-</w:t>
      </w:r>
      <w:r w:rsidR="00FD7477" w:rsidRPr="00FD7477">
        <w:t>extractive avocado oil biorefinery</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946"/>
        <w:gridCol w:w="754"/>
        <w:gridCol w:w="1170"/>
        <w:gridCol w:w="2520"/>
      </w:tblGrid>
      <w:tr w:rsidR="00FD7477" w:rsidRPr="00B57B36" w14:paraId="42926E71" w14:textId="77777777" w:rsidTr="00FD7477">
        <w:tc>
          <w:tcPr>
            <w:tcW w:w="1946" w:type="dxa"/>
            <w:tcBorders>
              <w:top w:val="single" w:sz="12" w:space="0" w:color="008000"/>
              <w:bottom w:val="single" w:sz="6" w:space="0" w:color="008000"/>
            </w:tcBorders>
            <w:shd w:val="clear" w:color="auto" w:fill="FFFFFF"/>
          </w:tcPr>
          <w:p w14:paraId="6BB2ACE2" w14:textId="0A035977" w:rsidR="00FD7477" w:rsidRPr="00F7620A" w:rsidRDefault="00FD7477">
            <w:pPr>
              <w:pStyle w:val="CETBodytext"/>
              <w:rPr>
                <w:b/>
                <w:bCs/>
                <w:lang w:val="en-GB"/>
              </w:rPr>
            </w:pPr>
            <w:r w:rsidRPr="00F7620A">
              <w:rPr>
                <w:b/>
                <w:bCs/>
                <w:lang w:val="en-GB"/>
              </w:rPr>
              <w:t>Input material flows</w:t>
            </w:r>
          </w:p>
        </w:tc>
        <w:tc>
          <w:tcPr>
            <w:tcW w:w="754" w:type="dxa"/>
            <w:tcBorders>
              <w:top w:val="single" w:sz="12" w:space="0" w:color="008000"/>
              <w:bottom w:val="single" w:sz="6" w:space="0" w:color="008000"/>
            </w:tcBorders>
            <w:shd w:val="clear" w:color="auto" w:fill="FFFFFF"/>
          </w:tcPr>
          <w:p w14:paraId="409F58E1" w14:textId="78828474" w:rsidR="00FD7477" w:rsidRPr="00F7620A" w:rsidRDefault="00FD7477">
            <w:pPr>
              <w:pStyle w:val="CETBodytext"/>
              <w:rPr>
                <w:b/>
                <w:bCs/>
                <w:lang w:val="en-GB"/>
              </w:rPr>
            </w:pPr>
            <w:r w:rsidRPr="00F7620A">
              <w:rPr>
                <w:b/>
                <w:bCs/>
                <w:lang w:val="en-GB"/>
              </w:rPr>
              <w:t xml:space="preserve"> Unit</w:t>
            </w:r>
          </w:p>
        </w:tc>
        <w:tc>
          <w:tcPr>
            <w:tcW w:w="1170" w:type="dxa"/>
            <w:tcBorders>
              <w:top w:val="single" w:sz="12" w:space="0" w:color="008000"/>
              <w:bottom w:val="single" w:sz="6" w:space="0" w:color="008000"/>
            </w:tcBorders>
            <w:shd w:val="clear" w:color="auto" w:fill="FFFFFF"/>
          </w:tcPr>
          <w:p w14:paraId="3C219677" w14:textId="0936E034" w:rsidR="00FD7477" w:rsidRPr="00F7620A" w:rsidRDefault="00FD7477">
            <w:pPr>
              <w:pStyle w:val="CETBodytext"/>
              <w:rPr>
                <w:b/>
                <w:bCs/>
                <w:lang w:val="en-GB"/>
              </w:rPr>
            </w:pPr>
            <w:r>
              <w:rPr>
                <w:b/>
                <w:bCs/>
                <w:lang w:val="en-GB"/>
              </w:rPr>
              <w:t>Value</w:t>
            </w:r>
          </w:p>
        </w:tc>
        <w:tc>
          <w:tcPr>
            <w:tcW w:w="2520" w:type="dxa"/>
            <w:tcBorders>
              <w:top w:val="single" w:sz="12" w:space="0" w:color="008000"/>
              <w:bottom w:val="single" w:sz="6" w:space="0" w:color="008000"/>
            </w:tcBorders>
            <w:shd w:val="clear" w:color="auto" w:fill="FFFFFF"/>
          </w:tcPr>
          <w:p w14:paraId="6F962E31" w14:textId="77B50313" w:rsidR="00FD7477" w:rsidRPr="00F7620A" w:rsidRDefault="00FD7477">
            <w:pPr>
              <w:pStyle w:val="CETBodytext"/>
              <w:ind w:right="-1"/>
              <w:rPr>
                <w:rFonts w:cs="Arial"/>
                <w:b/>
                <w:bCs/>
                <w:szCs w:val="18"/>
                <w:lang w:val="en-GB"/>
              </w:rPr>
            </w:pPr>
            <w:r>
              <w:rPr>
                <w:rFonts w:cs="Arial"/>
                <w:b/>
                <w:bCs/>
                <w:szCs w:val="18"/>
                <w:lang w:val="en-GB"/>
              </w:rPr>
              <w:t>Source of background data</w:t>
            </w:r>
          </w:p>
        </w:tc>
      </w:tr>
      <w:tr w:rsidR="00FD7477" w:rsidRPr="00B57B36" w14:paraId="5BB2C6C6" w14:textId="77777777" w:rsidTr="00FD7477">
        <w:tc>
          <w:tcPr>
            <w:tcW w:w="1946" w:type="dxa"/>
            <w:shd w:val="clear" w:color="auto" w:fill="FFFFFF"/>
          </w:tcPr>
          <w:p w14:paraId="06A3BFF1" w14:textId="523ACF12" w:rsidR="00FD7477" w:rsidRPr="00B57B36" w:rsidRDefault="00FD7477" w:rsidP="00FD7477">
            <w:pPr>
              <w:pStyle w:val="CETBodytext"/>
              <w:rPr>
                <w:lang w:val="en-GB"/>
              </w:rPr>
            </w:pPr>
            <w:r>
              <w:rPr>
                <w:lang w:val="en-GB"/>
              </w:rPr>
              <w:t>Feedstock</w:t>
            </w:r>
          </w:p>
        </w:tc>
        <w:tc>
          <w:tcPr>
            <w:tcW w:w="754" w:type="dxa"/>
            <w:shd w:val="clear" w:color="auto" w:fill="FFFFFF"/>
          </w:tcPr>
          <w:p w14:paraId="530740B0" w14:textId="77F4D9FD" w:rsidR="00FD7477" w:rsidRPr="00B57B36" w:rsidRDefault="00FD7477" w:rsidP="00FD7477">
            <w:pPr>
              <w:pStyle w:val="CETBodytext"/>
              <w:rPr>
                <w:lang w:val="en-GB"/>
              </w:rPr>
            </w:pPr>
            <w:r>
              <w:rPr>
                <w:lang w:val="en-GB"/>
              </w:rPr>
              <w:t>kg/h</w:t>
            </w:r>
          </w:p>
        </w:tc>
        <w:tc>
          <w:tcPr>
            <w:tcW w:w="1170" w:type="dxa"/>
            <w:shd w:val="clear" w:color="auto" w:fill="FFFFFF"/>
          </w:tcPr>
          <w:p w14:paraId="58498C5C" w14:textId="252E6A36" w:rsidR="00FD7477" w:rsidRPr="00B57B36" w:rsidRDefault="00FD7477" w:rsidP="00FD7477">
            <w:pPr>
              <w:pStyle w:val="CETBodytext"/>
              <w:rPr>
                <w:lang w:val="en-GB"/>
              </w:rPr>
            </w:pPr>
            <w:r w:rsidRPr="007A3C16">
              <w:t>1097.50</w:t>
            </w:r>
          </w:p>
        </w:tc>
        <w:tc>
          <w:tcPr>
            <w:tcW w:w="2520" w:type="dxa"/>
            <w:shd w:val="clear" w:color="auto" w:fill="FFFFFF"/>
          </w:tcPr>
          <w:p w14:paraId="189A78E5" w14:textId="7BE4B825" w:rsidR="00FD7477" w:rsidRPr="00B57B36" w:rsidRDefault="00FD7477" w:rsidP="00FD7477">
            <w:pPr>
              <w:pStyle w:val="CETBodytext"/>
              <w:ind w:right="-1"/>
              <w:rPr>
                <w:rFonts w:cs="Arial"/>
                <w:szCs w:val="18"/>
                <w:lang w:val="en-GB"/>
              </w:rPr>
            </w:pPr>
            <w:r w:rsidRPr="00D518C5">
              <w:t>Solarte-Toro et al. 2023</w:t>
            </w:r>
          </w:p>
        </w:tc>
      </w:tr>
      <w:tr w:rsidR="00FD7477" w:rsidRPr="00B57B36" w14:paraId="7BE7130A" w14:textId="77777777" w:rsidTr="00FD7477">
        <w:tc>
          <w:tcPr>
            <w:tcW w:w="1946" w:type="dxa"/>
            <w:shd w:val="clear" w:color="auto" w:fill="FFFFFF"/>
          </w:tcPr>
          <w:p w14:paraId="74806EAC" w14:textId="65DA510C" w:rsidR="00FD7477" w:rsidRDefault="00FD7477" w:rsidP="00FD7477">
            <w:pPr>
              <w:pStyle w:val="CETBodytext"/>
              <w:rPr>
                <w:lang w:val="en-GB"/>
              </w:rPr>
            </w:pPr>
            <w:r>
              <w:rPr>
                <w:lang w:val="en-GB"/>
              </w:rPr>
              <w:t>Water</w:t>
            </w:r>
          </w:p>
        </w:tc>
        <w:tc>
          <w:tcPr>
            <w:tcW w:w="754" w:type="dxa"/>
            <w:shd w:val="clear" w:color="auto" w:fill="FFFFFF"/>
          </w:tcPr>
          <w:p w14:paraId="7E22A707" w14:textId="1F7F7694" w:rsidR="00FD7477" w:rsidRPr="00B57B36" w:rsidRDefault="00FD7477" w:rsidP="00FD7477">
            <w:pPr>
              <w:pStyle w:val="CETBodytext"/>
              <w:rPr>
                <w:lang w:val="en-GB"/>
              </w:rPr>
            </w:pPr>
            <w:r>
              <w:rPr>
                <w:lang w:val="en-GB"/>
              </w:rPr>
              <w:t>kg/h</w:t>
            </w:r>
          </w:p>
        </w:tc>
        <w:tc>
          <w:tcPr>
            <w:tcW w:w="1170" w:type="dxa"/>
            <w:shd w:val="clear" w:color="auto" w:fill="FFFFFF"/>
          </w:tcPr>
          <w:p w14:paraId="126EC323" w14:textId="00AD6260" w:rsidR="00FD7477" w:rsidRPr="00B57B36" w:rsidRDefault="00FD7477" w:rsidP="00FD7477">
            <w:pPr>
              <w:pStyle w:val="CETBodytext"/>
              <w:rPr>
                <w:lang w:val="en-GB"/>
              </w:rPr>
            </w:pPr>
            <w:r w:rsidRPr="007A3C16">
              <w:t>2779.09</w:t>
            </w:r>
          </w:p>
        </w:tc>
        <w:tc>
          <w:tcPr>
            <w:tcW w:w="2520" w:type="dxa"/>
            <w:shd w:val="clear" w:color="auto" w:fill="FFFFFF"/>
          </w:tcPr>
          <w:p w14:paraId="3E40D87A" w14:textId="1079685E" w:rsidR="00FD7477" w:rsidRPr="00B57B36" w:rsidRDefault="00FD7477" w:rsidP="00FD7477">
            <w:pPr>
              <w:pStyle w:val="CETBodytext"/>
              <w:ind w:right="-1"/>
              <w:rPr>
                <w:rFonts w:cs="Arial"/>
                <w:szCs w:val="18"/>
                <w:lang w:val="en-GB"/>
              </w:rPr>
            </w:pPr>
            <w:proofErr w:type="spellStart"/>
            <w:r w:rsidRPr="00D518C5">
              <w:t>ecoinvent</w:t>
            </w:r>
            <w:proofErr w:type="spellEnd"/>
            <w:r w:rsidRPr="00D518C5">
              <w:t xml:space="preserve"> 3.10</w:t>
            </w:r>
          </w:p>
        </w:tc>
      </w:tr>
      <w:tr w:rsidR="00FD7477" w:rsidRPr="00B57B36" w14:paraId="0CECD2F2" w14:textId="77777777" w:rsidTr="00FD7477">
        <w:tc>
          <w:tcPr>
            <w:tcW w:w="1946" w:type="dxa"/>
            <w:shd w:val="clear" w:color="auto" w:fill="FFFFFF"/>
          </w:tcPr>
          <w:p w14:paraId="6AD25AEB" w14:textId="2F7C6357" w:rsidR="00FD7477" w:rsidRDefault="00FD7477" w:rsidP="00FD7477">
            <w:pPr>
              <w:pStyle w:val="CETBodytext"/>
              <w:rPr>
                <w:lang w:val="en-GB"/>
              </w:rPr>
            </w:pPr>
            <w:r>
              <w:rPr>
                <w:lang w:val="en-GB"/>
              </w:rPr>
              <w:t>Hexane</w:t>
            </w:r>
          </w:p>
        </w:tc>
        <w:tc>
          <w:tcPr>
            <w:tcW w:w="754" w:type="dxa"/>
            <w:shd w:val="clear" w:color="auto" w:fill="FFFFFF"/>
          </w:tcPr>
          <w:p w14:paraId="22F6E5FB" w14:textId="6A92DEEF" w:rsidR="00FD7477" w:rsidRPr="00B57B36" w:rsidRDefault="00FD7477" w:rsidP="00FD7477">
            <w:pPr>
              <w:pStyle w:val="CETBodytext"/>
              <w:rPr>
                <w:lang w:val="en-GB"/>
              </w:rPr>
            </w:pPr>
            <w:r>
              <w:rPr>
                <w:lang w:val="en-GB"/>
              </w:rPr>
              <w:t>kg/h</w:t>
            </w:r>
          </w:p>
        </w:tc>
        <w:tc>
          <w:tcPr>
            <w:tcW w:w="1170" w:type="dxa"/>
            <w:shd w:val="clear" w:color="auto" w:fill="FFFFFF"/>
          </w:tcPr>
          <w:p w14:paraId="74E1845B" w14:textId="16A3BEAA" w:rsidR="00FD7477" w:rsidRPr="00B57B36" w:rsidRDefault="00FD7477" w:rsidP="00FD7477">
            <w:pPr>
              <w:pStyle w:val="CETBodytext"/>
              <w:rPr>
                <w:lang w:val="en-GB"/>
              </w:rPr>
            </w:pPr>
            <w:r w:rsidRPr="007A3C16">
              <w:t>32.00</w:t>
            </w:r>
          </w:p>
        </w:tc>
        <w:tc>
          <w:tcPr>
            <w:tcW w:w="2520" w:type="dxa"/>
            <w:shd w:val="clear" w:color="auto" w:fill="FFFFFF"/>
          </w:tcPr>
          <w:p w14:paraId="0A9F7D6A" w14:textId="1CA59A9E" w:rsidR="00FD7477" w:rsidRPr="00B57B36" w:rsidRDefault="00FD7477" w:rsidP="00FD7477">
            <w:pPr>
              <w:pStyle w:val="CETBodytext"/>
              <w:ind w:right="-1"/>
              <w:rPr>
                <w:rFonts w:cs="Arial"/>
                <w:szCs w:val="18"/>
                <w:lang w:val="en-GB"/>
              </w:rPr>
            </w:pPr>
            <w:proofErr w:type="spellStart"/>
            <w:r w:rsidRPr="00D518C5">
              <w:t>ecoinvent</w:t>
            </w:r>
            <w:proofErr w:type="spellEnd"/>
            <w:r w:rsidRPr="00D518C5">
              <w:t xml:space="preserve"> 3.10</w:t>
            </w:r>
          </w:p>
        </w:tc>
      </w:tr>
      <w:tr w:rsidR="00FD7477" w:rsidRPr="00B57B36" w14:paraId="2688810D" w14:textId="77777777" w:rsidTr="00FD7477">
        <w:tc>
          <w:tcPr>
            <w:tcW w:w="1946" w:type="dxa"/>
            <w:shd w:val="clear" w:color="auto" w:fill="FFFFFF"/>
          </w:tcPr>
          <w:p w14:paraId="746545BC" w14:textId="11736E08" w:rsidR="00FD7477" w:rsidRDefault="00FD7477" w:rsidP="00FD7477">
            <w:pPr>
              <w:pStyle w:val="CETBodytext"/>
              <w:rPr>
                <w:lang w:val="en-GB"/>
              </w:rPr>
            </w:pPr>
            <w:r>
              <w:rPr>
                <w:lang w:val="en-GB"/>
              </w:rPr>
              <w:t>Ethanol</w:t>
            </w:r>
          </w:p>
        </w:tc>
        <w:tc>
          <w:tcPr>
            <w:tcW w:w="754" w:type="dxa"/>
            <w:shd w:val="clear" w:color="auto" w:fill="FFFFFF"/>
          </w:tcPr>
          <w:p w14:paraId="6C31237F" w14:textId="09826615" w:rsidR="00FD7477" w:rsidRPr="00B57B36" w:rsidRDefault="00FD7477" w:rsidP="00FD7477">
            <w:pPr>
              <w:pStyle w:val="CETBodytext"/>
              <w:rPr>
                <w:lang w:val="en-GB"/>
              </w:rPr>
            </w:pPr>
            <w:r>
              <w:rPr>
                <w:lang w:val="en-GB"/>
              </w:rPr>
              <w:t>kg/h</w:t>
            </w:r>
          </w:p>
        </w:tc>
        <w:tc>
          <w:tcPr>
            <w:tcW w:w="1170" w:type="dxa"/>
            <w:shd w:val="clear" w:color="auto" w:fill="FFFFFF"/>
          </w:tcPr>
          <w:p w14:paraId="342BB60D" w14:textId="22D645AB" w:rsidR="00FD7477" w:rsidRPr="00B57B36" w:rsidRDefault="00FD7477" w:rsidP="00FD7477">
            <w:pPr>
              <w:pStyle w:val="CETBodytext"/>
              <w:rPr>
                <w:lang w:val="en-GB"/>
              </w:rPr>
            </w:pPr>
            <w:r w:rsidRPr="007A3C16">
              <w:t>321.63</w:t>
            </w:r>
          </w:p>
        </w:tc>
        <w:tc>
          <w:tcPr>
            <w:tcW w:w="2520" w:type="dxa"/>
            <w:shd w:val="clear" w:color="auto" w:fill="FFFFFF"/>
          </w:tcPr>
          <w:p w14:paraId="0BF3CE64" w14:textId="18296948" w:rsidR="00FD7477" w:rsidRPr="00B57B36" w:rsidRDefault="00FD7477" w:rsidP="00FD7477">
            <w:pPr>
              <w:pStyle w:val="CETBodytext"/>
              <w:ind w:right="-1"/>
              <w:rPr>
                <w:rFonts w:cs="Arial"/>
                <w:szCs w:val="18"/>
                <w:lang w:val="en-GB"/>
              </w:rPr>
            </w:pPr>
            <w:proofErr w:type="spellStart"/>
            <w:r w:rsidRPr="00D518C5">
              <w:t>ecoinvent</w:t>
            </w:r>
            <w:proofErr w:type="spellEnd"/>
            <w:r w:rsidRPr="00D518C5">
              <w:t xml:space="preserve"> 3.10</w:t>
            </w:r>
          </w:p>
        </w:tc>
      </w:tr>
      <w:tr w:rsidR="00FD7477" w:rsidRPr="00B57B36" w14:paraId="73F94500" w14:textId="77777777" w:rsidTr="00FD7477">
        <w:tc>
          <w:tcPr>
            <w:tcW w:w="1946" w:type="dxa"/>
            <w:shd w:val="clear" w:color="auto" w:fill="FFFFFF"/>
          </w:tcPr>
          <w:p w14:paraId="5DCB842C" w14:textId="5C4F3EF5" w:rsidR="00FD7477" w:rsidRDefault="00FD7477" w:rsidP="00FD7477">
            <w:pPr>
              <w:pStyle w:val="CETBodytext"/>
              <w:rPr>
                <w:lang w:val="en-GB"/>
              </w:rPr>
            </w:pPr>
            <w:r>
              <w:rPr>
                <w:lang w:val="en-GB"/>
              </w:rPr>
              <w:t>Sodium hypochlorite</w:t>
            </w:r>
          </w:p>
        </w:tc>
        <w:tc>
          <w:tcPr>
            <w:tcW w:w="754" w:type="dxa"/>
            <w:shd w:val="clear" w:color="auto" w:fill="FFFFFF"/>
          </w:tcPr>
          <w:p w14:paraId="639A6B84" w14:textId="392CDF61" w:rsidR="00FD7477" w:rsidRPr="00B57B36" w:rsidRDefault="00FD7477" w:rsidP="00FD7477">
            <w:pPr>
              <w:pStyle w:val="CETBodytext"/>
              <w:rPr>
                <w:lang w:val="en-GB"/>
              </w:rPr>
            </w:pPr>
            <w:r>
              <w:rPr>
                <w:lang w:val="en-GB"/>
              </w:rPr>
              <w:t>kg/h</w:t>
            </w:r>
          </w:p>
        </w:tc>
        <w:tc>
          <w:tcPr>
            <w:tcW w:w="1170" w:type="dxa"/>
            <w:shd w:val="clear" w:color="auto" w:fill="FFFFFF"/>
          </w:tcPr>
          <w:p w14:paraId="361B977F" w14:textId="113B8229" w:rsidR="00FD7477" w:rsidRPr="00B57B36" w:rsidRDefault="00FD7477" w:rsidP="00FD7477">
            <w:pPr>
              <w:pStyle w:val="CETBodytext"/>
              <w:rPr>
                <w:lang w:val="en-GB"/>
              </w:rPr>
            </w:pPr>
            <w:r w:rsidRPr="007A3C16">
              <w:t>0.45</w:t>
            </w:r>
          </w:p>
        </w:tc>
        <w:tc>
          <w:tcPr>
            <w:tcW w:w="2520" w:type="dxa"/>
            <w:shd w:val="clear" w:color="auto" w:fill="FFFFFF"/>
          </w:tcPr>
          <w:p w14:paraId="5B8FB63B" w14:textId="07B8A662" w:rsidR="00FD7477" w:rsidRPr="00B57B36" w:rsidRDefault="00FD7477" w:rsidP="00FD7477">
            <w:pPr>
              <w:pStyle w:val="CETBodytext"/>
              <w:ind w:right="-1"/>
              <w:rPr>
                <w:rFonts w:cs="Arial"/>
                <w:szCs w:val="18"/>
                <w:lang w:val="en-GB"/>
              </w:rPr>
            </w:pPr>
            <w:proofErr w:type="spellStart"/>
            <w:r w:rsidRPr="00D518C5">
              <w:t>ecoinvent</w:t>
            </w:r>
            <w:proofErr w:type="spellEnd"/>
            <w:r w:rsidRPr="00D518C5">
              <w:t xml:space="preserve"> 3.10</w:t>
            </w:r>
          </w:p>
        </w:tc>
      </w:tr>
      <w:tr w:rsidR="00FD7477" w:rsidRPr="00B57B36" w14:paraId="42E21B79" w14:textId="77777777" w:rsidTr="00FD7477">
        <w:tc>
          <w:tcPr>
            <w:tcW w:w="1946" w:type="dxa"/>
            <w:shd w:val="clear" w:color="auto" w:fill="FFFFFF"/>
          </w:tcPr>
          <w:p w14:paraId="5A5EE0EE" w14:textId="04A65D45" w:rsidR="00FD7477" w:rsidRDefault="00FD7477" w:rsidP="00FD7477">
            <w:pPr>
              <w:pStyle w:val="CETBodytext"/>
              <w:rPr>
                <w:lang w:val="en-GB"/>
              </w:rPr>
            </w:pPr>
            <w:r>
              <w:rPr>
                <w:lang w:val="en-GB"/>
              </w:rPr>
              <w:t>Air</w:t>
            </w:r>
          </w:p>
        </w:tc>
        <w:tc>
          <w:tcPr>
            <w:tcW w:w="754" w:type="dxa"/>
            <w:shd w:val="clear" w:color="auto" w:fill="FFFFFF"/>
          </w:tcPr>
          <w:p w14:paraId="04E7FB3B" w14:textId="0E9304D4" w:rsidR="00FD7477" w:rsidRPr="00B57B36" w:rsidRDefault="00FD7477" w:rsidP="00FD7477">
            <w:pPr>
              <w:pStyle w:val="CETBodytext"/>
              <w:rPr>
                <w:lang w:val="en-GB"/>
              </w:rPr>
            </w:pPr>
            <w:r>
              <w:rPr>
                <w:lang w:val="en-GB"/>
              </w:rPr>
              <w:t>kg/h</w:t>
            </w:r>
          </w:p>
        </w:tc>
        <w:tc>
          <w:tcPr>
            <w:tcW w:w="1170" w:type="dxa"/>
            <w:shd w:val="clear" w:color="auto" w:fill="FFFFFF"/>
          </w:tcPr>
          <w:p w14:paraId="529DC812" w14:textId="32FD103C" w:rsidR="00FD7477" w:rsidRPr="00B57B36" w:rsidRDefault="00FD7477" w:rsidP="00FD7477">
            <w:pPr>
              <w:pStyle w:val="CETBodytext"/>
              <w:rPr>
                <w:lang w:val="en-GB"/>
              </w:rPr>
            </w:pPr>
            <w:r w:rsidRPr="007A3C16">
              <w:t>1070.00</w:t>
            </w:r>
          </w:p>
        </w:tc>
        <w:tc>
          <w:tcPr>
            <w:tcW w:w="2520" w:type="dxa"/>
            <w:shd w:val="clear" w:color="auto" w:fill="FFFFFF"/>
          </w:tcPr>
          <w:p w14:paraId="0A1138E1" w14:textId="51D3AC0E" w:rsidR="00FD7477" w:rsidRPr="00B57B36" w:rsidRDefault="00FD7477" w:rsidP="00FD7477">
            <w:pPr>
              <w:pStyle w:val="CETBodytext"/>
              <w:ind w:right="-1"/>
              <w:rPr>
                <w:rFonts w:cs="Arial"/>
                <w:szCs w:val="18"/>
                <w:lang w:val="en-GB"/>
              </w:rPr>
            </w:pPr>
            <w:proofErr w:type="spellStart"/>
            <w:r w:rsidRPr="00D518C5">
              <w:t>ecoinvent</w:t>
            </w:r>
            <w:proofErr w:type="spellEnd"/>
            <w:r w:rsidRPr="00D518C5">
              <w:t xml:space="preserve"> 3.10</w:t>
            </w:r>
          </w:p>
        </w:tc>
      </w:tr>
      <w:tr w:rsidR="00FD7477" w:rsidRPr="00B57B36" w14:paraId="1654E000" w14:textId="77777777" w:rsidTr="00FD7477">
        <w:tc>
          <w:tcPr>
            <w:tcW w:w="1946" w:type="dxa"/>
            <w:shd w:val="clear" w:color="auto" w:fill="FFFFFF"/>
          </w:tcPr>
          <w:p w14:paraId="49321B7C" w14:textId="71D6E1F4" w:rsidR="00FD7477" w:rsidRPr="00F7620A" w:rsidRDefault="00FD7477" w:rsidP="00FD7477">
            <w:pPr>
              <w:pStyle w:val="CETBodytext"/>
              <w:rPr>
                <w:b/>
                <w:bCs/>
                <w:lang w:val="en-GB"/>
              </w:rPr>
            </w:pPr>
            <w:r w:rsidRPr="00F7620A">
              <w:rPr>
                <w:b/>
                <w:bCs/>
                <w:lang w:val="en-GB"/>
              </w:rPr>
              <w:t>Energy input flows</w:t>
            </w:r>
          </w:p>
        </w:tc>
        <w:tc>
          <w:tcPr>
            <w:tcW w:w="754" w:type="dxa"/>
            <w:shd w:val="clear" w:color="auto" w:fill="FFFFFF"/>
          </w:tcPr>
          <w:p w14:paraId="22552D07" w14:textId="1D7ACD9C" w:rsidR="00FD7477" w:rsidRPr="00B57B36" w:rsidRDefault="00FD7477" w:rsidP="00FD7477">
            <w:pPr>
              <w:pStyle w:val="CETBodytext"/>
              <w:rPr>
                <w:lang w:val="en-GB"/>
              </w:rPr>
            </w:pPr>
          </w:p>
        </w:tc>
        <w:tc>
          <w:tcPr>
            <w:tcW w:w="1170" w:type="dxa"/>
            <w:shd w:val="clear" w:color="auto" w:fill="FFFFFF"/>
          </w:tcPr>
          <w:p w14:paraId="38AD3C3C" w14:textId="07584FE5" w:rsidR="00FD7477" w:rsidRPr="00B57B36" w:rsidRDefault="00FD7477" w:rsidP="00FD7477">
            <w:pPr>
              <w:pStyle w:val="CETBodytext"/>
              <w:rPr>
                <w:lang w:val="en-GB"/>
              </w:rPr>
            </w:pPr>
          </w:p>
        </w:tc>
        <w:tc>
          <w:tcPr>
            <w:tcW w:w="2520" w:type="dxa"/>
            <w:shd w:val="clear" w:color="auto" w:fill="FFFFFF"/>
          </w:tcPr>
          <w:p w14:paraId="68ECA9B4" w14:textId="77777777" w:rsidR="00FD7477" w:rsidRPr="00B57B36" w:rsidRDefault="00FD7477" w:rsidP="00FD7477">
            <w:pPr>
              <w:pStyle w:val="CETBodytext"/>
              <w:ind w:right="-1"/>
              <w:rPr>
                <w:rFonts w:cs="Arial"/>
                <w:szCs w:val="18"/>
                <w:lang w:val="en-GB"/>
              </w:rPr>
            </w:pPr>
          </w:p>
        </w:tc>
      </w:tr>
      <w:tr w:rsidR="00FD7477" w:rsidRPr="00B57B36" w14:paraId="0DFB519E" w14:textId="77777777" w:rsidTr="00FD7477">
        <w:tc>
          <w:tcPr>
            <w:tcW w:w="1946" w:type="dxa"/>
            <w:shd w:val="clear" w:color="auto" w:fill="FFFFFF"/>
          </w:tcPr>
          <w:p w14:paraId="6AFEEB8F" w14:textId="725E2022" w:rsidR="00FD7477" w:rsidRDefault="00FD7477" w:rsidP="00FD7477">
            <w:pPr>
              <w:pStyle w:val="CETBodytext"/>
              <w:rPr>
                <w:lang w:val="en-GB"/>
              </w:rPr>
            </w:pPr>
            <w:r>
              <w:rPr>
                <w:lang w:val="en-GB"/>
              </w:rPr>
              <w:t>Electricity</w:t>
            </w:r>
          </w:p>
        </w:tc>
        <w:tc>
          <w:tcPr>
            <w:tcW w:w="754" w:type="dxa"/>
            <w:shd w:val="clear" w:color="auto" w:fill="FFFFFF"/>
          </w:tcPr>
          <w:p w14:paraId="509FB5C6" w14:textId="491D92BC" w:rsidR="00FD7477" w:rsidRPr="00B57B36" w:rsidRDefault="00FD7477" w:rsidP="00FD7477">
            <w:pPr>
              <w:pStyle w:val="CETBodytext"/>
              <w:rPr>
                <w:lang w:val="en-GB"/>
              </w:rPr>
            </w:pPr>
            <w:r>
              <w:rPr>
                <w:lang w:val="en-GB"/>
              </w:rPr>
              <w:t>kg/h</w:t>
            </w:r>
          </w:p>
        </w:tc>
        <w:tc>
          <w:tcPr>
            <w:tcW w:w="1170" w:type="dxa"/>
            <w:shd w:val="clear" w:color="auto" w:fill="FFFFFF"/>
          </w:tcPr>
          <w:p w14:paraId="1A0D4B44" w14:textId="31C6FD83" w:rsidR="00FD7477" w:rsidRPr="00B57B36" w:rsidRDefault="00FD7477" w:rsidP="00FD7477">
            <w:pPr>
              <w:pStyle w:val="CETBodytext"/>
              <w:rPr>
                <w:lang w:val="en-GB"/>
              </w:rPr>
            </w:pPr>
            <w:r w:rsidRPr="00D8779E">
              <w:t>76.3</w:t>
            </w:r>
          </w:p>
        </w:tc>
        <w:tc>
          <w:tcPr>
            <w:tcW w:w="2520" w:type="dxa"/>
            <w:shd w:val="clear" w:color="auto" w:fill="FFFFFF"/>
          </w:tcPr>
          <w:p w14:paraId="0B0D3D7B" w14:textId="76A2923B" w:rsidR="00FD7477" w:rsidRPr="00B57B36" w:rsidRDefault="0028454F" w:rsidP="00FD7477">
            <w:pPr>
              <w:pStyle w:val="CETBodytext"/>
              <w:ind w:right="-1"/>
              <w:rPr>
                <w:rFonts w:cs="Arial"/>
                <w:szCs w:val="18"/>
                <w:lang w:val="en-GB"/>
              </w:rPr>
            </w:pPr>
            <w:proofErr w:type="spellStart"/>
            <w:r>
              <w:rPr>
                <w:rFonts w:cs="Arial"/>
                <w:szCs w:val="18"/>
                <w:lang w:val="en-GB"/>
              </w:rPr>
              <w:t>ecoinvent</w:t>
            </w:r>
            <w:proofErr w:type="spellEnd"/>
            <w:r>
              <w:rPr>
                <w:rFonts w:cs="Arial"/>
                <w:szCs w:val="18"/>
                <w:lang w:val="en-GB"/>
              </w:rPr>
              <w:t xml:space="preserve"> 3.10</w:t>
            </w:r>
          </w:p>
        </w:tc>
      </w:tr>
      <w:tr w:rsidR="00FD7477" w:rsidRPr="00B57B36" w14:paraId="725C4791" w14:textId="77777777" w:rsidTr="00FD7477">
        <w:tc>
          <w:tcPr>
            <w:tcW w:w="1946" w:type="dxa"/>
            <w:shd w:val="clear" w:color="auto" w:fill="FFFFFF"/>
          </w:tcPr>
          <w:p w14:paraId="31F267CC" w14:textId="6FEA90F8" w:rsidR="00FD7477" w:rsidRDefault="00FD7477" w:rsidP="00FD7477">
            <w:pPr>
              <w:pStyle w:val="CETBodytext"/>
              <w:rPr>
                <w:lang w:val="en-GB"/>
              </w:rPr>
            </w:pPr>
            <w:r>
              <w:rPr>
                <w:lang w:val="en-GB"/>
              </w:rPr>
              <w:t>Cooling water</w:t>
            </w:r>
          </w:p>
        </w:tc>
        <w:tc>
          <w:tcPr>
            <w:tcW w:w="754" w:type="dxa"/>
            <w:shd w:val="clear" w:color="auto" w:fill="FFFFFF"/>
          </w:tcPr>
          <w:p w14:paraId="3B84DBBF" w14:textId="01021CF5" w:rsidR="00FD7477" w:rsidRPr="00B57B36" w:rsidRDefault="00FD7477" w:rsidP="00FD7477">
            <w:pPr>
              <w:pStyle w:val="CETBodytext"/>
              <w:rPr>
                <w:lang w:val="en-GB"/>
              </w:rPr>
            </w:pPr>
            <w:r>
              <w:rPr>
                <w:lang w:val="en-GB"/>
              </w:rPr>
              <w:t>kg/h</w:t>
            </w:r>
          </w:p>
        </w:tc>
        <w:tc>
          <w:tcPr>
            <w:tcW w:w="1170" w:type="dxa"/>
            <w:shd w:val="clear" w:color="auto" w:fill="FFFFFF"/>
          </w:tcPr>
          <w:p w14:paraId="72EEF1AB" w14:textId="39F862C9" w:rsidR="00FD7477" w:rsidRPr="00B57B36" w:rsidRDefault="00FD7477" w:rsidP="00FD7477">
            <w:pPr>
              <w:pStyle w:val="CETBodytext"/>
              <w:rPr>
                <w:lang w:val="en-GB"/>
              </w:rPr>
            </w:pPr>
            <w:r w:rsidRPr="00D8779E">
              <w:t>3956.76</w:t>
            </w:r>
          </w:p>
        </w:tc>
        <w:tc>
          <w:tcPr>
            <w:tcW w:w="2520" w:type="dxa"/>
            <w:shd w:val="clear" w:color="auto" w:fill="FFFFFF"/>
          </w:tcPr>
          <w:p w14:paraId="53BA31AB" w14:textId="407C869A" w:rsidR="00FD7477" w:rsidRPr="00B57B36" w:rsidRDefault="00FD7477" w:rsidP="00FD7477">
            <w:pPr>
              <w:pStyle w:val="CETBodytext"/>
              <w:ind w:right="-1"/>
              <w:rPr>
                <w:rFonts w:cs="Arial"/>
                <w:szCs w:val="18"/>
                <w:lang w:val="en-GB"/>
              </w:rPr>
            </w:pPr>
            <w:proofErr w:type="spellStart"/>
            <w:r w:rsidRPr="00D518C5">
              <w:t>ecoinvent</w:t>
            </w:r>
            <w:proofErr w:type="spellEnd"/>
            <w:r w:rsidRPr="00D518C5">
              <w:t xml:space="preserve"> 3.10</w:t>
            </w:r>
          </w:p>
        </w:tc>
      </w:tr>
      <w:tr w:rsidR="00FD7477" w:rsidRPr="00B57B36" w14:paraId="39D2D382" w14:textId="77777777" w:rsidTr="00FD7477">
        <w:tc>
          <w:tcPr>
            <w:tcW w:w="1946" w:type="dxa"/>
            <w:shd w:val="clear" w:color="auto" w:fill="FFFFFF"/>
          </w:tcPr>
          <w:p w14:paraId="55695A7C" w14:textId="4746F117" w:rsidR="00FD7477" w:rsidRDefault="00FD7477" w:rsidP="00FD7477">
            <w:pPr>
              <w:pStyle w:val="CETBodytext"/>
              <w:rPr>
                <w:lang w:val="en-GB"/>
              </w:rPr>
            </w:pPr>
            <w:r>
              <w:rPr>
                <w:lang w:val="en-GB"/>
              </w:rPr>
              <w:t>Refrigerant</w:t>
            </w:r>
          </w:p>
        </w:tc>
        <w:tc>
          <w:tcPr>
            <w:tcW w:w="754" w:type="dxa"/>
            <w:shd w:val="clear" w:color="auto" w:fill="FFFFFF"/>
          </w:tcPr>
          <w:p w14:paraId="45C136EA" w14:textId="4CD0CAD5" w:rsidR="00FD7477" w:rsidRPr="00B57B36" w:rsidRDefault="00FD7477" w:rsidP="00FD7477">
            <w:pPr>
              <w:pStyle w:val="CETBodytext"/>
              <w:rPr>
                <w:lang w:val="en-GB"/>
              </w:rPr>
            </w:pPr>
            <w:r>
              <w:rPr>
                <w:lang w:val="en-GB"/>
              </w:rPr>
              <w:t>kg/h</w:t>
            </w:r>
          </w:p>
        </w:tc>
        <w:tc>
          <w:tcPr>
            <w:tcW w:w="1170" w:type="dxa"/>
            <w:shd w:val="clear" w:color="auto" w:fill="FFFFFF"/>
          </w:tcPr>
          <w:p w14:paraId="2064901E" w14:textId="08F27B7C" w:rsidR="00FD7477" w:rsidRPr="00B57B36" w:rsidRDefault="00FD7477" w:rsidP="00FD7477">
            <w:pPr>
              <w:pStyle w:val="CETBodytext"/>
              <w:rPr>
                <w:lang w:val="en-GB"/>
              </w:rPr>
            </w:pPr>
            <w:r w:rsidRPr="00D8779E">
              <w:t>23.17</w:t>
            </w:r>
          </w:p>
        </w:tc>
        <w:tc>
          <w:tcPr>
            <w:tcW w:w="2520" w:type="dxa"/>
            <w:shd w:val="clear" w:color="auto" w:fill="FFFFFF"/>
          </w:tcPr>
          <w:p w14:paraId="4CF991F5" w14:textId="0444A2E8" w:rsidR="00FD7477" w:rsidRPr="00B57B36" w:rsidRDefault="00FD7477" w:rsidP="00FD7477">
            <w:pPr>
              <w:pStyle w:val="CETBodytext"/>
              <w:ind w:right="-1"/>
              <w:rPr>
                <w:rFonts w:cs="Arial"/>
                <w:szCs w:val="18"/>
                <w:lang w:val="en-GB"/>
              </w:rPr>
            </w:pPr>
            <w:proofErr w:type="spellStart"/>
            <w:r w:rsidRPr="00D518C5">
              <w:t>ecoinvent</w:t>
            </w:r>
            <w:proofErr w:type="spellEnd"/>
            <w:r w:rsidRPr="00D518C5">
              <w:t xml:space="preserve"> 3.10</w:t>
            </w:r>
          </w:p>
        </w:tc>
      </w:tr>
      <w:tr w:rsidR="00FD7477" w:rsidRPr="00B57B36" w14:paraId="17CD7CF5" w14:textId="77777777" w:rsidTr="00FD7477">
        <w:tc>
          <w:tcPr>
            <w:tcW w:w="1946" w:type="dxa"/>
            <w:shd w:val="clear" w:color="auto" w:fill="FFFFFF"/>
          </w:tcPr>
          <w:p w14:paraId="1BD178C0" w14:textId="5F5A414F" w:rsidR="00FD7477" w:rsidRDefault="00FD7477" w:rsidP="00FD7477">
            <w:pPr>
              <w:pStyle w:val="CETBodytext"/>
              <w:rPr>
                <w:lang w:val="en-GB"/>
              </w:rPr>
            </w:pPr>
            <w:r>
              <w:rPr>
                <w:lang w:val="en-GB"/>
              </w:rPr>
              <w:t>Steam</w:t>
            </w:r>
          </w:p>
        </w:tc>
        <w:tc>
          <w:tcPr>
            <w:tcW w:w="754" w:type="dxa"/>
            <w:shd w:val="clear" w:color="auto" w:fill="FFFFFF"/>
          </w:tcPr>
          <w:p w14:paraId="4E122070" w14:textId="18388EF3" w:rsidR="00FD7477" w:rsidRPr="00B57B36" w:rsidRDefault="00FD7477" w:rsidP="00FD7477">
            <w:pPr>
              <w:pStyle w:val="CETBodytext"/>
              <w:rPr>
                <w:lang w:val="en-GB"/>
              </w:rPr>
            </w:pPr>
            <w:r>
              <w:rPr>
                <w:lang w:val="en-GB"/>
              </w:rPr>
              <w:t>kg/h</w:t>
            </w:r>
          </w:p>
        </w:tc>
        <w:tc>
          <w:tcPr>
            <w:tcW w:w="1170" w:type="dxa"/>
            <w:shd w:val="clear" w:color="auto" w:fill="FFFFFF"/>
          </w:tcPr>
          <w:p w14:paraId="2873357E" w14:textId="5977FBF1" w:rsidR="00FD7477" w:rsidRPr="00B57B36" w:rsidRDefault="00FD7477" w:rsidP="00FD7477">
            <w:pPr>
              <w:pStyle w:val="CETBodytext"/>
              <w:rPr>
                <w:lang w:val="en-GB"/>
              </w:rPr>
            </w:pPr>
            <w:r w:rsidRPr="00D8779E">
              <w:t>18.08</w:t>
            </w:r>
          </w:p>
        </w:tc>
        <w:tc>
          <w:tcPr>
            <w:tcW w:w="2520" w:type="dxa"/>
            <w:shd w:val="clear" w:color="auto" w:fill="FFFFFF"/>
          </w:tcPr>
          <w:p w14:paraId="66D7DD37" w14:textId="582A5367" w:rsidR="00FD7477" w:rsidRPr="00B57B36" w:rsidRDefault="00FD7477" w:rsidP="00FD7477">
            <w:pPr>
              <w:pStyle w:val="CETBodytext"/>
              <w:ind w:right="-1"/>
              <w:rPr>
                <w:rFonts w:cs="Arial"/>
                <w:szCs w:val="18"/>
                <w:lang w:val="en-GB"/>
              </w:rPr>
            </w:pPr>
            <w:proofErr w:type="spellStart"/>
            <w:r w:rsidRPr="00D518C5">
              <w:t>ecoinvent</w:t>
            </w:r>
            <w:proofErr w:type="spellEnd"/>
            <w:r w:rsidRPr="00D518C5">
              <w:t xml:space="preserve"> 3.10</w:t>
            </w:r>
          </w:p>
        </w:tc>
      </w:tr>
      <w:tr w:rsidR="00FD7477" w:rsidRPr="00B57B36" w14:paraId="228E7983" w14:textId="77777777" w:rsidTr="00FD7477">
        <w:tc>
          <w:tcPr>
            <w:tcW w:w="1946" w:type="dxa"/>
            <w:shd w:val="clear" w:color="auto" w:fill="FFFFFF"/>
          </w:tcPr>
          <w:p w14:paraId="41704427" w14:textId="4D14B838" w:rsidR="00FD7477" w:rsidRDefault="00FD7477" w:rsidP="00FD7477">
            <w:pPr>
              <w:pStyle w:val="CETBodytext"/>
              <w:rPr>
                <w:lang w:val="en-GB"/>
              </w:rPr>
            </w:pPr>
            <w:r>
              <w:rPr>
                <w:lang w:val="en-GB"/>
              </w:rPr>
              <w:t>Natural gas</w:t>
            </w:r>
          </w:p>
        </w:tc>
        <w:tc>
          <w:tcPr>
            <w:tcW w:w="754" w:type="dxa"/>
            <w:shd w:val="clear" w:color="auto" w:fill="FFFFFF"/>
          </w:tcPr>
          <w:p w14:paraId="0AF3767F" w14:textId="74E5353E" w:rsidR="00FD7477" w:rsidRPr="00B57B36" w:rsidRDefault="00FD7477" w:rsidP="00FD7477">
            <w:pPr>
              <w:pStyle w:val="CETBodytext"/>
              <w:rPr>
                <w:lang w:val="en-GB"/>
              </w:rPr>
            </w:pPr>
            <w:r>
              <w:rPr>
                <w:lang w:val="en-GB"/>
              </w:rPr>
              <w:t>kg/h</w:t>
            </w:r>
          </w:p>
        </w:tc>
        <w:tc>
          <w:tcPr>
            <w:tcW w:w="1170" w:type="dxa"/>
            <w:shd w:val="clear" w:color="auto" w:fill="FFFFFF"/>
          </w:tcPr>
          <w:p w14:paraId="39158FF3" w14:textId="6B0939B8" w:rsidR="00FD7477" w:rsidRPr="00B57B36" w:rsidRDefault="00FD7477" w:rsidP="00FD7477">
            <w:pPr>
              <w:pStyle w:val="CETBodytext"/>
              <w:rPr>
                <w:lang w:val="en-GB"/>
              </w:rPr>
            </w:pPr>
            <w:r w:rsidRPr="00D8779E">
              <w:t>20.87</w:t>
            </w:r>
          </w:p>
        </w:tc>
        <w:tc>
          <w:tcPr>
            <w:tcW w:w="2520" w:type="dxa"/>
            <w:shd w:val="clear" w:color="auto" w:fill="FFFFFF"/>
          </w:tcPr>
          <w:p w14:paraId="0B401E65" w14:textId="6ACE8E4D" w:rsidR="00FD7477" w:rsidRPr="00B57B36" w:rsidRDefault="00FD7477" w:rsidP="00FD7477">
            <w:pPr>
              <w:pStyle w:val="CETBodytext"/>
              <w:ind w:right="-1"/>
              <w:rPr>
                <w:rFonts w:cs="Arial"/>
                <w:szCs w:val="18"/>
                <w:lang w:val="en-GB"/>
              </w:rPr>
            </w:pPr>
            <w:proofErr w:type="spellStart"/>
            <w:r w:rsidRPr="00D518C5">
              <w:t>ecoinvent</w:t>
            </w:r>
            <w:proofErr w:type="spellEnd"/>
            <w:r w:rsidRPr="00D518C5">
              <w:t xml:space="preserve"> 3.10</w:t>
            </w:r>
          </w:p>
        </w:tc>
      </w:tr>
      <w:tr w:rsidR="00FD7477" w:rsidRPr="00B57B36" w14:paraId="1DB52F20" w14:textId="77777777" w:rsidTr="00FD7477">
        <w:tc>
          <w:tcPr>
            <w:tcW w:w="1946" w:type="dxa"/>
            <w:shd w:val="clear" w:color="auto" w:fill="FFFFFF"/>
          </w:tcPr>
          <w:p w14:paraId="38AEA747" w14:textId="2E1F1B58" w:rsidR="00FD7477" w:rsidRDefault="00FD7477" w:rsidP="00FD7477">
            <w:pPr>
              <w:pStyle w:val="CETBodytext"/>
              <w:rPr>
                <w:lang w:val="en-GB"/>
              </w:rPr>
            </w:pPr>
            <w:r>
              <w:rPr>
                <w:lang w:val="en-GB"/>
              </w:rPr>
              <w:t>Nitrogen</w:t>
            </w:r>
          </w:p>
        </w:tc>
        <w:tc>
          <w:tcPr>
            <w:tcW w:w="754" w:type="dxa"/>
            <w:shd w:val="clear" w:color="auto" w:fill="FFFFFF"/>
          </w:tcPr>
          <w:p w14:paraId="1F541B86" w14:textId="43DC48E4" w:rsidR="00FD7477" w:rsidRPr="00B57B36" w:rsidRDefault="00FD7477" w:rsidP="00FD7477">
            <w:pPr>
              <w:pStyle w:val="CETBodytext"/>
              <w:rPr>
                <w:lang w:val="en-GB"/>
              </w:rPr>
            </w:pPr>
            <w:r>
              <w:rPr>
                <w:lang w:val="en-GB"/>
              </w:rPr>
              <w:t>kg/h</w:t>
            </w:r>
          </w:p>
        </w:tc>
        <w:tc>
          <w:tcPr>
            <w:tcW w:w="1170" w:type="dxa"/>
            <w:shd w:val="clear" w:color="auto" w:fill="FFFFFF"/>
          </w:tcPr>
          <w:p w14:paraId="78B09727" w14:textId="5BF83AA2" w:rsidR="00FD7477" w:rsidRPr="00B57B36" w:rsidRDefault="00FD7477" w:rsidP="00FD7477">
            <w:pPr>
              <w:pStyle w:val="CETBodytext"/>
              <w:rPr>
                <w:lang w:val="en-GB"/>
              </w:rPr>
            </w:pPr>
            <w:r w:rsidRPr="00D8779E">
              <w:t>9.72</w:t>
            </w:r>
          </w:p>
        </w:tc>
        <w:tc>
          <w:tcPr>
            <w:tcW w:w="2520" w:type="dxa"/>
            <w:shd w:val="clear" w:color="auto" w:fill="FFFFFF"/>
          </w:tcPr>
          <w:p w14:paraId="29A3AB34" w14:textId="113611CB" w:rsidR="00FD7477" w:rsidRPr="00B57B36" w:rsidRDefault="00FD7477" w:rsidP="00FD7477">
            <w:pPr>
              <w:pStyle w:val="CETBodytext"/>
              <w:ind w:right="-1"/>
              <w:rPr>
                <w:rFonts w:cs="Arial"/>
                <w:szCs w:val="18"/>
                <w:lang w:val="en-GB"/>
              </w:rPr>
            </w:pPr>
            <w:proofErr w:type="spellStart"/>
            <w:r w:rsidRPr="00D518C5">
              <w:t>ecoinvent</w:t>
            </w:r>
            <w:proofErr w:type="spellEnd"/>
            <w:r w:rsidRPr="00D518C5">
              <w:t xml:space="preserve"> 3.10</w:t>
            </w:r>
          </w:p>
        </w:tc>
      </w:tr>
      <w:tr w:rsidR="00FD7477" w:rsidRPr="00B57B36" w14:paraId="7D8F4CD0" w14:textId="77777777" w:rsidTr="00FD7477">
        <w:tc>
          <w:tcPr>
            <w:tcW w:w="1946" w:type="dxa"/>
            <w:shd w:val="clear" w:color="auto" w:fill="FFFFFF"/>
          </w:tcPr>
          <w:p w14:paraId="50EF3D0D" w14:textId="666CC06D" w:rsidR="00FD7477" w:rsidRPr="00F7620A" w:rsidRDefault="00FD7477" w:rsidP="00FD7477">
            <w:pPr>
              <w:pStyle w:val="CETBodytext"/>
              <w:rPr>
                <w:b/>
                <w:bCs/>
                <w:lang w:val="en-GB"/>
              </w:rPr>
            </w:pPr>
            <w:r w:rsidRPr="00F7620A">
              <w:rPr>
                <w:b/>
                <w:bCs/>
                <w:lang w:val="en-GB"/>
              </w:rPr>
              <w:t>Product flows</w:t>
            </w:r>
          </w:p>
        </w:tc>
        <w:tc>
          <w:tcPr>
            <w:tcW w:w="754" w:type="dxa"/>
            <w:shd w:val="clear" w:color="auto" w:fill="FFFFFF"/>
          </w:tcPr>
          <w:p w14:paraId="05060DD8" w14:textId="41BACC90" w:rsidR="00FD7477" w:rsidRPr="00B57B36" w:rsidRDefault="00FD7477" w:rsidP="00FD7477">
            <w:pPr>
              <w:pStyle w:val="CETBodytext"/>
              <w:rPr>
                <w:lang w:val="en-GB"/>
              </w:rPr>
            </w:pPr>
          </w:p>
        </w:tc>
        <w:tc>
          <w:tcPr>
            <w:tcW w:w="1170" w:type="dxa"/>
            <w:shd w:val="clear" w:color="auto" w:fill="FFFFFF"/>
          </w:tcPr>
          <w:p w14:paraId="544DBD15" w14:textId="0B07249B" w:rsidR="00FD7477" w:rsidRPr="00B57B36" w:rsidRDefault="00FD7477" w:rsidP="00FD7477">
            <w:pPr>
              <w:pStyle w:val="CETBodytext"/>
              <w:rPr>
                <w:lang w:val="en-GB"/>
              </w:rPr>
            </w:pPr>
          </w:p>
        </w:tc>
        <w:tc>
          <w:tcPr>
            <w:tcW w:w="2520" w:type="dxa"/>
            <w:shd w:val="clear" w:color="auto" w:fill="FFFFFF"/>
          </w:tcPr>
          <w:p w14:paraId="455BAF83" w14:textId="625548EC" w:rsidR="00FD7477" w:rsidRPr="00B57B36" w:rsidRDefault="00FD7477" w:rsidP="00FD7477">
            <w:pPr>
              <w:pStyle w:val="CETBodytext"/>
              <w:ind w:right="-1"/>
              <w:rPr>
                <w:rFonts w:cs="Arial"/>
                <w:szCs w:val="18"/>
                <w:lang w:val="en-GB"/>
              </w:rPr>
            </w:pPr>
            <w:proofErr w:type="spellStart"/>
            <w:r w:rsidRPr="00D518C5">
              <w:t>ecoinvent</w:t>
            </w:r>
            <w:proofErr w:type="spellEnd"/>
            <w:r w:rsidRPr="00D518C5">
              <w:t xml:space="preserve"> 3.10</w:t>
            </w:r>
          </w:p>
        </w:tc>
      </w:tr>
      <w:tr w:rsidR="00FD7477" w:rsidRPr="00B57B36" w14:paraId="624D1747" w14:textId="77777777" w:rsidTr="00FD7477">
        <w:tc>
          <w:tcPr>
            <w:tcW w:w="1946" w:type="dxa"/>
            <w:shd w:val="clear" w:color="auto" w:fill="FFFFFF"/>
          </w:tcPr>
          <w:p w14:paraId="7F3D1791" w14:textId="1842EF75" w:rsidR="00FD7477" w:rsidRDefault="00FD7477" w:rsidP="00FD7477">
            <w:pPr>
              <w:pStyle w:val="CETBodytext"/>
              <w:rPr>
                <w:lang w:val="en-GB"/>
              </w:rPr>
            </w:pPr>
            <w:r>
              <w:rPr>
                <w:lang w:val="en-GB"/>
              </w:rPr>
              <w:t>Biochar</w:t>
            </w:r>
          </w:p>
        </w:tc>
        <w:tc>
          <w:tcPr>
            <w:tcW w:w="754" w:type="dxa"/>
            <w:shd w:val="clear" w:color="auto" w:fill="FFFFFF"/>
          </w:tcPr>
          <w:p w14:paraId="65BE1CEB" w14:textId="25EE5915" w:rsidR="00FD7477" w:rsidRPr="00B57B36" w:rsidRDefault="00FD7477" w:rsidP="00FD7477">
            <w:pPr>
              <w:pStyle w:val="CETBodytext"/>
              <w:rPr>
                <w:lang w:val="en-GB"/>
              </w:rPr>
            </w:pPr>
            <w:r>
              <w:rPr>
                <w:lang w:val="en-GB"/>
              </w:rPr>
              <w:t>kg/h</w:t>
            </w:r>
          </w:p>
        </w:tc>
        <w:tc>
          <w:tcPr>
            <w:tcW w:w="1170" w:type="dxa"/>
            <w:shd w:val="clear" w:color="auto" w:fill="FFFFFF"/>
          </w:tcPr>
          <w:p w14:paraId="49685E54" w14:textId="21861C4C" w:rsidR="00FD7477" w:rsidRPr="00B57B36" w:rsidRDefault="00FD7477" w:rsidP="00FD7477">
            <w:pPr>
              <w:pStyle w:val="CETBodytext"/>
              <w:rPr>
                <w:lang w:val="en-GB"/>
              </w:rPr>
            </w:pPr>
            <w:r w:rsidRPr="000E6AC0">
              <w:t>52.24</w:t>
            </w:r>
          </w:p>
        </w:tc>
        <w:tc>
          <w:tcPr>
            <w:tcW w:w="2520" w:type="dxa"/>
            <w:shd w:val="clear" w:color="auto" w:fill="FFFFFF"/>
          </w:tcPr>
          <w:p w14:paraId="43F79921" w14:textId="36C13C79" w:rsidR="00FD7477" w:rsidRPr="00B57B36" w:rsidRDefault="00FD7477" w:rsidP="00FD7477">
            <w:pPr>
              <w:pStyle w:val="CETBodytext"/>
              <w:ind w:right="-1"/>
              <w:rPr>
                <w:rFonts w:cs="Arial"/>
                <w:szCs w:val="18"/>
                <w:lang w:val="en-GB"/>
              </w:rPr>
            </w:pPr>
            <w:r>
              <w:rPr>
                <w:rFonts w:cs="Arial"/>
                <w:szCs w:val="18"/>
                <w:lang w:val="en-GB"/>
              </w:rPr>
              <w:t>co-product</w:t>
            </w:r>
          </w:p>
        </w:tc>
      </w:tr>
      <w:tr w:rsidR="00FD7477" w:rsidRPr="00B57B36" w14:paraId="591EFECF" w14:textId="77777777" w:rsidTr="00FD7477">
        <w:tc>
          <w:tcPr>
            <w:tcW w:w="1946" w:type="dxa"/>
            <w:shd w:val="clear" w:color="auto" w:fill="FFFFFF"/>
          </w:tcPr>
          <w:p w14:paraId="468830A4" w14:textId="56CCD85D" w:rsidR="00FD7477" w:rsidRDefault="00FD7477" w:rsidP="00FD7477">
            <w:pPr>
              <w:pStyle w:val="CETBodytext"/>
              <w:rPr>
                <w:lang w:val="en-GB"/>
              </w:rPr>
            </w:pPr>
            <w:r>
              <w:rPr>
                <w:lang w:val="en-GB"/>
              </w:rPr>
              <w:t>Avocado oil</w:t>
            </w:r>
          </w:p>
        </w:tc>
        <w:tc>
          <w:tcPr>
            <w:tcW w:w="754" w:type="dxa"/>
            <w:shd w:val="clear" w:color="auto" w:fill="FFFFFF"/>
          </w:tcPr>
          <w:p w14:paraId="71BECC7B" w14:textId="2E8B0292" w:rsidR="00FD7477" w:rsidRPr="00B57B36" w:rsidRDefault="00FD7477" w:rsidP="00FD7477">
            <w:pPr>
              <w:pStyle w:val="CETBodytext"/>
              <w:rPr>
                <w:lang w:val="en-GB"/>
              </w:rPr>
            </w:pPr>
            <w:r>
              <w:rPr>
                <w:lang w:val="en-GB"/>
              </w:rPr>
              <w:t>kg/h</w:t>
            </w:r>
          </w:p>
        </w:tc>
        <w:tc>
          <w:tcPr>
            <w:tcW w:w="1170" w:type="dxa"/>
            <w:shd w:val="clear" w:color="auto" w:fill="FFFFFF"/>
          </w:tcPr>
          <w:p w14:paraId="3FB780C5" w14:textId="30F85811" w:rsidR="00FD7477" w:rsidRPr="00B57B36" w:rsidRDefault="00FD7477" w:rsidP="00FD7477">
            <w:pPr>
              <w:pStyle w:val="CETBodytext"/>
              <w:rPr>
                <w:lang w:val="en-GB"/>
              </w:rPr>
            </w:pPr>
            <w:r w:rsidRPr="000E6AC0">
              <w:t>103.5</w:t>
            </w:r>
          </w:p>
        </w:tc>
        <w:tc>
          <w:tcPr>
            <w:tcW w:w="2520" w:type="dxa"/>
            <w:shd w:val="clear" w:color="auto" w:fill="FFFFFF"/>
          </w:tcPr>
          <w:p w14:paraId="7DD3E998" w14:textId="772ECBBF" w:rsidR="00FD7477" w:rsidRPr="00B57B36" w:rsidRDefault="00FD7477" w:rsidP="00FD7477">
            <w:pPr>
              <w:pStyle w:val="CETBodytext"/>
              <w:ind w:right="-1"/>
              <w:rPr>
                <w:rFonts w:cs="Arial"/>
                <w:szCs w:val="18"/>
                <w:lang w:val="en-GB"/>
              </w:rPr>
            </w:pPr>
            <w:r>
              <w:rPr>
                <w:rFonts w:cs="Arial"/>
                <w:szCs w:val="18"/>
                <w:lang w:val="en-GB"/>
              </w:rPr>
              <w:t>product</w:t>
            </w:r>
          </w:p>
        </w:tc>
      </w:tr>
      <w:tr w:rsidR="00FD7477" w:rsidRPr="00B57B36" w14:paraId="2512101F" w14:textId="77777777" w:rsidTr="00FD7477">
        <w:tc>
          <w:tcPr>
            <w:tcW w:w="1946" w:type="dxa"/>
            <w:shd w:val="clear" w:color="auto" w:fill="FFFFFF"/>
          </w:tcPr>
          <w:p w14:paraId="7F7599CA" w14:textId="59BD0DA0" w:rsidR="00FD7477" w:rsidRDefault="00FD7477" w:rsidP="00FD7477">
            <w:pPr>
              <w:pStyle w:val="CETBodytext"/>
              <w:rPr>
                <w:lang w:val="en-GB"/>
              </w:rPr>
            </w:pPr>
            <w:r>
              <w:rPr>
                <w:lang w:val="en-GB"/>
              </w:rPr>
              <w:t>Treated peel</w:t>
            </w:r>
          </w:p>
        </w:tc>
        <w:tc>
          <w:tcPr>
            <w:tcW w:w="754" w:type="dxa"/>
            <w:shd w:val="clear" w:color="auto" w:fill="FFFFFF"/>
          </w:tcPr>
          <w:p w14:paraId="5D99E4B3" w14:textId="0154D564" w:rsidR="00FD7477" w:rsidRPr="00B57B36" w:rsidRDefault="00FD7477" w:rsidP="00FD7477">
            <w:pPr>
              <w:pStyle w:val="CETBodytext"/>
              <w:rPr>
                <w:lang w:val="en-GB"/>
              </w:rPr>
            </w:pPr>
            <w:r>
              <w:rPr>
                <w:lang w:val="en-GB"/>
              </w:rPr>
              <w:t>kg/h</w:t>
            </w:r>
          </w:p>
        </w:tc>
        <w:tc>
          <w:tcPr>
            <w:tcW w:w="1170" w:type="dxa"/>
            <w:shd w:val="clear" w:color="auto" w:fill="FFFFFF"/>
          </w:tcPr>
          <w:p w14:paraId="73E78CDA" w14:textId="42575074" w:rsidR="00FD7477" w:rsidRPr="00B57B36" w:rsidRDefault="00FD7477" w:rsidP="00FD7477">
            <w:pPr>
              <w:pStyle w:val="CETBodytext"/>
              <w:rPr>
                <w:lang w:val="en-GB"/>
              </w:rPr>
            </w:pPr>
            <w:r w:rsidRPr="000E6AC0">
              <w:t>128.078</w:t>
            </w:r>
          </w:p>
        </w:tc>
        <w:tc>
          <w:tcPr>
            <w:tcW w:w="2520" w:type="dxa"/>
            <w:shd w:val="clear" w:color="auto" w:fill="FFFFFF"/>
          </w:tcPr>
          <w:p w14:paraId="151381A2" w14:textId="7CDB7E11" w:rsidR="00FD7477" w:rsidRPr="00B57B36" w:rsidRDefault="00FD7477" w:rsidP="00FD7477">
            <w:pPr>
              <w:pStyle w:val="CETBodytext"/>
              <w:ind w:right="-1"/>
              <w:rPr>
                <w:rFonts w:cs="Arial"/>
                <w:szCs w:val="18"/>
                <w:lang w:val="en-GB"/>
              </w:rPr>
            </w:pPr>
            <w:r w:rsidRPr="00D518C5">
              <w:t>co-product</w:t>
            </w:r>
          </w:p>
        </w:tc>
      </w:tr>
      <w:tr w:rsidR="00FD7477" w:rsidRPr="00B57B36" w14:paraId="262DF01D" w14:textId="77777777" w:rsidTr="00FD7477">
        <w:tc>
          <w:tcPr>
            <w:tcW w:w="1946" w:type="dxa"/>
            <w:shd w:val="clear" w:color="auto" w:fill="FFFFFF"/>
          </w:tcPr>
          <w:p w14:paraId="583AF6BA" w14:textId="4EDA328A" w:rsidR="00FD7477" w:rsidRDefault="00FD7477" w:rsidP="00FD7477">
            <w:pPr>
              <w:pStyle w:val="CETBodytext"/>
              <w:rPr>
                <w:lang w:val="en-GB"/>
              </w:rPr>
            </w:pPr>
            <w:r>
              <w:rPr>
                <w:lang w:val="en-GB"/>
              </w:rPr>
              <w:t>Pulp without fat</w:t>
            </w:r>
          </w:p>
        </w:tc>
        <w:tc>
          <w:tcPr>
            <w:tcW w:w="754" w:type="dxa"/>
            <w:shd w:val="clear" w:color="auto" w:fill="FFFFFF"/>
          </w:tcPr>
          <w:p w14:paraId="69182040" w14:textId="60D25D5E" w:rsidR="00FD7477" w:rsidRPr="00B57B36" w:rsidRDefault="00FD7477" w:rsidP="00FD7477">
            <w:pPr>
              <w:pStyle w:val="CETBodytext"/>
              <w:rPr>
                <w:lang w:val="en-GB"/>
              </w:rPr>
            </w:pPr>
            <w:r>
              <w:rPr>
                <w:lang w:val="en-GB"/>
              </w:rPr>
              <w:t>kg/h</w:t>
            </w:r>
          </w:p>
        </w:tc>
        <w:tc>
          <w:tcPr>
            <w:tcW w:w="1170" w:type="dxa"/>
            <w:shd w:val="clear" w:color="auto" w:fill="FFFFFF"/>
          </w:tcPr>
          <w:p w14:paraId="5D9A198E" w14:textId="2AB64889" w:rsidR="00FD7477" w:rsidRPr="00B57B36" w:rsidRDefault="00FD7477" w:rsidP="00FD7477">
            <w:pPr>
              <w:pStyle w:val="CETBodytext"/>
              <w:rPr>
                <w:lang w:val="en-GB"/>
              </w:rPr>
            </w:pPr>
            <w:r w:rsidRPr="000E6AC0">
              <w:t>82.31</w:t>
            </w:r>
          </w:p>
        </w:tc>
        <w:tc>
          <w:tcPr>
            <w:tcW w:w="2520" w:type="dxa"/>
            <w:shd w:val="clear" w:color="auto" w:fill="FFFFFF"/>
          </w:tcPr>
          <w:p w14:paraId="7BD34269" w14:textId="49D36836" w:rsidR="00FD7477" w:rsidRPr="00B57B36" w:rsidRDefault="00FD7477" w:rsidP="00FD7477">
            <w:pPr>
              <w:pStyle w:val="CETBodytext"/>
              <w:ind w:right="-1"/>
              <w:rPr>
                <w:rFonts w:cs="Arial"/>
                <w:szCs w:val="18"/>
                <w:lang w:val="en-GB"/>
              </w:rPr>
            </w:pPr>
            <w:r>
              <w:t>co-product</w:t>
            </w:r>
          </w:p>
        </w:tc>
      </w:tr>
      <w:tr w:rsidR="00FD7477" w:rsidRPr="00B57B36" w14:paraId="68FDB304" w14:textId="77777777" w:rsidTr="00FD7477">
        <w:tc>
          <w:tcPr>
            <w:tcW w:w="1946" w:type="dxa"/>
            <w:shd w:val="clear" w:color="auto" w:fill="FFFFFF"/>
          </w:tcPr>
          <w:p w14:paraId="0999A3AF" w14:textId="5F9D43B2" w:rsidR="00FD7477" w:rsidRDefault="00FD7477" w:rsidP="00FD7477">
            <w:pPr>
              <w:pStyle w:val="CETBodytext"/>
              <w:rPr>
                <w:lang w:val="en-GB"/>
              </w:rPr>
            </w:pPr>
            <w:r>
              <w:rPr>
                <w:lang w:val="en-GB"/>
              </w:rPr>
              <w:t>Rich chlorophyl</w:t>
            </w:r>
            <w:r w:rsidR="00CD4D10">
              <w:rPr>
                <w:lang w:val="en-GB"/>
              </w:rPr>
              <w:t>l</w:t>
            </w:r>
            <w:r>
              <w:rPr>
                <w:lang w:val="en-GB"/>
              </w:rPr>
              <w:t xml:space="preserve"> extract</w:t>
            </w:r>
          </w:p>
        </w:tc>
        <w:tc>
          <w:tcPr>
            <w:tcW w:w="754" w:type="dxa"/>
            <w:shd w:val="clear" w:color="auto" w:fill="FFFFFF"/>
          </w:tcPr>
          <w:p w14:paraId="66291FED" w14:textId="2F2CB2C1" w:rsidR="00FD7477" w:rsidRPr="00B57B36" w:rsidRDefault="00FD7477" w:rsidP="00FD7477">
            <w:pPr>
              <w:pStyle w:val="CETBodytext"/>
              <w:rPr>
                <w:lang w:val="en-GB"/>
              </w:rPr>
            </w:pPr>
            <w:r>
              <w:rPr>
                <w:lang w:val="en-GB"/>
              </w:rPr>
              <w:t>kg/h</w:t>
            </w:r>
          </w:p>
        </w:tc>
        <w:tc>
          <w:tcPr>
            <w:tcW w:w="1170" w:type="dxa"/>
            <w:shd w:val="clear" w:color="auto" w:fill="FFFFFF"/>
          </w:tcPr>
          <w:p w14:paraId="52BABF82" w14:textId="2E0973CE" w:rsidR="00FD7477" w:rsidRPr="00B57B36" w:rsidRDefault="00FD7477" w:rsidP="00FD7477">
            <w:pPr>
              <w:pStyle w:val="CETBodytext"/>
              <w:rPr>
                <w:lang w:val="en-GB"/>
              </w:rPr>
            </w:pPr>
            <w:r w:rsidRPr="000E6AC0">
              <w:t>3.24</w:t>
            </w:r>
          </w:p>
        </w:tc>
        <w:tc>
          <w:tcPr>
            <w:tcW w:w="2520" w:type="dxa"/>
            <w:shd w:val="clear" w:color="auto" w:fill="FFFFFF"/>
          </w:tcPr>
          <w:p w14:paraId="6151B418" w14:textId="3374EA73" w:rsidR="00FD7477" w:rsidRPr="00B57B36" w:rsidRDefault="00FD7477" w:rsidP="00FD7477">
            <w:pPr>
              <w:pStyle w:val="CETBodytext"/>
              <w:ind w:right="-1"/>
              <w:rPr>
                <w:rFonts w:cs="Arial"/>
                <w:szCs w:val="18"/>
                <w:lang w:val="en-GB"/>
              </w:rPr>
            </w:pPr>
            <w:r>
              <w:rPr>
                <w:rFonts w:cs="Arial"/>
                <w:szCs w:val="18"/>
                <w:lang w:val="en-GB"/>
              </w:rPr>
              <w:t>co-product</w:t>
            </w:r>
          </w:p>
        </w:tc>
      </w:tr>
      <w:tr w:rsidR="00FD7477" w:rsidRPr="00B57B36" w14:paraId="7D57A129" w14:textId="77777777" w:rsidTr="00FD7477">
        <w:tc>
          <w:tcPr>
            <w:tcW w:w="1946" w:type="dxa"/>
            <w:shd w:val="clear" w:color="auto" w:fill="FFFFFF"/>
          </w:tcPr>
          <w:p w14:paraId="176B4BD5" w14:textId="4C8DC85F" w:rsidR="00FD7477" w:rsidRPr="00F7620A" w:rsidRDefault="00FD7477" w:rsidP="00FD7477">
            <w:pPr>
              <w:pStyle w:val="CETBodytext"/>
              <w:rPr>
                <w:b/>
                <w:bCs/>
                <w:lang w:val="en-GB"/>
              </w:rPr>
            </w:pPr>
            <w:r w:rsidRPr="00F7620A">
              <w:rPr>
                <w:b/>
                <w:bCs/>
                <w:lang w:val="en-GB"/>
              </w:rPr>
              <w:t>Output waste flows</w:t>
            </w:r>
          </w:p>
        </w:tc>
        <w:tc>
          <w:tcPr>
            <w:tcW w:w="754" w:type="dxa"/>
            <w:shd w:val="clear" w:color="auto" w:fill="FFFFFF"/>
          </w:tcPr>
          <w:p w14:paraId="0A48F7C9" w14:textId="20949B97" w:rsidR="00FD7477" w:rsidRPr="00B57B36" w:rsidRDefault="00FD7477" w:rsidP="00FD7477">
            <w:pPr>
              <w:pStyle w:val="CETBodytext"/>
              <w:rPr>
                <w:lang w:val="en-GB"/>
              </w:rPr>
            </w:pPr>
          </w:p>
        </w:tc>
        <w:tc>
          <w:tcPr>
            <w:tcW w:w="1170" w:type="dxa"/>
            <w:shd w:val="clear" w:color="auto" w:fill="FFFFFF"/>
          </w:tcPr>
          <w:p w14:paraId="2C567F7C" w14:textId="50E8209B" w:rsidR="00FD7477" w:rsidRPr="00B57B36" w:rsidRDefault="00FD7477" w:rsidP="00FD7477">
            <w:pPr>
              <w:pStyle w:val="CETBodytext"/>
              <w:rPr>
                <w:lang w:val="en-GB"/>
              </w:rPr>
            </w:pPr>
          </w:p>
        </w:tc>
        <w:tc>
          <w:tcPr>
            <w:tcW w:w="2520" w:type="dxa"/>
            <w:shd w:val="clear" w:color="auto" w:fill="FFFFFF"/>
          </w:tcPr>
          <w:p w14:paraId="0D658AFF" w14:textId="328001B0" w:rsidR="00FD7477" w:rsidRPr="00B57B36" w:rsidRDefault="00FD7477" w:rsidP="00FD7477">
            <w:pPr>
              <w:pStyle w:val="CETBodytext"/>
              <w:ind w:right="-1"/>
              <w:rPr>
                <w:rFonts w:cs="Arial"/>
                <w:szCs w:val="18"/>
                <w:lang w:val="en-GB"/>
              </w:rPr>
            </w:pPr>
          </w:p>
        </w:tc>
      </w:tr>
      <w:tr w:rsidR="00FD7477" w:rsidRPr="00B57B36" w14:paraId="5E245977" w14:textId="77777777" w:rsidTr="00FD7477">
        <w:tc>
          <w:tcPr>
            <w:tcW w:w="1946" w:type="dxa"/>
            <w:shd w:val="clear" w:color="auto" w:fill="FFFFFF"/>
          </w:tcPr>
          <w:p w14:paraId="63AD522C" w14:textId="220914EB" w:rsidR="00FD7477" w:rsidRDefault="00FD7477" w:rsidP="00FD7477">
            <w:pPr>
              <w:pStyle w:val="CETBodytext"/>
              <w:rPr>
                <w:lang w:val="en-GB"/>
              </w:rPr>
            </w:pPr>
            <w:r>
              <w:rPr>
                <w:lang w:val="en-GB"/>
              </w:rPr>
              <w:t>Wastewater</w:t>
            </w:r>
          </w:p>
        </w:tc>
        <w:tc>
          <w:tcPr>
            <w:tcW w:w="754" w:type="dxa"/>
            <w:shd w:val="clear" w:color="auto" w:fill="FFFFFF"/>
          </w:tcPr>
          <w:p w14:paraId="0B3654B4" w14:textId="2CA0C830" w:rsidR="00FD7477" w:rsidRPr="00B57B36" w:rsidRDefault="00FD7477" w:rsidP="00FD7477">
            <w:pPr>
              <w:pStyle w:val="CETBodytext"/>
              <w:rPr>
                <w:lang w:val="en-GB"/>
              </w:rPr>
            </w:pPr>
            <w:r>
              <w:rPr>
                <w:lang w:val="en-GB"/>
              </w:rPr>
              <w:t>kg/h</w:t>
            </w:r>
          </w:p>
        </w:tc>
        <w:tc>
          <w:tcPr>
            <w:tcW w:w="1170" w:type="dxa"/>
            <w:shd w:val="clear" w:color="auto" w:fill="FFFFFF"/>
          </w:tcPr>
          <w:p w14:paraId="3E5C3463" w14:textId="4C4BE15C" w:rsidR="00FD7477" w:rsidRPr="00B57B36" w:rsidRDefault="00FD7477" w:rsidP="00FD7477">
            <w:pPr>
              <w:pStyle w:val="CETBodytext"/>
              <w:rPr>
                <w:lang w:val="en-GB"/>
              </w:rPr>
            </w:pPr>
            <w:r w:rsidRPr="007D4DEF">
              <w:rPr>
                <w:lang w:val="en-GB"/>
              </w:rPr>
              <w:t>2704.78</w:t>
            </w:r>
          </w:p>
        </w:tc>
        <w:tc>
          <w:tcPr>
            <w:tcW w:w="2520" w:type="dxa"/>
            <w:shd w:val="clear" w:color="auto" w:fill="FFFFFF"/>
          </w:tcPr>
          <w:p w14:paraId="7252A03D" w14:textId="4EE1B3BC" w:rsidR="00FD7477" w:rsidRPr="00B57B36" w:rsidRDefault="00FD7477" w:rsidP="00FD7477">
            <w:pPr>
              <w:pStyle w:val="CETBodytext"/>
              <w:ind w:right="-1"/>
              <w:rPr>
                <w:rFonts w:cs="Arial"/>
                <w:szCs w:val="18"/>
                <w:lang w:val="en-GB"/>
              </w:rPr>
            </w:pPr>
            <w:proofErr w:type="spellStart"/>
            <w:r>
              <w:t>ecoinvent</w:t>
            </w:r>
            <w:proofErr w:type="spellEnd"/>
            <w:r>
              <w:t xml:space="preserve"> 3.10</w:t>
            </w:r>
          </w:p>
        </w:tc>
      </w:tr>
      <w:tr w:rsidR="00FD7477" w:rsidRPr="00B57B36" w14:paraId="02D0F14D" w14:textId="77777777" w:rsidTr="00FD7477">
        <w:tc>
          <w:tcPr>
            <w:tcW w:w="1946" w:type="dxa"/>
            <w:shd w:val="clear" w:color="auto" w:fill="FFFFFF"/>
          </w:tcPr>
          <w:p w14:paraId="6EF11F3E" w14:textId="02DC6082" w:rsidR="00FD7477" w:rsidRPr="007D4DEF" w:rsidRDefault="00FD7477" w:rsidP="00FD7477">
            <w:pPr>
              <w:pStyle w:val="CETBodytext"/>
              <w:rPr>
                <w:b/>
                <w:bCs/>
                <w:lang w:val="en-GB"/>
              </w:rPr>
            </w:pPr>
            <w:r w:rsidRPr="007D4DEF">
              <w:rPr>
                <w:b/>
                <w:bCs/>
                <w:lang w:val="en-GB"/>
              </w:rPr>
              <w:t>Emissions to water</w:t>
            </w:r>
          </w:p>
        </w:tc>
        <w:tc>
          <w:tcPr>
            <w:tcW w:w="754" w:type="dxa"/>
            <w:shd w:val="clear" w:color="auto" w:fill="FFFFFF"/>
          </w:tcPr>
          <w:p w14:paraId="33487321" w14:textId="5B413E8C" w:rsidR="00FD7477" w:rsidRPr="007D4DEF" w:rsidRDefault="00FD7477" w:rsidP="00FD7477">
            <w:pPr>
              <w:pStyle w:val="CETBodytext"/>
              <w:rPr>
                <w:b/>
                <w:bCs/>
                <w:lang w:val="en-GB"/>
              </w:rPr>
            </w:pPr>
          </w:p>
        </w:tc>
        <w:tc>
          <w:tcPr>
            <w:tcW w:w="1170" w:type="dxa"/>
            <w:shd w:val="clear" w:color="auto" w:fill="FFFFFF"/>
          </w:tcPr>
          <w:p w14:paraId="7D757826" w14:textId="1FDB147C" w:rsidR="00FD7477" w:rsidRPr="007D4DEF" w:rsidRDefault="00FD7477" w:rsidP="00FD7477">
            <w:pPr>
              <w:pStyle w:val="CETBodytext"/>
              <w:rPr>
                <w:b/>
                <w:bCs/>
                <w:lang w:val="en-GB"/>
              </w:rPr>
            </w:pPr>
          </w:p>
        </w:tc>
        <w:tc>
          <w:tcPr>
            <w:tcW w:w="2520" w:type="dxa"/>
            <w:shd w:val="clear" w:color="auto" w:fill="FFFFFF"/>
          </w:tcPr>
          <w:p w14:paraId="1E8F4EBB" w14:textId="77777777" w:rsidR="00FD7477" w:rsidRPr="00B57B36" w:rsidRDefault="00FD7477" w:rsidP="00FD7477">
            <w:pPr>
              <w:pStyle w:val="CETBodytext"/>
              <w:ind w:right="-1"/>
              <w:rPr>
                <w:rFonts w:cs="Arial"/>
                <w:szCs w:val="18"/>
                <w:lang w:val="en-GB"/>
              </w:rPr>
            </w:pPr>
          </w:p>
        </w:tc>
      </w:tr>
      <w:tr w:rsidR="00FD7477" w:rsidRPr="00B57B36" w14:paraId="4320E569" w14:textId="77777777" w:rsidTr="00FD7477">
        <w:tc>
          <w:tcPr>
            <w:tcW w:w="1946" w:type="dxa"/>
            <w:shd w:val="clear" w:color="auto" w:fill="FFFFFF"/>
          </w:tcPr>
          <w:p w14:paraId="1F9B7ABA" w14:textId="3E937C54" w:rsidR="00FD7477" w:rsidRDefault="00FD7477" w:rsidP="00FD7477">
            <w:pPr>
              <w:pStyle w:val="CETBodytext"/>
              <w:rPr>
                <w:lang w:val="en-GB"/>
              </w:rPr>
            </w:pPr>
            <w:r>
              <w:rPr>
                <w:lang w:val="en-GB"/>
              </w:rPr>
              <w:t>Hexane</w:t>
            </w:r>
          </w:p>
        </w:tc>
        <w:tc>
          <w:tcPr>
            <w:tcW w:w="754" w:type="dxa"/>
            <w:shd w:val="clear" w:color="auto" w:fill="FFFFFF"/>
          </w:tcPr>
          <w:p w14:paraId="2ABFF5AF" w14:textId="5A0E6327" w:rsidR="00FD7477" w:rsidRPr="00B57B36" w:rsidRDefault="00FD7477" w:rsidP="00FD7477">
            <w:pPr>
              <w:pStyle w:val="CETBodytext"/>
              <w:rPr>
                <w:lang w:val="en-GB"/>
              </w:rPr>
            </w:pPr>
            <w:r>
              <w:rPr>
                <w:lang w:val="en-GB"/>
              </w:rPr>
              <w:t>kg/h</w:t>
            </w:r>
          </w:p>
        </w:tc>
        <w:tc>
          <w:tcPr>
            <w:tcW w:w="1170" w:type="dxa"/>
            <w:shd w:val="clear" w:color="auto" w:fill="FFFFFF"/>
          </w:tcPr>
          <w:p w14:paraId="2140F253" w14:textId="601465A2" w:rsidR="00FD7477" w:rsidRPr="00B57B36" w:rsidRDefault="00FD7477" w:rsidP="00FD7477">
            <w:pPr>
              <w:pStyle w:val="CETBodytext"/>
              <w:rPr>
                <w:lang w:val="en-GB"/>
              </w:rPr>
            </w:pPr>
            <w:r w:rsidRPr="00E71AD8">
              <w:t>11.3165</w:t>
            </w:r>
          </w:p>
        </w:tc>
        <w:tc>
          <w:tcPr>
            <w:tcW w:w="2520" w:type="dxa"/>
            <w:shd w:val="clear" w:color="auto" w:fill="FFFFFF"/>
          </w:tcPr>
          <w:p w14:paraId="539D1306" w14:textId="613F2E9E" w:rsidR="00FD7477" w:rsidRPr="00B57B36" w:rsidRDefault="00FD7477" w:rsidP="00FD7477">
            <w:pPr>
              <w:pStyle w:val="CETBodytext"/>
              <w:ind w:right="-1"/>
              <w:rPr>
                <w:rFonts w:cs="Arial"/>
                <w:szCs w:val="18"/>
                <w:lang w:val="en-GB"/>
              </w:rPr>
            </w:pPr>
            <w:r>
              <w:rPr>
                <w:rFonts w:cs="Arial"/>
                <w:szCs w:val="18"/>
                <w:lang w:val="en-GB"/>
              </w:rPr>
              <w:t>elementary flow</w:t>
            </w:r>
          </w:p>
        </w:tc>
      </w:tr>
      <w:tr w:rsidR="00FD7477" w:rsidRPr="00B57B36" w14:paraId="1E6F4FE1" w14:textId="77777777" w:rsidTr="00FD7477">
        <w:tc>
          <w:tcPr>
            <w:tcW w:w="1946" w:type="dxa"/>
            <w:shd w:val="clear" w:color="auto" w:fill="FFFFFF"/>
          </w:tcPr>
          <w:p w14:paraId="6A5520AD" w14:textId="7B2F9568" w:rsidR="00FD7477" w:rsidRDefault="00FD7477" w:rsidP="00FD7477">
            <w:pPr>
              <w:pStyle w:val="CETBodytext"/>
              <w:rPr>
                <w:lang w:val="en-GB"/>
              </w:rPr>
            </w:pPr>
            <w:r>
              <w:rPr>
                <w:lang w:val="en-GB"/>
              </w:rPr>
              <w:t>Ethanol</w:t>
            </w:r>
          </w:p>
        </w:tc>
        <w:tc>
          <w:tcPr>
            <w:tcW w:w="754" w:type="dxa"/>
            <w:shd w:val="clear" w:color="auto" w:fill="FFFFFF"/>
          </w:tcPr>
          <w:p w14:paraId="5ED38781" w14:textId="69F6D444" w:rsidR="00FD7477" w:rsidRPr="00B57B36" w:rsidRDefault="00FD7477" w:rsidP="00FD7477">
            <w:pPr>
              <w:pStyle w:val="CETBodytext"/>
              <w:rPr>
                <w:lang w:val="en-GB"/>
              </w:rPr>
            </w:pPr>
            <w:r>
              <w:rPr>
                <w:lang w:val="en-GB"/>
              </w:rPr>
              <w:t>kg/h</w:t>
            </w:r>
          </w:p>
        </w:tc>
        <w:tc>
          <w:tcPr>
            <w:tcW w:w="1170" w:type="dxa"/>
            <w:shd w:val="clear" w:color="auto" w:fill="FFFFFF"/>
          </w:tcPr>
          <w:p w14:paraId="740246F6" w14:textId="098BD537" w:rsidR="00FD7477" w:rsidRPr="00B57B36" w:rsidRDefault="00FD7477" w:rsidP="00FD7477">
            <w:pPr>
              <w:pStyle w:val="CETBodytext"/>
              <w:rPr>
                <w:lang w:val="en-GB"/>
              </w:rPr>
            </w:pPr>
            <w:r w:rsidRPr="00E71AD8">
              <w:t>20.857</w:t>
            </w:r>
          </w:p>
        </w:tc>
        <w:tc>
          <w:tcPr>
            <w:tcW w:w="2520" w:type="dxa"/>
            <w:shd w:val="clear" w:color="auto" w:fill="FFFFFF"/>
          </w:tcPr>
          <w:p w14:paraId="1669492D" w14:textId="39370881" w:rsidR="00FD7477" w:rsidRPr="00B57B36" w:rsidRDefault="00FD7477" w:rsidP="00FD7477">
            <w:pPr>
              <w:pStyle w:val="CETBodytext"/>
              <w:ind w:right="-1"/>
              <w:rPr>
                <w:rFonts w:cs="Arial"/>
                <w:szCs w:val="18"/>
                <w:lang w:val="en-GB"/>
              </w:rPr>
            </w:pPr>
            <w:r>
              <w:t>elementary flow</w:t>
            </w:r>
          </w:p>
        </w:tc>
      </w:tr>
      <w:tr w:rsidR="00FD7477" w:rsidRPr="00B57B36" w14:paraId="6C9C2323" w14:textId="77777777" w:rsidTr="00FD7477">
        <w:tc>
          <w:tcPr>
            <w:tcW w:w="1946" w:type="dxa"/>
            <w:shd w:val="clear" w:color="auto" w:fill="FFFFFF"/>
          </w:tcPr>
          <w:p w14:paraId="113B6EA4" w14:textId="150DFE82" w:rsidR="00FD7477" w:rsidRDefault="00FD7477" w:rsidP="00FD7477">
            <w:pPr>
              <w:pStyle w:val="CETBodytext"/>
              <w:rPr>
                <w:lang w:val="en-GB"/>
              </w:rPr>
            </w:pPr>
            <w:r>
              <w:rPr>
                <w:lang w:val="en-GB"/>
              </w:rPr>
              <w:t>Oils</w:t>
            </w:r>
          </w:p>
        </w:tc>
        <w:tc>
          <w:tcPr>
            <w:tcW w:w="754" w:type="dxa"/>
            <w:shd w:val="clear" w:color="auto" w:fill="FFFFFF"/>
          </w:tcPr>
          <w:p w14:paraId="3010418D" w14:textId="3D3A1EBA" w:rsidR="00FD7477" w:rsidRPr="00B57B36" w:rsidRDefault="00FD7477" w:rsidP="00FD7477">
            <w:pPr>
              <w:pStyle w:val="CETBodytext"/>
              <w:rPr>
                <w:lang w:val="en-GB"/>
              </w:rPr>
            </w:pPr>
            <w:r>
              <w:rPr>
                <w:lang w:val="en-GB"/>
              </w:rPr>
              <w:t>kg/h</w:t>
            </w:r>
          </w:p>
        </w:tc>
        <w:tc>
          <w:tcPr>
            <w:tcW w:w="1170" w:type="dxa"/>
            <w:shd w:val="clear" w:color="auto" w:fill="FFFFFF"/>
          </w:tcPr>
          <w:p w14:paraId="7AAF8BFF" w14:textId="547F5EE5" w:rsidR="00FD7477" w:rsidRPr="00B57B36" w:rsidRDefault="00FD7477" w:rsidP="00FD7477">
            <w:pPr>
              <w:pStyle w:val="CETBodytext"/>
              <w:rPr>
                <w:lang w:val="en-GB"/>
              </w:rPr>
            </w:pPr>
            <w:r w:rsidRPr="00E71AD8">
              <w:t>17.9</w:t>
            </w:r>
          </w:p>
        </w:tc>
        <w:tc>
          <w:tcPr>
            <w:tcW w:w="2520" w:type="dxa"/>
            <w:shd w:val="clear" w:color="auto" w:fill="FFFFFF"/>
          </w:tcPr>
          <w:p w14:paraId="3B9AA44E" w14:textId="607FB9FF" w:rsidR="00FD7477" w:rsidRPr="00B57B36" w:rsidRDefault="00FD7477" w:rsidP="00FD7477">
            <w:pPr>
              <w:pStyle w:val="CETBodytext"/>
              <w:ind w:right="-1"/>
              <w:rPr>
                <w:rFonts w:cs="Arial"/>
                <w:szCs w:val="18"/>
                <w:lang w:val="en-GB"/>
              </w:rPr>
            </w:pPr>
            <w:r>
              <w:rPr>
                <w:rFonts w:cs="Arial"/>
                <w:szCs w:val="18"/>
                <w:lang w:val="en-GB"/>
              </w:rPr>
              <w:t>elementary flow</w:t>
            </w:r>
          </w:p>
        </w:tc>
      </w:tr>
      <w:tr w:rsidR="00FD7477" w:rsidRPr="00B57B36" w14:paraId="1ECE3F84" w14:textId="77777777" w:rsidTr="00FD7477">
        <w:tc>
          <w:tcPr>
            <w:tcW w:w="1946" w:type="dxa"/>
            <w:shd w:val="clear" w:color="auto" w:fill="FFFFFF"/>
          </w:tcPr>
          <w:p w14:paraId="414A003D" w14:textId="70E78171" w:rsidR="00FD7477" w:rsidRPr="00F7620A" w:rsidRDefault="00FD7477" w:rsidP="00FD7477">
            <w:pPr>
              <w:pStyle w:val="CETBodytext"/>
              <w:rPr>
                <w:b/>
                <w:bCs/>
                <w:lang w:val="en-GB"/>
              </w:rPr>
            </w:pPr>
            <w:r w:rsidRPr="00F7620A">
              <w:rPr>
                <w:b/>
                <w:bCs/>
                <w:lang w:val="en-GB"/>
              </w:rPr>
              <w:t>Emissions to air</w:t>
            </w:r>
          </w:p>
        </w:tc>
        <w:tc>
          <w:tcPr>
            <w:tcW w:w="754" w:type="dxa"/>
            <w:shd w:val="clear" w:color="auto" w:fill="FFFFFF"/>
          </w:tcPr>
          <w:p w14:paraId="4EF8081D" w14:textId="425F800F" w:rsidR="00FD7477" w:rsidRPr="00B57B36" w:rsidRDefault="00FD7477" w:rsidP="00FD7477">
            <w:pPr>
              <w:pStyle w:val="CETBodytext"/>
              <w:rPr>
                <w:lang w:val="en-GB"/>
              </w:rPr>
            </w:pPr>
          </w:p>
        </w:tc>
        <w:tc>
          <w:tcPr>
            <w:tcW w:w="1170" w:type="dxa"/>
            <w:shd w:val="clear" w:color="auto" w:fill="FFFFFF"/>
          </w:tcPr>
          <w:p w14:paraId="1C5C2637" w14:textId="476466B5" w:rsidR="00FD7477" w:rsidRPr="00B57B36" w:rsidRDefault="00FD7477" w:rsidP="00FD7477">
            <w:pPr>
              <w:pStyle w:val="CETBodytext"/>
              <w:rPr>
                <w:lang w:val="en-GB"/>
              </w:rPr>
            </w:pPr>
          </w:p>
        </w:tc>
        <w:tc>
          <w:tcPr>
            <w:tcW w:w="2520" w:type="dxa"/>
            <w:shd w:val="clear" w:color="auto" w:fill="FFFFFF"/>
          </w:tcPr>
          <w:p w14:paraId="1632D21E" w14:textId="77777777" w:rsidR="00FD7477" w:rsidRPr="00B57B36" w:rsidRDefault="00FD7477" w:rsidP="00FD7477">
            <w:pPr>
              <w:pStyle w:val="CETBodytext"/>
              <w:ind w:right="-1"/>
              <w:rPr>
                <w:rFonts w:cs="Arial"/>
                <w:szCs w:val="18"/>
                <w:lang w:val="en-GB"/>
              </w:rPr>
            </w:pPr>
          </w:p>
        </w:tc>
      </w:tr>
      <w:tr w:rsidR="00FD7477" w:rsidRPr="00B57B36" w14:paraId="43C825A6" w14:textId="77777777" w:rsidTr="00FD7477">
        <w:tc>
          <w:tcPr>
            <w:tcW w:w="1946" w:type="dxa"/>
            <w:shd w:val="clear" w:color="auto" w:fill="FFFFFF"/>
          </w:tcPr>
          <w:p w14:paraId="228E287C" w14:textId="35212EFB" w:rsidR="00FD7477" w:rsidRDefault="00FD7477" w:rsidP="00FD7477">
            <w:pPr>
              <w:pStyle w:val="CETBodytext"/>
              <w:rPr>
                <w:lang w:val="en-GB"/>
              </w:rPr>
            </w:pPr>
            <w:r>
              <w:rPr>
                <w:lang w:val="en-GB"/>
              </w:rPr>
              <w:t>H2</w:t>
            </w:r>
          </w:p>
        </w:tc>
        <w:tc>
          <w:tcPr>
            <w:tcW w:w="754" w:type="dxa"/>
            <w:shd w:val="clear" w:color="auto" w:fill="FFFFFF"/>
          </w:tcPr>
          <w:p w14:paraId="42B3DED6" w14:textId="075BB108" w:rsidR="00FD7477" w:rsidRPr="00B57B36" w:rsidRDefault="00FD7477" w:rsidP="00FD7477">
            <w:pPr>
              <w:pStyle w:val="CETBodytext"/>
              <w:rPr>
                <w:lang w:val="en-GB"/>
              </w:rPr>
            </w:pPr>
            <w:r>
              <w:rPr>
                <w:lang w:val="en-GB"/>
              </w:rPr>
              <w:t>kg/h</w:t>
            </w:r>
          </w:p>
        </w:tc>
        <w:tc>
          <w:tcPr>
            <w:tcW w:w="1170" w:type="dxa"/>
            <w:shd w:val="clear" w:color="auto" w:fill="FFFFFF"/>
          </w:tcPr>
          <w:p w14:paraId="09787DA7" w14:textId="6AC33849" w:rsidR="00FD7477" w:rsidRPr="00B57B36" w:rsidRDefault="00FD7477" w:rsidP="00FD7477">
            <w:pPr>
              <w:pStyle w:val="CETBodytext"/>
              <w:rPr>
                <w:lang w:val="en-GB"/>
              </w:rPr>
            </w:pPr>
            <w:r w:rsidRPr="00206728">
              <w:t>6.50</w:t>
            </w:r>
          </w:p>
        </w:tc>
        <w:tc>
          <w:tcPr>
            <w:tcW w:w="2520" w:type="dxa"/>
            <w:shd w:val="clear" w:color="auto" w:fill="FFFFFF"/>
          </w:tcPr>
          <w:p w14:paraId="6E793533" w14:textId="1AE423D6" w:rsidR="00FD7477" w:rsidRPr="00B57B36" w:rsidRDefault="00FD7477" w:rsidP="00FD7477">
            <w:pPr>
              <w:pStyle w:val="CETBodytext"/>
              <w:ind w:right="-1"/>
              <w:rPr>
                <w:rFonts w:cs="Arial"/>
                <w:szCs w:val="18"/>
                <w:lang w:val="en-GB"/>
              </w:rPr>
            </w:pPr>
            <w:r w:rsidRPr="00D518C5">
              <w:t>elementary flow</w:t>
            </w:r>
          </w:p>
        </w:tc>
      </w:tr>
      <w:tr w:rsidR="00FD7477" w:rsidRPr="00B57B36" w14:paraId="7232AC37" w14:textId="77777777" w:rsidTr="00FD7477">
        <w:tc>
          <w:tcPr>
            <w:tcW w:w="1946" w:type="dxa"/>
            <w:shd w:val="clear" w:color="auto" w:fill="FFFFFF"/>
          </w:tcPr>
          <w:p w14:paraId="1D69D020" w14:textId="031884F5" w:rsidR="00FD7477" w:rsidRDefault="00FD7477" w:rsidP="00FD7477">
            <w:pPr>
              <w:pStyle w:val="CETBodytext"/>
              <w:rPr>
                <w:lang w:val="en-GB"/>
              </w:rPr>
            </w:pPr>
            <w:r>
              <w:rPr>
                <w:lang w:val="en-GB"/>
              </w:rPr>
              <w:t>CO</w:t>
            </w:r>
          </w:p>
        </w:tc>
        <w:tc>
          <w:tcPr>
            <w:tcW w:w="754" w:type="dxa"/>
            <w:shd w:val="clear" w:color="auto" w:fill="FFFFFF"/>
          </w:tcPr>
          <w:p w14:paraId="7F621684" w14:textId="63A32598" w:rsidR="00FD7477" w:rsidRPr="00B57B36" w:rsidRDefault="00FD7477" w:rsidP="00FD7477">
            <w:pPr>
              <w:pStyle w:val="CETBodytext"/>
              <w:rPr>
                <w:lang w:val="en-GB"/>
              </w:rPr>
            </w:pPr>
            <w:r>
              <w:rPr>
                <w:lang w:val="en-GB"/>
              </w:rPr>
              <w:t>kg/h</w:t>
            </w:r>
          </w:p>
        </w:tc>
        <w:tc>
          <w:tcPr>
            <w:tcW w:w="1170" w:type="dxa"/>
            <w:shd w:val="clear" w:color="auto" w:fill="FFFFFF"/>
          </w:tcPr>
          <w:p w14:paraId="7106BD50" w14:textId="5E53499F" w:rsidR="00FD7477" w:rsidRPr="00B57B36" w:rsidRDefault="00FD7477" w:rsidP="00FD7477">
            <w:pPr>
              <w:pStyle w:val="CETBodytext"/>
              <w:rPr>
                <w:lang w:val="en-GB"/>
              </w:rPr>
            </w:pPr>
            <w:r w:rsidRPr="00206728">
              <w:t>18.59</w:t>
            </w:r>
          </w:p>
        </w:tc>
        <w:tc>
          <w:tcPr>
            <w:tcW w:w="2520" w:type="dxa"/>
            <w:shd w:val="clear" w:color="auto" w:fill="FFFFFF"/>
          </w:tcPr>
          <w:p w14:paraId="2A998D8A" w14:textId="3D3F9026" w:rsidR="00FD7477" w:rsidRPr="00B57B36" w:rsidRDefault="00FD7477" w:rsidP="00FD7477">
            <w:pPr>
              <w:pStyle w:val="CETBodytext"/>
              <w:ind w:right="-1"/>
              <w:rPr>
                <w:rFonts w:cs="Arial"/>
                <w:szCs w:val="18"/>
                <w:lang w:val="en-GB"/>
              </w:rPr>
            </w:pPr>
            <w:r w:rsidRPr="00D518C5">
              <w:t>elementary flow</w:t>
            </w:r>
          </w:p>
        </w:tc>
      </w:tr>
      <w:tr w:rsidR="00FD7477" w:rsidRPr="00B57B36" w14:paraId="759DC585" w14:textId="77777777" w:rsidTr="00FD7477">
        <w:tc>
          <w:tcPr>
            <w:tcW w:w="1946" w:type="dxa"/>
            <w:shd w:val="clear" w:color="auto" w:fill="FFFFFF"/>
          </w:tcPr>
          <w:p w14:paraId="2D16D3FB" w14:textId="4977F78C" w:rsidR="00FD7477" w:rsidRDefault="00FD7477" w:rsidP="00FD7477">
            <w:pPr>
              <w:pStyle w:val="CETBodytext"/>
              <w:rPr>
                <w:lang w:val="en-GB"/>
              </w:rPr>
            </w:pPr>
            <w:r>
              <w:rPr>
                <w:lang w:val="en-GB"/>
              </w:rPr>
              <w:t>CO2</w:t>
            </w:r>
          </w:p>
        </w:tc>
        <w:tc>
          <w:tcPr>
            <w:tcW w:w="754" w:type="dxa"/>
            <w:shd w:val="clear" w:color="auto" w:fill="FFFFFF"/>
          </w:tcPr>
          <w:p w14:paraId="5FCF181A" w14:textId="04E62013" w:rsidR="00FD7477" w:rsidRPr="00B57B36" w:rsidRDefault="00FD7477" w:rsidP="00FD7477">
            <w:pPr>
              <w:pStyle w:val="CETBodytext"/>
              <w:rPr>
                <w:lang w:val="en-GB"/>
              </w:rPr>
            </w:pPr>
            <w:r>
              <w:rPr>
                <w:lang w:val="en-GB"/>
              </w:rPr>
              <w:t>kg/h</w:t>
            </w:r>
          </w:p>
        </w:tc>
        <w:tc>
          <w:tcPr>
            <w:tcW w:w="1170" w:type="dxa"/>
            <w:shd w:val="clear" w:color="auto" w:fill="FFFFFF"/>
          </w:tcPr>
          <w:p w14:paraId="26DC8812" w14:textId="3C3C3154" w:rsidR="00FD7477" w:rsidRPr="00B57B36" w:rsidRDefault="00FD7477" w:rsidP="00FD7477">
            <w:pPr>
              <w:pStyle w:val="CETBodytext"/>
              <w:rPr>
                <w:lang w:val="en-GB"/>
              </w:rPr>
            </w:pPr>
            <w:r w:rsidRPr="00206728">
              <w:t>5.29</w:t>
            </w:r>
          </w:p>
        </w:tc>
        <w:tc>
          <w:tcPr>
            <w:tcW w:w="2520" w:type="dxa"/>
            <w:shd w:val="clear" w:color="auto" w:fill="FFFFFF"/>
          </w:tcPr>
          <w:p w14:paraId="755CE038" w14:textId="52F0E227" w:rsidR="00FD7477" w:rsidRPr="00B57B36" w:rsidRDefault="00FD7477" w:rsidP="00FD7477">
            <w:pPr>
              <w:pStyle w:val="CETBodytext"/>
              <w:ind w:right="-1"/>
              <w:rPr>
                <w:rFonts w:cs="Arial"/>
                <w:szCs w:val="18"/>
                <w:lang w:val="en-GB"/>
              </w:rPr>
            </w:pPr>
            <w:r>
              <w:rPr>
                <w:rFonts w:cs="Arial"/>
                <w:szCs w:val="18"/>
                <w:lang w:val="en-GB"/>
              </w:rPr>
              <w:t>elementary flow</w:t>
            </w:r>
          </w:p>
        </w:tc>
      </w:tr>
      <w:tr w:rsidR="00FD7477" w:rsidRPr="00B57B36" w14:paraId="12B11133" w14:textId="77777777" w:rsidTr="00FD7477">
        <w:tc>
          <w:tcPr>
            <w:tcW w:w="1946" w:type="dxa"/>
            <w:shd w:val="clear" w:color="auto" w:fill="FFFFFF"/>
          </w:tcPr>
          <w:p w14:paraId="1E92A006" w14:textId="788219D3" w:rsidR="00FD7477" w:rsidRDefault="00FD7477" w:rsidP="00FD7477">
            <w:pPr>
              <w:pStyle w:val="CETBodytext"/>
              <w:rPr>
                <w:lang w:val="en-GB"/>
              </w:rPr>
            </w:pPr>
            <w:r>
              <w:rPr>
                <w:lang w:val="en-GB"/>
              </w:rPr>
              <w:t>CH4</w:t>
            </w:r>
          </w:p>
        </w:tc>
        <w:tc>
          <w:tcPr>
            <w:tcW w:w="754" w:type="dxa"/>
            <w:shd w:val="clear" w:color="auto" w:fill="FFFFFF"/>
          </w:tcPr>
          <w:p w14:paraId="7A11D3BA" w14:textId="0B6922F1" w:rsidR="00FD7477" w:rsidRPr="00B57B36" w:rsidRDefault="00FD7477" w:rsidP="00FD7477">
            <w:pPr>
              <w:pStyle w:val="CETBodytext"/>
              <w:rPr>
                <w:lang w:val="en-GB"/>
              </w:rPr>
            </w:pPr>
            <w:r>
              <w:rPr>
                <w:lang w:val="en-GB"/>
              </w:rPr>
              <w:t>kg/h</w:t>
            </w:r>
          </w:p>
        </w:tc>
        <w:tc>
          <w:tcPr>
            <w:tcW w:w="1170" w:type="dxa"/>
            <w:shd w:val="clear" w:color="auto" w:fill="FFFFFF"/>
          </w:tcPr>
          <w:p w14:paraId="18F486B3" w14:textId="6C3D31D0" w:rsidR="00FD7477" w:rsidRPr="00B57B36" w:rsidRDefault="00FD7477" w:rsidP="00FD7477">
            <w:pPr>
              <w:pStyle w:val="CETBodytext"/>
              <w:rPr>
                <w:lang w:val="en-GB"/>
              </w:rPr>
            </w:pPr>
            <w:r w:rsidRPr="00206728">
              <w:t>1.70</w:t>
            </w:r>
          </w:p>
        </w:tc>
        <w:tc>
          <w:tcPr>
            <w:tcW w:w="2520" w:type="dxa"/>
            <w:shd w:val="clear" w:color="auto" w:fill="FFFFFF"/>
          </w:tcPr>
          <w:p w14:paraId="77E04BE1" w14:textId="391C8968" w:rsidR="00FD7477" w:rsidRPr="00B57B36" w:rsidRDefault="00FD7477" w:rsidP="00FD7477">
            <w:pPr>
              <w:pStyle w:val="CETBodytext"/>
              <w:ind w:right="-1"/>
              <w:rPr>
                <w:rFonts w:cs="Arial"/>
                <w:szCs w:val="18"/>
                <w:lang w:val="en-GB"/>
              </w:rPr>
            </w:pPr>
            <w:r>
              <w:rPr>
                <w:rFonts w:cs="Arial"/>
                <w:szCs w:val="18"/>
                <w:lang w:val="en-GB"/>
              </w:rPr>
              <w:t>elementary flow</w:t>
            </w:r>
          </w:p>
        </w:tc>
      </w:tr>
      <w:tr w:rsidR="00FD7477" w:rsidRPr="00B57B36" w14:paraId="6B252376" w14:textId="77777777" w:rsidTr="00FD7477">
        <w:tc>
          <w:tcPr>
            <w:tcW w:w="1946" w:type="dxa"/>
            <w:shd w:val="clear" w:color="auto" w:fill="FFFFFF"/>
          </w:tcPr>
          <w:p w14:paraId="4DF975B1" w14:textId="312688BE" w:rsidR="00FD7477" w:rsidRDefault="00FD7477" w:rsidP="00FD7477">
            <w:pPr>
              <w:pStyle w:val="CETBodytext"/>
              <w:rPr>
                <w:lang w:val="en-GB"/>
              </w:rPr>
            </w:pPr>
            <w:r>
              <w:rPr>
                <w:lang w:val="en-GB"/>
              </w:rPr>
              <w:t>Ash</w:t>
            </w:r>
          </w:p>
        </w:tc>
        <w:tc>
          <w:tcPr>
            <w:tcW w:w="754" w:type="dxa"/>
            <w:shd w:val="clear" w:color="auto" w:fill="FFFFFF"/>
          </w:tcPr>
          <w:p w14:paraId="7624DDFD" w14:textId="5B6E2734" w:rsidR="00FD7477" w:rsidRPr="00B57B36" w:rsidRDefault="00FD7477" w:rsidP="00FD7477">
            <w:pPr>
              <w:pStyle w:val="CETBodytext"/>
              <w:rPr>
                <w:lang w:val="en-GB"/>
              </w:rPr>
            </w:pPr>
            <w:r>
              <w:rPr>
                <w:lang w:val="en-GB"/>
              </w:rPr>
              <w:t>kg/h</w:t>
            </w:r>
          </w:p>
        </w:tc>
        <w:tc>
          <w:tcPr>
            <w:tcW w:w="1170" w:type="dxa"/>
            <w:shd w:val="clear" w:color="auto" w:fill="FFFFFF"/>
          </w:tcPr>
          <w:p w14:paraId="7F65392E" w14:textId="02ACF1A7" w:rsidR="00FD7477" w:rsidRPr="00B57B36" w:rsidRDefault="00FD7477" w:rsidP="00FD7477">
            <w:pPr>
              <w:pStyle w:val="CETBodytext"/>
              <w:rPr>
                <w:lang w:val="en-GB"/>
              </w:rPr>
            </w:pPr>
            <w:r w:rsidRPr="00206728">
              <w:t>0.01</w:t>
            </w:r>
          </w:p>
        </w:tc>
        <w:tc>
          <w:tcPr>
            <w:tcW w:w="2520" w:type="dxa"/>
            <w:shd w:val="clear" w:color="auto" w:fill="FFFFFF"/>
          </w:tcPr>
          <w:p w14:paraId="694F86BB" w14:textId="4A89DF9D" w:rsidR="00FD7477" w:rsidRPr="00B57B36" w:rsidRDefault="00FD7477" w:rsidP="00FD7477">
            <w:pPr>
              <w:pStyle w:val="CETBodytext"/>
              <w:ind w:right="-1"/>
              <w:rPr>
                <w:rFonts w:cs="Arial"/>
                <w:szCs w:val="18"/>
                <w:lang w:val="en-GB"/>
              </w:rPr>
            </w:pPr>
            <w:r w:rsidRPr="00D518C5">
              <w:t>elementary flow</w:t>
            </w:r>
          </w:p>
        </w:tc>
      </w:tr>
      <w:tr w:rsidR="00FD7477" w:rsidRPr="00B57B36" w14:paraId="69A590EA" w14:textId="77777777" w:rsidTr="00FD7477">
        <w:tc>
          <w:tcPr>
            <w:tcW w:w="1946" w:type="dxa"/>
            <w:shd w:val="clear" w:color="auto" w:fill="FFFFFF"/>
          </w:tcPr>
          <w:p w14:paraId="5F5D302E" w14:textId="2E58B47F" w:rsidR="00FD7477" w:rsidRDefault="00FD7477" w:rsidP="00FD7477">
            <w:pPr>
              <w:pStyle w:val="CETBodytext"/>
              <w:rPr>
                <w:lang w:val="en-GB"/>
              </w:rPr>
            </w:pPr>
            <w:r>
              <w:rPr>
                <w:lang w:val="en-GB"/>
              </w:rPr>
              <w:t>C</w:t>
            </w:r>
          </w:p>
        </w:tc>
        <w:tc>
          <w:tcPr>
            <w:tcW w:w="754" w:type="dxa"/>
            <w:shd w:val="clear" w:color="auto" w:fill="FFFFFF"/>
          </w:tcPr>
          <w:p w14:paraId="150E2EC7" w14:textId="2BE2E3D0" w:rsidR="00FD7477" w:rsidRPr="00B57B36" w:rsidRDefault="00FD7477" w:rsidP="00FD7477">
            <w:pPr>
              <w:pStyle w:val="CETBodytext"/>
              <w:rPr>
                <w:lang w:val="en-GB"/>
              </w:rPr>
            </w:pPr>
            <w:r>
              <w:rPr>
                <w:lang w:val="en-GB"/>
              </w:rPr>
              <w:t>kg/h</w:t>
            </w:r>
          </w:p>
        </w:tc>
        <w:tc>
          <w:tcPr>
            <w:tcW w:w="1170" w:type="dxa"/>
            <w:shd w:val="clear" w:color="auto" w:fill="FFFFFF"/>
          </w:tcPr>
          <w:p w14:paraId="5C254881" w14:textId="3FBF3529" w:rsidR="00FD7477" w:rsidRPr="00B57B36" w:rsidRDefault="00FD7477" w:rsidP="00FD7477">
            <w:pPr>
              <w:pStyle w:val="CETBodytext"/>
              <w:rPr>
                <w:lang w:val="en-GB"/>
              </w:rPr>
            </w:pPr>
            <w:r w:rsidRPr="00206728">
              <w:t>0.04</w:t>
            </w:r>
          </w:p>
        </w:tc>
        <w:tc>
          <w:tcPr>
            <w:tcW w:w="2520" w:type="dxa"/>
            <w:shd w:val="clear" w:color="auto" w:fill="FFFFFF"/>
          </w:tcPr>
          <w:p w14:paraId="1D5B7041" w14:textId="265473C3" w:rsidR="00FD7477" w:rsidRPr="00B57B36" w:rsidRDefault="00FD7477" w:rsidP="00FD7477">
            <w:pPr>
              <w:pStyle w:val="CETBodytext"/>
              <w:ind w:right="-1"/>
              <w:rPr>
                <w:rFonts w:cs="Arial"/>
                <w:szCs w:val="18"/>
                <w:lang w:val="en-GB"/>
              </w:rPr>
            </w:pPr>
            <w:r w:rsidRPr="00D518C5">
              <w:t>elementary flow</w:t>
            </w:r>
          </w:p>
        </w:tc>
      </w:tr>
    </w:tbl>
    <w:p w14:paraId="7362F6D5" w14:textId="4FCA9CAF" w:rsidR="00067A62" w:rsidRDefault="00067A62" w:rsidP="00FD7477">
      <w:pPr>
        <w:pStyle w:val="CETHeadingxx"/>
      </w:pPr>
      <w:r>
        <w:t>Life Cycle Impact Assessment</w:t>
      </w:r>
    </w:p>
    <w:p w14:paraId="40613D21" w14:textId="4F56CE42" w:rsidR="00FD7477" w:rsidRDefault="00220C83" w:rsidP="00FD7477">
      <w:pPr>
        <w:pStyle w:val="CETBodytext"/>
      </w:pPr>
      <w:r w:rsidRPr="00220C83">
        <w:t xml:space="preserve">Impact categories were selected to reflect key environmental drivers in agri-food processing systems, where supply-chain burdens are often governed by energy use, agricultural land occupation, and emissions linked to nutrient management. (Voglhuber-Slavinsky et al., 2022). Climate change was included because utility-intensive food and biorefinery processes typically show strong sensitivity to greenhouse-gas impacts to external heat and </w:t>
      </w:r>
      <w:r w:rsidRPr="00220C83">
        <w:lastRenderedPageBreak/>
        <w:t>power requirements. (Ioannou et al., 2021). Land use was included to capture potential pressures associated with upstream avocado cultivation and biomass sourcing in agricultural value chains. (Solarte-Toro et al., 2023). Eutrophication (nitrogen and phosphorus) was included due to the relevance of nutrient-related emissions in agricultural supply chains and residue-based upgrading routes. (Solarte-Toro et al., 2023). Water use was included because water demand is frequently a relevant hotspot in avocado-related systems and agri-food chains. (Solarte-Toro et al., 2023). Characterization was conducted using the Environmental Footprint (EF) 3.1 method to ensure harmonized and comparable LCIA indicators across the selected impact categories (</w:t>
      </w:r>
      <w:proofErr w:type="spellStart"/>
      <w:r w:rsidRPr="00220C83">
        <w:t>Andreasi</w:t>
      </w:r>
      <w:proofErr w:type="spellEnd"/>
      <w:r w:rsidRPr="00220C83">
        <w:t xml:space="preserve"> Bassi et al., 2023).</w:t>
      </w:r>
    </w:p>
    <w:p w14:paraId="6677BF1F" w14:textId="324BAE2F" w:rsidR="00067A62" w:rsidRPr="00C553C9" w:rsidRDefault="00067A62" w:rsidP="00220C83">
      <w:pPr>
        <w:pStyle w:val="CETHeadingxx"/>
      </w:pPr>
      <w:r>
        <w:t>Interpretation of results</w:t>
      </w:r>
    </w:p>
    <w:p w14:paraId="3EFFDE20" w14:textId="05714E81" w:rsidR="00DC52E3" w:rsidRDefault="000430B1" w:rsidP="000430B1">
      <w:pPr>
        <w:pStyle w:val="CETBodytext"/>
      </w:pPr>
      <w:r>
        <w:t xml:space="preserve">Result interpretation focused on assessing the robustness of the environmental outcomes by addressing uncertainty and key methodological assumptions. Uncertainty in foreground inventory data was estimated using the Pedigree Matrix approach, accounting for data quality aspects such as reliability and representativeness. Background uncertainty was modeled using the default uncertainty parameters provided in the </w:t>
      </w:r>
      <w:proofErr w:type="spellStart"/>
      <w:r>
        <w:t>ecoinvent</w:t>
      </w:r>
      <w:proofErr w:type="spellEnd"/>
      <w:r>
        <w:t xml:space="preserve"> database. A sensitivity analysis was also conducted to evaluate the influence of co-product handling on the results. Three allocation approaches were considered: subdivision, mass allocation, and economic allocation. Comparison of results across these scenarios allowed assessment of the sensitivity of impact indicators to allocation choices and supported a robust interpretation of the environmental performance of the heat-integrated avocado oil biorefinery.</w:t>
      </w:r>
      <w:r w:rsidR="00E36BE7">
        <w:t xml:space="preserve"> Table 2 shows allocation factors for evaluated allocation scenarios.</w:t>
      </w:r>
    </w:p>
    <w:p w14:paraId="31C85543" w14:textId="79F869CA" w:rsidR="00E36BE7" w:rsidRDefault="00E36BE7" w:rsidP="00E36BE7">
      <w:pPr>
        <w:pStyle w:val="CETTabletitle"/>
      </w:pPr>
      <w:r w:rsidRPr="00B57B36">
        <w:t xml:space="preserve">Table </w:t>
      </w:r>
      <w:r>
        <w:t>2</w:t>
      </w:r>
      <w:r w:rsidRPr="00B57B36">
        <w:t xml:space="preserve">: </w:t>
      </w:r>
      <w:r>
        <w:t>Allocation factors for product and co-products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620"/>
        <w:gridCol w:w="720"/>
        <w:gridCol w:w="990"/>
        <w:gridCol w:w="890"/>
        <w:gridCol w:w="1204"/>
        <w:gridCol w:w="1230"/>
        <w:gridCol w:w="1021"/>
      </w:tblGrid>
      <w:tr w:rsidR="00E36BE7" w:rsidRPr="00B57B36" w14:paraId="2925B475" w14:textId="77777777" w:rsidTr="00351E42">
        <w:tc>
          <w:tcPr>
            <w:tcW w:w="1620" w:type="dxa"/>
            <w:tcBorders>
              <w:top w:val="single" w:sz="12" w:space="0" w:color="008000"/>
              <w:bottom w:val="single" w:sz="6" w:space="0" w:color="008000"/>
            </w:tcBorders>
            <w:shd w:val="clear" w:color="auto" w:fill="FFFFFF"/>
          </w:tcPr>
          <w:p w14:paraId="6D7BCA92" w14:textId="77777777" w:rsidR="00E36BE7" w:rsidRPr="00E22D5F" w:rsidRDefault="00E36BE7" w:rsidP="00351E42">
            <w:pPr>
              <w:pStyle w:val="CETBodytext"/>
              <w:jc w:val="left"/>
              <w:rPr>
                <w:b/>
                <w:bCs/>
                <w:lang w:val="en-GB"/>
              </w:rPr>
            </w:pPr>
            <w:r w:rsidRPr="00E22D5F">
              <w:rPr>
                <w:b/>
                <w:bCs/>
              </w:rPr>
              <w:t>flows</w:t>
            </w:r>
          </w:p>
        </w:tc>
        <w:tc>
          <w:tcPr>
            <w:tcW w:w="720" w:type="dxa"/>
            <w:tcBorders>
              <w:top w:val="single" w:sz="12" w:space="0" w:color="008000"/>
              <w:bottom w:val="single" w:sz="6" w:space="0" w:color="008000"/>
            </w:tcBorders>
            <w:shd w:val="clear" w:color="auto" w:fill="FFFFFF"/>
          </w:tcPr>
          <w:p w14:paraId="41173E12" w14:textId="77777777" w:rsidR="00E36BE7" w:rsidRPr="00E22D5F" w:rsidRDefault="00E36BE7" w:rsidP="00351E42">
            <w:pPr>
              <w:pStyle w:val="CETBodytext"/>
              <w:jc w:val="left"/>
              <w:rPr>
                <w:b/>
                <w:bCs/>
                <w:lang w:val="en-GB"/>
              </w:rPr>
            </w:pPr>
            <w:r w:rsidRPr="00E22D5F">
              <w:rPr>
                <w:b/>
                <w:bCs/>
              </w:rPr>
              <w:t>unit</w:t>
            </w:r>
          </w:p>
        </w:tc>
        <w:tc>
          <w:tcPr>
            <w:tcW w:w="990" w:type="dxa"/>
            <w:tcBorders>
              <w:top w:val="single" w:sz="12" w:space="0" w:color="008000"/>
              <w:bottom w:val="single" w:sz="6" w:space="0" w:color="008000"/>
            </w:tcBorders>
            <w:shd w:val="clear" w:color="auto" w:fill="FFFFFF"/>
          </w:tcPr>
          <w:p w14:paraId="33B51C45" w14:textId="77777777" w:rsidR="00E36BE7" w:rsidRPr="00E22D5F" w:rsidRDefault="00E36BE7" w:rsidP="00351E42">
            <w:pPr>
              <w:pStyle w:val="CETBodytext"/>
              <w:jc w:val="left"/>
              <w:rPr>
                <w:b/>
                <w:bCs/>
                <w:lang w:val="en-GB"/>
              </w:rPr>
            </w:pPr>
            <w:r>
              <w:rPr>
                <w:b/>
                <w:bCs/>
              </w:rPr>
              <w:t>v</w:t>
            </w:r>
            <w:r w:rsidRPr="00E22D5F">
              <w:rPr>
                <w:b/>
                <w:bCs/>
              </w:rPr>
              <w:t>alue</w:t>
            </w:r>
          </w:p>
        </w:tc>
        <w:tc>
          <w:tcPr>
            <w:tcW w:w="890" w:type="dxa"/>
            <w:tcBorders>
              <w:top w:val="single" w:sz="12" w:space="0" w:color="008000"/>
              <w:bottom w:val="single" w:sz="6" w:space="0" w:color="008000"/>
            </w:tcBorders>
            <w:shd w:val="clear" w:color="auto" w:fill="FFFFFF"/>
          </w:tcPr>
          <w:p w14:paraId="460A53D7" w14:textId="77777777" w:rsidR="00E36BE7" w:rsidRPr="00E22D5F" w:rsidRDefault="00E36BE7" w:rsidP="00351E42">
            <w:pPr>
              <w:pStyle w:val="CETBodytext"/>
              <w:ind w:right="-1"/>
              <w:jc w:val="left"/>
              <w:rPr>
                <w:rFonts w:cs="Arial"/>
                <w:b/>
                <w:bCs/>
                <w:szCs w:val="18"/>
                <w:lang w:val="en-GB"/>
              </w:rPr>
            </w:pPr>
            <w:r>
              <w:rPr>
                <w:b/>
                <w:bCs/>
              </w:rPr>
              <w:t>p</w:t>
            </w:r>
            <w:r w:rsidRPr="00E22D5F">
              <w:rPr>
                <w:b/>
                <w:bCs/>
              </w:rPr>
              <w:t>rice (USD/kg)</w:t>
            </w:r>
          </w:p>
        </w:tc>
        <w:tc>
          <w:tcPr>
            <w:tcW w:w="1204" w:type="dxa"/>
            <w:tcBorders>
              <w:top w:val="single" w:sz="12" w:space="0" w:color="008000"/>
              <w:bottom w:val="single" w:sz="6" w:space="0" w:color="008000"/>
            </w:tcBorders>
            <w:shd w:val="clear" w:color="auto" w:fill="FFFFFF"/>
          </w:tcPr>
          <w:p w14:paraId="153F319B" w14:textId="77777777" w:rsidR="00E36BE7" w:rsidRPr="00E22D5F" w:rsidRDefault="00E36BE7" w:rsidP="00351E42">
            <w:pPr>
              <w:pStyle w:val="CETBodytext"/>
              <w:ind w:right="-1"/>
              <w:jc w:val="left"/>
              <w:rPr>
                <w:rFonts w:cs="Arial"/>
                <w:b/>
                <w:bCs/>
                <w:szCs w:val="18"/>
                <w:lang w:val="en-GB"/>
              </w:rPr>
            </w:pPr>
            <w:r>
              <w:rPr>
                <w:b/>
                <w:bCs/>
              </w:rPr>
              <w:t>m</w:t>
            </w:r>
            <w:r w:rsidRPr="00E22D5F">
              <w:rPr>
                <w:b/>
                <w:bCs/>
              </w:rPr>
              <w:t>arket value</w:t>
            </w:r>
            <w:r>
              <w:rPr>
                <w:b/>
                <w:bCs/>
              </w:rPr>
              <w:t xml:space="preserve"> (USD/h)</w:t>
            </w:r>
          </w:p>
        </w:tc>
        <w:tc>
          <w:tcPr>
            <w:tcW w:w="1230" w:type="dxa"/>
            <w:tcBorders>
              <w:top w:val="single" w:sz="12" w:space="0" w:color="008000"/>
              <w:bottom w:val="single" w:sz="6" w:space="0" w:color="008000"/>
            </w:tcBorders>
            <w:shd w:val="clear" w:color="auto" w:fill="FFFFFF"/>
          </w:tcPr>
          <w:p w14:paraId="345EBA43" w14:textId="77777777" w:rsidR="00E36BE7" w:rsidRPr="00E22D5F" w:rsidRDefault="00E36BE7" w:rsidP="00351E42">
            <w:pPr>
              <w:pStyle w:val="CETBodytext"/>
              <w:ind w:right="-1"/>
              <w:jc w:val="left"/>
              <w:rPr>
                <w:rFonts w:cs="Arial"/>
                <w:b/>
                <w:bCs/>
                <w:szCs w:val="18"/>
                <w:lang w:val="en-GB"/>
              </w:rPr>
            </w:pPr>
            <w:r>
              <w:rPr>
                <w:b/>
                <w:bCs/>
              </w:rPr>
              <w:t>e</w:t>
            </w:r>
            <w:r w:rsidRPr="00E22D5F">
              <w:rPr>
                <w:b/>
                <w:bCs/>
              </w:rPr>
              <w:t>conomic</w:t>
            </w:r>
            <w:r>
              <w:rPr>
                <w:b/>
                <w:bCs/>
              </w:rPr>
              <w:t xml:space="preserve"> factor</w:t>
            </w:r>
          </w:p>
        </w:tc>
        <w:tc>
          <w:tcPr>
            <w:tcW w:w="1021" w:type="dxa"/>
            <w:tcBorders>
              <w:top w:val="single" w:sz="12" w:space="0" w:color="008000"/>
              <w:bottom w:val="single" w:sz="6" w:space="0" w:color="008000"/>
            </w:tcBorders>
            <w:shd w:val="clear" w:color="auto" w:fill="FFFFFF"/>
          </w:tcPr>
          <w:p w14:paraId="311C6399" w14:textId="77777777" w:rsidR="00E36BE7" w:rsidRPr="00E22D5F" w:rsidRDefault="00E36BE7" w:rsidP="00351E42">
            <w:pPr>
              <w:pStyle w:val="CETBodytext"/>
              <w:ind w:right="-1"/>
              <w:jc w:val="left"/>
              <w:rPr>
                <w:b/>
                <w:bCs/>
              </w:rPr>
            </w:pPr>
            <w:r>
              <w:rPr>
                <w:b/>
                <w:bCs/>
              </w:rPr>
              <w:t>m</w:t>
            </w:r>
            <w:r w:rsidRPr="00E22D5F">
              <w:rPr>
                <w:b/>
                <w:bCs/>
              </w:rPr>
              <w:t xml:space="preserve">ass </w:t>
            </w:r>
            <w:r>
              <w:rPr>
                <w:b/>
                <w:bCs/>
              </w:rPr>
              <w:t>factor</w:t>
            </w:r>
          </w:p>
        </w:tc>
      </w:tr>
      <w:tr w:rsidR="00E36BE7" w:rsidRPr="00B57B36" w14:paraId="4D53E3A4" w14:textId="77777777" w:rsidTr="00351E42">
        <w:tc>
          <w:tcPr>
            <w:tcW w:w="1620" w:type="dxa"/>
            <w:shd w:val="clear" w:color="auto" w:fill="FFFFFF"/>
          </w:tcPr>
          <w:p w14:paraId="2688B81C" w14:textId="77777777" w:rsidR="00E36BE7" w:rsidRPr="00B57B36" w:rsidRDefault="00E36BE7" w:rsidP="00351E42">
            <w:pPr>
              <w:pStyle w:val="CETBodytext"/>
              <w:jc w:val="left"/>
              <w:rPr>
                <w:lang w:val="en-GB"/>
              </w:rPr>
            </w:pPr>
            <w:r w:rsidRPr="0071594C">
              <w:t>Biochar</w:t>
            </w:r>
          </w:p>
        </w:tc>
        <w:tc>
          <w:tcPr>
            <w:tcW w:w="720" w:type="dxa"/>
            <w:shd w:val="clear" w:color="auto" w:fill="FFFFFF"/>
          </w:tcPr>
          <w:p w14:paraId="660BC836" w14:textId="77777777" w:rsidR="00E36BE7" w:rsidRPr="00B57B36" w:rsidRDefault="00E36BE7" w:rsidP="00351E42">
            <w:pPr>
              <w:pStyle w:val="CETBodytext"/>
              <w:rPr>
                <w:lang w:val="en-GB"/>
              </w:rPr>
            </w:pPr>
            <w:r w:rsidRPr="0071594C">
              <w:t>kg/h</w:t>
            </w:r>
          </w:p>
        </w:tc>
        <w:tc>
          <w:tcPr>
            <w:tcW w:w="990" w:type="dxa"/>
            <w:shd w:val="clear" w:color="auto" w:fill="FFFFFF"/>
          </w:tcPr>
          <w:p w14:paraId="6D0CA8BD" w14:textId="77777777" w:rsidR="00E36BE7" w:rsidRPr="00B57B36" w:rsidRDefault="00E36BE7" w:rsidP="00351E42">
            <w:pPr>
              <w:pStyle w:val="CETBodytext"/>
              <w:rPr>
                <w:lang w:val="en-GB"/>
              </w:rPr>
            </w:pPr>
            <w:r w:rsidRPr="0071594C">
              <w:t>52.24</w:t>
            </w:r>
          </w:p>
        </w:tc>
        <w:tc>
          <w:tcPr>
            <w:tcW w:w="890" w:type="dxa"/>
            <w:shd w:val="clear" w:color="auto" w:fill="FFFFFF"/>
          </w:tcPr>
          <w:p w14:paraId="19B254CC" w14:textId="77777777" w:rsidR="00E36BE7" w:rsidRPr="00B57B36" w:rsidRDefault="00E36BE7" w:rsidP="00351E42">
            <w:pPr>
              <w:pStyle w:val="CETBodytext"/>
              <w:ind w:right="-1"/>
              <w:rPr>
                <w:rFonts w:cs="Arial"/>
                <w:szCs w:val="18"/>
                <w:lang w:val="en-GB"/>
              </w:rPr>
            </w:pPr>
            <w:r w:rsidRPr="00C46ED7">
              <w:t>2.8</w:t>
            </w:r>
          </w:p>
        </w:tc>
        <w:tc>
          <w:tcPr>
            <w:tcW w:w="1204" w:type="dxa"/>
            <w:shd w:val="clear" w:color="auto" w:fill="FFFFFF"/>
          </w:tcPr>
          <w:p w14:paraId="696BCC94" w14:textId="77777777" w:rsidR="00E36BE7" w:rsidRPr="00B57B36" w:rsidRDefault="00E36BE7" w:rsidP="00351E42">
            <w:pPr>
              <w:pStyle w:val="CETBodytext"/>
              <w:ind w:right="-1"/>
              <w:rPr>
                <w:rFonts w:cs="Arial"/>
                <w:szCs w:val="18"/>
                <w:lang w:val="en-GB"/>
              </w:rPr>
            </w:pPr>
            <w:r w:rsidRPr="00C46ED7">
              <w:t>146.272</w:t>
            </w:r>
          </w:p>
        </w:tc>
        <w:tc>
          <w:tcPr>
            <w:tcW w:w="1230" w:type="dxa"/>
            <w:shd w:val="clear" w:color="auto" w:fill="FFFFFF"/>
          </w:tcPr>
          <w:p w14:paraId="67944BFD" w14:textId="77777777" w:rsidR="00E36BE7" w:rsidRPr="00B57B36" w:rsidRDefault="00E36BE7" w:rsidP="00351E42">
            <w:pPr>
              <w:pStyle w:val="CETBodytext"/>
              <w:ind w:right="-1"/>
              <w:rPr>
                <w:rFonts w:cs="Arial"/>
                <w:szCs w:val="18"/>
                <w:lang w:val="en-GB"/>
              </w:rPr>
            </w:pPr>
            <w:r w:rsidRPr="00C46ED7">
              <w:t>6.84%</w:t>
            </w:r>
          </w:p>
        </w:tc>
        <w:tc>
          <w:tcPr>
            <w:tcW w:w="1021" w:type="dxa"/>
            <w:shd w:val="clear" w:color="auto" w:fill="FFFFFF"/>
          </w:tcPr>
          <w:p w14:paraId="3F341D46" w14:textId="77777777" w:rsidR="00E36BE7" w:rsidRPr="00C46ED7" w:rsidRDefault="00E36BE7" w:rsidP="00351E42">
            <w:pPr>
              <w:pStyle w:val="CETBodytext"/>
              <w:ind w:right="-1"/>
            </w:pPr>
            <w:r w:rsidRPr="002527EF">
              <w:t>14.14%</w:t>
            </w:r>
          </w:p>
        </w:tc>
      </w:tr>
      <w:tr w:rsidR="00E36BE7" w:rsidRPr="00B57B36" w14:paraId="70566CB9" w14:textId="77777777" w:rsidTr="00351E42">
        <w:tc>
          <w:tcPr>
            <w:tcW w:w="1620" w:type="dxa"/>
            <w:shd w:val="clear" w:color="auto" w:fill="FFFFFF"/>
          </w:tcPr>
          <w:p w14:paraId="2650E2EC" w14:textId="77777777" w:rsidR="00E36BE7" w:rsidRDefault="00E36BE7" w:rsidP="00351E42">
            <w:pPr>
              <w:pStyle w:val="CETBodytext"/>
              <w:jc w:val="left"/>
              <w:rPr>
                <w:lang w:val="en-GB"/>
              </w:rPr>
            </w:pPr>
            <w:r w:rsidRPr="0071594C">
              <w:t>Avocado oil</w:t>
            </w:r>
          </w:p>
        </w:tc>
        <w:tc>
          <w:tcPr>
            <w:tcW w:w="720" w:type="dxa"/>
            <w:shd w:val="clear" w:color="auto" w:fill="FFFFFF"/>
          </w:tcPr>
          <w:p w14:paraId="081E3122" w14:textId="77777777" w:rsidR="00E36BE7" w:rsidRPr="00B57B36" w:rsidRDefault="00E36BE7" w:rsidP="00351E42">
            <w:pPr>
              <w:pStyle w:val="CETBodytext"/>
              <w:rPr>
                <w:lang w:val="en-GB"/>
              </w:rPr>
            </w:pPr>
            <w:r w:rsidRPr="0071594C">
              <w:t>kg/h</w:t>
            </w:r>
          </w:p>
        </w:tc>
        <w:tc>
          <w:tcPr>
            <w:tcW w:w="990" w:type="dxa"/>
            <w:shd w:val="clear" w:color="auto" w:fill="FFFFFF"/>
          </w:tcPr>
          <w:p w14:paraId="094F9E13" w14:textId="77777777" w:rsidR="00E36BE7" w:rsidRPr="00B57B36" w:rsidRDefault="00E36BE7" w:rsidP="00351E42">
            <w:pPr>
              <w:pStyle w:val="CETBodytext"/>
              <w:rPr>
                <w:lang w:val="en-GB"/>
              </w:rPr>
            </w:pPr>
            <w:r w:rsidRPr="0071594C">
              <w:t>103.5</w:t>
            </w:r>
          </w:p>
        </w:tc>
        <w:tc>
          <w:tcPr>
            <w:tcW w:w="890" w:type="dxa"/>
            <w:shd w:val="clear" w:color="auto" w:fill="FFFFFF"/>
          </w:tcPr>
          <w:p w14:paraId="4E7005A2" w14:textId="77777777" w:rsidR="00E36BE7" w:rsidRPr="00B57B36" w:rsidRDefault="00E36BE7" w:rsidP="00351E42">
            <w:pPr>
              <w:pStyle w:val="CETBodytext"/>
              <w:ind w:right="-1"/>
              <w:rPr>
                <w:rFonts w:cs="Arial"/>
                <w:szCs w:val="18"/>
                <w:lang w:val="en-GB"/>
              </w:rPr>
            </w:pPr>
            <w:r w:rsidRPr="00C46ED7">
              <w:t>15</w:t>
            </w:r>
          </w:p>
        </w:tc>
        <w:tc>
          <w:tcPr>
            <w:tcW w:w="1204" w:type="dxa"/>
            <w:shd w:val="clear" w:color="auto" w:fill="FFFFFF"/>
          </w:tcPr>
          <w:p w14:paraId="3A9503AD" w14:textId="77777777" w:rsidR="00E36BE7" w:rsidRPr="00B57B36" w:rsidRDefault="00E36BE7" w:rsidP="00351E42">
            <w:pPr>
              <w:pStyle w:val="CETBodytext"/>
              <w:ind w:right="-1"/>
              <w:rPr>
                <w:rFonts w:cs="Arial"/>
                <w:szCs w:val="18"/>
                <w:lang w:val="en-GB"/>
              </w:rPr>
            </w:pPr>
            <w:r w:rsidRPr="00C46ED7">
              <w:t>1552.5</w:t>
            </w:r>
          </w:p>
        </w:tc>
        <w:tc>
          <w:tcPr>
            <w:tcW w:w="1230" w:type="dxa"/>
            <w:shd w:val="clear" w:color="auto" w:fill="FFFFFF"/>
          </w:tcPr>
          <w:p w14:paraId="01BAC5F0" w14:textId="77777777" w:rsidR="00E36BE7" w:rsidRPr="00B57B36" w:rsidRDefault="00E36BE7" w:rsidP="00351E42">
            <w:pPr>
              <w:pStyle w:val="CETBodytext"/>
              <w:ind w:right="-1"/>
              <w:rPr>
                <w:rFonts w:cs="Arial"/>
                <w:szCs w:val="18"/>
                <w:lang w:val="en-GB"/>
              </w:rPr>
            </w:pPr>
            <w:r w:rsidRPr="00C46ED7">
              <w:t>72.61%</w:t>
            </w:r>
          </w:p>
        </w:tc>
        <w:tc>
          <w:tcPr>
            <w:tcW w:w="1021" w:type="dxa"/>
            <w:shd w:val="clear" w:color="auto" w:fill="FFFFFF"/>
          </w:tcPr>
          <w:p w14:paraId="7548439A" w14:textId="77777777" w:rsidR="00E36BE7" w:rsidRPr="00C46ED7" w:rsidRDefault="00E36BE7" w:rsidP="00351E42">
            <w:pPr>
              <w:pStyle w:val="CETBodytext"/>
              <w:ind w:right="-1"/>
            </w:pPr>
            <w:r w:rsidRPr="002527EF">
              <w:t>28.02%</w:t>
            </w:r>
          </w:p>
        </w:tc>
      </w:tr>
      <w:tr w:rsidR="00E36BE7" w:rsidRPr="00B57B36" w14:paraId="2291DD8D" w14:textId="77777777" w:rsidTr="00351E42">
        <w:tc>
          <w:tcPr>
            <w:tcW w:w="1620" w:type="dxa"/>
            <w:shd w:val="clear" w:color="auto" w:fill="FFFFFF"/>
          </w:tcPr>
          <w:p w14:paraId="3E95D6D7" w14:textId="77777777" w:rsidR="00E36BE7" w:rsidRDefault="00E36BE7" w:rsidP="00351E42">
            <w:pPr>
              <w:pStyle w:val="CETBodytext"/>
              <w:jc w:val="left"/>
              <w:rPr>
                <w:lang w:val="en-GB"/>
              </w:rPr>
            </w:pPr>
            <w:r w:rsidRPr="0071594C">
              <w:t>Treated peel as fertilizer</w:t>
            </w:r>
          </w:p>
        </w:tc>
        <w:tc>
          <w:tcPr>
            <w:tcW w:w="720" w:type="dxa"/>
            <w:shd w:val="clear" w:color="auto" w:fill="FFFFFF"/>
          </w:tcPr>
          <w:p w14:paraId="155FC3A9" w14:textId="77777777" w:rsidR="00E36BE7" w:rsidRPr="00B57B36" w:rsidRDefault="00E36BE7" w:rsidP="00351E42">
            <w:pPr>
              <w:pStyle w:val="CETBodytext"/>
              <w:rPr>
                <w:lang w:val="en-GB"/>
              </w:rPr>
            </w:pPr>
            <w:r w:rsidRPr="0071594C">
              <w:t>kg/h</w:t>
            </w:r>
          </w:p>
        </w:tc>
        <w:tc>
          <w:tcPr>
            <w:tcW w:w="990" w:type="dxa"/>
            <w:shd w:val="clear" w:color="auto" w:fill="FFFFFF"/>
          </w:tcPr>
          <w:p w14:paraId="15E1DDCC" w14:textId="77777777" w:rsidR="00E36BE7" w:rsidRPr="00B57B36" w:rsidRDefault="00E36BE7" w:rsidP="00351E42">
            <w:pPr>
              <w:pStyle w:val="CETBodytext"/>
              <w:rPr>
                <w:lang w:val="en-GB"/>
              </w:rPr>
            </w:pPr>
            <w:r w:rsidRPr="0071594C">
              <w:t>128.078</w:t>
            </w:r>
          </w:p>
        </w:tc>
        <w:tc>
          <w:tcPr>
            <w:tcW w:w="890" w:type="dxa"/>
            <w:shd w:val="clear" w:color="auto" w:fill="FFFFFF"/>
          </w:tcPr>
          <w:p w14:paraId="1506A5D1" w14:textId="77777777" w:rsidR="00E36BE7" w:rsidRPr="00B57B36" w:rsidRDefault="00E36BE7" w:rsidP="00351E42">
            <w:pPr>
              <w:pStyle w:val="CETBodytext"/>
              <w:ind w:right="-1"/>
              <w:rPr>
                <w:rFonts w:cs="Arial"/>
                <w:szCs w:val="18"/>
                <w:lang w:val="en-GB"/>
              </w:rPr>
            </w:pPr>
            <w:r w:rsidRPr="00C46ED7">
              <w:t>1.3</w:t>
            </w:r>
          </w:p>
        </w:tc>
        <w:tc>
          <w:tcPr>
            <w:tcW w:w="1204" w:type="dxa"/>
            <w:shd w:val="clear" w:color="auto" w:fill="FFFFFF"/>
          </w:tcPr>
          <w:p w14:paraId="3B13FA13" w14:textId="77777777" w:rsidR="00E36BE7" w:rsidRPr="00B57B36" w:rsidRDefault="00E36BE7" w:rsidP="00351E42">
            <w:pPr>
              <w:pStyle w:val="CETBodytext"/>
              <w:ind w:right="-1"/>
              <w:rPr>
                <w:rFonts w:cs="Arial"/>
                <w:szCs w:val="18"/>
                <w:lang w:val="en-GB"/>
              </w:rPr>
            </w:pPr>
            <w:r w:rsidRPr="00C46ED7">
              <w:t>166.5014</w:t>
            </w:r>
          </w:p>
        </w:tc>
        <w:tc>
          <w:tcPr>
            <w:tcW w:w="1230" w:type="dxa"/>
            <w:shd w:val="clear" w:color="auto" w:fill="FFFFFF"/>
          </w:tcPr>
          <w:p w14:paraId="086D78C2" w14:textId="77777777" w:rsidR="00E36BE7" w:rsidRPr="00B57B36" w:rsidRDefault="00E36BE7" w:rsidP="00351E42">
            <w:pPr>
              <w:pStyle w:val="CETBodytext"/>
              <w:ind w:right="-1"/>
              <w:rPr>
                <w:rFonts w:cs="Arial"/>
                <w:szCs w:val="18"/>
                <w:lang w:val="en-GB"/>
              </w:rPr>
            </w:pPr>
            <w:r w:rsidRPr="00C46ED7">
              <w:t>7.79%</w:t>
            </w:r>
          </w:p>
        </w:tc>
        <w:tc>
          <w:tcPr>
            <w:tcW w:w="1021" w:type="dxa"/>
            <w:shd w:val="clear" w:color="auto" w:fill="FFFFFF"/>
          </w:tcPr>
          <w:p w14:paraId="6ABE5363" w14:textId="77777777" w:rsidR="00E36BE7" w:rsidRPr="00C46ED7" w:rsidRDefault="00E36BE7" w:rsidP="00351E42">
            <w:pPr>
              <w:pStyle w:val="CETBodytext"/>
              <w:ind w:right="-1"/>
            </w:pPr>
            <w:r w:rsidRPr="002527EF">
              <w:t>34.67%</w:t>
            </w:r>
          </w:p>
        </w:tc>
      </w:tr>
      <w:tr w:rsidR="00E36BE7" w:rsidRPr="00B57B36" w14:paraId="694775C8" w14:textId="77777777" w:rsidTr="00351E42">
        <w:tc>
          <w:tcPr>
            <w:tcW w:w="1620" w:type="dxa"/>
            <w:shd w:val="clear" w:color="auto" w:fill="FFFFFF"/>
          </w:tcPr>
          <w:p w14:paraId="50ED22DE" w14:textId="77777777" w:rsidR="00E36BE7" w:rsidRDefault="00E36BE7" w:rsidP="00351E42">
            <w:pPr>
              <w:pStyle w:val="CETBodytext"/>
              <w:jc w:val="left"/>
              <w:rPr>
                <w:lang w:val="en-GB"/>
              </w:rPr>
            </w:pPr>
            <w:r w:rsidRPr="0071594C">
              <w:t>Pulp without fat</w:t>
            </w:r>
          </w:p>
        </w:tc>
        <w:tc>
          <w:tcPr>
            <w:tcW w:w="720" w:type="dxa"/>
            <w:shd w:val="clear" w:color="auto" w:fill="FFFFFF"/>
          </w:tcPr>
          <w:p w14:paraId="345F84C7" w14:textId="77777777" w:rsidR="00E36BE7" w:rsidRPr="00B57B36" w:rsidRDefault="00E36BE7" w:rsidP="00351E42">
            <w:pPr>
              <w:pStyle w:val="CETBodytext"/>
              <w:rPr>
                <w:lang w:val="en-GB"/>
              </w:rPr>
            </w:pPr>
            <w:r w:rsidRPr="0071594C">
              <w:t>kg/h</w:t>
            </w:r>
          </w:p>
        </w:tc>
        <w:tc>
          <w:tcPr>
            <w:tcW w:w="990" w:type="dxa"/>
            <w:shd w:val="clear" w:color="auto" w:fill="FFFFFF"/>
          </w:tcPr>
          <w:p w14:paraId="4F758FDF" w14:textId="77777777" w:rsidR="00E36BE7" w:rsidRPr="00B57B36" w:rsidRDefault="00E36BE7" w:rsidP="00351E42">
            <w:pPr>
              <w:pStyle w:val="CETBodytext"/>
              <w:rPr>
                <w:lang w:val="en-GB"/>
              </w:rPr>
            </w:pPr>
            <w:r w:rsidRPr="0071594C">
              <w:t>82.31</w:t>
            </w:r>
          </w:p>
        </w:tc>
        <w:tc>
          <w:tcPr>
            <w:tcW w:w="890" w:type="dxa"/>
            <w:shd w:val="clear" w:color="auto" w:fill="FFFFFF"/>
          </w:tcPr>
          <w:p w14:paraId="6C1D4616" w14:textId="77777777" w:rsidR="00E36BE7" w:rsidRPr="00B57B36" w:rsidRDefault="00E36BE7" w:rsidP="00351E42">
            <w:pPr>
              <w:pStyle w:val="CETBodytext"/>
              <w:ind w:right="-1"/>
              <w:rPr>
                <w:rFonts w:cs="Arial"/>
                <w:szCs w:val="18"/>
                <w:lang w:val="en-GB"/>
              </w:rPr>
            </w:pPr>
            <w:r w:rsidRPr="00C46ED7">
              <w:t>2.45</w:t>
            </w:r>
          </w:p>
        </w:tc>
        <w:tc>
          <w:tcPr>
            <w:tcW w:w="1204" w:type="dxa"/>
            <w:shd w:val="clear" w:color="auto" w:fill="FFFFFF"/>
          </w:tcPr>
          <w:p w14:paraId="3A169F4C" w14:textId="77777777" w:rsidR="00E36BE7" w:rsidRPr="00B57B36" w:rsidRDefault="00E36BE7" w:rsidP="00351E42">
            <w:pPr>
              <w:pStyle w:val="CETBodytext"/>
              <w:ind w:right="-1"/>
              <w:rPr>
                <w:rFonts w:cs="Arial"/>
                <w:szCs w:val="18"/>
                <w:lang w:val="en-GB"/>
              </w:rPr>
            </w:pPr>
            <w:r w:rsidRPr="00C46ED7">
              <w:t>201.6595</w:t>
            </w:r>
          </w:p>
        </w:tc>
        <w:tc>
          <w:tcPr>
            <w:tcW w:w="1230" w:type="dxa"/>
            <w:shd w:val="clear" w:color="auto" w:fill="FFFFFF"/>
          </w:tcPr>
          <w:p w14:paraId="10E9F044" w14:textId="77777777" w:rsidR="00E36BE7" w:rsidRPr="00B57B36" w:rsidRDefault="00E36BE7" w:rsidP="00351E42">
            <w:pPr>
              <w:pStyle w:val="CETBodytext"/>
              <w:ind w:right="-1"/>
              <w:rPr>
                <w:rFonts w:cs="Arial"/>
                <w:szCs w:val="18"/>
                <w:lang w:val="en-GB"/>
              </w:rPr>
            </w:pPr>
            <w:r w:rsidRPr="00C46ED7">
              <w:t>9.43%</w:t>
            </w:r>
          </w:p>
        </w:tc>
        <w:tc>
          <w:tcPr>
            <w:tcW w:w="1021" w:type="dxa"/>
            <w:shd w:val="clear" w:color="auto" w:fill="FFFFFF"/>
          </w:tcPr>
          <w:p w14:paraId="79B32961" w14:textId="77777777" w:rsidR="00E36BE7" w:rsidRPr="00C46ED7" w:rsidRDefault="00E36BE7" w:rsidP="00351E42">
            <w:pPr>
              <w:pStyle w:val="CETBodytext"/>
              <w:ind w:right="-1"/>
            </w:pPr>
            <w:r w:rsidRPr="002527EF">
              <w:t>22.28%</w:t>
            </w:r>
          </w:p>
        </w:tc>
      </w:tr>
      <w:tr w:rsidR="00E36BE7" w:rsidRPr="00B57B36" w14:paraId="0A55A07F" w14:textId="77777777" w:rsidTr="00351E42">
        <w:tc>
          <w:tcPr>
            <w:tcW w:w="1620" w:type="dxa"/>
            <w:shd w:val="clear" w:color="auto" w:fill="FFFFFF"/>
          </w:tcPr>
          <w:p w14:paraId="757E6A1F" w14:textId="2F3ADFFA" w:rsidR="00E36BE7" w:rsidRDefault="00E36BE7" w:rsidP="00351E42">
            <w:pPr>
              <w:pStyle w:val="CETBodytext"/>
              <w:jc w:val="left"/>
              <w:rPr>
                <w:lang w:val="en-GB"/>
              </w:rPr>
            </w:pPr>
            <w:r w:rsidRPr="0071594C">
              <w:t>Rich chlorophyl</w:t>
            </w:r>
            <w:r w:rsidR="00CD4D10">
              <w:t>l</w:t>
            </w:r>
            <w:r w:rsidRPr="0071594C">
              <w:t xml:space="preserve"> extract</w:t>
            </w:r>
          </w:p>
        </w:tc>
        <w:tc>
          <w:tcPr>
            <w:tcW w:w="720" w:type="dxa"/>
            <w:shd w:val="clear" w:color="auto" w:fill="FFFFFF"/>
          </w:tcPr>
          <w:p w14:paraId="0DBA19C1" w14:textId="77777777" w:rsidR="00E36BE7" w:rsidRPr="00B57B36" w:rsidRDefault="00E36BE7" w:rsidP="00351E42">
            <w:pPr>
              <w:pStyle w:val="CETBodytext"/>
              <w:rPr>
                <w:lang w:val="en-GB"/>
              </w:rPr>
            </w:pPr>
            <w:r w:rsidRPr="0071594C">
              <w:t>kg/h</w:t>
            </w:r>
          </w:p>
        </w:tc>
        <w:tc>
          <w:tcPr>
            <w:tcW w:w="990" w:type="dxa"/>
            <w:shd w:val="clear" w:color="auto" w:fill="FFFFFF"/>
          </w:tcPr>
          <w:p w14:paraId="377AC992" w14:textId="77777777" w:rsidR="00E36BE7" w:rsidRPr="00B57B36" w:rsidRDefault="00E36BE7" w:rsidP="00351E42">
            <w:pPr>
              <w:pStyle w:val="CETBodytext"/>
              <w:rPr>
                <w:lang w:val="en-GB"/>
              </w:rPr>
            </w:pPr>
            <w:r w:rsidRPr="0071594C">
              <w:t>3.24</w:t>
            </w:r>
          </w:p>
        </w:tc>
        <w:tc>
          <w:tcPr>
            <w:tcW w:w="890" w:type="dxa"/>
            <w:shd w:val="clear" w:color="auto" w:fill="FFFFFF"/>
          </w:tcPr>
          <w:p w14:paraId="7C93B250" w14:textId="77777777" w:rsidR="00E36BE7" w:rsidRPr="00B57B36" w:rsidRDefault="00E36BE7" w:rsidP="00351E42">
            <w:pPr>
              <w:pStyle w:val="CETBodytext"/>
              <w:ind w:right="-1"/>
              <w:rPr>
                <w:rFonts w:cs="Arial"/>
                <w:szCs w:val="18"/>
                <w:lang w:val="en-GB"/>
              </w:rPr>
            </w:pPr>
            <w:r w:rsidRPr="00C46ED7">
              <w:t>22</w:t>
            </w:r>
          </w:p>
        </w:tc>
        <w:tc>
          <w:tcPr>
            <w:tcW w:w="1204" w:type="dxa"/>
            <w:shd w:val="clear" w:color="auto" w:fill="FFFFFF"/>
          </w:tcPr>
          <w:p w14:paraId="492CA3D1" w14:textId="77777777" w:rsidR="00E36BE7" w:rsidRPr="00B57B36" w:rsidRDefault="00E36BE7" w:rsidP="00351E42">
            <w:pPr>
              <w:pStyle w:val="CETBodytext"/>
              <w:ind w:right="-1"/>
              <w:rPr>
                <w:rFonts w:cs="Arial"/>
                <w:szCs w:val="18"/>
                <w:lang w:val="en-GB"/>
              </w:rPr>
            </w:pPr>
            <w:r w:rsidRPr="00C46ED7">
              <w:t>71.28</w:t>
            </w:r>
          </w:p>
        </w:tc>
        <w:tc>
          <w:tcPr>
            <w:tcW w:w="1230" w:type="dxa"/>
            <w:shd w:val="clear" w:color="auto" w:fill="FFFFFF"/>
          </w:tcPr>
          <w:p w14:paraId="50957366" w14:textId="77777777" w:rsidR="00E36BE7" w:rsidRPr="00B57B36" w:rsidRDefault="00E36BE7" w:rsidP="00351E42">
            <w:pPr>
              <w:pStyle w:val="CETBodytext"/>
              <w:ind w:right="-1"/>
              <w:rPr>
                <w:rFonts w:cs="Arial"/>
                <w:szCs w:val="18"/>
                <w:lang w:val="en-GB"/>
              </w:rPr>
            </w:pPr>
            <w:r w:rsidRPr="00C46ED7">
              <w:t>3.33%</w:t>
            </w:r>
          </w:p>
        </w:tc>
        <w:tc>
          <w:tcPr>
            <w:tcW w:w="1021" w:type="dxa"/>
            <w:shd w:val="clear" w:color="auto" w:fill="FFFFFF"/>
          </w:tcPr>
          <w:p w14:paraId="1078EE2B" w14:textId="77777777" w:rsidR="00E36BE7" w:rsidRPr="00C46ED7" w:rsidRDefault="00E36BE7" w:rsidP="00351E42">
            <w:pPr>
              <w:pStyle w:val="CETBodytext"/>
              <w:ind w:right="-1"/>
            </w:pPr>
            <w:r w:rsidRPr="002527EF">
              <w:t>0.88%</w:t>
            </w:r>
          </w:p>
        </w:tc>
      </w:tr>
    </w:tbl>
    <w:p w14:paraId="677EBFF0" w14:textId="046C7EDD" w:rsidR="00600535" w:rsidRPr="00B57B36" w:rsidRDefault="00C32B8B" w:rsidP="00093FAD">
      <w:pPr>
        <w:pStyle w:val="CETHeading1"/>
        <w:numPr>
          <w:ilvl w:val="0"/>
          <w:numId w:val="23"/>
        </w:numPr>
        <w:tabs>
          <w:tab w:val="right" w:pos="7100"/>
        </w:tabs>
        <w:jc w:val="both"/>
        <w:rPr>
          <w:lang w:val="en-GB"/>
        </w:rPr>
      </w:pPr>
      <w:r>
        <w:rPr>
          <w:lang w:val="en-GB"/>
        </w:rPr>
        <w:t>Results and discussion</w:t>
      </w:r>
    </w:p>
    <w:p w14:paraId="07E993D4" w14:textId="71ED3C49" w:rsidR="004D7582" w:rsidRDefault="00FC1E2D" w:rsidP="004D7582">
      <w:pPr>
        <w:pStyle w:val="CETTabletitle"/>
        <w:rPr>
          <w:i w:val="0"/>
          <w:iCs/>
        </w:rPr>
      </w:pPr>
      <w:r w:rsidRPr="00FC1E2D">
        <w:rPr>
          <w:i w:val="0"/>
          <w:iCs/>
        </w:rPr>
        <w:t>The life cycle impact assessment results for the production of 1 kg of refined avocado oil at the biorefinery gate indicate mean impacts of 1.83 kg CO</w:t>
      </w:r>
      <w:r w:rsidRPr="00FC1E2D">
        <w:rPr>
          <w:rFonts w:ascii="Cambria Math" w:hAnsi="Cambria Math" w:cs="Cambria Math"/>
          <w:i w:val="0"/>
          <w:iCs/>
        </w:rPr>
        <w:t>₂</w:t>
      </w:r>
      <w:r w:rsidRPr="00FC1E2D">
        <w:rPr>
          <w:i w:val="0"/>
          <w:iCs/>
        </w:rPr>
        <w:t>-</w:t>
      </w:r>
      <w:proofErr w:type="spellStart"/>
      <w:r w:rsidRPr="00FC1E2D">
        <w:rPr>
          <w:i w:val="0"/>
          <w:iCs/>
        </w:rPr>
        <w:t>eq</w:t>
      </w:r>
      <w:proofErr w:type="spellEnd"/>
      <w:r w:rsidRPr="00FC1E2D">
        <w:rPr>
          <w:i w:val="0"/>
          <w:iCs/>
        </w:rPr>
        <w:t xml:space="preserve"> for climate change, 0.0069 kg P-</w:t>
      </w:r>
      <w:proofErr w:type="spellStart"/>
      <w:r w:rsidRPr="00FC1E2D">
        <w:rPr>
          <w:i w:val="0"/>
          <w:iCs/>
        </w:rPr>
        <w:t>eq</w:t>
      </w:r>
      <w:proofErr w:type="spellEnd"/>
      <w:r w:rsidRPr="00FC1E2D">
        <w:rPr>
          <w:i w:val="0"/>
          <w:iCs/>
        </w:rPr>
        <w:t xml:space="preserve"> for freshwater eutrophication, 0.0019 kg N-</w:t>
      </w:r>
      <w:proofErr w:type="spellStart"/>
      <w:r w:rsidRPr="00FC1E2D">
        <w:rPr>
          <w:i w:val="0"/>
          <w:iCs/>
        </w:rPr>
        <w:t>eq</w:t>
      </w:r>
      <w:proofErr w:type="spellEnd"/>
      <w:r w:rsidRPr="00FC1E2D">
        <w:rPr>
          <w:i w:val="0"/>
          <w:iCs/>
        </w:rPr>
        <w:t xml:space="preserve"> for marine eutrophication, 0.046 m</w:t>
      </w:r>
      <w:r w:rsidRPr="00FC1E2D">
        <w:rPr>
          <w:rFonts w:cs="Arial"/>
          <w:i w:val="0"/>
          <w:iCs/>
        </w:rPr>
        <w:t>²·</w:t>
      </w:r>
      <w:r w:rsidRPr="00FC1E2D">
        <w:rPr>
          <w:i w:val="0"/>
          <w:iCs/>
        </w:rPr>
        <w:t>a crop-</w:t>
      </w:r>
      <w:proofErr w:type="spellStart"/>
      <w:r w:rsidRPr="00FC1E2D">
        <w:rPr>
          <w:i w:val="0"/>
          <w:iCs/>
        </w:rPr>
        <w:t>eq</w:t>
      </w:r>
      <w:proofErr w:type="spellEnd"/>
      <w:r w:rsidRPr="00FC1E2D">
        <w:rPr>
          <w:i w:val="0"/>
          <w:iCs/>
        </w:rPr>
        <w:t xml:space="preserve"> for land use, and 0.51 m</w:t>
      </w:r>
      <w:r w:rsidRPr="00FC1E2D">
        <w:rPr>
          <w:rFonts w:cs="Arial"/>
          <w:i w:val="0"/>
          <w:iCs/>
        </w:rPr>
        <w:t>³</w:t>
      </w:r>
      <w:r w:rsidRPr="00FC1E2D">
        <w:rPr>
          <w:i w:val="0"/>
          <w:iCs/>
        </w:rPr>
        <w:t xml:space="preserve"> world-</w:t>
      </w:r>
      <w:proofErr w:type="spellStart"/>
      <w:r w:rsidRPr="00FC1E2D">
        <w:rPr>
          <w:i w:val="0"/>
          <w:iCs/>
        </w:rPr>
        <w:t>eq</w:t>
      </w:r>
      <w:proofErr w:type="spellEnd"/>
      <w:r w:rsidRPr="00FC1E2D">
        <w:rPr>
          <w:i w:val="0"/>
          <w:iCs/>
        </w:rPr>
        <w:t xml:space="preserve"> deprived for water use. Median values were close to the means across all categories, suggesting representative central tendencies under typical operating conditions. Uncertainty analysis revealed relatively large standard deviations and wide ranges, particularly for climate change and water use, reflecting sensitivity to background datasets, utility provision, and allocation assumptions; however, the 5th–95th percentile intervals were considerably narrower, indicating that extreme values are unlikely</w:t>
      </w:r>
      <w:r w:rsidR="004D7582" w:rsidRPr="004D7582">
        <w:rPr>
          <w:i w:val="0"/>
          <w:iCs/>
        </w:rPr>
        <w:t>.</w:t>
      </w:r>
      <w:r w:rsidR="00E36BE7">
        <w:rPr>
          <w:i w:val="0"/>
          <w:iCs/>
        </w:rPr>
        <w:t xml:space="preserve"> Table </w:t>
      </w:r>
      <w:r w:rsidR="00CE18BC">
        <w:rPr>
          <w:i w:val="0"/>
          <w:iCs/>
        </w:rPr>
        <w:t xml:space="preserve">3 summarizes mean and uncertainty values of the evaluated </w:t>
      </w:r>
      <w:r w:rsidR="008F0DE2">
        <w:rPr>
          <w:i w:val="0"/>
          <w:iCs/>
        </w:rPr>
        <w:t>process and</w:t>
      </w:r>
      <w:r w:rsidR="00CE18BC">
        <w:rPr>
          <w:i w:val="0"/>
          <w:iCs/>
        </w:rPr>
        <w:t xml:space="preserve"> additionally shows a contribution analysis of impact drivers.</w:t>
      </w:r>
    </w:p>
    <w:p w14:paraId="6EB32865" w14:textId="650881A2" w:rsidR="004D7582" w:rsidRPr="00B57B36" w:rsidRDefault="004D7582" w:rsidP="004D7582">
      <w:pPr>
        <w:pStyle w:val="CETTabletitle"/>
      </w:pPr>
      <w:r w:rsidRPr="00B57B36">
        <w:t xml:space="preserve">Table </w:t>
      </w:r>
      <w:r w:rsidR="00E36BE7">
        <w:t>3</w:t>
      </w:r>
      <w:r w:rsidRPr="00B57B36">
        <w:t>:</w:t>
      </w:r>
      <w:r w:rsidR="00E36BE7">
        <w:t xml:space="preserve"> Impact assessment results and contribution analysis of heat-integrated thermal-extractive avocado oil biorefinery.</w:t>
      </w:r>
      <w:r w:rsidRPr="00B57B36">
        <w:t xml:space="preserve"> </w:t>
      </w:r>
    </w:p>
    <w:tbl>
      <w:tblPr>
        <w:tblW w:w="8670"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154"/>
        <w:gridCol w:w="1066"/>
        <w:gridCol w:w="653"/>
        <w:gridCol w:w="699"/>
        <w:gridCol w:w="802"/>
        <w:gridCol w:w="836"/>
        <w:gridCol w:w="900"/>
        <w:gridCol w:w="855"/>
        <w:gridCol w:w="676"/>
        <w:gridCol w:w="22"/>
        <w:gridCol w:w="7"/>
      </w:tblGrid>
      <w:tr w:rsidR="00E36BE7" w:rsidRPr="00E36BE7" w14:paraId="65E86F5E" w14:textId="77777777" w:rsidTr="00E36BE7">
        <w:trPr>
          <w:trHeight w:val="273"/>
        </w:trPr>
        <w:tc>
          <w:tcPr>
            <w:tcW w:w="0" w:type="auto"/>
            <w:tcBorders>
              <w:top w:val="single" w:sz="12" w:space="0" w:color="008000"/>
              <w:bottom w:val="single" w:sz="6" w:space="0" w:color="008000"/>
            </w:tcBorders>
            <w:shd w:val="clear" w:color="auto" w:fill="FFFFFF"/>
          </w:tcPr>
          <w:p w14:paraId="6A218EDE" w14:textId="47DBE6B3" w:rsidR="00E36BE7" w:rsidRPr="00E36BE7" w:rsidRDefault="00E36BE7" w:rsidP="00A32EA7">
            <w:pPr>
              <w:pStyle w:val="CETBodytext"/>
              <w:jc w:val="left"/>
              <w:rPr>
                <w:sz w:val="16"/>
                <w:szCs w:val="16"/>
                <w:lang w:val="en-GB"/>
              </w:rPr>
            </w:pPr>
            <w:r w:rsidRPr="00E36BE7">
              <w:rPr>
                <w:sz w:val="16"/>
                <w:szCs w:val="16"/>
                <w:lang w:val="en-GB"/>
              </w:rPr>
              <w:t>Category</w:t>
            </w:r>
          </w:p>
        </w:tc>
        <w:tc>
          <w:tcPr>
            <w:tcW w:w="0" w:type="auto"/>
            <w:tcBorders>
              <w:top w:val="single" w:sz="12" w:space="0" w:color="008000"/>
              <w:bottom w:val="single" w:sz="6" w:space="0" w:color="008000"/>
            </w:tcBorders>
            <w:shd w:val="clear" w:color="auto" w:fill="FFFFFF"/>
          </w:tcPr>
          <w:p w14:paraId="2472D54F" w14:textId="758976A0" w:rsidR="00E36BE7" w:rsidRPr="00E36BE7" w:rsidRDefault="00E36BE7" w:rsidP="00A32EA7">
            <w:pPr>
              <w:pStyle w:val="CETBodytext"/>
              <w:jc w:val="left"/>
              <w:rPr>
                <w:sz w:val="16"/>
                <w:szCs w:val="16"/>
                <w:lang w:val="en-GB"/>
              </w:rPr>
            </w:pPr>
            <w:r w:rsidRPr="00E36BE7">
              <w:rPr>
                <w:sz w:val="16"/>
                <w:szCs w:val="16"/>
                <w:lang w:val="en-GB"/>
              </w:rPr>
              <w:t>Unit</w:t>
            </w:r>
          </w:p>
        </w:tc>
        <w:tc>
          <w:tcPr>
            <w:tcW w:w="0" w:type="auto"/>
            <w:tcBorders>
              <w:top w:val="single" w:sz="12" w:space="0" w:color="008000"/>
              <w:bottom w:val="single" w:sz="6" w:space="0" w:color="008000"/>
            </w:tcBorders>
            <w:shd w:val="clear" w:color="auto" w:fill="FFFFFF"/>
          </w:tcPr>
          <w:p w14:paraId="646DF86F" w14:textId="0D6AC8F3" w:rsidR="00E36BE7" w:rsidRPr="00E36BE7" w:rsidRDefault="00E36BE7" w:rsidP="00A32EA7">
            <w:pPr>
              <w:pStyle w:val="CETBodytext"/>
              <w:jc w:val="left"/>
              <w:rPr>
                <w:sz w:val="16"/>
                <w:szCs w:val="16"/>
                <w:lang w:val="en-GB"/>
              </w:rPr>
            </w:pPr>
            <w:r w:rsidRPr="00E36BE7">
              <w:rPr>
                <w:sz w:val="16"/>
                <w:szCs w:val="16"/>
                <w:lang w:val="en-GB"/>
              </w:rPr>
              <w:t>Mean</w:t>
            </w:r>
          </w:p>
        </w:tc>
        <w:tc>
          <w:tcPr>
            <w:tcW w:w="0" w:type="auto"/>
            <w:tcBorders>
              <w:top w:val="single" w:sz="12" w:space="0" w:color="008000"/>
              <w:bottom w:val="single" w:sz="6" w:space="0" w:color="008000"/>
            </w:tcBorders>
            <w:shd w:val="clear" w:color="auto" w:fill="FFFFFF"/>
          </w:tcPr>
          <w:p w14:paraId="283FF59F" w14:textId="24A10DE6" w:rsidR="00E36BE7" w:rsidRPr="00E36BE7" w:rsidRDefault="00E36BE7" w:rsidP="00A32EA7">
            <w:pPr>
              <w:pStyle w:val="CETBodytext"/>
              <w:ind w:right="-1"/>
              <w:jc w:val="left"/>
              <w:rPr>
                <w:rFonts w:cs="Arial"/>
                <w:sz w:val="16"/>
                <w:szCs w:val="16"/>
                <w:lang w:val="en-GB"/>
              </w:rPr>
            </w:pPr>
            <w:r w:rsidRPr="00E36BE7">
              <w:rPr>
                <w:rFonts w:cs="Arial"/>
                <w:sz w:val="16"/>
                <w:szCs w:val="16"/>
                <w:lang w:val="en-GB"/>
              </w:rPr>
              <w:t>5</w:t>
            </w:r>
            <w:r w:rsidRPr="00E36BE7">
              <w:rPr>
                <w:rFonts w:cs="Arial"/>
                <w:sz w:val="16"/>
                <w:szCs w:val="16"/>
                <w:vertAlign w:val="superscript"/>
                <w:lang w:val="en-GB"/>
              </w:rPr>
              <w:t>th</w:t>
            </w:r>
            <w:r w:rsidRPr="00E36BE7">
              <w:rPr>
                <w:rFonts w:cs="Arial"/>
                <w:sz w:val="16"/>
                <w:szCs w:val="16"/>
                <w:lang w:val="en-GB"/>
              </w:rPr>
              <w:t xml:space="preserve"> value</w:t>
            </w:r>
          </w:p>
        </w:tc>
        <w:tc>
          <w:tcPr>
            <w:tcW w:w="0" w:type="auto"/>
            <w:tcBorders>
              <w:top w:val="single" w:sz="12" w:space="0" w:color="008000"/>
              <w:bottom w:val="single" w:sz="6" w:space="0" w:color="008000"/>
            </w:tcBorders>
            <w:shd w:val="clear" w:color="auto" w:fill="FFFFFF"/>
          </w:tcPr>
          <w:p w14:paraId="58C58231" w14:textId="6D660B65" w:rsidR="00E36BE7" w:rsidRPr="00E36BE7" w:rsidRDefault="00E36BE7" w:rsidP="00A32EA7">
            <w:pPr>
              <w:pStyle w:val="CETBodytext"/>
              <w:ind w:right="-1"/>
              <w:jc w:val="left"/>
              <w:rPr>
                <w:rFonts w:cs="Arial"/>
                <w:sz w:val="16"/>
                <w:szCs w:val="16"/>
                <w:lang w:val="en-GB"/>
              </w:rPr>
            </w:pPr>
            <w:r w:rsidRPr="00E36BE7">
              <w:rPr>
                <w:rFonts w:cs="Arial"/>
                <w:sz w:val="16"/>
                <w:szCs w:val="16"/>
                <w:lang w:val="en-GB"/>
              </w:rPr>
              <w:t>98</w:t>
            </w:r>
            <w:r w:rsidRPr="00E36BE7">
              <w:rPr>
                <w:rFonts w:cs="Arial"/>
                <w:sz w:val="16"/>
                <w:szCs w:val="16"/>
                <w:vertAlign w:val="superscript"/>
                <w:lang w:val="en-GB"/>
              </w:rPr>
              <w:t>th</w:t>
            </w:r>
            <w:r w:rsidRPr="00E36BE7">
              <w:rPr>
                <w:rFonts w:cs="Arial"/>
                <w:sz w:val="16"/>
                <w:szCs w:val="16"/>
                <w:lang w:val="en-GB"/>
              </w:rPr>
              <w:t xml:space="preserve"> value</w:t>
            </w:r>
          </w:p>
        </w:tc>
        <w:tc>
          <w:tcPr>
            <w:tcW w:w="836" w:type="dxa"/>
            <w:tcBorders>
              <w:top w:val="single" w:sz="12" w:space="0" w:color="008000"/>
              <w:bottom w:val="single" w:sz="6" w:space="0" w:color="008000"/>
            </w:tcBorders>
            <w:shd w:val="clear" w:color="auto" w:fill="FFFFFF"/>
          </w:tcPr>
          <w:p w14:paraId="2F71982D" w14:textId="16DA7039" w:rsidR="00E36BE7" w:rsidRPr="00E36BE7" w:rsidRDefault="00E36BE7" w:rsidP="00A32EA7">
            <w:pPr>
              <w:pStyle w:val="CETBodytext"/>
              <w:ind w:right="-1"/>
              <w:jc w:val="left"/>
              <w:rPr>
                <w:rFonts w:cs="Arial"/>
                <w:sz w:val="16"/>
                <w:szCs w:val="16"/>
                <w:lang w:val="en-GB"/>
              </w:rPr>
            </w:pPr>
            <w:r w:rsidRPr="00E36BE7">
              <w:rPr>
                <w:rFonts w:cs="Arial"/>
                <w:sz w:val="16"/>
                <w:szCs w:val="16"/>
                <w:lang w:val="en-GB"/>
              </w:rPr>
              <w:t>Transport</w:t>
            </w:r>
          </w:p>
        </w:tc>
        <w:tc>
          <w:tcPr>
            <w:tcW w:w="900" w:type="dxa"/>
            <w:tcBorders>
              <w:top w:val="single" w:sz="12" w:space="0" w:color="008000"/>
              <w:bottom w:val="single" w:sz="6" w:space="0" w:color="008000"/>
            </w:tcBorders>
            <w:shd w:val="clear" w:color="auto" w:fill="FFFFFF"/>
          </w:tcPr>
          <w:p w14:paraId="6C402D65" w14:textId="5E3CD726" w:rsidR="00E36BE7" w:rsidRPr="00E36BE7" w:rsidRDefault="00E36BE7" w:rsidP="00A32EA7">
            <w:pPr>
              <w:pStyle w:val="CETBodytext"/>
              <w:ind w:right="-1"/>
              <w:jc w:val="left"/>
              <w:rPr>
                <w:rFonts w:cs="Arial"/>
                <w:sz w:val="16"/>
                <w:szCs w:val="16"/>
                <w:lang w:val="en-GB"/>
              </w:rPr>
            </w:pPr>
            <w:r>
              <w:rPr>
                <w:rFonts w:cs="Arial"/>
                <w:sz w:val="16"/>
                <w:szCs w:val="16"/>
                <w:lang w:val="en-GB"/>
              </w:rPr>
              <w:t>M</w:t>
            </w:r>
            <w:r w:rsidRPr="00E36BE7">
              <w:rPr>
                <w:rFonts w:cs="Arial"/>
                <w:sz w:val="16"/>
                <w:szCs w:val="16"/>
                <w:lang w:val="en-GB"/>
              </w:rPr>
              <w:t>aterials</w:t>
            </w:r>
          </w:p>
        </w:tc>
        <w:tc>
          <w:tcPr>
            <w:tcW w:w="855" w:type="dxa"/>
            <w:tcBorders>
              <w:top w:val="single" w:sz="12" w:space="0" w:color="008000"/>
              <w:bottom w:val="single" w:sz="6" w:space="0" w:color="008000"/>
            </w:tcBorders>
            <w:shd w:val="clear" w:color="auto" w:fill="FFFFFF"/>
          </w:tcPr>
          <w:p w14:paraId="48736DCD" w14:textId="7A707D55" w:rsidR="00E36BE7" w:rsidRPr="00E36BE7" w:rsidRDefault="00E36BE7" w:rsidP="00A32EA7">
            <w:pPr>
              <w:pStyle w:val="CETBodytext"/>
              <w:ind w:right="-1"/>
              <w:jc w:val="left"/>
              <w:rPr>
                <w:rFonts w:cs="Arial"/>
                <w:sz w:val="16"/>
                <w:szCs w:val="16"/>
                <w:lang w:val="en-GB"/>
              </w:rPr>
            </w:pPr>
            <w:r w:rsidRPr="00E36BE7">
              <w:rPr>
                <w:rFonts w:cs="Arial"/>
                <w:sz w:val="16"/>
                <w:szCs w:val="16"/>
                <w:lang w:val="en-GB"/>
              </w:rPr>
              <w:t>Energy</w:t>
            </w:r>
          </w:p>
        </w:tc>
        <w:tc>
          <w:tcPr>
            <w:tcW w:w="676" w:type="dxa"/>
            <w:tcBorders>
              <w:top w:val="single" w:sz="12" w:space="0" w:color="008000"/>
              <w:bottom w:val="single" w:sz="6" w:space="0" w:color="008000"/>
            </w:tcBorders>
            <w:shd w:val="clear" w:color="auto" w:fill="FFFFFF"/>
          </w:tcPr>
          <w:p w14:paraId="30C5C01A" w14:textId="3E2965F1" w:rsidR="00E36BE7" w:rsidRPr="00E36BE7" w:rsidRDefault="00E36BE7" w:rsidP="00A32EA7">
            <w:pPr>
              <w:pStyle w:val="CETBodytext"/>
              <w:ind w:right="-1"/>
              <w:jc w:val="left"/>
              <w:rPr>
                <w:rFonts w:cs="Arial"/>
                <w:sz w:val="16"/>
                <w:szCs w:val="16"/>
                <w:lang w:val="en-GB"/>
              </w:rPr>
            </w:pPr>
            <w:r w:rsidRPr="00E36BE7">
              <w:rPr>
                <w:rFonts w:cs="Arial"/>
                <w:sz w:val="16"/>
                <w:szCs w:val="16"/>
                <w:lang w:val="en-GB"/>
              </w:rPr>
              <w:t>Waste</w:t>
            </w:r>
          </w:p>
        </w:tc>
        <w:tc>
          <w:tcPr>
            <w:tcW w:w="22" w:type="dxa"/>
            <w:tcBorders>
              <w:top w:val="single" w:sz="12" w:space="0" w:color="008000"/>
              <w:bottom w:val="single" w:sz="6" w:space="0" w:color="008000"/>
            </w:tcBorders>
            <w:shd w:val="clear" w:color="auto" w:fill="FFFFFF"/>
          </w:tcPr>
          <w:p w14:paraId="69E0B820" w14:textId="7312BC11" w:rsidR="00E36BE7" w:rsidRPr="00E36BE7" w:rsidRDefault="00E36BE7" w:rsidP="00A32EA7">
            <w:pPr>
              <w:pStyle w:val="CETBodytext"/>
              <w:ind w:right="-1"/>
              <w:jc w:val="left"/>
              <w:rPr>
                <w:rFonts w:cs="Arial"/>
                <w:sz w:val="16"/>
                <w:szCs w:val="16"/>
                <w:lang w:val="en-GB"/>
              </w:rPr>
            </w:pPr>
          </w:p>
        </w:tc>
        <w:tc>
          <w:tcPr>
            <w:tcW w:w="0" w:type="auto"/>
            <w:tcBorders>
              <w:top w:val="single" w:sz="12" w:space="0" w:color="008000"/>
              <w:bottom w:val="single" w:sz="6" w:space="0" w:color="008000"/>
            </w:tcBorders>
            <w:shd w:val="clear" w:color="auto" w:fill="FFFFFF"/>
          </w:tcPr>
          <w:p w14:paraId="6D04A2DA" w14:textId="24CC67E2" w:rsidR="00E36BE7" w:rsidRPr="00E36BE7" w:rsidRDefault="00E36BE7" w:rsidP="00A32EA7">
            <w:pPr>
              <w:pStyle w:val="CETBodytext"/>
              <w:ind w:right="-1"/>
              <w:jc w:val="left"/>
              <w:rPr>
                <w:rFonts w:cs="Arial"/>
                <w:sz w:val="16"/>
                <w:szCs w:val="16"/>
                <w:lang w:val="en-GB"/>
              </w:rPr>
            </w:pPr>
          </w:p>
        </w:tc>
      </w:tr>
      <w:tr w:rsidR="00E36BE7" w:rsidRPr="00E36BE7" w14:paraId="107A84B5" w14:textId="77777777" w:rsidTr="00E36BE7">
        <w:trPr>
          <w:trHeight w:val="282"/>
        </w:trPr>
        <w:tc>
          <w:tcPr>
            <w:tcW w:w="0" w:type="auto"/>
            <w:shd w:val="clear" w:color="auto" w:fill="FFFFFF"/>
          </w:tcPr>
          <w:p w14:paraId="210551D3" w14:textId="1D6E5F4C" w:rsidR="00E36BE7" w:rsidRPr="00E36BE7" w:rsidRDefault="00E36BE7" w:rsidP="00E36BE7">
            <w:pPr>
              <w:pStyle w:val="CETBodytext"/>
              <w:jc w:val="left"/>
              <w:rPr>
                <w:sz w:val="16"/>
                <w:szCs w:val="16"/>
                <w:lang w:val="en-GB"/>
              </w:rPr>
            </w:pPr>
            <w:r w:rsidRPr="00E36BE7">
              <w:rPr>
                <w:sz w:val="16"/>
                <w:szCs w:val="16"/>
                <w:lang w:val="en-GB"/>
              </w:rPr>
              <w:t>Climate change</w:t>
            </w:r>
          </w:p>
        </w:tc>
        <w:tc>
          <w:tcPr>
            <w:tcW w:w="0" w:type="auto"/>
            <w:shd w:val="clear" w:color="auto" w:fill="FFFFFF"/>
          </w:tcPr>
          <w:p w14:paraId="6420DBF9" w14:textId="1628EAE8" w:rsidR="00E36BE7" w:rsidRPr="00E36BE7" w:rsidRDefault="00E36BE7" w:rsidP="00E36BE7">
            <w:pPr>
              <w:pStyle w:val="CETBodytext"/>
              <w:jc w:val="left"/>
              <w:rPr>
                <w:sz w:val="16"/>
                <w:szCs w:val="16"/>
                <w:lang w:val="en-GB"/>
              </w:rPr>
            </w:pPr>
            <w:r w:rsidRPr="00E36BE7">
              <w:rPr>
                <w:iCs/>
                <w:sz w:val="16"/>
                <w:szCs w:val="16"/>
              </w:rPr>
              <w:t>kg CO</w:t>
            </w:r>
            <w:r w:rsidRPr="00E36BE7">
              <w:rPr>
                <w:rFonts w:ascii="Cambria Math" w:hAnsi="Cambria Math" w:cs="Cambria Math"/>
                <w:iCs/>
                <w:sz w:val="16"/>
                <w:szCs w:val="16"/>
              </w:rPr>
              <w:t>₂</w:t>
            </w:r>
            <w:r w:rsidRPr="00E36BE7">
              <w:rPr>
                <w:iCs/>
                <w:sz w:val="16"/>
                <w:szCs w:val="16"/>
              </w:rPr>
              <w:t>-eq</w:t>
            </w:r>
          </w:p>
        </w:tc>
        <w:tc>
          <w:tcPr>
            <w:tcW w:w="0" w:type="auto"/>
            <w:shd w:val="clear" w:color="auto" w:fill="FFFFFF"/>
          </w:tcPr>
          <w:p w14:paraId="5BA3D4DE" w14:textId="662AE453" w:rsidR="00E36BE7" w:rsidRPr="00E36BE7" w:rsidRDefault="00E36BE7" w:rsidP="00E36BE7">
            <w:pPr>
              <w:pStyle w:val="CETBodytext"/>
              <w:jc w:val="left"/>
              <w:rPr>
                <w:sz w:val="16"/>
                <w:szCs w:val="16"/>
                <w:lang w:val="en-GB"/>
              </w:rPr>
            </w:pPr>
            <w:r w:rsidRPr="00E36BE7">
              <w:rPr>
                <w:sz w:val="16"/>
                <w:szCs w:val="16"/>
                <w:lang w:val="en-GB"/>
              </w:rPr>
              <w:t>1.83</w:t>
            </w:r>
          </w:p>
        </w:tc>
        <w:tc>
          <w:tcPr>
            <w:tcW w:w="0" w:type="auto"/>
            <w:shd w:val="clear" w:color="auto" w:fill="FFFFFF"/>
          </w:tcPr>
          <w:p w14:paraId="0362FC78" w14:textId="585FED3D" w:rsidR="00E36BE7" w:rsidRPr="00E36BE7" w:rsidRDefault="00E36BE7" w:rsidP="00E36BE7">
            <w:pPr>
              <w:pStyle w:val="CETBodytext"/>
              <w:ind w:right="-1"/>
              <w:jc w:val="left"/>
              <w:rPr>
                <w:rFonts w:cs="Arial"/>
                <w:sz w:val="16"/>
                <w:szCs w:val="16"/>
                <w:lang w:val="en-GB"/>
              </w:rPr>
            </w:pPr>
            <w:r w:rsidRPr="00E36BE7">
              <w:rPr>
                <w:rFonts w:cs="Arial"/>
                <w:sz w:val="16"/>
                <w:szCs w:val="16"/>
                <w:lang w:val="en-GB"/>
              </w:rPr>
              <w:t>1.54</w:t>
            </w:r>
          </w:p>
        </w:tc>
        <w:tc>
          <w:tcPr>
            <w:tcW w:w="0" w:type="auto"/>
            <w:shd w:val="clear" w:color="auto" w:fill="FFFFFF"/>
          </w:tcPr>
          <w:p w14:paraId="75778599" w14:textId="68F6FB75" w:rsidR="00E36BE7" w:rsidRPr="00E36BE7" w:rsidRDefault="00E36BE7" w:rsidP="00E36BE7">
            <w:pPr>
              <w:pStyle w:val="CETBodytext"/>
              <w:ind w:right="-1"/>
              <w:jc w:val="left"/>
              <w:rPr>
                <w:rFonts w:cs="Arial"/>
                <w:sz w:val="16"/>
                <w:szCs w:val="16"/>
                <w:lang w:val="en-GB"/>
              </w:rPr>
            </w:pPr>
            <w:r w:rsidRPr="00E36BE7">
              <w:rPr>
                <w:rFonts w:cs="Arial"/>
                <w:sz w:val="16"/>
                <w:szCs w:val="16"/>
                <w:lang w:val="en-GB"/>
              </w:rPr>
              <w:t>2.12</w:t>
            </w:r>
          </w:p>
        </w:tc>
        <w:tc>
          <w:tcPr>
            <w:tcW w:w="836" w:type="dxa"/>
            <w:shd w:val="clear" w:color="auto" w:fill="FFFFFF"/>
          </w:tcPr>
          <w:p w14:paraId="5AF7837A" w14:textId="7ABA83BD" w:rsidR="00E36BE7" w:rsidRPr="00E36BE7" w:rsidRDefault="00E36BE7" w:rsidP="00E36BE7">
            <w:pPr>
              <w:pStyle w:val="CETBodytext"/>
              <w:ind w:right="-1"/>
              <w:jc w:val="left"/>
              <w:rPr>
                <w:rFonts w:cs="Arial"/>
                <w:sz w:val="16"/>
                <w:szCs w:val="16"/>
                <w:lang w:val="en-GB"/>
              </w:rPr>
            </w:pPr>
            <w:r w:rsidRPr="00E36BE7">
              <w:rPr>
                <w:sz w:val="16"/>
                <w:szCs w:val="16"/>
              </w:rPr>
              <w:t>23.66%</w:t>
            </w:r>
          </w:p>
        </w:tc>
        <w:tc>
          <w:tcPr>
            <w:tcW w:w="900" w:type="dxa"/>
            <w:shd w:val="clear" w:color="auto" w:fill="FFFFFF"/>
          </w:tcPr>
          <w:p w14:paraId="114F91B3" w14:textId="605CE49E" w:rsidR="00E36BE7" w:rsidRPr="00E36BE7" w:rsidRDefault="00E36BE7" w:rsidP="00E36BE7">
            <w:pPr>
              <w:pStyle w:val="CETBodytext"/>
              <w:ind w:right="-1"/>
              <w:jc w:val="left"/>
              <w:rPr>
                <w:rFonts w:cs="Arial"/>
                <w:sz w:val="16"/>
                <w:szCs w:val="16"/>
                <w:lang w:val="en-GB"/>
              </w:rPr>
            </w:pPr>
            <w:r w:rsidRPr="00E36BE7">
              <w:rPr>
                <w:sz w:val="16"/>
                <w:szCs w:val="16"/>
              </w:rPr>
              <w:t>15.29%</w:t>
            </w:r>
          </w:p>
        </w:tc>
        <w:tc>
          <w:tcPr>
            <w:tcW w:w="855" w:type="dxa"/>
            <w:shd w:val="clear" w:color="auto" w:fill="FFFFFF"/>
          </w:tcPr>
          <w:p w14:paraId="61980C5E" w14:textId="66BB5E15" w:rsidR="00E36BE7" w:rsidRPr="00E36BE7" w:rsidRDefault="00E36BE7" w:rsidP="00E36BE7">
            <w:pPr>
              <w:pStyle w:val="CETBodytext"/>
              <w:ind w:right="-1"/>
              <w:jc w:val="left"/>
              <w:rPr>
                <w:rFonts w:cs="Arial"/>
                <w:sz w:val="16"/>
                <w:szCs w:val="16"/>
                <w:lang w:val="en-GB"/>
              </w:rPr>
            </w:pPr>
            <w:r w:rsidRPr="00E36BE7">
              <w:rPr>
                <w:sz w:val="16"/>
                <w:szCs w:val="16"/>
              </w:rPr>
              <w:t>20.48%</w:t>
            </w:r>
          </w:p>
        </w:tc>
        <w:tc>
          <w:tcPr>
            <w:tcW w:w="676" w:type="dxa"/>
            <w:shd w:val="clear" w:color="auto" w:fill="FFFFFF"/>
          </w:tcPr>
          <w:p w14:paraId="762EE954" w14:textId="3D153FEB" w:rsidR="00E36BE7" w:rsidRPr="00E36BE7" w:rsidRDefault="00E36BE7" w:rsidP="00E36BE7">
            <w:pPr>
              <w:pStyle w:val="CETBodytext"/>
              <w:ind w:right="-1"/>
              <w:jc w:val="left"/>
              <w:rPr>
                <w:rFonts w:cs="Arial"/>
                <w:sz w:val="16"/>
                <w:szCs w:val="16"/>
                <w:lang w:val="en-GB"/>
              </w:rPr>
            </w:pPr>
            <w:r w:rsidRPr="00E36BE7">
              <w:rPr>
                <w:sz w:val="16"/>
                <w:szCs w:val="16"/>
              </w:rPr>
              <w:t>30.70%</w:t>
            </w:r>
          </w:p>
        </w:tc>
        <w:tc>
          <w:tcPr>
            <w:tcW w:w="22" w:type="dxa"/>
            <w:shd w:val="clear" w:color="auto" w:fill="FFFFFF"/>
          </w:tcPr>
          <w:p w14:paraId="372A3AB1" w14:textId="2D677CE3" w:rsidR="00E36BE7" w:rsidRPr="00E36BE7" w:rsidRDefault="00E36BE7" w:rsidP="00E36BE7">
            <w:pPr>
              <w:pStyle w:val="CETBodytext"/>
              <w:ind w:right="-1"/>
              <w:jc w:val="left"/>
              <w:rPr>
                <w:rFonts w:cs="Arial"/>
                <w:sz w:val="16"/>
                <w:szCs w:val="16"/>
                <w:lang w:val="en-GB"/>
              </w:rPr>
            </w:pPr>
          </w:p>
        </w:tc>
        <w:tc>
          <w:tcPr>
            <w:tcW w:w="0" w:type="auto"/>
            <w:shd w:val="clear" w:color="auto" w:fill="FFFFFF"/>
          </w:tcPr>
          <w:p w14:paraId="6A1A5D4F" w14:textId="771C6296" w:rsidR="00E36BE7" w:rsidRPr="00E36BE7" w:rsidRDefault="00E36BE7" w:rsidP="00E36BE7">
            <w:pPr>
              <w:pStyle w:val="CETBodytext"/>
              <w:ind w:right="-1"/>
              <w:jc w:val="left"/>
              <w:rPr>
                <w:rFonts w:cs="Arial"/>
                <w:sz w:val="16"/>
                <w:szCs w:val="16"/>
                <w:lang w:val="en-GB"/>
              </w:rPr>
            </w:pPr>
          </w:p>
        </w:tc>
      </w:tr>
      <w:tr w:rsidR="00E36BE7" w:rsidRPr="00E36BE7" w14:paraId="0A4EDDBD" w14:textId="77777777" w:rsidTr="00E36BE7">
        <w:trPr>
          <w:trHeight w:val="273"/>
        </w:trPr>
        <w:tc>
          <w:tcPr>
            <w:tcW w:w="0" w:type="auto"/>
            <w:shd w:val="clear" w:color="auto" w:fill="FFFFFF"/>
          </w:tcPr>
          <w:p w14:paraId="4741C189" w14:textId="5F88C2E9" w:rsidR="00E36BE7" w:rsidRPr="00E36BE7" w:rsidRDefault="00E36BE7" w:rsidP="00E36BE7">
            <w:pPr>
              <w:pStyle w:val="CETBodytext"/>
              <w:jc w:val="left"/>
              <w:rPr>
                <w:sz w:val="16"/>
                <w:szCs w:val="16"/>
                <w:lang w:val="en-GB"/>
              </w:rPr>
            </w:pPr>
            <w:r w:rsidRPr="00E36BE7">
              <w:rPr>
                <w:sz w:val="16"/>
                <w:szCs w:val="16"/>
                <w:lang w:val="en-GB"/>
              </w:rPr>
              <w:t>Freshwater eutrophication</w:t>
            </w:r>
          </w:p>
        </w:tc>
        <w:tc>
          <w:tcPr>
            <w:tcW w:w="0" w:type="auto"/>
            <w:shd w:val="clear" w:color="auto" w:fill="FFFFFF"/>
          </w:tcPr>
          <w:p w14:paraId="40AA7DEF" w14:textId="11B3FFBD" w:rsidR="00E36BE7" w:rsidRPr="00E36BE7" w:rsidRDefault="00E36BE7" w:rsidP="00E36BE7">
            <w:pPr>
              <w:pStyle w:val="CETBodytext"/>
              <w:jc w:val="left"/>
              <w:rPr>
                <w:sz w:val="16"/>
                <w:szCs w:val="16"/>
                <w:lang w:val="en-GB"/>
              </w:rPr>
            </w:pPr>
            <w:r w:rsidRPr="00E36BE7">
              <w:rPr>
                <w:iCs/>
                <w:sz w:val="16"/>
                <w:szCs w:val="16"/>
              </w:rPr>
              <w:t>kg P-eq</w:t>
            </w:r>
          </w:p>
        </w:tc>
        <w:tc>
          <w:tcPr>
            <w:tcW w:w="0" w:type="auto"/>
            <w:shd w:val="clear" w:color="auto" w:fill="FFFFFF"/>
          </w:tcPr>
          <w:p w14:paraId="67AE1981" w14:textId="25983F1B" w:rsidR="00E36BE7" w:rsidRPr="00E36BE7" w:rsidRDefault="00E36BE7" w:rsidP="00E36BE7">
            <w:pPr>
              <w:pStyle w:val="CETBodytext"/>
              <w:jc w:val="left"/>
              <w:rPr>
                <w:sz w:val="16"/>
                <w:szCs w:val="16"/>
                <w:lang w:val="en-GB"/>
              </w:rPr>
            </w:pPr>
            <w:r w:rsidRPr="00E36BE7">
              <w:rPr>
                <w:sz w:val="16"/>
                <w:szCs w:val="16"/>
                <w:lang w:val="en-GB"/>
              </w:rPr>
              <w:t>6.90E-3</w:t>
            </w:r>
          </w:p>
        </w:tc>
        <w:tc>
          <w:tcPr>
            <w:tcW w:w="0" w:type="auto"/>
            <w:shd w:val="clear" w:color="auto" w:fill="FFFFFF"/>
          </w:tcPr>
          <w:p w14:paraId="4585611B" w14:textId="1274CAE4" w:rsidR="00E36BE7" w:rsidRPr="00E36BE7" w:rsidRDefault="00E36BE7" w:rsidP="00E36BE7">
            <w:pPr>
              <w:pStyle w:val="CETBodytext"/>
              <w:ind w:right="-1"/>
              <w:jc w:val="left"/>
              <w:rPr>
                <w:rFonts w:cs="Arial"/>
                <w:sz w:val="16"/>
                <w:szCs w:val="16"/>
                <w:lang w:val="en-GB"/>
              </w:rPr>
            </w:pPr>
            <w:r w:rsidRPr="00E36BE7">
              <w:rPr>
                <w:sz w:val="16"/>
                <w:szCs w:val="16"/>
                <w:lang w:val="en-GB"/>
              </w:rPr>
              <w:t>3.94E-3</w:t>
            </w:r>
          </w:p>
        </w:tc>
        <w:tc>
          <w:tcPr>
            <w:tcW w:w="0" w:type="auto"/>
            <w:shd w:val="clear" w:color="auto" w:fill="FFFFFF"/>
          </w:tcPr>
          <w:p w14:paraId="7CB9B601" w14:textId="5819385D" w:rsidR="00E36BE7" w:rsidRPr="00E36BE7" w:rsidRDefault="00E36BE7" w:rsidP="00E36BE7">
            <w:pPr>
              <w:pStyle w:val="CETBodytext"/>
              <w:ind w:right="-1"/>
              <w:jc w:val="left"/>
              <w:rPr>
                <w:rFonts w:cs="Arial"/>
                <w:sz w:val="16"/>
                <w:szCs w:val="16"/>
                <w:lang w:val="en-GB"/>
              </w:rPr>
            </w:pPr>
            <w:r w:rsidRPr="00E36BE7">
              <w:rPr>
                <w:sz w:val="16"/>
                <w:szCs w:val="16"/>
                <w:lang w:val="en-GB"/>
              </w:rPr>
              <w:t>1.17E-2</w:t>
            </w:r>
          </w:p>
        </w:tc>
        <w:tc>
          <w:tcPr>
            <w:tcW w:w="836" w:type="dxa"/>
            <w:shd w:val="clear" w:color="auto" w:fill="FFFFFF"/>
          </w:tcPr>
          <w:p w14:paraId="7A6CA0B3" w14:textId="7341F09C" w:rsidR="00E36BE7" w:rsidRPr="00E36BE7" w:rsidRDefault="00E36BE7" w:rsidP="00E36BE7">
            <w:pPr>
              <w:pStyle w:val="CETBodytext"/>
              <w:ind w:right="-1"/>
              <w:jc w:val="left"/>
              <w:rPr>
                <w:rFonts w:cs="Arial"/>
                <w:sz w:val="16"/>
                <w:szCs w:val="16"/>
                <w:lang w:val="en-GB"/>
              </w:rPr>
            </w:pPr>
            <w:r w:rsidRPr="00E36BE7">
              <w:rPr>
                <w:sz w:val="16"/>
                <w:szCs w:val="16"/>
              </w:rPr>
              <w:t>0.51%</w:t>
            </w:r>
          </w:p>
        </w:tc>
        <w:tc>
          <w:tcPr>
            <w:tcW w:w="900" w:type="dxa"/>
            <w:shd w:val="clear" w:color="auto" w:fill="FFFFFF"/>
          </w:tcPr>
          <w:p w14:paraId="5EC2810C" w14:textId="43B8937F" w:rsidR="00E36BE7" w:rsidRPr="00E36BE7" w:rsidRDefault="00E36BE7" w:rsidP="00E36BE7">
            <w:pPr>
              <w:pStyle w:val="CETBodytext"/>
              <w:ind w:right="-1"/>
              <w:jc w:val="left"/>
              <w:rPr>
                <w:rFonts w:cs="Arial"/>
                <w:sz w:val="16"/>
                <w:szCs w:val="16"/>
                <w:lang w:val="en-GB"/>
              </w:rPr>
            </w:pPr>
            <w:r w:rsidRPr="00E36BE7">
              <w:rPr>
                <w:sz w:val="16"/>
                <w:szCs w:val="16"/>
              </w:rPr>
              <w:t>0.68%</w:t>
            </w:r>
          </w:p>
        </w:tc>
        <w:tc>
          <w:tcPr>
            <w:tcW w:w="855" w:type="dxa"/>
            <w:shd w:val="clear" w:color="auto" w:fill="FFFFFF"/>
          </w:tcPr>
          <w:p w14:paraId="4A45687A" w14:textId="1AFF4EAC" w:rsidR="00E36BE7" w:rsidRPr="00E36BE7" w:rsidRDefault="00E36BE7" w:rsidP="00E36BE7">
            <w:pPr>
              <w:pStyle w:val="CETBodytext"/>
              <w:ind w:right="-1"/>
              <w:jc w:val="left"/>
              <w:rPr>
                <w:rFonts w:cs="Arial"/>
                <w:sz w:val="16"/>
                <w:szCs w:val="16"/>
                <w:lang w:val="en-GB"/>
              </w:rPr>
            </w:pPr>
            <w:r w:rsidRPr="00E36BE7">
              <w:rPr>
                <w:sz w:val="16"/>
                <w:szCs w:val="16"/>
              </w:rPr>
              <w:t>0.95%</w:t>
            </w:r>
          </w:p>
        </w:tc>
        <w:tc>
          <w:tcPr>
            <w:tcW w:w="676" w:type="dxa"/>
            <w:shd w:val="clear" w:color="auto" w:fill="FFFFFF"/>
          </w:tcPr>
          <w:p w14:paraId="0044B99E" w14:textId="4F79E6AA" w:rsidR="00E36BE7" w:rsidRPr="00E36BE7" w:rsidRDefault="00E36BE7" w:rsidP="00E36BE7">
            <w:pPr>
              <w:pStyle w:val="CETBodytext"/>
              <w:ind w:right="-1"/>
              <w:jc w:val="left"/>
              <w:rPr>
                <w:rFonts w:cs="Arial"/>
                <w:sz w:val="16"/>
                <w:szCs w:val="16"/>
                <w:lang w:val="en-GB"/>
              </w:rPr>
            </w:pPr>
            <w:r w:rsidRPr="00E36BE7">
              <w:rPr>
                <w:sz w:val="16"/>
                <w:szCs w:val="16"/>
              </w:rPr>
              <w:t>86.36%</w:t>
            </w:r>
          </w:p>
        </w:tc>
        <w:tc>
          <w:tcPr>
            <w:tcW w:w="22" w:type="dxa"/>
            <w:shd w:val="clear" w:color="auto" w:fill="FFFFFF"/>
          </w:tcPr>
          <w:p w14:paraId="1D156858" w14:textId="00BA25B1" w:rsidR="00E36BE7" w:rsidRPr="00E36BE7" w:rsidRDefault="00E36BE7" w:rsidP="00E36BE7">
            <w:pPr>
              <w:pStyle w:val="CETBodytext"/>
              <w:ind w:right="-1"/>
              <w:jc w:val="left"/>
              <w:rPr>
                <w:rFonts w:cs="Arial"/>
                <w:sz w:val="16"/>
                <w:szCs w:val="16"/>
                <w:lang w:val="en-GB"/>
              </w:rPr>
            </w:pPr>
          </w:p>
        </w:tc>
        <w:tc>
          <w:tcPr>
            <w:tcW w:w="0" w:type="auto"/>
            <w:shd w:val="clear" w:color="auto" w:fill="FFFFFF"/>
          </w:tcPr>
          <w:p w14:paraId="5950C2D2" w14:textId="14819821" w:rsidR="00E36BE7" w:rsidRPr="00E36BE7" w:rsidRDefault="00E36BE7" w:rsidP="00E36BE7">
            <w:pPr>
              <w:pStyle w:val="CETBodytext"/>
              <w:ind w:right="-1"/>
              <w:jc w:val="left"/>
              <w:rPr>
                <w:rFonts w:cs="Arial"/>
                <w:sz w:val="16"/>
                <w:szCs w:val="16"/>
                <w:lang w:val="en-GB"/>
              </w:rPr>
            </w:pPr>
          </w:p>
        </w:tc>
      </w:tr>
      <w:tr w:rsidR="00E36BE7" w:rsidRPr="00E36BE7" w14:paraId="0896EB83" w14:textId="77777777" w:rsidTr="00E36BE7">
        <w:trPr>
          <w:trHeight w:val="273"/>
        </w:trPr>
        <w:tc>
          <w:tcPr>
            <w:tcW w:w="0" w:type="auto"/>
            <w:shd w:val="clear" w:color="auto" w:fill="FFFFFF"/>
          </w:tcPr>
          <w:p w14:paraId="0E9D6146" w14:textId="65FB693F" w:rsidR="00E36BE7" w:rsidRPr="00E36BE7" w:rsidRDefault="00E36BE7" w:rsidP="00E36BE7">
            <w:pPr>
              <w:pStyle w:val="CETBodytext"/>
              <w:jc w:val="left"/>
              <w:rPr>
                <w:sz w:val="16"/>
                <w:szCs w:val="16"/>
                <w:lang w:val="en-GB"/>
              </w:rPr>
            </w:pPr>
            <w:r w:rsidRPr="00E36BE7">
              <w:rPr>
                <w:sz w:val="16"/>
                <w:szCs w:val="16"/>
                <w:lang w:val="en-GB"/>
              </w:rPr>
              <w:t>Marine eutrophication</w:t>
            </w:r>
          </w:p>
        </w:tc>
        <w:tc>
          <w:tcPr>
            <w:tcW w:w="0" w:type="auto"/>
            <w:shd w:val="clear" w:color="auto" w:fill="FFFFFF"/>
          </w:tcPr>
          <w:p w14:paraId="46A96417" w14:textId="01EA5EEB" w:rsidR="00E36BE7" w:rsidRPr="00E36BE7" w:rsidRDefault="00E36BE7" w:rsidP="00E36BE7">
            <w:pPr>
              <w:pStyle w:val="CETBodytext"/>
              <w:jc w:val="left"/>
              <w:rPr>
                <w:sz w:val="16"/>
                <w:szCs w:val="16"/>
                <w:lang w:val="en-GB"/>
              </w:rPr>
            </w:pPr>
            <w:r w:rsidRPr="00E36BE7">
              <w:rPr>
                <w:iCs/>
                <w:sz w:val="16"/>
                <w:szCs w:val="16"/>
              </w:rPr>
              <w:t>kg N-eq</w:t>
            </w:r>
          </w:p>
        </w:tc>
        <w:tc>
          <w:tcPr>
            <w:tcW w:w="0" w:type="auto"/>
            <w:shd w:val="clear" w:color="auto" w:fill="FFFFFF"/>
          </w:tcPr>
          <w:p w14:paraId="6B719FE4" w14:textId="5CB9C413" w:rsidR="00E36BE7" w:rsidRPr="00E36BE7" w:rsidRDefault="00E36BE7" w:rsidP="00E36BE7">
            <w:pPr>
              <w:pStyle w:val="CETBodytext"/>
              <w:jc w:val="left"/>
              <w:rPr>
                <w:sz w:val="16"/>
                <w:szCs w:val="16"/>
                <w:lang w:val="en-GB"/>
              </w:rPr>
            </w:pPr>
            <w:r w:rsidRPr="00E36BE7">
              <w:rPr>
                <w:sz w:val="16"/>
                <w:szCs w:val="16"/>
                <w:lang w:val="en-GB"/>
              </w:rPr>
              <w:t>1.90E-3</w:t>
            </w:r>
          </w:p>
        </w:tc>
        <w:tc>
          <w:tcPr>
            <w:tcW w:w="0" w:type="auto"/>
            <w:shd w:val="clear" w:color="auto" w:fill="FFFFFF"/>
          </w:tcPr>
          <w:p w14:paraId="5F524F56" w14:textId="6B2D8D43" w:rsidR="00E36BE7" w:rsidRPr="00E36BE7" w:rsidRDefault="00E36BE7" w:rsidP="00E36BE7">
            <w:pPr>
              <w:pStyle w:val="CETBodytext"/>
              <w:ind w:right="-1"/>
              <w:jc w:val="left"/>
              <w:rPr>
                <w:rFonts w:cs="Arial"/>
                <w:sz w:val="16"/>
                <w:szCs w:val="16"/>
                <w:lang w:val="en-GB"/>
              </w:rPr>
            </w:pPr>
            <w:r w:rsidRPr="00E36BE7">
              <w:rPr>
                <w:sz w:val="16"/>
                <w:szCs w:val="16"/>
                <w:lang w:val="en-GB"/>
              </w:rPr>
              <w:t>1.52E-3</w:t>
            </w:r>
          </w:p>
        </w:tc>
        <w:tc>
          <w:tcPr>
            <w:tcW w:w="0" w:type="auto"/>
            <w:shd w:val="clear" w:color="auto" w:fill="FFFFFF"/>
          </w:tcPr>
          <w:p w14:paraId="371CD097" w14:textId="50D547DB" w:rsidR="00E36BE7" w:rsidRPr="00E36BE7" w:rsidRDefault="00E36BE7" w:rsidP="00E36BE7">
            <w:pPr>
              <w:pStyle w:val="CETBodytext"/>
              <w:ind w:right="-1"/>
              <w:jc w:val="left"/>
              <w:rPr>
                <w:rFonts w:cs="Arial"/>
                <w:sz w:val="16"/>
                <w:szCs w:val="16"/>
                <w:lang w:val="en-GB"/>
              </w:rPr>
            </w:pPr>
            <w:r w:rsidRPr="00E36BE7">
              <w:rPr>
                <w:sz w:val="16"/>
                <w:szCs w:val="16"/>
                <w:lang w:val="en-GB"/>
              </w:rPr>
              <w:t>2.23E-3</w:t>
            </w:r>
          </w:p>
        </w:tc>
        <w:tc>
          <w:tcPr>
            <w:tcW w:w="836" w:type="dxa"/>
            <w:shd w:val="clear" w:color="auto" w:fill="FFFFFF"/>
          </w:tcPr>
          <w:p w14:paraId="13153283" w14:textId="1292DADB" w:rsidR="00E36BE7" w:rsidRPr="00E36BE7" w:rsidRDefault="00E36BE7" w:rsidP="00E36BE7">
            <w:pPr>
              <w:pStyle w:val="CETBodytext"/>
              <w:ind w:right="-1"/>
              <w:jc w:val="left"/>
              <w:rPr>
                <w:rFonts w:cs="Arial"/>
                <w:sz w:val="16"/>
                <w:szCs w:val="16"/>
                <w:lang w:val="en-GB"/>
              </w:rPr>
            </w:pPr>
            <w:r w:rsidRPr="00E36BE7">
              <w:rPr>
                <w:sz w:val="16"/>
                <w:szCs w:val="16"/>
              </w:rPr>
              <w:t>12.19%</w:t>
            </w:r>
          </w:p>
        </w:tc>
        <w:tc>
          <w:tcPr>
            <w:tcW w:w="900" w:type="dxa"/>
            <w:shd w:val="clear" w:color="auto" w:fill="FFFFFF"/>
          </w:tcPr>
          <w:p w14:paraId="5B32CADF" w14:textId="26E2C7E5" w:rsidR="00E36BE7" w:rsidRPr="00E36BE7" w:rsidRDefault="00E36BE7" w:rsidP="00E36BE7">
            <w:pPr>
              <w:pStyle w:val="CETBodytext"/>
              <w:ind w:right="-1"/>
              <w:jc w:val="left"/>
              <w:rPr>
                <w:rFonts w:cs="Arial"/>
                <w:sz w:val="16"/>
                <w:szCs w:val="16"/>
                <w:lang w:val="en-GB"/>
              </w:rPr>
            </w:pPr>
            <w:r w:rsidRPr="00E36BE7">
              <w:rPr>
                <w:sz w:val="16"/>
                <w:szCs w:val="16"/>
              </w:rPr>
              <w:t>12.00%</w:t>
            </w:r>
          </w:p>
        </w:tc>
        <w:tc>
          <w:tcPr>
            <w:tcW w:w="855" w:type="dxa"/>
            <w:shd w:val="clear" w:color="auto" w:fill="FFFFFF"/>
          </w:tcPr>
          <w:p w14:paraId="3A6A3BEE" w14:textId="651B68D7" w:rsidR="00E36BE7" w:rsidRPr="00E36BE7" w:rsidRDefault="00E36BE7" w:rsidP="00E36BE7">
            <w:pPr>
              <w:pStyle w:val="CETBodytext"/>
              <w:ind w:right="-1"/>
              <w:jc w:val="left"/>
              <w:rPr>
                <w:rFonts w:cs="Arial"/>
                <w:sz w:val="16"/>
                <w:szCs w:val="16"/>
                <w:lang w:val="en-GB"/>
              </w:rPr>
            </w:pPr>
            <w:r w:rsidRPr="00E36BE7">
              <w:rPr>
                <w:sz w:val="16"/>
                <w:szCs w:val="16"/>
              </w:rPr>
              <w:t>12.14%</w:t>
            </w:r>
          </w:p>
        </w:tc>
        <w:tc>
          <w:tcPr>
            <w:tcW w:w="676" w:type="dxa"/>
            <w:shd w:val="clear" w:color="auto" w:fill="FFFFFF"/>
          </w:tcPr>
          <w:p w14:paraId="55C27FF8" w14:textId="6791F956" w:rsidR="00E36BE7" w:rsidRPr="00E36BE7" w:rsidRDefault="00E36BE7" w:rsidP="00E36BE7">
            <w:pPr>
              <w:pStyle w:val="CETBodytext"/>
              <w:ind w:right="-1"/>
              <w:jc w:val="left"/>
              <w:rPr>
                <w:rFonts w:cs="Arial"/>
                <w:sz w:val="16"/>
                <w:szCs w:val="16"/>
                <w:lang w:val="en-GB"/>
              </w:rPr>
            </w:pPr>
            <w:r w:rsidRPr="00E36BE7">
              <w:rPr>
                <w:sz w:val="16"/>
                <w:szCs w:val="16"/>
              </w:rPr>
              <w:t>52.53%</w:t>
            </w:r>
          </w:p>
        </w:tc>
        <w:tc>
          <w:tcPr>
            <w:tcW w:w="22" w:type="dxa"/>
            <w:shd w:val="clear" w:color="auto" w:fill="FFFFFF"/>
          </w:tcPr>
          <w:p w14:paraId="010FF05B" w14:textId="67918C5B" w:rsidR="00E36BE7" w:rsidRPr="00E36BE7" w:rsidRDefault="00E36BE7" w:rsidP="00E36BE7">
            <w:pPr>
              <w:pStyle w:val="CETBodytext"/>
              <w:ind w:right="-1"/>
              <w:jc w:val="left"/>
              <w:rPr>
                <w:rFonts w:cs="Arial"/>
                <w:sz w:val="16"/>
                <w:szCs w:val="16"/>
                <w:lang w:val="en-GB"/>
              </w:rPr>
            </w:pPr>
          </w:p>
        </w:tc>
        <w:tc>
          <w:tcPr>
            <w:tcW w:w="0" w:type="auto"/>
            <w:shd w:val="clear" w:color="auto" w:fill="FFFFFF"/>
          </w:tcPr>
          <w:p w14:paraId="5B8496B8" w14:textId="3E34CCFF" w:rsidR="00E36BE7" w:rsidRPr="00E36BE7" w:rsidRDefault="00E36BE7" w:rsidP="00E36BE7">
            <w:pPr>
              <w:pStyle w:val="CETBodytext"/>
              <w:ind w:right="-1"/>
              <w:jc w:val="left"/>
              <w:rPr>
                <w:rFonts w:cs="Arial"/>
                <w:sz w:val="16"/>
                <w:szCs w:val="16"/>
                <w:lang w:val="en-GB"/>
              </w:rPr>
            </w:pPr>
          </w:p>
        </w:tc>
      </w:tr>
      <w:tr w:rsidR="00E36BE7" w:rsidRPr="00E36BE7" w14:paraId="112B61B9" w14:textId="77777777" w:rsidTr="00E36BE7">
        <w:trPr>
          <w:trHeight w:val="273"/>
        </w:trPr>
        <w:tc>
          <w:tcPr>
            <w:tcW w:w="0" w:type="auto"/>
            <w:shd w:val="clear" w:color="auto" w:fill="FFFFFF"/>
          </w:tcPr>
          <w:p w14:paraId="20D5B74A" w14:textId="6DD7A89E" w:rsidR="00E36BE7" w:rsidRPr="00E36BE7" w:rsidRDefault="00E36BE7" w:rsidP="00E36BE7">
            <w:pPr>
              <w:pStyle w:val="CETBodytext"/>
              <w:jc w:val="left"/>
              <w:rPr>
                <w:sz w:val="16"/>
                <w:szCs w:val="16"/>
                <w:lang w:val="en-GB"/>
              </w:rPr>
            </w:pPr>
            <w:r w:rsidRPr="00E36BE7">
              <w:rPr>
                <w:sz w:val="16"/>
                <w:szCs w:val="16"/>
                <w:lang w:val="en-GB"/>
              </w:rPr>
              <w:t>Land use</w:t>
            </w:r>
          </w:p>
        </w:tc>
        <w:tc>
          <w:tcPr>
            <w:tcW w:w="0" w:type="auto"/>
            <w:shd w:val="clear" w:color="auto" w:fill="FFFFFF"/>
          </w:tcPr>
          <w:p w14:paraId="41E55C49" w14:textId="2E6EA706" w:rsidR="00E36BE7" w:rsidRPr="00E36BE7" w:rsidRDefault="00E36BE7" w:rsidP="00E36BE7">
            <w:pPr>
              <w:pStyle w:val="CETBodytext"/>
              <w:jc w:val="left"/>
              <w:rPr>
                <w:sz w:val="16"/>
                <w:szCs w:val="16"/>
                <w:lang w:val="en-GB"/>
              </w:rPr>
            </w:pPr>
            <w:r w:rsidRPr="00E36BE7">
              <w:rPr>
                <w:iCs/>
                <w:sz w:val="16"/>
                <w:szCs w:val="16"/>
              </w:rPr>
              <w:t>m</w:t>
            </w:r>
            <w:r w:rsidRPr="00E36BE7">
              <w:rPr>
                <w:rFonts w:cs="Arial"/>
                <w:iCs/>
                <w:sz w:val="16"/>
                <w:szCs w:val="16"/>
              </w:rPr>
              <w:t>²·</w:t>
            </w:r>
            <w:r w:rsidRPr="00E36BE7">
              <w:rPr>
                <w:iCs/>
                <w:sz w:val="16"/>
                <w:szCs w:val="16"/>
              </w:rPr>
              <w:t>a crop-eq</w:t>
            </w:r>
          </w:p>
        </w:tc>
        <w:tc>
          <w:tcPr>
            <w:tcW w:w="0" w:type="auto"/>
            <w:shd w:val="clear" w:color="auto" w:fill="FFFFFF"/>
          </w:tcPr>
          <w:p w14:paraId="17124486" w14:textId="5DA401DD" w:rsidR="00E36BE7" w:rsidRPr="00E36BE7" w:rsidRDefault="00E36BE7" w:rsidP="00E36BE7">
            <w:pPr>
              <w:pStyle w:val="CETBodytext"/>
              <w:jc w:val="left"/>
              <w:rPr>
                <w:sz w:val="16"/>
                <w:szCs w:val="16"/>
                <w:lang w:val="en-GB"/>
              </w:rPr>
            </w:pPr>
            <w:r w:rsidRPr="00E36BE7">
              <w:rPr>
                <w:sz w:val="16"/>
                <w:szCs w:val="16"/>
                <w:lang w:val="en-GB"/>
              </w:rPr>
              <w:t>4.60E-2</w:t>
            </w:r>
          </w:p>
        </w:tc>
        <w:tc>
          <w:tcPr>
            <w:tcW w:w="0" w:type="auto"/>
            <w:shd w:val="clear" w:color="auto" w:fill="FFFFFF"/>
          </w:tcPr>
          <w:p w14:paraId="56E87392" w14:textId="3F42B2B8" w:rsidR="00E36BE7" w:rsidRPr="00E36BE7" w:rsidRDefault="00E36BE7" w:rsidP="00E36BE7">
            <w:pPr>
              <w:pStyle w:val="CETBodytext"/>
              <w:ind w:right="-1"/>
              <w:jc w:val="left"/>
              <w:rPr>
                <w:rFonts w:cs="Arial"/>
                <w:sz w:val="16"/>
                <w:szCs w:val="16"/>
                <w:lang w:val="en-GB"/>
              </w:rPr>
            </w:pPr>
            <w:r w:rsidRPr="00E36BE7">
              <w:rPr>
                <w:sz w:val="16"/>
                <w:szCs w:val="16"/>
                <w:lang w:val="en-GB"/>
              </w:rPr>
              <w:t>2.82E-2</w:t>
            </w:r>
          </w:p>
        </w:tc>
        <w:tc>
          <w:tcPr>
            <w:tcW w:w="0" w:type="auto"/>
            <w:shd w:val="clear" w:color="auto" w:fill="FFFFFF"/>
          </w:tcPr>
          <w:p w14:paraId="77251705" w14:textId="0B2DAC36" w:rsidR="00E36BE7" w:rsidRPr="00E36BE7" w:rsidRDefault="00E36BE7" w:rsidP="00E36BE7">
            <w:pPr>
              <w:pStyle w:val="CETBodytext"/>
              <w:ind w:right="-1"/>
              <w:jc w:val="left"/>
              <w:rPr>
                <w:rFonts w:cs="Arial"/>
                <w:sz w:val="16"/>
                <w:szCs w:val="16"/>
                <w:lang w:val="en-GB"/>
              </w:rPr>
            </w:pPr>
            <w:r w:rsidRPr="00E36BE7">
              <w:rPr>
                <w:sz w:val="16"/>
                <w:szCs w:val="16"/>
                <w:lang w:val="en-GB"/>
              </w:rPr>
              <w:t>6.34E-2</w:t>
            </w:r>
          </w:p>
        </w:tc>
        <w:tc>
          <w:tcPr>
            <w:tcW w:w="836" w:type="dxa"/>
            <w:shd w:val="clear" w:color="auto" w:fill="FFFFFF"/>
          </w:tcPr>
          <w:p w14:paraId="3292D9FF" w14:textId="66175465" w:rsidR="00E36BE7" w:rsidRPr="00E36BE7" w:rsidRDefault="00E36BE7" w:rsidP="00E36BE7">
            <w:pPr>
              <w:pStyle w:val="CETBodytext"/>
              <w:ind w:right="-1"/>
              <w:jc w:val="left"/>
              <w:rPr>
                <w:rFonts w:cs="Arial"/>
                <w:sz w:val="16"/>
                <w:szCs w:val="16"/>
                <w:lang w:val="en-GB"/>
              </w:rPr>
            </w:pPr>
            <w:r w:rsidRPr="00E36BE7">
              <w:rPr>
                <w:sz w:val="16"/>
                <w:szCs w:val="16"/>
              </w:rPr>
              <w:t>35.90%</w:t>
            </w:r>
          </w:p>
        </w:tc>
        <w:tc>
          <w:tcPr>
            <w:tcW w:w="900" w:type="dxa"/>
            <w:shd w:val="clear" w:color="auto" w:fill="FFFFFF"/>
          </w:tcPr>
          <w:p w14:paraId="2967473F" w14:textId="280DA612" w:rsidR="00E36BE7" w:rsidRPr="00E36BE7" w:rsidRDefault="00E36BE7" w:rsidP="00E36BE7">
            <w:pPr>
              <w:pStyle w:val="CETBodytext"/>
              <w:ind w:right="-1"/>
              <w:jc w:val="left"/>
              <w:rPr>
                <w:rFonts w:cs="Arial"/>
                <w:sz w:val="16"/>
                <w:szCs w:val="16"/>
                <w:lang w:val="en-GB"/>
              </w:rPr>
            </w:pPr>
            <w:r w:rsidRPr="00E36BE7">
              <w:rPr>
                <w:sz w:val="16"/>
                <w:szCs w:val="16"/>
              </w:rPr>
              <w:t>0.49%</w:t>
            </w:r>
          </w:p>
        </w:tc>
        <w:tc>
          <w:tcPr>
            <w:tcW w:w="855" w:type="dxa"/>
            <w:shd w:val="clear" w:color="auto" w:fill="FFFFFF"/>
          </w:tcPr>
          <w:p w14:paraId="7E05B120" w14:textId="2EA8D24A" w:rsidR="00E36BE7" w:rsidRPr="00E36BE7" w:rsidRDefault="00E36BE7" w:rsidP="00E36BE7">
            <w:pPr>
              <w:pStyle w:val="CETBodytext"/>
              <w:ind w:right="-1"/>
              <w:jc w:val="left"/>
              <w:rPr>
                <w:rFonts w:cs="Arial"/>
                <w:sz w:val="16"/>
                <w:szCs w:val="16"/>
                <w:lang w:val="en-GB"/>
              </w:rPr>
            </w:pPr>
            <w:r w:rsidRPr="00E36BE7">
              <w:rPr>
                <w:sz w:val="16"/>
                <w:szCs w:val="16"/>
              </w:rPr>
              <w:t>3.53%</w:t>
            </w:r>
          </w:p>
        </w:tc>
        <w:tc>
          <w:tcPr>
            <w:tcW w:w="676" w:type="dxa"/>
            <w:shd w:val="clear" w:color="auto" w:fill="FFFFFF"/>
          </w:tcPr>
          <w:p w14:paraId="1A15102B" w14:textId="1D981AE1" w:rsidR="00E36BE7" w:rsidRPr="00E36BE7" w:rsidRDefault="00E36BE7" w:rsidP="00E36BE7">
            <w:pPr>
              <w:pStyle w:val="CETBodytext"/>
              <w:ind w:right="-1"/>
              <w:jc w:val="left"/>
              <w:rPr>
                <w:rFonts w:cs="Arial"/>
                <w:sz w:val="16"/>
                <w:szCs w:val="16"/>
                <w:lang w:val="en-GB"/>
              </w:rPr>
            </w:pPr>
            <w:r w:rsidRPr="00E36BE7">
              <w:rPr>
                <w:sz w:val="16"/>
                <w:szCs w:val="16"/>
              </w:rPr>
              <w:t>22.42%</w:t>
            </w:r>
          </w:p>
        </w:tc>
        <w:tc>
          <w:tcPr>
            <w:tcW w:w="22" w:type="dxa"/>
            <w:shd w:val="clear" w:color="auto" w:fill="FFFFFF"/>
          </w:tcPr>
          <w:p w14:paraId="32DB80A7" w14:textId="21B439AB" w:rsidR="00E36BE7" w:rsidRPr="00E36BE7" w:rsidRDefault="00E36BE7" w:rsidP="00E36BE7">
            <w:pPr>
              <w:pStyle w:val="CETBodytext"/>
              <w:ind w:right="-1"/>
              <w:jc w:val="left"/>
              <w:rPr>
                <w:rFonts w:cs="Arial"/>
                <w:sz w:val="16"/>
                <w:szCs w:val="16"/>
                <w:lang w:val="en-GB"/>
              </w:rPr>
            </w:pPr>
          </w:p>
        </w:tc>
        <w:tc>
          <w:tcPr>
            <w:tcW w:w="0" w:type="auto"/>
            <w:shd w:val="clear" w:color="auto" w:fill="FFFFFF"/>
          </w:tcPr>
          <w:p w14:paraId="29E35472" w14:textId="642BF45F" w:rsidR="00E36BE7" w:rsidRPr="00E36BE7" w:rsidRDefault="00E36BE7" w:rsidP="00E36BE7">
            <w:pPr>
              <w:pStyle w:val="CETBodytext"/>
              <w:ind w:right="-1"/>
              <w:jc w:val="left"/>
              <w:rPr>
                <w:rFonts w:cs="Arial"/>
                <w:sz w:val="16"/>
                <w:szCs w:val="16"/>
                <w:lang w:val="en-GB"/>
              </w:rPr>
            </w:pPr>
          </w:p>
        </w:tc>
      </w:tr>
      <w:tr w:rsidR="00E36BE7" w:rsidRPr="00E36BE7" w14:paraId="52837573" w14:textId="77777777" w:rsidTr="00E36BE7">
        <w:trPr>
          <w:trHeight w:val="273"/>
        </w:trPr>
        <w:tc>
          <w:tcPr>
            <w:tcW w:w="0" w:type="auto"/>
            <w:shd w:val="clear" w:color="auto" w:fill="FFFFFF"/>
          </w:tcPr>
          <w:p w14:paraId="4850B48C" w14:textId="32D89FEA" w:rsidR="00E36BE7" w:rsidRPr="00E36BE7" w:rsidRDefault="00E36BE7" w:rsidP="00E36BE7">
            <w:pPr>
              <w:pStyle w:val="CETBodytext"/>
              <w:jc w:val="left"/>
              <w:rPr>
                <w:sz w:val="16"/>
                <w:szCs w:val="16"/>
                <w:lang w:val="en-GB"/>
              </w:rPr>
            </w:pPr>
            <w:r w:rsidRPr="00E36BE7">
              <w:rPr>
                <w:sz w:val="16"/>
                <w:szCs w:val="16"/>
                <w:lang w:val="en-GB"/>
              </w:rPr>
              <w:t>Water use</w:t>
            </w:r>
          </w:p>
        </w:tc>
        <w:tc>
          <w:tcPr>
            <w:tcW w:w="0" w:type="auto"/>
            <w:shd w:val="clear" w:color="auto" w:fill="FFFFFF"/>
          </w:tcPr>
          <w:p w14:paraId="5B2B3D7E" w14:textId="06CB0C87" w:rsidR="00E36BE7" w:rsidRPr="00E36BE7" w:rsidRDefault="00E36BE7" w:rsidP="00E36BE7">
            <w:pPr>
              <w:pStyle w:val="CETBodytext"/>
              <w:jc w:val="left"/>
              <w:rPr>
                <w:sz w:val="16"/>
                <w:szCs w:val="16"/>
                <w:lang w:val="en-GB"/>
              </w:rPr>
            </w:pPr>
            <w:r w:rsidRPr="00E36BE7">
              <w:rPr>
                <w:iCs/>
                <w:sz w:val="16"/>
                <w:szCs w:val="16"/>
              </w:rPr>
              <w:t>m</w:t>
            </w:r>
            <w:r w:rsidRPr="00E36BE7">
              <w:rPr>
                <w:rFonts w:cs="Arial"/>
                <w:iCs/>
                <w:sz w:val="16"/>
                <w:szCs w:val="16"/>
              </w:rPr>
              <w:t>³</w:t>
            </w:r>
            <w:r w:rsidRPr="00E36BE7">
              <w:rPr>
                <w:iCs/>
                <w:sz w:val="16"/>
                <w:szCs w:val="16"/>
              </w:rPr>
              <w:t xml:space="preserve"> world-eq</w:t>
            </w:r>
          </w:p>
        </w:tc>
        <w:tc>
          <w:tcPr>
            <w:tcW w:w="0" w:type="auto"/>
            <w:shd w:val="clear" w:color="auto" w:fill="FFFFFF"/>
          </w:tcPr>
          <w:p w14:paraId="24E2F46D" w14:textId="77E869E0" w:rsidR="00E36BE7" w:rsidRPr="00E36BE7" w:rsidRDefault="00E36BE7" w:rsidP="00E36BE7">
            <w:pPr>
              <w:pStyle w:val="CETBodytext"/>
              <w:jc w:val="left"/>
              <w:rPr>
                <w:sz w:val="16"/>
                <w:szCs w:val="16"/>
                <w:lang w:val="en-GB"/>
              </w:rPr>
            </w:pPr>
            <w:r w:rsidRPr="00E36BE7">
              <w:rPr>
                <w:sz w:val="16"/>
                <w:szCs w:val="16"/>
                <w:lang w:val="en-GB"/>
              </w:rPr>
              <w:t>5.10E-1</w:t>
            </w:r>
          </w:p>
        </w:tc>
        <w:tc>
          <w:tcPr>
            <w:tcW w:w="0" w:type="auto"/>
            <w:shd w:val="clear" w:color="auto" w:fill="FFFFFF"/>
          </w:tcPr>
          <w:p w14:paraId="44F3E4DC" w14:textId="3075FF74" w:rsidR="00E36BE7" w:rsidRPr="00E36BE7" w:rsidRDefault="00E36BE7" w:rsidP="00E36BE7">
            <w:pPr>
              <w:pStyle w:val="CETBodytext"/>
              <w:ind w:right="-1"/>
              <w:jc w:val="left"/>
              <w:rPr>
                <w:rFonts w:cs="Arial"/>
                <w:sz w:val="16"/>
                <w:szCs w:val="16"/>
                <w:lang w:val="en-GB"/>
              </w:rPr>
            </w:pPr>
            <w:r w:rsidRPr="00E36BE7">
              <w:rPr>
                <w:sz w:val="16"/>
                <w:szCs w:val="16"/>
                <w:lang w:val="en-GB"/>
              </w:rPr>
              <w:t>4.27E-1</w:t>
            </w:r>
          </w:p>
        </w:tc>
        <w:tc>
          <w:tcPr>
            <w:tcW w:w="0" w:type="auto"/>
            <w:shd w:val="clear" w:color="auto" w:fill="FFFFFF"/>
          </w:tcPr>
          <w:p w14:paraId="121C0FC1" w14:textId="56F68B55" w:rsidR="00E36BE7" w:rsidRPr="00E36BE7" w:rsidRDefault="00E36BE7" w:rsidP="00E36BE7">
            <w:pPr>
              <w:pStyle w:val="CETBodytext"/>
              <w:ind w:right="-1"/>
              <w:jc w:val="left"/>
              <w:rPr>
                <w:rFonts w:cs="Arial"/>
                <w:sz w:val="16"/>
                <w:szCs w:val="16"/>
                <w:lang w:val="en-GB"/>
              </w:rPr>
            </w:pPr>
            <w:r w:rsidRPr="00E36BE7">
              <w:rPr>
                <w:sz w:val="16"/>
                <w:szCs w:val="16"/>
                <w:lang w:val="en-GB"/>
              </w:rPr>
              <w:t>5.77E-1</w:t>
            </w:r>
          </w:p>
        </w:tc>
        <w:tc>
          <w:tcPr>
            <w:tcW w:w="836" w:type="dxa"/>
            <w:shd w:val="clear" w:color="auto" w:fill="FFFFFF"/>
          </w:tcPr>
          <w:p w14:paraId="137F99AF" w14:textId="6F4BF3D7" w:rsidR="00E36BE7" w:rsidRPr="00E36BE7" w:rsidRDefault="00E36BE7" w:rsidP="00E36BE7">
            <w:pPr>
              <w:pStyle w:val="CETBodytext"/>
              <w:ind w:right="-1"/>
              <w:jc w:val="left"/>
              <w:rPr>
                <w:rFonts w:cs="Arial"/>
                <w:sz w:val="16"/>
                <w:szCs w:val="16"/>
                <w:lang w:val="en-GB"/>
              </w:rPr>
            </w:pPr>
            <w:r w:rsidRPr="00E36BE7">
              <w:rPr>
                <w:sz w:val="16"/>
                <w:szCs w:val="16"/>
              </w:rPr>
              <w:t>5.35%</w:t>
            </w:r>
          </w:p>
        </w:tc>
        <w:tc>
          <w:tcPr>
            <w:tcW w:w="900" w:type="dxa"/>
            <w:shd w:val="clear" w:color="auto" w:fill="FFFFFF"/>
          </w:tcPr>
          <w:p w14:paraId="7BA29388" w14:textId="4FD67198" w:rsidR="00E36BE7" w:rsidRPr="00E36BE7" w:rsidRDefault="00E36BE7" w:rsidP="00E36BE7">
            <w:pPr>
              <w:pStyle w:val="CETBodytext"/>
              <w:ind w:right="-1"/>
              <w:jc w:val="left"/>
              <w:rPr>
                <w:rFonts w:cs="Arial"/>
                <w:sz w:val="16"/>
                <w:szCs w:val="16"/>
                <w:lang w:val="en-GB"/>
              </w:rPr>
            </w:pPr>
            <w:r w:rsidRPr="00E36BE7">
              <w:rPr>
                <w:sz w:val="16"/>
                <w:szCs w:val="16"/>
              </w:rPr>
              <w:t>23.65%</w:t>
            </w:r>
          </w:p>
        </w:tc>
        <w:tc>
          <w:tcPr>
            <w:tcW w:w="855" w:type="dxa"/>
            <w:shd w:val="clear" w:color="auto" w:fill="FFFFFF"/>
          </w:tcPr>
          <w:p w14:paraId="4A070D78" w14:textId="70D0C309" w:rsidR="00E36BE7" w:rsidRPr="00E36BE7" w:rsidRDefault="00E36BE7" w:rsidP="00E36BE7">
            <w:pPr>
              <w:pStyle w:val="CETBodytext"/>
              <w:ind w:right="-1"/>
              <w:jc w:val="left"/>
              <w:rPr>
                <w:rFonts w:cs="Arial"/>
                <w:sz w:val="16"/>
                <w:szCs w:val="16"/>
                <w:lang w:val="en-GB"/>
              </w:rPr>
            </w:pPr>
            <w:r w:rsidRPr="00E36BE7">
              <w:rPr>
                <w:sz w:val="16"/>
                <w:szCs w:val="16"/>
              </w:rPr>
              <w:t>22.85%</w:t>
            </w:r>
          </w:p>
        </w:tc>
        <w:tc>
          <w:tcPr>
            <w:tcW w:w="676" w:type="dxa"/>
            <w:shd w:val="clear" w:color="auto" w:fill="FFFFFF"/>
          </w:tcPr>
          <w:p w14:paraId="40A008F6" w14:textId="13D722EA" w:rsidR="00E36BE7" w:rsidRPr="00E36BE7" w:rsidRDefault="00E36BE7" w:rsidP="00E36BE7">
            <w:pPr>
              <w:pStyle w:val="CETBodytext"/>
              <w:ind w:right="-1"/>
              <w:jc w:val="left"/>
              <w:rPr>
                <w:rFonts w:cs="Arial"/>
                <w:sz w:val="16"/>
                <w:szCs w:val="16"/>
                <w:lang w:val="en-GB"/>
              </w:rPr>
            </w:pPr>
            <w:r w:rsidRPr="00E36BE7">
              <w:rPr>
                <w:sz w:val="16"/>
                <w:szCs w:val="16"/>
              </w:rPr>
              <w:t>37.18%</w:t>
            </w:r>
          </w:p>
        </w:tc>
        <w:tc>
          <w:tcPr>
            <w:tcW w:w="22" w:type="dxa"/>
            <w:shd w:val="clear" w:color="auto" w:fill="FFFFFF"/>
          </w:tcPr>
          <w:p w14:paraId="31C7B16C" w14:textId="3519FA31" w:rsidR="00E36BE7" w:rsidRPr="00E36BE7" w:rsidRDefault="00E36BE7" w:rsidP="00E36BE7">
            <w:pPr>
              <w:pStyle w:val="CETBodytext"/>
              <w:ind w:right="-1"/>
              <w:jc w:val="left"/>
              <w:rPr>
                <w:rFonts w:cs="Arial"/>
                <w:sz w:val="16"/>
                <w:szCs w:val="16"/>
                <w:lang w:val="en-GB"/>
              </w:rPr>
            </w:pPr>
          </w:p>
        </w:tc>
        <w:tc>
          <w:tcPr>
            <w:tcW w:w="0" w:type="auto"/>
            <w:shd w:val="clear" w:color="auto" w:fill="FFFFFF"/>
          </w:tcPr>
          <w:p w14:paraId="54EE3C13" w14:textId="0F35AC6A" w:rsidR="00E36BE7" w:rsidRPr="00E36BE7" w:rsidRDefault="00E36BE7" w:rsidP="00E36BE7">
            <w:pPr>
              <w:pStyle w:val="CETBodytext"/>
              <w:ind w:right="-1"/>
              <w:jc w:val="left"/>
              <w:rPr>
                <w:rFonts w:cs="Arial"/>
                <w:sz w:val="16"/>
                <w:szCs w:val="16"/>
                <w:lang w:val="en-GB"/>
              </w:rPr>
            </w:pPr>
          </w:p>
        </w:tc>
      </w:tr>
    </w:tbl>
    <w:p w14:paraId="4B5EAF91" w14:textId="77777777" w:rsidR="00CE18BC" w:rsidRDefault="00CE18BC" w:rsidP="00FB4B95">
      <w:pPr>
        <w:pStyle w:val="CETBodytext"/>
      </w:pPr>
    </w:p>
    <w:p w14:paraId="472AF119" w14:textId="36958C2A" w:rsidR="00FB4B95" w:rsidRDefault="00CE18BC" w:rsidP="00FB4B95">
      <w:pPr>
        <w:pStyle w:val="CETBodytext"/>
        <w:rPr>
          <w:i/>
        </w:rPr>
      </w:pPr>
      <w:r>
        <w:t>The</w:t>
      </w:r>
      <w:r w:rsidR="00E36BE7" w:rsidRPr="00E36BE7">
        <w:t xml:space="preserve"> contribution analysis indicates that waste treatment, energy supply, raw material inputs, and transportation jointly shape the environmental profile, with their relative importance varying by impact category. Waste </w:t>
      </w:r>
      <w:r w:rsidR="00E36BE7" w:rsidRPr="00E36BE7">
        <w:lastRenderedPageBreak/>
        <w:t xml:space="preserve">treatment is the dominant contributor to eutrophication impacts, accounting for 86% of freshwater eutrophication and 53% of marine </w:t>
      </w:r>
      <w:r w:rsidR="00E36BE7" w:rsidRPr="00E36BE7">
        <w:rPr>
          <w:i/>
        </w:rPr>
        <w:t>eutrophication and</w:t>
      </w:r>
      <w:r w:rsidR="00E36BE7" w:rsidRPr="00E36BE7">
        <w:t xml:space="preserve"> represents a major share of water use (37%) and climate change (31%) impacts. Energy provision contributes consistently across categories, representing approximately 20% of climate change, 23% of water use, and 12% of marine eutrophication impacts, despite the implementation of heat integration. Transportation plays a relevant role in climate change (24%) and land use (36%), reflecting the logistical burden of feedstock collection, while raw material inputs—primarily hexane—significantly influence water use (24%) and contribute to climate change (15%). Overall, the results highlight that upstream processes dominate the environmental performance of the system, underscoring the importance of optimizing wastewater management, energy sourcing, solvent use, and feedstock logistics to further improve the sustainability of the avocado biorefinery</w:t>
      </w:r>
      <w:r w:rsidR="004D7582" w:rsidRPr="004D7582">
        <w:rPr>
          <w:i/>
        </w:rPr>
        <w:t>.</w:t>
      </w:r>
      <w:r w:rsidR="00FB4B95">
        <w:rPr>
          <w:i/>
        </w:rPr>
        <w:t xml:space="preserve"> </w:t>
      </w:r>
    </w:p>
    <w:p w14:paraId="0146E261" w14:textId="7199FE1A" w:rsidR="00CE18BC" w:rsidRPr="00CE18BC" w:rsidRDefault="00CE18BC" w:rsidP="00CE18BC">
      <w:pPr>
        <w:pStyle w:val="CETBodytext"/>
      </w:pPr>
      <w:r w:rsidRPr="00CE18BC">
        <w:t>When compared with the non-heat-integrated base case reported by Meramo-Hurtado et al.</w:t>
      </w:r>
      <w:r>
        <w:t xml:space="preserve"> (2025)</w:t>
      </w:r>
      <w:r w:rsidRPr="00CE18BC">
        <w:t>, the heat-integrated configuration evaluated in this study shows substantial environmental improvements. Specifically, the climate change impact is reduced from 3.71 kg CO</w:t>
      </w:r>
      <w:r w:rsidRPr="00CE18BC">
        <w:rPr>
          <w:rFonts w:ascii="Cambria Math" w:hAnsi="Cambria Math" w:cs="Cambria Math"/>
        </w:rPr>
        <w:t>₂</w:t>
      </w:r>
      <w:r w:rsidRPr="00CE18BC">
        <w:t>-eq/kg oil in the base case to 1.83 kg CO</w:t>
      </w:r>
      <w:r w:rsidRPr="00CE18BC">
        <w:rPr>
          <w:rFonts w:ascii="Cambria Math" w:hAnsi="Cambria Math" w:cs="Cambria Math"/>
        </w:rPr>
        <w:t>₂</w:t>
      </w:r>
      <w:r w:rsidRPr="00CE18BC">
        <w:t>-eq/kg oil (a 51% reduction), and water use decreases from 0.83 to 0.51 m</w:t>
      </w:r>
      <w:r w:rsidRPr="00CE18BC">
        <w:rPr>
          <w:rFonts w:cs="Arial"/>
        </w:rPr>
        <w:t>³</w:t>
      </w:r>
      <w:r w:rsidRPr="00CE18BC">
        <w:t xml:space="preserve"> world-eq deprived (approximately a 39% reduction), reflecting the effectiveness of heat integration in lowering energy- and utility-related burdens.</w:t>
      </w:r>
    </w:p>
    <w:p w14:paraId="5CBAE837" w14:textId="4D3A0DA9" w:rsidR="00E22D5F" w:rsidRPr="00FB4B95" w:rsidRDefault="00FB4B95" w:rsidP="00FB4B95">
      <w:pPr>
        <w:pStyle w:val="CETBodytext"/>
        <w:rPr>
          <w:lang w:val="en-GB"/>
        </w:rPr>
      </w:pPr>
      <w:r w:rsidRPr="00FB4B95">
        <w:t>The effect of allocation methodology on the environmental performance of the heat-integrated avocado oil biorefinery was assessed by comparing economic allocation, mass allocation, and subdivision under gate-to-gate conditions. Climate change impacts were similar for economic allocation (1.65 kg CO</w:t>
      </w:r>
      <w:r w:rsidRPr="00FB4B95">
        <w:rPr>
          <w:rFonts w:ascii="Cambria Math" w:hAnsi="Cambria Math" w:cs="Cambria Math"/>
        </w:rPr>
        <w:t>₂</w:t>
      </w:r>
      <w:r w:rsidRPr="00FB4B95">
        <w:t>-eq) and subdivision (1.65 kg CO</w:t>
      </w:r>
      <w:r w:rsidRPr="00FB4B95">
        <w:rPr>
          <w:rFonts w:ascii="Cambria Math" w:hAnsi="Cambria Math" w:cs="Cambria Math"/>
        </w:rPr>
        <w:t>₂</w:t>
      </w:r>
      <w:r w:rsidRPr="00FB4B95">
        <w:t>-eq), while mass allocation reduced the result by approximately 45% (0.90 kg CO</w:t>
      </w:r>
      <w:r w:rsidRPr="00FB4B95">
        <w:rPr>
          <w:rFonts w:ascii="Cambria Math" w:hAnsi="Cambria Math" w:cs="Cambria Math"/>
        </w:rPr>
        <w:t>₂</w:t>
      </w:r>
      <w:r w:rsidRPr="00FB4B95">
        <w:t>-eq). A similar trend was observed for freshwater eutrophication, where mass allocation yielded the lowest impact (0.0021 kg P-eq), corresponding to 35% of the subdivision result, whereas economic allocation reached 90%. In contrast, marine eutrophication increased under economic allocation, reaching 135% of the subdivision value, while mass allocation again resulted in lower impacts (61%)</w:t>
      </w:r>
      <w:r w:rsidR="006A747B" w:rsidRPr="00FB4B95">
        <w:t>.</w:t>
      </w:r>
    </w:p>
    <w:p w14:paraId="40E7EB69" w14:textId="1C3EFA02" w:rsidR="00FB4B95" w:rsidRDefault="00FB4B95" w:rsidP="004D7582">
      <w:pPr>
        <w:pStyle w:val="CETCaption"/>
        <w:rPr>
          <w:rStyle w:val="CETCaptionCarattere"/>
          <w:i/>
        </w:rPr>
      </w:pPr>
      <w:r>
        <w:rPr>
          <w:noProof/>
        </w:rPr>
        <w:drawing>
          <wp:inline distT="0" distB="0" distL="0" distR="0" wp14:anchorId="3709D08E" wp14:editId="4602B97C">
            <wp:extent cx="3402662" cy="2009869"/>
            <wp:effectExtent l="0" t="0" r="7620" b="0"/>
            <wp:docPr id="1585349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5156" cy="2029063"/>
                    </a:xfrm>
                    <a:prstGeom prst="rect">
                      <a:avLst/>
                    </a:prstGeom>
                    <a:noFill/>
                  </pic:spPr>
                </pic:pic>
              </a:graphicData>
            </a:graphic>
          </wp:inline>
        </w:drawing>
      </w:r>
    </w:p>
    <w:p w14:paraId="25A12D95" w14:textId="74B938E1" w:rsidR="00E22D5F" w:rsidRPr="004D7582" w:rsidRDefault="004D7582" w:rsidP="004D7582">
      <w:pPr>
        <w:pStyle w:val="CETCaption"/>
      </w:pPr>
      <w:r w:rsidRPr="00BD077D">
        <w:rPr>
          <w:rStyle w:val="CETCaptionCarattere"/>
          <w:i/>
        </w:rPr>
        <w:t xml:space="preserve">Figure </w:t>
      </w:r>
      <w:r w:rsidR="00EB4993">
        <w:rPr>
          <w:rStyle w:val="CETCaptionCarattere"/>
          <w:i/>
        </w:rPr>
        <w:t>2:</w:t>
      </w:r>
      <w:r w:rsidR="00FB4B95">
        <w:rPr>
          <w:rStyle w:val="CETCaptionCarattere"/>
          <w:i/>
        </w:rPr>
        <w:t xml:space="preserve"> Analysis of different allocation scenarios for heat-integrated thermal-extractive avocado oil biorefinery.</w:t>
      </w:r>
    </w:p>
    <w:p w14:paraId="68D26B83" w14:textId="2C63B764" w:rsidR="00600535" w:rsidRPr="00B57B36" w:rsidRDefault="00600535" w:rsidP="00093FAD">
      <w:pPr>
        <w:pStyle w:val="CETHeading1"/>
        <w:numPr>
          <w:ilvl w:val="0"/>
          <w:numId w:val="23"/>
        </w:numPr>
        <w:rPr>
          <w:lang w:val="en-GB"/>
        </w:rPr>
      </w:pPr>
      <w:r w:rsidRPr="00B57B36">
        <w:rPr>
          <w:lang w:val="en-GB"/>
        </w:rPr>
        <w:t>Conclusions</w:t>
      </w:r>
    </w:p>
    <w:p w14:paraId="52DAFDE0" w14:textId="73FA8EA6" w:rsidR="001D0CFB" w:rsidRDefault="00FB4B95" w:rsidP="00C63465">
      <w:pPr>
        <w:pStyle w:val="CETBodytext"/>
        <w:rPr>
          <w:lang w:val="en-GB"/>
        </w:rPr>
      </w:pPr>
      <w:r w:rsidRPr="00FB4B95">
        <w:t>This study demonstrated the technical and environmental feasibility of a heat-integrated thermal-extractive avocado biorefinery for the valorization of avocado side streams in Northern Colombia, supported by detailed process simulation, techno-economic assessment, and life cycle assessment. To produce 1 kg of refined avocado oil at the biorefinery gate, the LCA results showed moderate impacts across climate change, eutrophication, land use, and water use, with environmental performance largely driven by upstream processes, particularly wastewater treatment, energy supply, solvent production, and feedstock transportation. Heat integration effectively reduced energy-related burdens, although uncertainty analysis highlighted sensitivity to background datasets, especially for climate change and water use. The comparison of allocation approaches revealed that while climate change results were relatively robust, land and water use impacts were highly sensitive to allocation choice, with subdivision providing a transparent and physically meaningful basis for multiproduct system assessment. Overall, the results confirm the potential of the proposed biorefinery as a sustainable pathway for agro-industrial residue valorization, while emphasizing that further environmental improvements should focus on wastewater management, low-carbon energy sourcing, solvent recovery, and logistics optimization</w:t>
      </w:r>
      <w:r w:rsidR="00C63465" w:rsidRPr="00C63465">
        <w:rPr>
          <w:lang w:val="en-GB"/>
        </w:rPr>
        <w:t>.</w:t>
      </w:r>
    </w:p>
    <w:p w14:paraId="07A6D20F" w14:textId="6AF64595" w:rsidR="00280FAF" w:rsidRPr="00280FAF" w:rsidRDefault="00280FAF" w:rsidP="00280FAF">
      <w:pPr>
        <w:pStyle w:val="CETHeadingxx"/>
        <w:rPr>
          <w:lang w:val="en-GB"/>
        </w:rPr>
        <w:sectPr w:rsidR="00280FAF" w:rsidRPr="00280FAF" w:rsidSect="008314D7">
          <w:type w:val="continuous"/>
          <w:pgSz w:w="11906" w:h="16838" w:code="9"/>
          <w:pgMar w:top="1701" w:right="1418" w:bottom="1701" w:left="1701" w:header="1701" w:footer="0" w:gutter="0"/>
          <w:cols w:space="708"/>
          <w:formProt w:val="0"/>
          <w:titlePg/>
          <w:docGrid w:linePitch="360"/>
        </w:sectPr>
      </w:pPr>
      <w:r>
        <w:t>Nomenclatur</w:t>
      </w:r>
      <w:r w:rsidR="00C63465">
        <w:t>e</w:t>
      </w:r>
    </w:p>
    <w:p w14:paraId="4764EA7B" w14:textId="77777777" w:rsidR="00EB4993" w:rsidRDefault="00EB4993" w:rsidP="00EB4993">
      <w:pPr>
        <w:pStyle w:val="CETBodytext"/>
      </w:pPr>
      <w:r>
        <w:lastRenderedPageBreak/>
        <w:t>EF – Environmental Footprint</w:t>
      </w:r>
    </w:p>
    <w:p w14:paraId="058440C9" w14:textId="77777777" w:rsidR="00EB4993" w:rsidRDefault="00EB4993" w:rsidP="00EB4993">
      <w:pPr>
        <w:pStyle w:val="CETBodytext"/>
      </w:pPr>
    </w:p>
    <w:p w14:paraId="3DB6192A" w14:textId="77777777" w:rsidR="00EB4993" w:rsidRDefault="00EB4993" w:rsidP="00EB4993">
      <w:pPr>
        <w:pStyle w:val="CETBodytext"/>
      </w:pPr>
      <w:r>
        <w:t>LCA – Life Cycle Assessment</w:t>
      </w:r>
    </w:p>
    <w:p w14:paraId="0DF0384D" w14:textId="77777777" w:rsidR="00EB4993" w:rsidRDefault="00EB4993" w:rsidP="00EB4993">
      <w:pPr>
        <w:pStyle w:val="CETBodytext"/>
      </w:pPr>
    </w:p>
    <w:p w14:paraId="53ACA5DB" w14:textId="77777777" w:rsidR="00EB4993" w:rsidRDefault="00EB4993" w:rsidP="00EB4993">
      <w:pPr>
        <w:pStyle w:val="CETBodytext"/>
      </w:pPr>
      <w:r>
        <w:t>LCI – Life Cycle Inventory</w:t>
      </w:r>
    </w:p>
    <w:p w14:paraId="2163B221" w14:textId="77777777" w:rsidR="00EB4993" w:rsidRDefault="00EB4993" w:rsidP="00EB4993">
      <w:pPr>
        <w:pStyle w:val="CETBodytext"/>
      </w:pPr>
    </w:p>
    <w:p w14:paraId="5152FB59" w14:textId="08B5613A" w:rsidR="00AD10E8" w:rsidRDefault="00EB4993" w:rsidP="00EB4993">
      <w:pPr>
        <w:pStyle w:val="CETBodytext"/>
      </w:pPr>
      <w:r>
        <w:t>LCIA – Life Cycle Impact Assessment</w:t>
      </w:r>
    </w:p>
    <w:p w14:paraId="459D05E6" w14:textId="7FF767B8" w:rsidR="00600535" w:rsidRPr="00B57B36" w:rsidRDefault="00600535" w:rsidP="00600535">
      <w:pPr>
        <w:pStyle w:val="CETAcknowledgementstitle"/>
      </w:pPr>
      <w:r w:rsidRPr="00B57B36">
        <w:t>Acknowledgments</w:t>
      </w:r>
    </w:p>
    <w:p w14:paraId="33F8138F" w14:textId="261521A2" w:rsidR="00600535" w:rsidRPr="00B57B36" w:rsidRDefault="00C553C9" w:rsidP="00600535">
      <w:pPr>
        <w:pStyle w:val="CETBodytext"/>
        <w:rPr>
          <w:lang w:val="en-GB"/>
        </w:rPr>
      </w:pPr>
      <w:r>
        <w:rPr>
          <w:lang w:val="en-GB"/>
        </w:rPr>
        <w:t xml:space="preserve">Authors want to thank </w:t>
      </w:r>
      <w:r w:rsidRPr="00801D7C">
        <w:rPr>
          <w:i/>
          <w:iCs/>
          <w:lang w:val="en-GB"/>
        </w:rPr>
        <w:t>Universidad de Cartagena</w:t>
      </w:r>
      <w:r>
        <w:rPr>
          <w:lang w:val="en-GB"/>
        </w:rPr>
        <w:t xml:space="preserve"> and </w:t>
      </w:r>
      <w:proofErr w:type="spellStart"/>
      <w:r w:rsidRPr="00801D7C">
        <w:rPr>
          <w:i/>
          <w:iCs/>
          <w:lang w:val="en-GB"/>
        </w:rPr>
        <w:t>Ministerio</w:t>
      </w:r>
      <w:proofErr w:type="spellEnd"/>
      <w:r w:rsidRPr="00801D7C">
        <w:rPr>
          <w:i/>
          <w:iCs/>
          <w:lang w:val="en-GB"/>
        </w:rPr>
        <w:t xml:space="preserve"> de Ciencia, </w:t>
      </w:r>
      <w:proofErr w:type="spellStart"/>
      <w:r w:rsidRPr="00801D7C">
        <w:rPr>
          <w:i/>
          <w:iCs/>
          <w:lang w:val="en-GB"/>
        </w:rPr>
        <w:t>Tecnologia</w:t>
      </w:r>
      <w:proofErr w:type="spellEnd"/>
      <w:r w:rsidRPr="00801D7C">
        <w:rPr>
          <w:i/>
          <w:iCs/>
          <w:lang w:val="en-GB"/>
        </w:rPr>
        <w:t xml:space="preserve"> e </w:t>
      </w:r>
      <w:proofErr w:type="spellStart"/>
      <w:r w:rsidRPr="00801D7C">
        <w:rPr>
          <w:i/>
          <w:iCs/>
          <w:lang w:val="en-GB"/>
        </w:rPr>
        <w:t>Innovacion</w:t>
      </w:r>
      <w:proofErr w:type="spellEnd"/>
      <w:r w:rsidRPr="00801D7C">
        <w:rPr>
          <w:i/>
          <w:iCs/>
          <w:lang w:val="en-GB"/>
        </w:rPr>
        <w:t xml:space="preserve"> de Colombia</w:t>
      </w:r>
      <w:r>
        <w:rPr>
          <w:lang w:val="en-GB"/>
        </w:rPr>
        <w:t xml:space="preserve"> for their support to conduct this research project.</w:t>
      </w:r>
    </w:p>
    <w:p w14:paraId="4F1327F8" w14:textId="77777777" w:rsidR="00600535" w:rsidRPr="00FD7477" w:rsidRDefault="00600535" w:rsidP="00600535">
      <w:pPr>
        <w:pStyle w:val="CETReference"/>
        <w:rPr>
          <w:lang w:val="es-419"/>
        </w:rPr>
      </w:pPr>
      <w:proofErr w:type="spellStart"/>
      <w:r w:rsidRPr="00FD7477">
        <w:rPr>
          <w:lang w:val="es-419"/>
        </w:rPr>
        <w:t>References</w:t>
      </w:r>
      <w:proofErr w:type="spellEnd"/>
    </w:p>
    <w:p w14:paraId="4080244E" w14:textId="2A431919" w:rsidR="00070D52" w:rsidRPr="00070D52" w:rsidRDefault="00070D52" w:rsidP="00070D52">
      <w:pPr>
        <w:pStyle w:val="CETReferencetext"/>
        <w:rPr>
          <w:lang w:val="en-US"/>
        </w:rPr>
      </w:pPr>
      <w:proofErr w:type="spellStart"/>
      <w:r w:rsidRPr="00070D52">
        <w:rPr>
          <w:lang w:val="es-419"/>
        </w:rPr>
        <w:t>Andreasi</w:t>
      </w:r>
      <w:proofErr w:type="spellEnd"/>
      <w:r w:rsidRPr="00070D52">
        <w:rPr>
          <w:lang w:val="es-419"/>
        </w:rPr>
        <w:t xml:space="preserve"> Bassi, S., </w:t>
      </w:r>
      <w:proofErr w:type="spellStart"/>
      <w:r w:rsidRPr="00070D52">
        <w:rPr>
          <w:lang w:val="es-419"/>
        </w:rPr>
        <w:t>Biganzoli</w:t>
      </w:r>
      <w:proofErr w:type="spellEnd"/>
      <w:r w:rsidRPr="00070D52">
        <w:rPr>
          <w:lang w:val="es-419"/>
        </w:rPr>
        <w:t xml:space="preserve">, F., Ferrara, N., Amadei, A., Valente, A., Sala, S., Ardente, F. (2023). </w:t>
      </w:r>
      <w:r w:rsidRPr="00070D52">
        <w:rPr>
          <w:lang w:val="en-US"/>
        </w:rPr>
        <w:t xml:space="preserve">Updated </w:t>
      </w:r>
      <w:proofErr w:type="spellStart"/>
      <w:r w:rsidRPr="00070D52">
        <w:rPr>
          <w:lang w:val="en-US"/>
        </w:rPr>
        <w:t>characterisation</w:t>
      </w:r>
      <w:proofErr w:type="spellEnd"/>
      <w:r w:rsidRPr="00070D52">
        <w:rPr>
          <w:lang w:val="en-US"/>
        </w:rPr>
        <w:t xml:space="preserve"> and </w:t>
      </w:r>
      <w:proofErr w:type="spellStart"/>
      <w:r w:rsidRPr="00070D52">
        <w:rPr>
          <w:lang w:val="en-US"/>
        </w:rPr>
        <w:t>normalisation</w:t>
      </w:r>
      <w:proofErr w:type="spellEnd"/>
      <w:r w:rsidRPr="00070D52">
        <w:rPr>
          <w:lang w:val="en-US"/>
        </w:rPr>
        <w:t xml:space="preserve"> factors for the Environmental Footprint 3.1 method. Publications Office of the European Union, EUR 31414 EN (JRC130796). DOI: 10.2760/798894.</w:t>
      </w:r>
    </w:p>
    <w:p w14:paraId="33AF8A40" w14:textId="6B26A274" w:rsidR="00070D52" w:rsidRDefault="00070D52" w:rsidP="00070D52">
      <w:pPr>
        <w:pStyle w:val="CETReferencetext"/>
        <w:rPr>
          <w:lang w:val="en-US"/>
        </w:rPr>
      </w:pPr>
      <w:r w:rsidRPr="00070D52">
        <w:rPr>
          <w:lang w:val="es-419"/>
        </w:rPr>
        <w:t xml:space="preserve">Ioannou, I., D’Angelo, S. C., Galán-Martín, Á., Pozo, C., Pérez-Ramírez, J., Guillén-Gosálbez, G. (2021). </w:t>
      </w:r>
      <w:r w:rsidRPr="00070D52">
        <w:rPr>
          <w:lang w:val="en-US"/>
        </w:rPr>
        <w:t>Process modelling and life cycle assessment coupled with experimental work to shape the future sustainable production of chemicals and fuels. Reaction Chemistry &amp; Engineering, 6, 1179–1194. DOI: 10.1039/D0RE00451K.</w:t>
      </w:r>
    </w:p>
    <w:p w14:paraId="61C0CB55" w14:textId="77777777" w:rsidR="00220C83" w:rsidRPr="00220C83" w:rsidRDefault="00220C83" w:rsidP="00220C83">
      <w:pPr>
        <w:pStyle w:val="CETReferencetext"/>
        <w:rPr>
          <w:lang w:val="en-US"/>
        </w:rPr>
      </w:pPr>
      <w:r w:rsidRPr="00220C83">
        <w:rPr>
          <w:lang w:val="en-US"/>
        </w:rPr>
        <w:t>Gamero, E., Ruppert, S., Miehe, R., &amp; Sauer, A. (2024). Process modeling and life cycle assessment of biorefinery concepts using agricultural residues. Energies, 17, 4282. DOI: 10.3390/en17174282</w:t>
      </w:r>
    </w:p>
    <w:p w14:paraId="3C4578B6" w14:textId="77777777" w:rsidR="00220C83" w:rsidRPr="00220C83" w:rsidRDefault="00220C83" w:rsidP="00220C83">
      <w:pPr>
        <w:pStyle w:val="CETReferencetext"/>
        <w:rPr>
          <w:lang w:val="en-US"/>
        </w:rPr>
      </w:pPr>
      <w:r w:rsidRPr="00EA20D9">
        <w:rPr>
          <w:lang w:val="en-US"/>
        </w:rPr>
        <w:t xml:space="preserve">Garcia-Vallejo, M. C., et al. </w:t>
      </w:r>
      <w:r w:rsidRPr="00220C83">
        <w:rPr>
          <w:lang w:val="en-US"/>
        </w:rPr>
        <w:t xml:space="preserve">(2023). Alternatives for the valorization of avocado waste </w:t>
      </w:r>
      <w:proofErr w:type="gramStart"/>
      <w:r w:rsidRPr="00220C83">
        <w:rPr>
          <w:lang w:val="en-US"/>
        </w:rPr>
        <w:t>based</w:t>
      </w:r>
      <w:proofErr w:type="gramEnd"/>
      <w:r w:rsidRPr="00220C83">
        <w:rPr>
          <w:lang w:val="en-US"/>
        </w:rPr>
        <w:t xml:space="preserve"> on a life-cycle analysis approach. Agronomy, 13, 2229. DOI: 10.3390/agronomy13092229</w:t>
      </w:r>
    </w:p>
    <w:p w14:paraId="39CBFD4A" w14:textId="0F48DD49" w:rsidR="00220C83" w:rsidRPr="00EA20D9" w:rsidRDefault="00220C83" w:rsidP="00220C83">
      <w:pPr>
        <w:pStyle w:val="CETReferencetext"/>
        <w:rPr>
          <w:lang w:val="es-419"/>
        </w:rPr>
      </w:pPr>
      <w:r w:rsidRPr="00220C83">
        <w:rPr>
          <w:lang w:val="en-US"/>
        </w:rPr>
        <w:t xml:space="preserve">Marques, C., et al. (2025). Life-cycle assessment in agri-food systems and the wine sector. </w:t>
      </w:r>
      <w:proofErr w:type="spellStart"/>
      <w:r w:rsidRPr="00EA20D9">
        <w:rPr>
          <w:lang w:val="es-419"/>
        </w:rPr>
        <w:t>Foods</w:t>
      </w:r>
      <w:proofErr w:type="spellEnd"/>
      <w:r w:rsidRPr="00EA20D9">
        <w:rPr>
          <w:lang w:val="es-419"/>
        </w:rPr>
        <w:t>, 14, 1553. DOI: 10.3390/foods14091553</w:t>
      </w:r>
    </w:p>
    <w:p w14:paraId="3B4325E3" w14:textId="25A90EAC" w:rsidR="00CE18BC" w:rsidRDefault="00CE18BC" w:rsidP="00CE18BC">
      <w:pPr>
        <w:pStyle w:val="CETReferencetext"/>
        <w:rPr>
          <w:lang w:val="en-US"/>
        </w:rPr>
      </w:pPr>
      <w:r w:rsidRPr="00CE18BC">
        <w:rPr>
          <w:lang w:val="es-419"/>
        </w:rPr>
        <w:t xml:space="preserve">Meramo-Hurtado, S., Herrera-Rodríguez, T. C., &amp; González-Delgado, Á. D. (2025). </w:t>
      </w:r>
      <w:r w:rsidRPr="00CE18BC">
        <w:rPr>
          <w:lang w:val="en-US"/>
        </w:rPr>
        <w:t>Economic and environmental hotspots of new thermal-extractive avocado biorefinery. Biomass and Bioenergy, 207, 108724. https://doi.org/10.1016/j.biombioe.2025.108724</w:t>
      </w:r>
    </w:p>
    <w:p w14:paraId="6628FEFC" w14:textId="7E5C3DC9" w:rsidR="00220C83" w:rsidRDefault="00220C83" w:rsidP="00220C83">
      <w:pPr>
        <w:pStyle w:val="CETReferencetext"/>
        <w:rPr>
          <w:lang w:val="en-US"/>
        </w:rPr>
      </w:pPr>
      <w:r w:rsidRPr="00EA20D9">
        <w:rPr>
          <w:lang w:val="en-US"/>
        </w:rPr>
        <w:t xml:space="preserve">Mondello, G., Niero, M., Falcone, G., et al. </w:t>
      </w:r>
      <w:r w:rsidRPr="00220C83">
        <w:rPr>
          <w:lang w:val="en-US"/>
        </w:rPr>
        <w:t>(2024). Life cycle–based assessment methods for circular economy strategies in the agri-food sector. International Journal of Life Cycle Assessment, 29. DOI: 10.1007/s11367-024-02336-4</w:t>
      </w:r>
    </w:p>
    <w:p w14:paraId="221B7DCF" w14:textId="4F39445F" w:rsidR="00220C83" w:rsidRPr="00EA20D9" w:rsidRDefault="00220C83" w:rsidP="00220C83">
      <w:pPr>
        <w:pStyle w:val="CETReferencetext"/>
        <w:rPr>
          <w:lang w:val="es-419"/>
        </w:rPr>
      </w:pPr>
      <w:proofErr w:type="spellStart"/>
      <w:r w:rsidRPr="00220C83">
        <w:rPr>
          <w:lang w:val="en-US"/>
        </w:rPr>
        <w:t>Riondet</w:t>
      </w:r>
      <w:proofErr w:type="spellEnd"/>
      <w:r w:rsidRPr="00220C83">
        <w:rPr>
          <w:lang w:val="en-US"/>
        </w:rPr>
        <w:t>, L., Rio, M., Perrot-</w:t>
      </w:r>
      <w:proofErr w:type="spellStart"/>
      <w:r w:rsidRPr="00220C83">
        <w:rPr>
          <w:lang w:val="en-US"/>
        </w:rPr>
        <w:t>Bernardet</w:t>
      </w:r>
      <w:proofErr w:type="spellEnd"/>
      <w:r w:rsidRPr="00220C83">
        <w:rPr>
          <w:lang w:val="en-US"/>
        </w:rPr>
        <w:t xml:space="preserve">, </w:t>
      </w:r>
      <w:proofErr w:type="gramStart"/>
      <w:r w:rsidRPr="00220C83">
        <w:rPr>
          <w:lang w:val="en-US"/>
        </w:rPr>
        <w:t>V.,</w:t>
      </w:r>
      <w:proofErr w:type="gramEnd"/>
      <w:r w:rsidRPr="00220C83">
        <w:rPr>
          <w:lang w:val="en-US"/>
        </w:rPr>
        <w:t xml:space="preserve"> &amp; Zwolinski, P. (2024). Emerging technologies upscaling: Matching LCA practices with upscaling archetypes. Sustainable Production and Consumption, 50, 347–363. </w:t>
      </w:r>
      <w:r w:rsidRPr="00EA20D9">
        <w:rPr>
          <w:lang w:val="es-419"/>
        </w:rPr>
        <w:t>DOI: 10.1016/j.spc.2024.07.032</w:t>
      </w:r>
    </w:p>
    <w:p w14:paraId="6BEBFCEE" w14:textId="44333C31" w:rsidR="00070D52" w:rsidRPr="00070D52" w:rsidRDefault="00070D52" w:rsidP="00070D52">
      <w:pPr>
        <w:pStyle w:val="CETReferencetext"/>
        <w:rPr>
          <w:lang w:val="en-US"/>
        </w:rPr>
      </w:pPr>
      <w:r w:rsidRPr="00EA20D9">
        <w:rPr>
          <w:lang w:val="es-419"/>
        </w:rPr>
        <w:t>Solarte-Toro, J. C., Ortiz-</w:t>
      </w:r>
      <w:proofErr w:type="spellStart"/>
      <w:r w:rsidRPr="00EA20D9">
        <w:rPr>
          <w:lang w:val="es-419"/>
        </w:rPr>
        <w:t>Sanchez</w:t>
      </w:r>
      <w:proofErr w:type="spellEnd"/>
      <w:r w:rsidRPr="00EA20D9">
        <w:rPr>
          <w:lang w:val="es-419"/>
        </w:rPr>
        <w:t xml:space="preserve">, M., Cardona </w:t>
      </w:r>
      <w:proofErr w:type="spellStart"/>
      <w:r w:rsidRPr="00EA20D9">
        <w:rPr>
          <w:lang w:val="es-419"/>
        </w:rPr>
        <w:t>Alzate</w:t>
      </w:r>
      <w:proofErr w:type="spellEnd"/>
      <w:r w:rsidRPr="00EA20D9">
        <w:rPr>
          <w:lang w:val="es-419"/>
        </w:rPr>
        <w:t xml:space="preserve">, C. A. (2023). </w:t>
      </w:r>
      <w:r w:rsidRPr="00070D52">
        <w:rPr>
          <w:lang w:val="en-US"/>
        </w:rPr>
        <w:t>Environmental life cycle assessment (E-LCA) and social impact assessment (SIA) of small-scale biorefineries implemented in rural zones: the avocado (</w:t>
      </w:r>
      <w:proofErr w:type="spellStart"/>
      <w:r w:rsidRPr="00070D52">
        <w:rPr>
          <w:lang w:val="en-US"/>
        </w:rPr>
        <w:t>Persea</w:t>
      </w:r>
      <w:proofErr w:type="spellEnd"/>
      <w:r w:rsidRPr="00070D52">
        <w:rPr>
          <w:lang w:val="en-US"/>
        </w:rPr>
        <w:t xml:space="preserve"> Americana var. Americana) case in Colombia. Environmental Science and Pollution Research, 30(4), 8790–8808. DOI: 10.1007/s11356-022-20857-z.</w:t>
      </w:r>
    </w:p>
    <w:p w14:paraId="19804B7F" w14:textId="57531B17" w:rsidR="00067A62" w:rsidRDefault="00070D52" w:rsidP="00070D52">
      <w:pPr>
        <w:pStyle w:val="CETReferencetext"/>
        <w:rPr>
          <w:lang w:val="en-US"/>
        </w:rPr>
      </w:pPr>
      <w:r w:rsidRPr="00070D52">
        <w:rPr>
          <w:lang w:val="en-US"/>
        </w:rPr>
        <w:t>Voglhuber-Slavinsky, A., Zicari, A., Smetana, S., Moller, B., Dönitz, E., Vranken, L., et al. (2022). Setting life cycle assessment (LCA) in a future-oriented context: the combination of qualitative scenarios and LCA in the agri-food sector. European Journal of Futures Research, 10, 15. DOI: 10.1186/s40309-022-00203-9</w:t>
      </w:r>
    </w:p>
    <w:p w14:paraId="5A13856B" w14:textId="77777777" w:rsidR="006B4888" w:rsidRPr="000D56D6" w:rsidRDefault="006B4888" w:rsidP="006B4888">
      <w:pPr>
        <w:pStyle w:val="CETReferencetext"/>
      </w:pPr>
    </w:p>
    <w:p w14:paraId="19C4FC68" w14:textId="77777777" w:rsidR="004628D2" w:rsidRDefault="004628D2" w:rsidP="00FA5F5F">
      <w:pPr>
        <w:pStyle w:val="CETHeading1"/>
        <w:numPr>
          <w:ilvl w:val="0"/>
          <w:numId w:val="0"/>
        </w:numPr>
      </w:pPr>
    </w:p>
    <w:sectPr w:rsidR="004628D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5580" w14:textId="77777777" w:rsidR="00080BF3" w:rsidRDefault="00080BF3" w:rsidP="004F5E36">
      <w:r>
        <w:separator/>
      </w:r>
    </w:p>
  </w:endnote>
  <w:endnote w:type="continuationSeparator" w:id="0">
    <w:p w14:paraId="536A3283" w14:textId="77777777" w:rsidR="00080BF3" w:rsidRDefault="00080BF3"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7338" w14:textId="77777777" w:rsidR="00080BF3" w:rsidRDefault="00080BF3" w:rsidP="004F5E36">
      <w:r>
        <w:separator/>
      </w:r>
    </w:p>
  </w:footnote>
  <w:footnote w:type="continuationSeparator" w:id="0">
    <w:p w14:paraId="57361017" w14:textId="77777777" w:rsidR="00080BF3" w:rsidRDefault="00080BF3"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C0F2D4D"/>
    <w:multiLevelType w:val="multilevel"/>
    <w:tmpl w:val="2D242B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 w:numId="23" w16cid:durableId="21201792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23732"/>
    <w:rsid w:val="0003148D"/>
    <w:rsid w:val="00031EEC"/>
    <w:rsid w:val="000430B1"/>
    <w:rsid w:val="00051566"/>
    <w:rsid w:val="000562A9"/>
    <w:rsid w:val="00062A9A"/>
    <w:rsid w:val="00065058"/>
    <w:rsid w:val="00067A62"/>
    <w:rsid w:val="00070D52"/>
    <w:rsid w:val="00080BF3"/>
    <w:rsid w:val="00086C39"/>
    <w:rsid w:val="00093FAD"/>
    <w:rsid w:val="000A03B2"/>
    <w:rsid w:val="000B2D98"/>
    <w:rsid w:val="000D0268"/>
    <w:rsid w:val="000D34BE"/>
    <w:rsid w:val="000E102F"/>
    <w:rsid w:val="000E36F1"/>
    <w:rsid w:val="000E3A73"/>
    <w:rsid w:val="000E414A"/>
    <w:rsid w:val="000E75FD"/>
    <w:rsid w:val="000F093C"/>
    <w:rsid w:val="000F787B"/>
    <w:rsid w:val="00101F02"/>
    <w:rsid w:val="0012091F"/>
    <w:rsid w:val="00124AAD"/>
    <w:rsid w:val="00126BC2"/>
    <w:rsid w:val="001308B6"/>
    <w:rsid w:val="0013121F"/>
    <w:rsid w:val="00131FE6"/>
    <w:rsid w:val="0013263F"/>
    <w:rsid w:val="001331DF"/>
    <w:rsid w:val="00134DE4"/>
    <w:rsid w:val="0014034D"/>
    <w:rsid w:val="00140FE3"/>
    <w:rsid w:val="00144D16"/>
    <w:rsid w:val="00150E59"/>
    <w:rsid w:val="00152DE3"/>
    <w:rsid w:val="00164CF9"/>
    <w:rsid w:val="001667A6"/>
    <w:rsid w:val="00184AD6"/>
    <w:rsid w:val="001A4AF7"/>
    <w:rsid w:val="001B0349"/>
    <w:rsid w:val="001B1E93"/>
    <w:rsid w:val="001B65C1"/>
    <w:rsid w:val="001C2599"/>
    <w:rsid w:val="001C260F"/>
    <w:rsid w:val="001C33F1"/>
    <w:rsid w:val="001C3AE2"/>
    <w:rsid w:val="001C684B"/>
    <w:rsid w:val="001D0CFB"/>
    <w:rsid w:val="001D21AF"/>
    <w:rsid w:val="001D53FC"/>
    <w:rsid w:val="001F0651"/>
    <w:rsid w:val="001F42A5"/>
    <w:rsid w:val="001F7B9D"/>
    <w:rsid w:val="00201C93"/>
    <w:rsid w:val="00220C83"/>
    <w:rsid w:val="002224B4"/>
    <w:rsid w:val="00240B19"/>
    <w:rsid w:val="002447EF"/>
    <w:rsid w:val="00251550"/>
    <w:rsid w:val="00263B05"/>
    <w:rsid w:val="0027221A"/>
    <w:rsid w:val="00275B61"/>
    <w:rsid w:val="00280FAF"/>
    <w:rsid w:val="00282656"/>
    <w:rsid w:val="0028454F"/>
    <w:rsid w:val="00296B83"/>
    <w:rsid w:val="002A6863"/>
    <w:rsid w:val="002B2EC4"/>
    <w:rsid w:val="002B4015"/>
    <w:rsid w:val="002B5C01"/>
    <w:rsid w:val="002B78CE"/>
    <w:rsid w:val="002C2FB6"/>
    <w:rsid w:val="002E5FA7"/>
    <w:rsid w:val="002F3309"/>
    <w:rsid w:val="003008CE"/>
    <w:rsid w:val="003009B7"/>
    <w:rsid w:val="00300E56"/>
    <w:rsid w:val="0030152C"/>
    <w:rsid w:val="0030469C"/>
    <w:rsid w:val="00321CA6"/>
    <w:rsid w:val="00323763"/>
    <w:rsid w:val="00323C5F"/>
    <w:rsid w:val="00334C09"/>
    <w:rsid w:val="003723D4"/>
    <w:rsid w:val="00381905"/>
    <w:rsid w:val="00384CC8"/>
    <w:rsid w:val="003871FD"/>
    <w:rsid w:val="003A1E30"/>
    <w:rsid w:val="003A2829"/>
    <w:rsid w:val="003A7D1C"/>
    <w:rsid w:val="003B304B"/>
    <w:rsid w:val="003B3146"/>
    <w:rsid w:val="003B4EA5"/>
    <w:rsid w:val="003D1E02"/>
    <w:rsid w:val="003E27EE"/>
    <w:rsid w:val="003F015E"/>
    <w:rsid w:val="00400414"/>
    <w:rsid w:val="0041446B"/>
    <w:rsid w:val="0044071E"/>
    <w:rsid w:val="0044329C"/>
    <w:rsid w:val="00453E24"/>
    <w:rsid w:val="00457456"/>
    <w:rsid w:val="004577FE"/>
    <w:rsid w:val="00457B9C"/>
    <w:rsid w:val="0046164A"/>
    <w:rsid w:val="004628D2"/>
    <w:rsid w:val="00462DCD"/>
    <w:rsid w:val="004648AD"/>
    <w:rsid w:val="004703A9"/>
    <w:rsid w:val="004760DE"/>
    <w:rsid w:val="004763D7"/>
    <w:rsid w:val="0048646E"/>
    <w:rsid w:val="00493EF4"/>
    <w:rsid w:val="004A004E"/>
    <w:rsid w:val="004A24CF"/>
    <w:rsid w:val="004A5E57"/>
    <w:rsid w:val="004C194F"/>
    <w:rsid w:val="004C3D1D"/>
    <w:rsid w:val="004C3D84"/>
    <w:rsid w:val="004C7913"/>
    <w:rsid w:val="004D7582"/>
    <w:rsid w:val="004E4DD6"/>
    <w:rsid w:val="004F5E36"/>
    <w:rsid w:val="004F7F00"/>
    <w:rsid w:val="00507B47"/>
    <w:rsid w:val="00507BEF"/>
    <w:rsid w:val="00507CC9"/>
    <w:rsid w:val="005119A5"/>
    <w:rsid w:val="0052048F"/>
    <w:rsid w:val="005278B7"/>
    <w:rsid w:val="00532016"/>
    <w:rsid w:val="005346C8"/>
    <w:rsid w:val="00543E7D"/>
    <w:rsid w:val="00547A68"/>
    <w:rsid w:val="005531C9"/>
    <w:rsid w:val="00562C78"/>
    <w:rsid w:val="00570C43"/>
    <w:rsid w:val="00592274"/>
    <w:rsid w:val="005A11A1"/>
    <w:rsid w:val="005B2110"/>
    <w:rsid w:val="005B61E6"/>
    <w:rsid w:val="005C77E1"/>
    <w:rsid w:val="005D1104"/>
    <w:rsid w:val="005D668A"/>
    <w:rsid w:val="005D6A2F"/>
    <w:rsid w:val="005E0592"/>
    <w:rsid w:val="005E1A82"/>
    <w:rsid w:val="005E794C"/>
    <w:rsid w:val="005F0A28"/>
    <w:rsid w:val="005F0E5E"/>
    <w:rsid w:val="00600535"/>
    <w:rsid w:val="006035EB"/>
    <w:rsid w:val="00610CD6"/>
    <w:rsid w:val="00620DEE"/>
    <w:rsid w:val="00621F92"/>
    <w:rsid w:val="0062280A"/>
    <w:rsid w:val="006231E1"/>
    <w:rsid w:val="00625639"/>
    <w:rsid w:val="00631B33"/>
    <w:rsid w:val="0064184D"/>
    <w:rsid w:val="006422CC"/>
    <w:rsid w:val="00651D18"/>
    <w:rsid w:val="00660E3E"/>
    <w:rsid w:val="00662E74"/>
    <w:rsid w:val="00664F9F"/>
    <w:rsid w:val="00680C23"/>
    <w:rsid w:val="00683E23"/>
    <w:rsid w:val="00693766"/>
    <w:rsid w:val="006A3281"/>
    <w:rsid w:val="006A747B"/>
    <w:rsid w:val="006B4888"/>
    <w:rsid w:val="006C2E45"/>
    <w:rsid w:val="006C359C"/>
    <w:rsid w:val="006C5579"/>
    <w:rsid w:val="006D6E8B"/>
    <w:rsid w:val="006D7209"/>
    <w:rsid w:val="006E737D"/>
    <w:rsid w:val="007009E7"/>
    <w:rsid w:val="00707DD1"/>
    <w:rsid w:val="00713973"/>
    <w:rsid w:val="00720A24"/>
    <w:rsid w:val="00732386"/>
    <w:rsid w:val="0073514D"/>
    <w:rsid w:val="007447F3"/>
    <w:rsid w:val="0075499F"/>
    <w:rsid w:val="007617CC"/>
    <w:rsid w:val="007661C8"/>
    <w:rsid w:val="0077098D"/>
    <w:rsid w:val="00785BF9"/>
    <w:rsid w:val="007931FA"/>
    <w:rsid w:val="00795570"/>
    <w:rsid w:val="007A4861"/>
    <w:rsid w:val="007A7BBA"/>
    <w:rsid w:val="007B0C50"/>
    <w:rsid w:val="007B48F9"/>
    <w:rsid w:val="007C1A43"/>
    <w:rsid w:val="007D0951"/>
    <w:rsid w:val="007D4DEF"/>
    <w:rsid w:val="007F27C8"/>
    <w:rsid w:val="0080013E"/>
    <w:rsid w:val="00801D7C"/>
    <w:rsid w:val="00813288"/>
    <w:rsid w:val="008168FC"/>
    <w:rsid w:val="00830996"/>
    <w:rsid w:val="008314D7"/>
    <w:rsid w:val="008345F1"/>
    <w:rsid w:val="00865B07"/>
    <w:rsid w:val="008667EA"/>
    <w:rsid w:val="0087637F"/>
    <w:rsid w:val="008851C7"/>
    <w:rsid w:val="00892AD5"/>
    <w:rsid w:val="008A10A4"/>
    <w:rsid w:val="008A1512"/>
    <w:rsid w:val="008A5E26"/>
    <w:rsid w:val="008D32B9"/>
    <w:rsid w:val="008D433B"/>
    <w:rsid w:val="008D4A16"/>
    <w:rsid w:val="008E209A"/>
    <w:rsid w:val="008E45BC"/>
    <w:rsid w:val="008E566E"/>
    <w:rsid w:val="008F0DE2"/>
    <w:rsid w:val="0090161A"/>
    <w:rsid w:val="00901EB6"/>
    <w:rsid w:val="009041F8"/>
    <w:rsid w:val="00904C62"/>
    <w:rsid w:val="00913DCE"/>
    <w:rsid w:val="00922BA8"/>
    <w:rsid w:val="00924DAC"/>
    <w:rsid w:val="00927058"/>
    <w:rsid w:val="0093357C"/>
    <w:rsid w:val="00942750"/>
    <w:rsid w:val="009450CE"/>
    <w:rsid w:val="009459BB"/>
    <w:rsid w:val="00947179"/>
    <w:rsid w:val="0095164B"/>
    <w:rsid w:val="00954090"/>
    <w:rsid w:val="009573E7"/>
    <w:rsid w:val="00963E05"/>
    <w:rsid w:val="00964A45"/>
    <w:rsid w:val="00967843"/>
    <w:rsid w:val="00967D54"/>
    <w:rsid w:val="00971028"/>
    <w:rsid w:val="00977C8D"/>
    <w:rsid w:val="00993B84"/>
    <w:rsid w:val="00996483"/>
    <w:rsid w:val="00996F5A"/>
    <w:rsid w:val="009B041A"/>
    <w:rsid w:val="009B2BD9"/>
    <w:rsid w:val="009C37C3"/>
    <w:rsid w:val="009C7C86"/>
    <w:rsid w:val="009D2FF7"/>
    <w:rsid w:val="009E7884"/>
    <w:rsid w:val="009E788A"/>
    <w:rsid w:val="009F0E08"/>
    <w:rsid w:val="00A079AE"/>
    <w:rsid w:val="00A1763D"/>
    <w:rsid w:val="00A17CEC"/>
    <w:rsid w:val="00A26CBB"/>
    <w:rsid w:val="00A27EF0"/>
    <w:rsid w:val="00A32EA7"/>
    <w:rsid w:val="00A33F44"/>
    <w:rsid w:val="00A42361"/>
    <w:rsid w:val="00A50B20"/>
    <w:rsid w:val="00A51390"/>
    <w:rsid w:val="00A60D13"/>
    <w:rsid w:val="00A7223D"/>
    <w:rsid w:val="00A72745"/>
    <w:rsid w:val="00A76EFC"/>
    <w:rsid w:val="00A87D50"/>
    <w:rsid w:val="00A91010"/>
    <w:rsid w:val="00A97F29"/>
    <w:rsid w:val="00AA702E"/>
    <w:rsid w:val="00AA7D26"/>
    <w:rsid w:val="00AB0964"/>
    <w:rsid w:val="00AB5011"/>
    <w:rsid w:val="00AC7368"/>
    <w:rsid w:val="00AD0278"/>
    <w:rsid w:val="00AD10E8"/>
    <w:rsid w:val="00AD16B9"/>
    <w:rsid w:val="00AE377D"/>
    <w:rsid w:val="00AF0EBA"/>
    <w:rsid w:val="00B02C8A"/>
    <w:rsid w:val="00B04627"/>
    <w:rsid w:val="00B077A7"/>
    <w:rsid w:val="00B17FBD"/>
    <w:rsid w:val="00B27F7D"/>
    <w:rsid w:val="00B315A6"/>
    <w:rsid w:val="00B31813"/>
    <w:rsid w:val="00B33365"/>
    <w:rsid w:val="00B57B36"/>
    <w:rsid w:val="00B57E6F"/>
    <w:rsid w:val="00B8686D"/>
    <w:rsid w:val="00B93F69"/>
    <w:rsid w:val="00BB1DDC"/>
    <w:rsid w:val="00BC30C9"/>
    <w:rsid w:val="00BD077D"/>
    <w:rsid w:val="00BD2A33"/>
    <w:rsid w:val="00BE3E58"/>
    <w:rsid w:val="00C01616"/>
    <w:rsid w:val="00C0162B"/>
    <w:rsid w:val="00C068ED"/>
    <w:rsid w:val="00C208E9"/>
    <w:rsid w:val="00C22E0C"/>
    <w:rsid w:val="00C32B8B"/>
    <w:rsid w:val="00C345B1"/>
    <w:rsid w:val="00C40142"/>
    <w:rsid w:val="00C52C3C"/>
    <w:rsid w:val="00C553C9"/>
    <w:rsid w:val="00C57182"/>
    <w:rsid w:val="00C57863"/>
    <w:rsid w:val="00C63465"/>
    <w:rsid w:val="00C640AF"/>
    <w:rsid w:val="00C655FD"/>
    <w:rsid w:val="00C75407"/>
    <w:rsid w:val="00C756BB"/>
    <w:rsid w:val="00C841C6"/>
    <w:rsid w:val="00C870A8"/>
    <w:rsid w:val="00C94434"/>
    <w:rsid w:val="00CA0D75"/>
    <w:rsid w:val="00CA1C95"/>
    <w:rsid w:val="00CA5A9C"/>
    <w:rsid w:val="00CC4C20"/>
    <w:rsid w:val="00CD19B0"/>
    <w:rsid w:val="00CD3517"/>
    <w:rsid w:val="00CD4D10"/>
    <w:rsid w:val="00CD5FE2"/>
    <w:rsid w:val="00CE18BC"/>
    <w:rsid w:val="00CE7C68"/>
    <w:rsid w:val="00D02B4C"/>
    <w:rsid w:val="00D040C4"/>
    <w:rsid w:val="00D13167"/>
    <w:rsid w:val="00D20AD1"/>
    <w:rsid w:val="00D2582C"/>
    <w:rsid w:val="00D31498"/>
    <w:rsid w:val="00D46B7E"/>
    <w:rsid w:val="00D57C84"/>
    <w:rsid w:val="00D6057D"/>
    <w:rsid w:val="00D71640"/>
    <w:rsid w:val="00D836C5"/>
    <w:rsid w:val="00D84576"/>
    <w:rsid w:val="00DA1399"/>
    <w:rsid w:val="00DA24C6"/>
    <w:rsid w:val="00DA4C35"/>
    <w:rsid w:val="00DA4D7B"/>
    <w:rsid w:val="00DC52E3"/>
    <w:rsid w:val="00DD271C"/>
    <w:rsid w:val="00DD4945"/>
    <w:rsid w:val="00DE264A"/>
    <w:rsid w:val="00DF5072"/>
    <w:rsid w:val="00E02D18"/>
    <w:rsid w:val="00E041E7"/>
    <w:rsid w:val="00E06A48"/>
    <w:rsid w:val="00E22D5F"/>
    <w:rsid w:val="00E23CA1"/>
    <w:rsid w:val="00E36BE7"/>
    <w:rsid w:val="00E409A8"/>
    <w:rsid w:val="00E47D61"/>
    <w:rsid w:val="00E50C12"/>
    <w:rsid w:val="00E640D6"/>
    <w:rsid w:val="00E65B91"/>
    <w:rsid w:val="00E7209D"/>
    <w:rsid w:val="00E72EAD"/>
    <w:rsid w:val="00E77223"/>
    <w:rsid w:val="00E8528B"/>
    <w:rsid w:val="00E85B94"/>
    <w:rsid w:val="00E978D0"/>
    <w:rsid w:val="00EA20D9"/>
    <w:rsid w:val="00EA3EF9"/>
    <w:rsid w:val="00EA4613"/>
    <w:rsid w:val="00EA7F91"/>
    <w:rsid w:val="00EB1523"/>
    <w:rsid w:val="00EB4993"/>
    <w:rsid w:val="00EC0E49"/>
    <w:rsid w:val="00EC101F"/>
    <w:rsid w:val="00EC1D9F"/>
    <w:rsid w:val="00EE0131"/>
    <w:rsid w:val="00EE17B0"/>
    <w:rsid w:val="00EE2682"/>
    <w:rsid w:val="00EF06D9"/>
    <w:rsid w:val="00EF0982"/>
    <w:rsid w:val="00EF0B5F"/>
    <w:rsid w:val="00EF10E5"/>
    <w:rsid w:val="00F126A5"/>
    <w:rsid w:val="00F3049E"/>
    <w:rsid w:val="00F30C64"/>
    <w:rsid w:val="00F32BA2"/>
    <w:rsid w:val="00F32CDB"/>
    <w:rsid w:val="00F3348F"/>
    <w:rsid w:val="00F37280"/>
    <w:rsid w:val="00F41EE4"/>
    <w:rsid w:val="00F565FE"/>
    <w:rsid w:val="00F63A70"/>
    <w:rsid w:val="00F63D8C"/>
    <w:rsid w:val="00F7534E"/>
    <w:rsid w:val="00F7620A"/>
    <w:rsid w:val="00F93EDF"/>
    <w:rsid w:val="00FA1802"/>
    <w:rsid w:val="00FA21D0"/>
    <w:rsid w:val="00FA5F5F"/>
    <w:rsid w:val="00FB4B95"/>
    <w:rsid w:val="00FB730C"/>
    <w:rsid w:val="00FC1E2D"/>
    <w:rsid w:val="00FC2695"/>
    <w:rsid w:val="00FC3E03"/>
    <w:rsid w:val="00FC3FC1"/>
    <w:rsid w:val="00FD747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593FE8BD-63B7-4DB1-9C6A-10BA6B84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styleId="PlaceholderText">
    <w:name w:val="Placeholder Text"/>
    <w:basedOn w:val="DefaultParagraphFont"/>
    <w:uiPriority w:val="99"/>
    <w:semiHidden/>
    <w:rsid w:val="00DC52E3"/>
    <w:rPr>
      <w:color w:val="666666"/>
    </w:rPr>
  </w:style>
  <w:style w:type="character" w:styleId="UnresolvedMention">
    <w:name w:val="Unresolved Mention"/>
    <w:basedOn w:val="DefaultParagraphFont"/>
    <w:uiPriority w:val="99"/>
    <w:semiHidden/>
    <w:unhideWhenUsed/>
    <w:rsid w:val="004D7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6</Pages>
  <Words>2895</Words>
  <Characters>18906</Characters>
  <Application>Microsoft Office Word</Application>
  <DocSecurity>0</DocSecurity>
  <Lines>450</Lines>
  <Paragraphs>286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21515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Samir Meramo Hurtado</cp:lastModifiedBy>
  <cp:revision>7</cp:revision>
  <cp:lastPrinted>2015-05-12T18:31:00Z</cp:lastPrinted>
  <dcterms:created xsi:type="dcterms:W3CDTF">2025-12-15T13:40:00Z</dcterms:created>
  <dcterms:modified xsi:type="dcterms:W3CDTF">2026-03-31T00:12:00Z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