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13167">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13167">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13167">
        <w:trPr>
          <w:trHeight w:val="68"/>
          <w:jc w:val="center"/>
        </w:trPr>
        <w:tc>
          <w:tcPr>
            <w:tcW w:w="8782" w:type="dxa"/>
            <w:gridSpan w:val="2"/>
          </w:tcPr>
          <w:p w14:paraId="1D8DD3C9" w14:textId="61229B97"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16B4AE75" w:rsidR="00E978D0" w:rsidRPr="00B57B36" w:rsidRDefault="00D13167" w:rsidP="00E978D0">
      <w:pPr>
        <w:pStyle w:val="CETTitle"/>
      </w:pPr>
      <w:r w:rsidRPr="00D13167">
        <w:t>H</w:t>
      </w:r>
      <w:r>
        <w:t>eat</w:t>
      </w:r>
      <w:r w:rsidRPr="00D13167">
        <w:t xml:space="preserve"> </w:t>
      </w:r>
      <w:r>
        <w:t>Integration</w:t>
      </w:r>
      <w:r w:rsidRPr="00D13167">
        <w:t xml:space="preserve"> </w:t>
      </w:r>
      <w:r>
        <w:t>of an</w:t>
      </w:r>
      <w:r w:rsidRPr="00D13167">
        <w:t xml:space="preserve"> </w:t>
      </w:r>
      <w:r>
        <w:t>avocado oil</w:t>
      </w:r>
      <w:r w:rsidRPr="00D13167">
        <w:t xml:space="preserve"> </w:t>
      </w:r>
      <w:r>
        <w:t>biorefinery based on the valorisation of avocado side streams</w:t>
      </w:r>
    </w:p>
    <w:p w14:paraId="0488FED2" w14:textId="0237268A" w:rsidR="00B57E6F" w:rsidRPr="00D13167" w:rsidRDefault="00D13167" w:rsidP="00B57E6F">
      <w:pPr>
        <w:pStyle w:val="CETAuthors"/>
        <w:rPr>
          <w:lang w:val="es-419"/>
        </w:rPr>
      </w:pPr>
      <w:r w:rsidRPr="00D13167">
        <w:rPr>
          <w:lang w:val="es-419"/>
        </w:rPr>
        <w:t>Samir Meramo</w:t>
      </w:r>
      <w:r>
        <w:rPr>
          <w:vertAlign w:val="superscript"/>
          <w:lang w:val="es-419"/>
        </w:rPr>
        <w:t>*</w:t>
      </w:r>
      <w:r w:rsidR="00B57E6F" w:rsidRPr="00D13167">
        <w:rPr>
          <w:lang w:val="es-419"/>
        </w:rPr>
        <w:t xml:space="preserve">, </w:t>
      </w:r>
      <w:r w:rsidRPr="00D13167">
        <w:rPr>
          <w:lang w:val="es-419"/>
        </w:rPr>
        <w:t>Tamy Herrera</w:t>
      </w:r>
      <w:r>
        <w:rPr>
          <w:lang w:val="es-419"/>
        </w:rPr>
        <w:t>-Rodriguez,Angel Dario Gonzalez-Delgado</w:t>
      </w:r>
    </w:p>
    <w:p w14:paraId="3D72B0B0" w14:textId="73877EDF" w:rsidR="00B57E6F" w:rsidRPr="00B57B36" w:rsidRDefault="00B57E6F" w:rsidP="00B57E6F">
      <w:pPr>
        <w:pStyle w:val="CETAddress"/>
      </w:pPr>
      <w:r w:rsidRPr="00B57B36">
        <w:rPr>
          <w:vertAlign w:val="superscript"/>
        </w:rPr>
        <w:t>a</w:t>
      </w:r>
      <w:r w:rsidR="00D13167" w:rsidRPr="00D13167">
        <w:t xml:space="preserve"> Nanomaterials and</w:t>
      </w:r>
      <w:r w:rsidR="00801D7C">
        <w:t xml:space="preserve"> </w:t>
      </w:r>
      <w:r w:rsidR="00D13167" w:rsidRPr="00D13167">
        <w:t>Computer Aided Process Engineering Research Group (NIPAC), Chemical Engineering Department, Faculty of Engineering, University of Cartagena, Av. del Consulado Calle 30 No. 48-152, Cartagena, Colombia.</w:t>
      </w:r>
    </w:p>
    <w:p w14:paraId="73F1267A" w14:textId="1C8BBE1B" w:rsidR="00B57E6F" w:rsidRPr="003B4EA5" w:rsidRDefault="00B57E6F" w:rsidP="00B57E6F">
      <w:pPr>
        <w:pStyle w:val="CETemail"/>
        <w:rPr>
          <w:lang w:val="fr-FR"/>
        </w:rPr>
      </w:pPr>
      <w:r>
        <w:t xml:space="preserve"> </w:t>
      </w:r>
      <w:r w:rsidR="00D13167">
        <w:rPr>
          <w:lang w:val="fr-FR"/>
        </w:rPr>
        <w:t>smeramoh@unicartagena.edu.co.</w:t>
      </w:r>
    </w:p>
    <w:p w14:paraId="57F00777" w14:textId="1713B22A" w:rsidR="00D13167" w:rsidRDefault="00D13167" w:rsidP="00600535">
      <w:pPr>
        <w:pStyle w:val="CETBodytext"/>
        <w:rPr>
          <w:lang w:val="en-GB"/>
        </w:rPr>
      </w:pPr>
      <w:r w:rsidRPr="00D13167">
        <w:rPr>
          <w:lang w:val="en-GB"/>
        </w:rPr>
        <w:t>This study investigates process–energy integration in an avocado-processing system to optimize energy use and reduce environmental impacts associated with avocado-derived products. Avocado processing generates significant amounts of underutilized organic waste, presenting opportunities for energy recovery within the production chain. An algebraic pinch-based method was applied to identify energy-integration potential, followed by the design of a theoretical heat-exchange network and simulation-based refinement of the integrated process. Results demonstrate that energy integration is highly feasible, achieving reductions of 90–95% in both heating and cooling utility demands. The optimal configuration comprises eight heat exchangers above the pinch point and three below it. These findings highlight the effectiveness of process–energy integration for improving resource efficiency, lowering greenhouse gas emissions, and enhancing the economic sustainability of avocado processing. Further research on emerging technologies is recommended to enable additional gains in energy efficiency.</w:t>
      </w:r>
    </w:p>
    <w:p w14:paraId="5DEDC542" w14:textId="77777777" w:rsidR="00C553C9" w:rsidRDefault="00600535" w:rsidP="00C553C9">
      <w:pPr>
        <w:pStyle w:val="CETHeading1"/>
        <w:rPr>
          <w:lang w:val="en-GB"/>
        </w:rPr>
      </w:pPr>
      <w:r w:rsidRPr="00B57B36">
        <w:rPr>
          <w:lang w:val="en-GB"/>
        </w:rPr>
        <w:t>Introduction</w:t>
      </w:r>
    </w:p>
    <w:p w14:paraId="6B23FCC9" w14:textId="0E488C2C" w:rsidR="004D7582" w:rsidRDefault="004D7582" w:rsidP="004D7582">
      <w:pPr>
        <w:pStyle w:val="CETBodytext"/>
      </w:pPr>
      <w:r>
        <w:t>The global demand for avocado-derived products has increased rapidly in recent years due to their nutritional value, functional properties, and expanding use in food, cosmetic, and pharmaceutical industries. This increase has intensified avocado-processing activities, which has led to higher energy consumption and the generation of large volumes of organic residues. As a result, improving the energy efficiency and sustainability of agro-industrial processing systems has become a critical priority under rising energy costs and stricter environmental regulations. Avocado processing is an inherently energy-intensive operation, involving several heating and cooling steps such as pulp conditioning, dehydration, extraction, and solvent recovery. Solarte-Toro et al. (2022) demonstrated through a life cycle assessment of small-scale avocado biorefineries in Colombia that energy consumption is the dominant contributor to climate change and resource depletion impacts. Similarly, Garcia-Vallejo et al. (2023) showed that avocado waste valorization routes remain highly sensitive to utility demand, confirming that inefficient energy use significantly affects the environmental performance of avocado-derived products. These findings indicate that conventional avocado-processing systems often lack sufficient internal energy recovery mechanisms.</w:t>
      </w:r>
    </w:p>
    <w:p w14:paraId="14F13818" w14:textId="0A6C5E22" w:rsidR="004D7582" w:rsidRDefault="004D7582" w:rsidP="004D7582">
      <w:pPr>
        <w:pStyle w:val="CETBodytext"/>
      </w:pPr>
      <w:r>
        <w:t>Process integration and system-level optimization have been widely recognized as effective approaches for improving sustainability in biorefineries. Dickson et al. (2021) demonstrated that integrating techno-economic analysis with life cycle assessment enables the identification of energy and cost hotspots early in process design, leading to more sustainable bioprocess configurations. Meramo-Hurtado and Gonzalez-Delgado (2020) further showed that sensitivity-driven techno-economic frameworks are essential for evaluating emerging biorefineries, particularly when utility consumption dominates operating costs. These studies collectively highlight the importance of integrating energy efficiency considerations directly into process design rather than treating them as downstream optimizations.</w:t>
      </w:r>
      <w:r w:rsidR="002A6863">
        <w:t xml:space="preserve"> </w:t>
      </w:r>
      <w:r w:rsidR="002A6863" w:rsidRPr="002A6863">
        <w:t xml:space="preserve">Recent research has also emphasized the importance of heat integration in valorization pathways for agricultural and biomass waste, where high utility demands and low-grade heat streams are prevalent. Systematic heat recovery strategies have been highlighted as essential to improve energy efficiency and reduce external utilities in biorefinery designs that valorize agro-industrial residues (Prado-Acebo et al., 2024). In the food and agricultural processing sectors, structured waste heat </w:t>
      </w:r>
      <w:r w:rsidR="002A6863" w:rsidRPr="002A6863">
        <w:lastRenderedPageBreak/>
        <w:t>recovery frameworks have been applied to identify and quantify recoverable heat from process effluent and other waste streams, demonstrating significant potential to reduce overall energy requirements in industrial operations (Luo et al., 2022). Reviews of sustainable agricultural biomass valorization further underscore that lowering energy consumption through process integration, including optimized heat exchange and waste heat recovery</w:t>
      </w:r>
      <w:r w:rsidR="002A6863">
        <w:t xml:space="preserve"> </w:t>
      </w:r>
      <w:r w:rsidR="002A6863" w:rsidRPr="002A6863">
        <w:t>is critical to enhancing environmental performance and economic feasibility of agricultural waste conversion technologies (Faraldo et al., 2024). These findings collectively reinforce the relevance of pinch-based heat integration for emerging bio-based and agricultural waste valorization systems, motivating its application to avocado processing in the present study.</w:t>
      </w:r>
    </w:p>
    <w:p w14:paraId="2D2FAAE1" w14:textId="79B92575" w:rsidR="004D7582" w:rsidRDefault="004D7582" w:rsidP="004D7582">
      <w:pPr>
        <w:pStyle w:val="CETBodytext"/>
      </w:pPr>
      <w:r>
        <w:t>In the specific context of avocado processing, prior work by the authors has established a strong foundation for sustainability-oriented process analysis. Herrera et al. (2022) applied exergy analysis to an avocado oil extraction process, demonstrating that significant energy losses occur in thermal units and that energy conservation strategies can substantially improve process performance. González-Delgado et al. (2022) further evaluated avocado oil extraction systems under biorefinery principles, showing that integrated valorization of avocado side streams can improve both environmental and economic outcomes. However, while these studies identified energy inefficiencies and sustainability hotspots, they did not explicitly quantify minimum heating and cooling requirements or synthesize heat-exchange networks</w:t>
      </w:r>
      <w:r w:rsidR="00C63465">
        <w:t xml:space="preserve"> (HEN)</w:t>
      </w:r>
      <w:r>
        <w:t>.</w:t>
      </w:r>
    </w:p>
    <w:p w14:paraId="17F9BEB5" w14:textId="3F7604BC" w:rsidR="00093FAD" w:rsidRDefault="004D7582" w:rsidP="004D7582">
      <w:pPr>
        <w:pStyle w:val="CETBodytext"/>
        <w:rPr>
          <w:b/>
        </w:rPr>
      </w:pPr>
      <w:r>
        <w:t xml:space="preserve">This study addresses this gap by applying an algebraic pinch-based methodology to an avocado-processing system to systematically identify internal heat recovery opportunities. Building on previously published avocado biorefinery configurations, the work establishes minimum energy targets, proposes a </w:t>
      </w:r>
      <w:r w:rsidR="00C63465">
        <w:t>HEN</w:t>
      </w:r>
      <w:r>
        <w:t>, and refines the integrated system through process simulation. By reducing reliance on external heating and cooling utilities, the proposed approach aims to enhance energy efficiency, reduce environmental impacts, and improve the overall sustainability of avocado-derived product manufacturing</w:t>
      </w:r>
      <w:r w:rsidR="00093FAD" w:rsidRPr="00093FAD">
        <w:t>.</w:t>
      </w:r>
    </w:p>
    <w:p w14:paraId="5741900F" w14:textId="1FB8B971" w:rsidR="00453E24" w:rsidRPr="00093FAD" w:rsidRDefault="00093FAD" w:rsidP="00093FAD">
      <w:pPr>
        <w:pStyle w:val="CETheadingx"/>
        <w:numPr>
          <w:ilvl w:val="0"/>
          <w:numId w:val="0"/>
        </w:numPr>
      </w:pPr>
      <w:r>
        <w:t>2.</w:t>
      </w:r>
      <w:r w:rsidR="001C3AE2">
        <w:t>Materials and methods</w:t>
      </w:r>
    </w:p>
    <w:p w14:paraId="0636B784" w14:textId="0B5CEAD8" w:rsidR="00453E24" w:rsidRDefault="001C3AE2" w:rsidP="00093FAD">
      <w:pPr>
        <w:pStyle w:val="CETheadingx"/>
        <w:numPr>
          <w:ilvl w:val="1"/>
          <w:numId w:val="23"/>
        </w:numPr>
      </w:pPr>
      <w:r>
        <w:t>Process description</w:t>
      </w:r>
    </w:p>
    <w:p w14:paraId="00B26A32" w14:textId="0A472823" w:rsidR="00801D7C" w:rsidRDefault="00801D7C" w:rsidP="00801D7C">
      <w:pPr>
        <w:pStyle w:val="CETBodytext"/>
      </w:pPr>
      <w:r>
        <w:t>The thermal-extractive avocado biorefinery is designed to valorize avocado side streams unsuitable for human consumption through the integrated production of avocado oil as the main product, alongside biochar, chlorophyll-rich extract, treated peel, and pulp without fat. The conceptual basis and early-stage assessment of this process were previously developed and published by the authors, including thermodynamic, exergy, and sustainability-oriented evaluations of avocado oil extraction systems (Herrera et al., 2022). In the present work, this previously proposed process is further expanded and consolidated through detailed process simulation, techno-economic assessment, and life cycle assessment, with a plant capacity of approximately 10,605 t·y</w:t>
      </w:r>
      <w:r>
        <w:rPr>
          <w:rFonts w:ascii="Cambria Math" w:hAnsi="Cambria Math" w:cs="Cambria Math"/>
        </w:rPr>
        <w:t>⁻</w:t>
      </w:r>
      <w:r>
        <w:rPr>
          <w:rFonts w:cs="Arial"/>
        </w:rPr>
        <w:t>¹</w:t>
      </w:r>
      <w:r>
        <w:t xml:space="preserve"> of avocado based on feedstock availability in Northern Colombia. Figure 1 shows the process simulation diagram of the avocado oil biorefinery.</w:t>
      </w:r>
    </w:p>
    <w:p w14:paraId="261FFA12" w14:textId="379621DA" w:rsidR="00801D7C" w:rsidRDefault="00801D7C" w:rsidP="00801D7C">
      <w:pPr>
        <w:pStyle w:val="CETBodytext"/>
      </w:pPr>
      <w:r w:rsidRPr="00C75E3C">
        <w:rPr>
          <w:noProof/>
        </w:rPr>
        <w:drawing>
          <wp:inline distT="0" distB="0" distL="0" distR="0" wp14:anchorId="159D7958" wp14:editId="7285C536">
            <wp:extent cx="5869639" cy="2597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1199" cy="2597840"/>
                    </a:xfrm>
                    <a:prstGeom prst="rect">
                      <a:avLst/>
                    </a:prstGeom>
                    <a:noFill/>
                    <a:ln>
                      <a:noFill/>
                    </a:ln>
                  </pic:spPr>
                </pic:pic>
              </a:graphicData>
            </a:graphic>
          </wp:inline>
        </w:drawing>
      </w:r>
    </w:p>
    <w:p w14:paraId="57A0C16D" w14:textId="102F9FDD" w:rsidR="00801D7C" w:rsidRDefault="00801D7C" w:rsidP="00801D7C">
      <w:pPr>
        <w:pStyle w:val="CETCaption"/>
      </w:pPr>
      <w:r w:rsidRPr="00BD077D">
        <w:rPr>
          <w:rStyle w:val="CETCaptionCarattere"/>
          <w:i/>
        </w:rPr>
        <w:t xml:space="preserve">Figure 1: </w:t>
      </w:r>
      <w:r>
        <w:rPr>
          <w:rStyle w:val="CETCaptionCarattere"/>
          <w:i/>
        </w:rPr>
        <w:t>Process simulation diagram of avocado oil biorefinery.</w:t>
      </w:r>
      <w:r w:rsidRPr="00BD077D">
        <w:t xml:space="preserve"> </w:t>
      </w:r>
    </w:p>
    <w:p w14:paraId="4752EDB4" w14:textId="2B2EE0AE" w:rsidR="00801D7C" w:rsidRDefault="00801D7C" w:rsidP="00801D7C">
      <w:pPr>
        <w:pStyle w:val="CETBodytext"/>
      </w:pPr>
      <w:r>
        <w:t xml:space="preserve">The process begins with feedstock conditioning, where incoming avocados are washed and disinfected using a sodium hypochlorite solution, followed by mechanical peeling and pulping. This step generates three main fractions: pulp, peel, and seed, which are handled separately to enable targeted valorization pathways. The pulp </w:t>
      </w:r>
      <w:r>
        <w:lastRenderedPageBreak/>
        <w:t>stream is homogenized and dehydrated at moderate temperature to reduce moisture content while preserving oil quality. Oil extraction is performed under thermal-extractive conditions using hexane as solvent, as established in the authors’ earlier process evaluations (Herrera et al., 2022). After extraction, solid residues are separated by centrifugation, and the oil–solvent mixture is sent to a distillation unit where hexane is recovered and recycled to the extractor. The recovered avocado oil is cooled to prevent oxidation, while the defatted pulp is obtained as a co-product.</w:t>
      </w:r>
    </w:p>
    <w:p w14:paraId="5375F8F7" w14:textId="77777777" w:rsidR="00801D7C" w:rsidRDefault="00801D7C" w:rsidP="00801D7C">
      <w:pPr>
        <w:pStyle w:val="CETBodytext"/>
      </w:pPr>
      <w:r>
        <w:t>The peel fraction is washed, dried, and milled to enhance mass transfer prior to pigment extraction. Chlorophyll extraction is carried out using ethanol as solvent, followed by solid–liquid separation via centrifugation. Ethanol is subsequently recovered through distillation and reused within the process, yielding a concentrated chlorophyll-rich extract as a high-value product. The remaining solid peel fraction is collected as treated biomass, which can be used as a bio-fertilizer or soil amendment. This peel-based valorization route builds on the cascade biorefinery logic previously introduced by the authors for maximizing resource efficiency in avocado processing systems (González-Delgado et al., 2022).</w:t>
      </w:r>
    </w:p>
    <w:p w14:paraId="279FF821" w14:textId="1E63080C" w:rsidR="00801D7C" w:rsidRPr="00801D7C" w:rsidRDefault="00801D7C" w:rsidP="00801D7C">
      <w:pPr>
        <w:pStyle w:val="CETBodytext"/>
      </w:pPr>
      <w:r>
        <w:t>The seed fraction is processed through drying, size reduction, and sieving before being fed to a pyrolysis reactor operating at approximately 400 °C under an inert nitrogen atmosphere, favoring biochar production. The resulting biochar is cooled, ground, and sieved to meet product specifications. Throughout the biorefinery, utilities such as steam, electricity, cooling water, refrigerant, and inert gas support thermal, separation, and conversion operations, while solvent recovery and internal recycling loops are implemented to reduce operating costs and environmental burdens. Overall, the process represents an evolution of the authors’ previously published avocado biorefinery concepts into a fully integrated and quantitatively assessed techno-economic and environmental framework (González-Delgado et al., 2022).</w:t>
      </w:r>
    </w:p>
    <w:p w14:paraId="7BA9A861" w14:textId="0B9F8CFB" w:rsidR="009B2BD9" w:rsidRDefault="009B2BD9" w:rsidP="00093FAD">
      <w:pPr>
        <w:pStyle w:val="CETheadingx"/>
        <w:numPr>
          <w:ilvl w:val="1"/>
          <w:numId w:val="23"/>
        </w:numPr>
      </w:pPr>
      <w:r>
        <w:t>Heat integration</w:t>
      </w:r>
    </w:p>
    <w:p w14:paraId="0C2DEA0B" w14:textId="355C261C" w:rsidR="00DC52E3" w:rsidRPr="00C553C9" w:rsidRDefault="00C63465" w:rsidP="00C553C9">
      <w:pPr>
        <w:pStyle w:val="CETBodytext"/>
      </w:pPr>
      <w:r w:rsidRPr="00C63465">
        <w:t>Heat integration was performed using an algorithmic pinch analysis approach to systematically minimize external energy consumption and enhance internal heat recovery within the process (Klemeš et al., 2018). This methodology is grounded in the second law of thermodynamics and enables the identification of minimum heating and cooling targets prior to detailed process design, ensuring that energy improvements are constrained by fundamental thermodynamic limits rather than trial-and-error modifications.</w:t>
      </w:r>
    </w:p>
    <w:p w14:paraId="7319B33B" w14:textId="01F61438" w:rsidR="00DC52E3" w:rsidRPr="00C553C9" w:rsidRDefault="00DC52E3" w:rsidP="00C553C9">
      <w:pPr>
        <w:pStyle w:val="CETBodytext"/>
      </w:pPr>
      <w:r w:rsidRPr="00C553C9">
        <w:t>The first step involved the identification and characterization of all relevant hot and cold process streams. For each stream, supply and target temperatures, mass flow rates, and specific heat capacities (</w:t>
      </w:r>
      <w:r w:rsidRPr="00C553C9">
        <w:rPr>
          <w:rFonts w:ascii="Cambria Math" w:hAnsi="Cambria Math" w:cs="Cambria Math"/>
        </w:rPr>
        <w:t>𝐶𝑝</w:t>
      </w:r>
      <w:r w:rsidRPr="00C553C9">
        <w:t>)</w:t>
      </w:r>
      <w:r w:rsidR="0028627A">
        <w:t xml:space="preserve"> </w:t>
      </w:r>
      <w:r w:rsidRPr="00C553C9">
        <w:t>were determined. Heat capacity flow rates (</w:t>
      </w:r>
      <w:r w:rsidRPr="00C553C9">
        <w:rPr>
          <w:rFonts w:ascii="Cambria Math" w:hAnsi="Cambria Math" w:cs="Cambria Math"/>
        </w:rPr>
        <w:t>𝑚𝐶𝑝</w:t>
      </w:r>
      <w:r w:rsidRPr="00C553C9">
        <w:t>) were calculated and assumed constant within each temperature interval. Phase-change operations were modeled as isothermal heat sources or sinks. A minimum temperature difference (Δ</w:t>
      </w:r>
      <w:r w:rsidRPr="00C553C9">
        <w:rPr>
          <w:rFonts w:ascii="Cambria Math" w:hAnsi="Cambria Math" w:cs="Cambria Math"/>
        </w:rPr>
        <w:t>𝑇</w:t>
      </w:r>
      <w:r w:rsidRPr="00C553C9">
        <w:t>min) was selected to represent practical heat-transfer constraints and to balance capital and operating costs.</w:t>
      </w:r>
    </w:p>
    <w:tbl>
      <w:tblPr>
        <w:tblW w:w="5000" w:type="pct"/>
        <w:tblLook w:val="04A0" w:firstRow="1" w:lastRow="0" w:firstColumn="1" w:lastColumn="0" w:noHBand="0" w:noVBand="1"/>
      </w:tblPr>
      <w:tblGrid>
        <w:gridCol w:w="7983"/>
        <w:gridCol w:w="804"/>
      </w:tblGrid>
      <w:tr w:rsidR="00DC52E3" w:rsidRPr="00B57B36" w14:paraId="27A7C964" w14:textId="77777777" w:rsidTr="0028627A">
        <w:tc>
          <w:tcPr>
            <w:tcW w:w="7983" w:type="dxa"/>
            <w:vAlign w:val="center"/>
          </w:tcPr>
          <w:p w14:paraId="52431823" w14:textId="010CA6EF" w:rsidR="00DC52E3" w:rsidRPr="00DC52E3" w:rsidRDefault="00DC52E3">
            <w:pPr>
              <w:pStyle w:val="CETEquation"/>
            </w:pPr>
            <m:oMathPara>
              <m:oMathParaPr>
                <m:jc m:val="left"/>
              </m:oMathParaPr>
              <m:oMath>
                <m:r>
                  <w:rPr>
                    <w:rFonts w:ascii="Cambria Math" w:hAnsi="Cambria Math"/>
                  </w:rPr>
                  <m:t>T=t+</m:t>
                </m:r>
                <m:r>
                  <m:rPr>
                    <m:sty m:val="p"/>
                  </m:rPr>
                  <w:rPr>
                    <w:rFonts w:ascii="Cambria Math" w:hAnsi="Cambria Math"/>
                  </w:rPr>
                  <m:t>Δ</m:t>
                </m:r>
                <m:r>
                  <m:rPr>
                    <m:sty m:val="p"/>
                  </m:rPr>
                  <w:rPr>
                    <w:rFonts w:ascii="Cambria Math" w:hAnsi="Cambria Math" w:cs="Cambria Math"/>
                  </w:rPr>
                  <m:t>Tmin</m:t>
                </m:r>
              </m:oMath>
            </m:oMathPara>
          </w:p>
        </w:tc>
        <w:tc>
          <w:tcPr>
            <w:tcW w:w="804" w:type="dxa"/>
            <w:vAlign w:val="center"/>
          </w:tcPr>
          <w:p w14:paraId="7301D07A" w14:textId="77777777" w:rsidR="00DC52E3" w:rsidRPr="00B57B36" w:rsidRDefault="00DC52E3">
            <w:pPr>
              <w:pStyle w:val="CETEquation"/>
              <w:jc w:val="right"/>
            </w:pPr>
            <w:r w:rsidRPr="00B57B36">
              <w:t>(1)</w:t>
            </w:r>
          </w:p>
        </w:tc>
      </w:tr>
      <w:tr w:rsidR="00DC52E3" w:rsidRPr="00B57B36" w14:paraId="19982F18" w14:textId="77777777" w:rsidTr="0028627A">
        <w:tc>
          <w:tcPr>
            <w:tcW w:w="7983" w:type="dxa"/>
            <w:vAlign w:val="center"/>
          </w:tcPr>
          <w:p w14:paraId="7B6D4FA4" w14:textId="6D6CDC31" w:rsidR="00DC52E3" w:rsidRPr="00DC52E3" w:rsidRDefault="00DC52E3">
            <w:pPr>
              <w:pStyle w:val="CETEquation"/>
            </w:pPr>
            <m:oMathPara>
              <m:oMathParaPr>
                <m:jc m:val="left"/>
              </m:oMathParaPr>
              <m:oMath>
                <m:r>
                  <w:rPr>
                    <w:rFonts w:ascii="Cambria Math" w:hAnsi="Cambria Math"/>
                  </w:rPr>
                  <m:t>H</m:t>
                </m:r>
                <m:sSub>
                  <m:sSubPr>
                    <m:ctrlPr>
                      <w:rPr>
                        <w:rFonts w:ascii="Cambria Math" w:hAnsi="Cambria Math"/>
                        <w:i/>
                      </w:rPr>
                    </m:ctrlPr>
                  </m:sSubPr>
                  <m:e>
                    <m:r>
                      <w:rPr>
                        <w:rFonts w:ascii="Cambria Math" w:hAnsi="Cambria Math"/>
                      </w:rPr>
                      <m:t>H</m:t>
                    </m:r>
                  </m:e>
                  <m:sub>
                    <m:r>
                      <w:rPr>
                        <w:rFonts w:ascii="Cambria Math" w:hAnsi="Cambria Math"/>
                      </w:rPr>
                      <m:t>u,z</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u</m:t>
                    </m:r>
                  </m:sub>
                </m:sSub>
                <m:sSub>
                  <m:sSubPr>
                    <m:ctrlPr>
                      <w:rPr>
                        <w:rFonts w:ascii="Cambria Math" w:hAnsi="Cambria Math"/>
                        <w:i/>
                      </w:rPr>
                    </m:ctrlPr>
                  </m:sSubPr>
                  <m:e>
                    <m:r>
                      <w:rPr>
                        <w:rFonts w:ascii="Cambria Math" w:hAnsi="Cambria Math"/>
                      </w:rPr>
                      <m:t>C</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i-1</m:t>
                        </m:r>
                      </m:sub>
                    </m:sSub>
                  </m:e>
                </m:d>
              </m:oMath>
            </m:oMathPara>
          </w:p>
        </w:tc>
        <w:tc>
          <w:tcPr>
            <w:tcW w:w="804" w:type="dxa"/>
            <w:vAlign w:val="center"/>
          </w:tcPr>
          <w:p w14:paraId="2B954C2D" w14:textId="61F8D5FF" w:rsidR="00DC52E3" w:rsidRPr="00B57B36" w:rsidRDefault="00DC52E3">
            <w:pPr>
              <w:pStyle w:val="CETEquation"/>
              <w:jc w:val="right"/>
            </w:pPr>
            <w:r w:rsidRPr="00B57B36">
              <w:t>(</w:t>
            </w:r>
            <w:r>
              <w:t>2</w:t>
            </w:r>
            <w:r w:rsidRPr="00B57B36">
              <w:t>)</w:t>
            </w:r>
          </w:p>
        </w:tc>
      </w:tr>
      <w:tr w:rsidR="00DC52E3" w:rsidRPr="00B57B36" w14:paraId="314D639C" w14:textId="77777777" w:rsidTr="0028627A">
        <w:tc>
          <w:tcPr>
            <w:tcW w:w="7983" w:type="dxa"/>
            <w:vAlign w:val="center"/>
          </w:tcPr>
          <w:p w14:paraId="0A0DF5AD" w14:textId="64937985" w:rsidR="00DC52E3" w:rsidRPr="00DC52E3" w:rsidRDefault="00000000">
            <w:pPr>
              <w:pStyle w:val="CETEquation"/>
            </w:pPr>
            <m:oMathPara>
              <m:oMathParaPr>
                <m:jc m:val="left"/>
              </m:oMathParaPr>
              <m:oMath>
                <m:sSub>
                  <m:sSubPr>
                    <m:ctrlPr>
                      <w:rPr>
                        <w:rFonts w:ascii="Cambria Math" w:hAnsi="Cambria Math"/>
                        <w:i/>
                      </w:rPr>
                    </m:ctrlPr>
                  </m:sSubPr>
                  <m:e>
                    <m:r>
                      <w:rPr>
                        <w:rFonts w:ascii="Cambria Math" w:hAnsi="Cambria Math"/>
                      </w:rPr>
                      <m:t>HC</m:t>
                    </m:r>
                  </m:e>
                  <m:sub>
                    <m:r>
                      <w:rPr>
                        <w:rFonts w:ascii="Cambria Math" w:hAnsi="Cambria Math"/>
                      </w:rPr>
                      <m:t>u,z</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u</m:t>
                    </m:r>
                  </m:sub>
                </m:sSub>
                <m:sSub>
                  <m:sSubPr>
                    <m:ctrlPr>
                      <w:rPr>
                        <w:rFonts w:ascii="Cambria Math" w:hAnsi="Cambria Math"/>
                        <w:i/>
                      </w:rPr>
                    </m:ctrlPr>
                  </m:sSubPr>
                  <m:e>
                    <m:r>
                      <w:rPr>
                        <w:rFonts w:ascii="Cambria Math" w:hAnsi="Cambria Math"/>
                      </w:rPr>
                      <m:t>c</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i-1</m:t>
                        </m:r>
                      </m:sub>
                    </m:sSub>
                  </m:e>
                </m:d>
              </m:oMath>
            </m:oMathPara>
          </w:p>
        </w:tc>
        <w:tc>
          <w:tcPr>
            <w:tcW w:w="804" w:type="dxa"/>
            <w:vAlign w:val="center"/>
          </w:tcPr>
          <w:p w14:paraId="54969E8D" w14:textId="0C88A2B9" w:rsidR="00DC52E3" w:rsidRPr="00B57B36" w:rsidRDefault="00DC52E3">
            <w:pPr>
              <w:pStyle w:val="CETEquation"/>
              <w:jc w:val="right"/>
            </w:pPr>
            <w:r w:rsidRPr="00B57B36">
              <w:t>(</w:t>
            </w:r>
            <w:r>
              <w:t>3</w:t>
            </w:r>
            <w:r w:rsidRPr="00B57B36">
              <w:t>)</w:t>
            </w:r>
          </w:p>
        </w:tc>
      </w:tr>
      <w:tr w:rsidR="00DC52E3" w:rsidRPr="00B57B36" w14:paraId="496C31E1" w14:textId="77777777" w:rsidTr="0028627A">
        <w:tc>
          <w:tcPr>
            <w:tcW w:w="7983" w:type="dxa"/>
            <w:vAlign w:val="center"/>
          </w:tcPr>
          <w:p w14:paraId="3038B161" w14:textId="120D506E" w:rsidR="00DC52E3" w:rsidRPr="00DC52E3" w:rsidRDefault="00000000">
            <w:pPr>
              <w:pStyle w:val="CETEquation"/>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=H</m:t>
                </m:r>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Total</m:t>
                    </m:r>
                  </m:sup>
                </m:sSubSup>
                <m:r>
                  <w:rPr>
                    <w:rFonts w:ascii="Cambria Math" w:hAnsi="Cambria Math"/>
                  </w:rPr>
                  <m:t>- H</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Total</m:t>
                    </m:r>
                  </m:sup>
                </m:sSub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i-1</m:t>
                    </m:r>
                  </m:sub>
                </m:sSub>
              </m:oMath>
            </m:oMathPara>
          </w:p>
        </w:tc>
        <w:tc>
          <w:tcPr>
            <w:tcW w:w="804" w:type="dxa"/>
            <w:vAlign w:val="center"/>
          </w:tcPr>
          <w:p w14:paraId="09F9A644" w14:textId="7A0C416D" w:rsidR="00DC52E3" w:rsidRPr="00B57B36" w:rsidRDefault="00DC52E3">
            <w:pPr>
              <w:pStyle w:val="CETEquation"/>
              <w:jc w:val="right"/>
            </w:pPr>
            <w:r w:rsidRPr="00B57B36">
              <w:t>(</w:t>
            </w:r>
            <w:r>
              <w:t>4</w:t>
            </w:r>
            <w:r w:rsidRPr="00B57B36">
              <w:t>)</w:t>
            </w:r>
          </w:p>
        </w:tc>
      </w:tr>
    </w:tbl>
    <w:p w14:paraId="7BB94912" w14:textId="77777777" w:rsidR="0052048F" w:rsidRDefault="0052048F" w:rsidP="00DC52E3">
      <w:pPr>
        <w:pStyle w:val="CETBodytext"/>
      </w:pPr>
      <w:r w:rsidRPr="0052048F">
        <w:t>Using the shifted-temperature approach, the energy cascade algorithm was applied directly across discrete temperature intervals defined by the hot and cold streams. This algebraic procedure enabled the determination of minimum heating and cooling utility requirements and the identification of the pinch point, which corresponds to the interval with zero residual heat and represents the location of maximum thermodynamic constraint. The pinch divides the process into two thermodynamically independent regions above and below the pinch, each governed by strict design rules to prevent cross-pinch heat transfer and associated energy penalties.</w:t>
      </w:r>
    </w:p>
    <w:p w14:paraId="56FE7F03" w14:textId="4004302F" w:rsidR="009B2BD9" w:rsidRDefault="00DC52E3" w:rsidP="00DC52E3">
      <w:pPr>
        <w:pStyle w:val="CETBodytext"/>
      </w:pPr>
      <w:r>
        <w:t xml:space="preserve">Based on the energy targets, a preliminary </w:t>
      </w:r>
      <w:r w:rsidR="00C63465">
        <w:t>HEN</w:t>
      </w:r>
      <w:r>
        <w:t xml:space="preserve"> was synthesized following pinch design heuristics. The network was subsequently refined to improve feasibility, reduce exchanger count, and enhance operational flexibility. Overall, the algorithmic heat-integration method provides a rigorous and transparent framework for improving energy efficiency and supporting sustainable process design in complex industrial systems.</w:t>
      </w:r>
    </w:p>
    <w:p w14:paraId="677EBFF0" w14:textId="046C7EDD" w:rsidR="00600535" w:rsidRPr="00B57B36" w:rsidRDefault="00C32B8B" w:rsidP="00093FAD">
      <w:pPr>
        <w:pStyle w:val="CETHeading1"/>
        <w:numPr>
          <w:ilvl w:val="0"/>
          <w:numId w:val="23"/>
        </w:numPr>
        <w:tabs>
          <w:tab w:val="right" w:pos="7100"/>
        </w:tabs>
        <w:jc w:val="both"/>
        <w:rPr>
          <w:lang w:val="en-GB"/>
        </w:rPr>
      </w:pPr>
      <w:r>
        <w:rPr>
          <w:lang w:val="en-GB"/>
        </w:rPr>
        <w:t>Results and discussion</w:t>
      </w:r>
    </w:p>
    <w:p w14:paraId="7AFDB6D6" w14:textId="2BF9B8DA" w:rsidR="0028627A" w:rsidRDefault="00581583" w:rsidP="00581583">
      <w:pPr>
        <w:pStyle w:val="CETTabletitle"/>
        <w:rPr>
          <w:i w:val="0"/>
          <w:iCs/>
        </w:rPr>
      </w:pPr>
      <w:r w:rsidRPr="00581583">
        <w:rPr>
          <w:i w:val="0"/>
          <w:iCs/>
        </w:rPr>
        <w:t xml:space="preserve">The process–energy integration analysis was performed based on the identification of relevant hot and cold streams within the avocado oil biorefinery and their corresponding thermal characteristics. Tables 1 and 2 summarize the supply and target temperatures, heat capacity flowrates, and enthalpy changes of the streams </w:t>
      </w:r>
      <w:r w:rsidRPr="00581583">
        <w:rPr>
          <w:i w:val="0"/>
          <w:iCs/>
        </w:rPr>
        <w:lastRenderedPageBreak/>
        <w:t>included in the pinch analysis. These data provided the basis for evaluating internal heat recovery potential, determining energy targets, and synthesizing the heat exchanger network (HEN).</w:t>
      </w:r>
      <w:r>
        <w:rPr>
          <w:i w:val="0"/>
          <w:iCs/>
        </w:rPr>
        <w:t xml:space="preserve"> </w:t>
      </w:r>
      <w:r w:rsidRPr="00581583">
        <w:rPr>
          <w:i w:val="0"/>
          <w:iCs/>
        </w:rPr>
        <w:t>Four hot streams were identified in the process, all with supply temperatures close to 70 °C and target temperatures ranging between 18 and 65 °C. Among these, Stream 54 represents the largest source of recoverable heat, contributing approximately 1.90 × 10⁵ kJ/h, followed by Stream 30 with a duty of 1.14 × 10⁵ kJ/h. The remaining hot streams (Streams 51 and 26) exhibit relatively small heat duties and therefore have a limited influence on overall heat recovery. The total heat available from hot streams amounts to 3.04 × 10⁵ kJ/h, indicating a limited but relevant potential for internal heat recovery within the process.</w:t>
      </w:r>
      <w:r>
        <w:rPr>
          <w:i w:val="0"/>
          <w:iCs/>
        </w:rPr>
        <w:t xml:space="preserve"> </w:t>
      </w:r>
      <w:r w:rsidRPr="00581583">
        <w:rPr>
          <w:i w:val="0"/>
          <w:iCs/>
        </w:rPr>
        <w:t>The numbering assigned to process streams (e.g., Stream 54, Stream 30) corresponds to the identification labels generated during process simulation in Aspen Plus®. They are retained in this study to ensure consistency between simulation outputs and heat integration analysis</w:t>
      </w:r>
      <w:r w:rsidR="0028627A" w:rsidRPr="0028627A">
        <w:rPr>
          <w:i w:val="0"/>
          <w:iCs/>
        </w:rPr>
        <w:t>.</w:t>
      </w:r>
    </w:p>
    <w:p w14:paraId="6EB32865" w14:textId="77777777" w:rsidR="004D7582" w:rsidRPr="00B57B36" w:rsidRDefault="004D7582" w:rsidP="004D7582">
      <w:pPr>
        <w:pStyle w:val="CETTabletitle"/>
      </w:pPr>
      <w:r w:rsidRPr="00B57B36">
        <w:t xml:space="preserve">Table </w:t>
      </w:r>
      <w:r>
        <w:t>1</w:t>
      </w:r>
      <w:r w:rsidRPr="00B57B36">
        <w:t xml:space="preserve">: </w:t>
      </w:r>
      <w:r>
        <w:t>Heat duties of hot streams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278"/>
        <w:gridCol w:w="1350"/>
      </w:tblGrid>
      <w:tr w:rsidR="004D7582" w:rsidRPr="00B57B36" w14:paraId="65E86F5E" w14:textId="77777777" w:rsidTr="00D86691">
        <w:tc>
          <w:tcPr>
            <w:tcW w:w="1134" w:type="dxa"/>
            <w:tcBorders>
              <w:top w:val="single" w:sz="12" w:space="0" w:color="008000"/>
              <w:bottom w:val="single" w:sz="6" w:space="0" w:color="008000"/>
            </w:tcBorders>
            <w:shd w:val="clear" w:color="auto" w:fill="FFFFFF"/>
          </w:tcPr>
          <w:p w14:paraId="6A218EDE" w14:textId="77777777" w:rsidR="004D7582" w:rsidRPr="00B57B36" w:rsidRDefault="004D7582" w:rsidP="00D86691">
            <w:pPr>
              <w:pStyle w:val="CETBodytext"/>
              <w:rPr>
                <w:lang w:val="en-GB"/>
              </w:rPr>
            </w:pPr>
            <w:r w:rsidRPr="00B57B36">
              <w:rPr>
                <w:lang w:val="en-GB"/>
              </w:rPr>
              <w:t>H</w:t>
            </w:r>
            <w:r>
              <w:rPr>
                <w:lang w:val="en-GB"/>
              </w:rPr>
              <w:t>ot streams</w:t>
            </w:r>
          </w:p>
        </w:tc>
        <w:tc>
          <w:tcPr>
            <w:tcW w:w="1134" w:type="dxa"/>
            <w:tcBorders>
              <w:top w:val="single" w:sz="12" w:space="0" w:color="008000"/>
              <w:bottom w:val="single" w:sz="6" w:space="0" w:color="008000"/>
            </w:tcBorders>
            <w:shd w:val="clear" w:color="auto" w:fill="FFFFFF"/>
          </w:tcPr>
          <w:p w14:paraId="2472D54F" w14:textId="5E6007AA" w:rsidR="004D7582" w:rsidRPr="00B57B36" w:rsidRDefault="004D7582" w:rsidP="00D86691">
            <w:pPr>
              <w:pStyle w:val="CETBodytext"/>
              <w:rPr>
                <w:lang w:val="en-GB"/>
              </w:rPr>
            </w:pPr>
            <w:r>
              <w:rPr>
                <w:lang w:val="en-GB"/>
              </w:rPr>
              <w:t>T</w:t>
            </w:r>
            <w:r w:rsidRPr="002A6863">
              <w:rPr>
                <w:vertAlign w:val="subscript"/>
                <w:lang w:val="en-GB"/>
              </w:rPr>
              <w:t>supply</w:t>
            </w:r>
            <w:r>
              <w:rPr>
                <w:lang w:val="en-GB"/>
              </w:rPr>
              <w:t xml:space="preserve"> (</w:t>
            </w:r>
            <w:r w:rsidR="0028627A">
              <w:rPr>
                <w:rFonts w:ascii="Calibri" w:hAnsi="Calibri" w:cs="Calibri"/>
                <w:lang w:val="en-GB"/>
              </w:rPr>
              <w:t>°</w:t>
            </w:r>
            <w:r>
              <w:rPr>
                <w:lang w:val="en-GB"/>
              </w:rPr>
              <w:t>C)</w:t>
            </w:r>
          </w:p>
        </w:tc>
        <w:tc>
          <w:tcPr>
            <w:tcW w:w="1134" w:type="dxa"/>
            <w:tcBorders>
              <w:top w:val="single" w:sz="12" w:space="0" w:color="008000"/>
              <w:bottom w:val="single" w:sz="6" w:space="0" w:color="008000"/>
            </w:tcBorders>
            <w:shd w:val="clear" w:color="auto" w:fill="FFFFFF"/>
          </w:tcPr>
          <w:p w14:paraId="646DF86F" w14:textId="57CCAF12" w:rsidR="004D7582" w:rsidRPr="00B57B36" w:rsidRDefault="004D7582" w:rsidP="00D86691">
            <w:pPr>
              <w:pStyle w:val="CETBodytext"/>
              <w:rPr>
                <w:lang w:val="en-GB"/>
              </w:rPr>
            </w:pPr>
            <w:r>
              <w:rPr>
                <w:lang w:val="en-GB"/>
              </w:rPr>
              <w:t>T</w:t>
            </w:r>
            <w:r w:rsidRPr="002A6863">
              <w:rPr>
                <w:vertAlign w:val="subscript"/>
                <w:lang w:val="en-GB"/>
              </w:rPr>
              <w:t>target</w:t>
            </w:r>
            <w:r>
              <w:rPr>
                <w:lang w:val="en-GB"/>
              </w:rPr>
              <w:t xml:space="preserve"> (</w:t>
            </w:r>
            <w:r w:rsidR="0028627A">
              <w:rPr>
                <w:rFonts w:ascii="Calibri" w:hAnsi="Calibri" w:cs="Calibri"/>
                <w:lang w:val="en-GB"/>
              </w:rPr>
              <w:t>°</w:t>
            </w:r>
            <w:r>
              <w:rPr>
                <w:lang w:val="en-GB"/>
              </w:rPr>
              <w:t>C)</w:t>
            </w:r>
          </w:p>
        </w:tc>
        <w:tc>
          <w:tcPr>
            <w:tcW w:w="1278" w:type="dxa"/>
            <w:tcBorders>
              <w:top w:val="single" w:sz="12" w:space="0" w:color="008000"/>
              <w:bottom w:val="single" w:sz="6" w:space="0" w:color="008000"/>
            </w:tcBorders>
            <w:shd w:val="clear" w:color="auto" w:fill="FFFFFF"/>
          </w:tcPr>
          <w:p w14:paraId="69E0B820" w14:textId="2C0BF3A9" w:rsidR="004D7582" w:rsidRPr="00B57B36" w:rsidRDefault="004D7582" w:rsidP="00D86691">
            <w:pPr>
              <w:pStyle w:val="CETBodytext"/>
              <w:ind w:right="-1"/>
              <w:rPr>
                <w:rFonts w:cs="Arial"/>
                <w:szCs w:val="18"/>
                <w:lang w:val="en-GB"/>
              </w:rPr>
            </w:pPr>
            <w:r>
              <w:rPr>
                <w:rFonts w:cs="Arial"/>
                <w:szCs w:val="18"/>
                <w:lang w:val="en-GB"/>
              </w:rPr>
              <w:t xml:space="preserve">mCp (kJ/h </w:t>
            </w:r>
            <w:r w:rsidR="0028627A">
              <w:rPr>
                <w:rFonts w:ascii="Calibri" w:hAnsi="Calibri" w:cs="Calibri"/>
                <w:szCs w:val="18"/>
                <w:lang w:val="en-GB"/>
              </w:rPr>
              <w:t>°</w:t>
            </w:r>
            <w:r>
              <w:rPr>
                <w:rFonts w:cs="Arial"/>
                <w:szCs w:val="18"/>
                <w:lang w:val="en-GB"/>
              </w:rPr>
              <w:t>C)</w:t>
            </w:r>
          </w:p>
        </w:tc>
        <w:tc>
          <w:tcPr>
            <w:tcW w:w="1350" w:type="dxa"/>
            <w:tcBorders>
              <w:top w:val="single" w:sz="12" w:space="0" w:color="008000"/>
              <w:bottom w:val="single" w:sz="6" w:space="0" w:color="008000"/>
            </w:tcBorders>
            <w:shd w:val="clear" w:color="auto" w:fill="FFFFFF"/>
          </w:tcPr>
          <w:p w14:paraId="6D04A2DA" w14:textId="77777777" w:rsidR="004D7582" w:rsidRPr="00B57B36" w:rsidRDefault="004D7582" w:rsidP="00D86691">
            <w:pPr>
              <w:pStyle w:val="CETBodytext"/>
              <w:ind w:right="-1"/>
              <w:rPr>
                <w:rFonts w:cs="Arial"/>
                <w:szCs w:val="18"/>
                <w:lang w:val="en-GB"/>
              </w:rPr>
            </w:pPr>
            <w:r>
              <w:rPr>
                <w:rFonts w:cs="Arial"/>
                <w:szCs w:val="18"/>
                <w:lang w:val="en-GB"/>
              </w:rPr>
              <w:t>Enthalpy (kJ/h)</w:t>
            </w:r>
          </w:p>
        </w:tc>
      </w:tr>
      <w:tr w:rsidR="004D7582" w:rsidRPr="00B57B36" w14:paraId="107A84B5" w14:textId="77777777" w:rsidTr="00D86691">
        <w:tc>
          <w:tcPr>
            <w:tcW w:w="1134" w:type="dxa"/>
            <w:shd w:val="clear" w:color="auto" w:fill="FFFFFF"/>
          </w:tcPr>
          <w:p w14:paraId="210551D3" w14:textId="77777777" w:rsidR="004D7582" w:rsidRPr="00B57B36" w:rsidRDefault="004D7582" w:rsidP="00D86691">
            <w:pPr>
              <w:pStyle w:val="CETBodytext"/>
              <w:rPr>
                <w:lang w:val="en-GB"/>
              </w:rPr>
            </w:pPr>
            <w:r>
              <w:rPr>
                <w:lang w:val="en-GB"/>
              </w:rPr>
              <w:t>Stream 54</w:t>
            </w:r>
          </w:p>
        </w:tc>
        <w:tc>
          <w:tcPr>
            <w:tcW w:w="1134" w:type="dxa"/>
            <w:shd w:val="clear" w:color="auto" w:fill="FFFFFF"/>
          </w:tcPr>
          <w:p w14:paraId="6420DBF9" w14:textId="77777777" w:rsidR="004D7582" w:rsidRPr="00B57B36" w:rsidRDefault="004D7582" w:rsidP="00D86691">
            <w:pPr>
              <w:pStyle w:val="CETBodytext"/>
              <w:rPr>
                <w:lang w:val="en-GB"/>
              </w:rPr>
            </w:pPr>
            <w:r>
              <w:rPr>
                <w:lang w:val="en-GB"/>
              </w:rPr>
              <w:t>70</w:t>
            </w:r>
          </w:p>
        </w:tc>
        <w:tc>
          <w:tcPr>
            <w:tcW w:w="1134" w:type="dxa"/>
            <w:shd w:val="clear" w:color="auto" w:fill="FFFFFF"/>
          </w:tcPr>
          <w:p w14:paraId="5BA3D4DE" w14:textId="77777777" w:rsidR="004D7582" w:rsidRPr="00B57B36" w:rsidRDefault="004D7582" w:rsidP="00D86691">
            <w:pPr>
              <w:pStyle w:val="CETBodytext"/>
              <w:rPr>
                <w:lang w:val="en-GB"/>
              </w:rPr>
            </w:pPr>
            <w:r>
              <w:rPr>
                <w:lang w:val="en-GB"/>
              </w:rPr>
              <w:t>35</w:t>
            </w:r>
          </w:p>
        </w:tc>
        <w:tc>
          <w:tcPr>
            <w:tcW w:w="1278" w:type="dxa"/>
            <w:shd w:val="clear" w:color="auto" w:fill="FFFFFF"/>
          </w:tcPr>
          <w:p w14:paraId="372A3AB1" w14:textId="77777777" w:rsidR="004D7582" w:rsidRPr="00B57B36" w:rsidRDefault="004D7582" w:rsidP="00D86691">
            <w:pPr>
              <w:pStyle w:val="CETBodytext"/>
              <w:ind w:right="-1"/>
              <w:rPr>
                <w:rFonts w:cs="Arial"/>
                <w:szCs w:val="18"/>
                <w:lang w:val="en-GB"/>
              </w:rPr>
            </w:pPr>
            <w:r>
              <w:rPr>
                <w:rFonts w:cs="Arial"/>
                <w:szCs w:val="18"/>
                <w:lang w:val="en-GB"/>
              </w:rPr>
              <w:t>5,418</w:t>
            </w:r>
          </w:p>
        </w:tc>
        <w:tc>
          <w:tcPr>
            <w:tcW w:w="1350" w:type="dxa"/>
            <w:shd w:val="clear" w:color="auto" w:fill="FFFFFF"/>
          </w:tcPr>
          <w:p w14:paraId="6A1A5D4F" w14:textId="77777777" w:rsidR="004D7582" w:rsidRPr="00B57B36" w:rsidRDefault="004D7582" w:rsidP="00D86691">
            <w:pPr>
              <w:pStyle w:val="CETBodytext"/>
              <w:ind w:right="-1"/>
              <w:rPr>
                <w:rFonts w:cs="Arial"/>
                <w:szCs w:val="18"/>
                <w:lang w:val="en-GB"/>
              </w:rPr>
            </w:pPr>
            <w:r w:rsidRPr="006E14C9">
              <w:t>1.90E+05</w:t>
            </w:r>
          </w:p>
        </w:tc>
      </w:tr>
      <w:tr w:rsidR="004D7582" w:rsidRPr="00B57B36" w14:paraId="0A4EDDBD" w14:textId="77777777" w:rsidTr="00D86691">
        <w:tc>
          <w:tcPr>
            <w:tcW w:w="1134" w:type="dxa"/>
            <w:shd w:val="clear" w:color="auto" w:fill="FFFFFF"/>
          </w:tcPr>
          <w:p w14:paraId="4741C189" w14:textId="77777777" w:rsidR="004D7582" w:rsidRDefault="004D7582" w:rsidP="00D86691">
            <w:pPr>
              <w:pStyle w:val="CETBodytext"/>
              <w:rPr>
                <w:lang w:val="en-GB"/>
              </w:rPr>
            </w:pPr>
            <w:r>
              <w:rPr>
                <w:lang w:val="en-GB"/>
              </w:rPr>
              <w:t>Stream 51</w:t>
            </w:r>
          </w:p>
        </w:tc>
        <w:tc>
          <w:tcPr>
            <w:tcW w:w="1134" w:type="dxa"/>
            <w:shd w:val="clear" w:color="auto" w:fill="FFFFFF"/>
          </w:tcPr>
          <w:p w14:paraId="40AA7DEF" w14:textId="77777777" w:rsidR="004D7582" w:rsidRPr="00B57B36" w:rsidRDefault="004D7582" w:rsidP="00D86691">
            <w:pPr>
              <w:pStyle w:val="CETBodytext"/>
              <w:rPr>
                <w:lang w:val="en-GB"/>
              </w:rPr>
            </w:pPr>
            <w:r>
              <w:rPr>
                <w:lang w:val="en-GB"/>
              </w:rPr>
              <w:t>70</w:t>
            </w:r>
          </w:p>
        </w:tc>
        <w:tc>
          <w:tcPr>
            <w:tcW w:w="1134" w:type="dxa"/>
            <w:shd w:val="clear" w:color="auto" w:fill="FFFFFF"/>
          </w:tcPr>
          <w:p w14:paraId="67AE1981" w14:textId="77777777" w:rsidR="004D7582" w:rsidRPr="00B57B36" w:rsidRDefault="004D7582" w:rsidP="00D86691">
            <w:pPr>
              <w:pStyle w:val="CETBodytext"/>
              <w:rPr>
                <w:lang w:val="en-GB"/>
              </w:rPr>
            </w:pPr>
            <w:r>
              <w:rPr>
                <w:lang w:val="en-GB"/>
              </w:rPr>
              <w:t>30</w:t>
            </w:r>
          </w:p>
        </w:tc>
        <w:tc>
          <w:tcPr>
            <w:tcW w:w="1278" w:type="dxa"/>
            <w:shd w:val="clear" w:color="auto" w:fill="FFFFFF"/>
          </w:tcPr>
          <w:p w14:paraId="1D156858" w14:textId="77777777" w:rsidR="004D7582" w:rsidRPr="00B57B36" w:rsidRDefault="004D7582" w:rsidP="00D86691">
            <w:pPr>
              <w:pStyle w:val="CETBodytext"/>
              <w:ind w:right="-1"/>
              <w:rPr>
                <w:rFonts w:cs="Arial"/>
                <w:szCs w:val="18"/>
                <w:lang w:val="en-GB"/>
              </w:rPr>
            </w:pPr>
            <w:r>
              <w:rPr>
                <w:rFonts w:cs="Arial"/>
                <w:szCs w:val="18"/>
                <w:lang w:val="en-GB"/>
              </w:rPr>
              <w:t>7</w:t>
            </w:r>
          </w:p>
        </w:tc>
        <w:tc>
          <w:tcPr>
            <w:tcW w:w="1350" w:type="dxa"/>
            <w:shd w:val="clear" w:color="auto" w:fill="FFFFFF"/>
          </w:tcPr>
          <w:p w14:paraId="5950C2D2" w14:textId="77777777" w:rsidR="004D7582" w:rsidRPr="00B57B36" w:rsidRDefault="004D7582" w:rsidP="00D86691">
            <w:pPr>
              <w:pStyle w:val="CETBodytext"/>
              <w:ind w:right="-1"/>
              <w:rPr>
                <w:rFonts w:cs="Arial"/>
                <w:szCs w:val="18"/>
                <w:lang w:val="en-GB"/>
              </w:rPr>
            </w:pPr>
            <w:r w:rsidRPr="006E14C9">
              <w:t>2.93E+02</w:t>
            </w:r>
          </w:p>
        </w:tc>
      </w:tr>
      <w:tr w:rsidR="004D7582" w:rsidRPr="00B57B36" w14:paraId="0896EB83" w14:textId="77777777" w:rsidTr="00D86691">
        <w:tc>
          <w:tcPr>
            <w:tcW w:w="1134" w:type="dxa"/>
            <w:shd w:val="clear" w:color="auto" w:fill="FFFFFF"/>
          </w:tcPr>
          <w:p w14:paraId="0E9D6146" w14:textId="77777777" w:rsidR="004D7582" w:rsidRDefault="004D7582" w:rsidP="00D86691">
            <w:pPr>
              <w:pStyle w:val="CETBodytext"/>
              <w:rPr>
                <w:lang w:val="en-GB"/>
              </w:rPr>
            </w:pPr>
            <w:r>
              <w:rPr>
                <w:lang w:val="en-GB"/>
              </w:rPr>
              <w:t>Stream 26</w:t>
            </w:r>
          </w:p>
        </w:tc>
        <w:tc>
          <w:tcPr>
            <w:tcW w:w="1134" w:type="dxa"/>
            <w:shd w:val="clear" w:color="auto" w:fill="FFFFFF"/>
          </w:tcPr>
          <w:p w14:paraId="46A96417" w14:textId="77777777" w:rsidR="004D7582" w:rsidRPr="00B57B36" w:rsidRDefault="004D7582" w:rsidP="00D86691">
            <w:pPr>
              <w:pStyle w:val="CETBodytext"/>
              <w:rPr>
                <w:lang w:val="en-GB"/>
              </w:rPr>
            </w:pPr>
            <w:r>
              <w:rPr>
                <w:lang w:val="en-GB"/>
              </w:rPr>
              <w:t>70</w:t>
            </w:r>
          </w:p>
        </w:tc>
        <w:tc>
          <w:tcPr>
            <w:tcW w:w="1134" w:type="dxa"/>
            <w:shd w:val="clear" w:color="auto" w:fill="FFFFFF"/>
          </w:tcPr>
          <w:p w14:paraId="6B719FE4" w14:textId="77777777" w:rsidR="004D7582" w:rsidRPr="00B57B36" w:rsidRDefault="004D7582" w:rsidP="00D86691">
            <w:pPr>
              <w:pStyle w:val="CETBodytext"/>
              <w:rPr>
                <w:lang w:val="en-GB"/>
              </w:rPr>
            </w:pPr>
            <w:r>
              <w:rPr>
                <w:lang w:val="en-GB"/>
              </w:rPr>
              <w:t>18</w:t>
            </w:r>
          </w:p>
        </w:tc>
        <w:tc>
          <w:tcPr>
            <w:tcW w:w="1278" w:type="dxa"/>
            <w:shd w:val="clear" w:color="auto" w:fill="FFFFFF"/>
          </w:tcPr>
          <w:p w14:paraId="010FF05B" w14:textId="77777777" w:rsidR="004D7582" w:rsidRPr="00B57B36" w:rsidRDefault="004D7582" w:rsidP="00D86691">
            <w:pPr>
              <w:pStyle w:val="CETBodytext"/>
              <w:ind w:right="-1"/>
              <w:rPr>
                <w:rFonts w:cs="Arial"/>
                <w:szCs w:val="18"/>
                <w:lang w:val="en-GB"/>
              </w:rPr>
            </w:pPr>
            <w:r>
              <w:rPr>
                <w:rFonts w:cs="Arial"/>
                <w:szCs w:val="18"/>
                <w:lang w:val="en-GB"/>
              </w:rPr>
              <w:t>3</w:t>
            </w:r>
          </w:p>
        </w:tc>
        <w:tc>
          <w:tcPr>
            <w:tcW w:w="1350" w:type="dxa"/>
            <w:shd w:val="clear" w:color="auto" w:fill="FFFFFF"/>
          </w:tcPr>
          <w:p w14:paraId="5B8496B8" w14:textId="77777777" w:rsidR="004D7582" w:rsidRPr="00B57B36" w:rsidRDefault="004D7582" w:rsidP="00D86691">
            <w:pPr>
              <w:pStyle w:val="CETBodytext"/>
              <w:ind w:right="-1"/>
              <w:rPr>
                <w:rFonts w:cs="Arial"/>
                <w:szCs w:val="18"/>
                <w:lang w:val="en-GB"/>
              </w:rPr>
            </w:pPr>
            <w:r w:rsidRPr="006E14C9">
              <w:t>1.42E+02</w:t>
            </w:r>
          </w:p>
        </w:tc>
      </w:tr>
      <w:tr w:rsidR="004D7582" w:rsidRPr="00B57B36" w14:paraId="112B61B9" w14:textId="77777777" w:rsidTr="00D86691">
        <w:tc>
          <w:tcPr>
            <w:tcW w:w="1134" w:type="dxa"/>
            <w:shd w:val="clear" w:color="auto" w:fill="FFFFFF"/>
          </w:tcPr>
          <w:p w14:paraId="20D5B74A" w14:textId="77777777" w:rsidR="004D7582" w:rsidRDefault="004D7582" w:rsidP="00D86691">
            <w:pPr>
              <w:pStyle w:val="CETBodytext"/>
              <w:rPr>
                <w:lang w:val="en-GB"/>
              </w:rPr>
            </w:pPr>
            <w:r>
              <w:rPr>
                <w:lang w:val="en-GB"/>
              </w:rPr>
              <w:t>Stream 30</w:t>
            </w:r>
          </w:p>
        </w:tc>
        <w:tc>
          <w:tcPr>
            <w:tcW w:w="1134" w:type="dxa"/>
            <w:shd w:val="clear" w:color="auto" w:fill="FFFFFF"/>
          </w:tcPr>
          <w:p w14:paraId="41E55C49" w14:textId="77777777" w:rsidR="004D7582" w:rsidRPr="00B57B36" w:rsidRDefault="004D7582" w:rsidP="00D86691">
            <w:pPr>
              <w:pStyle w:val="CETBodytext"/>
              <w:rPr>
                <w:lang w:val="en-GB"/>
              </w:rPr>
            </w:pPr>
            <w:r>
              <w:rPr>
                <w:lang w:val="en-GB"/>
              </w:rPr>
              <w:t>70</w:t>
            </w:r>
          </w:p>
        </w:tc>
        <w:tc>
          <w:tcPr>
            <w:tcW w:w="1134" w:type="dxa"/>
            <w:shd w:val="clear" w:color="auto" w:fill="FFFFFF"/>
          </w:tcPr>
          <w:p w14:paraId="17124486" w14:textId="77777777" w:rsidR="004D7582" w:rsidRPr="00B57B36" w:rsidRDefault="004D7582" w:rsidP="00D86691">
            <w:pPr>
              <w:pStyle w:val="CETBodytext"/>
              <w:rPr>
                <w:lang w:val="en-GB"/>
              </w:rPr>
            </w:pPr>
            <w:r>
              <w:rPr>
                <w:lang w:val="en-GB"/>
              </w:rPr>
              <w:t>65</w:t>
            </w:r>
          </w:p>
        </w:tc>
        <w:tc>
          <w:tcPr>
            <w:tcW w:w="1278" w:type="dxa"/>
            <w:shd w:val="clear" w:color="auto" w:fill="FFFFFF"/>
          </w:tcPr>
          <w:p w14:paraId="32DB80A7" w14:textId="77777777" w:rsidR="004D7582" w:rsidRPr="00B57B36" w:rsidRDefault="004D7582" w:rsidP="00D86691">
            <w:pPr>
              <w:pStyle w:val="CETBodytext"/>
              <w:ind w:right="-1"/>
              <w:rPr>
                <w:rFonts w:cs="Arial"/>
                <w:szCs w:val="18"/>
                <w:lang w:val="en-GB"/>
              </w:rPr>
            </w:pPr>
            <w:r>
              <w:rPr>
                <w:rFonts w:cs="Arial"/>
                <w:szCs w:val="18"/>
                <w:lang w:val="en-GB"/>
              </w:rPr>
              <w:t>22,850</w:t>
            </w:r>
          </w:p>
        </w:tc>
        <w:tc>
          <w:tcPr>
            <w:tcW w:w="1350" w:type="dxa"/>
            <w:shd w:val="clear" w:color="auto" w:fill="FFFFFF"/>
          </w:tcPr>
          <w:p w14:paraId="29E35472" w14:textId="77777777" w:rsidR="004D7582" w:rsidRPr="00B57B36" w:rsidRDefault="004D7582" w:rsidP="00D86691">
            <w:pPr>
              <w:pStyle w:val="CETBodytext"/>
              <w:ind w:right="-1"/>
              <w:rPr>
                <w:rFonts w:cs="Arial"/>
                <w:szCs w:val="18"/>
                <w:lang w:val="en-GB"/>
              </w:rPr>
            </w:pPr>
            <w:r w:rsidRPr="006E14C9">
              <w:t>1.14E+05</w:t>
            </w:r>
          </w:p>
        </w:tc>
      </w:tr>
      <w:tr w:rsidR="004D7582" w:rsidRPr="00B57B36" w14:paraId="52837573" w14:textId="77777777" w:rsidTr="00D86691">
        <w:tc>
          <w:tcPr>
            <w:tcW w:w="1134" w:type="dxa"/>
            <w:shd w:val="clear" w:color="auto" w:fill="FFFFFF"/>
          </w:tcPr>
          <w:p w14:paraId="4850B48C" w14:textId="77777777" w:rsidR="004D7582" w:rsidRDefault="004D7582" w:rsidP="00D86691">
            <w:pPr>
              <w:pStyle w:val="CETBodytext"/>
              <w:rPr>
                <w:lang w:val="en-GB"/>
              </w:rPr>
            </w:pPr>
            <w:r>
              <w:rPr>
                <w:lang w:val="en-GB"/>
              </w:rPr>
              <w:t>Total duty</w:t>
            </w:r>
          </w:p>
        </w:tc>
        <w:tc>
          <w:tcPr>
            <w:tcW w:w="1134" w:type="dxa"/>
            <w:shd w:val="clear" w:color="auto" w:fill="FFFFFF"/>
          </w:tcPr>
          <w:p w14:paraId="5B2B3D7E" w14:textId="77777777" w:rsidR="004D7582" w:rsidRPr="00B57B36" w:rsidRDefault="004D7582" w:rsidP="00D86691">
            <w:pPr>
              <w:pStyle w:val="CETBodytext"/>
              <w:rPr>
                <w:lang w:val="en-GB"/>
              </w:rPr>
            </w:pPr>
          </w:p>
        </w:tc>
        <w:tc>
          <w:tcPr>
            <w:tcW w:w="1134" w:type="dxa"/>
            <w:shd w:val="clear" w:color="auto" w:fill="FFFFFF"/>
          </w:tcPr>
          <w:p w14:paraId="24E2F46D" w14:textId="77777777" w:rsidR="004D7582" w:rsidRPr="00B57B36" w:rsidRDefault="004D7582" w:rsidP="00D86691">
            <w:pPr>
              <w:pStyle w:val="CETBodytext"/>
              <w:rPr>
                <w:lang w:val="en-GB"/>
              </w:rPr>
            </w:pPr>
          </w:p>
        </w:tc>
        <w:tc>
          <w:tcPr>
            <w:tcW w:w="1278" w:type="dxa"/>
            <w:shd w:val="clear" w:color="auto" w:fill="FFFFFF"/>
          </w:tcPr>
          <w:p w14:paraId="31C7B16C" w14:textId="77777777" w:rsidR="004D7582" w:rsidRPr="00B57B36" w:rsidRDefault="004D7582" w:rsidP="00D86691">
            <w:pPr>
              <w:pStyle w:val="CETBodytext"/>
              <w:ind w:right="-1"/>
              <w:rPr>
                <w:rFonts w:cs="Arial"/>
                <w:szCs w:val="18"/>
                <w:lang w:val="en-GB"/>
              </w:rPr>
            </w:pPr>
          </w:p>
        </w:tc>
        <w:tc>
          <w:tcPr>
            <w:tcW w:w="1350" w:type="dxa"/>
            <w:shd w:val="clear" w:color="auto" w:fill="FFFFFF"/>
          </w:tcPr>
          <w:p w14:paraId="54EE3C13" w14:textId="77777777" w:rsidR="004D7582" w:rsidRPr="00B57B36" w:rsidRDefault="004D7582" w:rsidP="00D86691">
            <w:pPr>
              <w:pStyle w:val="CETBodytext"/>
              <w:ind w:right="-1"/>
              <w:rPr>
                <w:rFonts w:cs="Arial"/>
                <w:szCs w:val="18"/>
                <w:lang w:val="en-GB"/>
              </w:rPr>
            </w:pPr>
            <w:r w:rsidRPr="00562C78">
              <w:rPr>
                <w:rFonts w:cs="Arial"/>
                <w:szCs w:val="18"/>
                <w:lang w:val="en-GB"/>
              </w:rPr>
              <w:t>3.04E+05</w:t>
            </w:r>
          </w:p>
        </w:tc>
      </w:tr>
    </w:tbl>
    <w:p w14:paraId="1FCA1FCB" w14:textId="77777777" w:rsidR="004D7582" w:rsidRPr="00B57B36" w:rsidRDefault="004D7582" w:rsidP="004D7582">
      <w:pPr>
        <w:pStyle w:val="CETTabletitle"/>
      </w:pPr>
      <w:r w:rsidRPr="00B57B36">
        <w:t xml:space="preserve">Table </w:t>
      </w:r>
      <w:r>
        <w:t>2</w:t>
      </w:r>
      <w:r w:rsidRPr="00B57B36">
        <w:t xml:space="preserve">: </w:t>
      </w:r>
      <w:r>
        <w:t>Heat duties of cold streams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278"/>
        <w:gridCol w:w="1350"/>
      </w:tblGrid>
      <w:tr w:rsidR="004D7582" w:rsidRPr="00B57B36" w14:paraId="6670F5E3" w14:textId="77777777" w:rsidTr="00D86691">
        <w:tc>
          <w:tcPr>
            <w:tcW w:w="1134" w:type="dxa"/>
            <w:tcBorders>
              <w:top w:val="single" w:sz="12" w:space="0" w:color="008000"/>
              <w:bottom w:val="single" w:sz="6" w:space="0" w:color="008000"/>
            </w:tcBorders>
            <w:shd w:val="clear" w:color="auto" w:fill="FFFFFF"/>
          </w:tcPr>
          <w:p w14:paraId="283282F8" w14:textId="77777777" w:rsidR="004D7582" w:rsidRPr="00B57B36" w:rsidRDefault="004D7582" w:rsidP="00D86691">
            <w:pPr>
              <w:pStyle w:val="CETBodytext"/>
              <w:rPr>
                <w:lang w:val="en-GB"/>
              </w:rPr>
            </w:pPr>
            <w:r>
              <w:rPr>
                <w:lang w:val="en-GB"/>
              </w:rPr>
              <w:t>Cold streams</w:t>
            </w:r>
          </w:p>
        </w:tc>
        <w:tc>
          <w:tcPr>
            <w:tcW w:w="1134" w:type="dxa"/>
            <w:tcBorders>
              <w:top w:val="single" w:sz="12" w:space="0" w:color="008000"/>
              <w:bottom w:val="single" w:sz="6" w:space="0" w:color="008000"/>
            </w:tcBorders>
            <w:shd w:val="clear" w:color="auto" w:fill="FFFFFF"/>
          </w:tcPr>
          <w:p w14:paraId="34D71DDD" w14:textId="10295451" w:rsidR="004D7582" w:rsidRPr="00B57B36" w:rsidRDefault="004D7582" w:rsidP="00D86691">
            <w:pPr>
              <w:pStyle w:val="CETBodytext"/>
              <w:rPr>
                <w:lang w:val="en-GB"/>
              </w:rPr>
            </w:pPr>
            <w:r>
              <w:rPr>
                <w:lang w:val="en-GB"/>
              </w:rPr>
              <w:t>T</w:t>
            </w:r>
            <w:r w:rsidRPr="002A6863">
              <w:rPr>
                <w:vertAlign w:val="subscript"/>
                <w:lang w:val="en-GB"/>
              </w:rPr>
              <w:t>supply</w:t>
            </w:r>
            <w:r>
              <w:rPr>
                <w:lang w:val="en-GB"/>
              </w:rPr>
              <w:t xml:space="preserve"> (</w:t>
            </w:r>
            <w:r w:rsidR="0028627A">
              <w:rPr>
                <w:rFonts w:ascii="Calibri" w:hAnsi="Calibri" w:cs="Calibri"/>
                <w:lang w:val="en-GB"/>
              </w:rPr>
              <w:t>°</w:t>
            </w:r>
            <w:r>
              <w:rPr>
                <w:lang w:val="en-GB"/>
              </w:rPr>
              <w:t>C)</w:t>
            </w:r>
          </w:p>
        </w:tc>
        <w:tc>
          <w:tcPr>
            <w:tcW w:w="1134" w:type="dxa"/>
            <w:tcBorders>
              <w:top w:val="single" w:sz="12" w:space="0" w:color="008000"/>
              <w:bottom w:val="single" w:sz="6" w:space="0" w:color="008000"/>
            </w:tcBorders>
            <w:shd w:val="clear" w:color="auto" w:fill="FFFFFF"/>
          </w:tcPr>
          <w:p w14:paraId="3BA182D9" w14:textId="5093CAB8" w:rsidR="004D7582" w:rsidRPr="00B57B36" w:rsidRDefault="004D7582" w:rsidP="00D86691">
            <w:pPr>
              <w:pStyle w:val="CETBodytext"/>
              <w:rPr>
                <w:lang w:val="en-GB"/>
              </w:rPr>
            </w:pPr>
            <w:r>
              <w:rPr>
                <w:lang w:val="en-GB"/>
              </w:rPr>
              <w:t>T</w:t>
            </w:r>
            <w:r w:rsidRPr="002A6863">
              <w:rPr>
                <w:vertAlign w:val="subscript"/>
                <w:lang w:val="en-GB"/>
              </w:rPr>
              <w:t>target</w:t>
            </w:r>
            <w:r>
              <w:rPr>
                <w:lang w:val="en-GB"/>
              </w:rPr>
              <w:t xml:space="preserve"> (</w:t>
            </w:r>
            <w:r w:rsidR="0028627A">
              <w:rPr>
                <w:rFonts w:ascii="Calibri" w:hAnsi="Calibri" w:cs="Calibri"/>
                <w:lang w:val="en-GB"/>
              </w:rPr>
              <w:t>°</w:t>
            </w:r>
            <w:r>
              <w:rPr>
                <w:lang w:val="en-GB"/>
              </w:rPr>
              <w:t>C)</w:t>
            </w:r>
          </w:p>
        </w:tc>
        <w:tc>
          <w:tcPr>
            <w:tcW w:w="1278" w:type="dxa"/>
            <w:tcBorders>
              <w:top w:val="single" w:sz="12" w:space="0" w:color="008000"/>
              <w:bottom w:val="single" w:sz="6" w:space="0" w:color="008000"/>
            </w:tcBorders>
            <w:shd w:val="clear" w:color="auto" w:fill="FFFFFF"/>
          </w:tcPr>
          <w:p w14:paraId="3E259753" w14:textId="03DA514C" w:rsidR="004D7582" w:rsidRPr="00B57B36" w:rsidRDefault="004D7582" w:rsidP="00D86691">
            <w:pPr>
              <w:pStyle w:val="CETBodytext"/>
              <w:ind w:right="-1"/>
              <w:rPr>
                <w:rFonts w:cs="Arial"/>
                <w:szCs w:val="18"/>
                <w:lang w:val="en-GB"/>
              </w:rPr>
            </w:pPr>
            <w:r>
              <w:rPr>
                <w:rFonts w:cs="Arial"/>
                <w:szCs w:val="18"/>
                <w:lang w:val="en-GB"/>
              </w:rPr>
              <w:t xml:space="preserve">mCp (kJ/h </w:t>
            </w:r>
            <w:r w:rsidR="0028627A">
              <w:rPr>
                <w:rFonts w:ascii="Calibri" w:hAnsi="Calibri" w:cs="Calibri"/>
                <w:szCs w:val="18"/>
                <w:lang w:val="en-GB"/>
              </w:rPr>
              <w:t>°</w:t>
            </w:r>
            <w:r>
              <w:rPr>
                <w:rFonts w:cs="Arial"/>
                <w:szCs w:val="18"/>
                <w:lang w:val="en-GB"/>
              </w:rPr>
              <w:t>C)</w:t>
            </w:r>
          </w:p>
        </w:tc>
        <w:tc>
          <w:tcPr>
            <w:tcW w:w="1350" w:type="dxa"/>
            <w:tcBorders>
              <w:top w:val="single" w:sz="12" w:space="0" w:color="008000"/>
              <w:bottom w:val="single" w:sz="6" w:space="0" w:color="008000"/>
            </w:tcBorders>
            <w:shd w:val="clear" w:color="auto" w:fill="FFFFFF"/>
          </w:tcPr>
          <w:p w14:paraId="432B127C" w14:textId="77777777" w:rsidR="004D7582" w:rsidRPr="00B57B36" w:rsidRDefault="004D7582" w:rsidP="00D86691">
            <w:pPr>
              <w:pStyle w:val="CETBodytext"/>
              <w:ind w:right="-1"/>
              <w:rPr>
                <w:rFonts w:cs="Arial"/>
                <w:szCs w:val="18"/>
                <w:lang w:val="en-GB"/>
              </w:rPr>
            </w:pPr>
            <w:r>
              <w:rPr>
                <w:rFonts w:cs="Arial"/>
                <w:szCs w:val="18"/>
                <w:lang w:val="en-GB"/>
              </w:rPr>
              <w:t>Enthalpy (kJ/h)</w:t>
            </w:r>
          </w:p>
        </w:tc>
      </w:tr>
      <w:tr w:rsidR="004D7582" w:rsidRPr="00B57B36" w14:paraId="6DC4C03C" w14:textId="77777777" w:rsidTr="00D86691">
        <w:tc>
          <w:tcPr>
            <w:tcW w:w="1134" w:type="dxa"/>
            <w:shd w:val="clear" w:color="auto" w:fill="FFFFFF"/>
          </w:tcPr>
          <w:p w14:paraId="1695F350" w14:textId="77777777" w:rsidR="004D7582" w:rsidRPr="00B57B36" w:rsidRDefault="004D7582" w:rsidP="00D86691">
            <w:pPr>
              <w:pStyle w:val="CETBodytext"/>
              <w:rPr>
                <w:lang w:val="en-GB"/>
              </w:rPr>
            </w:pPr>
            <w:r>
              <w:rPr>
                <w:lang w:val="en-GB"/>
              </w:rPr>
              <w:t>Stream 19</w:t>
            </w:r>
          </w:p>
        </w:tc>
        <w:tc>
          <w:tcPr>
            <w:tcW w:w="1134" w:type="dxa"/>
            <w:shd w:val="clear" w:color="auto" w:fill="FFFFFF"/>
          </w:tcPr>
          <w:p w14:paraId="11A4027B" w14:textId="77777777" w:rsidR="004D7582" w:rsidRPr="00B57B36" w:rsidRDefault="004D7582" w:rsidP="00D86691">
            <w:pPr>
              <w:pStyle w:val="CETBodytext"/>
              <w:rPr>
                <w:lang w:val="en-GB"/>
              </w:rPr>
            </w:pPr>
            <w:r>
              <w:rPr>
                <w:lang w:val="en-GB"/>
              </w:rPr>
              <w:t>27</w:t>
            </w:r>
          </w:p>
        </w:tc>
        <w:tc>
          <w:tcPr>
            <w:tcW w:w="1134" w:type="dxa"/>
            <w:shd w:val="clear" w:color="auto" w:fill="FFFFFF"/>
          </w:tcPr>
          <w:p w14:paraId="5BFFE7EC" w14:textId="77777777" w:rsidR="004D7582" w:rsidRPr="00B57B36" w:rsidRDefault="004D7582" w:rsidP="00D86691">
            <w:pPr>
              <w:pStyle w:val="CETBodytext"/>
              <w:rPr>
                <w:lang w:val="en-GB"/>
              </w:rPr>
            </w:pPr>
            <w:r>
              <w:rPr>
                <w:lang w:val="en-GB"/>
              </w:rPr>
              <w:t>70</w:t>
            </w:r>
          </w:p>
        </w:tc>
        <w:tc>
          <w:tcPr>
            <w:tcW w:w="1278" w:type="dxa"/>
            <w:shd w:val="clear" w:color="auto" w:fill="FFFFFF"/>
          </w:tcPr>
          <w:p w14:paraId="03712E44" w14:textId="77777777" w:rsidR="004D7582" w:rsidRPr="00B57B36" w:rsidRDefault="004D7582" w:rsidP="00D86691">
            <w:pPr>
              <w:pStyle w:val="CETBodytext"/>
              <w:ind w:right="-1"/>
              <w:rPr>
                <w:rFonts w:cs="Arial"/>
                <w:szCs w:val="18"/>
                <w:lang w:val="en-GB"/>
              </w:rPr>
            </w:pPr>
            <w:r>
              <w:rPr>
                <w:rFonts w:cs="Arial"/>
                <w:szCs w:val="18"/>
                <w:lang w:val="en-GB"/>
              </w:rPr>
              <w:t>39,144</w:t>
            </w:r>
          </w:p>
        </w:tc>
        <w:tc>
          <w:tcPr>
            <w:tcW w:w="1350" w:type="dxa"/>
            <w:shd w:val="clear" w:color="auto" w:fill="FFFFFF"/>
          </w:tcPr>
          <w:p w14:paraId="28089EE7" w14:textId="77777777" w:rsidR="004D7582" w:rsidRPr="00B57B36" w:rsidRDefault="004D7582" w:rsidP="00D86691">
            <w:pPr>
              <w:pStyle w:val="CETBodytext"/>
              <w:ind w:right="-1"/>
              <w:rPr>
                <w:rFonts w:cs="Arial"/>
                <w:szCs w:val="18"/>
                <w:lang w:val="en-GB"/>
              </w:rPr>
            </w:pPr>
            <w:r w:rsidRPr="00743B04">
              <w:t>1.70E+06</w:t>
            </w:r>
          </w:p>
        </w:tc>
      </w:tr>
      <w:tr w:rsidR="004D7582" w:rsidRPr="00B57B36" w14:paraId="38149356" w14:textId="77777777" w:rsidTr="00D86691">
        <w:tc>
          <w:tcPr>
            <w:tcW w:w="1134" w:type="dxa"/>
            <w:shd w:val="clear" w:color="auto" w:fill="FFFFFF"/>
          </w:tcPr>
          <w:p w14:paraId="300FA01B" w14:textId="77777777" w:rsidR="004D7582" w:rsidRDefault="004D7582" w:rsidP="00D86691">
            <w:pPr>
              <w:pStyle w:val="CETBodytext"/>
              <w:rPr>
                <w:lang w:val="en-GB"/>
              </w:rPr>
            </w:pPr>
            <w:r>
              <w:rPr>
                <w:lang w:val="en-GB"/>
              </w:rPr>
              <w:t>Stream 25</w:t>
            </w:r>
          </w:p>
        </w:tc>
        <w:tc>
          <w:tcPr>
            <w:tcW w:w="1134" w:type="dxa"/>
            <w:shd w:val="clear" w:color="auto" w:fill="FFFFFF"/>
          </w:tcPr>
          <w:p w14:paraId="627DEB45" w14:textId="77777777" w:rsidR="004D7582" w:rsidRPr="00B57B36" w:rsidRDefault="004D7582" w:rsidP="00D86691">
            <w:pPr>
              <w:pStyle w:val="CETBodytext"/>
              <w:rPr>
                <w:lang w:val="en-GB"/>
              </w:rPr>
            </w:pPr>
            <w:r>
              <w:rPr>
                <w:lang w:val="en-GB"/>
              </w:rPr>
              <w:t>33</w:t>
            </w:r>
          </w:p>
        </w:tc>
        <w:tc>
          <w:tcPr>
            <w:tcW w:w="1134" w:type="dxa"/>
            <w:shd w:val="clear" w:color="auto" w:fill="FFFFFF"/>
          </w:tcPr>
          <w:p w14:paraId="13B7B081" w14:textId="77777777" w:rsidR="004D7582" w:rsidRPr="00B57B36" w:rsidRDefault="004D7582" w:rsidP="00D86691">
            <w:pPr>
              <w:pStyle w:val="CETBodytext"/>
              <w:rPr>
                <w:lang w:val="en-GB"/>
              </w:rPr>
            </w:pPr>
            <w:r>
              <w:rPr>
                <w:lang w:val="en-GB"/>
              </w:rPr>
              <w:t>70</w:t>
            </w:r>
          </w:p>
        </w:tc>
        <w:tc>
          <w:tcPr>
            <w:tcW w:w="1278" w:type="dxa"/>
            <w:shd w:val="clear" w:color="auto" w:fill="FFFFFF"/>
          </w:tcPr>
          <w:p w14:paraId="08FAF0B3" w14:textId="77777777" w:rsidR="004D7582" w:rsidRPr="00B57B36" w:rsidRDefault="004D7582" w:rsidP="00D86691">
            <w:pPr>
              <w:pStyle w:val="CETBodytext"/>
              <w:ind w:right="-1"/>
              <w:rPr>
                <w:rFonts w:cs="Arial"/>
                <w:szCs w:val="18"/>
                <w:lang w:val="en-GB"/>
              </w:rPr>
            </w:pPr>
            <w:r>
              <w:rPr>
                <w:rFonts w:cs="Arial"/>
                <w:szCs w:val="18"/>
                <w:lang w:val="en-GB"/>
              </w:rPr>
              <w:t>4,540</w:t>
            </w:r>
          </w:p>
        </w:tc>
        <w:tc>
          <w:tcPr>
            <w:tcW w:w="1350" w:type="dxa"/>
            <w:shd w:val="clear" w:color="auto" w:fill="FFFFFF"/>
          </w:tcPr>
          <w:p w14:paraId="1DF0C079" w14:textId="77777777" w:rsidR="004D7582" w:rsidRPr="00B57B36" w:rsidRDefault="004D7582" w:rsidP="00D86691">
            <w:pPr>
              <w:pStyle w:val="CETBodytext"/>
              <w:ind w:right="-1"/>
              <w:rPr>
                <w:rFonts w:cs="Arial"/>
                <w:szCs w:val="18"/>
                <w:lang w:val="en-GB"/>
              </w:rPr>
            </w:pPr>
            <w:r w:rsidRPr="00743B04">
              <w:t>1.68E+05</w:t>
            </w:r>
          </w:p>
        </w:tc>
      </w:tr>
      <w:tr w:rsidR="004D7582" w:rsidRPr="00B57B36" w14:paraId="7FA5CBC2" w14:textId="77777777" w:rsidTr="00D86691">
        <w:tc>
          <w:tcPr>
            <w:tcW w:w="1134" w:type="dxa"/>
            <w:shd w:val="clear" w:color="auto" w:fill="FFFFFF"/>
          </w:tcPr>
          <w:p w14:paraId="0865189F" w14:textId="77777777" w:rsidR="004D7582" w:rsidRDefault="004D7582" w:rsidP="00D86691">
            <w:pPr>
              <w:pStyle w:val="CETBodytext"/>
              <w:rPr>
                <w:lang w:val="en-GB"/>
              </w:rPr>
            </w:pPr>
            <w:r>
              <w:rPr>
                <w:lang w:val="en-GB"/>
              </w:rPr>
              <w:t>Stream 49</w:t>
            </w:r>
          </w:p>
        </w:tc>
        <w:tc>
          <w:tcPr>
            <w:tcW w:w="1134" w:type="dxa"/>
            <w:shd w:val="clear" w:color="auto" w:fill="FFFFFF"/>
          </w:tcPr>
          <w:p w14:paraId="296E3F17" w14:textId="77777777" w:rsidR="004D7582" w:rsidRPr="00B57B36" w:rsidRDefault="004D7582" w:rsidP="00D86691">
            <w:pPr>
              <w:pStyle w:val="CETBodytext"/>
              <w:rPr>
                <w:lang w:val="en-GB"/>
              </w:rPr>
            </w:pPr>
            <w:r>
              <w:rPr>
                <w:lang w:val="en-GB"/>
              </w:rPr>
              <w:t>33</w:t>
            </w:r>
          </w:p>
        </w:tc>
        <w:tc>
          <w:tcPr>
            <w:tcW w:w="1134" w:type="dxa"/>
            <w:shd w:val="clear" w:color="auto" w:fill="FFFFFF"/>
          </w:tcPr>
          <w:p w14:paraId="05771918" w14:textId="77777777" w:rsidR="004D7582" w:rsidRPr="00B57B36" w:rsidRDefault="004D7582" w:rsidP="00D86691">
            <w:pPr>
              <w:pStyle w:val="CETBodytext"/>
              <w:rPr>
                <w:lang w:val="en-GB"/>
              </w:rPr>
            </w:pPr>
            <w:r>
              <w:rPr>
                <w:lang w:val="en-GB"/>
              </w:rPr>
              <w:t>70</w:t>
            </w:r>
          </w:p>
        </w:tc>
        <w:tc>
          <w:tcPr>
            <w:tcW w:w="1278" w:type="dxa"/>
            <w:shd w:val="clear" w:color="auto" w:fill="FFFFFF"/>
          </w:tcPr>
          <w:p w14:paraId="450A68FD" w14:textId="77777777" w:rsidR="004D7582" w:rsidRPr="00B57B36" w:rsidRDefault="004D7582" w:rsidP="00D86691">
            <w:pPr>
              <w:pStyle w:val="CETBodytext"/>
              <w:ind w:right="-1"/>
              <w:rPr>
                <w:rFonts w:cs="Arial"/>
                <w:szCs w:val="18"/>
                <w:lang w:val="en-GB"/>
              </w:rPr>
            </w:pPr>
            <w:r>
              <w:rPr>
                <w:rFonts w:cs="Arial"/>
                <w:szCs w:val="18"/>
                <w:lang w:val="en-GB"/>
              </w:rPr>
              <w:t>5,778</w:t>
            </w:r>
          </w:p>
        </w:tc>
        <w:tc>
          <w:tcPr>
            <w:tcW w:w="1350" w:type="dxa"/>
            <w:shd w:val="clear" w:color="auto" w:fill="FFFFFF"/>
          </w:tcPr>
          <w:p w14:paraId="3B6A7F63" w14:textId="77777777" w:rsidR="004D7582" w:rsidRPr="00B57B36" w:rsidRDefault="004D7582" w:rsidP="00D86691">
            <w:pPr>
              <w:pStyle w:val="CETBodytext"/>
              <w:ind w:right="-1"/>
              <w:rPr>
                <w:rFonts w:cs="Arial"/>
                <w:szCs w:val="18"/>
                <w:lang w:val="en-GB"/>
              </w:rPr>
            </w:pPr>
            <w:r w:rsidRPr="00743B04">
              <w:t>2.12E+05</w:t>
            </w:r>
          </w:p>
        </w:tc>
      </w:tr>
      <w:tr w:rsidR="004D7582" w:rsidRPr="00B57B36" w14:paraId="59B36FD8" w14:textId="77777777" w:rsidTr="00D86691">
        <w:tc>
          <w:tcPr>
            <w:tcW w:w="1134" w:type="dxa"/>
            <w:shd w:val="clear" w:color="auto" w:fill="FFFFFF"/>
          </w:tcPr>
          <w:p w14:paraId="1686C6AB" w14:textId="77777777" w:rsidR="004D7582" w:rsidRDefault="004D7582" w:rsidP="00D86691">
            <w:pPr>
              <w:pStyle w:val="CETBodytext"/>
              <w:rPr>
                <w:lang w:val="en-GB"/>
              </w:rPr>
            </w:pPr>
            <w:r>
              <w:rPr>
                <w:lang w:val="en-GB"/>
              </w:rPr>
              <w:t>Total duty</w:t>
            </w:r>
          </w:p>
        </w:tc>
        <w:tc>
          <w:tcPr>
            <w:tcW w:w="1134" w:type="dxa"/>
            <w:shd w:val="clear" w:color="auto" w:fill="FFFFFF"/>
          </w:tcPr>
          <w:p w14:paraId="4B8044E5" w14:textId="77777777" w:rsidR="004D7582" w:rsidRPr="00B57B36" w:rsidRDefault="004D7582" w:rsidP="00D86691">
            <w:pPr>
              <w:pStyle w:val="CETBodytext"/>
              <w:rPr>
                <w:lang w:val="en-GB"/>
              </w:rPr>
            </w:pPr>
          </w:p>
        </w:tc>
        <w:tc>
          <w:tcPr>
            <w:tcW w:w="1134" w:type="dxa"/>
            <w:shd w:val="clear" w:color="auto" w:fill="FFFFFF"/>
          </w:tcPr>
          <w:p w14:paraId="12DFD691" w14:textId="77777777" w:rsidR="004D7582" w:rsidRPr="00B57B36" w:rsidRDefault="004D7582" w:rsidP="00D86691">
            <w:pPr>
              <w:pStyle w:val="CETBodytext"/>
              <w:rPr>
                <w:lang w:val="en-GB"/>
              </w:rPr>
            </w:pPr>
          </w:p>
        </w:tc>
        <w:tc>
          <w:tcPr>
            <w:tcW w:w="1278" w:type="dxa"/>
            <w:shd w:val="clear" w:color="auto" w:fill="FFFFFF"/>
          </w:tcPr>
          <w:p w14:paraId="30373631" w14:textId="77777777" w:rsidR="004D7582" w:rsidRPr="00B57B36" w:rsidRDefault="004D7582" w:rsidP="00D86691">
            <w:pPr>
              <w:pStyle w:val="CETBodytext"/>
              <w:ind w:right="-1"/>
              <w:rPr>
                <w:rFonts w:cs="Arial"/>
                <w:szCs w:val="18"/>
                <w:lang w:val="en-GB"/>
              </w:rPr>
            </w:pPr>
          </w:p>
        </w:tc>
        <w:tc>
          <w:tcPr>
            <w:tcW w:w="1350" w:type="dxa"/>
            <w:shd w:val="clear" w:color="auto" w:fill="FFFFFF"/>
          </w:tcPr>
          <w:p w14:paraId="5126D482" w14:textId="77777777" w:rsidR="004D7582" w:rsidRPr="00B57B36" w:rsidRDefault="004D7582" w:rsidP="00D86691">
            <w:pPr>
              <w:pStyle w:val="CETBodytext"/>
              <w:ind w:right="-1"/>
              <w:rPr>
                <w:rFonts w:cs="Arial"/>
                <w:szCs w:val="18"/>
                <w:lang w:val="en-GB"/>
              </w:rPr>
            </w:pPr>
            <w:r w:rsidRPr="00743B04">
              <w:t>2.08E+06</w:t>
            </w:r>
          </w:p>
        </w:tc>
      </w:tr>
    </w:tbl>
    <w:p w14:paraId="743AEFED" w14:textId="0F571DA9" w:rsidR="004D7582" w:rsidRDefault="00581583" w:rsidP="004D7582">
      <w:pPr>
        <w:pStyle w:val="CETTabletitle"/>
        <w:rPr>
          <w:i w:val="0"/>
          <w:iCs/>
        </w:rPr>
      </w:pPr>
      <w:r w:rsidRPr="00581583">
        <w:rPr>
          <w:i w:val="0"/>
          <w:iCs/>
        </w:rPr>
        <w:t>The cold stream analysis reveals a substantially higher heating demand, with a total cold-side duty of 2.08 × 10⁶ kJ/h. Stream 19 dominates this requirement, accounting for approximately 1.70 × 10⁶ kJ/h as it is heated from 27 to 70 °C, while Streams 25 and 49 contribute additional heating demands of 1.68 × 10⁵ and 2.12 × 10⁵ kJ/h, respectively. The ratio between available heat (3.04 × 10⁵ kJ/h) and required heating (2.08 × 10⁶ kJ/h) indicates that only about 14–15% of the total heating demand can theoretically be satisfied through internal heat recovery. This pronounced imbalance confirms the intrinsic dependence of the biorefinery on external heating utilities</w:t>
      </w:r>
      <w:r w:rsidR="004D7582" w:rsidRPr="004D7582">
        <w:rPr>
          <w:i w:val="0"/>
          <w:iCs/>
        </w:rPr>
        <w:t>.</w:t>
      </w:r>
      <w:r>
        <w:rPr>
          <w:i w:val="0"/>
          <w:iCs/>
        </w:rPr>
        <w:t xml:space="preserve"> </w:t>
      </w:r>
      <w:r w:rsidRPr="00581583">
        <w:rPr>
          <w:i w:val="0"/>
          <w:iCs/>
        </w:rPr>
        <w:t>Pinch analysis identified a pinch temperature of 37 °C (hot scale), representing the thermodynamic constraint of the system. Based on this pinch point, the HEN was synthesized following pinch design rules, resulting in a network comprising 10 heat exchangers, with 7 exchangers above the pinch and 3 exchangers below the pinch, as shown in Figure 3. This distribution reflects the predominance of heating requirements above the pinch and the limited scope for heat recovery below it</w:t>
      </w:r>
      <w:r>
        <w:rPr>
          <w:i w:val="0"/>
          <w:iCs/>
        </w:rPr>
        <w:t>.</w:t>
      </w:r>
    </w:p>
    <w:p w14:paraId="640324A3" w14:textId="77777777" w:rsidR="0028627A" w:rsidRDefault="0028627A" w:rsidP="0028627A">
      <w:pPr>
        <w:pStyle w:val="CETBodytext"/>
        <w:rPr>
          <w:lang w:val="en-GB"/>
        </w:rPr>
      </w:pPr>
      <w:r>
        <w:rPr>
          <w:noProof/>
          <w:lang w:val="en-GB"/>
        </w:rPr>
        <w:drawing>
          <wp:inline distT="0" distB="0" distL="0" distR="0" wp14:anchorId="3881A7F8" wp14:editId="6042B349">
            <wp:extent cx="2813050" cy="1941655"/>
            <wp:effectExtent l="0" t="0" r="6350" b="1905"/>
            <wp:docPr id="58383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8585" cy="1979987"/>
                    </a:xfrm>
                    <a:prstGeom prst="rect">
                      <a:avLst/>
                    </a:prstGeom>
                    <a:noFill/>
                    <a:ln>
                      <a:noFill/>
                    </a:ln>
                  </pic:spPr>
                </pic:pic>
              </a:graphicData>
            </a:graphic>
          </wp:inline>
        </w:drawing>
      </w:r>
    </w:p>
    <w:p w14:paraId="2E829E64" w14:textId="79E4E895" w:rsidR="0028627A" w:rsidRPr="0028627A" w:rsidRDefault="0028627A" w:rsidP="0028627A">
      <w:pPr>
        <w:pStyle w:val="CETCaption"/>
      </w:pPr>
      <w:r w:rsidRPr="00BD077D">
        <w:rPr>
          <w:rStyle w:val="CETCaptionCarattere"/>
          <w:i/>
        </w:rPr>
        <w:t xml:space="preserve">Figure </w:t>
      </w:r>
      <w:r>
        <w:rPr>
          <w:rStyle w:val="CETCaptionCarattere"/>
          <w:i/>
        </w:rPr>
        <w:t>3</w:t>
      </w:r>
      <w:r w:rsidRPr="00BD077D">
        <w:rPr>
          <w:rStyle w:val="CETCaptionCarattere"/>
          <w:i/>
        </w:rPr>
        <w:t xml:space="preserve">: </w:t>
      </w:r>
      <w:r>
        <w:rPr>
          <w:rStyle w:val="CETCaptionCarattere"/>
          <w:i/>
        </w:rPr>
        <w:t>Heat exchange network of avocado oil biorefinery.</w:t>
      </w:r>
      <w:r w:rsidRPr="00BD077D">
        <w:t xml:space="preserve"> </w:t>
      </w:r>
    </w:p>
    <w:p w14:paraId="22171F09" w14:textId="5D0163C4" w:rsidR="0028627A" w:rsidRPr="004D7582" w:rsidRDefault="00581583" w:rsidP="00581583">
      <w:pPr>
        <w:pStyle w:val="CETTabletitle"/>
        <w:rPr>
          <w:i w:val="0"/>
          <w:iCs/>
        </w:rPr>
      </w:pPr>
      <w:r w:rsidRPr="00581583">
        <w:rPr>
          <w:i w:val="0"/>
          <w:iCs/>
        </w:rPr>
        <w:lastRenderedPageBreak/>
        <w:t>The synthesized HEN enables a substantial reduction in external cooling demand, achieving cooling utility savings of approximately 96% relative to the non-integrated base case. This indicates that most of the heat released by hot process streams is effectively recovered and reused within the system rather than rejected to cooling utilities. As a result of this improved internal heat recovery, the demand for external heating utilities is also reduced, leading to a decrease in steam consumption of approximately 14%.From an environmental perspective, the reduction in both cooling and steam utilities has direct implications for sustainability performance. Lower steam demand implies reduced fuel consumption in boilers, which can lead to significant reductions in carbon dioxide emissions and other combustion-related environmental impacts. Therefore, although heating savings are moderate compared to cooling savings, their impact on greenhouse gas emissions and overall environmental performance can be substantial in energy-intensive avocado-processing systems.</w:t>
      </w:r>
      <w:r>
        <w:rPr>
          <w:i w:val="0"/>
          <w:iCs/>
        </w:rPr>
        <w:br/>
      </w:r>
      <w:r w:rsidRPr="00581583">
        <w:rPr>
          <w:i w:val="0"/>
          <w:iCs/>
        </w:rPr>
        <w:t>The magnitude of energy savings obtained in this study is consistent with previous applications of pinch-based heat integration in agro-industrial and biorefinery systems. Luo et al. (2022) reported that structured heat recovery in food-processing systems can reduce cooling utilities by up to 80–95%, while Prado-Acebo et al. (2024) highlighted the strong dependence of biomass valorization systems on external heating utilities. Compared to these studies, the present work achieves cooling reductions of approximately 96%, which is at the upper range of reported values, indicating a high degree of internal heat recovery. The more modest reduction in heating demand (14%) is consistent with systems characterized by limited availability of high-temperature waste heat. These comparisons confirm that the results obtained are realistic and aligned with practical implementations of heat integration in similar systems.</w:t>
      </w:r>
      <w:r>
        <w:rPr>
          <w:i w:val="0"/>
          <w:iCs/>
        </w:rPr>
        <w:t xml:space="preserve"> </w:t>
      </w:r>
      <w:r w:rsidRPr="00581583">
        <w:rPr>
          <w:i w:val="0"/>
          <w:iCs/>
        </w:rPr>
        <w:t>From a practical perspective, the proposed heat-exchange network can be implemented using conventional shell-and-tube or plate heat exchangers widely used in food and bioprocess industries. The number of units (10 exchangers) remains within a feasible industrial range, although further economic optimization would be required to balance capital investment and energy savings. Additionally, the high reduction in cooling demand suggests potential downsizing of cooling systems, which could translate into lower operational and maintenance costs in industrial-scale applications</w:t>
      </w:r>
      <w:r w:rsidR="0028627A" w:rsidRPr="0028627A">
        <w:rPr>
          <w:i w:val="0"/>
          <w:iCs/>
        </w:rPr>
        <w:t>.</w:t>
      </w:r>
    </w:p>
    <w:p w14:paraId="68D26B83" w14:textId="2C63B764" w:rsidR="00600535" w:rsidRPr="00B57B36" w:rsidRDefault="00600535" w:rsidP="00093FAD">
      <w:pPr>
        <w:pStyle w:val="CETHeading1"/>
        <w:numPr>
          <w:ilvl w:val="0"/>
          <w:numId w:val="23"/>
        </w:numPr>
        <w:rPr>
          <w:lang w:val="en-GB"/>
        </w:rPr>
      </w:pPr>
      <w:r w:rsidRPr="00B57B36">
        <w:rPr>
          <w:lang w:val="en-GB"/>
        </w:rPr>
        <w:t>Conclusions</w:t>
      </w:r>
    </w:p>
    <w:p w14:paraId="2B62F6E4" w14:textId="5DEF973F" w:rsidR="00C63465" w:rsidRPr="00C63465" w:rsidRDefault="00C63465" w:rsidP="00C63465">
      <w:pPr>
        <w:pStyle w:val="CETBodytext"/>
        <w:rPr>
          <w:lang w:val="en-GB"/>
        </w:rPr>
      </w:pPr>
      <w:r w:rsidRPr="00C63465">
        <w:rPr>
          <w:lang w:val="en-GB"/>
        </w:rPr>
        <w:t xml:space="preserve">This study demonstrated the effectiveness of algorithmic pinch-based heat integration in improving the energy performance of an avocado oil biorefinery. By systematically analyzing hot and cold process streams, a pinch temperature of 37 °C (hot scale) was identified, defining the thermodynamic constraint of the system and guiding the synthesis of an optimal </w:t>
      </w:r>
      <w:r>
        <w:rPr>
          <w:lang w:val="en-GB"/>
        </w:rPr>
        <w:t xml:space="preserve">HEN. </w:t>
      </w:r>
      <w:r w:rsidRPr="00C63465">
        <w:rPr>
          <w:lang w:val="en-GB"/>
        </w:rPr>
        <w:t xml:space="preserve">The proposed </w:t>
      </w:r>
      <w:r>
        <w:rPr>
          <w:lang w:val="en-GB"/>
        </w:rPr>
        <w:t>HEN</w:t>
      </w:r>
      <w:r w:rsidRPr="00C63465">
        <w:rPr>
          <w:lang w:val="en-GB"/>
        </w:rPr>
        <w:t xml:space="preserve"> consists of 10 heat exchangers, with 7 units located above the pinch and 3 below the pinch, reflecting the dominance of heating requirements in the process. Internal heat recovery enables a substantial reduction in external cooling demand, achieving cooling utility savings of 96% relative to the non-integrated configuration. In addition, heating utility demand is reduced by 14%, despite the large imbalance between available hot-stream heat (3.04 × 10⁵ kJ h</w:t>
      </w:r>
      <w:r w:rsidRPr="00C63465">
        <w:rPr>
          <w:rFonts w:ascii="Cambria Math" w:hAnsi="Cambria Math" w:cs="Cambria Math"/>
          <w:lang w:val="en-GB"/>
        </w:rPr>
        <w:t>⁻</w:t>
      </w:r>
      <w:r w:rsidRPr="00C63465">
        <w:rPr>
          <w:rFonts w:cs="Arial"/>
          <w:lang w:val="en-GB"/>
        </w:rPr>
        <w:t>¹</w:t>
      </w:r>
      <w:r w:rsidRPr="00C63465">
        <w:rPr>
          <w:lang w:val="en-GB"/>
        </w:rPr>
        <w:t>) and cold-stream heating requirements (2.08 × 10⁶ kJ h</w:t>
      </w:r>
      <w:r w:rsidRPr="00C63465">
        <w:rPr>
          <w:rFonts w:ascii="Cambria Math" w:hAnsi="Cambria Math" w:cs="Cambria Math"/>
          <w:lang w:val="en-GB"/>
        </w:rPr>
        <w:t>⁻</w:t>
      </w:r>
      <w:r w:rsidRPr="00C63465">
        <w:rPr>
          <w:rFonts w:cs="Arial"/>
          <w:lang w:val="en-GB"/>
        </w:rPr>
        <w:t>¹</w:t>
      </w:r>
      <w:r w:rsidRPr="00C63465">
        <w:rPr>
          <w:lang w:val="en-GB"/>
        </w:rPr>
        <w:t>).</w:t>
      </w:r>
    </w:p>
    <w:p w14:paraId="52DAFDE0" w14:textId="04D866AF" w:rsidR="001D0CFB" w:rsidRDefault="00C63465" w:rsidP="00C63465">
      <w:pPr>
        <w:pStyle w:val="CETBodytext"/>
        <w:rPr>
          <w:lang w:val="en-GB"/>
        </w:rPr>
      </w:pPr>
      <w:r w:rsidRPr="00C63465">
        <w:rPr>
          <w:lang w:val="en-GB"/>
        </w:rPr>
        <w:t>The significant reduction in cooling demand directly translates into lower steam requirements for the process, as less external heating is needed to compensate for heat losses. This reduction in steam consumption has important implications for process sustainability, as it can lead to meaningful decreases in fuel use, carbon dioxide emissions, and other energy-related environmental impacts in an energy-intensive agro-industrial system.</w:t>
      </w:r>
      <w:r>
        <w:rPr>
          <w:lang w:val="en-GB"/>
        </w:rPr>
        <w:t xml:space="preserve"> </w:t>
      </w:r>
      <w:r w:rsidRPr="00C63465">
        <w:rPr>
          <w:lang w:val="en-GB"/>
        </w:rPr>
        <w:t>Overall, the results confirm that pinch-based heat integration provides a robust, thermodynamically grounded framework for improving energy efficiency in avocado-processing systems. While full thermal self-sufficiency is constrained by intrinsic process characteristics, the achieved reductions in utility consumption demonstrate that targeted heat recovery can significantly enhance the environmental and operational performance of avocado oil biorefineries and support more sustainable production pathways.</w:t>
      </w:r>
    </w:p>
    <w:p w14:paraId="07A6D20F" w14:textId="6AF64595" w:rsidR="00280FAF" w:rsidRPr="00280FAF" w:rsidRDefault="00280FAF" w:rsidP="00280FAF">
      <w:pPr>
        <w:pStyle w:val="CETHeadingxx"/>
        <w:rPr>
          <w:lang w:val="en-GB"/>
        </w:rPr>
        <w:sectPr w:rsidR="00280FAF" w:rsidRPr="00280FAF" w:rsidSect="008314D7">
          <w:type w:val="continuous"/>
          <w:pgSz w:w="11906" w:h="16838" w:code="9"/>
          <w:pgMar w:top="1701" w:right="1418" w:bottom="1701" w:left="1701" w:header="1701" w:footer="0" w:gutter="0"/>
          <w:cols w:space="708"/>
          <w:formProt w:val="0"/>
          <w:titlePg/>
          <w:docGrid w:linePitch="360"/>
        </w:sectPr>
      </w:pPr>
      <w:r>
        <w:t>Nomenclatur</w:t>
      </w:r>
      <w:r w:rsidR="00C63465">
        <w:t>e</w:t>
      </w:r>
    </w:p>
    <w:p w14:paraId="7BC53E4B" w14:textId="6A5D9314" w:rsidR="00C63465" w:rsidRPr="0028627A" w:rsidRDefault="00C63465" w:rsidP="00280FAF">
      <w:pPr>
        <w:pStyle w:val="CETBodytext"/>
        <w:jc w:val="left"/>
        <w:rPr>
          <w:rFonts w:eastAsia="SimSun"/>
        </w:rPr>
      </w:pPr>
      <m:oMath>
        <m:r>
          <w:rPr>
            <w:rFonts w:ascii="Cambria Math" w:eastAsia="SimSun" w:hAnsi="Cambria Math"/>
          </w:rPr>
          <m:t>Cp</m:t>
        </m:r>
      </m:oMath>
      <w:r>
        <w:rPr>
          <w:rFonts w:eastAsia="SimSun"/>
        </w:rPr>
        <w:t xml:space="preserve"> – specific heat capacity</w:t>
      </w:r>
      <w:r w:rsidR="0028627A">
        <w:rPr>
          <w:rFonts w:eastAsia="SimSun"/>
        </w:rPr>
        <w:t xml:space="preserve"> (kJ kg</w:t>
      </w:r>
      <w:r w:rsidR="0028627A" w:rsidRPr="0028627A">
        <w:rPr>
          <w:rFonts w:eastAsia="SimSun"/>
          <w:vertAlign w:val="superscript"/>
        </w:rPr>
        <w:t>-1</w:t>
      </w:r>
      <w:r w:rsidR="0028627A">
        <w:rPr>
          <w:rFonts w:eastAsia="SimSun"/>
        </w:rPr>
        <w:t xml:space="preserve"> </w:t>
      </w:r>
      <w:r w:rsidR="0028627A">
        <w:rPr>
          <w:rFonts w:ascii="Calibri" w:eastAsia="SimSun" w:hAnsi="Calibri" w:cs="Calibri"/>
        </w:rPr>
        <w:t>°</w:t>
      </w:r>
      <w:r w:rsidR="0028627A">
        <w:rPr>
          <w:rFonts w:eastAsia="SimSun"/>
        </w:rPr>
        <w:t>C</w:t>
      </w:r>
      <w:r w:rsidR="0028627A" w:rsidRPr="0028627A">
        <w:rPr>
          <w:rFonts w:eastAsia="SimSun"/>
          <w:vertAlign w:val="superscript"/>
        </w:rPr>
        <w:t>-1</w:t>
      </w:r>
      <w:r w:rsidR="0028627A">
        <w:rPr>
          <w:rFonts w:eastAsia="SimSun"/>
        </w:rPr>
        <w:t>)</w:t>
      </w:r>
    </w:p>
    <w:p w14:paraId="3848181F" w14:textId="384E63CA" w:rsidR="00C63465" w:rsidRDefault="00000000" w:rsidP="00280FAF">
      <w:pPr>
        <w:pStyle w:val="CETBodytext"/>
        <w:jc w:val="left"/>
        <w:rPr>
          <w:rFonts w:eastAsia="SimSun"/>
        </w:rPr>
      </w:pP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u</m:t>
            </m:r>
          </m:sub>
        </m:sSub>
      </m:oMath>
      <w:r w:rsidR="00C63465">
        <w:rPr>
          <w:rFonts w:eastAsia="SimSun"/>
        </w:rPr>
        <w:t xml:space="preserve"> – mass flow rate of cold stream</w:t>
      </w:r>
      <w:r w:rsidR="0028627A">
        <w:rPr>
          <w:rFonts w:eastAsia="SimSun"/>
        </w:rPr>
        <w:t xml:space="preserve"> (kg h</w:t>
      </w:r>
      <w:r w:rsidR="0028627A" w:rsidRPr="0028627A">
        <w:rPr>
          <w:rFonts w:eastAsia="SimSun"/>
          <w:vertAlign w:val="superscript"/>
        </w:rPr>
        <w:t>-1</w:t>
      </w:r>
      <w:r w:rsidR="0028627A">
        <w:rPr>
          <w:rFonts w:eastAsia="SimSun"/>
        </w:rPr>
        <w:t>)</w:t>
      </w:r>
    </w:p>
    <w:p w14:paraId="00BC4C58" w14:textId="618969F6" w:rsidR="00C63465" w:rsidRDefault="00BD2A33" w:rsidP="00280FAF">
      <w:pPr>
        <w:pStyle w:val="CETBodytext"/>
        <w:jc w:val="left"/>
        <w:rPr>
          <w:rFonts w:eastAsia="SimSun"/>
        </w:rPr>
      </w:pPr>
      <m:oMath>
        <m:r>
          <w:rPr>
            <w:rFonts w:ascii="Cambria Math" w:eastAsia="SimSun" w:hAnsi="Cambria Math"/>
          </w:rPr>
          <m:t>Fu</m:t>
        </m:r>
      </m:oMath>
      <w:r w:rsidR="00C63465">
        <w:rPr>
          <w:rFonts w:eastAsia="SimSun"/>
        </w:rPr>
        <w:t xml:space="preserve"> – mass flow rate of hot stream</w:t>
      </w:r>
      <w:r w:rsidR="0028627A">
        <w:rPr>
          <w:rFonts w:eastAsia="SimSun"/>
        </w:rPr>
        <w:t xml:space="preserve"> </w:t>
      </w:r>
      <w:r w:rsidR="0028627A">
        <w:rPr>
          <w:rFonts w:eastAsia="SimSun"/>
        </w:rPr>
        <w:t>(kg h</w:t>
      </w:r>
      <w:r w:rsidR="0028627A" w:rsidRPr="0028627A">
        <w:rPr>
          <w:rFonts w:eastAsia="SimSun"/>
          <w:vertAlign w:val="superscript"/>
        </w:rPr>
        <w:t>-1</w:t>
      </w:r>
      <w:r w:rsidR="0028627A">
        <w:rPr>
          <w:rFonts w:eastAsia="SimSun"/>
        </w:rPr>
        <w:t>)</w:t>
      </w:r>
    </w:p>
    <w:p w14:paraId="25D52BD8" w14:textId="5B483279" w:rsidR="00280FAF" w:rsidRDefault="004D7582" w:rsidP="00280FAF">
      <w:pPr>
        <w:pStyle w:val="CETBodytext"/>
        <w:jc w:val="left"/>
        <w:rPr>
          <w:rFonts w:eastAsia="SimSun"/>
        </w:rPr>
      </w:pPr>
      <w:r>
        <w:rPr>
          <w:rFonts w:eastAsia="SimSun"/>
        </w:rPr>
        <w:t>HEN</w:t>
      </w:r>
      <w:r w:rsidR="00280FAF" w:rsidRPr="00280FAF">
        <w:rPr>
          <w:rFonts w:eastAsia="SimSun"/>
        </w:rPr>
        <w:t xml:space="preserve"> – </w:t>
      </w:r>
      <w:r>
        <w:rPr>
          <w:rFonts w:eastAsia="SimSun"/>
        </w:rPr>
        <w:t>Heat exchange network</w:t>
      </w:r>
    </w:p>
    <w:p w14:paraId="7C111CAB" w14:textId="7ED37846" w:rsidR="00C63465" w:rsidRDefault="00BD2A33" w:rsidP="00280FAF">
      <w:pPr>
        <w:pStyle w:val="CETBodytext"/>
        <w:jc w:val="left"/>
        <w:rPr>
          <w:rFonts w:eastAsia="SimSun"/>
        </w:rPr>
      </w:pPr>
      <m:oMath>
        <m:r>
          <w:rPr>
            <w:rFonts w:ascii="Cambria Math" w:eastAsia="SimSun" w:hAnsi="Cambria Math"/>
          </w:rPr>
          <m:t>H</m:t>
        </m:r>
        <m:sSub>
          <m:sSubPr>
            <m:ctrlPr>
              <w:rPr>
                <w:rFonts w:ascii="Cambria Math" w:eastAsia="SimSun" w:hAnsi="Cambria Math"/>
                <w:i/>
              </w:rPr>
            </m:ctrlPr>
          </m:sSubPr>
          <m:e>
            <m:r>
              <w:rPr>
                <w:rFonts w:ascii="Cambria Math" w:eastAsia="SimSun" w:hAnsi="Cambria Math"/>
              </w:rPr>
              <m:t>H</m:t>
            </m:r>
          </m:e>
          <m:sub>
            <m:r>
              <w:rPr>
                <w:rFonts w:ascii="Cambria Math" w:eastAsia="SimSun" w:hAnsi="Cambria Math"/>
              </w:rPr>
              <m:t>u,z</m:t>
            </m:r>
          </m:sub>
        </m:sSub>
      </m:oMath>
      <w:r w:rsidR="00C63465">
        <w:rPr>
          <w:rFonts w:eastAsia="SimSun"/>
        </w:rPr>
        <w:t xml:space="preserve"> – heat released by hot stream</w:t>
      </w:r>
      <w:r w:rsidR="0028627A">
        <w:rPr>
          <w:rFonts w:eastAsia="SimSun"/>
        </w:rPr>
        <w:t xml:space="preserve"> </w:t>
      </w:r>
      <w:r w:rsidR="0028627A">
        <w:rPr>
          <w:rFonts w:eastAsia="SimSun"/>
        </w:rPr>
        <w:t>(k</w:t>
      </w:r>
      <w:r w:rsidR="0028627A">
        <w:rPr>
          <w:rFonts w:eastAsia="SimSun"/>
        </w:rPr>
        <w:t>J</w:t>
      </w:r>
      <w:r w:rsidR="0028627A">
        <w:rPr>
          <w:rFonts w:eastAsia="SimSun"/>
        </w:rPr>
        <w:t xml:space="preserve"> h</w:t>
      </w:r>
      <w:r w:rsidR="0028627A" w:rsidRPr="0028627A">
        <w:rPr>
          <w:rFonts w:eastAsia="SimSun"/>
          <w:vertAlign w:val="superscript"/>
        </w:rPr>
        <w:t>-1</w:t>
      </w:r>
      <w:r w:rsidR="0028627A">
        <w:rPr>
          <w:rFonts w:eastAsia="SimSun"/>
        </w:rPr>
        <w:t>)</w:t>
      </w:r>
    </w:p>
    <w:p w14:paraId="35BC8021" w14:textId="691B63E5" w:rsidR="00C63465" w:rsidRDefault="00000000" w:rsidP="00280FAF">
      <w:pPr>
        <w:pStyle w:val="CETBodytext"/>
        <w:jc w:val="left"/>
        <w:rPr>
          <w:rFonts w:eastAsia="SimSun"/>
        </w:rPr>
      </w:pPr>
      <m:oMath>
        <m:sSub>
          <m:sSubPr>
            <m:ctrlPr>
              <w:rPr>
                <w:rFonts w:ascii="Cambria Math" w:eastAsia="SimSun" w:hAnsi="Cambria Math"/>
                <w:i/>
              </w:rPr>
            </m:ctrlPr>
          </m:sSubPr>
          <m:e>
            <m:r>
              <w:rPr>
                <w:rFonts w:ascii="Cambria Math" w:eastAsia="SimSun" w:hAnsi="Cambria Math"/>
              </w:rPr>
              <m:t>HC</m:t>
            </m:r>
          </m:e>
          <m:sub>
            <m:r>
              <w:rPr>
                <w:rFonts w:ascii="Cambria Math" w:eastAsia="SimSun" w:hAnsi="Cambria Math"/>
              </w:rPr>
              <m:t>u,z</m:t>
            </m:r>
          </m:sub>
        </m:sSub>
      </m:oMath>
      <w:r w:rsidR="00BD2A33">
        <w:rPr>
          <w:rFonts w:eastAsia="SimSun"/>
        </w:rPr>
        <w:t xml:space="preserve"> </w:t>
      </w:r>
      <w:r w:rsidR="00C63465">
        <w:rPr>
          <w:rFonts w:eastAsia="SimSun"/>
        </w:rPr>
        <w:t>– heat absorbed by cold stream</w:t>
      </w:r>
      <w:r w:rsidR="0028627A">
        <w:rPr>
          <w:rFonts w:eastAsia="SimSun"/>
        </w:rPr>
        <w:t xml:space="preserve"> </w:t>
      </w:r>
      <w:r w:rsidR="0028627A">
        <w:rPr>
          <w:rFonts w:eastAsia="SimSun"/>
        </w:rPr>
        <w:t>(k</w:t>
      </w:r>
      <w:r w:rsidR="0028627A">
        <w:rPr>
          <w:rFonts w:eastAsia="SimSun"/>
        </w:rPr>
        <w:t>J</w:t>
      </w:r>
      <w:r w:rsidR="0028627A">
        <w:rPr>
          <w:rFonts w:eastAsia="SimSun"/>
        </w:rPr>
        <w:t xml:space="preserve"> h</w:t>
      </w:r>
      <w:r w:rsidR="0028627A" w:rsidRPr="0028627A">
        <w:rPr>
          <w:rFonts w:eastAsia="SimSun"/>
          <w:vertAlign w:val="superscript"/>
        </w:rPr>
        <w:t>-1</w:t>
      </w:r>
      <w:r w:rsidR="0028627A">
        <w:rPr>
          <w:rFonts w:eastAsia="SimSun"/>
        </w:rPr>
        <w:t>)</w:t>
      </w:r>
    </w:p>
    <w:p w14:paraId="0C163AD5" w14:textId="2B50B975" w:rsidR="00C63465" w:rsidRDefault="00BD2A33" w:rsidP="00280FAF">
      <w:pPr>
        <w:pStyle w:val="CETBodytext"/>
        <w:jc w:val="left"/>
        <w:rPr>
          <w:rFonts w:eastAsia="SimSun"/>
        </w:rPr>
      </w:pPr>
      <m:oMath>
        <m:r>
          <w:rPr>
            <w:rFonts w:ascii="Cambria Math" w:eastAsia="SimSun" w:hAnsi="Cambria Math"/>
          </w:rPr>
          <m:t>mCp</m:t>
        </m:r>
      </m:oMath>
      <w:r w:rsidR="00C63465">
        <w:rPr>
          <w:rFonts w:eastAsia="SimSun"/>
        </w:rPr>
        <w:t xml:space="preserve"> – mass flow times heat capacity</w:t>
      </w:r>
      <w:r w:rsidR="0028627A">
        <w:rPr>
          <w:rFonts w:eastAsia="SimSun"/>
        </w:rPr>
        <w:t xml:space="preserve"> </w:t>
      </w:r>
      <w:r w:rsidR="0028627A">
        <w:rPr>
          <w:rFonts w:eastAsia="SimSun"/>
        </w:rPr>
        <w:t xml:space="preserve">(kJ </w:t>
      </w:r>
      <w:r w:rsidR="0028627A">
        <w:rPr>
          <w:rFonts w:eastAsia="SimSun"/>
        </w:rPr>
        <w:t>h</w:t>
      </w:r>
      <w:r w:rsidR="0028627A" w:rsidRPr="0028627A">
        <w:rPr>
          <w:rFonts w:eastAsia="SimSun"/>
          <w:vertAlign w:val="superscript"/>
        </w:rPr>
        <w:t>-1</w:t>
      </w:r>
      <w:r w:rsidR="0028627A">
        <w:rPr>
          <w:rFonts w:eastAsia="SimSun"/>
        </w:rPr>
        <w:t xml:space="preserve"> </w:t>
      </w:r>
      <w:r w:rsidR="0028627A">
        <w:rPr>
          <w:rFonts w:ascii="Calibri" w:eastAsia="SimSun" w:hAnsi="Calibri" w:cs="Calibri"/>
        </w:rPr>
        <w:t>°</w:t>
      </w:r>
      <w:r w:rsidR="0028627A">
        <w:rPr>
          <w:rFonts w:eastAsia="SimSun"/>
        </w:rPr>
        <w:t>C</w:t>
      </w:r>
      <w:r w:rsidR="0028627A" w:rsidRPr="0028627A">
        <w:rPr>
          <w:rFonts w:eastAsia="SimSun"/>
          <w:vertAlign w:val="superscript"/>
        </w:rPr>
        <w:t>-1</w:t>
      </w:r>
      <w:r w:rsidR="0028627A">
        <w:rPr>
          <w:rFonts w:eastAsia="SimSun"/>
        </w:rPr>
        <w:t>)</w:t>
      </w:r>
    </w:p>
    <w:p w14:paraId="12DA5FA8" w14:textId="11365655" w:rsidR="00C63465" w:rsidRDefault="00000000" w:rsidP="00280FAF">
      <w:pPr>
        <w:pStyle w:val="CETBodytext"/>
        <w:jc w:val="left"/>
        <w:rPr>
          <w:rFonts w:eastAsia="SimSun"/>
        </w:rPr>
      </w:pPr>
      <m:oMath>
        <m:sSub>
          <m:sSubPr>
            <m:ctrlPr>
              <w:rPr>
                <w:rFonts w:ascii="Cambria Math" w:eastAsia="SimSun" w:hAnsi="Cambria Math"/>
                <w:i/>
              </w:rPr>
            </m:ctrlPr>
          </m:sSubPr>
          <m:e>
            <m:r>
              <w:rPr>
                <w:rFonts w:ascii="Cambria Math" w:eastAsia="SimSun" w:hAnsi="Cambria Math"/>
              </w:rPr>
              <m:t>r</m:t>
            </m:r>
          </m:e>
          <m:sub>
            <m:r>
              <w:rPr>
                <w:rFonts w:ascii="Cambria Math" w:eastAsia="SimSun" w:hAnsi="Cambria Math"/>
              </w:rPr>
              <m:t>i</m:t>
            </m:r>
          </m:sub>
        </m:sSub>
      </m:oMath>
      <w:r w:rsidR="00C63465">
        <w:rPr>
          <w:rFonts w:eastAsia="SimSun"/>
        </w:rPr>
        <w:t xml:space="preserve"> – residual heat</w:t>
      </w:r>
      <w:r w:rsidR="0028627A">
        <w:rPr>
          <w:rFonts w:eastAsia="SimSun"/>
        </w:rPr>
        <w:t xml:space="preserve"> </w:t>
      </w:r>
      <w:r w:rsidR="0028627A">
        <w:rPr>
          <w:rFonts w:eastAsia="SimSun"/>
        </w:rPr>
        <w:t>(kJ h</w:t>
      </w:r>
      <w:r w:rsidR="0028627A" w:rsidRPr="0028627A">
        <w:rPr>
          <w:rFonts w:eastAsia="SimSun"/>
          <w:vertAlign w:val="superscript"/>
        </w:rPr>
        <w:t>-1</w:t>
      </w:r>
      <w:r w:rsidR="0028627A">
        <w:rPr>
          <w:rFonts w:eastAsia="SimSun"/>
        </w:rPr>
        <w:t>)</w:t>
      </w:r>
    </w:p>
    <w:p w14:paraId="25CDC8ED" w14:textId="4D33A75B" w:rsidR="00C63465" w:rsidRDefault="00BD2A33" w:rsidP="00280FAF">
      <w:pPr>
        <w:pStyle w:val="CETBodytext"/>
        <w:jc w:val="left"/>
        <w:rPr>
          <w:rFonts w:eastAsia="SimSun"/>
        </w:rPr>
      </w:pPr>
      <m:oMath>
        <m:r>
          <w:rPr>
            <w:rFonts w:ascii="Cambria Math" w:eastAsia="SimSun" w:hAnsi="Cambria Math"/>
          </w:rPr>
          <m:t>T</m:t>
        </m:r>
      </m:oMath>
      <w:r w:rsidR="00C63465">
        <w:rPr>
          <w:rFonts w:eastAsia="SimSun"/>
        </w:rPr>
        <w:t xml:space="preserve"> – shifted temperature</w:t>
      </w:r>
      <w:r w:rsidR="0028627A">
        <w:rPr>
          <w:rFonts w:eastAsia="SimSun"/>
        </w:rPr>
        <w:t xml:space="preserve"> (</w:t>
      </w:r>
      <w:r w:rsidR="0028627A">
        <w:rPr>
          <w:rFonts w:ascii="Calibri" w:eastAsia="SimSun" w:hAnsi="Calibri" w:cs="Calibri"/>
        </w:rPr>
        <w:t>°</w:t>
      </w:r>
      <w:r w:rsidR="0028627A">
        <w:rPr>
          <w:rFonts w:eastAsia="SimSun"/>
        </w:rPr>
        <w:t>C)</w:t>
      </w:r>
    </w:p>
    <w:p w14:paraId="51569DE4" w14:textId="2840BDA8" w:rsidR="00C63465" w:rsidRDefault="00000000" w:rsidP="00280FAF">
      <w:pPr>
        <w:pStyle w:val="CETBodytext"/>
        <w:jc w:val="left"/>
        <w:rPr>
          <w:rFonts w:eastAsia="SimSu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i</m:t>
            </m:r>
          </m:sub>
        </m:sSub>
        <m:r>
          <w:rPr>
            <w:rFonts w:ascii="Cambria Math" w:eastAsia="SimSun" w:hAnsi="Cambria Math"/>
          </w:rPr>
          <m:t xml:space="preserve"> </m:t>
        </m:r>
      </m:oMath>
      <w:r w:rsidR="00C63465">
        <w:rPr>
          <w:rFonts w:eastAsia="SimSun"/>
        </w:rPr>
        <w:t>– upper bound of temperature interval</w:t>
      </w:r>
      <w:r w:rsidR="0028627A">
        <w:rPr>
          <w:rFonts w:eastAsia="SimSun"/>
        </w:rPr>
        <w:t xml:space="preserve"> </w:t>
      </w:r>
      <w:r w:rsidR="0028627A">
        <w:rPr>
          <w:rFonts w:eastAsia="SimSun"/>
        </w:rPr>
        <w:t>(</w:t>
      </w:r>
      <w:r w:rsidR="0028627A">
        <w:rPr>
          <w:rFonts w:ascii="Calibri" w:eastAsia="SimSun" w:hAnsi="Calibri" w:cs="Calibri"/>
        </w:rPr>
        <w:t>°</w:t>
      </w:r>
      <w:r w:rsidR="0028627A">
        <w:rPr>
          <w:rFonts w:eastAsia="SimSun"/>
        </w:rPr>
        <w:t>C)</w:t>
      </w:r>
    </w:p>
    <w:p w14:paraId="30B441C0" w14:textId="03FE09AF" w:rsidR="00C63465" w:rsidRDefault="00000000" w:rsidP="00280FAF">
      <w:pPr>
        <w:pStyle w:val="CETBodytext"/>
        <w:jc w:val="left"/>
        <w:rPr>
          <w:rFonts w:eastAsia="SimSu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i-1</m:t>
            </m:r>
          </m:sub>
        </m:sSub>
      </m:oMath>
      <w:r w:rsidR="00C63465">
        <w:rPr>
          <w:rFonts w:eastAsia="SimSun"/>
        </w:rPr>
        <w:t xml:space="preserve"> – lower bound of temperature interval</w:t>
      </w:r>
      <w:r w:rsidR="0028627A">
        <w:rPr>
          <w:rFonts w:eastAsia="SimSun"/>
        </w:rPr>
        <w:t xml:space="preserve"> </w:t>
      </w:r>
      <w:r w:rsidR="0028627A">
        <w:rPr>
          <w:rFonts w:eastAsia="SimSun"/>
        </w:rPr>
        <w:t>(</w:t>
      </w:r>
      <w:r w:rsidR="0028627A">
        <w:rPr>
          <w:rFonts w:ascii="Calibri" w:eastAsia="SimSun" w:hAnsi="Calibri" w:cs="Calibri"/>
        </w:rPr>
        <w:t>°</w:t>
      </w:r>
      <w:r w:rsidR="0028627A">
        <w:rPr>
          <w:rFonts w:eastAsia="SimSun"/>
        </w:rPr>
        <w:t>C)</w:t>
      </w:r>
    </w:p>
    <w:p w14:paraId="60BED66A" w14:textId="2310EA34" w:rsidR="00C63465" w:rsidRDefault="00000000" w:rsidP="00280FAF">
      <w:pPr>
        <w:pStyle w:val="CETBodytext"/>
        <w:jc w:val="left"/>
        <w:rPr>
          <w:rFonts w:eastAsia="SimSu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supply</m:t>
            </m:r>
          </m:sub>
        </m:sSub>
      </m:oMath>
      <w:r w:rsidR="00C63465">
        <w:rPr>
          <w:rFonts w:eastAsia="SimSun"/>
        </w:rPr>
        <w:t xml:space="preserve"> – stream supply temperature</w:t>
      </w:r>
      <w:r w:rsidR="0028627A">
        <w:rPr>
          <w:rFonts w:eastAsia="SimSun"/>
        </w:rPr>
        <w:t xml:space="preserve"> </w:t>
      </w:r>
      <w:r w:rsidR="0028627A">
        <w:rPr>
          <w:rFonts w:eastAsia="SimSun"/>
        </w:rPr>
        <w:t>(</w:t>
      </w:r>
      <w:r w:rsidR="0028627A">
        <w:rPr>
          <w:rFonts w:ascii="Calibri" w:eastAsia="SimSun" w:hAnsi="Calibri" w:cs="Calibri"/>
        </w:rPr>
        <w:t>°</w:t>
      </w:r>
      <w:r w:rsidR="0028627A">
        <w:rPr>
          <w:rFonts w:eastAsia="SimSun"/>
        </w:rPr>
        <w:t>C)</w:t>
      </w:r>
    </w:p>
    <w:p w14:paraId="6B14E690" w14:textId="17C60243" w:rsidR="00C63465" w:rsidRDefault="00000000" w:rsidP="00280FAF">
      <w:pPr>
        <w:pStyle w:val="CETBodytext"/>
        <w:jc w:val="left"/>
        <w:rPr>
          <w:rFonts w:eastAsia="SimSu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target</m:t>
            </m:r>
          </m:sub>
        </m:sSub>
      </m:oMath>
      <w:r w:rsidR="00C63465">
        <w:rPr>
          <w:rFonts w:eastAsia="SimSun"/>
        </w:rPr>
        <w:t xml:space="preserve"> – stream target temperature</w:t>
      </w:r>
      <w:r w:rsidR="0028627A">
        <w:rPr>
          <w:rFonts w:eastAsia="SimSun"/>
        </w:rPr>
        <w:t xml:space="preserve"> </w:t>
      </w:r>
      <w:r w:rsidR="0028627A">
        <w:rPr>
          <w:rFonts w:eastAsia="SimSun"/>
        </w:rPr>
        <w:t>(</w:t>
      </w:r>
      <w:r w:rsidR="0028627A">
        <w:rPr>
          <w:rFonts w:ascii="Calibri" w:eastAsia="SimSun" w:hAnsi="Calibri" w:cs="Calibri"/>
        </w:rPr>
        <w:t>°</w:t>
      </w:r>
      <w:r w:rsidR="0028627A">
        <w:rPr>
          <w:rFonts w:eastAsia="SimSun"/>
        </w:rPr>
        <w:t>C)</w:t>
      </w:r>
    </w:p>
    <w:p w14:paraId="7DFFBF41" w14:textId="6B52C2CF" w:rsidR="00C63465" w:rsidRPr="00280FAF" w:rsidRDefault="00BD2A33" w:rsidP="00280FAF">
      <w:pPr>
        <w:pStyle w:val="CETBodytext"/>
        <w:jc w:val="left"/>
        <w:rPr>
          <w:rFonts w:eastAsia="SimSun"/>
        </w:rPr>
        <w:sectPr w:rsidR="00C63465" w:rsidRPr="00280FAF" w:rsidSect="008314D7">
          <w:type w:val="continuous"/>
          <w:pgSz w:w="11906" w:h="16838" w:code="9"/>
          <w:pgMar w:top="1701" w:right="1418" w:bottom="1701" w:left="1701" w:header="1701" w:footer="0" w:gutter="0"/>
          <w:cols w:space="708"/>
          <w:formProt w:val="0"/>
          <w:titlePg/>
          <w:docGrid w:linePitch="360"/>
        </w:sectPr>
      </w:pPr>
      <m:oMath>
        <m:r>
          <w:rPr>
            <w:rFonts w:ascii="Cambria Math" w:eastAsia="SimSun" w:hAnsi="Cambria Math" w:cs="Arial"/>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min</m:t>
            </m:r>
          </m:sub>
        </m:sSub>
      </m:oMath>
      <w:r w:rsidR="00C63465">
        <w:rPr>
          <w:rFonts w:eastAsia="SimSun"/>
        </w:rPr>
        <w:t xml:space="preserve"> – minimum allowable temperature difference for heat exchange</w:t>
      </w:r>
      <w:r w:rsidR="0028627A">
        <w:rPr>
          <w:rFonts w:eastAsia="SimSun"/>
        </w:rPr>
        <w:t xml:space="preserve"> </w:t>
      </w:r>
      <w:r w:rsidR="0028627A">
        <w:rPr>
          <w:rFonts w:eastAsia="SimSun"/>
        </w:rPr>
        <w:t>(</w:t>
      </w:r>
      <w:r w:rsidR="0028627A">
        <w:rPr>
          <w:rFonts w:ascii="Calibri" w:eastAsia="SimSun" w:hAnsi="Calibri" w:cs="Calibri"/>
        </w:rPr>
        <w:t>°</w:t>
      </w:r>
      <w:r w:rsidR="0028627A">
        <w:rPr>
          <w:rFonts w:eastAsia="SimSun"/>
        </w:rPr>
        <w:t>C</w:t>
      </w:r>
    </w:p>
    <w:p w14:paraId="459D05E6" w14:textId="7FF767B8" w:rsidR="00600535" w:rsidRPr="00B57B36" w:rsidRDefault="00600535" w:rsidP="00600535">
      <w:pPr>
        <w:pStyle w:val="CETAcknowledgementstitle"/>
      </w:pPr>
      <w:r w:rsidRPr="00B57B36">
        <w:t>Acknowledgments</w:t>
      </w:r>
    </w:p>
    <w:p w14:paraId="33F8138F" w14:textId="261521A2" w:rsidR="00600535" w:rsidRPr="00B57B36" w:rsidRDefault="00C553C9" w:rsidP="00600535">
      <w:pPr>
        <w:pStyle w:val="CETBodytext"/>
        <w:rPr>
          <w:lang w:val="en-GB"/>
        </w:rPr>
      </w:pPr>
      <w:r>
        <w:rPr>
          <w:lang w:val="en-GB"/>
        </w:rPr>
        <w:t xml:space="preserve">Authors want to thank </w:t>
      </w:r>
      <w:r w:rsidRPr="00801D7C">
        <w:rPr>
          <w:i/>
          <w:iCs/>
          <w:lang w:val="en-GB"/>
        </w:rPr>
        <w:t>Universidad de Cartagena</w:t>
      </w:r>
      <w:r>
        <w:rPr>
          <w:lang w:val="en-GB"/>
        </w:rPr>
        <w:t xml:space="preserve"> and </w:t>
      </w:r>
      <w:r w:rsidRPr="00801D7C">
        <w:rPr>
          <w:i/>
          <w:iCs/>
          <w:lang w:val="en-GB"/>
        </w:rPr>
        <w:t>Ministerio de Ciencia, Tecnologia e Innovacion de Colombia</w:t>
      </w:r>
      <w:r>
        <w:rPr>
          <w:lang w:val="en-GB"/>
        </w:rPr>
        <w:t xml:space="preserve"> for their support to conduct this research project.</w:t>
      </w:r>
    </w:p>
    <w:p w14:paraId="4F1327F8" w14:textId="77777777" w:rsidR="00600535" w:rsidRPr="00B57B36" w:rsidRDefault="00600535" w:rsidP="00600535">
      <w:pPr>
        <w:pStyle w:val="CETReference"/>
      </w:pPr>
      <w:r w:rsidRPr="00B57B36">
        <w:t>References</w:t>
      </w:r>
    </w:p>
    <w:p w14:paraId="4B7A7B77" w14:textId="130BC633" w:rsidR="004D7582" w:rsidRDefault="004D7582" w:rsidP="002A6863">
      <w:pPr>
        <w:pStyle w:val="CETReferencetext"/>
        <w:jc w:val="left"/>
      </w:pPr>
      <w:r>
        <w:t xml:space="preserve">Dickson, R., Mancini, E., Garg, N., Woodley, J.M., Gernaey, K.V., Pinelo, M., Mansouri, S.S., 2021, Sustainable bioprocess design through integrated techno-economic and life cycle assessment, Energy &amp; Environmental Science, 14, 3542–3558. </w:t>
      </w:r>
      <w:hyperlink r:id="rId12" w:history="1">
        <w:r w:rsidR="002A6863" w:rsidRPr="00E53F27">
          <w:rPr>
            <w:rStyle w:val="Hyperlink"/>
          </w:rPr>
          <w:t>https://doi.org/10.1039/D0EE03545A</w:t>
        </w:r>
      </w:hyperlink>
    </w:p>
    <w:p w14:paraId="5263D4C1" w14:textId="4C151C01" w:rsidR="002A6863" w:rsidRDefault="002A6863" w:rsidP="002A6863">
      <w:pPr>
        <w:pStyle w:val="CETReferencetext"/>
        <w:ind w:left="288" w:hanging="288"/>
        <w:jc w:val="left"/>
      </w:pPr>
      <w:r>
        <w:t>Faraldo, F., Zuberi, Z., Mukherjee, S., Asthana, A., Howarth, M., Chowdhury, J.I., 2024, A review of energy efficient technologies and heat recovery in food processing industries, Energies, 17(12), 3051. https://doi.org/10.3390/en17123051</w:t>
      </w:r>
    </w:p>
    <w:p w14:paraId="4CF28318" w14:textId="6B7AF6FC" w:rsidR="004D7582" w:rsidRDefault="004D7582" w:rsidP="002A6863">
      <w:pPr>
        <w:pStyle w:val="CETReferencetext"/>
        <w:jc w:val="left"/>
      </w:pPr>
      <w:r w:rsidRPr="004D7582">
        <w:t xml:space="preserve">Garcia-Vallejo, M.C., Agudelo Patiño, T., Poveda-Giraldo, J.A., Piedrahita-Rodríguez, S., Cardona Alzate, C.A., 2023, Alternatives for the Valorization of Avocado Waste Generated in the Different Links of the Value Chain Based on a Life-Cycle Analysis Approach, Agronomy, 13(9), 2229. </w:t>
      </w:r>
      <w:hyperlink r:id="rId13" w:history="1">
        <w:r w:rsidRPr="00117CA2">
          <w:rPr>
            <w:rStyle w:val="Hyperlink"/>
          </w:rPr>
          <w:t>https://doi.org/10.3390/agronomy13092229</w:t>
        </w:r>
      </w:hyperlink>
    </w:p>
    <w:p w14:paraId="1C6B770F" w14:textId="7EA2F734" w:rsidR="004D7582" w:rsidRDefault="004D7582" w:rsidP="002A6863">
      <w:pPr>
        <w:pStyle w:val="CETReferencetext"/>
        <w:jc w:val="left"/>
      </w:pPr>
      <w:r>
        <w:t>González-Delgado, Á.D., Herrera-Rodríguez, T.C., Meramo, S., 2022, Sustainability-oriented assessment of avocado oil extraction processes under biorefinery principles, Chemical Engineering Transactions, 92, 409–414. https://doi.org/10.3303/CET2292069</w:t>
      </w:r>
    </w:p>
    <w:p w14:paraId="1C91178D" w14:textId="54067FB9" w:rsidR="004D7582" w:rsidRDefault="004D7582" w:rsidP="002A6863">
      <w:pPr>
        <w:pStyle w:val="CETReferencetext"/>
        <w:jc w:val="left"/>
      </w:pPr>
      <w:r>
        <w:t xml:space="preserve">Herrera, T., Parejo, V., González-Delgado, Á.D., 2022, Quality of energy conservation in an avocado oil extraction process via exergy analysis, Chemical Engineering Transactions, 91, 241–246. </w:t>
      </w:r>
      <w:hyperlink r:id="rId14" w:history="1">
        <w:r w:rsidR="002A6863" w:rsidRPr="00E53F27">
          <w:rPr>
            <w:rStyle w:val="Hyperlink"/>
          </w:rPr>
          <w:t>https://doi.org/10.3303/CET2291041</w:t>
        </w:r>
      </w:hyperlink>
    </w:p>
    <w:p w14:paraId="556CF05A" w14:textId="5C57AF5F" w:rsidR="002A6863" w:rsidRDefault="002A6863" w:rsidP="002A6863">
      <w:pPr>
        <w:pStyle w:val="CETReferencetext"/>
        <w:jc w:val="left"/>
      </w:pPr>
      <w:r>
        <w:t>Luo, Y., Jagtap, S., Trollman, H., Garcia-Garcia, G., 2022, A framework for recovering waste heat energy from food processing effluent, Water, 15(1), 12. https://doi.org/10.3390/w15010012</w:t>
      </w:r>
    </w:p>
    <w:p w14:paraId="317F0FD0" w14:textId="4C61198F" w:rsidR="004D7582" w:rsidRDefault="004D7582" w:rsidP="002A6863">
      <w:pPr>
        <w:pStyle w:val="CETReferencetext"/>
        <w:jc w:val="left"/>
      </w:pPr>
      <w:r>
        <w:t xml:space="preserve">Meramo-Hurtado, S.I., Gonzalez-Delgado, Á.D., 2020, Application of techno-economic and sensitivity analyses as decision-making tools for emerging biorefineries, ACS Omega, 5, 17601–17610. </w:t>
      </w:r>
      <w:hyperlink r:id="rId15" w:history="1">
        <w:r w:rsidR="002A6863" w:rsidRPr="00E53F27">
          <w:rPr>
            <w:rStyle w:val="Hyperlink"/>
          </w:rPr>
          <w:t>https://doi.org/10.1021/acsomega.0c02064</w:t>
        </w:r>
      </w:hyperlink>
    </w:p>
    <w:p w14:paraId="573A8481" w14:textId="3B1968D9" w:rsidR="002A6863" w:rsidRDefault="002A6863" w:rsidP="002A6863">
      <w:pPr>
        <w:pStyle w:val="CETReferencetext"/>
        <w:jc w:val="left"/>
      </w:pPr>
      <w:r>
        <w:t>Prado-Acebo, I., Cubero-Cardoso, J., Lu-Chau, T.A., Eibes, G., 2024, Integral multi-valorization of agro-industrial wastes: A review, Waste Management, 187, 8–30. https://doi.org/10.1016/j.wasman.2024.05.001</w:t>
      </w:r>
    </w:p>
    <w:p w14:paraId="28E8379D" w14:textId="728E62BF" w:rsidR="00C52C3C" w:rsidRPr="00093FAD" w:rsidRDefault="004D7582" w:rsidP="002A6863">
      <w:pPr>
        <w:pStyle w:val="CETReferencetext"/>
        <w:jc w:val="left"/>
        <w:rPr>
          <w:lang w:val="en-US"/>
        </w:rPr>
      </w:pPr>
      <w:r>
        <w:t>Solarte-Toro, J.C., Ortiz-Sanchez, M., Cardona-Alzate, C.A., 2022, Environmental life cycle assessment of small-scale avocado biorefineries implemented in rural zones, Environmental Science and Pollution Research, 29, 59015–59031. https://doi.org/10.1007/s11356-022-20857-z</w:t>
      </w:r>
    </w:p>
    <w:p w14:paraId="5A13856B" w14:textId="77777777" w:rsidR="006B4888" w:rsidRPr="000D56D6" w:rsidRDefault="006B4888" w:rsidP="006B4888">
      <w:pPr>
        <w:pStyle w:val="CETReferencetext"/>
      </w:pPr>
    </w:p>
    <w:p w14:paraId="19C4FC68" w14:textId="77777777" w:rsidR="004628D2" w:rsidRDefault="004628D2" w:rsidP="00FA5F5F">
      <w:pPr>
        <w:pStyle w:val="CETHeading1"/>
        <w:numPr>
          <w:ilvl w:val="0"/>
          <w:numId w:val="0"/>
        </w:numPr>
      </w:pP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D2E9" w14:textId="77777777" w:rsidR="005D7912" w:rsidRDefault="005D7912" w:rsidP="004F5E36">
      <w:r>
        <w:separator/>
      </w:r>
    </w:p>
  </w:endnote>
  <w:endnote w:type="continuationSeparator" w:id="0">
    <w:p w14:paraId="066A303D" w14:textId="77777777" w:rsidR="005D7912" w:rsidRDefault="005D791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BACD" w14:textId="77777777" w:rsidR="005D7912" w:rsidRDefault="005D7912" w:rsidP="004F5E36">
      <w:r>
        <w:separator/>
      </w:r>
    </w:p>
  </w:footnote>
  <w:footnote w:type="continuationSeparator" w:id="0">
    <w:p w14:paraId="16292E44" w14:textId="77777777" w:rsidR="005D7912" w:rsidRDefault="005D791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C0F2D4D"/>
    <w:multiLevelType w:val="multilevel"/>
    <w:tmpl w:val="2D242B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 w:numId="23" w16cid:durableId="2120179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51566"/>
    <w:rsid w:val="000562A9"/>
    <w:rsid w:val="00062A9A"/>
    <w:rsid w:val="00065058"/>
    <w:rsid w:val="00086C39"/>
    <w:rsid w:val="00093FAD"/>
    <w:rsid w:val="000A03B2"/>
    <w:rsid w:val="000B2D98"/>
    <w:rsid w:val="000D0268"/>
    <w:rsid w:val="000D34BE"/>
    <w:rsid w:val="000E102F"/>
    <w:rsid w:val="000E36F1"/>
    <w:rsid w:val="000E3A73"/>
    <w:rsid w:val="000E414A"/>
    <w:rsid w:val="000E75FD"/>
    <w:rsid w:val="000F093C"/>
    <w:rsid w:val="000F787B"/>
    <w:rsid w:val="00101F02"/>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84AD6"/>
    <w:rsid w:val="001A4AF7"/>
    <w:rsid w:val="001B0349"/>
    <w:rsid w:val="001B1E93"/>
    <w:rsid w:val="001B65C1"/>
    <w:rsid w:val="001C260F"/>
    <w:rsid w:val="001C33F1"/>
    <w:rsid w:val="001C3AE2"/>
    <w:rsid w:val="001C684B"/>
    <w:rsid w:val="001D0CFB"/>
    <w:rsid w:val="001D21AF"/>
    <w:rsid w:val="001D53FC"/>
    <w:rsid w:val="001F42A5"/>
    <w:rsid w:val="001F7B9D"/>
    <w:rsid w:val="00201C93"/>
    <w:rsid w:val="002224B4"/>
    <w:rsid w:val="00240B19"/>
    <w:rsid w:val="002447EF"/>
    <w:rsid w:val="00251550"/>
    <w:rsid w:val="00263B05"/>
    <w:rsid w:val="0027221A"/>
    <w:rsid w:val="00275B61"/>
    <w:rsid w:val="00280FAF"/>
    <w:rsid w:val="00282656"/>
    <w:rsid w:val="0028627A"/>
    <w:rsid w:val="00296B83"/>
    <w:rsid w:val="002A6863"/>
    <w:rsid w:val="002B4015"/>
    <w:rsid w:val="002B5C01"/>
    <w:rsid w:val="002B78CE"/>
    <w:rsid w:val="002C2FB6"/>
    <w:rsid w:val="002E5FA7"/>
    <w:rsid w:val="002F3309"/>
    <w:rsid w:val="003008CE"/>
    <w:rsid w:val="003009B7"/>
    <w:rsid w:val="00300E56"/>
    <w:rsid w:val="0030152C"/>
    <w:rsid w:val="0030469C"/>
    <w:rsid w:val="00321CA6"/>
    <w:rsid w:val="00323763"/>
    <w:rsid w:val="00323C5F"/>
    <w:rsid w:val="00334C09"/>
    <w:rsid w:val="003723D4"/>
    <w:rsid w:val="00381905"/>
    <w:rsid w:val="00384CC8"/>
    <w:rsid w:val="003871FD"/>
    <w:rsid w:val="003A1E30"/>
    <w:rsid w:val="003A2829"/>
    <w:rsid w:val="003A7D1C"/>
    <w:rsid w:val="003B304B"/>
    <w:rsid w:val="003B3146"/>
    <w:rsid w:val="003B4EA5"/>
    <w:rsid w:val="003D1E02"/>
    <w:rsid w:val="003F015E"/>
    <w:rsid w:val="003F12A1"/>
    <w:rsid w:val="00400414"/>
    <w:rsid w:val="0041446B"/>
    <w:rsid w:val="0044071E"/>
    <w:rsid w:val="0044329C"/>
    <w:rsid w:val="00453E24"/>
    <w:rsid w:val="00457456"/>
    <w:rsid w:val="004577FE"/>
    <w:rsid w:val="00457B9C"/>
    <w:rsid w:val="0046164A"/>
    <w:rsid w:val="004628D2"/>
    <w:rsid w:val="00462DCD"/>
    <w:rsid w:val="004648AD"/>
    <w:rsid w:val="004703A9"/>
    <w:rsid w:val="004760DE"/>
    <w:rsid w:val="004763D7"/>
    <w:rsid w:val="0048646E"/>
    <w:rsid w:val="00493EF4"/>
    <w:rsid w:val="004A004E"/>
    <w:rsid w:val="004A24CF"/>
    <w:rsid w:val="004A5E57"/>
    <w:rsid w:val="004C194F"/>
    <w:rsid w:val="004C3D1D"/>
    <w:rsid w:val="004C3D84"/>
    <w:rsid w:val="004C7913"/>
    <w:rsid w:val="004D7582"/>
    <w:rsid w:val="004E4DD6"/>
    <w:rsid w:val="004F5E36"/>
    <w:rsid w:val="00507B47"/>
    <w:rsid w:val="00507BEF"/>
    <w:rsid w:val="00507CC9"/>
    <w:rsid w:val="005119A5"/>
    <w:rsid w:val="0052048F"/>
    <w:rsid w:val="005278B7"/>
    <w:rsid w:val="00532016"/>
    <w:rsid w:val="005346C8"/>
    <w:rsid w:val="00543E7D"/>
    <w:rsid w:val="00547A68"/>
    <w:rsid w:val="005531C9"/>
    <w:rsid w:val="00562C78"/>
    <w:rsid w:val="00570C43"/>
    <w:rsid w:val="00581583"/>
    <w:rsid w:val="00592274"/>
    <w:rsid w:val="005A11A1"/>
    <w:rsid w:val="005B2110"/>
    <w:rsid w:val="005B61E6"/>
    <w:rsid w:val="005C77E1"/>
    <w:rsid w:val="005D668A"/>
    <w:rsid w:val="005D6A2F"/>
    <w:rsid w:val="005D7912"/>
    <w:rsid w:val="005E0592"/>
    <w:rsid w:val="005E1A82"/>
    <w:rsid w:val="005E794C"/>
    <w:rsid w:val="005F0A28"/>
    <w:rsid w:val="005F0E5E"/>
    <w:rsid w:val="00600535"/>
    <w:rsid w:val="00610CD6"/>
    <w:rsid w:val="00620DEE"/>
    <w:rsid w:val="00621F92"/>
    <w:rsid w:val="0062280A"/>
    <w:rsid w:val="006231E1"/>
    <w:rsid w:val="00625639"/>
    <w:rsid w:val="00631B33"/>
    <w:rsid w:val="0064184D"/>
    <w:rsid w:val="006422CC"/>
    <w:rsid w:val="00651D18"/>
    <w:rsid w:val="00660E3E"/>
    <w:rsid w:val="00662E74"/>
    <w:rsid w:val="00664F9F"/>
    <w:rsid w:val="00680C23"/>
    <w:rsid w:val="00683E23"/>
    <w:rsid w:val="00693766"/>
    <w:rsid w:val="006A3281"/>
    <w:rsid w:val="006B4888"/>
    <w:rsid w:val="006C2E45"/>
    <w:rsid w:val="006C359C"/>
    <w:rsid w:val="006C5579"/>
    <w:rsid w:val="006D6E8B"/>
    <w:rsid w:val="006D7209"/>
    <w:rsid w:val="006E737D"/>
    <w:rsid w:val="007009E7"/>
    <w:rsid w:val="00707DD1"/>
    <w:rsid w:val="00713973"/>
    <w:rsid w:val="00720A24"/>
    <w:rsid w:val="00732386"/>
    <w:rsid w:val="0073514D"/>
    <w:rsid w:val="007447F3"/>
    <w:rsid w:val="0075499F"/>
    <w:rsid w:val="007617CC"/>
    <w:rsid w:val="007661C8"/>
    <w:rsid w:val="0077098D"/>
    <w:rsid w:val="00785BF9"/>
    <w:rsid w:val="007931FA"/>
    <w:rsid w:val="00795570"/>
    <w:rsid w:val="007A4861"/>
    <w:rsid w:val="007A7BBA"/>
    <w:rsid w:val="007B0C50"/>
    <w:rsid w:val="007B48F9"/>
    <w:rsid w:val="007C1A43"/>
    <w:rsid w:val="007D0951"/>
    <w:rsid w:val="007F27C8"/>
    <w:rsid w:val="0080013E"/>
    <w:rsid w:val="00801D7C"/>
    <w:rsid w:val="00813288"/>
    <w:rsid w:val="008168FC"/>
    <w:rsid w:val="00830996"/>
    <w:rsid w:val="008314D7"/>
    <w:rsid w:val="008345F1"/>
    <w:rsid w:val="00865B07"/>
    <w:rsid w:val="008667EA"/>
    <w:rsid w:val="0087637F"/>
    <w:rsid w:val="00892AD5"/>
    <w:rsid w:val="008A1512"/>
    <w:rsid w:val="008D32B9"/>
    <w:rsid w:val="008D433B"/>
    <w:rsid w:val="008D4A16"/>
    <w:rsid w:val="008E209A"/>
    <w:rsid w:val="008E45BC"/>
    <w:rsid w:val="008E566E"/>
    <w:rsid w:val="0090161A"/>
    <w:rsid w:val="00901EB6"/>
    <w:rsid w:val="009041F8"/>
    <w:rsid w:val="00904C62"/>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93B84"/>
    <w:rsid w:val="00996483"/>
    <w:rsid w:val="00996F5A"/>
    <w:rsid w:val="009B041A"/>
    <w:rsid w:val="009B2BD9"/>
    <w:rsid w:val="009C37C3"/>
    <w:rsid w:val="009C7C86"/>
    <w:rsid w:val="009D2FF7"/>
    <w:rsid w:val="009E7884"/>
    <w:rsid w:val="009E788A"/>
    <w:rsid w:val="009F0E08"/>
    <w:rsid w:val="00A079AE"/>
    <w:rsid w:val="00A1763D"/>
    <w:rsid w:val="00A17CEC"/>
    <w:rsid w:val="00A26CBB"/>
    <w:rsid w:val="00A27EF0"/>
    <w:rsid w:val="00A33F44"/>
    <w:rsid w:val="00A42361"/>
    <w:rsid w:val="00A50B20"/>
    <w:rsid w:val="00A51390"/>
    <w:rsid w:val="00A60D13"/>
    <w:rsid w:val="00A7223D"/>
    <w:rsid w:val="00A72745"/>
    <w:rsid w:val="00A76EFC"/>
    <w:rsid w:val="00A87D50"/>
    <w:rsid w:val="00A91010"/>
    <w:rsid w:val="00A97F29"/>
    <w:rsid w:val="00AA702E"/>
    <w:rsid w:val="00AA7D26"/>
    <w:rsid w:val="00AB0964"/>
    <w:rsid w:val="00AB5011"/>
    <w:rsid w:val="00AC7368"/>
    <w:rsid w:val="00AD0278"/>
    <w:rsid w:val="00AD10E8"/>
    <w:rsid w:val="00AD16B9"/>
    <w:rsid w:val="00AE377D"/>
    <w:rsid w:val="00AF0EBA"/>
    <w:rsid w:val="00B02C8A"/>
    <w:rsid w:val="00B04627"/>
    <w:rsid w:val="00B17FBD"/>
    <w:rsid w:val="00B315A6"/>
    <w:rsid w:val="00B31813"/>
    <w:rsid w:val="00B33365"/>
    <w:rsid w:val="00B57B36"/>
    <w:rsid w:val="00B57E6F"/>
    <w:rsid w:val="00B8686D"/>
    <w:rsid w:val="00B93F69"/>
    <w:rsid w:val="00BB1DDC"/>
    <w:rsid w:val="00BC30C9"/>
    <w:rsid w:val="00BD077D"/>
    <w:rsid w:val="00BD2A33"/>
    <w:rsid w:val="00BE3E58"/>
    <w:rsid w:val="00C01616"/>
    <w:rsid w:val="00C0162B"/>
    <w:rsid w:val="00C068ED"/>
    <w:rsid w:val="00C208E9"/>
    <w:rsid w:val="00C22E0C"/>
    <w:rsid w:val="00C32B8B"/>
    <w:rsid w:val="00C345B1"/>
    <w:rsid w:val="00C40142"/>
    <w:rsid w:val="00C52C3C"/>
    <w:rsid w:val="00C553C9"/>
    <w:rsid w:val="00C57182"/>
    <w:rsid w:val="00C57863"/>
    <w:rsid w:val="00C63465"/>
    <w:rsid w:val="00C640AF"/>
    <w:rsid w:val="00C655FD"/>
    <w:rsid w:val="00C75407"/>
    <w:rsid w:val="00C756BB"/>
    <w:rsid w:val="00C841C6"/>
    <w:rsid w:val="00C870A8"/>
    <w:rsid w:val="00C94434"/>
    <w:rsid w:val="00CA0D75"/>
    <w:rsid w:val="00CA1C95"/>
    <w:rsid w:val="00CA5A9C"/>
    <w:rsid w:val="00CC4C20"/>
    <w:rsid w:val="00CD3517"/>
    <w:rsid w:val="00CD5FE2"/>
    <w:rsid w:val="00CE7C68"/>
    <w:rsid w:val="00D02B4C"/>
    <w:rsid w:val="00D040C4"/>
    <w:rsid w:val="00D13167"/>
    <w:rsid w:val="00D20AD1"/>
    <w:rsid w:val="00D2582C"/>
    <w:rsid w:val="00D46B7E"/>
    <w:rsid w:val="00D57C84"/>
    <w:rsid w:val="00D6057D"/>
    <w:rsid w:val="00D71640"/>
    <w:rsid w:val="00D836C5"/>
    <w:rsid w:val="00D84576"/>
    <w:rsid w:val="00DA1399"/>
    <w:rsid w:val="00DA24C6"/>
    <w:rsid w:val="00DA4C35"/>
    <w:rsid w:val="00DA4D7B"/>
    <w:rsid w:val="00DC52E3"/>
    <w:rsid w:val="00DD271C"/>
    <w:rsid w:val="00DE264A"/>
    <w:rsid w:val="00DF5072"/>
    <w:rsid w:val="00E02D18"/>
    <w:rsid w:val="00E041E7"/>
    <w:rsid w:val="00E06A48"/>
    <w:rsid w:val="00E23CA1"/>
    <w:rsid w:val="00E409A8"/>
    <w:rsid w:val="00E47D61"/>
    <w:rsid w:val="00E50C12"/>
    <w:rsid w:val="00E640D6"/>
    <w:rsid w:val="00E65B91"/>
    <w:rsid w:val="00E7209D"/>
    <w:rsid w:val="00E72EAD"/>
    <w:rsid w:val="00E77223"/>
    <w:rsid w:val="00E8528B"/>
    <w:rsid w:val="00E85B94"/>
    <w:rsid w:val="00E978D0"/>
    <w:rsid w:val="00EA3EF9"/>
    <w:rsid w:val="00EA4613"/>
    <w:rsid w:val="00EA7F91"/>
    <w:rsid w:val="00EB1523"/>
    <w:rsid w:val="00EC0E49"/>
    <w:rsid w:val="00EC101F"/>
    <w:rsid w:val="00EC1D9F"/>
    <w:rsid w:val="00EE0131"/>
    <w:rsid w:val="00EE17B0"/>
    <w:rsid w:val="00EF06D9"/>
    <w:rsid w:val="00EF0982"/>
    <w:rsid w:val="00F126A5"/>
    <w:rsid w:val="00F3049E"/>
    <w:rsid w:val="00F30C64"/>
    <w:rsid w:val="00F32BA2"/>
    <w:rsid w:val="00F32CDB"/>
    <w:rsid w:val="00F3348F"/>
    <w:rsid w:val="00F37280"/>
    <w:rsid w:val="00F41EE4"/>
    <w:rsid w:val="00F565FE"/>
    <w:rsid w:val="00F63A70"/>
    <w:rsid w:val="00F63D8C"/>
    <w:rsid w:val="00F7534E"/>
    <w:rsid w:val="00F93EDF"/>
    <w:rsid w:val="00FA1802"/>
    <w:rsid w:val="00FA21D0"/>
    <w:rsid w:val="00FA5F5F"/>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44744B13-7E12-4C82-89FD-4003F3F2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PlaceholderText">
    <w:name w:val="Placeholder Text"/>
    <w:basedOn w:val="DefaultParagraphFont"/>
    <w:uiPriority w:val="99"/>
    <w:semiHidden/>
    <w:rsid w:val="00DC52E3"/>
    <w:rPr>
      <w:color w:val="666666"/>
    </w:rPr>
  </w:style>
  <w:style w:type="character" w:styleId="UnresolvedMention">
    <w:name w:val="Unresolved Mention"/>
    <w:basedOn w:val="DefaultParagraphFont"/>
    <w:uiPriority w:val="99"/>
    <w:semiHidden/>
    <w:unhideWhenUsed/>
    <w:rsid w:val="004D7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agronomy130922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9/D0EE03545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21/acsomega.0c02064"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03/CET229104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3116</Words>
  <Characters>20258</Characters>
  <Application>Microsoft Office Word</Application>
  <DocSecurity>0</DocSecurity>
  <Lines>343</Lines>
  <Paragraphs>153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Samir Meramo Hurtado</cp:lastModifiedBy>
  <cp:revision>8</cp:revision>
  <cp:lastPrinted>2015-05-12T18:31:00Z</cp:lastPrinted>
  <dcterms:created xsi:type="dcterms:W3CDTF">2025-12-15T13:40:00Z</dcterms:created>
  <dcterms:modified xsi:type="dcterms:W3CDTF">2026-03-30T23:54:00Z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