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E845E" w14:textId="77777777" w:rsidR="005F29D3" w:rsidRDefault="005F29D3">
      <w:pPr>
        <w:widowControl w:val="0"/>
        <w:pBdr>
          <w:top w:val="nil"/>
          <w:left w:val="nil"/>
          <w:bottom w:val="nil"/>
          <w:right w:val="nil"/>
          <w:between w:val="nil"/>
        </w:pBdr>
        <w:spacing w:line="276" w:lineRule="auto"/>
        <w:jc w:val="left"/>
        <w:rPr>
          <w:rFonts w:eastAsia="Arial" w:cs="Arial"/>
          <w:color w:val="000000"/>
          <w:sz w:val="22"/>
          <w:szCs w:val="22"/>
        </w:rPr>
      </w:pPr>
    </w:p>
    <w:tbl>
      <w:tblPr>
        <w:tblStyle w:val="3"/>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5F29D3" w14:paraId="47AB74FA" w14:textId="77777777">
        <w:trPr>
          <w:trHeight w:val="852"/>
          <w:jc w:val="center"/>
        </w:trPr>
        <w:tc>
          <w:tcPr>
            <w:tcW w:w="6940" w:type="dxa"/>
            <w:vMerge w:val="restart"/>
            <w:tcBorders>
              <w:right w:val="single" w:sz="4" w:space="0" w:color="000000"/>
            </w:tcBorders>
          </w:tcPr>
          <w:p w14:paraId="71E8EAE1" w14:textId="77777777" w:rsidR="005F29D3"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73029311" wp14:editId="44D0FAF2">
                  <wp:extent cx="640080" cy="373380"/>
                  <wp:effectExtent l="0" t="0" r="0" b="0"/>
                  <wp:docPr id="7" name="image3.jpg" descr="cetlogo"/>
                  <wp:cNvGraphicFramePr/>
                  <a:graphic xmlns:a="http://schemas.openxmlformats.org/drawingml/2006/main">
                    <a:graphicData uri="http://schemas.openxmlformats.org/drawingml/2006/picture">
                      <pic:pic xmlns:pic="http://schemas.openxmlformats.org/drawingml/2006/picture">
                        <pic:nvPicPr>
                          <pic:cNvPr id="0" name="image3.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0F87A6B0" w14:textId="5ED64D15" w:rsidR="005F29D3" w:rsidRDefault="00000000">
            <w:pPr>
              <w:tabs>
                <w:tab w:val="left" w:pos="-108"/>
              </w:tabs>
              <w:ind w:left="-108"/>
              <w:rPr>
                <w:b/>
                <w:i/>
                <w:color w:val="000066"/>
                <w:sz w:val="22"/>
                <w:szCs w:val="22"/>
              </w:rPr>
            </w:pPr>
            <w:r>
              <w:rPr>
                <w:b/>
                <w:i/>
                <w:color w:val="000066"/>
                <w:sz w:val="22"/>
                <w:szCs w:val="22"/>
              </w:rPr>
              <w:t xml:space="preserve">VOL.  </w:t>
            </w:r>
            <w:proofErr w:type="gramStart"/>
            <w:r>
              <w:rPr>
                <w:b/>
                <w:i/>
                <w:color w:val="000066"/>
                <w:sz w:val="22"/>
                <w:szCs w:val="22"/>
              </w:rPr>
              <w:t xml:space="preserve">  ,</w:t>
            </w:r>
            <w:proofErr w:type="gramEnd"/>
            <w:r>
              <w:rPr>
                <w:b/>
                <w:i/>
                <w:color w:val="000066"/>
                <w:sz w:val="22"/>
                <w:szCs w:val="22"/>
              </w:rPr>
              <w:t xml:space="preserve"> 202</w:t>
            </w:r>
            <w:r w:rsidR="00C63B18">
              <w:rPr>
                <w:b/>
                <w:i/>
                <w:color w:val="000066"/>
                <w:sz w:val="22"/>
                <w:szCs w:val="22"/>
              </w:rPr>
              <w:t>6</w:t>
            </w:r>
          </w:p>
        </w:tc>
        <w:tc>
          <w:tcPr>
            <w:tcW w:w="1842" w:type="dxa"/>
            <w:tcBorders>
              <w:left w:val="single" w:sz="4" w:space="0" w:color="000000"/>
              <w:bottom w:val="nil"/>
              <w:right w:val="single" w:sz="4" w:space="0" w:color="000000"/>
            </w:tcBorders>
          </w:tcPr>
          <w:p w14:paraId="6212659C" w14:textId="77777777" w:rsidR="005F29D3" w:rsidRDefault="00000000">
            <w:pPr>
              <w:jc w:val="right"/>
              <w:rPr>
                <w:sz w:val="14"/>
                <w:szCs w:val="14"/>
              </w:rPr>
            </w:pPr>
            <w:r>
              <w:rPr>
                <w:sz w:val="14"/>
                <w:szCs w:val="14"/>
              </w:rPr>
              <w:t>A publication of</w:t>
            </w:r>
          </w:p>
          <w:p w14:paraId="76D0E9EF" w14:textId="77777777" w:rsidR="005F29D3" w:rsidRDefault="00000000">
            <w:pPr>
              <w:jc w:val="right"/>
            </w:pPr>
            <w:r>
              <w:rPr>
                <w:noProof/>
              </w:rPr>
              <w:drawing>
                <wp:inline distT="0" distB="0" distL="0" distR="0" wp14:anchorId="2037F4DA" wp14:editId="1DB907FE">
                  <wp:extent cx="670560" cy="358140"/>
                  <wp:effectExtent l="0" t="0" r="0" b="0"/>
                  <wp:docPr id="9" name="image2.jpg" descr="aidiclogo_grande"/>
                  <wp:cNvGraphicFramePr/>
                  <a:graphic xmlns:a="http://schemas.openxmlformats.org/drawingml/2006/main">
                    <a:graphicData uri="http://schemas.openxmlformats.org/drawingml/2006/picture">
                      <pic:pic xmlns:pic="http://schemas.openxmlformats.org/drawingml/2006/picture">
                        <pic:nvPicPr>
                          <pic:cNvPr id="0" name="image2.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5F29D3" w14:paraId="32908C2A" w14:textId="77777777">
        <w:trPr>
          <w:trHeight w:val="567"/>
          <w:jc w:val="center"/>
        </w:trPr>
        <w:tc>
          <w:tcPr>
            <w:tcW w:w="6940" w:type="dxa"/>
            <w:vMerge/>
            <w:tcBorders>
              <w:right w:val="single" w:sz="4" w:space="0" w:color="000000"/>
            </w:tcBorders>
          </w:tcPr>
          <w:p w14:paraId="17B37E1A" w14:textId="77777777" w:rsidR="005F29D3" w:rsidRDefault="005F29D3">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5BF978C5" w14:textId="77777777" w:rsidR="005F29D3" w:rsidRDefault="00000000">
            <w:pPr>
              <w:jc w:val="right"/>
              <w:rPr>
                <w:sz w:val="14"/>
                <w:szCs w:val="14"/>
              </w:rPr>
            </w:pPr>
            <w:r>
              <w:rPr>
                <w:sz w:val="14"/>
                <w:szCs w:val="14"/>
              </w:rPr>
              <w:t>The Italian Association</w:t>
            </w:r>
          </w:p>
          <w:p w14:paraId="0C9B08CB" w14:textId="77777777" w:rsidR="005F29D3" w:rsidRDefault="00000000">
            <w:pPr>
              <w:jc w:val="right"/>
              <w:rPr>
                <w:sz w:val="14"/>
                <w:szCs w:val="14"/>
              </w:rPr>
            </w:pPr>
            <w:r>
              <w:rPr>
                <w:sz w:val="14"/>
                <w:szCs w:val="14"/>
              </w:rPr>
              <w:t>of Chemical Engineering</w:t>
            </w:r>
          </w:p>
          <w:p w14:paraId="32AD0473" w14:textId="77777777" w:rsidR="005F29D3" w:rsidRDefault="00000000">
            <w:pPr>
              <w:jc w:val="right"/>
              <w:rPr>
                <w:sz w:val="13"/>
                <w:szCs w:val="13"/>
              </w:rPr>
            </w:pPr>
            <w:r>
              <w:rPr>
                <w:sz w:val="13"/>
                <w:szCs w:val="13"/>
              </w:rPr>
              <w:t>Online at www.cetjournal.it</w:t>
            </w:r>
          </w:p>
        </w:tc>
      </w:tr>
      <w:tr w:rsidR="005F29D3" w14:paraId="03E002A9" w14:textId="77777777">
        <w:trPr>
          <w:trHeight w:val="68"/>
          <w:jc w:val="center"/>
        </w:trPr>
        <w:tc>
          <w:tcPr>
            <w:tcW w:w="8782" w:type="dxa"/>
            <w:gridSpan w:val="2"/>
          </w:tcPr>
          <w:p w14:paraId="6E5DFFAC" w14:textId="77777777" w:rsidR="005F29D3" w:rsidRDefault="00000000">
            <w:pPr>
              <w:ind w:left="-107"/>
              <w:rPr>
                <w:rFonts w:ascii="Tahoma" w:eastAsia="Tahoma" w:hAnsi="Tahoma" w:cs="Tahoma"/>
                <w:color w:val="000000"/>
                <w:sz w:val="14"/>
                <w:szCs w:val="14"/>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w:t>
            </w:r>
          </w:p>
          <w:p w14:paraId="27265037" w14:textId="34222274" w:rsidR="005F29D3" w:rsidRDefault="00000000">
            <w:pPr>
              <w:tabs>
                <w:tab w:val="left" w:pos="-108"/>
              </w:tabs>
              <w:ind w:left="-107"/>
              <w:jc w:val="left"/>
            </w:pPr>
            <w:r>
              <w:rPr>
                <w:rFonts w:ascii="Tahoma" w:eastAsia="Tahoma" w:hAnsi="Tahoma" w:cs="Tahoma"/>
                <w:color w:val="333333"/>
                <w:sz w:val="14"/>
                <w:szCs w:val="14"/>
              </w:rPr>
              <w:t>Copyright © 202</w:t>
            </w:r>
            <w:r w:rsidR="00D450DE">
              <w:rPr>
                <w:rFonts w:ascii="Tahoma" w:eastAsia="Tahoma" w:hAnsi="Tahoma" w:cs="Tahoma"/>
                <w:color w:val="333333"/>
                <w:sz w:val="14"/>
                <w:szCs w:val="14"/>
              </w:rPr>
              <w:t>6</w:t>
            </w:r>
            <w:r>
              <w:rPr>
                <w:rFonts w:ascii="Tahoma" w:eastAsia="Tahoma" w:hAnsi="Tahoma" w:cs="Tahoma"/>
                <w:color w:val="333333"/>
                <w:sz w:val="14"/>
                <w:szCs w:val="14"/>
              </w:rPr>
              <w:t xml:space="preserve">, AIDIC Servizi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43D2B51B" w14:textId="096D5E5C" w:rsidR="005F29D3" w:rsidRDefault="00CF6A5A" w:rsidP="00A12FEB">
      <w:pPr>
        <w:pStyle w:val="CETTitle"/>
        <w:rPr>
          <w:rFonts w:eastAsia="Arial"/>
        </w:rPr>
      </w:pPr>
      <w:r w:rsidRPr="00CF6A5A">
        <w:rPr>
          <w:rFonts w:eastAsia="Arial"/>
        </w:rPr>
        <w:t>Potential environmental impacts assessment of a seed-based cascade biorefinery from Hass avocado in south Colombia</w:t>
      </w:r>
      <w:r w:rsidR="00D00A0C" w:rsidRPr="00D00A0C">
        <w:rPr>
          <w:rFonts w:eastAsia="Arial"/>
        </w:rPr>
        <w:t xml:space="preserve"> </w:t>
      </w:r>
    </w:p>
    <w:p w14:paraId="057AB0FE" w14:textId="6F616BAF" w:rsidR="005F29D3" w:rsidRPr="00530031" w:rsidRDefault="00C63B18" w:rsidP="007530B0">
      <w:pPr>
        <w:pStyle w:val="CETAuthors"/>
        <w:jc w:val="center"/>
        <w:rPr>
          <w:rFonts w:eastAsia="Arial"/>
          <w:lang w:val="es-CO"/>
        </w:rPr>
      </w:pPr>
      <w:r w:rsidRPr="00C63B18">
        <w:rPr>
          <w:rFonts w:eastAsia="Arial"/>
          <w:lang w:val="es-CO"/>
        </w:rPr>
        <w:t>Eduardo Andres Aguilar-Vásquez</w:t>
      </w:r>
      <w:r w:rsidRPr="00C63B18">
        <w:rPr>
          <w:rFonts w:eastAsia="Arial"/>
          <w:vertAlign w:val="superscript"/>
          <w:lang w:val="es-CO"/>
        </w:rPr>
        <w:t>§</w:t>
      </w:r>
      <w:r w:rsidRPr="00C63B18">
        <w:rPr>
          <w:rFonts w:eastAsia="Arial"/>
          <w:lang w:val="es-CO"/>
        </w:rPr>
        <w:t xml:space="preserve"> and Ángel Darío González</w:t>
      </w:r>
    </w:p>
    <w:p w14:paraId="47AF1914" w14:textId="076D1A6E" w:rsidR="00530031" w:rsidRPr="00530031" w:rsidRDefault="00530031" w:rsidP="00A12FEB">
      <w:pPr>
        <w:pStyle w:val="CETAddress"/>
        <w:rPr>
          <w:rFonts w:eastAsia="Arial"/>
        </w:rPr>
      </w:pPr>
      <w:r w:rsidRPr="00530031">
        <w:rPr>
          <w:rFonts w:eastAsia="Arial"/>
        </w:rPr>
        <w:t xml:space="preserve">Nanomaterials and Computer Aided Process Engineering Research Group (NIPAC), Chemical Engineering Department, faculty of engieniering, </w:t>
      </w:r>
      <w:r w:rsidRPr="00530031">
        <w:rPr>
          <w:rFonts w:eastAsiaTheme="minorHAnsi"/>
          <w:lang w:val="en-US"/>
        </w:rPr>
        <w:t xml:space="preserve">Av. del Consulado Calle 30 No. 48-152, </w:t>
      </w:r>
      <w:r w:rsidRPr="00530031">
        <w:rPr>
          <w:rFonts w:eastAsia="Arial"/>
        </w:rPr>
        <w:t>Universidad de Cartagena, Cartagena, Colombia.</w:t>
      </w:r>
    </w:p>
    <w:p w14:paraId="2DB968D3" w14:textId="7FD3C8AA" w:rsidR="005F29D3" w:rsidRDefault="00C63B18" w:rsidP="00A12FEB">
      <w:pPr>
        <w:pStyle w:val="CETemail"/>
        <w:rPr>
          <w:rFonts w:eastAsia="Arial"/>
        </w:rPr>
      </w:pPr>
      <w:r w:rsidRPr="005276A0">
        <w:rPr>
          <w:rFonts w:eastAsia="Arial"/>
          <w:vertAlign w:val="superscript"/>
          <w:lang w:val="en-US"/>
        </w:rPr>
        <w:t>§</w:t>
      </w:r>
      <w:r>
        <w:rPr>
          <w:rFonts w:eastAsia="Arial"/>
        </w:rPr>
        <w:t>eaguilarv</w:t>
      </w:r>
      <w:r w:rsidR="00530031" w:rsidRPr="00530031">
        <w:rPr>
          <w:rFonts w:eastAsia="Arial"/>
        </w:rPr>
        <w:t>@unicartagena.edu.co</w:t>
      </w:r>
      <w:r w:rsidR="00440A23" w:rsidRPr="00530031">
        <w:rPr>
          <w:rFonts w:eastAsia="Arial"/>
        </w:rPr>
        <w:t xml:space="preserve"> </w:t>
      </w:r>
    </w:p>
    <w:p w14:paraId="345F5799" w14:textId="7D1FEED6" w:rsidR="005276A0" w:rsidRPr="005276A0" w:rsidRDefault="005276A0" w:rsidP="005276A0">
      <w:pPr>
        <w:pStyle w:val="CETBodytext"/>
        <w:rPr>
          <w:lang w:val="en-GB"/>
        </w:rPr>
      </w:pPr>
      <w:r>
        <w:t xml:space="preserve">As circular economy becomes a central economic plant from agricultural countries like Colombia, the adoption of cascade biorefinery need to be feasible and sustainable. For this reason, an environmental analysis was carried out for an avocado hard waste cascade biorefinery using WARGUI. The process data was extracted from a simulation tool. </w:t>
      </w:r>
      <w:r w:rsidRPr="00322D1F">
        <w:rPr>
          <w:lang w:val="en-GB"/>
        </w:rPr>
        <w:t xml:space="preserve">The avocado cascade biorefinery demonstrated </w:t>
      </w:r>
      <w:r>
        <w:rPr>
          <w:lang w:val="en-GB"/>
        </w:rPr>
        <w:t>a good environmental performance</w:t>
      </w:r>
      <w:r w:rsidRPr="00322D1F">
        <w:rPr>
          <w:lang w:val="en-GB"/>
        </w:rPr>
        <w:t xml:space="preserve">, </w:t>
      </w:r>
      <w:r>
        <w:rPr>
          <w:lang w:val="en-GB"/>
        </w:rPr>
        <w:t>as</w:t>
      </w:r>
      <w:r>
        <w:rPr>
          <w:lang w:val="en-GB"/>
        </w:rPr>
        <w:t xml:space="preserve"> it had negatives rates for output and generation of PEI.</w:t>
      </w:r>
      <w:r>
        <w:rPr>
          <w:lang w:val="en-GB"/>
        </w:rPr>
        <w:t xml:space="preserve"> </w:t>
      </w:r>
      <w:r>
        <w:rPr>
          <w:lang w:val="en-GB"/>
        </w:rPr>
        <w:t xml:space="preserve">As a green process, the topology showed </w:t>
      </w:r>
      <w:r>
        <w:rPr>
          <w:lang w:val="en-GB"/>
        </w:rPr>
        <w:t xml:space="preserve">promising results </w:t>
      </w:r>
      <w:r w:rsidRPr="00322D1F">
        <w:rPr>
          <w:lang w:val="en-GB"/>
        </w:rPr>
        <w:t>compared to similar processes. Toxicological impacts were negligible, although inclusion of product streams slightly increased total PEI due to their intrinsic footprint</w:t>
      </w:r>
      <w:r w:rsidR="002C339F">
        <w:rPr>
          <w:lang w:val="en-GB"/>
        </w:rPr>
        <w:t xml:space="preserve"> (especially biofilm due to formation agents). Furthermore, energy need to be closely analysed as it can contribute strongly to PEI emission, also, f</w:t>
      </w:r>
      <w:r w:rsidR="002C339F" w:rsidRPr="00322D1F">
        <w:rPr>
          <w:lang w:val="en-GB"/>
        </w:rPr>
        <w:t xml:space="preserve">uel selection significantly influenced atmospheric impacts, with coal exhibiting the highest burdens and gas the lowest, particularly in GWP and AP categories. </w:t>
      </w:r>
      <w:r w:rsidR="002C339F">
        <w:rPr>
          <w:lang w:val="en-GB"/>
        </w:rPr>
        <w:t>Moreover</w:t>
      </w:r>
      <w:r w:rsidRPr="00322D1F">
        <w:rPr>
          <w:lang w:val="en-GB"/>
        </w:rPr>
        <w:t>, the implementation of cleaner fuels and resource efficiency strategies, such as solvent recovery and mass integration, is essential to further improve process sustainability.</w:t>
      </w:r>
      <w:r>
        <w:rPr>
          <w:lang w:val="en-GB"/>
        </w:rPr>
        <w:t xml:space="preserve"> </w:t>
      </w:r>
    </w:p>
    <w:p w14:paraId="6410734C" w14:textId="1A2DA695" w:rsidR="005F29D3" w:rsidRDefault="00000000" w:rsidP="00A12FEB">
      <w:pPr>
        <w:pStyle w:val="CETHeading1"/>
        <w:numPr>
          <w:ilvl w:val="0"/>
          <w:numId w:val="16"/>
        </w:numPr>
        <w:rPr>
          <w:rFonts w:eastAsia="Arial"/>
        </w:rPr>
      </w:pPr>
      <w:r>
        <w:rPr>
          <w:rFonts w:eastAsia="Arial"/>
        </w:rPr>
        <w:t>Introduction</w:t>
      </w:r>
    </w:p>
    <w:p w14:paraId="6B604815" w14:textId="6CE470BF" w:rsidR="00695FCC" w:rsidRDefault="00695FCC" w:rsidP="00695FCC">
      <w:pPr>
        <w:pStyle w:val="CETBodytext"/>
        <w:spacing w:after="240"/>
        <w:rPr>
          <w:rFonts w:eastAsia="Arial"/>
        </w:rPr>
      </w:pPr>
      <w:r>
        <w:rPr>
          <w:rFonts w:eastAsia="Arial"/>
        </w:rPr>
        <w:t xml:space="preserve">The increasing </w:t>
      </w:r>
      <w:r w:rsidR="007A252E">
        <w:rPr>
          <w:rFonts w:eastAsia="Arial"/>
        </w:rPr>
        <w:t>demand</w:t>
      </w:r>
      <w:r>
        <w:rPr>
          <w:rFonts w:eastAsia="Arial"/>
        </w:rPr>
        <w:t xml:space="preserve"> </w:t>
      </w:r>
      <w:r w:rsidR="007A252E">
        <w:rPr>
          <w:rFonts w:eastAsia="Arial"/>
        </w:rPr>
        <w:t>for</w:t>
      </w:r>
      <w:r>
        <w:rPr>
          <w:rFonts w:eastAsia="Arial"/>
        </w:rPr>
        <w:t xml:space="preserve"> agricultural products like avocado has </w:t>
      </w:r>
      <w:r w:rsidR="007A252E">
        <w:rPr>
          <w:rFonts w:eastAsia="Arial"/>
        </w:rPr>
        <w:t>generated</w:t>
      </w:r>
      <w:r>
        <w:rPr>
          <w:rFonts w:eastAsia="Arial"/>
        </w:rPr>
        <w:t xml:space="preserve"> </w:t>
      </w:r>
      <w:r w:rsidR="007A252E">
        <w:rPr>
          <w:rFonts w:eastAsia="Arial"/>
        </w:rPr>
        <w:t xml:space="preserve">important environmental impacts due to an increment of the amount of </w:t>
      </w:r>
      <w:r>
        <w:rPr>
          <w:rFonts w:eastAsia="Arial"/>
        </w:rPr>
        <w:t>waste</w:t>
      </w:r>
      <w:r w:rsidR="007A252E">
        <w:rPr>
          <w:rFonts w:eastAsia="Arial"/>
        </w:rPr>
        <w:t xml:space="preserve"> (seed, peel and even pulp)</w:t>
      </w:r>
      <w:r w:rsidR="007A252E" w:rsidRPr="007A252E">
        <w:rPr>
          <w:rFonts w:eastAsia="Arial"/>
          <w:szCs w:val="18"/>
        </w:rPr>
        <w:t>.</w:t>
      </w:r>
      <w:r w:rsidR="007A252E">
        <w:rPr>
          <w:rFonts w:eastAsia="Arial"/>
        </w:rPr>
        <w:t xml:space="preserve"> However, these w</w:t>
      </w:r>
      <w:r>
        <w:rPr>
          <w:rFonts w:eastAsia="Arial"/>
        </w:rPr>
        <w:t>aste</w:t>
      </w:r>
      <w:r w:rsidR="007A252E">
        <w:rPr>
          <w:rFonts w:eastAsia="Arial"/>
        </w:rPr>
        <w:t xml:space="preserve">s are </w:t>
      </w:r>
      <w:r>
        <w:rPr>
          <w:rFonts w:eastAsia="Arial"/>
        </w:rPr>
        <w:t>c</w:t>
      </w:r>
      <w:r w:rsidR="007A252E">
        <w:rPr>
          <w:rFonts w:eastAsia="Arial"/>
        </w:rPr>
        <w:t>haracterized</w:t>
      </w:r>
      <w:r>
        <w:rPr>
          <w:rFonts w:eastAsia="Arial"/>
        </w:rPr>
        <w:t xml:space="preserve"> </w:t>
      </w:r>
      <w:r w:rsidR="007A252E">
        <w:rPr>
          <w:rFonts w:eastAsia="Arial"/>
        </w:rPr>
        <w:t>by being</w:t>
      </w:r>
      <w:r>
        <w:rPr>
          <w:rFonts w:eastAsia="Arial"/>
        </w:rPr>
        <w:t xml:space="preserve"> rich in </w:t>
      </w:r>
      <w:r w:rsidR="007A252E" w:rsidRPr="007A252E">
        <w:rPr>
          <w:rFonts w:eastAsia="Arial"/>
        </w:rPr>
        <w:t xml:space="preserve">nutrients and compounds, such as oil, carbohydrates, </w:t>
      </w:r>
      <w:proofErr w:type="spellStart"/>
      <w:r w:rsidR="007A252E" w:rsidRPr="007A252E">
        <w:rPr>
          <w:rFonts w:eastAsia="Arial"/>
        </w:rPr>
        <w:t>acetogenins</w:t>
      </w:r>
      <w:proofErr w:type="spellEnd"/>
      <w:r w:rsidR="007A252E" w:rsidRPr="007A252E">
        <w:rPr>
          <w:rFonts w:eastAsia="Arial"/>
        </w:rPr>
        <w:t>, and dietary fibe</w:t>
      </w:r>
      <w:r w:rsidR="007A252E">
        <w:rPr>
          <w:rFonts w:eastAsia="Arial"/>
        </w:rPr>
        <w:t xml:space="preserve">r, etc. That can be used in several sectors, like food, pharma and cosmetic, among others </w:t>
      </w:r>
      <w:r w:rsidR="007A252E" w:rsidRPr="007A252E">
        <w:rPr>
          <w:szCs w:val="18"/>
        </w:rPr>
        <w:fldChar w:fldCharType="begin" w:fldLock="1"/>
      </w:r>
      <w:r w:rsidR="005276A0">
        <w:rPr>
          <w:szCs w:val="18"/>
        </w:rPr>
        <w:instrText>ADDIN CSL_CITATION {"citationItems":[{"id":"ITEM-1","itemData":{"DOI":"10.3390/recycling8050081","ISSN":"23134321","abstract":"The increasing demand for avocado consumption has led to a vast generation of waste products. Despite the high nutritional value of avocados, the waste generated from their processing poses a significant environmental challenge. Therefore, the development of a sustainable approach to avocado waste management is a major concern. Biorefinery presents a promising approach to the valorization of avocado waste components, including the seed, peel, and pulp residues. This paper explores the potential of avocado waste biorefinery as a sustainable solution to produce bio-based products. Several approaches, including extraction, hydrolysis, fermentation, and biodegradation, to obtain valuable products such as starch, oil, fiber, and bioactive compounds for food or feed goods have been proposed. The review also highlights the approaches towards addressing challenges of energy security and climate change by utilizing avocado waste as a source to produce biofuels such as biogas, biodiesel, and bioethanol. In conclusion, the development of avocado waste biorefinery presents a promising avenue for sustainable development. This process can efficiently convert the avocado waste components into valuable bio-based products and clean energy sources, contributing to the attainment of a circular economy and a more sustainable future.","author":[{"dropping-particle":"","family":"Sandoval-Contreras","given":"Teresa","non-dropping-particle":"","parse-names":false,"suffix":""},{"dropping-particle":"","family":"González Chávez","given":"Fernando","non-dropping-particle":"","parse-names":false,"suffix":""},{"dropping-particle":"","family":"Poonia","given":"Amrita","non-dropping-particle":"","parse-names":false,"suffix":""},{"dropping-particle":"","family":"Iñiguez-Moreno","given":"Maricarmen","non-dropping-particle":"","parse-names":false,"suffix":""},{"dropping-particle":"","family":"Aguirre-Güitrón","given":"Lizet","non-dropping-particle":"","parse-names":false,"suffix":""}],"container-title":"Recycling","id":"ITEM-1","issue":"5","issued":{"date-parts":[["2023"]]},"note":"biodiesel\nbioetanol\nbiogas\nbioplastico\nacido polilactico","page":"1-23","title":"Avocado Waste Biorefinery: Towards Sustainable Development","type":"article-journal","volume":"8"},"uris":["http://www.mendeley.com/documents/?uuid=543937a6-9a22-4561-ac85-e0cc5347a8a7"]}],"mendeley":{"formattedCitation":"(1)","plainTextFormattedCitation":"(1)","previouslyFormattedCitation":"(Sandoval-Contreras et al., 2023)"},"properties":{"noteIndex":0},"schema":"https://github.com/citation-style-language/schema/raw/master/csl-citation.json"}</w:instrText>
      </w:r>
      <w:r w:rsidR="007A252E" w:rsidRPr="007A252E">
        <w:rPr>
          <w:szCs w:val="18"/>
        </w:rPr>
        <w:fldChar w:fldCharType="separate"/>
      </w:r>
      <w:r w:rsidR="005276A0" w:rsidRPr="005276A0">
        <w:rPr>
          <w:noProof/>
          <w:szCs w:val="18"/>
        </w:rPr>
        <w:t>(1)</w:t>
      </w:r>
      <w:r w:rsidR="007A252E" w:rsidRPr="007A252E">
        <w:rPr>
          <w:szCs w:val="18"/>
        </w:rPr>
        <w:fldChar w:fldCharType="end"/>
      </w:r>
      <w:r w:rsidR="007A252E">
        <w:rPr>
          <w:rFonts w:eastAsia="Arial"/>
        </w:rPr>
        <w:t xml:space="preserve">. </w:t>
      </w:r>
      <w:r>
        <w:rPr>
          <w:rFonts w:eastAsia="Arial"/>
        </w:rPr>
        <w:t xml:space="preserve">To valorize these wastes, the design of cascade biorefineries can not only offer a strategy to deal with these </w:t>
      </w:r>
      <w:r w:rsidR="007A252E">
        <w:rPr>
          <w:rFonts w:eastAsia="Arial"/>
        </w:rPr>
        <w:t>impacts</w:t>
      </w:r>
      <w:r>
        <w:rPr>
          <w:rFonts w:eastAsia="Arial"/>
        </w:rPr>
        <w:t xml:space="preserve"> but an economic opportunity to drive economic growth and social improvement, in which the biomass is valorize into valuable products (material and energy) </w:t>
      </w:r>
      <w:r>
        <w:rPr>
          <w:rFonts w:eastAsia="Arial"/>
        </w:rPr>
        <w:fldChar w:fldCharType="begin" w:fldLock="1"/>
      </w:r>
      <w:r w:rsidR="005276A0">
        <w:rPr>
          <w:rFonts w:eastAsia="Arial"/>
        </w:rPr>
        <w:instrText>ADDIN CSL_CITATION {"citationItems":[{"id":"ITEM-1","itemData":{"DOI":"10.1186/s13068-021-01939-5","ISSN":"17546834","abstract":"Global issues such as environmental problems and food security are currently of concern to all of us. Circular bioeconomy is a promising approach towards resolving these global issues. The production of bioenergy and biomaterials can sustain the energy–environment nexus as well as substitute the devoid of petroleum as the production feedstock, thereby contributing to a cleaner and low carbon environment. In addition, assimilation of waste into bioprocesses for the production of useful products and metabolites lead towards a sustainable circular bioeconomy. This review aims to highlight the waste biorefinery as a sustainable bio-based circular economy, and, therefore, promoting a greener environment. Several case studies on the bioprocesses utilising waste for biopolymers and bio-lipids production as well as bioprocesses incorporated with wastewater treatment are well discussed. The strategy of waste biorefinery integrated with circular bioeconomy in the perspectives of unravelling the global issues can help to tackle carbon management and greenhouse gas emissions. A waste biorefinery–circular bioeconomy strategy represents a low carbon economy by reducing greenhouse gases footprint, and holds great prospects for a sustainable and greener world. [Figure not available: see fulltext.]","author":[{"dropping-particle":"","family":"Leong","given":"Hui Yi","non-dropping-particle":"","parse-names":false,"suffix":""},{"dropping-particle":"","family":"Chang","given":"Chih Kai","non-dropping-particle":"","parse-names":false,"suffix":""},{"dropping-particle":"","family":"Khoo","given":"Kuan Shiong","non-dropping-particle":"","parse-names":false,"suffix":""},{"dropping-particle":"","family":"Chew","given":"Kit Wayne","non-dropping-particle":"","parse-names":false,"suffix":""},{"dropping-particle":"","family":"Chia","given":"Shir Reen","non-dropping-particle":"","parse-names":false,"suffix":""},{"dropping-particle":"","family":"Lim","given":"Jun Wei","non-dropping-particle":"","parse-names":false,"suffix":""},{"dropping-particle":"","family":"Chang","given":"Jo Shu","non-dropping-particle":"","parse-names":false,"suffix":""},{"dropping-particle":"","family":"Show","given":"Pau Loke","non-dropping-particle":"","parse-names":false,"suffix":""}],"container-title":"Biotechnology for Biofuels","id":"ITEM-1","issue":"1","issued":{"date-parts":[["2021"]]},"page":"1-15","publisher":"BioMed Central","title":"Waste biorefinery towards a sustainable circular bioeconomy: a solution to global issues","type":"article-journal","volume":"14"},"uris":["http://www.mendeley.com/documents/?uuid=4647d28c-e811-4901-8d8a-2f250cc09ca3"]}],"mendeley":{"formattedCitation":"(2)","plainTextFormattedCitation":"(2)","previouslyFormattedCitation":"(Leong et al., 2021)"},"properties":{"noteIndex":0},"schema":"https://github.com/citation-style-language/schema/raw/master/csl-citation.json"}</w:instrText>
      </w:r>
      <w:r>
        <w:rPr>
          <w:rFonts w:eastAsia="Arial"/>
        </w:rPr>
        <w:fldChar w:fldCharType="separate"/>
      </w:r>
      <w:r w:rsidR="005276A0" w:rsidRPr="005276A0">
        <w:rPr>
          <w:rFonts w:eastAsia="Arial"/>
          <w:noProof/>
        </w:rPr>
        <w:t>(2)</w:t>
      </w:r>
      <w:r>
        <w:rPr>
          <w:rFonts w:eastAsia="Arial"/>
        </w:rPr>
        <w:fldChar w:fldCharType="end"/>
      </w:r>
      <w:r>
        <w:rPr>
          <w:rFonts w:eastAsia="Arial"/>
        </w:rPr>
        <w:t>.</w:t>
      </w:r>
      <w:r w:rsidR="007A252E">
        <w:rPr>
          <w:rFonts w:eastAsia="Arial"/>
        </w:rPr>
        <w:t xml:space="preserve"> </w:t>
      </w:r>
      <w:r>
        <w:rPr>
          <w:rFonts w:eastAsia="Arial"/>
        </w:rPr>
        <w:t xml:space="preserve">Countries like Colombia had an opportunity to </w:t>
      </w:r>
      <w:r>
        <w:rPr>
          <w:rFonts w:eastAsia="Arial"/>
        </w:rPr>
        <w:t>implement these technologies, as it has an enormous bioecological potential</w:t>
      </w:r>
      <w:r w:rsidR="007A252E">
        <w:rPr>
          <w:rFonts w:eastAsia="Arial"/>
        </w:rPr>
        <w:t xml:space="preserve"> (being one of the main producers)</w:t>
      </w:r>
      <w:r>
        <w:rPr>
          <w:rFonts w:eastAsia="Arial"/>
        </w:rPr>
        <w:t xml:space="preserve">, allowing the </w:t>
      </w:r>
      <w:r>
        <w:rPr>
          <w:rFonts w:eastAsia="Arial"/>
        </w:rPr>
        <w:t>increase social and economic wellbeing of rural regions</w:t>
      </w:r>
      <w:r>
        <w:rPr>
          <w:rFonts w:eastAsia="Arial"/>
        </w:rPr>
        <w:t xml:space="preserve"> (often neglected</w:t>
      </w:r>
      <w:r w:rsidR="007A252E">
        <w:rPr>
          <w:rFonts w:eastAsia="Arial"/>
        </w:rPr>
        <w:t>)</w:t>
      </w:r>
      <w:r>
        <w:rPr>
          <w:rFonts w:eastAsia="Arial"/>
        </w:rPr>
        <w:t xml:space="preserve">, </w:t>
      </w:r>
      <w:r>
        <w:rPr>
          <w:rFonts w:eastAsia="Arial"/>
        </w:rPr>
        <w:t>especially</w:t>
      </w:r>
      <w:r>
        <w:rPr>
          <w:rFonts w:eastAsia="Arial"/>
        </w:rPr>
        <w:t xml:space="preserve"> producing regions in the south.</w:t>
      </w:r>
    </w:p>
    <w:p w14:paraId="5D14067F" w14:textId="7C5B76FD" w:rsidR="001679B2" w:rsidRDefault="00695FCC" w:rsidP="00F50049">
      <w:pPr>
        <w:pStyle w:val="CETBodytext"/>
        <w:spacing w:after="240"/>
        <w:rPr>
          <w:rFonts w:cs="Arial"/>
        </w:rPr>
      </w:pPr>
      <w:r>
        <w:rPr>
          <w:rFonts w:eastAsia="Arial"/>
        </w:rPr>
        <w:t>Nonetheless, the cascading processing of these biomaterials need to be technically feasible</w:t>
      </w:r>
      <w:r w:rsidRPr="00695FCC">
        <w:rPr>
          <w:rFonts w:eastAsia="Arial"/>
        </w:rPr>
        <w:t xml:space="preserve"> </w:t>
      </w:r>
      <w:r>
        <w:rPr>
          <w:rFonts w:eastAsia="Arial"/>
        </w:rPr>
        <w:t>as well as</w:t>
      </w:r>
      <w:r>
        <w:rPr>
          <w:rFonts w:eastAsia="Arial"/>
        </w:rPr>
        <w:t xml:space="preserve"> environmentally </w:t>
      </w:r>
      <w:r w:rsidR="00E60299">
        <w:rPr>
          <w:rFonts w:eastAsia="Arial"/>
        </w:rPr>
        <w:t>sustainable, as having a</w:t>
      </w:r>
      <w:r w:rsidR="005276A0">
        <w:rPr>
          <w:rFonts w:eastAsia="Arial"/>
        </w:rPr>
        <w:t>n</w:t>
      </w:r>
      <w:r w:rsidR="00E60299">
        <w:rPr>
          <w:rFonts w:eastAsia="Arial"/>
        </w:rPr>
        <w:t xml:space="preserve"> optimal balance is vital for the </w:t>
      </w:r>
      <w:r w:rsidR="001679B2">
        <w:rPr>
          <w:rFonts w:eastAsia="Arial"/>
        </w:rPr>
        <w:t>design</w:t>
      </w:r>
      <w:r w:rsidR="00E60299">
        <w:rPr>
          <w:rFonts w:eastAsia="Arial"/>
        </w:rPr>
        <w:t xml:space="preserve"> of these technologies </w:t>
      </w:r>
      <w:r w:rsidR="00E60299">
        <w:rPr>
          <w:rFonts w:eastAsia="Arial"/>
        </w:rPr>
        <w:fldChar w:fldCharType="begin" w:fldLock="1"/>
      </w:r>
      <w:r w:rsidR="005276A0">
        <w:rPr>
          <w:rFonts w:eastAsia="Arial"/>
        </w:rPr>
        <w:instrText>ADDIN CSL_CITATION {"citationItems":[{"id":"ITEM-1","itemData":{"DOI":"10.1016/j.psep.2024.01.055","ISSN":"09575820","abstract":"In the quest for a sustainable future, the bio-economy and biorefineries have emerged as pivotal agents of transformation. This review paper offers an accessible and comprehensive exploration of the multifaceted bio-economy landscape. Environmental concerns, resource scarcity, and the demand for renewable and bio-based products are the key drivers shaping this sustainable paradigm. Agriculture and agro-industry play an indispensable role, acting as the primary suppliers of the essential feedstock for biorefineries. They not only fuel the bio-economy but also foster sustainable farming practices and rural development, forming a mutually beneficial relationship. Biorefineries, the workhorses of the bio-economy, optimize resource usage, minimize waste, and produce a diverse range of bio-based products. Innovative biorefinery techniques are at the forefront, revolutionizing efficiency and expanding the array of feedstock's, thereby creating higher value-added derivatives. These value-added products, spanning biofuels, bio-plastics, and more, drive the market towards a greener and circular economy. The bio-economy's commitment to sustainability is evident through waste reduction and the promotion of circular economy principles. Policy, regulation, and market developments shape the bio-economy by promoting bio-based industries while favouring eco-friendly alternatives, creating a competitive and healthy ecosystem. While the bio-economy shows promise, it faces challenges. Optimizing conversion efficiency, discovering new feedstocks, and solving biorefinery environmental issues need technological breakthroughs and research. In summary, the bio-economy and biorefineries orchestrate a sustainable symphony, driven by environmental consciousness, rooted in agriculture, refined by innovative techniques, and harmonized by the production of bio-based products. The stage is set for a greener, more sustainable future. Bio-economy and biorefineries have become crucial drivers of transformation in the pursuit of a sustainable future. The review paper provides a thorough and easily understandable examination of the diverse bio-economy landscape. Environmental concerns, limited resources, and the need for biodegradable and renewable products are some of the main things that are shaping the sustainable paradigm. Agriculture and the agro-industry play a big role in this because they provide biorefineries with the feedstock they need. The bio-economy is not only fuelled by the…","author":[{"dropping-particle":"","family":"Wagh","given":"Mrunal S.","non-dropping-particle":"","parse-names":false,"suffix":""},{"dropping-particle":"","family":"S","given":"Sowjanya","non-dropping-particle":"","parse-names":false,"suffix":""},{"dropping-particle":"","family":"Nath","given":"Pinku Chandra","non-dropping-particle":"","parse-names":false,"suffix":""},{"dropping-particle":"","family":"Chakraborty","given":"Arnab","non-dropping-particle":"","parse-names":false,"suffix":""},{"dropping-particle":"","family":"Amrit","given":"Rajshree","non-dropping-particle":"","parse-names":false,"suffix":""},{"dropping-particle":"","family":"Mishra","given":"Bishwambhar","non-dropping-particle":"","parse-names":false,"suffix":""},{"dropping-particle":"","family":"Mishra","given":"Awdhesh Kumar","non-dropping-particle":"","parse-names":false,"suffix":""},{"dropping-particle":"","family":"Mohanta","given":"Yugal Kishore","non-dropping-particle":"","parse-names":false,"suffix":""}],"container-title":"Process Safety and Environmental Protection","id":"ITEM-1","issue":"January","issued":{"date-parts":[["2024"]]},"page":"708-725","publisher":"Elsevier Ltd","title":"Valorisation of agro-industrial wastes: Circular bioeconomy and biorefinery process – A sustainable symphony","type":"article-journal","volume":"183"},"uris":["http://www.mendeley.com/documents/?uuid=8f3470a4-db5e-4814-a96c-d40d23b0b267"]}],"mendeley":{"formattedCitation":"(3)","plainTextFormattedCitation":"(3)","previouslyFormattedCitation":"(Wagh et al., 2024)"},"properties":{"noteIndex":0},"schema":"https://github.com/citation-style-language/schema/raw/master/csl-citation.json"}</w:instrText>
      </w:r>
      <w:r w:rsidR="00E60299">
        <w:rPr>
          <w:rFonts w:eastAsia="Arial"/>
        </w:rPr>
        <w:fldChar w:fldCharType="separate"/>
      </w:r>
      <w:r w:rsidR="005276A0" w:rsidRPr="005276A0">
        <w:rPr>
          <w:rFonts w:eastAsia="Arial"/>
          <w:noProof/>
        </w:rPr>
        <w:t>(3)</w:t>
      </w:r>
      <w:r w:rsidR="00E60299">
        <w:rPr>
          <w:rFonts w:eastAsia="Arial"/>
        </w:rPr>
        <w:fldChar w:fldCharType="end"/>
      </w:r>
      <w:r w:rsidR="00E60299">
        <w:rPr>
          <w:rFonts w:eastAsia="Arial"/>
        </w:rPr>
        <w:t>.</w:t>
      </w:r>
      <w:r w:rsidR="001679B2">
        <w:rPr>
          <w:rFonts w:eastAsia="Arial"/>
        </w:rPr>
        <w:t xml:space="preserve"> </w:t>
      </w:r>
      <w:r w:rsidR="00E60299">
        <w:rPr>
          <w:rFonts w:cs="Arial"/>
        </w:rPr>
        <w:t>For that reason, t</w:t>
      </w:r>
      <w:r w:rsidR="007C26B7" w:rsidRPr="00D413BE">
        <w:rPr>
          <w:rFonts w:cs="Arial"/>
        </w:rPr>
        <w:t xml:space="preserve">he application of environmental impact quantification techniques </w:t>
      </w:r>
      <w:r w:rsidR="001679B2">
        <w:rPr>
          <w:rFonts w:cs="Arial"/>
        </w:rPr>
        <w:t xml:space="preserve">aids the development of more </w:t>
      </w:r>
      <w:r w:rsidR="007C26B7" w:rsidRPr="00D413BE">
        <w:rPr>
          <w:rFonts w:cs="Arial"/>
        </w:rPr>
        <w:t xml:space="preserve">sustainable process </w:t>
      </w:r>
      <w:r w:rsidR="007C26B7" w:rsidRPr="00D413BE">
        <w:rPr>
          <w:rFonts w:cs="Arial"/>
          <w:i/>
          <w:iCs/>
        </w:rPr>
        <w:fldChar w:fldCharType="begin" w:fldLock="1"/>
      </w:r>
      <w:r w:rsidR="005276A0">
        <w:rPr>
          <w:rFonts w:cs="Arial"/>
        </w:rPr>
        <w:instrText>ADDIN CSL_CITATION {"citationItems":[{"id":"ITEM-1","itemData":{"DOI":"10.1016/j.jclepro.2021.128247","ISSN":"09596526","abstract":"For sustainable design, technology developers need to consider not only technical and economic aspects but also potential environmental impacts while developing new technologies. Techno economic analysis (TEA) evaluates the technical performance and economic feasibility of a technology. Life cycle assessment (LCA) evaluates the potential environmental impacts associated with a product system throughout its life cycle from raw material extraction to disposal. Generally, TEA and LCA performed separately for technology assessment. Understanding of the trade-off between economic and environmental performance is crucial for sustainable process design, which is not fully available if TEA and LCA is performed separately. In contrast, integration of TEA and LCA enables systematic analysis of the relationships between technical, economic, and environmental performance and provides more information to technology developers for trade-off analysis. Integrated TEA-LCA tool can also reduce inconsistency between system boundaries, functional units, and assumptions that can arise from using standalone TEA and LCA findings in decision making. There is also growing interest of prospective application of integrated TEA-LCA tool to evaluate emerging technologies at early technology readiness level (TRL). Integration of TEA and LCA is still an evolving area and requires further exploration to develop a consistent methodological guideline. The goal of this study is to review the current state-of-the-art in TEA and LCA to identify the methodological challenges of TEA-LCA integration approaches. This study also identifies major challenges to perform integrated TEA-LCA analysis of emerging technologies at low TRLs. Lack of consistent methodological guidelines and compatible software tools, inconsistent system boundary and functional unit selection, limited data availability and uncertainty are key methodological challenges for integration of LCA and TEA. Future research should focus on developing integrated TEA-LCA tool, formulating approach to incorporate optimization method with integrated TEA-LCA tool, and developing strategy of proper communication of results from integrated LCA-TEA tool to broad range of stakeholders.","author":[{"dropping-particle":"","family":"Mahmud","given":"Roksana","non-dropping-particle":"","parse-names":false,"suffix":""},{"dropping-particle":"","family":"Moni","given":"Sheikh Moniruzzaman","non-dropping-particle":"","parse-names":false,"suffix":""},{"dropping-particle":"","family":"High","given":"Karen","non-dropping-particle":"","parse-names":false,"suffix":""},{"dropping-particle":"","family":"Carbajales-Dale","given":"Michael","non-dropping-particle":"","parse-names":false,"suffix":""}],"container-title":"Journal of Cleaner Production","id":"ITEM-1","issue":"June","issued":{"date-parts":[["2021"]]},"page":"128247","publisher":"Elsevier Ltd","title":"Integration of techno-economic analysis and life cycle assessment for sustainable process design – A review","type":"article-journal","volume":"317"},"uris":["http://www.mendeley.com/documents/?uuid=bffd09b5-ec43-4492-a56f-ecf9ddb6394f"]}],"mendeley":{"formattedCitation":"(4)","plainTextFormattedCitation":"(4)","previouslyFormattedCitation":"(Mahmud et al., 2021)"},"properties":{"noteIndex":0},"schema":"https://github.com/citation-style-language/schema/raw/master/csl-citation.json"}</w:instrText>
      </w:r>
      <w:r w:rsidR="007C26B7" w:rsidRPr="00D413BE">
        <w:rPr>
          <w:rFonts w:cs="Arial"/>
          <w:i/>
          <w:iCs/>
        </w:rPr>
        <w:fldChar w:fldCharType="separate"/>
      </w:r>
      <w:r w:rsidR="005276A0" w:rsidRPr="005276A0">
        <w:rPr>
          <w:rFonts w:cs="Arial"/>
          <w:noProof/>
        </w:rPr>
        <w:t>(4)</w:t>
      </w:r>
      <w:r w:rsidR="007C26B7" w:rsidRPr="00D413BE">
        <w:rPr>
          <w:rFonts w:cs="Arial"/>
          <w:i/>
          <w:iCs/>
        </w:rPr>
        <w:fldChar w:fldCharType="end"/>
      </w:r>
      <w:r w:rsidR="007C26B7" w:rsidRPr="00D413BE">
        <w:rPr>
          <w:rFonts w:cs="Arial"/>
        </w:rPr>
        <w:t xml:space="preserve">. </w:t>
      </w:r>
      <w:r w:rsidR="001679B2">
        <w:rPr>
          <w:rFonts w:cs="Arial"/>
        </w:rPr>
        <w:t>Among several of these tools, t</w:t>
      </w:r>
      <w:r w:rsidR="007C26B7" w:rsidRPr="00D413BE">
        <w:rPr>
          <w:rFonts w:cs="Arial"/>
        </w:rPr>
        <w:t xml:space="preserve">he Waste Reduction Algorithm (WAR) </w:t>
      </w:r>
      <w:r w:rsidR="001679B2" w:rsidRPr="00D413BE">
        <w:rPr>
          <w:rFonts w:cs="Arial"/>
        </w:rPr>
        <w:t>assesses</w:t>
      </w:r>
      <w:r w:rsidR="001679B2" w:rsidRPr="00D413BE">
        <w:rPr>
          <w:rFonts w:cs="Arial"/>
        </w:rPr>
        <w:t xml:space="preserve"> the </w:t>
      </w:r>
      <w:r w:rsidR="001679B2">
        <w:rPr>
          <w:rFonts w:cs="Arial"/>
        </w:rPr>
        <w:t xml:space="preserve">potential </w:t>
      </w:r>
      <w:r w:rsidR="001679B2" w:rsidRPr="00D413BE">
        <w:rPr>
          <w:rFonts w:cs="Arial"/>
        </w:rPr>
        <w:t>environmental consequences of chemical processes</w:t>
      </w:r>
      <w:r w:rsidR="00DF6D36">
        <w:rPr>
          <w:rFonts w:cs="Arial"/>
        </w:rPr>
        <w:t xml:space="preserve">, </w:t>
      </w:r>
      <w:r w:rsidR="001679B2" w:rsidRPr="005069ED">
        <w:rPr>
          <w:rFonts w:cs="Arial"/>
        </w:rPr>
        <w:t xml:space="preserve">based on metrics or indicators </w:t>
      </w:r>
      <w:r w:rsidR="003E6BAF">
        <w:rPr>
          <w:rFonts w:cs="Arial"/>
        </w:rPr>
        <w:t>quantified by mass and energy flows of the process</w:t>
      </w:r>
      <w:r w:rsidR="00DF6D36">
        <w:rPr>
          <w:rFonts w:cs="Arial"/>
        </w:rPr>
        <w:t xml:space="preserve"> </w:t>
      </w:r>
      <w:r w:rsidR="001679B2" w:rsidRPr="005069ED">
        <w:rPr>
          <w:rFonts w:cs="Arial"/>
          <w:lang w:val="es-ES"/>
        </w:rPr>
        <w:fldChar w:fldCharType="begin" w:fldLock="1"/>
      </w:r>
      <w:r w:rsidR="005276A0">
        <w:rPr>
          <w:rFonts w:cs="Arial"/>
        </w:rPr>
        <w:instrText>ADDIN CSL_CITATION {"citationItems":[{"id":"ITEM-1","itemData":{"DOI":"10.1016/j.jclepro.2012.03.008","ISSN":"09596526","abstract":"A simultaneous approach to maximize profit, while minimizing waste through source reduction with the implementation of multiobjective optimization with process simulation is presented in this paper. To demonstrate this methodology, the acrylonitrile process case study was selected. The approach involved four steps: process modeling and analysis, identification of process alternatives, selection of process alternatives and incorporation of multiobjective optimization. The simulator ASPEN PLUS™ 12.1 was used to model and evaluate the process. Process alternatives were identified from both literature and sensitivity analysis procedures. Sensitivity analysis helps initially in quickly eliminating inferior alternatives and then in enhancing the superior alternative to develop an efficient optimization procedure. Through this work, a general methodology was developed for the application of process optimization to process design. A sensitivity curve that shows the effect of waste treatment on the profit for the process was developed. Based on the sensitivity analysis results, the Plug Flow reactor scheme was the better alternative as compared to the base case, CSTR reactor scheme. After process modification and optimization, the process can earn a maximum net savings of $ 3.59 × 10 8 in seven years, an increase of 69% over the base case. At the other end of the spectrum, the modified process could generate waste of 1884 kg h -1, a 38% reduction compared to the base case. The modified optimized process is observed to show significant improvements in environmental impacts as analyzed by the Waste Reduction Algorithm. © 2012 Elsevier Ltd. All rights reserved.","author":[{"dropping-particle":"","family":"Shadiya","given":"Olamide O.","non-dropping-particle":"","parse-names":false,"suffix":""},{"dropping-particle":"","family":"Satish","given":"Venkataraman","non-dropping-particle":"","parse-names":false,"suffix":""},{"dropping-particle":"","family":"High","given":"Karen A.","non-dropping-particle":"","parse-names":false,"suffix":""}],"container-title":"Journal of Cleaner Production","id":"ITEM-1","issued":{"date-parts":[["2012"]]},"page":"137-149","publisher":"Elsevier Ltd","title":"Process enhancement through waste minimization and multiobjective optimization","type":"article-journal","volume":"31"},"uris":["http://www.mendeley.com/documents/?uuid=e98c2b53-0631-4384-8d5e-8967e8f2ac3d"]}],"mendeley":{"formattedCitation":"(5)","plainTextFormattedCitation":"(5)","previouslyFormattedCitation":"(Shadiya et al., 2012)"},"properties":{"noteIndex":0},"schema":"https://github.com/citation-style-language/schema/raw/master/csl-citation.json"}</w:instrText>
      </w:r>
      <w:r w:rsidR="001679B2" w:rsidRPr="005069ED">
        <w:rPr>
          <w:rFonts w:cs="Arial"/>
          <w:lang w:val="es-ES"/>
        </w:rPr>
        <w:fldChar w:fldCharType="separate"/>
      </w:r>
      <w:r w:rsidR="005276A0" w:rsidRPr="005276A0">
        <w:rPr>
          <w:rFonts w:cs="Arial"/>
          <w:noProof/>
        </w:rPr>
        <w:t>(5)</w:t>
      </w:r>
      <w:r w:rsidR="001679B2" w:rsidRPr="005069ED">
        <w:rPr>
          <w:rFonts w:cs="Arial"/>
          <w:lang w:val="es-ES"/>
        </w:rPr>
        <w:fldChar w:fldCharType="end"/>
      </w:r>
      <w:r w:rsidR="001679B2" w:rsidRPr="005069ED">
        <w:rPr>
          <w:rFonts w:cs="Arial"/>
        </w:rPr>
        <w:t>.</w:t>
      </w:r>
      <w:r w:rsidR="00DF6D36">
        <w:rPr>
          <w:rFonts w:cs="Arial"/>
        </w:rPr>
        <w:t xml:space="preserve"> </w:t>
      </w:r>
      <w:r w:rsidR="00F50049">
        <w:rPr>
          <w:rFonts w:cs="Arial"/>
        </w:rPr>
        <w:t xml:space="preserve">Furthermore, </w:t>
      </w:r>
      <w:r w:rsidR="007C26B7" w:rsidRPr="00D413BE">
        <w:rPr>
          <w:rFonts w:cs="Arial"/>
        </w:rPr>
        <w:t xml:space="preserve">It </w:t>
      </w:r>
      <w:r w:rsidR="00F50049">
        <w:rPr>
          <w:rFonts w:cs="Arial"/>
        </w:rPr>
        <w:t xml:space="preserve">easy to use as it requires less information, only of </w:t>
      </w:r>
      <w:r w:rsidR="007C26B7" w:rsidRPr="00D413BE">
        <w:rPr>
          <w:rFonts w:cs="Arial"/>
        </w:rPr>
        <w:t>manufacturing phase of a product's entire life cycle</w:t>
      </w:r>
      <w:r w:rsidR="00F50049">
        <w:rPr>
          <w:rFonts w:cs="Arial"/>
        </w:rPr>
        <w:t xml:space="preserve"> </w:t>
      </w:r>
      <w:r w:rsidR="007C26B7" w:rsidRPr="00D413BE">
        <w:rPr>
          <w:rFonts w:cs="Arial"/>
          <w:i/>
          <w:iCs/>
        </w:rPr>
        <w:fldChar w:fldCharType="begin" w:fldLock="1"/>
      </w:r>
      <w:r w:rsidR="005276A0">
        <w:rPr>
          <w:rFonts w:cs="Arial"/>
        </w:rPr>
        <w:instrText>ADDIN CSL_CITATION {"citationItems":[{"id":"ITEM-1","itemData":{"DOI":"10.1016/S1570-7946(09)70189-0","ISBN":"9780444534330","ISSN":"15707946","abstract":"The integrated biorefinery has the potential to provide a strong, self-dependent alternative to the use of fossil fuels for the production of chemicals and energy, but difficulties arise in measuring the potential economic and environmental benefit of the biorefinery. A myriad of products and production pathways are possible in this growing field of biorefining, and the production path with maximum value and minimum environmental impact cannot be determined on heuristics alone. A framework is needed to determine the most optimal route based on measures of economic and environmental performance. Gross profit and net present value are used as economic metrics in the short term and long term respectively, and environmental impact is measured using the WAR algorithm developed by Young and Cabezas [1999]. Top candidates in economic and environmental performance are then subject to process integration techniques in order to minimize mass and energy usage, and these integrated biorefineries are once again analyzed for optimal performance. © 2009 Elsevier B.V. All rights reserved.","author":[{"dropping-particle":"","family":"Sammons","given":"Norman","non-dropping-particle":"","parse-names":false,"suffix":""},{"dropping-particle":"","family":"Yuan","given":"Wei","non-dropping-particle":"","parse-names":false,"suffix":""},{"dropping-particle":"","family":"Bommareddy","given":"Susilpa","non-dropping-particle":"","parse-names":false,"suffix":""},{"dropping-particle":"","family":"Eden","given":"Mario","non-dropping-particle":"","parse-names":false,"suffix":""},{"dropping-particle":"","family":"Aksoy","given":"Burak","non-dropping-particle":"","parse-names":false,"suffix":""},{"dropping-particle":"","family":"Cullinan","given":"Harry","non-dropping-particle":"","parse-names":false,"suffix":""}],"container-title":"Computer Aided Chemical Engineering","id":"ITEM-1","issued":{"date-parts":[["2009"]]},"number-of-pages":"1135-1140","publisher":"Elsevier B.V.","title":"A Systematic Approach to Determine Economic Potential and Environmental Impact of Biorefineries","type":"book","volume":"26"},"uris":["http://www.mendeley.com/documents/?uuid=f13ff943-7f2d-4009-a0ed-9656bc3d190a"]}],"mendeley":{"formattedCitation":"(6)","plainTextFormattedCitation":"(6)","previouslyFormattedCitation":"(Sammons et al., 2009)"},"properties":{"noteIndex":0},"schema":"https://github.com/citation-style-language/schema/raw/master/csl-citation.json"}</w:instrText>
      </w:r>
      <w:r w:rsidR="007C26B7" w:rsidRPr="00D413BE">
        <w:rPr>
          <w:rFonts w:cs="Arial"/>
          <w:i/>
          <w:iCs/>
        </w:rPr>
        <w:fldChar w:fldCharType="separate"/>
      </w:r>
      <w:r w:rsidR="005276A0" w:rsidRPr="005276A0">
        <w:rPr>
          <w:rFonts w:cs="Arial"/>
          <w:noProof/>
        </w:rPr>
        <w:t>(6)</w:t>
      </w:r>
      <w:r w:rsidR="007C26B7" w:rsidRPr="00D413BE">
        <w:rPr>
          <w:rFonts w:cs="Arial"/>
          <w:i/>
          <w:iCs/>
        </w:rPr>
        <w:fldChar w:fldCharType="end"/>
      </w:r>
      <w:r w:rsidR="00F50049">
        <w:rPr>
          <w:rFonts w:cs="Arial"/>
        </w:rPr>
        <w:t xml:space="preserve">, and its main advantage is that estimates </w:t>
      </w:r>
      <w:r w:rsidR="00BE0FD2" w:rsidRPr="005069ED">
        <w:rPr>
          <w:rFonts w:cs="Arial"/>
        </w:rPr>
        <w:t xml:space="preserve">of output and the generation </w:t>
      </w:r>
      <w:r w:rsidR="00F50049">
        <w:rPr>
          <w:rFonts w:cs="Arial"/>
        </w:rPr>
        <w:t xml:space="preserve">(rates) </w:t>
      </w:r>
      <w:r w:rsidR="00BE0FD2" w:rsidRPr="005069ED">
        <w:rPr>
          <w:rFonts w:cs="Arial"/>
        </w:rPr>
        <w:t xml:space="preserve">of potential environmental impacts </w:t>
      </w:r>
      <w:r w:rsidR="00F50049">
        <w:rPr>
          <w:rFonts w:cs="Arial"/>
        </w:rPr>
        <w:t xml:space="preserve">(in eight categories of impacts) which </w:t>
      </w:r>
      <w:r w:rsidR="00BE0FD2" w:rsidRPr="005069ED">
        <w:rPr>
          <w:rFonts w:cs="Arial"/>
        </w:rPr>
        <w:t xml:space="preserve">cannot be performed by other methods such as life cycle analysis </w:t>
      </w:r>
      <w:r w:rsidR="00BE0FD2" w:rsidRPr="005069ED">
        <w:rPr>
          <w:rFonts w:cs="Arial"/>
          <w:lang w:val="es-ES" w:bidi="en-US"/>
        </w:rPr>
        <w:fldChar w:fldCharType="begin" w:fldLock="1"/>
      </w:r>
      <w:r w:rsidR="005276A0">
        <w:rPr>
          <w:rFonts w:cs="Arial"/>
          <w:lang w:bidi="en-US"/>
        </w:rPr>
        <w:instrText>ADDIN CSL_CITATION {"citationItems":[{"id":"ITEM-1","itemData":{"author":[{"dropping-particle":"","family":"Herrera-aristizábal","given":"Rosa","non-dropping-particle":"","parse-names":false,"suffix":""},{"dropping-particle":"","family":"Salgado-dueñas","given":"Juan Sebastian","non-dropping-particle":"","parse-names":false,"suffix":""},{"dropping-particle":"","family":"Yolima","given":"Yeimmy","non-dropping-particle":"","parse-names":false,"suffix":""}],"id":"ITEM-1","issued":{"date-parts":[["2017"]]},"title":"Environmental Evaluation of a Palm-based biorefinery under North-Colombian Conditions","type":"article-journal","volume":"57"},"uris":["http://www.mendeley.com/documents/?uuid=b2dfbe29-e2cd-4660-b76e-7e70f1081adc","http://www.mendeley.com/documents/?uuid=f72ab394-fe94-4b5f-90c3-f7c5de9c4c14"]}],"mendeley":{"formattedCitation":"(7)","plainTextFormattedCitation":"(7)","previouslyFormattedCitation":"(Herrera-aristizábal et al., 2017)"},"properties":{"noteIndex":0},"schema":"https://github.com/citation-style-language/schema/raw/master/csl-citation.json"}</w:instrText>
      </w:r>
      <w:r w:rsidR="00BE0FD2" w:rsidRPr="005069ED">
        <w:rPr>
          <w:rFonts w:cs="Arial"/>
          <w:lang w:val="es-ES" w:bidi="en-US"/>
        </w:rPr>
        <w:fldChar w:fldCharType="separate"/>
      </w:r>
      <w:r w:rsidR="005276A0" w:rsidRPr="005276A0">
        <w:rPr>
          <w:rFonts w:cs="Arial"/>
          <w:noProof/>
          <w:lang w:bidi="en-US"/>
        </w:rPr>
        <w:t>(7)</w:t>
      </w:r>
      <w:r w:rsidR="00BE0FD2" w:rsidRPr="005069ED">
        <w:rPr>
          <w:rFonts w:cs="Arial"/>
          <w:lang w:val="es-ES"/>
        </w:rPr>
        <w:fldChar w:fldCharType="end"/>
      </w:r>
      <w:r w:rsidR="00BE0FD2" w:rsidRPr="005069ED">
        <w:rPr>
          <w:rFonts w:cs="Arial"/>
        </w:rPr>
        <w:t xml:space="preserve">. </w:t>
      </w:r>
    </w:p>
    <w:p w14:paraId="23E1AAAD" w14:textId="7F451A11" w:rsidR="00603F4E" w:rsidRPr="004D3195" w:rsidRDefault="00F50049" w:rsidP="004D3195">
      <w:pPr>
        <w:pStyle w:val="CETBodytext"/>
        <w:spacing w:after="240"/>
        <w:rPr>
          <w:rFonts w:eastAsia="Arial"/>
        </w:rPr>
      </w:pPr>
      <w:r>
        <w:rPr>
          <w:rFonts w:cs="Arial"/>
        </w:rPr>
        <w:lastRenderedPageBreak/>
        <w:t>Several works have been carried out into analyzing biorefineries or bioprocesses,</w:t>
      </w:r>
      <w:r w:rsidR="000F1FC5">
        <w:rPr>
          <w:rFonts w:cs="Arial"/>
        </w:rPr>
        <w:t xml:space="preserve"> like the production of modified microbeads from chitosan </w:t>
      </w:r>
      <w:r w:rsidR="000F1FC5">
        <w:rPr>
          <w:rFonts w:cs="Arial"/>
        </w:rPr>
        <w:fldChar w:fldCharType="begin" w:fldLock="1"/>
      </w:r>
      <w:r w:rsidR="005276A0">
        <w:rPr>
          <w:rFonts w:cs="Arial"/>
        </w:rPr>
        <w:instrText>ADDIN CSL_CITATION {"citationItems":[{"id":"ITEM-1","itemData":{"DOI":"10.1088/1757-899X/519/1/012003","ISSN":"1757899X","abstract":"In this work, environmental assessment of a large-scale production of chitosan micro-beads modified with thiourea and magnetite was performed using Waste Reduction Algorithm (WAR). This methodology evaluates eight impact categories, four toxicological and four atmospherics. Initially, the simulation of production process of micro-beads was realized. Then, WAR GUI software, which is based on WAR algorithm, was employed to quantify potential environmental impacts (PEI) generation and output rate for this process under 4 different cases. The synthesis of micro-beads was analysed using computer-aided process engineering, this is related to the fact that there is no bibliography reported for the industrial scale-up, simulation and environmental evaluation of this type of process Results shows that photochemical oxidation potential is the evaluated category which emits the biggest output rate of PEI, contributing in all cases with more than 49% of the total rate. In general terms, the process has a negative generated PEI which means that the process has a convenient environmental performance. This leads to the conclusion that the process is environmentally beneficial because it consumes environmental impacts.","author":[{"dropping-particle":"","family":"Bertel","given":"F.","non-dropping-particle":"","parse-names":false,"suffix":""},{"dropping-particle":"","family":"Cogollo","given":"G.","non-dropping-particle":"","parse-names":false,"suffix":""},{"dropping-particle":"","family":"Meramo-Hurtado","given":"S.","non-dropping-particle":"","parse-names":false,"suffix":""},{"dropping-particle":"","family":"González-Delgado","given":"A.","non-dropping-particle":"","parse-names":false,"suffix":""}],"container-title":"IOP Conference Series: Materials Science and Engineering","id":"ITEM-1","issue":"1","issued":{"date-parts":[["2019"]]},"title":"Computer aided environmental analysis of a large-scale production of chitosan micro-beads modified with thiourea and magnetite","type":"article-journal","volume":"519"},"uris":["http://www.mendeley.com/documents/?uuid=3359a259-4311-4abf-a389-943ca3ba24e4"]}],"mendeley":{"formattedCitation":"(8)","plainTextFormattedCitation":"(8)","previouslyFormattedCitation":"(Bertel et al., 2019)"},"properties":{"noteIndex":0},"schema":"https://github.com/citation-style-language/schema/raw/master/csl-citation.json"}</w:instrText>
      </w:r>
      <w:r w:rsidR="000F1FC5">
        <w:rPr>
          <w:rFonts w:cs="Arial"/>
        </w:rPr>
        <w:fldChar w:fldCharType="separate"/>
      </w:r>
      <w:r w:rsidR="005276A0" w:rsidRPr="005276A0">
        <w:rPr>
          <w:rFonts w:cs="Arial"/>
          <w:noProof/>
        </w:rPr>
        <w:t>(8)</w:t>
      </w:r>
      <w:r w:rsidR="000F1FC5">
        <w:rPr>
          <w:rFonts w:cs="Arial"/>
        </w:rPr>
        <w:fldChar w:fldCharType="end"/>
      </w:r>
      <w:r w:rsidR="000F1FC5">
        <w:rPr>
          <w:rFonts w:cs="Arial"/>
        </w:rPr>
        <w:t xml:space="preserve">, nanoparticles </w:t>
      </w:r>
      <w:r w:rsidR="000F1FC5">
        <w:rPr>
          <w:rFonts w:cs="Arial"/>
        </w:rPr>
        <w:fldChar w:fldCharType="begin" w:fldLock="1"/>
      </w:r>
      <w:r w:rsidR="005276A0">
        <w:rPr>
          <w:rFonts w:cs="Arial"/>
        </w:rPr>
        <w:instrText>ADDIN CSL_CITATION {"citationItems":[{"id":"ITEM-1","itemData":{"DOI":"10.3303/CET1870178","ISBN":"9788895608679","ISSN":"22839216","abstract":"Green chemistry concept is currently implemented in order to stimulate the development of sustainability processes and pollution prevention. However, not for all cases the use of this type of process generates an operation with good environmental performance, also in the development and evaluation of new topologies, such as the one presented in this paper, environmental assessment becomes in an important tool in order to optimize the process. In this work for developed a synthesis of titanium dioxide (TiO2) nanoparticles from titanium isopropoxide (TTIP) via green chemistry. Environmental assessment was performed using software WAR GUI, which use Waste Reduction Algorithm in order to quantify potential environmental impacts generation and output environmental impacts for this process for 4 different cases. Results show that the process doesn't generate high potential environmental impacts (PEI) with a rate of 1.43X102 PEI/h for the case that include energy and product contributions, which represents a very low value compared to the total output rate for this case (1.21X104 PEI/h). For toxicological categories, it was obtained that for human toxicity by ingestion (HTPI) and terrestrial toxicity potential (TTP) categories exist some environmental impacts due to presence of TTIP in a high concentration, additionally these effects are increased by propanol, as a subproduct of the hydrolysis, and ethanol as solvent for the purification stage. For the aquatic matrix the potential impacts obtained was relatively low. On the other hand, it was determined for atmospheric effects that the presence of the alcohols in the process rises the potential impact related to the photochemical oxidation potential category.","author":[{"dropping-particle":"","family":"Meramo","given":"Samir I.","non-dropping-particle":"","parse-names":false,"suffix":""},{"dropping-particle":"","family":"Bonfante","given":"Heidy","non-dropping-particle":"","parse-names":false,"suffix":""},{"dropping-particle":"","family":"Avila-Montiel","given":"Gesira","non-dropping-particle":"De","parse-names":false,"suffix":""},{"dropping-particle":"","family":"Herrera-Barros","given":"Adriana","non-dropping-particle":"","parse-names":false,"suffix":""},{"dropping-particle":"","family":"Gonzalez-Delgado","given":"Angel","non-dropping-particle":"","parse-names":false,"suffix":""}],"container-title":"Chemical Engineering Transactions","id":"ITEM-1","issued":{"date-parts":[["2018"]]},"page":"1063-1068","title":"Environmental assessment of a large-scale production of TiO2 nanoparticles via green chemistry","type":"article-journal","volume":"70"},"uris":["http://www.mendeley.com/documents/?uuid=212099d4-8fb9-4e67-a8b3-e79dc824c40c"]}],"mendeley":{"formattedCitation":"(9)","plainTextFormattedCitation":"(9)","previouslyFormattedCitation":"(S. I. Meramo et al., 2018)"},"properties":{"noteIndex":0},"schema":"https://github.com/citation-style-language/schema/raw/master/csl-citation.json"}</w:instrText>
      </w:r>
      <w:r w:rsidR="000F1FC5">
        <w:rPr>
          <w:rFonts w:cs="Arial"/>
        </w:rPr>
        <w:fldChar w:fldCharType="separate"/>
      </w:r>
      <w:r w:rsidR="005276A0" w:rsidRPr="005276A0">
        <w:rPr>
          <w:rFonts w:cs="Arial"/>
          <w:noProof/>
        </w:rPr>
        <w:t>(9)</w:t>
      </w:r>
      <w:r w:rsidR="000F1FC5">
        <w:rPr>
          <w:rFonts w:cs="Arial"/>
        </w:rPr>
        <w:fldChar w:fldCharType="end"/>
      </w:r>
      <w:r w:rsidR="000F1FC5">
        <w:rPr>
          <w:rFonts w:cs="Arial"/>
        </w:rPr>
        <w:t xml:space="preserve">, biorefinery of shrimp </w:t>
      </w:r>
      <w:r w:rsidR="000F1FC5">
        <w:rPr>
          <w:rFonts w:cs="Arial"/>
        </w:rPr>
        <w:fldChar w:fldCharType="begin" w:fldLock="1"/>
      </w:r>
      <w:r w:rsidR="005276A0">
        <w:rPr>
          <w:rFonts w:cs="Arial"/>
        </w:rPr>
        <w:instrText>ADDIN CSL_CITATION {"citationItems":[{"id":"ITEM-1","itemData":{"DOI":"10.1016/j.eti.2021.101461","ISSN":"23521864","abstract":"The valorization of wastes based on the circular economy approach is key to cleaner and more efficient production in the shrimp industry. This work introduces a scaled-up technology for the integrated valorization of fresh shrimp under biorefinery concept. To date, no contributions are available in the literature regarding the process simulation and sustainability assessment of a shrimp biorefinery topology. The proposed topology was simulated using Aspen Plus ® software to process 469.22 kg/h of fresh shrimp according to the local production in North Colombia. The desired products were shrimp meat, chitin, chitosan and astaxanthin. The environmental performance of this biorefinery was analyzed using the Waste Reduction Algorithm (WAR), while the process economy was determined through net present value (NPV) and return on investment (ROI) indicators. The effects of expanding the design capacity on socio-environmental and economic aspects were assessed via the sustainability-extended ROI metric The global production yield was estimated at 600.89 g products/kg fresh shrimp and technical efficiencies per process section up to 92.89%. It was quantified low potential environmental impacts (PEIs) emitted to the media through residual streams as well as negative values of PEIs generation in most toxicological and atmospheric categories. The project was profitable reaching a positive value for NPV and ROI at 13.53%. This shrimp biorefinery topology showed attractive findings from a technical, economic and environmental point of view at design capacities ≥ 275.79 kg meat/h.","author":[{"dropping-particle":"","family":"Moreno-Sader","given":"Kariana Andrea","non-dropping-particle":"","parse-names":false,"suffix":""},{"dropping-particle":"","family":"Martinez-Consuegra","given":"Jairo David","non-dropping-particle":"","parse-names":false,"suffix":""},{"dropping-particle":"","family":"González-Delgado","given":"Ángel Darío","non-dropping-particle":"","parse-names":false,"suffix":""}],"container-title":"Environmental Technology and Innovation","id":"ITEM-1","issued":{"date-parts":[["2021"]]},"page":"101461","publisher":"Elsevier B.V.","title":"Development of a biorefinery approach for shrimp processing in North-Colombia: Process simulation and sustainability assessment","type":"article-journal","volume":"22"},"uris":["http://www.mendeley.com/documents/?uuid=3d9f5a98-30cf-4ecf-a47e-8d0cbce9c870"]}],"mendeley":{"formattedCitation":"(10)","plainTextFormattedCitation":"(10)","previouslyFormattedCitation":"(Moreno-Sader, Martinez-Consuegra, et al., 2021)"},"properties":{"noteIndex":0},"schema":"https://github.com/citation-style-language/schema/raw/master/csl-citation.json"}</w:instrText>
      </w:r>
      <w:r w:rsidR="000F1FC5">
        <w:rPr>
          <w:rFonts w:cs="Arial"/>
        </w:rPr>
        <w:fldChar w:fldCharType="separate"/>
      </w:r>
      <w:r w:rsidR="005276A0" w:rsidRPr="005276A0">
        <w:rPr>
          <w:rFonts w:cs="Arial"/>
          <w:noProof/>
        </w:rPr>
        <w:t>(10)</w:t>
      </w:r>
      <w:r w:rsidR="000F1FC5">
        <w:rPr>
          <w:rFonts w:cs="Arial"/>
        </w:rPr>
        <w:fldChar w:fldCharType="end"/>
      </w:r>
      <w:r w:rsidR="000F1FC5">
        <w:rPr>
          <w:rFonts w:cs="Arial"/>
        </w:rPr>
        <w:t xml:space="preserve">, among others. For the case of avocado, several topologies have been assessed, like Herrera et al., analyzed production of biochar and oil from avocado creole finding performance adequate for implementation in rural areas (low impacts) </w:t>
      </w:r>
      <w:r w:rsidR="000F1FC5">
        <w:rPr>
          <w:rFonts w:cs="Arial"/>
        </w:rPr>
        <w:fldChar w:fldCharType="begin" w:fldLock="1"/>
      </w:r>
      <w:r w:rsidR="005276A0">
        <w:rPr>
          <w:rFonts w:cs="Arial"/>
        </w:rPr>
        <w:instrText>ADDIN CSL_CITATION {"citationItems":[{"id":"ITEM-1","itemData":{"DOI":"10.32997/rin-2023-4259","abstract":"En el norte de Colombia la producción y cultivo de aguacate de variedad criollo-antillano (Laurus persea L) se centra en la región de los Montes de María; no obstante, parte importante de esa producción se desecha debido a la falta de infraestructura para la distribución, comercialización y valorización. Por otro lado, el consumo de este genera residuos como la cáscara y la semilla, que pueden ser aprovechables gracias a su composición. Lo anterior, ha motivado la búsqueda de alternativas de valorización de residuos que mejoren la sustentabilidad de la cadena de procesamiento; por lo tanto, resulta necesario evaluar la viabilidad de la producción a gran escala de aceite de aguacate y el aprovechamiento de residuos como la semilla bajo las condiciones del Norte de Colombia. En este trabajo se evaluó desde el punto de vista ambiental el proceso de extracción de aceite y biochar de aguacate (Laurus persea L), a partir de la pulpa y la semilla, respectivamente. La evaluación ambiental se realizó mediante el software WARGUI, el cual tiene en cuenta flujos másicos y propiedades de las sustancias que intervienen en el proceso, evaluándolo bajo 4 categorías atmosféricas y cuatro toxicológicas. Luego de modelar los procesos se obtuvo una producción de aceite de aguacate de 1.000,01 t/año y 504,78 t/año de biochar. Los resultados obtenidos posibilitaron evaluar el comportamiento de los procesos bajo el criterio ambiental, obteniéndose impactos totales de salida de 60 PEI/h, además se observó que los casos 2 y 4 tienen los mayores impactos en las categorías HTPI y TTP. Los impactos de salida totales indican que el proceso es amigable desde el punto de vista ambiental lo que hace atractivo el montaje de una planta de valorización de residuos del cultivo de aguacate al norte de Colombia.","author":[{"dropping-particle":"","family":"Herrera-Rodríguez","given":"Tamy","non-dropping-particle":"","parse-names":false,"suffix":""},{"dropping-particle":"","family":"Parejo-Palacio","given":"Vianny","non-dropping-particle":"","parse-names":false,"suffix":""},{"dropping-particle":"","family":"González-Delgado","given":"Ángel","non-dropping-particle":"","parse-names":false,"suffix":""}],"container-title":"Revista Ing-Nova","id":"ITEM-1","issue":"1","issued":{"date-parts":[["2023"]]},"page":"11-22","title":"Evaluación ambiental mediante algoritmo de reducción de residuos WAR de la producción de aceite y biochar a partir de aguacate criollo en el Norte de Colombia","type":"article-journal","volume":"2"},"uris":["http://www.mendeley.com/documents/?uuid=6425a057-41a2-4527-8f2a-0072c5cd67b5"]}],"mendeley":{"formattedCitation":"(11)","plainTextFormattedCitation":"(11)","previouslyFormattedCitation":"(Herrera-Rodríguez et al., 2023)"},"properties":{"noteIndex":0},"schema":"https://github.com/citation-style-language/schema/raw/master/csl-citation.json"}</w:instrText>
      </w:r>
      <w:r w:rsidR="000F1FC5">
        <w:rPr>
          <w:rFonts w:cs="Arial"/>
        </w:rPr>
        <w:fldChar w:fldCharType="separate"/>
      </w:r>
      <w:r w:rsidR="005276A0" w:rsidRPr="005276A0">
        <w:rPr>
          <w:rFonts w:cs="Arial"/>
          <w:noProof/>
        </w:rPr>
        <w:t>(11)</w:t>
      </w:r>
      <w:r w:rsidR="000F1FC5">
        <w:rPr>
          <w:rFonts w:cs="Arial"/>
        </w:rPr>
        <w:fldChar w:fldCharType="end"/>
      </w:r>
      <w:r w:rsidR="000F1FC5">
        <w:rPr>
          <w:rFonts w:cs="Arial"/>
        </w:rPr>
        <w:t xml:space="preserve">. Similarly, Valdez-Valdes et al., </w:t>
      </w:r>
      <w:r w:rsidR="00A81B5A">
        <w:rPr>
          <w:rFonts w:cs="Arial"/>
        </w:rPr>
        <w:t xml:space="preserve">found for a extractive-based biorefinery (avocado oil, biopesticide, chlorophyll) was environmentally friendly, with energy as the main source of impacts </w:t>
      </w:r>
      <w:r w:rsidR="00A81B5A">
        <w:rPr>
          <w:rFonts w:cs="Arial"/>
        </w:rPr>
        <w:fldChar w:fldCharType="begin" w:fldLock="1"/>
      </w:r>
      <w:r w:rsidR="005276A0">
        <w:rPr>
          <w:rFonts w:cs="Arial"/>
        </w:rPr>
        <w:instrText>ADDIN CSL_CITATION {"citationItems":[{"id":"ITEM-1","itemData":{"DOI":"10.3390/su162411057","ISSN":"20711050","abstract":"In recent years, the environmental evaluation of biorefineries has become critical for ensuring sustainable practices in bio-based production systems. This study focuses on the application of the Waste Reduction (WAR) Algorithm to assess the environmental impacts of an Extractive-based Creole-Antillean Avocado Biorefinery located in Northern Colombia, aimed at producing bio-oil, chlorophyll, and biopesticide from avocado pulp, peel, and seed, respectively. The environmental impacts were evaluated using the WAR algorithm, which quantifies the potential environmental impacts (PEI) of different process streams. The following four scenarios were developed: (1) considering only waste, (2) including waste and products, (3) including waste and energy sources, and (4) incorporating waste, products, and energy consumption. This study analyzed global impacts focusing on atmospheric and toxicological categories, with a detailed assessment of the most critical scenario. The results indicated that Scenario 4 had the highest PEI, particularly in the atmospheric and toxicological categories, driven by emissions of volatile organic compounds (VOCs), greenhouse gases (GHGs), and the presence of heavy metals. However, the avocado biorefinery process demonstrated a net reduction in overall environmental impacts, with negative PEI generation rates across all scenarios, suggesting that the biorefinery transforms high-impact substances into products with lower global impact potential. Energy consumption emerged as a significant contributor to environmental impacts, particularly in acidification potential (AP) and Atmospheric Toxicity Potential (ATP). Using natural gas as an energy source had a relatively lower environmental impact compared to coal and liquid fuels, emphasizing the need to optimize energy use in biorefinery design to improve environmental performance.","author":[{"dropping-particle":"","family":"Valdez-Valdes","given":"Stefany A.","non-dropping-particle":"","parse-names":false,"suffix":""},{"dropping-particle":"","family":"Tejeda-Benitez","given":"Lesly P.","non-dropping-particle":"","parse-names":false,"suffix":""},{"dropping-particle":"","family":"González-Delgado","given":"Ángel D.","non-dropping-particle":"","parse-names":false,"suffix":""}],"container-title":"Sustainability (Switzerland)","id":"ITEM-1","issue":"24","issued":{"date-parts":[["2024"]]},"title":"Assessing the Environmental Impacts of the Valorization of Creole-Antillean Avocado via an Extractive-Based Biorefinery in the Montes de María Region","type":"article-journal","volume":"16"},"uris":["http://www.mendeley.com/documents/?uuid=6d063a10-6775-418e-99f0-41d484f680c9"]}],"mendeley":{"formattedCitation":"(12)","plainTextFormattedCitation":"(12)","previouslyFormattedCitation":"(Valdez-Valdes et al., 2024)"},"properties":{"noteIndex":0},"schema":"https://github.com/citation-style-language/schema/raw/master/csl-citation.json"}</w:instrText>
      </w:r>
      <w:r w:rsidR="00A81B5A">
        <w:rPr>
          <w:rFonts w:cs="Arial"/>
        </w:rPr>
        <w:fldChar w:fldCharType="separate"/>
      </w:r>
      <w:r w:rsidR="005276A0" w:rsidRPr="005276A0">
        <w:rPr>
          <w:rFonts w:cs="Arial"/>
          <w:noProof/>
        </w:rPr>
        <w:t>(12)</w:t>
      </w:r>
      <w:r w:rsidR="00A81B5A">
        <w:rPr>
          <w:rFonts w:cs="Arial"/>
        </w:rPr>
        <w:fldChar w:fldCharType="end"/>
      </w:r>
      <w:r w:rsidR="00A81B5A">
        <w:rPr>
          <w:rFonts w:cs="Arial"/>
        </w:rPr>
        <w:t xml:space="preserve">. Nonetheless, both processes not only had the whole avocado as raw material, but the residual fractions were only converted in one product, disregarding full utilization with further processing (cascade). This opens the opportunity for this work, as it analyzes the environmental performance of cascading processing in a biorefinery </w:t>
      </w:r>
      <w:r w:rsidR="004D3195">
        <w:rPr>
          <w:rFonts w:cs="Arial"/>
        </w:rPr>
        <w:t xml:space="preserve">for </w:t>
      </w:r>
      <w:r w:rsidR="00A81B5A">
        <w:rPr>
          <w:rFonts w:cs="Arial"/>
        </w:rPr>
        <w:t>avocado</w:t>
      </w:r>
      <w:r w:rsidR="00A81B5A" w:rsidRPr="00A81B5A">
        <w:rPr>
          <w:rFonts w:cs="Arial"/>
        </w:rPr>
        <w:t xml:space="preserve"> </w:t>
      </w:r>
      <w:r w:rsidR="00A81B5A">
        <w:rPr>
          <w:rFonts w:cs="Arial"/>
        </w:rPr>
        <w:t>waste</w:t>
      </w:r>
      <w:r w:rsidR="00A81B5A">
        <w:rPr>
          <w:rFonts w:cs="Arial"/>
        </w:rPr>
        <w:t xml:space="preserve">, where it is converted </w:t>
      </w:r>
      <w:r w:rsidR="004D3195">
        <w:rPr>
          <w:rFonts w:cs="Arial"/>
        </w:rPr>
        <w:t xml:space="preserve">to </w:t>
      </w:r>
      <w:r w:rsidR="00A81B5A">
        <w:rPr>
          <w:rFonts w:cs="Arial"/>
        </w:rPr>
        <w:t>extrac</w:t>
      </w:r>
      <w:r w:rsidR="004D3195">
        <w:rPr>
          <w:rFonts w:cs="Arial"/>
        </w:rPr>
        <w:t>t</w:t>
      </w:r>
      <w:r w:rsidR="00A81B5A">
        <w:rPr>
          <w:rFonts w:cs="Arial"/>
        </w:rPr>
        <w:t xml:space="preserve"> the most value possible. </w:t>
      </w:r>
      <w:r w:rsidR="00AE32D7">
        <w:rPr>
          <w:rFonts w:cs="Arial"/>
        </w:rPr>
        <w:t xml:space="preserve">The analysis is carried out using WARGUI software complemented with </w:t>
      </w:r>
      <w:r w:rsidR="004D3195">
        <w:rPr>
          <w:rFonts w:cs="Arial"/>
        </w:rPr>
        <w:t xml:space="preserve">simulations tools as source of process data. </w:t>
      </w:r>
    </w:p>
    <w:p w14:paraId="2778529C" w14:textId="1FEDE15A" w:rsidR="005F29D3" w:rsidRDefault="0051363B" w:rsidP="00A12FEB">
      <w:pPr>
        <w:pStyle w:val="CETHeading1"/>
        <w:numPr>
          <w:ilvl w:val="0"/>
          <w:numId w:val="16"/>
        </w:numPr>
      </w:pPr>
      <w:r w:rsidRPr="00A12FEB">
        <w:rPr>
          <w:rFonts w:eastAsia="Arial"/>
        </w:rPr>
        <w:t>Materials and methods</w:t>
      </w:r>
    </w:p>
    <w:p w14:paraId="15A5E8FF" w14:textId="52BA0154" w:rsidR="005C5E5B" w:rsidRDefault="005C5E5B" w:rsidP="00915A8D">
      <w:pPr>
        <w:pStyle w:val="CETheadingx"/>
        <w:numPr>
          <w:ilvl w:val="1"/>
          <w:numId w:val="19"/>
        </w:numPr>
        <w:rPr>
          <w:rFonts w:eastAsia="Arial"/>
        </w:rPr>
      </w:pPr>
      <w:r w:rsidRPr="005C5E5B">
        <w:rPr>
          <w:rFonts w:eastAsia="Arial"/>
        </w:rPr>
        <w:t>Process description</w:t>
      </w:r>
    </w:p>
    <w:p w14:paraId="17EB3FEF" w14:textId="77777777" w:rsidR="00390AC4" w:rsidRPr="00390AC4" w:rsidRDefault="00390AC4" w:rsidP="00390AC4">
      <w:pPr>
        <w:pStyle w:val="CETBodytext"/>
        <w:spacing w:after="240" w:line="240" w:lineRule="auto"/>
        <w:rPr>
          <w:rFonts w:eastAsia="Arial"/>
        </w:rPr>
      </w:pPr>
      <w:r w:rsidRPr="00390AC4">
        <w:rPr>
          <w:rFonts w:eastAsia="Arial"/>
        </w:rPr>
        <w:t>Figure 1 presents the cascade biorefinery for avocado waste, illustrating the units and material flows. The system consists of four main subprocesses: (</w:t>
      </w:r>
      <w:proofErr w:type="spellStart"/>
      <w:r w:rsidRPr="00390AC4">
        <w:rPr>
          <w:rFonts w:eastAsia="Arial"/>
        </w:rPr>
        <w:t>i</w:t>
      </w:r>
      <w:proofErr w:type="spellEnd"/>
      <w:r w:rsidRPr="00390AC4">
        <w:rPr>
          <w:rFonts w:eastAsia="Arial"/>
        </w:rPr>
        <w:t>) seed conditioning, (ii) starch production, (iii) biopolymeric film synthesis, and (iv) biocontrol agent production. Avocado residues enter Section 1 under ambient conditions (25 °C, 1 bar). Seeds are washed and cut into pieces (~1.5 cm) and split 1:1 between Sections 2 and 5. In Section 2, seeds contact 0.05% sodium metabisulfite at ambient temperature, are milled to 80 µm, filtered to remove coarse solids, decanted, washed, and centrifuged. The wet starch paste is hot-air dried to &lt;7% moisture and split 50:50, one part as final starch product.</w:t>
      </w:r>
    </w:p>
    <w:p w14:paraId="7D48AD4F" w14:textId="77777777" w:rsidR="00390AC4" w:rsidRDefault="00390AC4" w:rsidP="00764073">
      <w:pPr>
        <w:pStyle w:val="CETBodytext"/>
        <w:spacing w:after="240" w:line="276" w:lineRule="auto"/>
        <w:rPr>
          <w:rFonts w:eastAsia="Arial"/>
        </w:rPr>
      </w:pPr>
      <w:r w:rsidRPr="00390AC4">
        <w:rPr>
          <w:rFonts w:eastAsia="Arial"/>
        </w:rPr>
        <w:t xml:space="preserve">The other starch portion moves to Section 3, gelatinized at 80 °C with water, and mixed with PVA and glycerol. Filtration residues undergo acetone extraction, filtered and concentrated, then added to the biopolymer for antioxidant and antimicrobial properties. The mixture is dried at 70 °C to form the starch-based biopolymer film. In Section 4, pretreated seeds are freeze-dried to remove ~90% water, ground, and extracted with ethanol to isolate bioactive compounds. The liquid phase is filtered and concentrated via vacuum evaporation, removing up to 90% ethanol. The dry bioactive paste is emulsified with maltodextrin and gum </w:t>
      </w:r>
      <w:proofErr w:type="spellStart"/>
      <w:r w:rsidRPr="00390AC4">
        <w:rPr>
          <w:rFonts w:eastAsia="Arial"/>
        </w:rPr>
        <w:t>arabic</w:t>
      </w:r>
      <w:proofErr w:type="spellEnd"/>
      <w:r w:rsidRPr="00390AC4">
        <w:rPr>
          <w:rFonts w:eastAsia="Arial"/>
        </w:rPr>
        <w:t>, ethanol is added for agglomeration, and the mixture is spray-dried to obtain the final biocontrol agent.</w:t>
      </w:r>
    </w:p>
    <w:p w14:paraId="423B3126" w14:textId="3F88C70A" w:rsidR="00915A8D" w:rsidRPr="00915A8D" w:rsidRDefault="00DC4F4A" w:rsidP="007C26B7">
      <w:pPr>
        <w:pStyle w:val="CETBodytext"/>
        <w:spacing w:after="240"/>
        <w:jc w:val="center"/>
        <w:rPr>
          <w:rFonts w:eastAsia="Arial"/>
        </w:rPr>
      </w:pPr>
      <w:r w:rsidRPr="0020508E">
        <w:rPr>
          <w:noProof/>
        </w:rPr>
        <w:drawing>
          <wp:inline distT="0" distB="0" distL="0" distR="0" wp14:anchorId="719019D9" wp14:editId="165C4725">
            <wp:extent cx="3971459" cy="2028585"/>
            <wp:effectExtent l="19050" t="19050" r="10160" b="10160"/>
            <wp:docPr id="172038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0997" cy="2033457"/>
                    </a:xfrm>
                    <a:prstGeom prst="rect">
                      <a:avLst/>
                    </a:prstGeom>
                    <a:noFill/>
                    <a:ln>
                      <a:solidFill>
                        <a:schemeClr val="tx1"/>
                      </a:solidFill>
                    </a:ln>
                  </pic:spPr>
                </pic:pic>
              </a:graphicData>
            </a:graphic>
          </wp:inline>
        </w:drawing>
      </w:r>
    </w:p>
    <w:p w14:paraId="076BDE8D" w14:textId="45DD16CB" w:rsidR="000A0076" w:rsidRDefault="00385BE2" w:rsidP="00DC4F4A">
      <w:pPr>
        <w:rPr>
          <w:i/>
          <w:iCs/>
          <w:lang w:val="en-US"/>
        </w:rPr>
      </w:pPr>
      <w:r w:rsidRPr="004E05C0">
        <w:rPr>
          <w:rFonts w:eastAsia="Arial"/>
          <w:b/>
          <w:bCs/>
          <w:i/>
          <w:iCs/>
          <w:lang w:val="en-US"/>
        </w:rPr>
        <w:t xml:space="preserve">Figure </w:t>
      </w:r>
      <w:r w:rsidR="00651C37" w:rsidRPr="004E05C0">
        <w:rPr>
          <w:rFonts w:eastAsia="Arial"/>
          <w:b/>
          <w:bCs/>
          <w:i/>
          <w:iCs/>
          <w:lang w:val="en-US"/>
        </w:rPr>
        <w:t>1</w:t>
      </w:r>
      <w:r w:rsidRPr="004E05C0">
        <w:rPr>
          <w:rFonts w:eastAsia="Arial"/>
          <w:b/>
          <w:bCs/>
          <w:i/>
          <w:iCs/>
          <w:lang w:val="en-US"/>
        </w:rPr>
        <w:t>.</w:t>
      </w:r>
      <w:r w:rsidRPr="004E05C0">
        <w:rPr>
          <w:rFonts w:eastAsia="Arial"/>
          <w:i/>
          <w:iCs/>
          <w:lang w:val="en-US"/>
        </w:rPr>
        <w:t xml:space="preserve"> </w:t>
      </w:r>
      <w:r w:rsidR="00DC4F4A" w:rsidRPr="00427450">
        <w:rPr>
          <w:i/>
          <w:iCs/>
          <w:lang w:val="en-US"/>
        </w:rPr>
        <w:t>Process Flow Diagram of the Hass Avocado Waste Cascade Biorefinery.</w:t>
      </w:r>
    </w:p>
    <w:p w14:paraId="764434E7" w14:textId="2089F9F2" w:rsidR="004018A6" w:rsidRPr="004018A6" w:rsidRDefault="00F50049" w:rsidP="004018A6">
      <w:pPr>
        <w:spacing w:before="240"/>
        <w:rPr>
          <w:lang w:val="en-US"/>
        </w:rPr>
      </w:pPr>
      <w:r>
        <w:t xml:space="preserve">For the mass and energy extended balances, a </w:t>
      </w:r>
      <w:r w:rsidR="00407DC9" w:rsidRPr="00407DC9">
        <w:t xml:space="preserve">simulation was carried in Aspen Plus® V15, </w:t>
      </w:r>
      <w:r>
        <w:t>following</w:t>
      </w:r>
      <w:r w:rsidR="00407DC9" w:rsidRPr="00407DC9">
        <w:t xml:space="preserve"> </w:t>
      </w:r>
      <w:r>
        <w:t xml:space="preserve">the work of </w:t>
      </w:r>
      <w:r w:rsidR="00407DC9" w:rsidRPr="00407DC9">
        <w:t>Alviz-Meza et al., with Non-Random Two-Liquid (NRTL) model and Redlich-Kwong (RK) equation of state selected as thermodynamic package for liquid and vapor phase behaviour. Furthermore, unit models and operating conditions, were determined based on experimental data and literature values</w:t>
      </w:r>
      <w:r>
        <w:t xml:space="preserve"> </w:t>
      </w:r>
      <w:r w:rsidR="00407DC9" w:rsidRPr="00407DC9">
        <w:fldChar w:fldCharType="begin" w:fldLock="1"/>
      </w:r>
      <w:r w:rsidR="005276A0">
        <w:instrText>ADDIN CSL_CITATION {"citationItems":[{"id":"ITEM-1","itemData":{"DOI":"10.3303/CET25117012","ISBN":"9791281206175","ISSN":"22839216","abstract":"Colombia has established itself as a significant contributor to Hass avocado production; however, the supply chain predominantly focuses on marketing the pulp, thereby underutilizing by-products, such as the seed. This situation presents environmental challenges and overlooks potential economic opportunities within bioeconomy development. This study introduces a cascade biorefinery model designed to valorize avocado seed waste from Colombia's Amazon region, transforming it into high-value products, including starch and biodegradable biofilms. The methodology employed involves process simulation using Aspen Plus, with NRTL models for the liquid phase and the Redlich-Kwong model for the vapor phase, to model separation and reaction stages accurately. The biorefinery comprises three principal modules: (i) pretreatment and wet extraction, which produces 1.92 kg/h of starch comparable in composition to commercial avocado seed flours; (ii) a starch gelatinization process with glycerol, yielding 3.76 kg/h of type 1 biofilm; and (iii) a thermochemical and biotechnological process encompassing acid hydrolysis, lactic acid fermentation, and polymerization, resulting in polylactic acid. This PLA is subsequently combined with starch to generate 3.44 kg/h of type 2 biofilm. The entire process attains a 78.34% yield based on a waste input of 27.4 kg/h, thereby demonstrating efficient biomass recovery. The principal contribution of this research lies in showing, through detailed simulation, the technical feasibility of a multistep system that integrates physical, chemical, and biotechnological processes to produce functional bioproducts from agricultural waste. Unlike fragmented approaches, this cascade biorefinery optimizes resource utilization, broadens product diversity, and minimizes waste, thereby supporting sustainability and circular economy principles.","author":[{"dropping-particle":"","family":"Alviz-Meza","given":"Anibal","non-dropping-particle":"","parse-names":false,"suffix":""},{"dropping-particle":"","family":"Valdez-Valdes","given":"Stefany A.","non-dropping-particle":"","parse-names":false,"suffix":""},{"dropping-particle":"","family":"González-Delgado","given":"Ángel Darío","non-dropping-particle":"","parse-names":false,"suffix":""}],"container-title":"Chemical Engineering Transactions","id":"ITEM-1","issue":"December 2024","issued":{"date-parts":[["2025"]]},"page":"67-72","title":"Computer-Aided Simulation of a Cascade Biorefinery: Case Study of the Colombian Amazon’s Hass Avocado Waste","type":"article-journal","volume":"117"},"uris":["http://www.mendeley.com/documents/?uuid=51be4cf3-142d-4779-b514-092fbc01d64c"]}],"mendeley":{"formattedCitation":"(13)","plainTextFormattedCitation":"(13)","previouslyFormattedCitation":"(Alviz-Meza et al., 2025)"},"properties":{"noteIndex":0},"schema":"https://github.com/citation-style-language/schema/raw/master/csl-citation.json"}</w:instrText>
      </w:r>
      <w:r w:rsidR="00407DC9" w:rsidRPr="00407DC9">
        <w:fldChar w:fldCharType="separate"/>
      </w:r>
      <w:r w:rsidR="005276A0" w:rsidRPr="005276A0">
        <w:rPr>
          <w:noProof/>
        </w:rPr>
        <w:t>(13)</w:t>
      </w:r>
      <w:r w:rsidR="00407DC9" w:rsidRPr="00407DC9">
        <w:fldChar w:fldCharType="end"/>
      </w:r>
      <w:r w:rsidR="00407DC9" w:rsidRPr="00407DC9">
        <w:t>.</w:t>
      </w:r>
    </w:p>
    <w:p w14:paraId="407BABCB" w14:textId="77777777" w:rsidR="005C5E5B" w:rsidRPr="005C5E5B" w:rsidRDefault="005C5E5B" w:rsidP="005C5E5B">
      <w:pPr>
        <w:pStyle w:val="ListParagraph"/>
        <w:numPr>
          <w:ilvl w:val="0"/>
          <w:numId w:val="15"/>
        </w:numPr>
        <w:pBdr>
          <w:top w:val="nil"/>
          <w:left w:val="nil"/>
          <w:bottom w:val="nil"/>
          <w:right w:val="nil"/>
          <w:between w:val="nil"/>
        </w:pBdr>
        <w:contextualSpacing w:val="0"/>
        <w:rPr>
          <w:rFonts w:eastAsia="Arial" w:cs="Arial"/>
          <w:b/>
          <w:bCs/>
          <w:vanish/>
          <w:color w:val="000000"/>
          <w:szCs w:val="18"/>
          <w:lang w:val="en-US"/>
        </w:rPr>
      </w:pPr>
    </w:p>
    <w:p w14:paraId="68101012" w14:textId="77777777" w:rsidR="005C5E5B" w:rsidRPr="005C5E5B" w:rsidRDefault="005C5E5B" w:rsidP="005C5E5B">
      <w:pPr>
        <w:pStyle w:val="ListParagraph"/>
        <w:numPr>
          <w:ilvl w:val="0"/>
          <w:numId w:val="15"/>
        </w:numPr>
        <w:pBdr>
          <w:top w:val="nil"/>
          <w:left w:val="nil"/>
          <w:bottom w:val="nil"/>
          <w:right w:val="nil"/>
          <w:between w:val="nil"/>
        </w:pBdr>
        <w:contextualSpacing w:val="0"/>
        <w:rPr>
          <w:rFonts w:eastAsia="Arial" w:cs="Arial"/>
          <w:b/>
          <w:bCs/>
          <w:vanish/>
          <w:color w:val="000000"/>
          <w:szCs w:val="18"/>
          <w:lang w:val="en-US"/>
        </w:rPr>
      </w:pPr>
    </w:p>
    <w:p w14:paraId="401DD997" w14:textId="77777777" w:rsidR="005C5E5B" w:rsidRPr="005C5E5B" w:rsidRDefault="005C5E5B" w:rsidP="005C5E5B">
      <w:pPr>
        <w:pStyle w:val="ListParagraph"/>
        <w:numPr>
          <w:ilvl w:val="1"/>
          <w:numId w:val="15"/>
        </w:numPr>
        <w:pBdr>
          <w:top w:val="nil"/>
          <w:left w:val="nil"/>
          <w:bottom w:val="nil"/>
          <w:right w:val="nil"/>
          <w:between w:val="nil"/>
        </w:pBdr>
        <w:contextualSpacing w:val="0"/>
        <w:rPr>
          <w:rFonts w:eastAsia="Arial" w:cs="Arial"/>
          <w:b/>
          <w:bCs/>
          <w:vanish/>
          <w:color w:val="000000"/>
          <w:szCs w:val="18"/>
          <w:lang w:val="en-US"/>
        </w:rPr>
      </w:pPr>
    </w:p>
    <w:p w14:paraId="18E8484B" w14:textId="0239E074" w:rsidR="005C5E5B" w:rsidRDefault="00764073" w:rsidP="00A12FEB">
      <w:pPr>
        <w:pStyle w:val="CETheadingx"/>
        <w:numPr>
          <w:ilvl w:val="1"/>
          <w:numId w:val="19"/>
        </w:numPr>
        <w:rPr>
          <w:rFonts w:eastAsia="Arial"/>
        </w:rPr>
      </w:pPr>
      <w:r>
        <w:rPr>
          <w:rFonts w:eastAsia="Arial"/>
        </w:rPr>
        <w:t>E</w:t>
      </w:r>
      <w:r w:rsidR="00B36E3A">
        <w:rPr>
          <w:rFonts w:eastAsia="Arial"/>
        </w:rPr>
        <w:t>nvironmental analysis through WAR GUI</w:t>
      </w:r>
    </w:p>
    <w:p w14:paraId="78E616D8" w14:textId="69E09412" w:rsidR="009E5E8B" w:rsidRPr="00F95D9F" w:rsidRDefault="00D413BE" w:rsidP="00F95D9F">
      <w:pPr>
        <w:spacing w:after="240"/>
        <w:rPr>
          <w:rFonts w:cs="Arial"/>
          <w:szCs w:val="18"/>
        </w:rPr>
      </w:pPr>
      <w:r w:rsidRPr="00F17117">
        <w:rPr>
          <w:bCs/>
          <w:lang w:val="en-US"/>
        </w:rPr>
        <w:t xml:space="preserve">The environmental assessment of the </w:t>
      </w:r>
      <w:r w:rsidR="00BE0FD2">
        <w:rPr>
          <w:bCs/>
          <w:lang w:val="en-US"/>
        </w:rPr>
        <w:t xml:space="preserve">cascade biorefinery of interest </w:t>
      </w:r>
      <w:r w:rsidRPr="00F17117">
        <w:rPr>
          <w:bCs/>
          <w:lang w:val="en-US"/>
        </w:rPr>
        <w:t>was carried out using the WAR</w:t>
      </w:r>
      <w:r w:rsidR="007C26B7">
        <w:rPr>
          <w:bCs/>
          <w:lang w:val="en-US"/>
        </w:rPr>
        <w:t xml:space="preserve"> </w:t>
      </w:r>
      <w:r w:rsidRPr="00F17117">
        <w:rPr>
          <w:bCs/>
          <w:lang w:val="en-US"/>
        </w:rPr>
        <w:t>GUI</w:t>
      </w:r>
      <w:r w:rsidR="0012032D">
        <w:rPr>
          <w:bCs/>
          <w:lang w:val="en-US"/>
        </w:rPr>
        <w:t xml:space="preserve"> (graphical user interface)</w:t>
      </w:r>
      <w:r w:rsidRPr="00F17117">
        <w:rPr>
          <w:bCs/>
          <w:lang w:val="en-US"/>
        </w:rPr>
        <w:t xml:space="preserve"> software, which is based </w:t>
      </w:r>
      <w:r w:rsidR="00BE0FD2">
        <w:rPr>
          <w:bCs/>
          <w:lang w:val="en-US"/>
        </w:rPr>
        <w:t xml:space="preserve">on </w:t>
      </w:r>
      <w:r w:rsidRPr="00F17117">
        <w:rPr>
          <w:bCs/>
          <w:lang w:val="en-US"/>
        </w:rPr>
        <w:t xml:space="preserve">WAR. </w:t>
      </w:r>
      <w:r w:rsidR="00204A9B">
        <w:rPr>
          <w:rFonts w:cs="Arial"/>
          <w:szCs w:val="18"/>
        </w:rPr>
        <w:t xml:space="preserve">This software assesses the potential </w:t>
      </w:r>
      <w:r w:rsidR="00204A9B" w:rsidRPr="00D413BE">
        <w:rPr>
          <w:rFonts w:cs="Arial"/>
          <w:szCs w:val="18"/>
        </w:rPr>
        <w:t>E</w:t>
      </w:r>
      <w:r w:rsidR="00204A9B">
        <w:rPr>
          <w:rFonts w:cs="Arial"/>
          <w:szCs w:val="18"/>
        </w:rPr>
        <w:t>nvironmenta</w:t>
      </w:r>
      <w:r w:rsidR="00204A9B" w:rsidRPr="00D413BE">
        <w:rPr>
          <w:rFonts w:cs="Arial"/>
          <w:szCs w:val="18"/>
        </w:rPr>
        <w:t>l</w:t>
      </w:r>
      <w:r w:rsidR="0015354A" w:rsidRPr="00D413BE">
        <w:rPr>
          <w:rFonts w:cs="Arial"/>
          <w:szCs w:val="18"/>
        </w:rPr>
        <w:t xml:space="preserve"> </w:t>
      </w:r>
      <w:r w:rsidR="00204A9B">
        <w:rPr>
          <w:rFonts w:cs="Arial"/>
          <w:szCs w:val="18"/>
        </w:rPr>
        <w:t xml:space="preserve">impact done by a system, considering each </w:t>
      </w:r>
      <w:r w:rsidR="0015354A" w:rsidRPr="00D413BE">
        <w:rPr>
          <w:rFonts w:cs="Arial"/>
          <w:szCs w:val="18"/>
        </w:rPr>
        <w:t xml:space="preserve">mass and energy </w:t>
      </w:r>
      <w:r w:rsidR="00204A9B">
        <w:rPr>
          <w:rFonts w:cs="Arial"/>
          <w:szCs w:val="18"/>
        </w:rPr>
        <w:t xml:space="preserve">flow </w:t>
      </w:r>
      <w:r w:rsidR="0015354A" w:rsidRPr="00D413BE">
        <w:rPr>
          <w:rFonts w:cs="Arial"/>
          <w:szCs w:val="18"/>
        </w:rPr>
        <w:t xml:space="preserve">across those same boundaries (PEI balance) </w:t>
      </w:r>
      <w:r w:rsidR="0015354A" w:rsidRPr="00D413BE">
        <w:rPr>
          <w:rFonts w:cs="Arial"/>
          <w:szCs w:val="18"/>
        </w:rPr>
        <w:fldChar w:fldCharType="begin" w:fldLock="1"/>
      </w:r>
      <w:r w:rsidR="005276A0">
        <w:rPr>
          <w:rFonts w:cs="Arial"/>
          <w:szCs w:val="18"/>
        </w:rPr>
        <w:instrText>ADDIN CSL_CITATION {"citationItems":[{"id":"ITEM-1","itemData":{"DOI":"10.1016/S0098-1354(98)00298-1","ISSN":"00981354","abstract":"A general theory for the flow and the generation of potential environmental impact through a chemical process has been developed. The theory defines six potential environmental impact indexes that characterize the generation of potential impact within a process, and the output of potential impact from a process. The indexes are used to quantify pollution reduction and to develop pollution reducing changes to process flow sheets using process simulators. The potential environmental impacts are calculated from stream mass flow rates, stream composition, and a relative potential environmental impact score for each chemical present. The chemical impact scores include a comprehensive set of nine effects ranging from ozone depletion potential to human toxicity and ecotoxicity. The resulting waste reduction methodology or WAR algorithm is illustrated with two case studies using the chemical process simulator Chemcad III (Use does not imply USEPA endorsement or approval of Chemcad III).","author":[{"dropping-particle":"","family":"Cabezas","given":"Heriberto","non-dropping-particle":"","parse-names":false,"suffix":""},{"dropping-particle":"","family":"Bare","given":"Jane C.","non-dropping-particle":"","parse-names":false,"suffix":""},{"dropping-particle":"","family":"Mallick","given":"Subir K.","non-dropping-particle":"","parse-names":false,"suffix":""}],"container-title":"Computers and Chemical Engineering","id":"ITEM-1","issue":"4-5","issued":{"date-parts":[["1999"]]},"page":"623-634","title":"Pollution prevention with chemical process simulators: The generalized waste reduction (WAR) algorithm - Full version","type":"article-journal","volume":"23"},"uris":["http://www.mendeley.com/documents/?uuid=fffc2c53-009e-4823-a6b1-93f740a864b2"]}],"mendeley":{"formattedCitation":"(14)","plainTextFormattedCitation":"(14)","previouslyFormattedCitation":"(Cabezas et al., 1999)"},"properties":{"noteIndex":0},"schema":"https://github.com/citation-style-language/schema/raw/master/csl-citation.json"}</w:instrText>
      </w:r>
      <w:r w:rsidR="0015354A" w:rsidRPr="00D413BE">
        <w:rPr>
          <w:rFonts w:cs="Arial"/>
          <w:szCs w:val="18"/>
        </w:rPr>
        <w:fldChar w:fldCharType="separate"/>
      </w:r>
      <w:r w:rsidR="005276A0" w:rsidRPr="005276A0">
        <w:rPr>
          <w:rFonts w:cs="Arial"/>
          <w:noProof/>
          <w:szCs w:val="18"/>
        </w:rPr>
        <w:t>(14)</w:t>
      </w:r>
      <w:r w:rsidR="0015354A" w:rsidRPr="00D413BE">
        <w:rPr>
          <w:rFonts w:cs="Arial"/>
          <w:szCs w:val="18"/>
        </w:rPr>
        <w:fldChar w:fldCharType="end"/>
      </w:r>
      <w:r w:rsidR="0015354A" w:rsidRPr="00D413BE">
        <w:rPr>
          <w:rFonts w:cs="Arial"/>
          <w:szCs w:val="18"/>
        </w:rPr>
        <w:t xml:space="preserve">. </w:t>
      </w:r>
      <w:r w:rsidR="00250010">
        <w:rPr>
          <w:rFonts w:cs="Arial"/>
          <w:szCs w:val="18"/>
        </w:rPr>
        <w:t>From the balance,</w:t>
      </w:r>
      <w:r w:rsidR="00E2207C">
        <w:rPr>
          <w:rFonts w:cs="Arial"/>
          <w:szCs w:val="18"/>
        </w:rPr>
        <w:t xml:space="preserve"> the rate of emission (output PEI) and generation (consumption) are provided for a </w:t>
      </w:r>
      <w:r w:rsidR="00E2207C">
        <w:rPr>
          <w:rFonts w:cs="Arial"/>
          <w:szCs w:val="18"/>
        </w:rPr>
        <w:lastRenderedPageBreak/>
        <w:t>system.</w:t>
      </w:r>
      <w:r w:rsidR="008A6261">
        <w:rPr>
          <w:rFonts w:cs="Arial"/>
          <w:szCs w:val="18"/>
        </w:rPr>
        <w:t xml:space="preserve"> </w:t>
      </w:r>
      <w:r w:rsidR="008A6261">
        <w:rPr>
          <w:rFonts w:eastAsia="Arial" w:cs="Arial"/>
        </w:rPr>
        <w:t>For that reason, it</w:t>
      </w:r>
      <w:r w:rsidR="008A6261">
        <w:rPr>
          <w:rFonts w:eastAsia="Arial" w:cs="Arial"/>
        </w:rPr>
        <w:t xml:space="preserve"> is required to know </w:t>
      </w:r>
      <w:r w:rsidR="008A6261" w:rsidRPr="00204A9B">
        <w:rPr>
          <w:rFonts w:eastAsia="Arial" w:cs="Arial"/>
        </w:rPr>
        <w:t>the inputs and outputs of the process</w:t>
      </w:r>
      <w:r w:rsidR="00EF0237">
        <w:rPr>
          <w:rFonts w:eastAsia="Arial" w:cs="Arial"/>
        </w:rPr>
        <w:t xml:space="preserve"> (and its composition)</w:t>
      </w:r>
      <w:r w:rsidR="008A6261" w:rsidRPr="00204A9B">
        <w:rPr>
          <w:rFonts w:eastAsia="Arial" w:cs="Arial"/>
        </w:rPr>
        <w:t>,</w:t>
      </w:r>
      <w:r w:rsidR="008A6261">
        <w:rPr>
          <w:rFonts w:eastAsia="Arial" w:cs="Arial"/>
        </w:rPr>
        <w:t xml:space="preserve"> as well as </w:t>
      </w:r>
      <w:r w:rsidR="005A296E">
        <w:rPr>
          <w:rFonts w:eastAsia="Arial" w:cs="Arial"/>
        </w:rPr>
        <w:t>the</w:t>
      </w:r>
      <w:r w:rsidR="008A6261">
        <w:rPr>
          <w:rFonts w:eastAsia="Arial" w:cs="Arial"/>
        </w:rPr>
        <w:t xml:space="preserve"> energy required to its operation</w:t>
      </w:r>
      <w:r w:rsidR="005A296E">
        <w:rPr>
          <w:rFonts w:eastAsia="Arial" w:cs="Arial"/>
        </w:rPr>
        <w:t>. Additionally</w:t>
      </w:r>
      <w:r w:rsidR="008A6261" w:rsidRPr="00204A9B">
        <w:rPr>
          <w:rFonts w:eastAsia="Arial" w:cs="Arial"/>
        </w:rPr>
        <w:t xml:space="preserve">, </w:t>
      </w:r>
      <w:r w:rsidR="00B825E5">
        <w:rPr>
          <w:rFonts w:eastAsia="Arial" w:cs="Arial"/>
        </w:rPr>
        <w:t xml:space="preserve">flows entering and exiting the process need to be categorized as either </w:t>
      </w:r>
      <w:r w:rsidR="00B825E5" w:rsidRPr="00204A9B">
        <w:rPr>
          <w:rFonts w:eastAsia="Arial" w:cs="Arial"/>
        </w:rPr>
        <w:t>product</w:t>
      </w:r>
      <w:r w:rsidR="005A296E">
        <w:rPr>
          <w:rFonts w:eastAsia="Arial" w:cs="Arial"/>
        </w:rPr>
        <w:t xml:space="preserve">, </w:t>
      </w:r>
      <w:r w:rsidR="008A6261" w:rsidRPr="00204A9B">
        <w:rPr>
          <w:rFonts w:eastAsia="Arial" w:cs="Arial"/>
        </w:rPr>
        <w:t xml:space="preserve">raw material, </w:t>
      </w:r>
      <w:r w:rsidR="00B825E5">
        <w:rPr>
          <w:rFonts w:eastAsia="Arial" w:cs="Arial"/>
        </w:rPr>
        <w:t>or waste</w:t>
      </w:r>
      <w:r w:rsidR="00F95D9F">
        <w:rPr>
          <w:rFonts w:eastAsia="Arial" w:cs="Arial"/>
        </w:rPr>
        <w:t xml:space="preserve"> </w:t>
      </w:r>
      <w:r w:rsidR="000F1FC5">
        <w:rPr>
          <w:rFonts w:eastAsia="Arial" w:cs="Arial"/>
        </w:rPr>
        <w:fldChar w:fldCharType="begin" w:fldLock="1"/>
      </w:r>
      <w:r w:rsidR="005276A0">
        <w:rPr>
          <w:rFonts w:eastAsia="Arial" w:cs="Arial"/>
        </w:rPr>
        <w:instrText>ADDIN CSL_CITATION {"citationItems":[{"id":"ITEM-1","itemData":{"DOI":"10.3390/su142316185","ISSN":"20711050","abstract":"The North-Colombian region has enormous potential for producing bioproducts and bioenergy from agricultural residues. Yet, scaling bioproducts and bioenergy to industrial practice requires further investigation, especially for environmental impact minimization and improved process safety. This work assesses two alternatives for valorizing cassava residues via acetone, butanol, and ethanol (ABE) fermentation. Two ABE fermentation routes are assessed. In Route 1, pretreatment and purification involve dilute-acid pretreatment and multi-effect distillation and decantation operations, while Route 2 includes steam explosion and reactive distillation. Hazard Identification and Risk Assessment (HIRA) and Waste Reduction Algorithm (WAR) were applied to assess ABE fermentation. Simulation results indicate butanol yields of 0.10–0.12 kg/kg feedstock and net energy ratio (NER) &lt;1. Route 2 shows the highest total output of Potential Environmental Impacts (PEI) with 5.56 PEI/kg butanol. Both ABE fermentation routes obtained Fire and Explosion Damage Index (FEDI) values above 300 for acetone and ethanol recovery/purification stages. Both routes are classified as “hazardous” considering the flammability of handled substances, and their relative safety performance is remarkably similar. These results pave the way toward deploying both routes for adding value to the cassava residues in North Colombia by applying safe, efficient, and environmentally friendly transformation technologies.","author":[{"dropping-particle":"","family":"Meramo","given":"Samir","non-dropping-particle":"","parse-names":false,"suffix":""},{"dropping-particle":"","family":"Gonzalez-Quiroga","given":"Arturo","non-dropping-particle":"","parse-names":false,"suffix":""},{"dropping-particle":"","family":"Gonzalez-Delgado","given":"Angel","non-dropping-particle":"","parse-names":false,"suffix":""}],"container-title":"Sustainability (Switzerland)","id":"ITEM-1","issue":"23","issued":{"date-parts":[["2022"]]},"title":"Technical, Environmental, and Process Safety Assessment of Acetone-Butanol-Ethanol Fermentation of Cassava Residues","type":"article-journal","volume":"14"},"uris":["http://www.mendeley.com/documents/?uuid=842bdddd-cf10-4e2f-bacf-8d8f7812bffd"]}],"mendeley":{"formattedCitation":"(15)","plainTextFormattedCitation":"(15)","previouslyFormattedCitation":"(S. Meramo et al., 2022)"},"properties":{"noteIndex":0},"schema":"https://github.com/citation-style-language/schema/raw/master/csl-citation.json"}</w:instrText>
      </w:r>
      <w:r w:rsidR="000F1FC5">
        <w:rPr>
          <w:rFonts w:eastAsia="Arial" w:cs="Arial"/>
        </w:rPr>
        <w:fldChar w:fldCharType="separate"/>
      </w:r>
      <w:r w:rsidR="005276A0" w:rsidRPr="005276A0">
        <w:rPr>
          <w:rFonts w:eastAsia="Arial" w:cs="Arial"/>
          <w:noProof/>
        </w:rPr>
        <w:t>(15)</w:t>
      </w:r>
      <w:r w:rsidR="000F1FC5">
        <w:rPr>
          <w:rFonts w:eastAsia="Arial" w:cs="Arial"/>
        </w:rPr>
        <w:fldChar w:fldCharType="end"/>
      </w:r>
      <w:r w:rsidR="000F1FC5">
        <w:rPr>
          <w:rFonts w:eastAsia="Arial" w:cs="Arial"/>
        </w:rPr>
        <w:t>.</w:t>
      </w:r>
      <w:r w:rsidR="005276A0">
        <w:rPr>
          <w:rFonts w:cs="Arial"/>
          <w:szCs w:val="18"/>
        </w:rPr>
        <w:t xml:space="preserve"> </w:t>
      </w:r>
      <w:r w:rsidR="00E2207C">
        <w:rPr>
          <w:rFonts w:cs="Arial"/>
          <w:szCs w:val="18"/>
        </w:rPr>
        <w:t>Furthermore, the software offers 8 categories of impact to assess the process, divided into toxicologically and atmospherically</w:t>
      </w:r>
      <w:r w:rsidR="009E5E8B">
        <w:rPr>
          <w:rFonts w:cs="Arial"/>
          <w:szCs w:val="18"/>
        </w:rPr>
        <w:t xml:space="preserve">, both based on chemical properties substances. The first includes: human impact, </w:t>
      </w:r>
      <w:r w:rsidR="009E5E8B" w:rsidRPr="00D413BE">
        <w:rPr>
          <w:rFonts w:cs="Arial"/>
          <w:lang w:val="en-US"/>
        </w:rPr>
        <w:t>Human Toxicity Potential by Ingestion (HTPI)</w:t>
      </w:r>
      <w:r w:rsidR="009E5E8B">
        <w:rPr>
          <w:rFonts w:cs="Arial"/>
          <w:lang w:val="en-US"/>
        </w:rPr>
        <w:t xml:space="preserve"> based on </w:t>
      </w:r>
      <w:r w:rsidR="009E5E8B">
        <w:rPr>
          <w:rFonts w:eastAsia="Arial"/>
          <w:lang w:val="en-US"/>
        </w:rPr>
        <w:t>a</w:t>
      </w:r>
      <w:r w:rsidR="009E5E8B" w:rsidRPr="00953932">
        <w:rPr>
          <w:rFonts w:eastAsia="Arial"/>
        </w:rPr>
        <w:t xml:space="preserve">cute oral lethal dose </w:t>
      </w:r>
      <w:r w:rsidR="009E5E8B" w:rsidRPr="00D413BE">
        <w:rPr>
          <w:rFonts w:cs="Arial"/>
          <w:szCs w:val="18"/>
        </w:rPr>
        <w:t>(LD</w:t>
      </w:r>
      <w:r w:rsidR="009E5E8B" w:rsidRPr="00D413BE">
        <w:rPr>
          <w:rFonts w:cs="Arial"/>
          <w:szCs w:val="18"/>
          <w:vertAlign w:val="subscript"/>
        </w:rPr>
        <w:t>50</w:t>
      </w:r>
      <w:r w:rsidR="009E5E8B" w:rsidRPr="00D413BE">
        <w:rPr>
          <w:rFonts w:cs="Arial"/>
          <w:szCs w:val="18"/>
        </w:rPr>
        <w:t>)</w:t>
      </w:r>
      <w:r w:rsidR="009E5E8B">
        <w:rPr>
          <w:rFonts w:cs="Arial"/>
          <w:szCs w:val="18"/>
        </w:rPr>
        <w:t xml:space="preserve">; </w:t>
      </w:r>
      <w:r w:rsidR="009E5E8B" w:rsidRPr="00D413BE">
        <w:rPr>
          <w:rFonts w:cs="Arial"/>
          <w:szCs w:val="18"/>
        </w:rPr>
        <w:t>Human Toxicity Potential by Inhalation or Dermal Exposure (HTPE)</w:t>
      </w:r>
      <w:r w:rsidR="009E5E8B">
        <w:rPr>
          <w:rFonts w:cs="Arial"/>
          <w:szCs w:val="18"/>
        </w:rPr>
        <w:t xml:space="preserve"> estimated by </w:t>
      </w:r>
      <w:r w:rsidR="009E5E8B" w:rsidRPr="00D413BE">
        <w:rPr>
          <w:rFonts w:cs="Arial"/>
          <w:szCs w:val="18"/>
        </w:rPr>
        <w:t>Threshold Limit Values (TLV)</w:t>
      </w:r>
      <w:r w:rsidR="009E5E8B">
        <w:rPr>
          <w:rFonts w:cs="Arial"/>
          <w:szCs w:val="18"/>
        </w:rPr>
        <w:t>. Ecological impact,</w:t>
      </w:r>
      <w:r w:rsidR="002D66E6">
        <w:rPr>
          <w:rFonts w:cs="Arial"/>
          <w:szCs w:val="18"/>
        </w:rPr>
        <w:t xml:space="preserve"> </w:t>
      </w:r>
      <w:r w:rsidR="008A6261">
        <w:rPr>
          <w:rFonts w:cs="Arial"/>
          <w:szCs w:val="18"/>
        </w:rPr>
        <w:t>which</w:t>
      </w:r>
      <w:r w:rsidR="002D66E6">
        <w:rPr>
          <w:rFonts w:cs="Arial"/>
          <w:szCs w:val="18"/>
        </w:rPr>
        <w:t xml:space="preserve"> consists in the </w:t>
      </w:r>
      <w:r w:rsidR="009E5E8B" w:rsidRPr="00D413BE">
        <w:rPr>
          <w:rFonts w:cs="Arial"/>
          <w:szCs w:val="18"/>
        </w:rPr>
        <w:t>Aquatic Toxicity Potential (ATP)</w:t>
      </w:r>
      <w:r w:rsidR="009E5E8B">
        <w:rPr>
          <w:rFonts w:cs="Arial"/>
          <w:szCs w:val="18"/>
        </w:rPr>
        <w:t xml:space="preserve"> quantified by </w:t>
      </w:r>
      <w:r w:rsidR="009E5E8B" w:rsidRPr="009E5E8B">
        <w:rPr>
          <w:rFonts w:cs="Arial"/>
          <w:szCs w:val="18"/>
        </w:rPr>
        <w:t xml:space="preserve">the </w:t>
      </w:r>
      <w:r w:rsidR="009E5E8B" w:rsidRPr="009E5E8B">
        <w:rPr>
          <w:rFonts w:eastAsia="Arial" w:cs="Arial"/>
          <w:szCs w:val="18"/>
        </w:rPr>
        <w:t>Lethal concentration</w:t>
      </w:r>
      <w:r w:rsidR="009E5E8B">
        <w:rPr>
          <w:rFonts w:cs="Arial"/>
          <w:szCs w:val="18"/>
        </w:rPr>
        <w:t xml:space="preserve"> (</w:t>
      </w:r>
      <w:r w:rsidR="009E5E8B" w:rsidRPr="00D413BE">
        <w:rPr>
          <w:rFonts w:cs="Arial"/>
          <w:szCs w:val="18"/>
        </w:rPr>
        <w:t>LC</w:t>
      </w:r>
      <w:r w:rsidR="009E5E8B" w:rsidRPr="00D413BE">
        <w:rPr>
          <w:rFonts w:cs="Arial"/>
          <w:szCs w:val="18"/>
          <w:vertAlign w:val="subscript"/>
        </w:rPr>
        <w:t>50</w:t>
      </w:r>
      <w:r w:rsidR="009E5E8B">
        <w:rPr>
          <w:rFonts w:cs="Arial"/>
          <w:szCs w:val="18"/>
        </w:rPr>
        <w:t>)</w:t>
      </w:r>
      <w:r w:rsidR="002D66E6">
        <w:rPr>
          <w:rFonts w:cs="Arial"/>
          <w:szCs w:val="18"/>
        </w:rPr>
        <w:t xml:space="preserve"> and </w:t>
      </w:r>
      <w:r w:rsidR="009E5E8B" w:rsidRPr="00D413BE">
        <w:rPr>
          <w:rFonts w:cs="Arial"/>
          <w:szCs w:val="18"/>
        </w:rPr>
        <w:t>Terrestrial Toxicity Potential (</w:t>
      </w:r>
      <w:r w:rsidR="009E5E8B" w:rsidRPr="009E5E8B">
        <w:rPr>
          <w:rFonts w:cs="Arial"/>
          <w:szCs w:val="18"/>
        </w:rPr>
        <w:t>TTP)</w:t>
      </w:r>
      <w:r w:rsidR="009E5E8B" w:rsidRPr="009E5E8B">
        <w:rPr>
          <w:rFonts w:cs="Arial"/>
          <w:szCs w:val="18"/>
        </w:rPr>
        <w:t xml:space="preserve">, also based on the </w:t>
      </w:r>
      <w:r w:rsidR="009E5E8B" w:rsidRPr="009E5E8B">
        <w:rPr>
          <w:rFonts w:eastAsia="Arial" w:cs="Arial"/>
          <w:szCs w:val="18"/>
        </w:rPr>
        <w:t>a</w:t>
      </w:r>
      <w:r w:rsidR="009E5E8B" w:rsidRPr="009E5E8B">
        <w:rPr>
          <w:rFonts w:eastAsia="Arial" w:cs="Arial"/>
          <w:szCs w:val="18"/>
        </w:rPr>
        <w:t xml:space="preserve">cute oral lethal dose </w:t>
      </w:r>
      <w:r w:rsidR="009E5E8B" w:rsidRPr="009E5E8B">
        <w:rPr>
          <w:rFonts w:eastAsia="Arial" w:cs="Arial"/>
          <w:szCs w:val="18"/>
        </w:rPr>
        <w:t>(</w:t>
      </w:r>
      <w:r w:rsidR="009E5E8B" w:rsidRPr="009E5E8B">
        <w:rPr>
          <w:rFonts w:cs="Arial"/>
          <w:szCs w:val="18"/>
        </w:rPr>
        <w:t>LD</w:t>
      </w:r>
      <w:r w:rsidR="009E5E8B" w:rsidRPr="009E5E8B">
        <w:rPr>
          <w:rFonts w:cs="Arial"/>
          <w:szCs w:val="18"/>
          <w:vertAlign w:val="subscript"/>
        </w:rPr>
        <w:t>50</w:t>
      </w:r>
      <w:r w:rsidR="009E5E8B">
        <w:rPr>
          <w:rFonts w:cs="Arial"/>
          <w:szCs w:val="18"/>
        </w:rPr>
        <w:t>)</w:t>
      </w:r>
      <w:r w:rsidR="000F1FC5" w:rsidRPr="000F1FC5">
        <w:rPr>
          <w:rFonts w:cs="Arial"/>
          <w:szCs w:val="18"/>
        </w:rPr>
        <w:t xml:space="preserve"> </w:t>
      </w:r>
      <w:r w:rsidR="000F1FC5">
        <w:rPr>
          <w:rFonts w:cs="Arial"/>
          <w:szCs w:val="18"/>
        </w:rPr>
        <w:fldChar w:fldCharType="begin" w:fldLock="1"/>
      </w:r>
      <w:r w:rsidR="005276A0">
        <w:rPr>
          <w:rFonts w:cs="Arial"/>
          <w:szCs w:val="18"/>
        </w:rPr>
        <w:instrText>ADDIN CSL_CITATION {"citationItems":[{"id":"ITEM-1","itemData":{"DOI":"10.3303/CET1870333","ISBN":"9788895608679","ISSN":"22839216","abstract":"Hydrogen production process is one of the most coveted today, thanks to its multiple uses in the industry. It can be obtained through various methods, such as: electrolysis, reforming, biological methods and gasification. The production of hydrogen by this generations method begins with a natural gas feed stream, which requires a series of treatments where process equipment with associated an energy consumption is usually implemented. In addition, effluents, such as combustion waste gases, unreacted compounds, among others, are emitted into the environment. In the order to carry out the global analysis the hydrogen generation process, a simulation software was implemented, which allowed us to obtain operation process data. These processes usually tend to have certain impacts on the environment; In order to analyze this, an environmental assessment was executed in the WARGUI software that uses the waste reduction algorithm to quantify the total environmental impacts generated and outputted in the Hydrogen unit in two different topologies, the first is based on the actual configuration of a unit in a Latin American refinery where an external energy source is not needed because the residual combustion gases of the reformer are used in steam generation and heating other streams, for this the environmental analysis was carried out with two case studies. The second on is a hypothetical configuration in which 4 case studies were made, including a variation in the energy source. For both topologies 8 impact categories were evaluated.","author":[{"dropping-particle":"","family":"Herrera-Aristizábal","given":"Rosa","non-dropping-particle":"","parse-names":false,"suffix":""},{"dropping-particle":"","family":"Salgado-Dueñas","given":"Juan Sebastian","non-dropping-particle":"","parse-names":false,"suffix":""},{"dropping-particle":"","family":"Peralta-Ruiz","given":"Yeimmy","non-dropping-particle":"","parse-names":false,"suffix":""},{"dropping-particle":"","family":"Leal-Navarro","given":"Jaime","non-dropping-particle":"","parse-names":false,"suffix":""},{"dropping-particle":"","family":"González-Delgado","given":"Ángel Darío","non-dropping-particle":"","parse-names":false,"suffix":""}],"container-title":"Chemical Engineering Transactions","id":"ITEM-1","issued":{"date-parts":[["2018"]]},"page":"1993-1998","title":"Environmental evaluation of the potential impacts generated by a refinery unit for hydrogen production from natural gas","type":"article-journal","volume":"70"},"uris":["http://www.mendeley.com/documents/?uuid=b1cf013a-4e80-4f85-9516-b3758e8335c6"]}],"mendeley":{"formattedCitation":"(16)","plainTextFormattedCitation":"(16)","previouslyFormattedCitation":"(Herrera-Aristizábal et al., 2018)"},"properties":{"noteIndex":0},"schema":"https://github.com/citation-style-language/schema/raw/master/csl-citation.json"}</w:instrText>
      </w:r>
      <w:r w:rsidR="000F1FC5">
        <w:rPr>
          <w:rFonts w:cs="Arial"/>
          <w:szCs w:val="18"/>
        </w:rPr>
        <w:fldChar w:fldCharType="separate"/>
      </w:r>
      <w:r w:rsidR="005276A0" w:rsidRPr="005276A0">
        <w:rPr>
          <w:rFonts w:cs="Arial"/>
          <w:noProof/>
          <w:szCs w:val="18"/>
        </w:rPr>
        <w:t>(16)</w:t>
      </w:r>
      <w:r w:rsidR="000F1FC5">
        <w:rPr>
          <w:rFonts w:cs="Arial"/>
          <w:szCs w:val="18"/>
        </w:rPr>
        <w:fldChar w:fldCharType="end"/>
      </w:r>
      <w:r w:rsidR="00F95D9F">
        <w:rPr>
          <w:rFonts w:cs="Arial"/>
          <w:szCs w:val="18"/>
        </w:rPr>
        <w:t>.</w:t>
      </w:r>
    </w:p>
    <w:p w14:paraId="474587EB" w14:textId="3CDF0137" w:rsidR="008A6261" w:rsidRPr="005276A0" w:rsidRDefault="002D66E6" w:rsidP="005276A0">
      <w:pPr>
        <w:pStyle w:val="CETBodytext"/>
        <w:spacing w:before="240" w:after="240"/>
        <w:rPr>
          <w:rFonts w:eastAsia="Arial"/>
          <w:lang w:val="en-GB"/>
        </w:rPr>
      </w:pPr>
      <w:r>
        <w:rPr>
          <w:rFonts w:cs="Arial"/>
          <w:iCs/>
          <w:szCs w:val="18"/>
        </w:rPr>
        <w:t>Similarly, t</w:t>
      </w:r>
      <w:r w:rsidR="00E2207C" w:rsidRPr="00D413BE">
        <w:rPr>
          <w:rFonts w:cs="Arial"/>
          <w:iCs/>
          <w:szCs w:val="18"/>
        </w:rPr>
        <w:t xml:space="preserve">he </w:t>
      </w:r>
      <w:r>
        <w:rPr>
          <w:rFonts w:cs="Arial"/>
          <w:iCs/>
          <w:szCs w:val="18"/>
        </w:rPr>
        <w:t>second</w:t>
      </w:r>
      <w:r w:rsidR="00E2207C" w:rsidRPr="00D413BE">
        <w:rPr>
          <w:rFonts w:cs="Arial"/>
          <w:iCs/>
          <w:szCs w:val="18"/>
        </w:rPr>
        <w:t xml:space="preserve"> categor</w:t>
      </w:r>
      <w:r>
        <w:rPr>
          <w:rFonts w:cs="Arial"/>
          <w:iCs/>
          <w:szCs w:val="18"/>
        </w:rPr>
        <w:t>y</w:t>
      </w:r>
      <w:r w:rsidR="00E2207C" w:rsidRPr="00D413BE">
        <w:rPr>
          <w:rFonts w:cs="Arial"/>
          <w:iCs/>
          <w:szCs w:val="18"/>
        </w:rPr>
        <w:t xml:space="preserve"> </w:t>
      </w:r>
      <w:r w:rsidRPr="00D413BE">
        <w:rPr>
          <w:rFonts w:cs="Arial"/>
          <w:iCs/>
          <w:szCs w:val="18"/>
        </w:rPr>
        <w:t>is</w:t>
      </w:r>
      <w:r w:rsidR="00E2207C" w:rsidRPr="00D413BE">
        <w:rPr>
          <w:rFonts w:cs="Arial"/>
          <w:iCs/>
          <w:szCs w:val="18"/>
        </w:rPr>
        <w:t xml:space="preserve"> </w:t>
      </w:r>
      <w:r>
        <w:rPr>
          <w:rFonts w:cs="Arial"/>
          <w:iCs/>
          <w:szCs w:val="18"/>
        </w:rPr>
        <w:t>sub</w:t>
      </w:r>
      <w:r w:rsidR="00E2207C" w:rsidRPr="00D413BE">
        <w:rPr>
          <w:rFonts w:cs="Arial"/>
          <w:iCs/>
          <w:szCs w:val="18"/>
        </w:rPr>
        <w:t>divi</w:t>
      </w:r>
      <w:r>
        <w:rPr>
          <w:rFonts w:cs="Arial"/>
          <w:iCs/>
          <w:szCs w:val="18"/>
        </w:rPr>
        <w:t>ded into two subcategories</w:t>
      </w:r>
      <w:r w:rsidR="00E2207C" w:rsidRPr="00D413BE">
        <w:rPr>
          <w:rFonts w:cs="Arial"/>
          <w:iCs/>
          <w:szCs w:val="18"/>
        </w:rPr>
        <w:t>, two of which are global and the other are local. The first</w:t>
      </w:r>
      <w:r>
        <w:rPr>
          <w:rFonts w:cs="Arial"/>
          <w:iCs/>
          <w:szCs w:val="18"/>
        </w:rPr>
        <w:t xml:space="preserve"> includes </w:t>
      </w:r>
      <w:r w:rsidR="00E2207C" w:rsidRPr="00D413BE">
        <w:rPr>
          <w:rFonts w:cs="Arial"/>
          <w:iCs/>
          <w:szCs w:val="18"/>
        </w:rPr>
        <w:t xml:space="preserve">the Global Warning Potential (GWP) </w:t>
      </w:r>
      <w:r>
        <w:rPr>
          <w:rFonts w:cs="Arial"/>
          <w:iCs/>
          <w:szCs w:val="18"/>
        </w:rPr>
        <w:t>measuring carbon emissions (a</w:t>
      </w:r>
      <w:r w:rsidRPr="00D413BE">
        <w:rPr>
          <w:rFonts w:cs="Arial"/>
          <w:iCs/>
          <w:szCs w:val="18"/>
        </w:rPr>
        <w:t>CO</w:t>
      </w:r>
      <w:r w:rsidRPr="00D413BE">
        <w:rPr>
          <w:rFonts w:cs="Arial"/>
          <w:iCs/>
          <w:szCs w:val="18"/>
          <w:vertAlign w:val="subscript"/>
        </w:rPr>
        <w:t>2</w:t>
      </w:r>
      <w:r>
        <w:rPr>
          <w:rFonts w:cs="Arial"/>
          <w:iCs/>
          <w:szCs w:val="18"/>
        </w:rPr>
        <w:t xml:space="preserve">) and the </w:t>
      </w:r>
      <w:r w:rsidR="00E2207C" w:rsidRPr="00D413BE">
        <w:rPr>
          <w:rFonts w:cs="Arial"/>
          <w:szCs w:val="18"/>
        </w:rPr>
        <w:t xml:space="preserve">Ozone Depletion Potential (ODP) </w:t>
      </w:r>
      <w:r w:rsidRPr="002D66E6">
        <w:rPr>
          <w:rFonts w:eastAsia="Arial" w:cs="Arial"/>
          <w:lang w:val="en-GB"/>
        </w:rPr>
        <w:t>that measure Ozone concentration</w:t>
      </w:r>
      <w:r>
        <w:rPr>
          <w:rFonts w:eastAsia="Arial" w:cs="Arial"/>
          <w:lang w:val="en-GB"/>
        </w:rPr>
        <w:t>. The locals consist in t</w:t>
      </w:r>
      <w:r w:rsidR="00E2207C" w:rsidRPr="00D413BE">
        <w:rPr>
          <w:rFonts w:cs="Arial"/>
          <w:snapToGrid w:val="0"/>
          <w:color w:val="000000"/>
          <w:szCs w:val="18"/>
          <w:lang w:eastAsia="de-DE" w:bidi="en-US"/>
        </w:rPr>
        <w:t xml:space="preserve">he </w:t>
      </w:r>
      <w:r w:rsidR="00E2207C" w:rsidRPr="00D413BE">
        <w:rPr>
          <w:rFonts w:cs="Arial"/>
          <w:szCs w:val="18"/>
          <w:lang w:bidi="en-US"/>
        </w:rPr>
        <w:t xml:space="preserve">Photochemical Oxidation Potential (PCOP) </w:t>
      </w:r>
      <w:r>
        <w:rPr>
          <w:rFonts w:cs="Arial"/>
          <w:szCs w:val="18"/>
        </w:rPr>
        <w:t>and the a</w:t>
      </w:r>
      <w:r w:rsidRPr="00D413BE">
        <w:rPr>
          <w:rFonts w:cs="Arial"/>
          <w:szCs w:val="18"/>
        </w:rPr>
        <w:t xml:space="preserve">cidification Potential </w:t>
      </w:r>
      <w:r w:rsidR="00A37AA5">
        <w:rPr>
          <w:rFonts w:cs="Arial"/>
          <w:szCs w:val="18"/>
        </w:rPr>
        <w:t>(</w:t>
      </w:r>
      <w:r w:rsidRPr="00D413BE">
        <w:rPr>
          <w:rFonts w:cs="Arial"/>
          <w:szCs w:val="18"/>
        </w:rPr>
        <w:t>AP)</w:t>
      </w:r>
      <w:r>
        <w:rPr>
          <w:rFonts w:cs="Arial"/>
          <w:szCs w:val="18"/>
        </w:rPr>
        <w:t xml:space="preserve">, </w:t>
      </w:r>
      <w:r w:rsidR="008A6261">
        <w:rPr>
          <w:rFonts w:cs="Arial"/>
          <w:szCs w:val="18"/>
        </w:rPr>
        <w:t>estimated by the emission rate of (OH</w:t>
      </w:r>
      <w:r w:rsidR="008A6261">
        <w:rPr>
          <w:rFonts w:cs="Arial"/>
          <w:szCs w:val="18"/>
          <w:vertAlign w:val="superscript"/>
        </w:rPr>
        <w:t>-</w:t>
      </w:r>
      <w:r w:rsidR="008A6261">
        <w:rPr>
          <w:rFonts w:cs="Arial"/>
          <w:szCs w:val="18"/>
        </w:rPr>
        <w:t>) and (H</w:t>
      </w:r>
      <w:r w:rsidR="008A6261">
        <w:rPr>
          <w:rFonts w:cs="Arial"/>
          <w:szCs w:val="18"/>
          <w:vertAlign w:val="superscript"/>
        </w:rPr>
        <w:t>+</w:t>
      </w:r>
      <w:r w:rsidR="008A6261">
        <w:rPr>
          <w:rFonts w:cs="Arial"/>
          <w:szCs w:val="18"/>
        </w:rPr>
        <w:t>) of the substance to ethylene and SO</w:t>
      </w:r>
      <w:r w:rsidR="008A6261">
        <w:rPr>
          <w:rFonts w:cs="Arial"/>
          <w:szCs w:val="18"/>
          <w:vertAlign w:val="subscript"/>
        </w:rPr>
        <w:t>2</w:t>
      </w:r>
      <w:r w:rsidR="008A6261">
        <w:rPr>
          <w:rFonts w:cs="Arial"/>
          <w:szCs w:val="18"/>
        </w:rPr>
        <w:t>, respectively.</w:t>
      </w:r>
      <w:r w:rsidR="00A37AA5">
        <w:rPr>
          <w:rFonts w:cs="Arial"/>
          <w:szCs w:val="18"/>
        </w:rPr>
        <w:t xml:space="preserve"> </w:t>
      </w:r>
      <w:r w:rsidR="00A37AA5">
        <w:rPr>
          <w:rFonts w:eastAsia="Arial"/>
        </w:rPr>
        <w:t>The software has a database for common substances, and its properties are required to quantify the categories mentioned, which are selected considering the compounds of interest in the biorefinery</w:t>
      </w:r>
      <w:r w:rsidR="00F95D9F">
        <w:rPr>
          <w:rFonts w:eastAsia="Arial"/>
        </w:rPr>
        <w:t xml:space="preserve"> </w:t>
      </w:r>
      <w:r w:rsidR="00F95D9F">
        <w:rPr>
          <w:rFonts w:cs="Arial"/>
          <w:szCs w:val="18"/>
        </w:rPr>
        <w:fldChar w:fldCharType="begin" w:fldLock="1"/>
      </w:r>
      <w:r w:rsidR="005276A0">
        <w:rPr>
          <w:rFonts w:cs="Arial"/>
          <w:szCs w:val="18"/>
        </w:rPr>
        <w:instrText>ADDIN CSL_CITATION {"citationItems":[{"id":"ITEM-1","itemData":{"DOI":"10.3303/CET1870333","ISBN":"9788895608679","ISSN":"22839216","abstract":"Hydrogen production process is one of the most coveted today, thanks to its multiple uses in the industry. It can be obtained through various methods, such as: electrolysis, reforming, biological methods and gasification. The production of hydrogen by this generations method begins with a natural gas feed stream, which requires a series of treatments where process equipment with associated an energy consumption is usually implemented. In addition, effluents, such as combustion waste gases, unreacted compounds, among others, are emitted into the environment. In the order to carry out the global analysis the hydrogen generation process, a simulation software was implemented, which allowed us to obtain operation process data. These processes usually tend to have certain impacts on the environment; In order to analyze this, an environmental assessment was executed in the WARGUI software that uses the waste reduction algorithm to quantify the total environmental impacts generated and outputted in the Hydrogen unit in two different topologies, the first is based on the actual configuration of a unit in a Latin American refinery where an external energy source is not needed because the residual combustion gases of the reformer are used in steam generation and heating other streams, for this the environmental analysis was carried out with two case studies. The second on is a hypothetical configuration in which 4 case studies were made, including a variation in the energy source. For both topologies 8 impact categories were evaluated.","author":[{"dropping-particle":"","family":"Herrera-Aristizábal","given":"Rosa","non-dropping-particle":"","parse-names":false,"suffix":""},{"dropping-particle":"","family":"Salgado-Dueñas","given":"Juan Sebastian","non-dropping-particle":"","parse-names":false,"suffix":""},{"dropping-particle":"","family":"Peralta-Ruiz","given":"Yeimmy","non-dropping-particle":"","parse-names":false,"suffix":""},{"dropping-particle":"","family":"Leal-Navarro","given":"Jaime","non-dropping-particle":"","parse-names":false,"suffix":""},{"dropping-particle":"","family":"González-Delgado","given":"Ángel Darío","non-dropping-particle":"","parse-names":false,"suffix":""}],"container-title":"Chemical Engineering Transactions","id":"ITEM-1","issued":{"date-parts":[["2018"]]},"page":"1993-1998","title":"Environmental evaluation of the potential impacts generated by a refinery unit for hydrogen production from natural gas","type":"article-journal","volume":"70"},"uris":["http://www.mendeley.com/documents/?uuid=b1cf013a-4e80-4f85-9516-b3758e8335c6"]}],"mendeley":{"formattedCitation":"(16)","plainTextFormattedCitation":"(16)","previouslyFormattedCitation":"(Herrera-Aristizábal et al., 2018)"},"properties":{"noteIndex":0},"schema":"https://github.com/citation-style-language/schema/raw/master/csl-citation.json"}</w:instrText>
      </w:r>
      <w:r w:rsidR="00F95D9F">
        <w:rPr>
          <w:rFonts w:cs="Arial"/>
          <w:szCs w:val="18"/>
        </w:rPr>
        <w:fldChar w:fldCharType="separate"/>
      </w:r>
      <w:r w:rsidR="005276A0" w:rsidRPr="005276A0">
        <w:rPr>
          <w:rFonts w:cs="Arial"/>
          <w:noProof/>
          <w:szCs w:val="18"/>
        </w:rPr>
        <w:t>(16)</w:t>
      </w:r>
      <w:r w:rsidR="00F95D9F">
        <w:rPr>
          <w:rFonts w:cs="Arial"/>
          <w:szCs w:val="18"/>
        </w:rPr>
        <w:fldChar w:fldCharType="end"/>
      </w:r>
      <w:r w:rsidR="00A37AA5">
        <w:rPr>
          <w:rFonts w:eastAsia="Arial"/>
        </w:rPr>
        <w:t xml:space="preserve">. </w:t>
      </w:r>
      <w:r w:rsidR="00A37AA5">
        <w:rPr>
          <w:rFonts w:eastAsia="Arial"/>
          <w:lang w:val="en-GB"/>
        </w:rPr>
        <w:t>However</w:t>
      </w:r>
      <w:r w:rsidR="00A37AA5" w:rsidRPr="00953932">
        <w:rPr>
          <w:rFonts w:eastAsia="Arial"/>
          <w:lang w:val="en-GB"/>
        </w:rPr>
        <w:t>,</w:t>
      </w:r>
      <w:r w:rsidR="00A37AA5">
        <w:rPr>
          <w:rFonts w:eastAsia="Arial"/>
          <w:lang w:val="en-GB"/>
        </w:rPr>
        <w:t xml:space="preserve"> when a substance is no present in the database, </w:t>
      </w:r>
      <w:r w:rsidR="00A37AA5" w:rsidRPr="00953932">
        <w:rPr>
          <w:rFonts w:eastAsia="Arial"/>
          <w:lang w:val="en-GB"/>
        </w:rPr>
        <w:t>it</w:t>
      </w:r>
      <w:r w:rsidR="008A6261" w:rsidRPr="00953932">
        <w:rPr>
          <w:rFonts w:eastAsia="Arial"/>
          <w:lang w:val="en-GB"/>
        </w:rPr>
        <w:t xml:space="preserve"> was to feed into the WARGUI software</w:t>
      </w:r>
      <w:r w:rsidR="00A37AA5">
        <w:rPr>
          <w:rFonts w:eastAsia="Arial"/>
          <w:lang w:val="en-GB"/>
        </w:rPr>
        <w:t xml:space="preserve"> by collecting those properties alongside</w:t>
      </w:r>
      <w:r w:rsidR="008A6261" w:rsidRPr="00953932">
        <w:rPr>
          <w:rFonts w:eastAsia="Arial"/>
          <w:lang w:val="en-GB"/>
        </w:rPr>
        <w:t xml:space="preserve"> </w:t>
      </w:r>
      <w:r w:rsidR="00A37AA5">
        <w:rPr>
          <w:rFonts w:eastAsia="Arial"/>
          <w:lang w:val="en-GB"/>
        </w:rPr>
        <w:t xml:space="preserve">the </w:t>
      </w:r>
      <w:r w:rsidR="008A6261" w:rsidRPr="00953932">
        <w:rPr>
          <w:rFonts w:eastAsia="Arial"/>
          <w:lang w:val="en-GB"/>
        </w:rPr>
        <w:t xml:space="preserve">molecular weight, formula, CAS number, among others. </w:t>
      </w:r>
      <w:r w:rsidR="00A37AA5">
        <w:rPr>
          <w:bCs/>
        </w:rPr>
        <w:t>On the other hand, t</w:t>
      </w:r>
      <w:r w:rsidR="008A6261" w:rsidRPr="004D7CFF">
        <w:rPr>
          <w:bCs/>
        </w:rPr>
        <w:t xml:space="preserve">o visualize the </w:t>
      </w:r>
      <w:r w:rsidR="00A37AA5">
        <w:rPr>
          <w:bCs/>
        </w:rPr>
        <w:t>results</w:t>
      </w:r>
      <w:r w:rsidR="008A6261" w:rsidRPr="004D7CFF">
        <w:rPr>
          <w:bCs/>
        </w:rPr>
        <w:t xml:space="preserve"> </w:t>
      </w:r>
      <w:r w:rsidR="008A6261">
        <w:rPr>
          <w:bCs/>
        </w:rPr>
        <w:t>of</w:t>
      </w:r>
      <w:r w:rsidR="008A6261" w:rsidRPr="004D7CFF">
        <w:rPr>
          <w:bCs/>
        </w:rPr>
        <w:t xml:space="preserve"> the </w:t>
      </w:r>
      <w:r w:rsidR="008A6261">
        <w:rPr>
          <w:bCs/>
        </w:rPr>
        <w:t xml:space="preserve">estimation </w:t>
      </w:r>
      <w:r w:rsidR="008A6261" w:rsidRPr="004D7CFF">
        <w:rPr>
          <w:bCs/>
        </w:rPr>
        <w:t xml:space="preserve">total impacts </w:t>
      </w:r>
      <w:r w:rsidR="008A6261">
        <w:rPr>
          <w:bCs/>
        </w:rPr>
        <w:t xml:space="preserve">indicators </w:t>
      </w:r>
      <w:r w:rsidR="008A6261" w:rsidRPr="004D7CFF">
        <w:rPr>
          <w:bCs/>
        </w:rPr>
        <w:t xml:space="preserve">and by </w:t>
      </w:r>
      <w:r w:rsidR="008A6261">
        <w:rPr>
          <w:bCs/>
        </w:rPr>
        <w:t xml:space="preserve">each specific </w:t>
      </w:r>
      <w:r w:rsidR="008A6261" w:rsidRPr="004D7CFF">
        <w:rPr>
          <w:bCs/>
        </w:rPr>
        <w:t>category</w:t>
      </w:r>
      <w:r w:rsidR="008A6261">
        <w:rPr>
          <w:bCs/>
        </w:rPr>
        <w:t>, b</w:t>
      </w:r>
      <w:r w:rsidR="008A6261" w:rsidRPr="004D7CFF">
        <w:rPr>
          <w:bCs/>
        </w:rPr>
        <w:t xml:space="preserve">ar charts were </w:t>
      </w:r>
      <w:r w:rsidR="008A6261">
        <w:rPr>
          <w:bCs/>
        </w:rPr>
        <w:t>made</w:t>
      </w:r>
      <w:r w:rsidR="008A6261" w:rsidRPr="004D7CFF">
        <w:rPr>
          <w:bCs/>
        </w:rPr>
        <w:t>, considering four case</w:t>
      </w:r>
      <w:r w:rsidR="008A6261">
        <w:rPr>
          <w:bCs/>
        </w:rPr>
        <w:t>s</w:t>
      </w:r>
      <w:r w:rsidR="008A6261" w:rsidRPr="004D7CFF">
        <w:rPr>
          <w:bCs/>
        </w:rPr>
        <w:t xml:space="preserve"> </w:t>
      </w:r>
      <w:r w:rsidR="008A6261">
        <w:rPr>
          <w:bCs/>
        </w:rPr>
        <w:t xml:space="preserve">of </w:t>
      </w:r>
      <w:r w:rsidR="008A6261" w:rsidRPr="004D7CFF">
        <w:rPr>
          <w:bCs/>
        </w:rPr>
        <w:t>stud</w:t>
      </w:r>
      <w:r w:rsidR="008A6261">
        <w:rPr>
          <w:bCs/>
        </w:rPr>
        <w:t xml:space="preserve">y as seen in table 1, </w:t>
      </w:r>
      <w:r w:rsidR="008A6261" w:rsidRPr="004D7CFF">
        <w:rPr>
          <w:bCs/>
        </w:rPr>
        <w:t>these</w:t>
      </w:r>
      <w:r w:rsidR="008A6261">
        <w:rPr>
          <w:bCs/>
        </w:rPr>
        <w:t xml:space="preserve"> cases </w:t>
      </w:r>
      <w:r w:rsidR="008A6261" w:rsidRPr="004D7CFF">
        <w:rPr>
          <w:bCs/>
        </w:rPr>
        <w:t>provide a good diagnosis of the environmental performance of the process</w:t>
      </w:r>
      <w:r w:rsidR="00A37AA5">
        <w:rPr>
          <w:bCs/>
        </w:rPr>
        <w:t>, as considers the contribution of different components of the process.</w:t>
      </w:r>
    </w:p>
    <w:p w14:paraId="517C2E44" w14:textId="77777777" w:rsidR="008A6261" w:rsidRDefault="008A6261" w:rsidP="008A6261">
      <w:pPr>
        <w:pStyle w:val="CETTabletitle"/>
        <w:rPr>
          <w:rFonts w:eastAsia="Arial"/>
          <w:lang w:val="en-US"/>
        </w:rPr>
      </w:pPr>
      <w:bookmarkStart w:id="0" w:name="_Toc144072403"/>
      <w:r w:rsidRPr="0062468A">
        <w:rPr>
          <w:rFonts w:eastAsia="Arial"/>
          <w:b/>
          <w:i w:val="0"/>
          <w:iCs/>
          <w:lang w:val="en-US"/>
        </w:rPr>
        <w:t xml:space="preserve">Table </w:t>
      </w:r>
      <w:r w:rsidRPr="0062468A">
        <w:rPr>
          <w:rFonts w:eastAsia="Arial"/>
          <w:b/>
          <w:i w:val="0"/>
          <w:iCs/>
          <w:lang w:val="es-CO"/>
        </w:rPr>
        <w:fldChar w:fldCharType="begin"/>
      </w:r>
      <w:r w:rsidRPr="0062468A">
        <w:rPr>
          <w:rFonts w:eastAsia="Arial"/>
          <w:b/>
          <w:i w:val="0"/>
          <w:iCs/>
          <w:lang w:val="en-US"/>
        </w:rPr>
        <w:instrText xml:space="preserve"> SEQ Tabla \* ARABIC </w:instrText>
      </w:r>
      <w:r w:rsidRPr="0062468A">
        <w:rPr>
          <w:rFonts w:eastAsia="Arial"/>
          <w:b/>
          <w:i w:val="0"/>
          <w:iCs/>
          <w:lang w:val="es-CO"/>
        </w:rPr>
        <w:fldChar w:fldCharType="separate"/>
      </w:r>
      <w:r w:rsidRPr="0062468A">
        <w:rPr>
          <w:rFonts w:eastAsia="Arial"/>
          <w:b/>
          <w:i w:val="0"/>
          <w:iCs/>
          <w:lang w:val="en-US"/>
        </w:rPr>
        <w:t>1</w:t>
      </w:r>
      <w:r w:rsidRPr="0062468A">
        <w:rPr>
          <w:rFonts w:eastAsia="Arial"/>
          <w:i w:val="0"/>
          <w:iCs/>
          <w:lang w:val="en-US"/>
        </w:rPr>
        <w:fldChar w:fldCharType="end"/>
      </w:r>
      <w:r w:rsidRPr="0062468A">
        <w:rPr>
          <w:rFonts w:eastAsia="Arial"/>
          <w:b/>
          <w:i w:val="0"/>
          <w:iCs/>
          <w:lang w:val="en-US"/>
        </w:rPr>
        <w:t>.</w:t>
      </w:r>
      <w:r w:rsidRPr="00DC4F4A">
        <w:rPr>
          <w:rFonts w:eastAsia="Arial"/>
          <w:b/>
          <w:lang w:val="en-US"/>
        </w:rPr>
        <w:t xml:space="preserve"> </w:t>
      </w:r>
      <w:bookmarkEnd w:id="0"/>
      <w:r>
        <w:rPr>
          <w:rFonts w:eastAsia="Arial"/>
          <w:lang w:val="en-US"/>
        </w:rPr>
        <w:t>Cases analyzed for the environmental analysis of an avocado cascade biorefinery</w:t>
      </w:r>
    </w:p>
    <w:tbl>
      <w:tblPr>
        <w:tblW w:w="8692" w:type="dxa"/>
        <w:tblBorders>
          <w:top w:val="single" w:sz="12" w:space="0" w:color="008000"/>
          <w:bottom w:val="single" w:sz="12" w:space="0" w:color="008000"/>
        </w:tblBorders>
        <w:tblLayout w:type="fixed"/>
        <w:tblLook w:val="0000" w:firstRow="0" w:lastRow="0" w:firstColumn="0" w:lastColumn="0" w:noHBand="0" w:noVBand="0"/>
      </w:tblPr>
      <w:tblGrid>
        <w:gridCol w:w="1738"/>
        <w:gridCol w:w="6954"/>
      </w:tblGrid>
      <w:tr w:rsidR="008A6261" w14:paraId="46FD7985" w14:textId="77777777" w:rsidTr="00CB48F9">
        <w:trPr>
          <w:trHeight w:val="248"/>
        </w:trPr>
        <w:tc>
          <w:tcPr>
            <w:tcW w:w="1738" w:type="dxa"/>
            <w:tcBorders>
              <w:top w:val="single" w:sz="12" w:space="0" w:color="008000"/>
              <w:bottom w:val="single" w:sz="6" w:space="0" w:color="008000"/>
            </w:tcBorders>
            <w:shd w:val="clear" w:color="auto" w:fill="FFFFFF"/>
            <w:vAlign w:val="center"/>
          </w:tcPr>
          <w:p w14:paraId="2407D620"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
                <w:bCs/>
                <w:color w:val="000000"/>
                <w:szCs w:val="18"/>
                <w:lang w:val="en-US"/>
              </w:rPr>
              <w:t>Cases analyzed</w:t>
            </w:r>
          </w:p>
        </w:tc>
        <w:tc>
          <w:tcPr>
            <w:tcW w:w="6954" w:type="dxa"/>
            <w:tcBorders>
              <w:top w:val="single" w:sz="12" w:space="0" w:color="008000"/>
              <w:bottom w:val="single" w:sz="6" w:space="0" w:color="008000"/>
            </w:tcBorders>
            <w:shd w:val="clear" w:color="auto" w:fill="FFFFFF"/>
            <w:vAlign w:val="center"/>
          </w:tcPr>
          <w:p w14:paraId="5BAE40EC"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color w:val="000000"/>
                <w:szCs w:val="18"/>
              </w:rPr>
              <w:t>Considerations</w:t>
            </w:r>
          </w:p>
        </w:tc>
      </w:tr>
      <w:tr w:rsidR="008A6261" w14:paraId="06748EBF" w14:textId="77777777" w:rsidTr="00CB48F9">
        <w:trPr>
          <w:trHeight w:val="251"/>
        </w:trPr>
        <w:tc>
          <w:tcPr>
            <w:tcW w:w="1738" w:type="dxa"/>
            <w:shd w:val="clear" w:color="auto" w:fill="FFFFFF"/>
            <w:vAlign w:val="bottom"/>
          </w:tcPr>
          <w:p w14:paraId="052BD0B7"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Case 1</w:t>
            </w:r>
          </w:p>
        </w:tc>
        <w:tc>
          <w:tcPr>
            <w:tcW w:w="6954" w:type="dxa"/>
            <w:shd w:val="clear" w:color="auto" w:fill="FFFFFF"/>
            <w:vAlign w:val="bottom"/>
          </w:tcPr>
          <w:p w14:paraId="7CF2B772"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Only residues considered, products and energy excluded</w:t>
            </w:r>
          </w:p>
        </w:tc>
      </w:tr>
      <w:tr w:rsidR="008A6261" w14:paraId="2BC27D66" w14:textId="77777777" w:rsidTr="00CB48F9">
        <w:trPr>
          <w:trHeight w:val="235"/>
        </w:trPr>
        <w:tc>
          <w:tcPr>
            <w:tcW w:w="1738" w:type="dxa"/>
            <w:shd w:val="clear" w:color="auto" w:fill="FFFFFF"/>
            <w:vAlign w:val="bottom"/>
          </w:tcPr>
          <w:p w14:paraId="4094F274"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Case</w:t>
            </w:r>
            <w:r w:rsidRPr="004F412E">
              <w:rPr>
                <w:rFonts w:eastAsia="Arial" w:cs="Arial"/>
                <w:bCs/>
                <w:color w:val="000000"/>
                <w:szCs w:val="18"/>
                <w:lang w:val="en-US"/>
              </w:rPr>
              <w:t xml:space="preserve"> 2</w:t>
            </w:r>
          </w:p>
        </w:tc>
        <w:tc>
          <w:tcPr>
            <w:tcW w:w="6954" w:type="dxa"/>
            <w:shd w:val="clear" w:color="auto" w:fill="FFFFFF"/>
            <w:vAlign w:val="bottom"/>
          </w:tcPr>
          <w:p w14:paraId="2D262768"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Only residues and products considered, energy excluded</w:t>
            </w:r>
          </w:p>
        </w:tc>
      </w:tr>
      <w:tr w:rsidR="008A6261" w14:paraId="189149A1" w14:textId="77777777" w:rsidTr="00CB48F9">
        <w:trPr>
          <w:trHeight w:val="235"/>
        </w:trPr>
        <w:tc>
          <w:tcPr>
            <w:tcW w:w="1738" w:type="dxa"/>
            <w:shd w:val="clear" w:color="auto" w:fill="FFFFFF"/>
            <w:vAlign w:val="bottom"/>
          </w:tcPr>
          <w:p w14:paraId="5F5189DE"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Case</w:t>
            </w:r>
            <w:r w:rsidRPr="004F412E">
              <w:rPr>
                <w:rFonts w:eastAsia="Arial" w:cs="Arial"/>
                <w:bCs/>
                <w:color w:val="000000"/>
                <w:szCs w:val="18"/>
                <w:lang w:val="en-US"/>
              </w:rPr>
              <w:t xml:space="preserve"> 3</w:t>
            </w:r>
          </w:p>
        </w:tc>
        <w:tc>
          <w:tcPr>
            <w:tcW w:w="6954" w:type="dxa"/>
            <w:shd w:val="clear" w:color="auto" w:fill="FFFFFF"/>
            <w:vAlign w:val="center"/>
          </w:tcPr>
          <w:p w14:paraId="5623055B"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Only residues and energy considered, products excluded</w:t>
            </w:r>
          </w:p>
        </w:tc>
      </w:tr>
      <w:tr w:rsidR="008A6261" w14:paraId="1673958A" w14:textId="77777777" w:rsidTr="00CB48F9">
        <w:trPr>
          <w:trHeight w:val="235"/>
        </w:trPr>
        <w:tc>
          <w:tcPr>
            <w:tcW w:w="1738" w:type="dxa"/>
            <w:shd w:val="clear" w:color="auto" w:fill="FFFFFF"/>
            <w:vAlign w:val="bottom"/>
          </w:tcPr>
          <w:p w14:paraId="18C2699A"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Case</w:t>
            </w:r>
            <w:r w:rsidRPr="004F412E">
              <w:rPr>
                <w:rFonts w:eastAsia="Arial" w:cs="Arial"/>
                <w:bCs/>
                <w:color w:val="000000"/>
                <w:szCs w:val="18"/>
                <w:lang w:val="en-US"/>
              </w:rPr>
              <w:t xml:space="preserve"> 4</w:t>
            </w:r>
          </w:p>
        </w:tc>
        <w:tc>
          <w:tcPr>
            <w:tcW w:w="6954" w:type="dxa"/>
            <w:shd w:val="clear" w:color="auto" w:fill="FFFFFF"/>
            <w:vAlign w:val="bottom"/>
          </w:tcPr>
          <w:p w14:paraId="7559F0B0" w14:textId="77777777" w:rsidR="008A6261" w:rsidRDefault="008A6261" w:rsidP="00CB48F9">
            <w:pPr>
              <w:pBdr>
                <w:top w:val="nil"/>
                <w:left w:val="nil"/>
                <w:bottom w:val="nil"/>
                <w:right w:val="nil"/>
                <w:between w:val="nil"/>
              </w:pBdr>
              <w:jc w:val="center"/>
              <w:rPr>
                <w:rFonts w:eastAsia="Arial" w:cs="Arial"/>
                <w:color w:val="000000"/>
                <w:szCs w:val="18"/>
              </w:rPr>
            </w:pPr>
            <w:r>
              <w:rPr>
                <w:rFonts w:eastAsia="Arial" w:cs="Arial"/>
                <w:bCs/>
                <w:color w:val="000000"/>
                <w:szCs w:val="18"/>
                <w:lang w:val="en-US"/>
              </w:rPr>
              <w:t>Residues, products and energy considered</w:t>
            </w:r>
          </w:p>
        </w:tc>
      </w:tr>
    </w:tbl>
    <w:p w14:paraId="1847DEF7" w14:textId="6A1C365F" w:rsidR="008A6261" w:rsidRPr="008A6261" w:rsidRDefault="008A6261" w:rsidP="008A6261">
      <w:pPr>
        <w:pStyle w:val="CETBodytext"/>
        <w:spacing w:before="240" w:after="240"/>
        <w:rPr>
          <w:rFonts w:cs="Arial"/>
          <w:szCs w:val="18"/>
          <w:lang w:val="en-GB"/>
        </w:rPr>
      </w:pPr>
      <w:r>
        <w:rPr>
          <w:rFonts w:cs="Arial"/>
          <w:szCs w:val="18"/>
          <w:lang w:val="en-GB"/>
        </w:rPr>
        <w:t>Moreover, a fifth case is considered in which the process PEI output rate is quantified for only the energy use of the biorefinery. Three fuels are considered, as they are available in the software, coal, gas and liquid fuel (oil). This case can be helpful to provide insights on fuel use and its impacts on the environmental performance</w:t>
      </w:r>
      <w:r w:rsidR="003B5157">
        <w:rPr>
          <w:rFonts w:cs="Arial"/>
          <w:szCs w:val="18"/>
          <w:lang w:val="en-GB"/>
        </w:rPr>
        <w:t xml:space="preserve"> </w:t>
      </w:r>
      <w:r w:rsidR="003B5157">
        <w:rPr>
          <w:rFonts w:cs="Arial"/>
          <w:szCs w:val="18"/>
          <w:lang w:val="en-GB"/>
        </w:rPr>
        <w:fldChar w:fldCharType="begin" w:fldLock="1"/>
      </w:r>
      <w:r w:rsidR="005276A0">
        <w:rPr>
          <w:rFonts w:cs="Arial"/>
          <w:szCs w:val="18"/>
          <w:lang w:val="en-GB"/>
        </w:rPr>
        <w:instrText>ADDIN CSL_CITATION {"citationItems":[{"id":"ITEM-1","itemData":{"DOI":"10.1088/1757-899X/519/1/012003","ISSN":"1757899X","abstract":"In this work, environmental assessment of a large-scale production of chitosan micro-beads modified with thiourea and magnetite was performed using Waste Reduction Algorithm (WAR). This methodology evaluates eight impact categories, four toxicological and four atmospherics. Initially, the simulation of production process of micro-beads was realized. Then, WAR GUI software, which is based on WAR algorithm, was employed to quantify potential environmental impacts (PEI) generation and output rate for this process under 4 different cases. The synthesis of micro-beads was analysed using computer-aided process engineering, this is related to the fact that there is no bibliography reported for the industrial scale-up, simulation and environmental evaluation of this type of process Results shows that photochemical oxidation potential is the evaluated category which emits the biggest output rate of PEI, contributing in all cases with more than 49% of the total rate. In general terms, the process has a negative generated PEI which means that the process has a convenient environmental performance. This leads to the conclusion that the process is environmentally beneficial because it consumes environmental impacts.","author":[{"dropping-particle":"","family":"Bertel","given":"F.","non-dropping-particle":"","parse-names":false,"suffix":""},{"dropping-particle":"","family":"Cogollo","given":"G.","non-dropping-particle":"","parse-names":false,"suffix":""},{"dropping-particle":"","family":"Meramo-Hurtado","given":"S.","non-dropping-particle":"","parse-names":false,"suffix":""},{"dropping-particle":"","family":"González-Delgado","given":"A.","non-dropping-particle":"","parse-names":false,"suffix":""}],"container-title":"IOP Conference Series: Materials Science and Engineering","id":"ITEM-1","issue":"1","issued":{"date-parts":[["2019"]]},"title":"Computer aided environmental analysis of a large-scale production of chitosan micro-beads modified with thiourea and magnetite","type":"article-journal","volume":"519"},"uris":["http://www.mendeley.com/documents/?uuid=3359a259-4311-4abf-a389-943ca3ba24e4"]}],"mendeley":{"formattedCitation":"(8)","plainTextFormattedCitation":"(8)","previouslyFormattedCitation":"(Bertel et al., 2019)"},"properties":{"noteIndex":0},"schema":"https://github.com/citation-style-language/schema/raw/master/csl-citation.json"}</w:instrText>
      </w:r>
      <w:r w:rsidR="003B5157">
        <w:rPr>
          <w:rFonts w:cs="Arial"/>
          <w:szCs w:val="18"/>
          <w:lang w:val="en-GB"/>
        </w:rPr>
        <w:fldChar w:fldCharType="separate"/>
      </w:r>
      <w:r w:rsidR="005276A0" w:rsidRPr="005276A0">
        <w:rPr>
          <w:rFonts w:cs="Arial"/>
          <w:noProof/>
          <w:szCs w:val="18"/>
          <w:lang w:val="en-GB"/>
        </w:rPr>
        <w:t>(8)</w:t>
      </w:r>
      <w:r w:rsidR="003B5157">
        <w:rPr>
          <w:rFonts w:cs="Arial"/>
          <w:szCs w:val="18"/>
          <w:lang w:val="en-GB"/>
        </w:rPr>
        <w:fldChar w:fldCharType="end"/>
      </w:r>
      <w:r>
        <w:rPr>
          <w:rFonts w:cs="Arial"/>
          <w:szCs w:val="18"/>
          <w:lang w:val="en-GB"/>
        </w:rPr>
        <w:t>.</w:t>
      </w:r>
    </w:p>
    <w:p w14:paraId="474F7967" w14:textId="14AA2A26" w:rsidR="00FC3036" w:rsidRDefault="004F412E" w:rsidP="00D65B74">
      <w:pPr>
        <w:pStyle w:val="CETHeading1"/>
        <w:numPr>
          <w:ilvl w:val="0"/>
          <w:numId w:val="15"/>
        </w:numPr>
        <w:rPr>
          <w:rFonts w:eastAsia="Arial"/>
        </w:rPr>
      </w:pPr>
      <w:r w:rsidRPr="00734B75">
        <w:rPr>
          <w:rFonts w:eastAsia="Arial"/>
        </w:rPr>
        <w:t>Results and discussion</w:t>
      </w:r>
    </w:p>
    <w:p w14:paraId="3764F339" w14:textId="3243B2D1" w:rsidR="00D413BE" w:rsidRPr="0098179D" w:rsidRDefault="00D413BE" w:rsidP="009B53EF">
      <w:pPr>
        <w:pStyle w:val="CETCaption"/>
        <w:spacing w:before="0" w:after="0"/>
        <w:rPr>
          <w:bCs/>
          <w:i w:val="0"/>
          <w:szCs w:val="28"/>
          <w:lang w:val="en-US"/>
        </w:rPr>
      </w:pPr>
      <w:r w:rsidRPr="00FD1E07">
        <w:rPr>
          <w:bCs/>
          <w:i w:val="0"/>
          <w:szCs w:val="28"/>
          <w:lang w:val="en-US"/>
        </w:rPr>
        <w:t xml:space="preserve">Figure 3 shows the results </w:t>
      </w:r>
      <w:r>
        <w:rPr>
          <w:bCs/>
          <w:i w:val="0"/>
          <w:szCs w:val="28"/>
          <w:lang w:val="en-US"/>
        </w:rPr>
        <w:t>of the</w:t>
      </w:r>
      <w:r w:rsidRPr="00FD1E07">
        <w:rPr>
          <w:bCs/>
          <w:i w:val="0"/>
          <w:szCs w:val="28"/>
          <w:lang w:val="en-US"/>
        </w:rPr>
        <w:t xml:space="preserve"> total </w:t>
      </w:r>
      <w:r w:rsidR="0062468A" w:rsidRPr="0062468A">
        <w:rPr>
          <w:rFonts w:eastAsia="Arial"/>
          <w:i w:val="0"/>
          <w:iCs/>
        </w:rPr>
        <w:t xml:space="preserve">Total </w:t>
      </w:r>
      <w:r w:rsidR="0062468A">
        <w:rPr>
          <w:rFonts w:eastAsia="Arial"/>
          <w:i w:val="0"/>
          <w:iCs/>
        </w:rPr>
        <w:t xml:space="preserve">PEI rates of impacts </w:t>
      </w:r>
      <w:r w:rsidR="0062468A">
        <w:rPr>
          <w:rFonts w:eastAsia="Arial"/>
          <w:i w:val="0"/>
          <w:iCs/>
        </w:rPr>
        <w:t>of the</w:t>
      </w:r>
      <w:r w:rsidR="0062468A" w:rsidRPr="0062468A">
        <w:rPr>
          <w:rFonts w:eastAsia="Arial"/>
          <w:i w:val="0"/>
          <w:iCs/>
        </w:rPr>
        <w:t xml:space="preserve"> avocado cascade biorefinery</w:t>
      </w:r>
      <w:r w:rsidR="0062468A">
        <w:rPr>
          <w:rFonts w:eastAsia="Arial"/>
          <w:i w:val="0"/>
          <w:iCs/>
        </w:rPr>
        <w:t xml:space="preserve"> </w:t>
      </w:r>
      <w:r w:rsidRPr="00FD1E07">
        <w:rPr>
          <w:bCs/>
          <w:i w:val="0"/>
          <w:szCs w:val="28"/>
          <w:lang w:val="en-US"/>
        </w:rPr>
        <w:t>studied.</w:t>
      </w:r>
      <w:r w:rsidR="0062468A">
        <w:rPr>
          <w:bCs/>
          <w:i w:val="0"/>
          <w:szCs w:val="28"/>
          <w:lang w:val="en-US"/>
        </w:rPr>
        <w:t xml:space="preserve"> Firstly, the generation rate was low for each of the cases with a maximum value of 0.67 PE/h for case 4. In comparison with cases 1, 2 and 3, </w:t>
      </w:r>
      <w:r w:rsidR="0098179D">
        <w:rPr>
          <w:bCs/>
          <w:i w:val="0"/>
          <w:szCs w:val="28"/>
          <w:lang w:val="en-US"/>
        </w:rPr>
        <w:t>the</w:t>
      </w:r>
      <w:r w:rsidR="0062468A">
        <w:rPr>
          <w:bCs/>
          <w:i w:val="0"/>
          <w:szCs w:val="28"/>
          <w:lang w:val="en-US"/>
        </w:rPr>
        <w:t xml:space="preserve"> process products had a</w:t>
      </w:r>
      <w:r w:rsidR="0098179D">
        <w:rPr>
          <w:bCs/>
          <w:i w:val="0"/>
          <w:szCs w:val="28"/>
          <w:lang w:val="en-US"/>
        </w:rPr>
        <w:t xml:space="preserve"> </w:t>
      </w:r>
      <w:r w:rsidR="0062468A">
        <w:rPr>
          <w:bCs/>
          <w:i w:val="0"/>
          <w:szCs w:val="28"/>
          <w:lang w:val="en-US"/>
        </w:rPr>
        <w:t xml:space="preserve">significant impact as the cases of 2 and 3 had negative rate with -0.93 and -0.67 PEI/h, meaning suffering an increase of PEI. </w:t>
      </w:r>
      <w:r w:rsidR="0098179D">
        <w:rPr>
          <w:bCs/>
          <w:i w:val="0"/>
          <w:szCs w:val="28"/>
          <w:lang w:val="en-US"/>
        </w:rPr>
        <w:t xml:space="preserve">It is confirmed when looking at the change in the output rate, where the emission of PEI increased from case to case, but the change is more significant for cases 2 and 4, when products are considered. This consideration is key as products like the biofilm used compound with a higher PEI footprint, like PVA and Glycerol. </w:t>
      </w:r>
      <w:r w:rsidR="0062468A">
        <w:rPr>
          <w:bCs/>
          <w:i w:val="0"/>
          <w:szCs w:val="28"/>
          <w:lang w:val="en-US"/>
        </w:rPr>
        <w:t>Nonetheless,</w:t>
      </w:r>
      <w:r w:rsidR="0098179D">
        <w:rPr>
          <w:bCs/>
          <w:i w:val="0"/>
          <w:szCs w:val="28"/>
          <w:lang w:val="en-US"/>
        </w:rPr>
        <w:t xml:space="preserve"> these values indicated that the cascading biorefinery of avocado seed is environmentally sustainable as the process can produce the products with a low generation of PEI.</w:t>
      </w:r>
      <w:r w:rsidR="009102DF">
        <w:rPr>
          <w:bCs/>
          <w:i w:val="0"/>
          <w:szCs w:val="28"/>
          <w:lang w:val="en-US"/>
        </w:rPr>
        <w:t xml:space="preserve"> Compared to similar bioprocesses, </w:t>
      </w:r>
      <w:r w:rsidR="00A348B5">
        <w:rPr>
          <w:bCs/>
          <w:i w:val="0"/>
          <w:szCs w:val="28"/>
          <w:lang w:val="en-US"/>
        </w:rPr>
        <w:t xml:space="preserve">rates are very low, as Herrera et al., obtained generation rates of 60 PEI/h for an oil extraction process with an 97kg of avocado capacity </w:t>
      </w:r>
      <w:r w:rsidR="00A348B5">
        <w:rPr>
          <w:bCs/>
          <w:i w:val="0"/>
          <w:szCs w:val="28"/>
          <w:lang w:val="en-US"/>
        </w:rPr>
        <w:fldChar w:fldCharType="begin" w:fldLock="1"/>
      </w:r>
      <w:r w:rsidR="005276A0">
        <w:rPr>
          <w:bCs/>
          <w:i w:val="0"/>
          <w:szCs w:val="28"/>
          <w:lang w:val="en-US"/>
        </w:rPr>
        <w:instrText>ADDIN CSL_CITATION {"citationItems":[{"id":"ITEM-1","itemData":{"DOI":"10.3303/CET2291040","ISBN":"9788895608891","ISSN":"22839216","abstract":"In North Colombia, avocado production corresponds to approximately 35,000 t/y, and a significant part of such production is waste because of the species vulnerability to climate changes, and the lack of processing infrastructure causes delays and fruit degradation. The content of oil in avocado (21-30 %) has motivated the search for alternatives of waste valorization that may improve the sustainability of the processing chain. In this sense, it is necessary to evaluate the feasibility of large-scale production of avocado oil under North-Colombian conditions under sustainability criteria. In this work, simulation of the avocado-to-oil linear production chain was performed by the Aspen Plus software, to predict the performance of the avocado pulp harvesting route on an industrial scale. Afterward, the computer-aided environmental evaluation of the process attended to using the waste reduction algorithm (WAR) via WARGUI software. The potential Environmental impacts generated and output from each process was quantified under the atmospheric and toxicological categories. Results showed low values for output of PEI (94.8 total PEI/h) and negative values for generation of PEI for some cases. These results suggested that the linear production chain to convert avocado into oil is environmentally friendly and features a promising alternative for waste valorization.","author":[{"dropping-particle":"","family":"Herrera","given":"Tamy","non-dropping-particle":"","parse-names":false,"suffix":""},{"dropping-particle":"","family":"Parejo","given":"Vianny","non-dropping-particle":"","parse-names":false,"suffix":""},{"dropping-particle":"","family":"González-Delgado","given":"Ángel","non-dropping-particle":"","parse-names":false,"suffix":""}],"container-title":"Chemical Engineering Transactions","id":"ITEM-1","issue":"March","issued":{"date-parts":[["2022"]]},"page":"235-240","title":"Environmental Analysis of Avocado (Laurus Persea L.) Oil Production in North Colombia using the Waste Reduction Algorithm","type":"article-journal","volume":"91"},"uris":["http://www.mendeley.com/documents/?uuid=8b6c7357-8147-4b9f-a4f5-c48d77422cad"]}],"mendeley":{"formattedCitation":"(17)","plainTextFormattedCitation":"(17)","previouslyFormattedCitation":"(Herrera et al., 2022)"},"properties":{"noteIndex":0},"schema":"https://github.com/citation-style-language/schema/raw/master/csl-citation.json"}</w:instrText>
      </w:r>
      <w:r w:rsidR="00A348B5">
        <w:rPr>
          <w:bCs/>
          <w:i w:val="0"/>
          <w:szCs w:val="28"/>
          <w:lang w:val="en-US"/>
        </w:rPr>
        <w:fldChar w:fldCharType="separate"/>
      </w:r>
      <w:r w:rsidR="005276A0" w:rsidRPr="005276A0">
        <w:rPr>
          <w:bCs/>
          <w:i w:val="0"/>
          <w:noProof/>
          <w:szCs w:val="28"/>
          <w:lang w:val="en-US"/>
        </w:rPr>
        <w:t>(17)</w:t>
      </w:r>
      <w:r w:rsidR="00A348B5">
        <w:rPr>
          <w:bCs/>
          <w:i w:val="0"/>
          <w:szCs w:val="28"/>
          <w:lang w:val="en-US"/>
        </w:rPr>
        <w:fldChar w:fldCharType="end"/>
      </w:r>
      <w:r w:rsidR="00A348B5">
        <w:rPr>
          <w:bCs/>
          <w:i w:val="0"/>
          <w:szCs w:val="28"/>
          <w:lang w:val="en-US"/>
        </w:rPr>
        <w:t xml:space="preserve">. </w:t>
      </w:r>
    </w:p>
    <w:p w14:paraId="60329ADB" w14:textId="37707F32" w:rsidR="00D65B74" w:rsidRPr="00D65B74" w:rsidRDefault="00D65B74" w:rsidP="00523716">
      <w:pPr>
        <w:pStyle w:val="CETBodytext"/>
        <w:jc w:val="center"/>
        <w:rPr>
          <w:rFonts w:eastAsia="Arial"/>
        </w:rPr>
      </w:pPr>
      <w:r w:rsidRPr="003E2812">
        <w:rPr>
          <w:noProof/>
          <w:color w:val="000000" w:themeColor="text1"/>
        </w:rPr>
        <w:drawing>
          <wp:inline distT="0" distB="0" distL="0" distR="0" wp14:anchorId="71CC6DAA" wp14:editId="41F72A30">
            <wp:extent cx="5379720" cy="1493520"/>
            <wp:effectExtent l="0" t="0" r="11430" b="11430"/>
            <wp:docPr id="1482651279" name="Chart 1">
              <a:extLst xmlns:a="http://schemas.openxmlformats.org/drawingml/2006/main">
                <a:ext uri="{FF2B5EF4-FFF2-40B4-BE49-F238E27FC236}">
                  <a16:creationId xmlns:a16="http://schemas.microsoft.com/office/drawing/2014/main" id="{335677BA-307D-D903-376A-B990422B8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492080" w14:textId="52B8BFAF" w:rsidR="00FC3036" w:rsidRPr="0062468A" w:rsidRDefault="00FC3036" w:rsidP="00612B51">
      <w:pPr>
        <w:pStyle w:val="CETCaption"/>
        <w:spacing w:before="0"/>
        <w:rPr>
          <w:rFonts w:eastAsia="Arial"/>
          <w:i w:val="0"/>
          <w:iCs/>
        </w:rPr>
      </w:pPr>
      <w:bookmarkStart w:id="1" w:name="_Toc144145247"/>
      <w:r w:rsidRPr="0062468A">
        <w:rPr>
          <w:rFonts w:eastAsia="Arial"/>
          <w:b/>
          <w:bCs/>
          <w:i w:val="0"/>
          <w:iCs/>
          <w:lang w:val="en-US"/>
        </w:rPr>
        <w:lastRenderedPageBreak/>
        <w:t xml:space="preserve">Figure </w:t>
      </w:r>
      <w:r w:rsidR="00651C37" w:rsidRPr="0062468A">
        <w:rPr>
          <w:rFonts w:eastAsia="Arial"/>
          <w:b/>
          <w:bCs/>
          <w:i w:val="0"/>
          <w:iCs/>
          <w:lang w:val="en-US"/>
        </w:rPr>
        <w:t>2</w:t>
      </w:r>
      <w:r w:rsidRPr="0062468A">
        <w:rPr>
          <w:rFonts w:eastAsia="Arial"/>
          <w:b/>
          <w:bCs/>
          <w:i w:val="0"/>
          <w:iCs/>
          <w:lang w:val="en-US"/>
        </w:rPr>
        <w:t xml:space="preserve">. </w:t>
      </w:r>
      <w:bookmarkEnd w:id="1"/>
      <w:r w:rsidR="003965C0" w:rsidRPr="0062468A">
        <w:rPr>
          <w:rFonts w:eastAsia="Arial"/>
          <w:i w:val="0"/>
          <w:iCs/>
        </w:rPr>
        <w:t xml:space="preserve">Total </w:t>
      </w:r>
      <w:r w:rsidR="0062468A">
        <w:rPr>
          <w:rFonts w:eastAsia="Arial"/>
          <w:i w:val="0"/>
          <w:iCs/>
        </w:rPr>
        <w:t xml:space="preserve">PEI rates of impacts per case </w:t>
      </w:r>
      <w:r w:rsidR="00C649CF" w:rsidRPr="0062468A">
        <w:rPr>
          <w:rFonts w:eastAsia="Arial"/>
          <w:i w:val="0"/>
          <w:iCs/>
        </w:rPr>
        <w:t xml:space="preserve">for </w:t>
      </w:r>
      <w:r w:rsidR="00C649CF" w:rsidRPr="0062468A">
        <w:rPr>
          <w:rFonts w:eastAsia="Arial"/>
          <w:i w:val="0"/>
          <w:iCs/>
        </w:rPr>
        <w:t xml:space="preserve">an </w:t>
      </w:r>
      <w:r w:rsidR="00C649CF" w:rsidRPr="0062468A">
        <w:rPr>
          <w:rFonts w:eastAsia="Arial"/>
          <w:i w:val="0"/>
          <w:iCs/>
        </w:rPr>
        <w:t>avocado cascade biorefinery.</w:t>
      </w:r>
    </w:p>
    <w:p w14:paraId="6A7D567A" w14:textId="10BB1FC7" w:rsidR="00D413BE" w:rsidRPr="00C31E3D" w:rsidRDefault="00D413BE" w:rsidP="002A0DA4">
      <w:pPr>
        <w:pStyle w:val="CETCaption"/>
        <w:spacing w:before="0" w:after="0"/>
        <w:rPr>
          <w:bCs/>
          <w:i w:val="0"/>
          <w:szCs w:val="28"/>
          <w:lang w:val="en-US"/>
        </w:rPr>
      </w:pPr>
      <w:r w:rsidRPr="00380DF2">
        <w:rPr>
          <w:bCs/>
          <w:i w:val="0"/>
          <w:lang w:val="en-US"/>
        </w:rPr>
        <w:t xml:space="preserve">Figure </w:t>
      </w:r>
      <w:r>
        <w:rPr>
          <w:bCs/>
          <w:i w:val="0"/>
          <w:lang w:val="en-US"/>
        </w:rPr>
        <w:t>3</w:t>
      </w:r>
      <w:r w:rsidRPr="00380DF2">
        <w:rPr>
          <w:bCs/>
          <w:i w:val="0"/>
          <w:lang w:val="en-US"/>
        </w:rPr>
        <w:t xml:space="preserve"> shows the </w:t>
      </w:r>
      <w:r>
        <w:rPr>
          <w:bCs/>
          <w:i w:val="0"/>
          <w:lang w:val="en-US"/>
        </w:rPr>
        <w:t>rate of t</w:t>
      </w:r>
      <w:r w:rsidRPr="00380DF2">
        <w:rPr>
          <w:bCs/>
          <w:i w:val="0"/>
          <w:lang w:val="en-US"/>
        </w:rPr>
        <w:t xml:space="preserve">oxicological </w:t>
      </w:r>
      <w:r>
        <w:rPr>
          <w:bCs/>
          <w:i w:val="0"/>
          <w:lang w:val="en-US"/>
        </w:rPr>
        <w:t xml:space="preserve">impacts </w:t>
      </w:r>
      <w:r w:rsidRPr="00380DF2">
        <w:rPr>
          <w:bCs/>
          <w:i w:val="0"/>
          <w:lang w:val="en-US"/>
        </w:rPr>
        <w:t xml:space="preserve">generated and output </w:t>
      </w:r>
      <w:r w:rsidR="0062468A">
        <w:rPr>
          <w:rFonts w:eastAsia="Arial"/>
          <w:i w:val="0"/>
          <w:iCs/>
        </w:rPr>
        <w:t>of impacts of the</w:t>
      </w:r>
      <w:r w:rsidR="0062468A" w:rsidRPr="0062468A">
        <w:rPr>
          <w:rFonts w:eastAsia="Arial"/>
          <w:i w:val="0"/>
          <w:iCs/>
        </w:rPr>
        <w:t xml:space="preserve"> avocado cascade biorefinery</w:t>
      </w:r>
      <w:r w:rsidR="0062468A">
        <w:rPr>
          <w:rFonts w:eastAsia="Arial"/>
          <w:i w:val="0"/>
          <w:iCs/>
        </w:rPr>
        <w:t xml:space="preserve"> </w:t>
      </w:r>
      <w:r w:rsidR="0062468A" w:rsidRPr="00FD1E07">
        <w:rPr>
          <w:bCs/>
          <w:i w:val="0"/>
          <w:szCs w:val="28"/>
          <w:lang w:val="en-US"/>
        </w:rPr>
        <w:t>studied.</w:t>
      </w:r>
      <w:r w:rsidR="00084502">
        <w:rPr>
          <w:bCs/>
          <w:i w:val="0"/>
          <w:szCs w:val="28"/>
          <w:lang w:val="en-US"/>
        </w:rPr>
        <w:t xml:space="preserve"> The </w:t>
      </w:r>
      <w:r w:rsidR="00C31E3D">
        <w:rPr>
          <w:bCs/>
          <w:i w:val="0"/>
          <w:szCs w:val="28"/>
          <w:lang w:val="en-US"/>
        </w:rPr>
        <w:t>main toxicological impact is the ATP category as the generated rate of PEI is slightly positive for the case 2, 3 and 4 (</w:t>
      </w:r>
      <w:r w:rsidR="00C31E3D" w:rsidRPr="00C31E3D">
        <w:rPr>
          <w:bCs/>
          <w:i w:val="0"/>
          <w:szCs w:val="28"/>
          <w:lang w:val="en-US"/>
        </w:rPr>
        <w:t>0.000001</w:t>
      </w:r>
      <w:r w:rsidR="00C31E3D">
        <w:rPr>
          <w:bCs/>
          <w:i w:val="0"/>
          <w:szCs w:val="28"/>
          <w:lang w:val="en-US"/>
        </w:rPr>
        <w:t xml:space="preserve">, </w:t>
      </w:r>
      <w:r w:rsidR="00C31E3D" w:rsidRPr="00C31E3D">
        <w:rPr>
          <w:bCs/>
          <w:i w:val="0"/>
          <w:szCs w:val="28"/>
          <w:lang w:val="en-US"/>
        </w:rPr>
        <w:t>0.0</w:t>
      </w:r>
      <w:r w:rsidR="00C31E3D">
        <w:rPr>
          <w:bCs/>
          <w:i w:val="0"/>
          <w:szCs w:val="28"/>
          <w:lang w:val="en-US"/>
        </w:rPr>
        <w:t xml:space="preserve">08 and </w:t>
      </w:r>
      <w:r w:rsidR="00C31E3D" w:rsidRPr="00C31E3D">
        <w:rPr>
          <w:bCs/>
          <w:i w:val="0"/>
          <w:szCs w:val="28"/>
          <w:lang w:val="en-US"/>
        </w:rPr>
        <w:t>0.01</w:t>
      </w:r>
      <w:r w:rsidR="00C31E3D">
        <w:rPr>
          <w:bCs/>
          <w:i w:val="0"/>
          <w:szCs w:val="28"/>
          <w:lang w:val="en-US"/>
        </w:rPr>
        <w:t xml:space="preserve"> </w:t>
      </w:r>
      <w:r w:rsidR="00AF506D">
        <w:rPr>
          <w:bCs/>
          <w:i w:val="0"/>
          <w:szCs w:val="28"/>
          <w:lang w:val="en-US"/>
        </w:rPr>
        <w:t xml:space="preserve">PEI/h, </w:t>
      </w:r>
      <w:r w:rsidR="00C31E3D">
        <w:rPr>
          <w:bCs/>
          <w:i w:val="0"/>
          <w:szCs w:val="28"/>
          <w:lang w:val="en-US"/>
        </w:rPr>
        <w:t>respectively).</w:t>
      </w:r>
      <w:r w:rsidR="002A0DA4">
        <w:rPr>
          <w:bCs/>
          <w:i w:val="0"/>
          <w:szCs w:val="28"/>
          <w:lang w:val="en-US"/>
        </w:rPr>
        <w:t xml:space="preserve"> Similar tendencies were found in the case of HTPI, HTPE, TTP, where cases 1 and 3 had negative values in contrast to positive values of cases 2 and 4. The difference is the streams of products, as cases 2 and 4 considered their contribution, meaning the compound released from the biorefinery can minimum negative impact on the environment. Overall, the toxicological categories </w:t>
      </w:r>
      <w:r w:rsidR="009B53EF">
        <w:rPr>
          <w:bCs/>
          <w:i w:val="0"/>
          <w:szCs w:val="28"/>
          <w:lang w:val="en-US"/>
        </w:rPr>
        <w:t>demonstrated that the process had no significant environmental impact both for humans and ecosystems. However, the process can further improve its performance by adopting resource conservation strategies like mass integration, where streams of wastewater and spent solvents can be further reused.</w:t>
      </w:r>
    </w:p>
    <w:p w14:paraId="7E144FB7" w14:textId="23C52D13" w:rsidR="00D06E32" w:rsidRPr="00612B51" w:rsidRDefault="002F0879" w:rsidP="007F08DC">
      <w:pPr>
        <w:pStyle w:val="CETCaption"/>
        <w:spacing w:before="0" w:after="0"/>
        <w:rPr>
          <w:rFonts w:eastAsia="Arial"/>
          <w:lang w:val="en-US"/>
        </w:rPr>
      </w:pPr>
      <w:r>
        <w:rPr>
          <w:noProof/>
        </w:rPr>
        <w:drawing>
          <wp:inline distT="0" distB="0" distL="0" distR="0" wp14:anchorId="5E5EFB1B" wp14:editId="007DA433">
            <wp:extent cx="2741294" cy="1972627"/>
            <wp:effectExtent l="0" t="0" r="2540" b="8890"/>
            <wp:docPr id="221684040" name="Chart 1">
              <a:extLst xmlns:a="http://schemas.openxmlformats.org/drawingml/2006/main">
                <a:ext uri="{FF2B5EF4-FFF2-40B4-BE49-F238E27FC236}">
                  <a16:creationId xmlns:a16="http://schemas.microsoft.com/office/drawing/2014/main" id="{0E15CB90-3C7E-0B1B-927C-911476C2D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eastAsia="Arial"/>
          <w:lang w:val="en-US"/>
        </w:rPr>
        <w:t xml:space="preserve"> </w:t>
      </w:r>
      <w:r>
        <w:rPr>
          <w:noProof/>
        </w:rPr>
        <w:drawing>
          <wp:inline distT="0" distB="0" distL="0" distR="0" wp14:anchorId="31BCF0B2" wp14:editId="71D89F25">
            <wp:extent cx="2748915" cy="1990725"/>
            <wp:effectExtent l="0" t="0" r="13335" b="9525"/>
            <wp:docPr id="230754540" name="Chart 1">
              <a:extLst xmlns:a="http://schemas.openxmlformats.org/drawingml/2006/main">
                <a:ext uri="{FF2B5EF4-FFF2-40B4-BE49-F238E27FC236}">
                  <a16:creationId xmlns:a16="http://schemas.microsoft.com/office/drawing/2014/main" id="{AF86E261-CE70-45F5-B1D5-03F2A4E77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E61465" w14:textId="55F2FE66" w:rsidR="008956C6" w:rsidRDefault="00FC3036" w:rsidP="00FF6A32">
      <w:pPr>
        <w:pStyle w:val="CETCaption"/>
        <w:spacing w:before="0"/>
        <w:rPr>
          <w:rFonts w:eastAsia="Arial"/>
          <w:i w:val="0"/>
          <w:iCs/>
        </w:rPr>
      </w:pPr>
      <w:bookmarkStart w:id="2" w:name="_Toc144145248"/>
      <w:r w:rsidRPr="007F08DC">
        <w:rPr>
          <w:rFonts w:eastAsia="Arial"/>
          <w:b/>
          <w:bCs/>
          <w:i w:val="0"/>
          <w:iCs/>
          <w:lang w:val="en-US"/>
        </w:rPr>
        <w:t xml:space="preserve">Figure </w:t>
      </w:r>
      <w:r w:rsidR="00651C37" w:rsidRPr="007F08DC">
        <w:rPr>
          <w:rFonts w:eastAsia="Arial"/>
          <w:b/>
          <w:bCs/>
          <w:i w:val="0"/>
          <w:iCs/>
          <w:lang w:val="en-US"/>
        </w:rPr>
        <w:t>3</w:t>
      </w:r>
      <w:r w:rsidRPr="007F08DC">
        <w:rPr>
          <w:rFonts w:eastAsia="Arial"/>
          <w:b/>
          <w:bCs/>
          <w:i w:val="0"/>
          <w:iCs/>
          <w:lang w:val="en-US"/>
        </w:rPr>
        <w:t xml:space="preserve">. </w:t>
      </w:r>
      <w:bookmarkEnd w:id="2"/>
      <w:r w:rsidR="003965C0" w:rsidRPr="007F08DC">
        <w:rPr>
          <w:rFonts w:eastAsia="Arial"/>
          <w:i w:val="0"/>
          <w:iCs/>
        </w:rPr>
        <w:t>Total output and generated atmospheric impacts for</w:t>
      </w:r>
      <w:r w:rsidR="007F08DC" w:rsidRPr="007F08DC">
        <w:rPr>
          <w:rFonts w:eastAsia="Arial"/>
          <w:i w:val="0"/>
          <w:iCs/>
        </w:rPr>
        <w:t xml:space="preserve"> </w:t>
      </w:r>
      <w:r w:rsidR="00C649CF">
        <w:rPr>
          <w:rFonts w:eastAsia="Arial"/>
          <w:i w:val="0"/>
          <w:iCs/>
        </w:rPr>
        <w:t xml:space="preserve">an </w:t>
      </w:r>
      <w:r w:rsidR="007F08DC" w:rsidRPr="007F08DC">
        <w:rPr>
          <w:rFonts w:eastAsia="Arial"/>
          <w:i w:val="0"/>
          <w:iCs/>
        </w:rPr>
        <w:t>avocado cascade biorefinery</w:t>
      </w:r>
      <w:r w:rsidR="003965C0" w:rsidRPr="007F08DC">
        <w:rPr>
          <w:rFonts w:eastAsia="Arial"/>
          <w:i w:val="0"/>
          <w:iCs/>
        </w:rPr>
        <w:t>.</w:t>
      </w:r>
    </w:p>
    <w:p w14:paraId="7D5C023C" w14:textId="1767216C" w:rsidR="00D413BE" w:rsidRPr="007F08DC" w:rsidRDefault="00D413BE" w:rsidP="009B53EF">
      <w:pPr>
        <w:pStyle w:val="CETCaption"/>
        <w:spacing w:before="0" w:after="0"/>
        <w:rPr>
          <w:rFonts w:eastAsia="Arial"/>
          <w:i w:val="0"/>
          <w:iCs/>
        </w:rPr>
      </w:pPr>
      <w:r w:rsidRPr="00C31018">
        <w:rPr>
          <w:bCs/>
          <w:i w:val="0"/>
          <w:lang w:val="en-US"/>
        </w:rPr>
        <w:t xml:space="preserve">Figure </w:t>
      </w:r>
      <w:r>
        <w:rPr>
          <w:bCs/>
          <w:i w:val="0"/>
          <w:lang w:val="en-US"/>
        </w:rPr>
        <w:t>4</w:t>
      </w:r>
      <w:r w:rsidRPr="00C31018">
        <w:rPr>
          <w:bCs/>
          <w:i w:val="0"/>
          <w:lang w:val="en-US"/>
        </w:rPr>
        <w:t xml:space="preserve"> shows the global (GWP and ODP) and local (PCOP and AP) atmospheric impacts </w:t>
      </w:r>
      <w:r w:rsidR="0062468A">
        <w:rPr>
          <w:rFonts w:eastAsia="Arial"/>
          <w:i w:val="0"/>
          <w:iCs/>
        </w:rPr>
        <w:t>of impacts of the</w:t>
      </w:r>
      <w:r w:rsidR="0062468A" w:rsidRPr="0062468A">
        <w:rPr>
          <w:rFonts w:eastAsia="Arial"/>
          <w:i w:val="0"/>
          <w:iCs/>
        </w:rPr>
        <w:t xml:space="preserve"> avocado cascade biorefinery</w:t>
      </w:r>
      <w:r w:rsidR="0062468A">
        <w:rPr>
          <w:rFonts w:eastAsia="Arial"/>
          <w:i w:val="0"/>
          <w:iCs/>
        </w:rPr>
        <w:t xml:space="preserve"> </w:t>
      </w:r>
      <w:r w:rsidR="0062468A" w:rsidRPr="00FD1E07">
        <w:rPr>
          <w:bCs/>
          <w:i w:val="0"/>
          <w:szCs w:val="28"/>
          <w:lang w:val="en-US"/>
        </w:rPr>
        <w:t>studied.</w:t>
      </w:r>
      <w:r w:rsidR="00E517C4">
        <w:rPr>
          <w:bCs/>
          <w:i w:val="0"/>
          <w:szCs w:val="28"/>
          <w:lang w:val="en-US"/>
        </w:rPr>
        <w:t xml:space="preserve"> The process had positive rates for the GWP, AP and PCOP categories when the energy and products are considered, indicating a strong contribution of the </w:t>
      </w:r>
      <w:r w:rsidR="00A8480B">
        <w:rPr>
          <w:bCs/>
          <w:i w:val="0"/>
          <w:szCs w:val="28"/>
          <w:lang w:val="en-US"/>
        </w:rPr>
        <w:t xml:space="preserve">residues, </w:t>
      </w:r>
      <w:r w:rsidR="00E517C4">
        <w:rPr>
          <w:bCs/>
          <w:i w:val="0"/>
          <w:szCs w:val="28"/>
          <w:lang w:val="en-US"/>
        </w:rPr>
        <w:t>products and energy into the potential atmospheric impacts of the biorefinery.</w:t>
      </w:r>
      <w:r w:rsidR="00A8480B">
        <w:rPr>
          <w:bCs/>
          <w:i w:val="0"/>
          <w:szCs w:val="28"/>
          <w:lang w:val="en-US"/>
        </w:rPr>
        <w:t xml:space="preserve"> However, when the output rate is observed only the AP and GWP and ODP are affected for cases 3 and 4, indicating the main contributor for these categories was the energy of the process. Contrary to the PCOP category, the increase between cases 1 and 3 to 2 and 4 was only 0.5, indicating the contribution of the residues was the highest, this can be corroborated due to the expulsion of solvents like ethanol and acetone without reuse. Still, the generation rate for this category showed that the process with a proper reuse/regeneration system can maintain a low impact performance. Lastly, the integration of </w:t>
      </w:r>
      <w:r w:rsidR="00084502">
        <w:rPr>
          <w:bCs/>
          <w:i w:val="0"/>
          <w:szCs w:val="28"/>
          <w:lang w:val="en-US"/>
        </w:rPr>
        <w:t>waste</w:t>
      </w:r>
      <w:r w:rsidR="00A8480B">
        <w:rPr>
          <w:bCs/>
          <w:i w:val="0"/>
          <w:szCs w:val="28"/>
          <w:lang w:val="en-US"/>
        </w:rPr>
        <w:t xml:space="preserve">, especially </w:t>
      </w:r>
      <w:r w:rsidR="00084502">
        <w:rPr>
          <w:bCs/>
          <w:i w:val="0"/>
          <w:szCs w:val="28"/>
          <w:lang w:val="en-US"/>
        </w:rPr>
        <w:t xml:space="preserve">spent </w:t>
      </w:r>
      <w:r w:rsidR="00A8480B">
        <w:rPr>
          <w:bCs/>
          <w:i w:val="0"/>
          <w:szCs w:val="28"/>
          <w:lang w:val="en-US"/>
        </w:rPr>
        <w:t>solvents</w:t>
      </w:r>
      <w:r w:rsidR="00084502">
        <w:rPr>
          <w:bCs/>
          <w:i w:val="0"/>
          <w:szCs w:val="28"/>
          <w:lang w:val="en-US"/>
        </w:rPr>
        <w:t xml:space="preserve">, </w:t>
      </w:r>
      <w:r w:rsidR="00A8480B">
        <w:rPr>
          <w:bCs/>
          <w:i w:val="0"/>
          <w:szCs w:val="28"/>
          <w:lang w:val="en-US"/>
        </w:rPr>
        <w:t>can improve the environmental performance of the process</w:t>
      </w:r>
      <w:r w:rsidR="00341C8D">
        <w:rPr>
          <w:bCs/>
          <w:i w:val="0"/>
          <w:szCs w:val="28"/>
          <w:lang w:val="en-US"/>
        </w:rPr>
        <w:t xml:space="preserve"> </w:t>
      </w:r>
      <w:r w:rsidR="00341C8D">
        <w:rPr>
          <w:bCs/>
          <w:i w:val="0"/>
          <w:szCs w:val="28"/>
          <w:lang w:val="en-US"/>
        </w:rPr>
        <w:fldChar w:fldCharType="begin" w:fldLock="1"/>
      </w:r>
      <w:r w:rsidR="005276A0">
        <w:rPr>
          <w:bCs/>
          <w:i w:val="0"/>
          <w:szCs w:val="28"/>
          <w:lang w:val="en-US"/>
        </w:rPr>
        <w:instrText>ADDIN CSL_CITATION {"citationItems":[{"id":"ITEM-1","itemData":{"DOI":"10.1016/j.fbp.2021.04.003","ISSN":"09603085","abstract":"The cleaner production of value-added products from shrimp under biorefinery concept requires the application of mass integration techniques to conserve resources and reduce waste generation. This work aims to develop an integrated approach of shrimp biorefinery using rigorous graphical targeting approach for material recycle/reuse networks. The simulation of the integrated process and the environmental analysis are conducted using Aspen Plus® software and waste reduction (WAR) algorithm to evaluate technical and environmental performance. Targets for minimum fresh resources usage and minimum waste discharge for the network were calculated at 911.18 kg/h and 1546.68 kg/h, respectively. The integrated biorefinery has the capacity to process 469.22 kg/h of fresh shrimp while reducing 56.63% in fresh resources consumption compared with non-integrated approach. The chitin and chitosan production rates were increased up to 3.783 and 3.061 kg/h, respectively, by the material recovery in residual water recycle. The environmental study showed reductions in atmospheric and toxicological categories estimated at 7.8 and 3.48% for potential environmental impacts (PEI) output, while the impacts generated within the process reach values up to 3.51 and 7.97%. The highest impacts were observed for atmospheric categories, being the photochemical oxidation potential the larger contributor. The environmental friendliness of the proposed approach is confirmed by the negative values in PEI generation. The high freshwater savings reveal the potential benefits of incorporating recycle/reuse networks within shrimp valorization strategies for resources conservation.","author":[{"dropping-particle":"","family":"Moreno-Sader","given":"Kariana Andrea","non-dropping-particle":"","parse-names":false,"suffix":""},{"dropping-particle":"","family":"Martínez-Consuegra","given":"Jairo","non-dropping-particle":"","parse-names":false,"suffix":""},{"dropping-particle":"","family":"González-Delgado","given":"Ángel Darío","non-dropping-particle":"","parse-names":false,"suffix":""}],"container-title":"Food and Bioproducts Processing","id":"ITEM-1","issued":{"date-parts":[["2021"]]},"page":"443-453","title":"An integrated biorefinery approach via material recycle/reuse networks for the extraction of value-added components from shrimp: Computer-aided simulation and environmental assessment","type":"article-journal","volume":"127"},"uris":["http://www.mendeley.com/documents/?uuid=b1bb82b6-2c33-4a12-a34c-dfd57e4e41ff"]}],"mendeley":{"formattedCitation":"(18)","plainTextFormattedCitation":"(18)","previouslyFormattedCitation":"(Moreno-Sader, Martínez-Consuegra, et al., 2021)"},"properties":{"noteIndex":0},"schema":"https://github.com/citation-style-language/schema/raw/master/csl-citation.json"}</w:instrText>
      </w:r>
      <w:r w:rsidR="00341C8D">
        <w:rPr>
          <w:bCs/>
          <w:i w:val="0"/>
          <w:szCs w:val="28"/>
          <w:lang w:val="en-US"/>
        </w:rPr>
        <w:fldChar w:fldCharType="separate"/>
      </w:r>
      <w:r w:rsidR="005276A0" w:rsidRPr="005276A0">
        <w:rPr>
          <w:bCs/>
          <w:i w:val="0"/>
          <w:noProof/>
          <w:szCs w:val="28"/>
          <w:lang w:val="en-US"/>
        </w:rPr>
        <w:t>(18)</w:t>
      </w:r>
      <w:r w:rsidR="00341C8D">
        <w:rPr>
          <w:bCs/>
          <w:i w:val="0"/>
          <w:szCs w:val="28"/>
          <w:lang w:val="en-US"/>
        </w:rPr>
        <w:fldChar w:fldCharType="end"/>
      </w:r>
      <w:r w:rsidR="00A8480B">
        <w:rPr>
          <w:bCs/>
          <w:i w:val="0"/>
          <w:szCs w:val="28"/>
          <w:lang w:val="en-US"/>
        </w:rPr>
        <w:t>.</w:t>
      </w:r>
    </w:p>
    <w:p w14:paraId="184B1A05" w14:textId="00424BA0" w:rsidR="002F0879" w:rsidRPr="003965C0" w:rsidRDefault="002F0879" w:rsidP="007F08DC">
      <w:pPr>
        <w:pStyle w:val="CETCaption"/>
        <w:spacing w:before="0" w:after="0"/>
        <w:rPr>
          <w:rFonts w:eastAsia="Arial"/>
          <w:lang w:val="en-US"/>
        </w:rPr>
      </w:pPr>
      <w:r>
        <w:rPr>
          <w:noProof/>
        </w:rPr>
        <w:drawing>
          <wp:inline distT="0" distB="0" distL="0" distR="0" wp14:anchorId="28BAAD90" wp14:editId="0D52749C">
            <wp:extent cx="2407920" cy="1632585"/>
            <wp:effectExtent l="0" t="0" r="11430" b="5715"/>
            <wp:docPr id="1105051188" name="Chart 1">
              <a:extLst xmlns:a="http://schemas.openxmlformats.org/drawingml/2006/main">
                <a:ext uri="{FF2B5EF4-FFF2-40B4-BE49-F238E27FC236}">
                  <a16:creationId xmlns:a16="http://schemas.microsoft.com/office/drawing/2014/main" id="{7A68D05B-4716-4E32-98D6-159AB59EC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F0879">
        <w:rPr>
          <w:noProof/>
        </w:rPr>
        <w:t xml:space="preserve"> </w:t>
      </w:r>
      <w:r>
        <w:rPr>
          <w:noProof/>
        </w:rPr>
        <w:drawing>
          <wp:inline distT="0" distB="0" distL="0" distR="0" wp14:anchorId="550F0D45" wp14:editId="3AD15FBC">
            <wp:extent cx="2827020" cy="1636395"/>
            <wp:effectExtent l="0" t="0" r="11430" b="1905"/>
            <wp:docPr id="1960403016" name="Chart 1">
              <a:extLst xmlns:a="http://schemas.openxmlformats.org/drawingml/2006/main">
                <a:ext uri="{FF2B5EF4-FFF2-40B4-BE49-F238E27FC236}">
                  <a16:creationId xmlns:a16="http://schemas.microsoft.com/office/drawing/2014/main" id="{2E32771A-9AAD-4898-93E3-90257D392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5570BC" w14:textId="77FED7F0" w:rsidR="00612B51" w:rsidRDefault="00612B51" w:rsidP="00FF6A32">
      <w:pPr>
        <w:pStyle w:val="CETCaption"/>
        <w:spacing w:before="0"/>
        <w:rPr>
          <w:rFonts w:eastAsia="Arial"/>
          <w:i w:val="0"/>
          <w:iCs/>
        </w:rPr>
      </w:pPr>
      <w:r w:rsidRPr="007F08DC">
        <w:rPr>
          <w:rFonts w:eastAsia="Arial"/>
          <w:b/>
          <w:bCs/>
          <w:i w:val="0"/>
          <w:iCs/>
          <w:lang w:val="en-US"/>
        </w:rPr>
        <w:t xml:space="preserve">Figure 4. </w:t>
      </w:r>
      <w:r w:rsidR="003965C0" w:rsidRPr="007F08DC">
        <w:rPr>
          <w:rFonts w:eastAsia="Arial"/>
          <w:i w:val="0"/>
          <w:iCs/>
        </w:rPr>
        <w:t xml:space="preserve">Total output and generated toxicological impacts for </w:t>
      </w:r>
      <w:r w:rsidR="00C649CF">
        <w:rPr>
          <w:rFonts w:eastAsia="Arial"/>
          <w:i w:val="0"/>
          <w:iCs/>
        </w:rPr>
        <w:t xml:space="preserve">an </w:t>
      </w:r>
      <w:r w:rsidR="003965C0" w:rsidRPr="007F08DC">
        <w:rPr>
          <w:rFonts w:eastAsia="Arial"/>
          <w:i w:val="0"/>
          <w:iCs/>
        </w:rPr>
        <w:t xml:space="preserve">avocado </w:t>
      </w:r>
      <w:r w:rsidR="007F08DC" w:rsidRPr="007F08DC">
        <w:rPr>
          <w:rFonts w:eastAsia="Arial"/>
          <w:i w:val="0"/>
          <w:iCs/>
        </w:rPr>
        <w:t>cascade biorefinery.</w:t>
      </w:r>
    </w:p>
    <w:p w14:paraId="47143630" w14:textId="7424FADD" w:rsidR="00D413BE" w:rsidRPr="00BB1895" w:rsidRDefault="00D413BE" w:rsidP="009B53EF">
      <w:pPr>
        <w:pStyle w:val="CETCaption"/>
        <w:spacing w:before="0" w:after="0"/>
        <w:rPr>
          <w:rFonts w:eastAsia="Arial"/>
          <w:i w:val="0"/>
          <w:iCs/>
        </w:rPr>
      </w:pPr>
      <w:r w:rsidRPr="006F6391">
        <w:rPr>
          <w:bCs/>
          <w:i w:val="0"/>
          <w:lang w:val="en-US"/>
        </w:rPr>
        <w:t xml:space="preserve">Figure </w:t>
      </w:r>
      <w:r>
        <w:rPr>
          <w:bCs/>
          <w:i w:val="0"/>
          <w:lang w:val="en-US"/>
        </w:rPr>
        <w:t>5</w:t>
      </w:r>
      <w:r w:rsidRPr="006F6391">
        <w:rPr>
          <w:bCs/>
          <w:i w:val="0"/>
          <w:lang w:val="en-US"/>
        </w:rPr>
        <w:t xml:space="preserve"> shows the PEIs for the atmospheric and toxicological categories according to the type of fuel used to satisfy the energy requirements.</w:t>
      </w:r>
      <w:r w:rsidR="00662AE4">
        <w:rPr>
          <w:bCs/>
          <w:i w:val="0"/>
          <w:lang w:val="en-US"/>
        </w:rPr>
        <w:t xml:space="preserve"> </w:t>
      </w:r>
      <w:r w:rsidR="00BB1895">
        <w:rPr>
          <w:bCs/>
          <w:i w:val="0"/>
          <w:lang w:val="en-US"/>
        </w:rPr>
        <w:t>Coal</w:t>
      </w:r>
      <w:r w:rsidR="00662AE4">
        <w:rPr>
          <w:bCs/>
          <w:i w:val="0"/>
          <w:lang w:val="en-US"/>
        </w:rPr>
        <w:t xml:space="preserve"> had the worst performance of the fuels, followed by the liquid fuel, and lastly, the gas with the best performance.</w:t>
      </w:r>
      <w:r w:rsidR="00BB1895">
        <w:rPr>
          <w:bCs/>
          <w:i w:val="0"/>
          <w:lang w:val="en-US"/>
        </w:rPr>
        <w:t xml:space="preserve"> The difference between fuels is expected as coal’s chemical structure and energy content lead to more emissions like SO</w:t>
      </w:r>
      <w:r w:rsidR="00BB1895" w:rsidRPr="00BB1895">
        <w:rPr>
          <w:bCs/>
          <w:i w:val="0"/>
          <w:vertAlign w:val="subscript"/>
          <w:lang w:val="en-US"/>
        </w:rPr>
        <w:t>2</w:t>
      </w:r>
      <w:r w:rsidR="00BB1895">
        <w:rPr>
          <w:bCs/>
          <w:i w:val="0"/>
          <w:lang w:val="en-US"/>
        </w:rPr>
        <w:t>, NO</w:t>
      </w:r>
      <w:r w:rsidR="00BB1895" w:rsidRPr="00BB1895">
        <w:rPr>
          <w:bCs/>
          <w:i w:val="0"/>
          <w:vertAlign w:val="subscript"/>
          <w:lang w:val="en-US"/>
        </w:rPr>
        <w:t>2</w:t>
      </w:r>
      <w:r w:rsidR="00BB1895">
        <w:rPr>
          <w:bCs/>
          <w:i w:val="0"/>
          <w:lang w:val="en-US"/>
        </w:rPr>
        <w:t xml:space="preserve"> and CO</w:t>
      </w:r>
      <w:r w:rsidR="00BB1895" w:rsidRPr="00BB1895">
        <w:rPr>
          <w:bCs/>
          <w:i w:val="0"/>
          <w:vertAlign w:val="subscript"/>
          <w:lang w:val="en-US"/>
        </w:rPr>
        <w:t>2</w:t>
      </w:r>
      <w:r w:rsidR="00BB1895">
        <w:rPr>
          <w:bCs/>
          <w:i w:val="0"/>
          <w:lang w:val="en-US"/>
        </w:rPr>
        <w:t xml:space="preserve"> or volatile organic compounds (VOC) compared to gas and oil</w:t>
      </w:r>
      <w:r w:rsidR="00A348B5">
        <w:rPr>
          <w:bCs/>
          <w:i w:val="0"/>
          <w:lang w:val="en-US"/>
        </w:rPr>
        <w:t xml:space="preserve"> </w:t>
      </w:r>
      <w:r w:rsidR="00A348B5">
        <w:rPr>
          <w:bCs/>
          <w:i w:val="0"/>
          <w:lang w:val="en-US"/>
        </w:rPr>
        <w:fldChar w:fldCharType="begin" w:fldLock="1"/>
      </w:r>
      <w:r w:rsidR="005276A0">
        <w:rPr>
          <w:bCs/>
          <w:i w:val="0"/>
          <w:lang w:val="en-US"/>
        </w:rPr>
        <w:instrText>ADDIN CSL_CITATION {"citationItems":[{"id":"ITEM-1","itemData":{"DOI":"10.3390/polym15132902","ISSN":"20734360","abstract":"The new demands for sustainable operation in the chemical industry due to increasing environmental regulations and agreements have generated the need to adapt existing processes to more intelligent production. The plastics sector is in a complex position due to its contribution to economic development and the climate crisis. Therefore, environmental assessment has become an important tool due to the benefits it provides by quantifying the environmental performance of processes, allowing it to balance operational and environmental needs. Polyvinyl chloride (PVC) is one of the most globally used polymers thanks to its resistance, flexibility, and cost-effectiveness. The polymer is synthetized by suspension polymerization, which is characterized by high productivity and controllability. However, it presents problems associated with intensive energy consumption and the emission of toxic substances and greenhouse gases. Therefore, an environmental assessment of the suspension PVC production process was performed using the waste reduction algorithm (WAR). The potential environmental impact (PEI) was quantified using the generation rate and the output velocity for four cases and three different fuels. It was found that the process transforms raw materials with high impacts, such as VCM, into substances with lower PEI, such as PVC. However, the process has a high generation of PEI due to the effects of energy consumption (−2860, −2410, 3020, and 3410 for cases 1–4, respectively). The evaluation of the toxicological impacts shows that the ATP category is the only one that presents a positive generation value (75 PEI/day); the product contributes to the formation and emission of impacts. The atmospheric categories showed that the energy consumption of the process is the most critical aspect with a contribution of 91% of the total impacts emitted. The AP and GWP categories presented the highest values. It was determined that the most suitable fuel is natural gas; it has lower impacts than liquid and solid fuels (coal). Additionally, it can be concluded that the PVC production process by suspension is environmentally acceptable compared to the polyethylene or polypropylene processes, with output impacts 228 and 2561 times lower, respectively.","author":[{"dropping-particle":"","family":"González-Delgado","given":"Ángel Darío","non-dropping-particle":"","parse-names":false,"suffix":""},{"dropping-particle":"","family":"Ramos-Olmos","given":"Miguel","non-dropping-particle":"","parse-names":false,"suffix":""},{"dropping-particle":"","family":"Aguilar-Vásquez","given":"Eduardo","non-dropping-particle":"","parse-names":false,"suffix":""}],"container-title":"Polymers","id":"ITEM-1","issue":"13","issued":{"date-parts":[["2023"]]},"title":"Environmental Impacts Assessment in Suspension PVC Production Process Using Computer-Aided Process Engineering","type":"article-journal","volume":"15"},"uris":["http://www.mendeley.com/documents/?uuid=c6df30f5-01ad-4063-a3be-7bf4017b5235"]}],"mendeley":{"formattedCitation":"(19)","plainTextFormattedCitation":"(19)","previouslyFormattedCitation":"(González-Delgado et al., 2023)"},"properties":{"noteIndex":0},"schema":"https://github.com/citation-style-language/schema/raw/master/csl-citation.json"}</w:instrText>
      </w:r>
      <w:r w:rsidR="00A348B5">
        <w:rPr>
          <w:bCs/>
          <w:i w:val="0"/>
          <w:lang w:val="en-US"/>
        </w:rPr>
        <w:fldChar w:fldCharType="separate"/>
      </w:r>
      <w:r w:rsidR="005276A0" w:rsidRPr="005276A0">
        <w:rPr>
          <w:bCs/>
          <w:i w:val="0"/>
          <w:noProof/>
          <w:lang w:val="en-US"/>
        </w:rPr>
        <w:t>(19)</w:t>
      </w:r>
      <w:r w:rsidR="00A348B5">
        <w:rPr>
          <w:bCs/>
          <w:i w:val="0"/>
          <w:lang w:val="en-US"/>
        </w:rPr>
        <w:fldChar w:fldCharType="end"/>
      </w:r>
      <w:r w:rsidR="00BB1895">
        <w:rPr>
          <w:bCs/>
          <w:i w:val="0"/>
          <w:lang w:val="en-US"/>
        </w:rPr>
        <w:t xml:space="preserve">. The most impacted categories are associated with gas emissions, like AP, GWP, however, ATP and TTP and HTPI also appear affected by the typo of fuel employed. These categories can be affected as compounds expelled from the combustion can lodge inside ecosystems like the VOCs. </w:t>
      </w:r>
      <w:r w:rsidR="00BB1895">
        <w:rPr>
          <w:bCs/>
          <w:i w:val="0"/>
          <w:lang w:val="en-US"/>
        </w:rPr>
        <w:lastRenderedPageBreak/>
        <w:t xml:space="preserve">Consequently, the choice of fuel in these facilities is a key factor, as they </w:t>
      </w:r>
      <w:r w:rsidR="00E517C4">
        <w:rPr>
          <w:bCs/>
          <w:i w:val="0"/>
          <w:lang w:val="en-US"/>
        </w:rPr>
        <w:t>are</w:t>
      </w:r>
      <w:r w:rsidR="00BB1895">
        <w:rPr>
          <w:bCs/>
          <w:i w:val="0"/>
          <w:lang w:val="en-US"/>
        </w:rPr>
        <w:t xml:space="preserve"> in rural settings</w:t>
      </w:r>
      <w:r w:rsidR="00C47841">
        <w:rPr>
          <w:bCs/>
          <w:i w:val="0"/>
          <w:lang w:val="en-US"/>
        </w:rPr>
        <w:t>, solids fuels can be used as cheap source of energy but can lead to further impacts unintentionally.</w:t>
      </w:r>
    </w:p>
    <w:p w14:paraId="05687223" w14:textId="4C547485" w:rsidR="002F0879" w:rsidRDefault="002F0879" w:rsidP="007F08DC">
      <w:pPr>
        <w:pStyle w:val="CETCaption"/>
        <w:spacing w:before="0" w:after="0"/>
        <w:jc w:val="center"/>
        <w:rPr>
          <w:rFonts w:eastAsia="Arial"/>
        </w:rPr>
      </w:pPr>
      <w:r>
        <w:rPr>
          <w:noProof/>
        </w:rPr>
        <w:drawing>
          <wp:inline distT="0" distB="0" distL="0" distR="0" wp14:anchorId="5F06E9E8" wp14:editId="110CC86F">
            <wp:extent cx="3406140" cy="1920240"/>
            <wp:effectExtent l="0" t="0" r="3810" b="3810"/>
            <wp:docPr id="1862748942" name="Chart 1">
              <a:extLst xmlns:a="http://schemas.openxmlformats.org/drawingml/2006/main">
                <a:ext uri="{FF2B5EF4-FFF2-40B4-BE49-F238E27FC236}">
                  <a16:creationId xmlns:a16="http://schemas.microsoft.com/office/drawing/2014/main" id="{CF5FF13E-D161-0FA3-6E42-9D3A20718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DC49A8" w14:textId="68BBBC26" w:rsidR="002F0879" w:rsidRPr="007F08DC" w:rsidRDefault="002F0879" w:rsidP="00FF6A32">
      <w:pPr>
        <w:pStyle w:val="CETCaption"/>
        <w:spacing w:before="0"/>
        <w:rPr>
          <w:rFonts w:eastAsia="Arial"/>
          <w:i w:val="0"/>
          <w:iCs/>
          <w:lang w:val="en-US"/>
        </w:rPr>
      </w:pPr>
      <w:r w:rsidRPr="0062468A">
        <w:rPr>
          <w:rFonts w:eastAsia="Arial"/>
          <w:b/>
          <w:bCs/>
          <w:i w:val="0"/>
          <w:iCs/>
          <w:lang w:val="en-US"/>
        </w:rPr>
        <w:t xml:space="preserve">Figure </w:t>
      </w:r>
      <w:r w:rsidRPr="0062468A">
        <w:rPr>
          <w:rFonts w:eastAsia="Arial"/>
          <w:b/>
          <w:bCs/>
          <w:i w:val="0"/>
          <w:iCs/>
          <w:lang w:val="en-US"/>
        </w:rPr>
        <w:t>5</w:t>
      </w:r>
      <w:r w:rsidRPr="0062468A">
        <w:rPr>
          <w:rFonts w:eastAsia="Arial"/>
          <w:b/>
          <w:bCs/>
          <w:i w:val="0"/>
          <w:iCs/>
          <w:lang w:val="en-US"/>
        </w:rPr>
        <w:t>.</w:t>
      </w:r>
      <w:r w:rsidRPr="00612B51">
        <w:rPr>
          <w:rFonts w:eastAsia="Arial"/>
          <w:b/>
          <w:bCs/>
          <w:lang w:val="en-US"/>
        </w:rPr>
        <w:t xml:space="preserve"> </w:t>
      </w:r>
      <w:r w:rsidR="007F08DC">
        <w:rPr>
          <w:rFonts w:eastAsia="Arial"/>
          <w:i w:val="0"/>
          <w:iCs/>
          <w:lang w:val="en-US"/>
        </w:rPr>
        <w:t xml:space="preserve">Output rate of PEI </w:t>
      </w:r>
      <w:r w:rsidR="00421372">
        <w:rPr>
          <w:rFonts w:eastAsia="Arial"/>
          <w:i w:val="0"/>
          <w:iCs/>
          <w:lang w:val="en-US"/>
        </w:rPr>
        <w:t>regarding</w:t>
      </w:r>
      <w:r w:rsidR="007F08DC" w:rsidRPr="007F08DC">
        <w:rPr>
          <w:rFonts w:eastAsia="Arial"/>
          <w:i w:val="0"/>
          <w:iCs/>
          <w:lang w:val="en-US"/>
        </w:rPr>
        <w:t xml:space="preserve"> energy source</w:t>
      </w:r>
      <w:r w:rsidR="007F08DC">
        <w:rPr>
          <w:rFonts w:eastAsia="Arial"/>
          <w:i w:val="0"/>
          <w:iCs/>
          <w:lang w:val="en-US"/>
        </w:rPr>
        <w:t>.</w:t>
      </w:r>
    </w:p>
    <w:p w14:paraId="4D3A3446" w14:textId="4F438EDA" w:rsidR="005F29D3" w:rsidRDefault="00000000" w:rsidP="00D65B74">
      <w:pPr>
        <w:pStyle w:val="CETHeading1"/>
        <w:numPr>
          <w:ilvl w:val="0"/>
          <w:numId w:val="15"/>
        </w:numPr>
        <w:rPr>
          <w:rFonts w:eastAsia="Arial"/>
        </w:rPr>
      </w:pPr>
      <w:r>
        <w:rPr>
          <w:rFonts w:eastAsia="Arial"/>
        </w:rPr>
        <w:t>Conclusions</w:t>
      </w:r>
    </w:p>
    <w:p w14:paraId="5AF4AFF8" w14:textId="3B5DA269" w:rsidR="003E2812" w:rsidRPr="005276A0" w:rsidRDefault="003E2812" w:rsidP="003E2812">
      <w:pPr>
        <w:pStyle w:val="CETBodytext"/>
        <w:rPr>
          <w:lang w:val="en-GB"/>
        </w:rPr>
      </w:pPr>
      <w:r w:rsidRPr="00305CC5">
        <w:t xml:space="preserve">The waste reduction algorithm (WAR) was implemented </w:t>
      </w:r>
      <w:r>
        <w:t>to evaluate</w:t>
      </w:r>
      <w:r w:rsidRPr="00305CC5">
        <w:t xml:space="preserve"> the environmental performance of </w:t>
      </w:r>
      <w:r w:rsidR="00A348B5">
        <w:t>a cascade biorefinery that processed avocado hard waste.</w:t>
      </w:r>
      <w:r w:rsidR="00322D1F" w:rsidRPr="00322D1F">
        <w:rPr>
          <w:lang w:val="en-GB"/>
        </w:rPr>
        <w:t xml:space="preserve"> </w:t>
      </w:r>
      <w:r w:rsidR="00322D1F" w:rsidRPr="00322D1F">
        <w:rPr>
          <w:lang w:val="en-GB"/>
        </w:rPr>
        <w:t xml:space="preserve">The avocado cascade biorefinery demonstrated </w:t>
      </w:r>
      <w:r w:rsidR="00322D1F">
        <w:rPr>
          <w:lang w:val="en-GB"/>
        </w:rPr>
        <w:t>a good environmental performance</w:t>
      </w:r>
      <w:r w:rsidR="00322D1F" w:rsidRPr="00322D1F">
        <w:rPr>
          <w:lang w:val="en-GB"/>
        </w:rPr>
        <w:t xml:space="preserve">, </w:t>
      </w:r>
      <w:r w:rsidR="00322D1F">
        <w:rPr>
          <w:lang w:val="en-GB"/>
        </w:rPr>
        <w:t>as expected to a green process,</w:t>
      </w:r>
      <w:r w:rsidR="005276A0">
        <w:rPr>
          <w:lang w:val="en-GB"/>
        </w:rPr>
        <w:t xml:space="preserve"> </w:t>
      </w:r>
      <w:r w:rsidR="00322D1F" w:rsidRPr="00322D1F">
        <w:rPr>
          <w:lang w:val="en-GB"/>
        </w:rPr>
        <w:t xml:space="preserve">indicating </w:t>
      </w:r>
      <w:r w:rsidR="00322D1F">
        <w:rPr>
          <w:lang w:val="en-GB"/>
        </w:rPr>
        <w:t>p</w:t>
      </w:r>
      <w:r w:rsidR="005276A0">
        <w:rPr>
          <w:lang w:val="en-GB"/>
        </w:rPr>
        <w:t>romising results if implemented in key producing regions</w:t>
      </w:r>
      <w:r w:rsidR="00322D1F" w:rsidRPr="00322D1F">
        <w:rPr>
          <w:lang w:val="en-GB"/>
        </w:rPr>
        <w:t xml:space="preserve"> </w:t>
      </w:r>
      <w:r w:rsidR="005276A0">
        <w:rPr>
          <w:lang w:val="en-GB"/>
        </w:rPr>
        <w:t xml:space="preserve">as </w:t>
      </w:r>
      <w:r w:rsidR="00322D1F" w:rsidRPr="00322D1F">
        <w:rPr>
          <w:lang w:val="en-GB"/>
        </w:rPr>
        <w:t>compared to similar processes. Fuel selection significantly influenced atmospheric impacts, with coal exhibiting the highest burdens and gas the lowest, particularly in GWP and AP categories. Toxicological impacts were negligible across all cases, although inclusion of product streams slightly increased total PEI due to their intrinsic footprint. Overall, the implementation of cleaner fuels and resource efficiency strategies, such as solvent recovery and mass integration, is essential to further improve process sustainability.</w:t>
      </w:r>
    </w:p>
    <w:p w14:paraId="2D153CC1" w14:textId="77777777" w:rsidR="005F29D3" w:rsidRPr="00BE0FD2" w:rsidRDefault="00000000" w:rsidP="00734B75">
      <w:pPr>
        <w:pStyle w:val="CETAcknowledgementstitle"/>
        <w:rPr>
          <w:rFonts w:eastAsia="Arial"/>
          <w:sz w:val="20"/>
          <w:szCs w:val="22"/>
        </w:rPr>
      </w:pPr>
      <w:r w:rsidRPr="00BE0FD2">
        <w:rPr>
          <w:rFonts w:eastAsia="Arial"/>
          <w:sz w:val="20"/>
          <w:szCs w:val="22"/>
        </w:rPr>
        <w:t>Acknowledgments</w:t>
      </w:r>
    </w:p>
    <w:p w14:paraId="264CB8E6" w14:textId="77777777" w:rsidR="0087373F" w:rsidRPr="000731B1" w:rsidRDefault="0087373F" w:rsidP="0087373F">
      <w:pPr>
        <w:pStyle w:val="CETAcknowledgementstitle"/>
        <w:rPr>
          <w:rFonts w:eastAsia="Arial"/>
        </w:rPr>
      </w:pPr>
      <w:r w:rsidRPr="000731B1">
        <w:rPr>
          <w:rFonts w:eastAsia="Arial"/>
          <w:b w:val="0"/>
          <w:lang w:val="en-US"/>
        </w:rPr>
        <w:t>The authors gratefully acknowledge the financial support provided by the Universidad de Cartagena and the Colombian Ministry of Science, Technology, and Innovation (</w:t>
      </w:r>
      <w:proofErr w:type="spellStart"/>
      <w:r w:rsidRPr="000731B1">
        <w:rPr>
          <w:rFonts w:eastAsia="Arial"/>
          <w:b w:val="0"/>
          <w:lang w:val="en-US"/>
        </w:rPr>
        <w:t>Minciencias</w:t>
      </w:r>
      <w:proofErr w:type="spellEnd"/>
      <w:r w:rsidRPr="000731B1">
        <w:rPr>
          <w:rFonts w:eastAsia="Arial"/>
          <w:b w:val="0"/>
          <w:lang w:val="en-US"/>
        </w:rPr>
        <w:t xml:space="preserve">). This work was funded under the project SIGP 100307 and contract 442-2023. </w:t>
      </w:r>
    </w:p>
    <w:p w14:paraId="1554D881" w14:textId="2D1240CC" w:rsidR="005F29D3" w:rsidRDefault="00000000" w:rsidP="00C63B18">
      <w:pPr>
        <w:pStyle w:val="CETReference"/>
        <w:rPr>
          <w:rFonts w:eastAsia="Arial"/>
          <w:sz w:val="20"/>
          <w:szCs w:val="22"/>
          <w:lang w:val="es-CO"/>
        </w:rPr>
      </w:pPr>
      <w:proofErr w:type="spellStart"/>
      <w:r w:rsidRPr="00BE0FD2">
        <w:rPr>
          <w:rFonts w:eastAsia="Arial"/>
          <w:sz w:val="20"/>
          <w:szCs w:val="22"/>
          <w:lang w:val="es-CO"/>
        </w:rPr>
        <w:t>References</w:t>
      </w:r>
      <w:proofErr w:type="spellEnd"/>
    </w:p>
    <w:p w14:paraId="50B368A8" w14:textId="380D96B5" w:rsidR="005276A0" w:rsidRPr="005276A0" w:rsidRDefault="00BE0FD2" w:rsidP="005276A0">
      <w:pPr>
        <w:widowControl w:val="0"/>
        <w:autoSpaceDE w:val="0"/>
        <w:autoSpaceDN w:val="0"/>
        <w:adjustRightInd w:val="0"/>
        <w:spacing w:before="200" w:after="120" w:line="240" w:lineRule="auto"/>
        <w:ind w:left="640" w:hanging="640"/>
        <w:rPr>
          <w:rFonts w:cs="Arial"/>
          <w:noProof/>
        </w:rPr>
      </w:pPr>
      <w:r w:rsidRPr="00F96A39">
        <w:rPr>
          <w:rFonts w:eastAsia="Arial"/>
          <w:b/>
          <w:bCs/>
          <w:lang w:val="es-CO"/>
        </w:rPr>
        <w:fldChar w:fldCharType="begin" w:fldLock="1"/>
      </w:r>
      <w:r w:rsidRPr="00F96A39">
        <w:rPr>
          <w:rFonts w:eastAsia="Arial"/>
          <w:b/>
          <w:bCs/>
          <w:lang w:val="es-CO"/>
        </w:rPr>
        <w:instrText xml:space="preserve">ADDIN Mendeley Bibliography CSL_BIBLIOGRAPHY </w:instrText>
      </w:r>
      <w:r w:rsidRPr="00F96A39">
        <w:rPr>
          <w:rFonts w:eastAsia="Arial"/>
          <w:b/>
          <w:bCs/>
          <w:lang w:val="es-CO"/>
        </w:rPr>
        <w:fldChar w:fldCharType="separate"/>
      </w:r>
      <w:r w:rsidR="005276A0" w:rsidRPr="005276A0">
        <w:rPr>
          <w:rFonts w:cs="Arial"/>
          <w:noProof/>
        </w:rPr>
        <w:t>1.</w:t>
      </w:r>
      <w:r w:rsidR="005276A0" w:rsidRPr="005276A0">
        <w:rPr>
          <w:rFonts w:cs="Arial"/>
          <w:noProof/>
        </w:rPr>
        <w:tab/>
        <w:t xml:space="preserve">Sandoval-Contreras T, González Chávez F, Poonia A, Iñiguez-Moreno M, Aguirre-Güitrón L. Avocado Waste Biorefinery: Towards Sustainable Development. Recycling. 2023;8(5):1–23. </w:t>
      </w:r>
    </w:p>
    <w:p w14:paraId="0DC2E235"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2.</w:t>
      </w:r>
      <w:r w:rsidRPr="005276A0">
        <w:rPr>
          <w:rFonts w:cs="Arial"/>
          <w:noProof/>
        </w:rPr>
        <w:tab/>
        <w:t>Leong HY, Chang CK, Khoo KS, Chew KW, Chia SR, Lim JW, et al. Waste biorefinery towards a sustainable circular bioeconomy: a solution to global issues. Biotechnol Biofuels [Internet]. 2021;14(1):1–15. Available from: https://doi.org/10.1186/s13068-021-01939-5</w:t>
      </w:r>
    </w:p>
    <w:p w14:paraId="086CB152"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3.</w:t>
      </w:r>
      <w:r w:rsidRPr="005276A0">
        <w:rPr>
          <w:rFonts w:cs="Arial"/>
          <w:noProof/>
        </w:rPr>
        <w:tab/>
        <w:t>Wagh MS, S S, Nath PC, Chakraborty A, Amrit R, Mishra B, et al. Valorisation of agro-industrial wastes: Circular bioeconomy and biorefinery process – A sustainable symphony. Process Saf Environ Prot [Internet]. 2024;183(January):708–25. Available from: https://doi.org/10.1016/j.psep.2024.01.055</w:t>
      </w:r>
    </w:p>
    <w:p w14:paraId="4CDB54C1"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4.</w:t>
      </w:r>
      <w:r w:rsidRPr="005276A0">
        <w:rPr>
          <w:rFonts w:cs="Arial"/>
          <w:noProof/>
        </w:rPr>
        <w:tab/>
        <w:t>Mahmud R, Moni SM, High K, Carbajales-Dale M. Integration of techno-economic analysis and life cycle assessment for sustainable process design – A review. J Clean Prod [Internet]. 2021;317(June):128247. Available from: https://doi.org/10.1016/j.jclepro.2021.128247</w:t>
      </w:r>
    </w:p>
    <w:p w14:paraId="154F5246"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5.</w:t>
      </w:r>
      <w:r w:rsidRPr="005276A0">
        <w:rPr>
          <w:rFonts w:cs="Arial"/>
          <w:noProof/>
        </w:rPr>
        <w:tab/>
        <w:t>Shadiya OO, Satish V, High KA. Process enhancement through waste minimization and multiobjective optimization. J Clean Prod [Internet]. 2012;31:137–49. Available from: http://dx.doi.org/10.1016/j.jclepro.2012.03.008</w:t>
      </w:r>
    </w:p>
    <w:p w14:paraId="1F13F8F6"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6.</w:t>
      </w:r>
      <w:r w:rsidRPr="005276A0">
        <w:rPr>
          <w:rFonts w:cs="Arial"/>
          <w:noProof/>
        </w:rPr>
        <w:tab/>
        <w:t>Sammons N, Yuan W, Bommareddy S, Eden M, Aksoy B, Cullinan H. A Systematic Approach to Determine Economic Potential and Environmental Impact of Biorefineries [Internet]. Vol. 26, Computer Aided Chemical Engineering. Elsevier B.V.; 2009. 1135–1140 p. Available from: http://dx.doi.org/10.1016/S1570-7946(09)70189-0</w:t>
      </w:r>
    </w:p>
    <w:p w14:paraId="5C42AB50"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7.</w:t>
      </w:r>
      <w:r w:rsidRPr="005276A0">
        <w:rPr>
          <w:rFonts w:cs="Arial"/>
          <w:noProof/>
        </w:rPr>
        <w:tab/>
        <w:t xml:space="preserve">Herrera-aristizábal R, Salgado-dueñas JS, Yolima Y. Environmental Evaluation of a Palm-based </w:t>
      </w:r>
      <w:r w:rsidRPr="005276A0">
        <w:rPr>
          <w:rFonts w:cs="Arial"/>
          <w:noProof/>
        </w:rPr>
        <w:lastRenderedPageBreak/>
        <w:t xml:space="preserve">biorefinery under North-Colombian Conditions. 2017;57. </w:t>
      </w:r>
    </w:p>
    <w:p w14:paraId="04B313E0"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8.</w:t>
      </w:r>
      <w:r w:rsidRPr="005276A0">
        <w:rPr>
          <w:rFonts w:cs="Arial"/>
          <w:noProof/>
        </w:rPr>
        <w:tab/>
        <w:t xml:space="preserve">Bertel F, Cogollo G, Meramo-Hurtado S, González-Delgado A. Computer aided environmental analysis of a large-scale production of chitosan micro-beads modified with thiourea and magnetite. IOP Conf Ser Mater Sci Eng. 2019;519(1). </w:t>
      </w:r>
    </w:p>
    <w:p w14:paraId="650E3CDC"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9.</w:t>
      </w:r>
      <w:r w:rsidRPr="005276A0">
        <w:rPr>
          <w:rFonts w:cs="Arial"/>
          <w:noProof/>
        </w:rPr>
        <w:tab/>
        <w:t xml:space="preserve">Meramo SI, Bonfante H, De Avila-Montiel G, Herrera-Barros A, Gonzalez-Delgado A. Environmental assessment of a large-scale production of TiO2 nanoparticles via green chemistry. Chem Eng Trans. 2018;70:1063–8. </w:t>
      </w:r>
    </w:p>
    <w:p w14:paraId="6E419E82"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10.</w:t>
      </w:r>
      <w:r w:rsidRPr="005276A0">
        <w:rPr>
          <w:rFonts w:cs="Arial"/>
          <w:noProof/>
        </w:rPr>
        <w:tab/>
        <w:t>Moreno-Sader KA, Martinez-Consuegra JD, González-Delgado ÁD. Development of a biorefinery approach for shrimp processing in North-Colombia: Process simulation and sustainability assessment. Environ Technol Innov [Internet]. 2021;22:101461. Available from: https://doi.org/10.1016/j.eti.2021.101461</w:t>
      </w:r>
    </w:p>
    <w:p w14:paraId="666AD237"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11.</w:t>
      </w:r>
      <w:r w:rsidRPr="005276A0">
        <w:rPr>
          <w:rFonts w:cs="Arial"/>
          <w:noProof/>
        </w:rPr>
        <w:tab/>
        <w:t xml:space="preserve">Herrera-Rodríguez T, Parejo-Palacio V, González-Delgado Á. Evaluación ambiental mediante algoritmo de reducción de residuos WAR de la producción de aceite y biochar a partir de aguacate criollo en el Norte de Colombia. Rev Ing-Nova. 2023;2(1):11–22. </w:t>
      </w:r>
    </w:p>
    <w:p w14:paraId="2B0F84E3"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12.</w:t>
      </w:r>
      <w:r w:rsidRPr="005276A0">
        <w:rPr>
          <w:rFonts w:cs="Arial"/>
          <w:noProof/>
        </w:rPr>
        <w:tab/>
        <w:t xml:space="preserve">Valdez-Valdes SA, Tejeda-Benitez LP, González-Delgado ÁD. Assessing the Environmental Impacts of the Valorization of Creole-Antillean Avocado via an Extractive-Based Biorefinery in the Montes de María Region. Sustain. 2024;16(24). </w:t>
      </w:r>
    </w:p>
    <w:p w14:paraId="0D69CA71"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13.</w:t>
      </w:r>
      <w:r w:rsidRPr="005276A0">
        <w:rPr>
          <w:rFonts w:cs="Arial"/>
          <w:noProof/>
        </w:rPr>
        <w:tab/>
        <w:t xml:space="preserve">Alviz-Meza A, Valdez-Valdes SA, González-Delgado ÁD. Computer-Aided Simulation of a Cascade Biorefinery: Case Study of the Colombian Amazon’s Hass Avocado Waste. Chem Eng Trans. 2025;117(December 2024):67–72. </w:t>
      </w:r>
    </w:p>
    <w:p w14:paraId="2E87F997"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14.</w:t>
      </w:r>
      <w:r w:rsidRPr="005276A0">
        <w:rPr>
          <w:rFonts w:cs="Arial"/>
          <w:noProof/>
        </w:rPr>
        <w:tab/>
        <w:t xml:space="preserve">Cabezas H, Bare JC, Mallick SK. Pollution prevention with chemical process simulators: The generalized waste reduction (WAR) algorithm - Full version. Comput Chem Eng. 1999;23(4–5):623–34. </w:t>
      </w:r>
    </w:p>
    <w:p w14:paraId="317ED399"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15.</w:t>
      </w:r>
      <w:r w:rsidRPr="005276A0">
        <w:rPr>
          <w:rFonts w:cs="Arial"/>
          <w:noProof/>
        </w:rPr>
        <w:tab/>
        <w:t xml:space="preserve">Meramo S, Gonzalez-Quiroga A, Gonzalez-Delgado A. Technical, Environmental, and Process Safety Assessment of Acetone-Butanol-Ethanol Fermentation of Cassava Residues. Sustain. 2022;14(23). </w:t>
      </w:r>
    </w:p>
    <w:p w14:paraId="698861D5"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16.</w:t>
      </w:r>
      <w:r w:rsidRPr="005276A0">
        <w:rPr>
          <w:rFonts w:cs="Arial"/>
          <w:noProof/>
        </w:rPr>
        <w:tab/>
        <w:t xml:space="preserve">Herrera-Aristizábal R, Salgado-Dueñas JS, Peralta-Ruiz Y, Leal-Navarro J, González-Delgado ÁD. Environmental evaluation of the potential impacts generated by a refinery unit for hydrogen production from natural gas. Chem Eng Trans. 2018;70:1993–8. </w:t>
      </w:r>
    </w:p>
    <w:p w14:paraId="301E0CA2"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17.</w:t>
      </w:r>
      <w:r w:rsidRPr="005276A0">
        <w:rPr>
          <w:rFonts w:cs="Arial"/>
          <w:noProof/>
        </w:rPr>
        <w:tab/>
        <w:t xml:space="preserve">Herrera T, Parejo V, González-Delgado Á. Environmental Analysis of Avocado (Laurus Persea L.) Oil Production in North Colombia using the Waste Reduction Algorithm. Chem Eng Trans. 2022;91(March):235–40. </w:t>
      </w:r>
    </w:p>
    <w:p w14:paraId="0BD77E0B"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18.</w:t>
      </w:r>
      <w:r w:rsidRPr="005276A0">
        <w:rPr>
          <w:rFonts w:cs="Arial"/>
          <w:noProof/>
        </w:rPr>
        <w:tab/>
        <w:t xml:space="preserve">Moreno-Sader KA, Martínez-Consuegra J, González-Delgado ÁD. An integrated biorefinery approach via material recycle/reuse networks for the extraction of value-added components from shrimp: Computer-aided simulation and environmental assessment. Food Bioprod Process. 2021;127:443–53. </w:t>
      </w:r>
    </w:p>
    <w:p w14:paraId="650B21A5" w14:textId="77777777" w:rsidR="005276A0" w:rsidRPr="005276A0" w:rsidRDefault="005276A0" w:rsidP="005276A0">
      <w:pPr>
        <w:widowControl w:val="0"/>
        <w:autoSpaceDE w:val="0"/>
        <w:autoSpaceDN w:val="0"/>
        <w:adjustRightInd w:val="0"/>
        <w:spacing w:before="200" w:after="120" w:line="240" w:lineRule="auto"/>
        <w:ind w:left="640" w:hanging="640"/>
        <w:rPr>
          <w:rFonts w:cs="Arial"/>
          <w:noProof/>
        </w:rPr>
      </w:pPr>
      <w:r w:rsidRPr="005276A0">
        <w:rPr>
          <w:rFonts w:cs="Arial"/>
          <w:noProof/>
        </w:rPr>
        <w:t>19.</w:t>
      </w:r>
      <w:r w:rsidRPr="005276A0">
        <w:rPr>
          <w:rFonts w:cs="Arial"/>
          <w:noProof/>
        </w:rPr>
        <w:tab/>
        <w:t xml:space="preserve">González-Delgado ÁD, Ramos-Olmos M, Aguilar-Vásquez E. Environmental Impacts Assessment in Suspension PVC Production Process Using Computer-Aided Process Engineering. Polymers (Basel). 2023;15(13). </w:t>
      </w:r>
    </w:p>
    <w:p w14:paraId="7DE281D0" w14:textId="79525CB7" w:rsidR="00BE0FD2" w:rsidRPr="00BE0FD2" w:rsidRDefault="00BE0FD2" w:rsidP="00C63B18">
      <w:pPr>
        <w:pStyle w:val="CETReference"/>
        <w:rPr>
          <w:rFonts w:eastAsia="Arial"/>
          <w:b w:val="0"/>
          <w:bCs/>
          <w:sz w:val="20"/>
          <w:szCs w:val="22"/>
          <w:lang w:val="es-CO"/>
        </w:rPr>
      </w:pPr>
      <w:r w:rsidRPr="00F96A39">
        <w:rPr>
          <w:rFonts w:eastAsia="Arial"/>
          <w:b w:val="0"/>
          <w:bCs/>
          <w:lang w:val="es-CO"/>
        </w:rPr>
        <w:fldChar w:fldCharType="end"/>
      </w:r>
    </w:p>
    <w:sectPr w:rsidR="00BE0FD2" w:rsidRPr="00BE0FD2">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66FBA4D-63A8-4533-B3D4-63E589BB9C7D}"/>
    <w:embedBold r:id="rId2" w:fontKey="{4BD41EC5-0A31-4765-8F38-EB43E3E28A6D}"/>
    <w:embedItalic r:id="rId3" w:fontKey="{5794CE04-5C97-48A4-82BF-1FB38F414A5C}"/>
    <w:embedBoldItalic r:id="rId4" w:fontKey="{BAD6ED2F-C7D6-45D5-8100-586F000C577D}"/>
  </w:font>
  <w:font w:name="Tahoma">
    <w:panose1 w:val="020B0604030504040204"/>
    <w:charset w:val="00"/>
    <w:family w:val="swiss"/>
    <w:pitch w:val="variable"/>
    <w:sig w:usb0="E1002EFF" w:usb1="C000605B" w:usb2="00000029" w:usb3="00000000" w:csb0="000101FF" w:csb1="00000000"/>
    <w:embedRegular r:id="rId5" w:fontKey="{F254328B-83C3-46AE-BC9D-19AC1E851C8B}"/>
    <w:embedBold r:id="rId6" w:fontKey="{586BF6A2-A03E-4688-9820-C78B511DA407}"/>
  </w:font>
  <w:font w:name="Consolas">
    <w:panose1 w:val="020B0609020204030204"/>
    <w:charset w:val="00"/>
    <w:family w:val="modern"/>
    <w:pitch w:val="fixed"/>
    <w:sig w:usb0="E00006FF" w:usb1="0000FCFF" w:usb2="00000001" w:usb3="00000000" w:csb0="0000019F" w:csb1="00000000"/>
    <w:embedRegular r:id="rId7" w:fontKey="{07875293-96CA-46ED-A09A-9EA8DC9FD46F}"/>
  </w:font>
  <w:font w:name="Georgia">
    <w:panose1 w:val="02040502050405020303"/>
    <w:charset w:val="00"/>
    <w:family w:val="roman"/>
    <w:pitch w:val="variable"/>
    <w:sig w:usb0="00000287" w:usb1="00000000" w:usb2="00000000" w:usb3="00000000" w:csb0="0000009F" w:csb1="00000000"/>
    <w:embedRegular r:id="rId8" w:fontKey="{5681ACD1-1F5E-45E7-B839-D1784FDF5ADC}"/>
    <w:embedItalic r:id="rId9" w:fontKey="{C009F497-EF6C-4119-ABDA-96BABB2CF750}"/>
  </w:font>
  <w:font w:name="Palatino Linotype">
    <w:panose1 w:val="02040502050505030304"/>
    <w:charset w:val="00"/>
    <w:family w:val="roman"/>
    <w:pitch w:val="variable"/>
    <w:sig w:usb0="E0000287" w:usb1="40000013" w:usb2="00000000" w:usb3="00000000" w:csb0="0000019F" w:csb1="00000000"/>
    <w:embedRegular r:id="rId10" w:fontKey="{6F65307B-BDED-476A-A86C-55915A60A35B}"/>
  </w:font>
  <w:font w:name="AdvP6960">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1" w:fontKey="{1FE7AA43-5D6F-4E13-A4C1-CEB934F752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6006E"/>
    <w:multiLevelType w:val="multilevel"/>
    <w:tmpl w:val="3FDAF8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37E3F18"/>
    <w:multiLevelType w:val="hybridMultilevel"/>
    <w:tmpl w:val="B362377A"/>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2E651A86"/>
    <w:multiLevelType w:val="multilevel"/>
    <w:tmpl w:val="CAFA7D96"/>
    <w:lvl w:ilvl="0">
      <w:start w:val="1"/>
      <w:numFmt w:val="decimal"/>
      <w:lvlText w:val="Chapter %1"/>
      <w:lvlJc w:val="left"/>
      <w:pPr>
        <w:ind w:left="0" w:firstLine="0"/>
      </w:pPr>
    </w:lvl>
    <w:lvl w:ilvl="1">
      <w:start w:val="1"/>
      <w:numFmt w:val="decimal"/>
      <w:pStyle w:val="Heading1"/>
      <w:lvlText w:val="%2."/>
      <w:lvlJc w:val="left"/>
      <w:pPr>
        <w:ind w:left="0" w:firstLine="0"/>
      </w:pPr>
    </w:lvl>
    <w:lvl w:ilvl="2">
      <w:start w:val="1"/>
      <w:numFmt w:val="decimal"/>
      <w:pStyle w:val="CETheadingx"/>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4772167B"/>
    <w:multiLevelType w:val="multilevel"/>
    <w:tmpl w:val="1F7E7914"/>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421D74"/>
    <w:multiLevelType w:val="multilevel"/>
    <w:tmpl w:val="31A2897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9FD21CB"/>
    <w:multiLevelType w:val="multilevel"/>
    <w:tmpl w:val="1C8A4768"/>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6E57FC"/>
    <w:multiLevelType w:val="multilevel"/>
    <w:tmpl w:val="3CBC53C0"/>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BAF067E"/>
    <w:multiLevelType w:val="multilevel"/>
    <w:tmpl w:val="8C3C4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CDC277F"/>
    <w:multiLevelType w:val="multilevel"/>
    <w:tmpl w:val="D3CE13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FEB0604"/>
    <w:multiLevelType w:val="multilevel"/>
    <w:tmpl w:val="F4529A2A"/>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AC5553"/>
    <w:multiLevelType w:val="multilevel"/>
    <w:tmpl w:val="3C9C976A"/>
    <w:lvl w:ilvl="0">
      <w:start w:val="1"/>
      <w:numFmt w:val="bullet"/>
      <w:pStyle w:val="ListNumber"/>
      <w:lvlText w:val="●"/>
      <w:lvlJc w:val="left"/>
      <w:pPr>
        <w:ind w:left="340"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7510514">
    <w:abstractNumId w:val="2"/>
  </w:num>
  <w:num w:numId="2" w16cid:durableId="1726640284">
    <w:abstractNumId w:val="10"/>
  </w:num>
  <w:num w:numId="3" w16cid:durableId="513885806">
    <w:abstractNumId w:val="5"/>
  </w:num>
  <w:num w:numId="4" w16cid:durableId="1557276879">
    <w:abstractNumId w:val="3"/>
  </w:num>
  <w:num w:numId="5" w16cid:durableId="715354721">
    <w:abstractNumId w:val="9"/>
  </w:num>
  <w:num w:numId="6" w16cid:durableId="2134052101">
    <w:abstractNumId w:val="4"/>
  </w:num>
  <w:num w:numId="7" w16cid:durableId="4372567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8608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23212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3023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73217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28475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5610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31602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6072905">
    <w:abstractNumId w:val="6"/>
  </w:num>
  <w:num w:numId="16" w16cid:durableId="782379426">
    <w:abstractNumId w:val="1"/>
  </w:num>
  <w:num w:numId="17" w16cid:durableId="409809246">
    <w:abstractNumId w:val="7"/>
  </w:num>
  <w:num w:numId="18" w16cid:durableId="1659070204">
    <w:abstractNumId w:val="8"/>
  </w:num>
  <w:num w:numId="19" w16cid:durableId="358775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D3"/>
    <w:rsid w:val="00001F07"/>
    <w:rsid w:val="00007582"/>
    <w:rsid w:val="000172EA"/>
    <w:rsid w:val="000329B1"/>
    <w:rsid w:val="0003714E"/>
    <w:rsid w:val="0004682D"/>
    <w:rsid w:val="000473B9"/>
    <w:rsid w:val="000678D9"/>
    <w:rsid w:val="000809C0"/>
    <w:rsid w:val="00084502"/>
    <w:rsid w:val="00086695"/>
    <w:rsid w:val="00097F66"/>
    <w:rsid w:val="000A0076"/>
    <w:rsid w:val="000D3553"/>
    <w:rsid w:val="000F1FC5"/>
    <w:rsid w:val="00101030"/>
    <w:rsid w:val="00115E0C"/>
    <w:rsid w:val="0012032D"/>
    <w:rsid w:val="001366FF"/>
    <w:rsid w:val="0015206D"/>
    <w:rsid w:val="0015354A"/>
    <w:rsid w:val="001626D6"/>
    <w:rsid w:val="00166A15"/>
    <w:rsid w:val="00166FA9"/>
    <w:rsid w:val="001679B2"/>
    <w:rsid w:val="00167DCF"/>
    <w:rsid w:val="00173FED"/>
    <w:rsid w:val="0017606A"/>
    <w:rsid w:val="00181AC1"/>
    <w:rsid w:val="00194486"/>
    <w:rsid w:val="001E3509"/>
    <w:rsid w:val="001F2E23"/>
    <w:rsid w:val="00204A9B"/>
    <w:rsid w:val="00250010"/>
    <w:rsid w:val="00254C37"/>
    <w:rsid w:val="00265D4C"/>
    <w:rsid w:val="002673CC"/>
    <w:rsid w:val="00281F8B"/>
    <w:rsid w:val="002A0DA4"/>
    <w:rsid w:val="002B2D8A"/>
    <w:rsid w:val="002C339F"/>
    <w:rsid w:val="002D23DA"/>
    <w:rsid w:val="002D66E6"/>
    <w:rsid w:val="002E3693"/>
    <w:rsid w:val="002F0879"/>
    <w:rsid w:val="002F69C3"/>
    <w:rsid w:val="002F6D46"/>
    <w:rsid w:val="00302E45"/>
    <w:rsid w:val="00307995"/>
    <w:rsid w:val="00315336"/>
    <w:rsid w:val="003165C9"/>
    <w:rsid w:val="00322D1F"/>
    <w:rsid w:val="00322D8F"/>
    <w:rsid w:val="00341C8D"/>
    <w:rsid w:val="00342BE2"/>
    <w:rsid w:val="0034347C"/>
    <w:rsid w:val="00356B69"/>
    <w:rsid w:val="0036659C"/>
    <w:rsid w:val="00381C6F"/>
    <w:rsid w:val="003849F4"/>
    <w:rsid w:val="00385BE2"/>
    <w:rsid w:val="00385CB3"/>
    <w:rsid w:val="00390AC4"/>
    <w:rsid w:val="003943B8"/>
    <w:rsid w:val="003965C0"/>
    <w:rsid w:val="003A5B3D"/>
    <w:rsid w:val="003B5157"/>
    <w:rsid w:val="003C1B6C"/>
    <w:rsid w:val="003E2812"/>
    <w:rsid w:val="003E39D6"/>
    <w:rsid w:val="003E6BAF"/>
    <w:rsid w:val="003F697E"/>
    <w:rsid w:val="004018A6"/>
    <w:rsid w:val="00407DC9"/>
    <w:rsid w:val="00414C9E"/>
    <w:rsid w:val="00421372"/>
    <w:rsid w:val="00425316"/>
    <w:rsid w:val="0043190A"/>
    <w:rsid w:val="00440A23"/>
    <w:rsid w:val="00455F07"/>
    <w:rsid w:val="004667B9"/>
    <w:rsid w:val="004776B5"/>
    <w:rsid w:val="00477C65"/>
    <w:rsid w:val="004A4145"/>
    <w:rsid w:val="004B3FD4"/>
    <w:rsid w:val="004D0686"/>
    <w:rsid w:val="004D3195"/>
    <w:rsid w:val="004E05C0"/>
    <w:rsid w:val="004F2327"/>
    <w:rsid w:val="004F4013"/>
    <w:rsid w:val="004F412E"/>
    <w:rsid w:val="005069ED"/>
    <w:rsid w:val="0051363B"/>
    <w:rsid w:val="005202A7"/>
    <w:rsid w:val="00523716"/>
    <w:rsid w:val="005276A0"/>
    <w:rsid w:val="00530031"/>
    <w:rsid w:val="0056122C"/>
    <w:rsid w:val="0056381D"/>
    <w:rsid w:val="00570A22"/>
    <w:rsid w:val="00594799"/>
    <w:rsid w:val="005963E7"/>
    <w:rsid w:val="005A133D"/>
    <w:rsid w:val="005A296E"/>
    <w:rsid w:val="005A2A0F"/>
    <w:rsid w:val="005C5E5B"/>
    <w:rsid w:val="005D77E4"/>
    <w:rsid w:val="005F29D3"/>
    <w:rsid w:val="00603F4E"/>
    <w:rsid w:val="0060559D"/>
    <w:rsid w:val="006101A4"/>
    <w:rsid w:val="00611B2E"/>
    <w:rsid w:val="00612B51"/>
    <w:rsid w:val="006161E5"/>
    <w:rsid w:val="006208A7"/>
    <w:rsid w:val="0062468A"/>
    <w:rsid w:val="00635C7B"/>
    <w:rsid w:val="006365B1"/>
    <w:rsid w:val="00641D4D"/>
    <w:rsid w:val="00651C37"/>
    <w:rsid w:val="00662AE4"/>
    <w:rsid w:val="0066712C"/>
    <w:rsid w:val="00671883"/>
    <w:rsid w:val="00695FCC"/>
    <w:rsid w:val="00697C20"/>
    <w:rsid w:val="006B3CE1"/>
    <w:rsid w:val="006B4C24"/>
    <w:rsid w:val="006F126F"/>
    <w:rsid w:val="006F6154"/>
    <w:rsid w:val="0071455F"/>
    <w:rsid w:val="007201D0"/>
    <w:rsid w:val="0073495D"/>
    <w:rsid w:val="00734B75"/>
    <w:rsid w:val="00737357"/>
    <w:rsid w:val="0074207C"/>
    <w:rsid w:val="007530B0"/>
    <w:rsid w:val="0076211B"/>
    <w:rsid w:val="00764073"/>
    <w:rsid w:val="00783A78"/>
    <w:rsid w:val="00793780"/>
    <w:rsid w:val="007A252E"/>
    <w:rsid w:val="007B0AAF"/>
    <w:rsid w:val="007C26B7"/>
    <w:rsid w:val="007F08DC"/>
    <w:rsid w:val="007F413A"/>
    <w:rsid w:val="00806823"/>
    <w:rsid w:val="0083263D"/>
    <w:rsid w:val="00842DA1"/>
    <w:rsid w:val="00864B33"/>
    <w:rsid w:val="0087373F"/>
    <w:rsid w:val="008956C6"/>
    <w:rsid w:val="008A437D"/>
    <w:rsid w:val="008A6261"/>
    <w:rsid w:val="008C5928"/>
    <w:rsid w:val="008E29E4"/>
    <w:rsid w:val="008F0686"/>
    <w:rsid w:val="008F2148"/>
    <w:rsid w:val="008F4E2E"/>
    <w:rsid w:val="009102DF"/>
    <w:rsid w:val="00915A8D"/>
    <w:rsid w:val="009463E1"/>
    <w:rsid w:val="00950357"/>
    <w:rsid w:val="00953932"/>
    <w:rsid w:val="00964D38"/>
    <w:rsid w:val="0098179D"/>
    <w:rsid w:val="00992441"/>
    <w:rsid w:val="009A30FB"/>
    <w:rsid w:val="009A5221"/>
    <w:rsid w:val="009B53EF"/>
    <w:rsid w:val="009B5CB9"/>
    <w:rsid w:val="009B64B3"/>
    <w:rsid w:val="009C6444"/>
    <w:rsid w:val="009E0447"/>
    <w:rsid w:val="009E1C48"/>
    <w:rsid w:val="009E5E8B"/>
    <w:rsid w:val="00A00256"/>
    <w:rsid w:val="00A12FEB"/>
    <w:rsid w:val="00A22613"/>
    <w:rsid w:val="00A25A52"/>
    <w:rsid w:val="00A348B5"/>
    <w:rsid w:val="00A37AA5"/>
    <w:rsid w:val="00A4241A"/>
    <w:rsid w:val="00A65D7B"/>
    <w:rsid w:val="00A661CD"/>
    <w:rsid w:val="00A73A49"/>
    <w:rsid w:val="00A81B5A"/>
    <w:rsid w:val="00A83970"/>
    <w:rsid w:val="00A8480B"/>
    <w:rsid w:val="00AB3001"/>
    <w:rsid w:val="00AD2AFB"/>
    <w:rsid w:val="00AE32D7"/>
    <w:rsid w:val="00AF506D"/>
    <w:rsid w:val="00B04E84"/>
    <w:rsid w:val="00B134B6"/>
    <w:rsid w:val="00B36E3A"/>
    <w:rsid w:val="00B472BF"/>
    <w:rsid w:val="00B62799"/>
    <w:rsid w:val="00B659F0"/>
    <w:rsid w:val="00B825E5"/>
    <w:rsid w:val="00B93F49"/>
    <w:rsid w:val="00B96346"/>
    <w:rsid w:val="00BA68D6"/>
    <w:rsid w:val="00BB1895"/>
    <w:rsid w:val="00BC089F"/>
    <w:rsid w:val="00BC100D"/>
    <w:rsid w:val="00BE0FD2"/>
    <w:rsid w:val="00BE449F"/>
    <w:rsid w:val="00BE6CA1"/>
    <w:rsid w:val="00C01393"/>
    <w:rsid w:val="00C14D87"/>
    <w:rsid w:val="00C31E3D"/>
    <w:rsid w:val="00C47841"/>
    <w:rsid w:val="00C47A46"/>
    <w:rsid w:val="00C63B18"/>
    <w:rsid w:val="00C649CF"/>
    <w:rsid w:val="00C85746"/>
    <w:rsid w:val="00C95FBC"/>
    <w:rsid w:val="00C96E6D"/>
    <w:rsid w:val="00C97D5D"/>
    <w:rsid w:val="00CA6F36"/>
    <w:rsid w:val="00CD48AB"/>
    <w:rsid w:val="00CE160A"/>
    <w:rsid w:val="00CE21A9"/>
    <w:rsid w:val="00CF6A5A"/>
    <w:rsid w:val="00CF6B9E"/>
    <w:rsid w:val="00D00A0C"/>
    <w:rsid w:val="00D06E32"/>
    <w:rsid w:val="00D16C6B"/>
    <w:rsid w:val="00D179A3"/>
    <w:rsid w:val="00D252FB"/>
    <w:rsid w:val="00D30530"/>
    <w:rsid w:val="00D413BE"/>
    <w:rsid w:val="00D450DE"/>
    <w:rsid w:val="00D56DC0"/>
    <w:rsid w:val="00D631F2"/>
    <w:rsid w:val="00D65B74"/>
    <w:rsid w:val="00D942A0"/>
    <w:rsid w:val="00D96F47"/>
    <w:rsid w:val="00D97E8A"/>
    <w:rsid w:val="00DC1215"/>
    <w:rsid w:val="00DC4F4A"/>
    <w:rsid w:val="00DD1BB8"/>
    <w:rsid w:val="00DE0CA5"/>
    <w:rsid w:val="00DE60ED"/>
    <w:rsid w:val="00DF6D36"/>
    <w:rsid w:val="00E02462"/>
    <w:rsid w:val="00E07E55"/>
    <w:rsid w:val="00E10F35"/>
    <w:rsid w:val="00E11ACA"/>
    <w:rsid w:val="00E2207C"/>
    <w:rsid w:val="00E42105"/>
    <w:rsid w:val="00E517C4"/>
    <w:rsid w:val="00E5406C"/>
    <w:rsid w:val="00E60299"/>
    <w:rsid w:val="00E66445"/>
    <w:rsid w:val="00E73F0B"/>
    <w:rsid w:val="00E801AC"/>
    <w:rsid w:val="00E81547"/>
    <w:rsid w:val="00E91FF5"/>
    <w:rsid w:val="00EF0237"/>
    <w:rsid w:val="00F03817"/>
    <w:rsid w:val="00F34F06"/>
    <w:rsid w:val="00F50049"/>
    <w:rsid w:val="00F514BC"/>
    <w:rsid w:val="00F515C1"/>
    <w:rsid w:val="00F57722"/>
    <w:rsid w:val="00F600D2"/>
    <w:rsid w:val="00F67AE8"/>
    <w:rsid w:val="00F70941"/>
    <w:rsid w:val="00F84656"/>
    <w:rsid w:val="00F930C2"/>
    <w:rsid w:val="00F95D9F"/>
    <w:rsid w:val="00F96A39"/>
    <w:rsid w:val="00FB0816"/>
    <w:rsid w:val="00FC3036"/>
    <w:rsid w:val="00FE0B82"/>
    <w:rsid w:val="00FE55C6"/>
    <w:rsid w:val="00FE71D1"/>
    <w:rsid w:val="00FF26D9"/>
    <w:rsid w:val="00FF6A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B822"/>
  <w15:docId w15:val="{14930E1E-D853-4EB1-A0A2-92086F2E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GB" w:eastAsia="es-CO"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FC3036"/>
    <w:rPr>
      <w:rFonts w:eastAsia="Times New Roman" w:cs="Times New Roman"/>
      <w:szCs w:val="20"/>
    </w:rPr>
  </w:style>
  <w:style w:type="paragraph" w:styleId="Heading1">
    <w:name w:val="heading 1"/>
    <w:basedOn w:val="CETHeading1"/>
    <w:next w:val="Normal"/>
    <w:link w:val="Heading1Char"/>
    <w:uiPriority w:val="9"/>
    <w:qFormat/>
    <w:rsid w:val="004F5E36"/>
    <w:pPr>
      <w:numPr>
        <w:ilvl w:val="1"/>
        <w:numId w:val="1"/>
      </w:numPr>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5C5E5B"/>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eSimple1">
    <w:name w:val="Table Simple 1"/>
    <w:basedOn w:val="Table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5C5E5B"/>
    <w:rPr>
      <w:rFonts w:eastAsia="Times New Roman" w:cs="Times New Roman"/>
      <w:b/>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tabs>
        <w:tab w:val="num" w:pos="720"/>
      </w:tabs>
      <w:ind w:left="720" w:hanging="720"/>
      <w:contextualSpacing/>
    </w:pPr>
  </w:style>
  <w:style w:type="paragraph" w:styleId="ListBullet2">
    <w:name w:val="List Bullet 2"/>
    <w:basedOn w:val="Normal"/>
    <w:uiPriority w:val="99"/>
    <w:semiHidden/>
    <w:unhideWhenUsed/>
    <w:rsid w:val="0003148D"/>
    <w:pPr>
      <w:tabs>
        <w:tab w:val="num" w:pos="720"/>
      </w:tabs>
      <w:ind w:left="720" w:hanging="720"/>
      <w:contextualSpacing/>
    </w:pPr>
  </w:style>
  <w:style w:type="paragraph" w:styleId="ListBullet3">
    <w:name w:val="List Bullet 3"/>
    <w:basedOn w:val="Normal"/>
    <w:uiPriority w:val="99"/>
    <w:semiHidden/>
    <w:unhideWhenUsed/>
    <w:rsid w:val="0003148D"/>
    <w:pPr>
      <w:tabs>
        <w:tab w:val="num" w:pos="720"/>
      </w:tabs>
      <w:ind w:left="720" w:hanging="720"/>
      <w:contextualSpacing/>
    </w:pPr>
  </w:style>
  <w:style w:type="paragraph" w:styleId="ListBullet4">
    <w:name w:val="List Bullet 4"/>
    <w:basedOn w:val="Normal"/>
    <w:uiPriority w:val="99"/>
    <w:semiHidden/>
    <w:unhideWhenUsed/>
    <w:rsid w:val="0003148D"/>
    <w:pPr>
      <w:tabs>
        <w:tab w:val="num" w:pos="720"/>
      </w:tabs>
      <w:ind w:left="720" w:hanging="720"/>
      <w:contextualSpacing/>
    </w:pPr>
  </w:style>
  <w:style w:type="paragraph" w:styleId="ListBullet5">
    <w:name w:val="List Bullet 5"/>
    <w:basedOn w:val="Normal"/>
    <w:uiPriority w:val="99"/>
    <w:semiHidden/>
    <w:unhideWhenUsed/>
    <w:rsid w:val="0003148D"/>
    <w:pPr>
      <w:tabs>
        <w:tab w:val="num" w:pos="720"/>
      </w:tabs>
      <w:ind w:left="720" w:hanging="720"/>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Pr>
  </w:style>
  <w:style w:type="character" w:styleId="PlaceholderText">
    <w:name w:val="Placeholder Text"/>
    <w:basedOn w:val="DefaultParagraphFont"/>
    <w:uiPriority w:val="99"/>
    <w:semiHidden/>
    <w:rsid w:val="00A12FEB"/>
    <w:rPr>
      <w:color w:val="666666"/>
    </w:rPr>
  </w:style>
  <w:style w:type="paragraph" w:styleId="Revision">
    <w:name w:val="Revision"/>
    <w:hidden/>
    <w:uiPriority w:val="99"/>
    <w:semiHidden/>
    <w:rsid w:val="0036659C"/>
    <w:pPr>
      <w:tabs>
        <w:tab w:val="clear" w:pos="7100"/>
      </w:tabs>
      <w:spacing w:line="240" w:lineRule="auto"/>
      <w:jc w:val="left"/>
    </w:pPr>
    <w:rPr>
      <w:rFonts w:eastAsia="Times New Roman" w:cs="Times New Roman"/>
      <w:szCs w:val="20"/>
    </w:rPr>
  </w:style>
  <w:style w:type="paragraph" w:customStyle="1" w:styleId="MDPI31text">
    <w:name w:val="MDPI_3.1_text"/>
    <w:qFormat/>
    <w:rsid w:val="00A73A49"/>
    <w:pPr>
      <w:tabs>
        <w:tab w:val="clear" w:pos="7100"/>
      </w:tabs>
      <w:adjustRightInd w:val="0"/>
      <w:snapToGrid w:val="0"/>
      <w:spacing w:line="260" w:lineRule="atLeast"/>
      <w:ind w:firstLine="425"/>
    </w:pPr>
    <w:rPr>
      <w:rFonts w:ascii="Palatino Linotype" w:eastAsia="Times New Roman" w:hAnsi="Palatino Linotype" w:cs="Times New Roman"/>
      <w:snapToGrid w:val="0"/>
      <w:color w:val="000000"/>
      <w:sz w:val="20"/>
      <w:szCs w:val="22"/>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55643">
      <w:bodyDiv w:val="1"/>
      <w:marLeft w:val="0"/>
      <w:marRight w:val="0"/>
      <w:marTop w:val="0"/>
      <w:marBottom w:val="0"/>
      <w:divBdr>
        <w:top w:val="none" w:sz="0" w:space="0" w:color="auto"/>
        <w:left w:val="none" w:sz="0" w:space="0" w:color="auto"/>
        <w:bottom w:val="none" w:sz="0" w:space="0" w:color="auto"/>
        <w:right w:val="none" w:sz="0" w:space="0" w:color="auto"/>
      </w:divBdr>
      <w:divsChild>
        <w:div w:id="874847705">
          <w:marLeft w:val="0"/>
          <w:marRight w:val="0"/>
          <w:marTop w:val="0"/>
          <w:marBottom w:val="0"/>
          <w:divBdr>
            <w:top w:val="none" w:sz="0" w:space="0" w:color="auto"/>
            <w:left w:val="none" w:sz="0" w:space="0" w:color="auto"/>
            <w:bottom w:val="none" w:sz="0" w:space="0" w:color="auto"/>
            <w:right w:val="none" w:sz="0" w:space="0" w:color="auto"/>
          </w:divBdr>
          <w:divsChild>
            <w:div w:id="1194611042">
              <w:marLeft w:val="0"/>
              <w:marRight w:val="0"/>
              <w:marTop w:val="0"/>
              <w:marBottom w:val="0"/>
              <w:divBdr>
                <w:top w:val="none" w:sz="0" w:space="0" w:color="auto"/>
                <w:left w:val="none" w:sz="0" w:space="0" w:color="auto"/>
                <w:bottom w:val="none" w:sz="0" w:space="0" w:color="auto"/>
                <w:right w:val="none" w:sz="0" w:space="0" w:color="auto"/>
              </w:divBdr>
              <w:divsChild>
                <w:div w:id="1128741056">
                  <w:marLeft w:val="0"/>
                  <w:marRight w:val="0"/>
                  <w:marTop w:val="0"/>
                  <w:marBottom w:val="0"/>
                  <w:divBdr>
                    <w:top w:val="none" w:sz="0" w:space="0" w:color="auto"/>
                    <w:left w:val="none" w:sz="0" w:space="0" w:color="auto"/>
                    <w:bottom w:val="none" w:sz="0" w:space="0" w:color="auto"/>
                    <w:right w:val="none" w:sz="0" w:space="0" w:color="auto"/>
                  </w:divBdr>
                  <w:divsChild>
                    <w:div w:id="190263261">
                      <w:marLeft w:val="0"/>
                      <w:marRight w:val="0"/>
                      <w:marTop w:val="0"/>
                      <w:marBottom w:val="0"/>
                      <w:divBdr>
                        <w:top w:val="none" w:sz="0" w:space="0" w:color="auto"/>
                        <w:left w:val="none" w:sz="0" w:space="0" w:color="auto"/>
                        <w:bottom w:val="none" w:sz="0" w:space="0" w:color="auto"/>
                        <w:right w:val="none" w:sz="0" w:space="0" w:color="auto"/>
                      </w:divBdr>
                      <w:divsChild>
                        <w:div w:id="1902249097">
                          <w:marLeft w:val="0"/>
                          <w:marRight w:val="0"/>
                          <w:marTop w:val="0"/>
                          <w:marBottom w:val="0"/>
                          <w:divBdr>
                            <w:top w:val="none" w:sz="0" w:space="0" w:color="auto"/>
                            <w:left w:val="none" w:sz="0" w:space="0" w:color="auto"/>
                            <w:bottom w:val="none" w:sz="0" w:space="0" w:color="auto"/>
                            <w:right w:val="none" w:sz="0" w:space="0" w:color="auto"/>
                          </w:divBdr>
                          <w:divsChild>
                            <w:div w:id="398871520">
                              <w:marLeft w:val="0"/>
                              <w:marRight w:val="0"/>
                              <w:marTop w:val="0"/>
                              <w:marBottom w:val="0"/>
                              <w:divBdr>
                                <w:top w:val="none" w:sz="0" w:space="0" w:color="auto"/>
                                <w:left w:val="none" w:sz="0" w:space="0" w:color="auto"/>
                                <w:bottom w:val="none" w:sz="0" w:space="0" w:color="auto"/>
                                <w:right w:val="none" w:sz="0" w:space="0" w:color="auto"/>
                              </w:divBdr>
                              <w:divsChild>
                                <w:div w:id="1087001830">
                                  <w:marLeft w:val="0"/>
                                  <w:marRight w:val="0"/>
                                  <w:marTop w:val="0"/>
                                  <w:marBottom w:val="0"/>
                                  <w:divBdr>
                                    <w:top w:val="none" w:sz="0" w:space="0" w:color="auto"/>
                                    <w:left w:val="none" w:sz="0" w:space="0" w:color="auto"/>
                                    <w:bottom w:val="none" w:sz="0" w:space="0" w:color="auto"/>
                                    <w:right w:val="none" w:sz="0" w:space="0" w:color="auto"/>
                                  </w:divBdr>
                                  <w:divsChild>
                                    <w:div w:id="2043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hart" Target="charts/chart4.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penUser\Documents\war-biore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penUser\Documents\war-biore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penUser\Documents\war-biore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penUser\Documents\war-biore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penUser\Documents\war-biore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penUser\Documents\war-bioref.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1335462437825"/>
          <c:y val="0.13660218842507701"/>
          <c:w val="0.81445160264057903"/>
          <c:h val="0.80797913653650433"/>
        </c:manualLayout>
      </c:layout>
      <c:barChart>
        <c:barDir val="col"/>
        <c:grouping val="clustered"/>
        <c:varyColors val="0"/>
        <c:ser>
          <c:idx val="0"/>
          <c:order val="0"/>
          <c:tx>
            <c:strRef>
              <c:f>Sheet3!$I$5</c:f>
              <c:strCache>
                <c:ptCount val="1"/>
                <c:pt idx="0">
                  <c:v>Case 1</c:v>
                </c:pt>
              </c:strCache>
            </c:strRef>
          </c:tx>
          <c:spPr>
            <a:solidFill>
              <a:schemeClr val="accent1"/>
            </a:solidFill>
            <a:ln>
              <a:noFill/>
            </a:ln>
            <a:effectLst/>
          </c:spPr>
          <c:invertIfNegative val="0"/>
          <c:cat>
            <c:strRef>
              <c:f>Sheet3!$C$3:$F$3</c:f>
              <c:strCache>
                <c:ptCount val="4"/>
                <c:pt idx="0">
                  <c:v>Total output rate (PEI/h)</c:v>
                </c:pt>
                <c:pt idx="1">
                  <c:v>Total mass output (PEI/kg-p)</c:v>
                </c:pt>
                <c:pt idx="2">
                  <c:v>Total generation rate (PEI/h)</c:v>
                </c:pt>
                <c:pt idx="3">
                  <c:v>Total mass generation (PEI/kg-p)</c:v>
                </c:pt>
              </c:strCache>
            </c:strRef>
          </c:cat>
          <c:val>
            <c:numRef>
              <c:f>Sheet3!$C$5:$F$5</c:f>
              <c:numCache>
                <c:formatCode>0.00</c:formatCode>
                <c:ptCount val="4"/>
                <c:pt idx="0">
                  <c:v>20.28</c:v>
                </c:pt>
                <c:pt idx="1">
                  <c:v>2.5859999999999999</c:v>
                </c:pt>
                <c:pt idx="2">
                  <c:v>-0.92900000000000005</c:v>
                </c:pt>
                <c:pt idx="3">
                  <c:v>-0.11849999999999999</c:v>
                </c:pt>
              </c:numCache>
            </c:numRef>
          </c:val>
          <c:extLst>
            <c:ext xmlns:c16="http://schemas.microsoft.com/office/drawing/2014/chart" uri="{C3380CC4-5D6E-409C-BE32-E72D297353CC}">
              <c16:uniqueId val="{00000000-F5E1-48F5-B694-9274152195ED}"/>
            </c:ext>
          </c:extLst>
        </c:ser>
        <c:ser>
          <c:idx val="1"/>
          <c:order val="1"/>
          <c:tx>
            <c:strRef>
              <c:f>Sheet3!$I$6</c:f>
              <c:strCache>
                <c:ptCount val="1"/>
                <c:pt idx="0">
                  <c:v>Case 2</c:v>
                </c:pt>
              </c:strCache>
            </c:strRef>
          </c:tx>
          <c:spPr>
            <a:solidFill>
              <a:schemeClr val="accent2"/>
            </a:solidFill>
            <a:ln>
              <a:noFill/>
            </a:ln>
            <a:effectLst/>
          </c:spPr>
          <c:invertIfNegative val="0"/>
          <c:cat>
            <c:strRef>
              <c:f>Sheet3!$C$3:$F$3</c:f>
              <c:strCache>
                <c:ptCount val="4"/>
                <c:pt idx="0">
                  <c:v>Total output rate (PEI/h)</c:v>
                </c:pt>
                <c:pt idx="1">
                  <c:v>Total mass output (PEI/kg-p)</c:v>
                </c:pt>
                <c:pt idx="2">
                  <c:v>Total generation rate (PEI/h)</c:v>
                </c:pt>
                <c:pt idx="3">
                  <c:v>Total mass generation (PEI/kg-p)</c:v>
                </c:pt>
              </c:strCache>
            </c:strRef>
          </c:cat>
          <c:val>
            <c:numRef>
              <c:f>Sheet3!$C$6:$F$6</c:f>
              <c:numCache>
                <c:formatCode>0.00</c:formatCode>
                <c:ptCount val="4"/>
                <c:pt idx="0">
                  <c:v>21.21</c:v>
                </c:pt>
                <c:pt idx="1">
                  <c:v>2.7040000000000002</c:v>
                </c:pt>
                <c:pt idx="2" formatCode="0.0000">
                  <c:v>2.1090000000000002E-3</c:v>
                </c:pt>
                <c:pt idx="3" formatCode="0.0000">
                  <c:v>2.6899999999999998E-4</c:v>
                </c:pt>
              </c:numCache>
            </c:numRef>
          </c:val>
          <c:extLst>
            <c:ext xmlns:c16="http://schemas.microsoft.com/office/drawing/2014/chart" uri="{C3380CC4-5D6E-409C-BE32-E72D297353CC}">
              <c16:uniqueId val="{00000001-F5E1-48F5-B694-9274152195ED}"/>
            </c:ext>
          </c:extLst>
        </c:ser>
        <c:ser>
          <c:idx val="2"/>
          <c:order val="2"/>
          <c:tx>
            <c:strRef>
              <c:f>Sheet3!$I$7</c:f>
              <c:strCache>
                <c:ptCount val="1"/>
                <c:pt idx="0">
                  <c:v>Case 3</c:v>
                </c:pt>
              </c:strCache>
            </c:strRef>
          </c:tx>
          <c:spPr>
            <a:solidFill>
              <a:schemeClr val="accent3"/>
            </a:solidFill>
            <a:ln>
              <a:noFill/>
            </a:ln>
            <a:effectLst/>
          </c:spPr>
          <c:invertIfNegative val="0"/>
          <c:cat>
            <c:strRef>
              <c:f>Sheet3!$C$3:$F$3</c:f>
              <c:strCache>
                <c:ptCount val="4"/>
                <c:pt idx="0">
                  <c:v>Total output rate (PEI/h)</c:v>
                </c:pt>
                <c:pt idx="1">
                  <c:v>Total mass output (PEI/kg-p)</c:v>
                </c:pt>
                <c:pt idx="2">
                  <c:v>Total generation rate (PEI/h)</c:v>
                </c:pt>
                <c:pt idx="3">
                  <c:v>Total mass generation (PEI/kg-p)</c:v>
                </c:pt>
              </c:strCache>
            </c:strRef>
          </c:cat>
          <c:val>
            <c:numRef>
              <c:f>Sheet3!$C$7:$F$7</c:f>
              <c:numCache>
                <c:formatCode>0.00</c:formatCode>
                <c:ptCount val="4"/>
                <c:pt idx="0">
                  <c:v>20.94</c:v>
                </c:pt>
                <c:pt idx="1">
                  <c:v>2.67</c:v>
                </c:pt>
                <c:pt idx="2">
                  <c:v>-0.26519999999999999</c:v>
                </c:pt>
                <c:pt idx="3">
                  <c:v>-3.381E-2</c:v>
                </c:pt>
              </c:numCache>
            </c:numRef>
          </c:val>
          <c:extLst>
            <c:ext xmlns:c16="http://schemas.microsoft.com/office/drawing/2014/chart" uri="{C3380CC4-5D6E-409C-BE32-E72D297353CC}">
              <c16:uniqueId val="{00000002-F5E1-48F5-B694-9274152195ED}"/>
            </c:ext>
          </c:extLst>
        </c:ser>
        <c:ser>
          <c:idx val="3"/>
          <c:order val="3"/>
          <c:tx>
            <c:strRef>
              <c:f>Sheet3!$I$8</c:f>
              <c:strCache>
                <c:ptCount val="1"/>
                <c:pt idx="0">
                  <c:v>Case 4</c:v>
                </c:pt>
              </c:strCache>
            </c:strRef>
          </c:tx>
          <c:spPr>
            <a:solidFill>
              <a:schemeClr val="accent4"/>
            </a:solidFill>
            <a:ln>
              <a:noFill/>
            </a:ln>
            <a:effectLst/>
          </c:spPr>
          <c:invertIfNegative val="0"/>
          <c:cat>
            <c:strRef>
              <c:f>Sheet3!$C$3:$F$3</c:f>
              <c:strCache>
                <c:ptCount val="4"/>
                <c:pt idx="0">
                  <c:v>Total output rate (PEI/h)</c:v>
                </c:pt>
                <c:pt idx="1">
                  <c:v>Total mass output (PEI/kg-p)</c:v>
                </c:pt>
                <c:pt idx="2">
                  <c:v>Total generation rate (PEI/h)</c:v>
                </c:pt>
                <c:pt idx="3">
                  <c:v>Total mass generation (PEI/kg-p)</c:v>
                </c:pt>
              </c:strCache>
            </c:strRef>
          </c:cat>
          <c:val>
            <c:numRef>
              <c:f>Sheet3!$C$8:$F$8</c:f>
              <c:numCache>
                <c:formatCode>0.00</c:formatCode>
                <c:ptCount val="4"/>
                <c:pt idx="0">
                  <c:v>21.87</c:v>
                </c:pt>
                <c:pt idx="1">
                  <c:v>2.7890000000000001</c:v>
                </c:pt>
                <c:pt idx="2">
                  <c:v>0.66590000000000005</c:v>
                </c:pt>
                <c:pt idx="3">
                  <c:v>8.4909999999999999E-2</c:v>
                </c:pt>
              </c:numCache>
            </c:numRef>
          </c:val>
          <c:extLst>
            <c:ext xmlns:c16="http://schemas.microsoft.com/office/drawing/2014/chart" uri="{C3380CC4-5D6E-409C-BE32-E72D297353CC}">
              <c16:uniqueId val="{00000003-F5E1-48F5-B694-9274152195ED}"/>
            </c:ext>
          </c:extLst>
        </c:ser>
        <c:dLbls>
          <c:showLegendKey val="0"/>
          <c:showVal val="0"/>
          <c:showCatName val="0"/>
          <c:showSerName val="0"/>
          <c:showPercent val="0"/>
          <c:showBubbleSize val="0"/>
        </c:dLbls>
        <c:gapWidth val="219"/>
        <c:overlap val="-27"/>
        <c:axId val="1683045871"/>
        <c:axId val="1683050191"/>
      </c:barChart>
      <c:catAx>
        <c:axId val="168304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683050191"/>
        <c:crosses val="autoZero"/>
        <c:auto val="1"/>
        <c:lblAlgn val="ctr"/>
        <c:lblOffset val="100"/>
        <c:noMultiLvlLbl val="0"/>
      </c:catAx>
      <c:valAx>
        <c:axId val="1683050191"/>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6830458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Sheet3!$R$7</c:f>
              <c:strCache>
                <c:ptCount val="1"/>
                <c:pt idx="0">
                  <c:v>Case 1</c:v>
                </c:pt>
              </c:strCache>
            </c:strRef>
          </c:tx>
          <c:spPr>
            <a:solidFill>
              <a:schemeClr val="accent1"/>
            </a:solidFill>
            <a:ln>
              <a:noFill/>
            </a:ln>
            <a:effectLst/>
          </c:spPr>
          <c:invertIfNegative val="0"/>
          <c:cat>
            <c:strRef>
              <c:f>Sheet3!$S$1:$V$1</c:f>
              <c:strCache>
                <c:ptCount val="4"/>
                <c:pt idx="0">
                  <c:v>HTPI     </c:v>
                </c:pt>
                <c:pt idx="1">
                  <c:v>HTPE     </c:v>
                </c:pt>
                <c:pt idx="2">
                  <c:v>TTP      </c:v>
                </c:pt>
                <c:pt idx="3">
                  <c:v>ATP      </c:v>
                </c:pt>
              </c:strCache>
            </c:strRef>
          </c:cat>
          <c:val>
            <c:numRef>
              <c:f>Sheet3!$S$7:$V$7</c:f>
              <c:numCache>
                <c:formatCode>0.00</c:formatCode>
                <c:ptCount val="4"/>
                <c:pt idx="0">
                  <c:v>-0.16300000000000001</c:v>
                </c:pt>
                <c:pt idx="1">
                  <c:v>-9.2100000000000001E-2</c:v>
                </c:pt>
                <c:pt idx="2">
                  <c:v>-0.16300000000000001</c:v>
                </c:pt>
                <c:pt idx="3" formatCode="0.000">
                  <c:v>-2.2499999999999998E-3</c:v>
                </c:pt>
              </c:numCache>
            </c:numRef>
          </c:val>
          <c:extLst>
            <c:ext xmlns:c16="http://schemas.microsoft.com/office/drawing/2014/chart" uri="{C3380CC4-5D6E-409C-BE32-E72D297353CC}">
              <c16:uniqueId val="{00000000-919B-43D1-9D83-5066A0DC9BFC}"/>
            </c:ext>
          </c:extLst>
        </c:ser>
        <c:ser>
          <c:idx val="1"/>
          <c:order val="1"/>
          <c:tx>
            <c:strRef>
              <c:f>Sheet3!$R$8</c:f>
              <c:strCache>
                <c:ptCount val="1"/>
                <c:pt idx="0">
                  <c:v>Case 2</c:v>
                </c:pt>
              </c:strCache>
            </c:strRef>
          </c:tx>
          <c:spPr>
            <a:solidFill>
              <a:schemeClr val="accent2"/>
            </a:solidFill>
            <a:ln>
              <a:noFill/>
            </a:ln>
            <a:effectLst/>
          </c:spPr>
          <c:invertIfNegative val="0"/>
          <c:cat>
            <c:strRef>
              <c:f>Sheet3!$S$1:$V$1</c:f>
              <c:strCache>
                <c:ptCount val="4"/>
                <c:pt idx="0">
                  <c:v>HTPI     </c:v>
                </c:pt>
                <c:pt idx="1">
                  <c:v>HTPE     </c:v>
                </c:pt>
                <c:pt idx="2">
                  <c:v>TTP      </c:v>
                </c:pt>
                <c:pt idx="3">
                  <c:v>ATP      </c:v>
                </c:pt>
              </c:strCache>
            </c:strRef>
          </c:cat>
          <c:val>
            <c:numRef>
              <c:f>Sheet3!$S$8:$V$8</c:f>
              <c:numCache>
                <c:formatCode>0.000000</c:formatCode>
                <c:ptCount val="4"/>
                <c:pt idx="0">
                  <c:v>1.0399999999999999E-3</c:v>
                </c:pt>
                <c:pt idx="1">
                  <c:v>1.5800000000000001E-5</c:v>
                </c:pt>
                <c:pt idx="2">
                  <c:v>1.0399999999999999E-3</c:v>
                </c:pt>
                <c:pt idx="3">
                  <c:v>1.19E-6</c:v>
                </c:pt>
              </c:numCache>
            </c:numRef>
          </c:val>
          <c:extLst>
            <c:ext xmlns:c16="http://schemas.microsoft.com/office/drawing/2014/chart" uri="{C3380CC4-5D6E-409C-BE32-E72D297353CC}">
              <c16:uniqueId val="{00000001-919B-43D1-9D83-5066A0DC9BFC}"/>
            </c:ext>
          </c:extLst>
        </c:ser>
        <c:ser>
          <c:idx val="2"/>
          <c:order val="2"/>
          <c:tx>
            <c:strRef>
              <c:f>Sheet3!$R$9</c:f>
              <c:strCache>
                <c:ptCount val="1"/>
                <c:pt idx="0">
                  <c:v>Case 3</c:v>
                </c:pt>
              </c:strCache>
            </c:strRef>
          </c:tx>
          <c:spPr>
            <a:solidFill>
              <a:schemeClr val="accent3"/>
            </a:solidFill>
            <a:ln>
              <a:noFill/>
            </a:ln>
            <a:effectLst/>
          </c:spPr>
          <c:invertIfNegative val="0"/>
          <c:cat>
            <c:strRef>
              <c:f>Sheet3!$S$1:$V$1</c:f>
              <c:strCache>
                <c:ptCount val="4"/>
                <c:pt idx="0">
                  <c:v>HTPI     </c:v>
                </c:pt>
                <c:pt idx="1">
                  <c:v>HTPE     </c:v>
                </c:pt>
                <c:pt idx="2">
                  <c:v>TTP      </c:v>
                </c:pt>
                <c:pt idx="3">
                  <c:v>ATP      </c:v>
                </c:pt>
              </c:strCache>
            </c:strRef>
          </c:cat>
          <c:val>
            <c:numRef>
              <c:f>Sheet3!$S$9:$V$9</c:f>
              <c:numCache>
                <c:formatCode>0.00</c:formatCode>
                <c:ptCount val="4"/>
                <c:pt idx="0">
                  <c:v>-0.16300000000000001</c:v>
                </c:pt>
                <c:pt idx="1">
                  <c:v>-9.1999999999999998E-2</c:v>
                </c:pt>
                <c:pt idx="2">
                  <c:v>-0.16300000000000001</c:v>
                </c:pt>
                <c:pt idx="3" formatCode="0.000">
                  <c:v>7.6699999999999997E-3</c:v>
                </c:pt>
              </c:numCache>
            </c:numRef>
          </c:val>
          <c:extLst>
            <c:ext xmlns:c16="http://schemas.microsoft.com/office/drawing/2014/chart" uri="{C3380CC4-5D6E-409C-BE32-E72D297353CC}">
              <c16:uniqueId val="{00000002-919B-43D1-9D83-5066A0DC9BFC}"/>
            </c:ext>
          </c:extLst>
        </c:ser>
        <c:ser>
          <c:idx val="3"/>
          <c:order val="3"/>
          <c:tx>
            <c:strRef>
              <c:f>Sheet3!$R$10</c:f>
              <c:strCache>
                <c:ptCount val="1"/>
                <c:pt idx="0">
                  <c:v>Case 4</c:v>
                </c:pt>
              </c:strCache>
            </c:strRef>
          </c:tx>
          <c:spPr>
            <a:solidFill>
              <a:schemeClr val="accent4"/>
            </a:solidFill>
            <a:ln>
              <a:noFill/>
            </a:ln>
            <a:effectLst/>
          </c:spPr>
          <c:invertIfNegative val="0"/>
          <c:cat>
            <c:strRef>
              <c:f>Sheet3!$S$1:$V$1</c:f>
              <c:strCache>
                <c:ptCount val="4"/>
                <c:pt idx="0">
                  <c:v>HTPI     </c:v>
                </c:pt>
                <c:pt idx="1">
                  <c:v>HTPE     </c:v>
                </c:pt>
                <c:pt idx="2">
                  <c:v>TTP      </c:v>
                </c:pt>
                <c:pt idx="3">
                  <c:v>ATP      </c:v>
                </c:pt>
              </c:strCache>
            </c:strRef>
          </c:cat>
          <c:val>
            <c:numRef>
              <c:f>Sheet3!$S$10:$V$10</c:f>
              <c:numCache>
                <c:formatCode>0.0000</c:formatCode>
                <c:ptCount val="4"/>
                <c:pt idx="0">
                  <c:v>1.07E-3</c:v>
                </c:pt>
                <c:pt idx="1">
                  <c:v>9.3900000000000006E-5</c:v>
                </c:pt>
                <c:pt idx="2">
                  <c:v>1.07E-3</c:v>
                </c:pt>
                <c:pt idx="3" formatCode="0.000">
                  <c:v>9.92E-3</c:v>
                </c:pt>
              </c:numCache>
            </c:numRef>
          </c:val>
          <c:extLst>
            <c:ext xmlns:c16="http://schemas.microsoft.com/office/drawing/2014/chart" uri="{C3380CC4-5D6E-409C-BE32-E72D297353CC}">
              <c16:uniqueId val="{00000003-919B-43D1-9D83-5066A0DC9BFC}"/>
            </c:ext>
          </c:extLst>
        </c:ser>
        <c:dLbls>
          <c:showLegendKey val="0"/>
          <c:showVal val="0"/>
          <c:showCatName val="0"/>
          <c:showSerName val="0"/>
          <c:showPercent val="0"/>
          <c:showBubbleSize val="0"/>
        </c:dLbls>
        <c:gapWidth val="219"/>
        <c:overlap val="-27"/>
        <c:axId val="463102367"/>
        <c:axId val="463105247"/>
      </c:barChart>
      <c:catAx>
        <c:axId val="4631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5247"/>
        <c:crosses val="autoZero"/>
        <c:auto val="1"/>
        <c:lblAlgn val="ctr"/>
        <c:lblOffset val="100"/>
        <c:noMultiLvlLbl val="0"/>
      </c:catAx>
      <c:valAx>
        <c:axId val="463105247"/>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Total generation rate of PEI (PEI/hr)</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2367"/>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Sheet3!$R$2</c:f>
              <c:strCache>
                <c:ptCount val="1"/>
                <c:pt idx="0">
                  <c:v>Case 1</c:v>
                </c:pt>
              </c:strCache>
            </c:strRef>
          </c:tx>
          <c:spPr>
            <a:solidFill>
              <a:schemeClr val="accent1"/>
            </a:solidFill>
            <a:ln>
              <a:noFill/>
            </a:ln>
            <a:effectLst/>
          </c:spPr>
          <c:invertIfNegative val="0"/>
          <c:cat>
            <c:strRef>
              <c:f>Sheet3!$S$1:$V$1</c:f>
              <c:strCache>
                <c:ptCount val="4"/>
                <c:pt idx="0">
                  <c:v>HTPI     </c:v>
                </c:pt>
                <c:pt idx="1">
                  <c:v>HTPE     </c:v>
                </c:pt>
                <c:pt idx="2">
                  <c:v>TTP      </c:v>
                </c:pt>
                <c:pt idx="3">
                  <c:v>ATP      </c:v>
                </c:pt>
              </c:strCache>
            </c:strRef>
          </c:cat>
          <c:val>
            <c:numRef>
              <c:f>Sheet3!$S$2:$V$2</c:f>
              <c:numCache>
                <c:formatCode>0.00</c:formatCode>
                <c:ptCount val="4"/>
                <c:pt idx="0">
                  <c:v>3.89</c:v>
                </c:pt>
                <c:pt idx="1">
                  <c:v>0.122</c:v>
                </c:pt>
                <c:pt idx="2">
                  <c:v>3.89</c:v>
                </c:pt>
                <c:pt idx="3">
                  <c:v>7.5199999999999998E-3</c:v>
                </c:pt>
              </c:numCache>
            </c:numRef>
          </c:val>
          <c:extLst>
            <c:ext xmlns:c16="http://schemas.microsoft.com/office/drawing/2014/chart" uri="{C3380CC4-5D6E-409C-BE32-E72D297353CC}">
              <c16:uniqueId val="{00000000-8421-4139-8D33-570EB7941854}"/>
            </c:ext>
          </c:extLst>
        </c:ser>
        <c:ser>
          <c:idx val="1"/>
          <c:order val="1"/>
          <c:tx>
            <c:strRef>
              <c:f>Sheet3!$R$3</c:f>
              <c:strCache>
                <c:ptCount val="1"/>
                <c:pt idx="0">
                  <c:v>Case 2</c:v>
                </c:pt>
              </c:strCache>
            </c:strRef>
          </c:tx>
          <c:spPr>
            <a:solidFill>
              <a:schemeClr val="accent2"/>
            </a:solidFill>
            <a:ln>
              <a:noFill/>
            </a:ln>
            <a:effectLst/>
          </c:spPr>
          <c:invertIfNegative val="0"/>
          <c:cat>
            <c:strRef>
              <c:f>Sheet3!$S$1:$V$1</c:f>
              <c:strCache>
                <c:ptCount val="4"/>
                <c:pt idx="0">
                  <c:v>HTPI     </c:v>
                </c:pt>
                <c:pt idx="1">
                  <c:v>HTPE     </c:v>
                </c:pt>
                <c:pt idx="2">
                  <c:v>TTP      </c:v>
                </c:pt>
                <c:pt idx="3">
                  <c:v>ATP      </c:v>
                </c:pt>
              </c:strCache>
            </c:strRef>
          </c:cat>
          <c:val>
            <c:numRef>
              <c:f>Sheet3!$S$3:$V$3</c:f>
              <c:numCache>
                <c:formatCode>0.00</c:formatCode>
                <c:ptCount val="4"/>
                <c:pt idx="0">
                  <c:v>4.05</c:v>
                </c:pt>
                <c:pt idx="1">
                  <c:v>0.214</c:v>
                </c:pt>
                <c:pt idx="2">
                  <c:v>4.05</c:v>
                </c:pt>
                <c:pt idx="3">
                  <c:v>9.7699999999999992E-3</c:v>
                </c:pt>
              </c:numCache>
            </c:numRef>
          </c:val>
          <c:extLst>
            <c:ext xmlns:c16="http://schemas.microsoft.com/office/drawing/2014/chart" uri="{C3380CC4-5D6E-409C-BE32-E72D297353CC}">
              <c16:uniqueId val="{00000001-8421-4139-8D33-570EB7941854}"/>
            </c:ext>
          </c:extLst>
        </c:ser>
        <c:ser>
          <c:idx val="2"/>
          <c:order val="2"/>
          <c:tx>
            <c:strRef>
              <c:f>Sheet3!$R$4</c:f>
              <c:strCache>
                <c:ptCount val="1"/>
                <c:pt idx="0">
                  <c:v>Case 3</c:v>
                </c:pt>
              </c:strCache>
            </c:strRef>
          </c:tx>
          <c:spPr>
            <a:solidFill>
              <a:schemeClr val="accent3"/>
            </a:solidFill>
            <a:ln>
              <a:noFill/>
            </a:ln>
            <a:effectLst/>
          </c:spPr>
          <c:invertIfNegative val="0"/>
          <c:cat>
            <c:strRef>
              <c:f>Sheet3!$S$1:$V$1</c:f>
              <c:strCache>
                <c:ptCount val="4"/>
                <c:pt idx="0">
                  <c:v>HTPI     </c:v>
                </c:pt>
                <c:pt idx="1">
                  <c:v>HTPE     </c:v>
                </c:pt>
                <c:pt idx="2">
                  <c:v>TTP      </c:v>
                </c:pt>
                <c:pt idx="3">
                  <c:v>ATP      </c:v>
                </c:pt>
              </c:strCache>
            </c:strRef>
          </c:cat>
          <c:val>
            <c:numRef>
              <c:f>Sheet3!$S$4:$V$4</c:f>
              <c:numCache>
                <c:formatCode>0.00</c:formatCode>
                <c:ptCount val="4"/>
                <c:pt idx="0">
                  <c:v>3.89</c:v>
                </c:pt>
                <c:pt idx="1">
                  <c:v>0.122</c:v>
                </c:pt>
                <c:pt idx="2">
                  <c:v>3.89</c:v>
                </c:pt>
                <c:pt idx="3">
                  <c:v>1.7399999999999999E-2</c:v>
                </c:pt>
              </c:numCache>
            </c:numRef>
          </c:val>
          <c:extLst>
            <c:ext xmlns:c16="http://schemas.microsoft.com/office/drawing/2014/chart" uri="{C3380CC4-5D6E-409C-BE32-E72D297353CC}">
              <c16:uniqueId val="{00000002-8421-4139-8D33-570EB7941854}"/>
            </c:ext>
          </c:extLst>
        </c:ser>
        <c:ser>
          <c:idx val="3"/>
          <c:order val="3"/>
          <c:tx>
            <c:strRef>
              <c:f>Sheet3!$R$5</c:f>
              <c:strCache>
                <c:ptCount val="1"/>
                <c:pt idx="0">
                  <c:v>Case 4</c:v>
                </c:pt>
              </c:strCache>
            </c:strRef>
          </c:tx>
          <c:spPr>
            <a:solidFill>
              <a:schemeClr val="accent4"/>
            </a:solidFill>
            <a:ln>
              <a:noFill/>
            </a:ln>
            <a:effectLst/>
          </c:spPr>
          <c:invertIfNegative val="0"/>
          <c:cat>
            <c:strRef>
              <c:f>Sheet3!$S$1:$V$1</c:f>
              <c:strCache>
                <c:ptCount val="4"/>
                <c:pt idx="0">
                  <c:v>HTPI     </c:v>
                </c:pt>
                <c:pt idx="1">
                  <c:v>HTPE     </c:v>
                </c:pt>
                <c:pt idx="2">
                  <c:v>TTP      </c:v>
                </c:pt>
                <c:pt idx="3">
                  <c:v>ATP      </c:v>
                </c:pt>
              </c:strCache>
            </c:strRef>
          </c:cat>
          <c:val>
            <c:numRef>
              <c:f>Sheet3!$S$5:$V$5</c:f>
              <c:numCache>
                <c:formatCode>0.00</c:formatCode>
                <c:ptCount val="4"/>
                <c:pt idx="0">
                  <c:v>4.05</c:v>
                </c:pt>
                <c:pt idx="1">
                  <c:v>0.214</c:v>
                </c:pt>
                <c:pt idx="2">
                  <c:v>4.05</c:v>
                </c:pt>
                <c:pt idx="3">
                  <c:v>1.9699999999999999E-2</c:v>
                </c:pt>
              </c:numCache>
            </c:numRef>
          </c:val>
          <c:extLst>
            <c:ext xmlns:c16="http://schemas.microsoft.com/office/drawing/2014/chart" uri="{C3380CC4-5D6E-409C-BE32-E72D297353CC}">
              <c16:uniqueId val="{00000003-8421-4139-8D33-570EB7941854}"/>
            </c:ext>
          </c:extLst>
        </c:ser>
        <c:dLbls>
          <c:showLegendKey val="0"/>
          <c:showVal val="0"/>
          <c:showCatName val="0"/>
          <c:showSerName val="0"/>
          <c:showPercent val="0"/>
          <c:showBubbleSize val="0"/>
        </c:dLbls>
        <c:gapWidth val="219"/>
        <c:overlap val="-27"/>
        <c:axId val="463102367"/>
        <c:axId val="463105247"/>
      </c:barChart>
      <c:catAx>
        <c:axId val="4631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5247"/>
        <c:crosses val="autoZero"/>
        <c:auto val="1"/>
        <c:lblAlgn val="ctr"/>
        <c:lblOffset val="100"/>
        <c:noMultiLvlLbl val="0"/>
      </c:catAx>
      <c:valAx>
        <c:axId val="463105247"/>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Total output rate of PEI (PEI/hr)</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2367"/>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Sheet3!$R$2</c:f>
              <c:strCache>
                <c:ptCount val="1"/>
                <c:pt idx="0">
                  <c:v>Case 1</c:v>
                </c:pt>
              </c:strCache>
            </c:strRef>
          </c:tx>
          <c:spPr>
            <a:solidFill>
              <a:schemeClr val="accent1"/>
            </a:solidFill>
            <a:ln>
              <a:noFill/>
            </a:ln>
            <a:effectLst/>
          </c:spPr>
          <c:invertIfNegative val="0"/>
          <c:cat>
            <c:strRef>
              <c:f>Sheet3!$W$1:$Z$1</c:f>
              <c:strCache>
                <c:ptCount val="4"/>
                <c:pt idx="0">
                  <c:v>GWP      </c:v>
                </c:pt>
                <c:pt idx="1">
                  <c:v>ODP      </c:v>
                </c:pt>
                <c:pt idx="2">
                  <c:v>PCOP     </c:v>
                </c:pt>
                <c:pt idx="3">
                  <c:v>AP       </c:v>
                </c:pt>
              </c:strCache>
            </c:strRef>
          </c:cat>
          <c:val>
            <c:numRef>
              <c:f>Sheet3!$W$2:$Z$2</c:f>
              <c:numCache>
                <c:formatCode>0</c:formatCode>
                <c:ptCount val="4"/>
                <c:pt idx="0" formatCode="0.00">
                  <c:v>0</c:v>
                </c:pt>
                <c:pt idx="1">
                  <c:v>0</c:v>
                </c:pt>
                <c:pt idx="2" formatCode="0.00">
                  <c:v>12.4</c:v>
                </c:pt>
                <c:pt idx="3">
                  <c:v>0</c:v>
                </c:pt>
              </c:numCache>
            </c:numRef>
          </c:val>
          <c:extLst>
            <c:ext xmlns:c16="http://schemas.microsoft.com/office/drawing/2014/chart" uri="{C3380CC4-5D6E-409C-BE32-E72D297353CC}">
              <c16:uniqueId val="{00000000-4D22-4C71-A352-918C0566FF83}"/>
            </c:ext>
          </c:extLst>
        </c:ser>
        <c:ser>
          <c:idx val="1"/>
          <c:order val="1"/>
          <c:tx>
            <c:strRef>
              <c:f>Sheet3!$R$3</c:f>
              <c:strCache>
                <c:ptCount val="1"/>
                <c:pt idx="0">
                  <c:v>Case 2</c:v>
                </c:pt>
              </c:strCache>
            </c:strRef>
          </c:tx>
          <c:spPr>
            <a:solidFill>
              <a:schemeClr val="accent2"/>
            </a:solidFill>
            <a:ln>
              <a:noFill/>
            </a:ln>
            <a:effectLst/>
          </c:spPr>
          <c:invertIfNegative val="0"/>
          <c:cat>
            <c:strRef>
              <c:f>Sheet3!$W$1:$Z$1</c:f>
              <c:strCache>
                <c:ptCount val="4"/>
                <c:pt idx="0">
                  <c:v>GWP      </c:v>
                </c:pt>
                <c:pt idx="1">
                  <c:v>ODP      </c:v>
                </c:pt>
                <c:pt idx="2">
                  <c:v>PCOP     </c:v>
                </c:pt>
                <c:pt idx="3">
                  <c:v>AP       </c:v>
                </c:pt>
              </c:strCache>
            </c:strRef>
          </c:cat>
          <c:val>
            <c:numRef>
              <c:f>Sheet3!$W$3:$Z$3</c:f>
              <c:numCache>
                <c:formatCode>0</c:formatCode>
                <c:ptCount val="4"/>
                <c:pt idx="0" formatCode="0.00">
                  <c:v>0</c:v>
                </c:pt>
                <c:pt idx="1">
                  <c:v>0</c:v>
                </c:pt>
                <c:pt idx="2" formatCode="0.00">
                  <c:v>12.9</c:v>
                </c:pt>
                <c:pt idx="3">
                  <c:v>0</c:v>
                </c:pt>
              </c:numCache>
            </c:numRef>
          </c:val>
          <c:extLst>
            <c:ext xmlns:c16="http://schemas.microsoft.com/office/drawing/2014/chart" uri="{C3380CC4-5D6E-409C-BE32-E72D297353CC}">
              <c16:uniqueId val="{00000001-4D22-4C71-A352-918C0566FF83}"/>
            </c:ext>
          </c:extLst>
        </c:ser>
        <c:ser>
          <c:idx val="2"/>
          <c:order val="2"/>
          <c:tx>
            <c:strRef>
              <c:f>Sheet3!$R$4</c:f>
              <c:strCache>
                <c:ptCount val="1"/>
                <c:pt idx="0">
                  <c:v>Case 3</c:v>
                </c:pt>
              </c:strCache>
            </c:strRef>
          </c:tx>
          <c:spPr>
            <a:solidFill>
              <a:schemeClr val="accent3"/>
            </a:solidFill>
            <a:ln>
              <a:noFill/>
            </a:ln>
            <a:effectLst/>
          </c:spPr>
          <c:invertIfNegative val="0"/>
          <c:cat>
            <c:strRef>
              <c:f>Sheet3!$W$1:$Z$1</c:f>
              <c:strCache>
                <c:ptCount val="4"/>
                <c:pt idx="0">
                  <c:v>GWP      </c:v>
                </c:pt>
                <c:pt idx="1">
                  <c:v>ODP      </c:v>
                </c:pt>
                <c:pt idx="2">
                  <c:v>PCOP     </c:v>
                </c:pt>
                <c:pt idx="3">
                  <c:v>AP       </c:v>
                </c:pt>
              </c:strCache>
            </c:strRef>
          </c:cat>
          <c:val>
            <c:numRef>
              <c:f>Sheet3!$W$4:$Z$4</c:f>
              <c:numCache>
                <c:formatCode>0</c:formatCode>
                <c:ptCount val="4"/>
                <c:pt idx="0" formatCode="0.00">
                  <c:v>5.7500000000000002E-2</c:v>
                </c:pt>
                <c:pt idx="1">
                  <c:v>2.1799999999999999E-7</c:v>
                </c:pt>
                <c:pt idx="2" formatCode="0.00">
                  <c:v>12.4</c:v>
                </c:pt>
                <c:pt idx="3" formatCode="0.00">
                  <c:v>0.59599999999999997</c:v>
                </c:pt>
              </c:numCache>
            </c:numRef>
          </c:val>
          <c:extLst>
            <c:ext xmlns:c16="http://schemas.microsoft.com/office/drawing/2014/chart" uri="{C3380CC4-5D6E-409C-BE32-E72D297353CC}">
              <c16:uniqueId val="{00000002-4D22-4C71-A352-918C0566FF83}"/>
            </c:ext>
          </c:extLst>
        </c:ser>
        <c:ser>
          <c:idx val="3"/>
          <c:order val="3"/>
          <c:tx>
            <c:strRef>
              <c:f>Sheet3!$R$5</c:f>
              <c:strCache>
                <c:ptCount val="1"/>
                <c:pt idx="0">
                  <c:v>Case 4</c:v>
                </c:pt>
              </c:strCache>
            </c:strRef>
          </c:tx>
          <c:spPr>
            <a:solidFill>
              <a:schemeClr val="accent4"/>
            </a:solidFill>
            <a:ln>
              <a:noFill/>
            </a:ln>
            <a:effectLst/>
          </c:spPr>
          <c:invertIfNegative val="0"/>
          <c:cat>
            <c:strRef>
              <c:f>Sheet3!$W$1:$Z$1</c:f>
              <c:strCache>
                <c:ptCount val="4"/>
                <c:pt idx="0">
                  <c:v>GWP      </c:v>
                </c:pt>
                <c:pt idx="1">
                  <c:v>ODP      </c:v>
                </c:pt>
                <c:pt idx="2">
                  <c:v>PCOP     </c:v>
                </c:pt>
                <c:pt idx="3">
                  <c:v>AP       </c:v>
                </c:pt>
              </c:strCache>
            </c:strRef>
          </c:cat>
          <c:val>
            <c:numRef>
              <c:f>Sheet3!$W$5:$Z$5</c:f>
              <c:numCache>
                <c:formatCode>0</c:formatCode>
                <c:ptCount val="4"/>
                <c:pt idx="0" formatCode="0.00">
                  <c:v>5.7500000000000002E-2</c:v>
                </c:pt>
                <c:pt idx="1">
                  <c:v>2.1799999999999999E-7</c:v>
                </c:pt>
                <c:pt idx="2" formatCode="0.00">
                  <c:v>12.9</c:v>
                </c:pt>
                <c:pt idx="3" formatCode="0.00">
                  <c:v>0.59599999999999997</c:v>
                </c:pt>
              </c:numCache>
            </c:numRef>
          </c:val>
          <c:extLst>
            <c:ext xmlns:c16="http://schemas.microsoft.com/office/drawing/2014/chart" uri="{C3380CC4-5D6E-409C-BE32-E72D297353CC}">
              <c16:uniqueId val="{00000003-4D22-4C71-A352-918C0566FF83}"/>
            </c:ext>
          </c:extLst>
        </c:ser>
        <c:dLbls>
          <c:showLegendKey val="0"/>
          <c:showVal val="0"/>
          <c:showCatName val="0"/>
          <c:showSerName val="0"/>
          <c:showPercent val="0"/>
          <c:showBubbleSize val="0"/>
        </c:dLbls>
        <c:gapWidth val="219"/>
        <c:overlap val="-27"/>
        <c:axId val="463102367"/>
        <c:axId val="463105247"/>
      </c:barChart>
      <c:catAx>
        <c:axId val="4631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5247"/>
        <c:crosses val="autoZero"/>
        <c:auto val="1"/>
        <c:lblAlgn val="ctr"/>
        <c:lblOffset val="100"/>
        <c:noMultiLvlLbl val="0"/>
      </c:catAx>
      <c:valAx>
        <c:axId val="463105247"/>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Total output rate of PEI (PEI/hr)</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2367"/>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Sheet3!$R$7</c:f>
              <c:strCache>
                <c:ptCount val="1"/>
                <c:pt idx="0">
                  <c:v>Case 1</c:v>
                </c:pt>
              </c:strCache>
            </c:strRef>
          </c:tx>
          <c:spPr>
            <a:solidFill>
              <a:schemeClr val="accent1"/>
            </a:solidFill>
            <a:ln>
              <a:noFill/>
            </a:ln>
            <a:effectLst/>
          </c:spPr>
          <c:invertIfNegative val="0"/>
          <c:cat>
            <c:strRef>
              <c:f>Sheet3!$W$1:$Z$1</c:f>
              <c:strCache>
                <c:ptCount val="4"/>
                <c:pt idx="0">
                  <c:v>GWP      </c:v>
                </c:pt>
                <c:pt idx="1">
                  <c:v>ODP      </c:v>
                </c:pt>
                <c:pt idx="2">
                  <c:v>PCOP     </c:v>
                </c:pt>
                <c:pt idx="3">
                  <c:v>AP       </c:v>
                </c:pt>
              </c:strCache>
            </c:strRef>
          </c:cat>
          <c:val>
            <c:numRef>
              <c:f>Sheet3!$W$7:$Z$7</c:f>
              <c:numCache>
                <c:formatCode>0</c:formatCode>
                <c:ptCount val="4"/>
                <c:pt idx="0">
                  <c:v>0</c:v>
                </c:pt>
                <c:pt idx="1">
                  <c:v>0</c:v>
                </c:pt>
                <c:pt idx="2" formatCode="0.00">
                  <c:v>-0.50900000000000001</c:v>
                </c:pt>
                <c:pt idx="3" formatCode="0.00">
                  <c:v>0</c:v>
                </c:pt>
              </c:numCache>
            </c:numRef>
          </c:val>
          <c:extLst>
            <c:ext xmlns:c16="http://schemas.microsoft.com/office/drawing/2014/chart" uri="{C3380CC4-5D6E-409C-BE32-E72D297353CC}">
              <c16:uniqueId val="{00000000-12CC-45A0-B959-23EA3CE48DA8}"/>
            </c:ext>
          </c:extLst>
        </c:ser>
        <c:ser>
          <c:idx val="1"/>
          <c:order val="1"/>
          <c:tx>
            <c:strRef>
              <c:f>Sheet3!$R$8</c:f>
              <c:strCache>
                <c:ptCount val="1"/>
                <c:pt idx="0">
                  <c:v>Case 2</c:v>
                </c:pt>
              </c:strCache>
            </c:strRef>
          </c:tx>
          <c:spPr>
            <a:solidFill>
              <a:schemeClr val="accent2"/>
            </a:solidFill>
            <a:ln>
              <a:noFill/>
            </a:ln>
            <a:effectLst/>
          </c:spPr>
          <c:invertIfNegative val="0"/>
          <c:cat>
            <c:strRef>
              <c:f>Sheet3!$W$1:$Z$1</c:f>
              <c:strCache>
                <c:ptCount val="4"/>
                <c:pt idx="0">
                  <c:v>GWP      </c:v>
                </c:pt>
                <c:pt idx="1">
                  <c:v>ODP      </c:v>
                </c:pt>
                <c:pt idx="2">
                  <c:v>PCOP     </c:v>
                </c:pt>
                <c:pt idx="3">
                  <c:v>AP       </c:v>
                </c:pt>
              </c:strCache>
            </c:strRef>
          </c:cat>
          <c:val>
            <c:numRef>
              <c:f>Sheet3!$W$8:$Z$8</c:f>
              <c:numCache>
                <c:formatCode>0</c:formatCode>
                <c:ptCount val="4"/>
                <c:pt idx="0">
                  <c:v>0</c:v>
                </c:pt>
                <c:pt idx="1">
                  <c:v>0</c:v>
                </c:pt>
                <c:pt idx="2" formatCode="0.000000">
                  <c:v>2.83E-6</c:v>
                </c:pt>
                <c:pt idx="3">
                  <c:v>0</c:v>
                </c:pt>
              </c:numCache>
            </c:numRef>
          </c:val>
          <c:extLst>
            <c:ext xmlns:c16="http://schemas.microsoft.com/office/drawing/2014/chart" uri="{C3380CC4-5D6E-409C-BE32-E72D297353CC}">
              <c16:uniqueId val="{00000001-12CC-45A0-B959-23EA3CE48DA8}"/>
            </c:ext>
          </c:extLst>
        </c:ser>
        <c:ser>
          <c:idx val="2"/>
          <c:order val="2"/>
          <c:tx>
            <c:strRef>
              <c:f>Sheet3!$R$9</c:f>
              <c:strCache>
                <c:ptCount val="1"/>
                <c:pt idx="0">
                  <c:v>Case 3</c:v>
                </c:pt>
              </c:strCache>
            </c:strRef>
          </c:tx>
          <c:spPr>
            <a:solidFill>
              <a:schemeClr val="accent3"/>
            </a:solidFill>
            <a:ln>
              <a:noFill/>
            </a:ln>
            <a:effectLst/>
          </c:spPr>
          <c:invertIfNegative val="0"/>
          <c:cat>
            <c:strRef>
              <c:f>Sheet3!$W$1:$Z$1</c:f>
              <c:strCache>
                <c:ptCount val="4"/>
                <c:pt idx="0">
                  <c:v>GWP      </c:v>
                </c:pt>
                <c:pt idx="1">
                  <c:v>ODP      </c:v>
                </c:pt>
                <c:pt idx="2">
                  <c:v>PCOP     </c:v>
                </c:pt>
                <c:pt idx="3">
                  <c:v>AP       </c:v>
                </c:pt>
              </c:strCache>
            </c:strRef>
          </c:cat>
          <c:val>
            <c:numRef>
              <c:f>Sheet3!$W$9:$Z$9</c:f>
              <c:numCache>
                <c:formatCode>0</c:formatCode>
                <c:ptCount val="4"/>
                <c:pt idx="0" formatCode="0.00">
                  <c:v>5.7500000000000002E-2</c:v>
                </c:pt>
                <c:pt idx="1">
                  <c:v>2.1799999999999999E-7</c:v>
                </c:pt>
                <c:pt idx="2" formatCode="0.00">
                  <c:v>-0.50900000000000001</c:v>
                </c:pt>
                <c:pt idx="3" formatCode="0.00">
                  <c:v>0.59599999999999997</c:v>
                </c:pt>
              </c:numCache>
            </c:numRef>
          </c:val>
          <c:extLst>
            <c:ext xmlns:c16="http://schemas.microsoft.com/office/drawing/2014/chart" uri="{C3380CC4-5D6E-409C-BE32-E72D297353CC}">
              <c16:uniqueId val="{00000002-12CC-45A0-B959-23EA3CE48DA8}"/>
            </c:ext>
          </c:extLst>
        </c:ser>
        <c:ser>
          <c:idx val="3"/>
          <c:order val="3"/>
          <c:tx>
            <c:strRef>
              <c:f>Sheet3!$R$10</c:f>
              <c:strCache>
                <c:ptCount val="1"/>
                <c:pt idx="0">
                  <c:v>Case 4</c:v>
                </c:pt>
              </c:strCache>
            </c:strRef>
          </c:tx>
          <c:spPr>
            <a:solidFill>
              <a:schemeClr val="accent4"/>
            </a:solidFill>
            <a:ln>
              <a:noFill/>
            </a:ln>
            <a:effectLst/>
          </c:spPr>
          <c:invertIfNegative val="0"/>
          <c:cat>
            <c:strRef>
              <c:f>Sheet3!$W$1:$Z$1</c:f>
              <c:strCache>
                <c:ptCount val="4"/>
                <c:pt idx="0">
                  <c:v>GWP      </c:v>
                </c:pt>
                <c:pt idx="1">
                  <c:v>ODP      </c:v>
                </c:pt>
                <c:pt idx="2">
                  <c:v>PCOP     </c:v>
                </c:pt>
                <c:pt idx="3">
                  <c:v>AP       </c:v>
                </c:pt>
              </c:strCache>
            </c:strRef>
          </c:cat>
          <c:val>
            <c:numRef>
              <c:f>Sheet3!$W$10:$Z$10</c:f>
              <c:numCache>
                <c:formatCode>0</c:formatCode>
                <c:ptCount val="4"/>
                <c:pt idx="0" formatCode="0.00">
                  <c:v>5.7500000000000002E-2</c:v>
                </c:pt>
                <c:pt idx="1">
                  <c:v>2.1799999999999999E-7</c:v>
                </c:pt>
                <c:pt idx="2" formatCode="0.000000">
                  <c:v>4.49E-5</c:v>
                </c:pt>
                <c:pt idx="3" formatCode="0.00">
                  <c:v>0.59599999999999997</c:v>
                </c:pt>
              </c:numCache>
            </c:numRef>
          </c:val>
          <c:extLst>
            <c:ext xmlns:c16="http://schemas.microsoft.com/office/drawing/2014/chart" uri="{C3380CC4-5D6E-409C-BE32-E72D297353CC}">
              <c16:uniqueId val="{00000003-12CC-45A0-B959-23EA3CE48DA8}"/>
            </c:ext>
          </c:extLst>
        </c:ser>
        <c:dLbls>
          <c:showLegendKey val="0"/>
          <c:showVal val="0"/>
          <c:showCatName val="0"/>
          <c:showSerName val="0"/>
          <c:showPercent val="0"/>
          <c:showBubbleSize val="0"/>
        </c:dLbls>
        <c:gapWidth val="219"/>
        <c:overlap val="-27"/>
        <c:axId val="463102367"/>
        <c:axId val="463105247"/>
      </c:barChart>
      <c:catAx>
        <c:axId val="4631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5247"/>
        <c:crosses val="autoZero"/>
        <c:auto val="1"/>
        <c:lblAlgn val="ctr"/>
        <c:lblOffset val="100"/>
        <c:noMultiLvlLbl val="0"/>
      </c:catAx>
      <c:valAx>
        <c:axId val="463105247"/>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Total generation rate of PEI (PEI/hr)</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102367"/>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5825630491838"/>
          <c:y val="0.10985749529056618"/>
          <c:w val="0.74997261211913713"/>
          <c:h val="0.68331047583016091"/>
        </c:manualLayout>
      </c:layout>
      <c:barChart>
        <c:barDir val="bar"/>
        <c:grouping val="clustered"/>
        <c:varyColors val="0"/>
        <c:ser>
          <c:idx val="0"/>
          <c:order val="0"/>
          <c:tx>
            <c:strRef>
              <c:f>Sheet4!$M$3</c:f>
              <c:strCache>
                <c:ptCount val="1"/>
                <c:pt idx="0">
                  <c:v>Gas</c:v>
                </c:pt>
              </c:strCache>
            </c:strRef>
          </c:tx>
          <c:spPr>
            <a:solidFill>
              <a:schemeClr val="accent1"/>
            </a:solidFill>
            <a:ln>
              <a:noFill/>
            </a:ln>
            <a:effectLst/>
          </c:spPr>
          <c:invertIfNegative val="0"/>
          <c:cat>
            <c:strRef>
              <c:f>Sheet4!$D$2:$K$2</c:f>
              <c:strCache>
                <c:ptCount val="8"/>
                <c:pt idx="0">
                  <c:v>HTPI     </c:v>
                </c:pt>
                <c:pt idx="1">
                  <c:v>HTPE     </c:v>
                </c:pt>
                <c:pt idx="2">
                  <c:v>TTP      </c:v>
                </c:pt>
                <c:pt idx="3">
                  <c:v>ATP      </c:v>
                </c:pt>
                <c:pt idx="4">
                  <c:v>GWP      </c:v>
                </c:pt>
                <c:pt idx="5">
                  <c:v>ODP      </c:v>
                </c:pt>
                <c:pt idx="6">
                  <c:v>PCOP     </c:v>
                </c:pt>
                <c:pt idx="7">
                  <c:v>AP       </c:v>
                </c:pt>
              </c:strCache>
            </c:strRef>
          </c:cat>
          <c:val>
            <c:numRef>
              <c:f>Sheet4!$D$3:$K$3</c:f>
              <c:numCache>
                <c:formatCode>0.00</c:formatCode>
                <c:ptCount val="8"/>
                <c:pt idx="0">
                  <c:v>2.8600000000000001E-5</c:v>
                </c:pt>
                <c:pt idx="1">
                  <c:v>7.8100000000000001E-5</c:v>
                </c:pt>
                <c:pt idx="2">
                  <c:v>2.8600000000000001E-5</c:v>
                </c:pt>
                <c:pt idx="3">
                  <c:v>9.92E-3</c:v>
                </c:pt>
                <c:pt idx="4">
                  <c:v>5.7500000000000002E-2</c:v>
                </c:pt>
                <c:pt idx="5" formatCode="0.00000000">
                  <c:v>2.1799999999999999E-7</c:v>
                </c:pt>
                <c:pt idx="6" formatCode="0.00000000">
                  <c:v>4.21E-5</c:v>
                </c:pt>
                <c:pt idx="7">
                  <c:v>0.59599999999999997</c:v>
                </c:pt>
              </c:numCache>
            </c:numRef>
          </c:val>
          <c:extLst>
            <c:ext xmlns:c16="http://schemas.microsoft.com/office/drawing/2014/chart" uri="{C3380CC4-5D6E-409C-BE32-E72D297353CC}">
              <c16:uniqueId val="{00000000-787F-4998-81F5-32DCA17FDD8D}"/>
            </c:ext>
          </c:extLst>
        </c:ser>
        <c:ser>
          <c:idx val="1"/>
          <c:order val="1"/>
          <c:tx>
            <c:strRef>
              <c:f>Sheet4!$M$4</c:f>
              <c:strCache>
                <c:ptCount val="1"/>
                <c:pt idx="0">
                  <c:v>Coal</c:v>
                </c:pt>
              </c:strCache>
            </c:strRef>
          </c:tx>
          <c:spPr>
            <a:solidFill>
              <a:schemeClr val="accent2"/>
            </a:solidFill>
            <a:ln>
              <a:noFill/>
            </a:ln>
            <a:effectLst/>
          </c:spPr>
          <c:invertIfNegative val="0"/>
          <c:cat>
            <c:strRef>
              <c:f>Sheet4!$D$2:$K$2</c:f>
              <c:strCache>
                <c:ptCount val="8"/>
                <c:pt idx="0">
                  <c:v>HTPI     </c:v>
                </c:pt>
                <c:pt idx="1">
                  <c:v>HTPE     </c:v>
                </c:pt>
                <c:pt idx="2">
                  <c:v>TTP      </c:v>
                </c:pt>
                <c:pt idx="3">
                  <c:v>ATP      </c:v>
                </c:pt>
                <c:pt idx="4">
                  <c:v>GWP      </c:v>
                </c:pt>
                <c:pt idx="5">
                  <c:v>ODP      </c:v>
                </c:pt>
                <c:pt idx="6">
                  <c:v>PCOP     </c:v>
                </c:pt>
                <c:pt idx="7">
                  <c:v>AP       </c:v>
                </c:pt>
              </c:strCache>
            </c:strRef>
          </c:cat>
          <c:val>
            <c:numRef>
              <c:f>Sheet4!$D$4:$K$4</c:f>
              <c:numCache>
                <c:formatCode>0.00</c:formatCode>
                <c:ptCount val="8"/>
                <c:pt idx="0">
                  <c:v>4.7100000000000003E-2</c:v>
                </c:pt>
                <c:pt idx="1">
                  <c:v>7.3300000000000004E-4</c:v>
                </c:pt>
                <c:pt idx="2">
                  <c:v>4.7100000000000003E-2</c:v>
                </c:pt>
                <c:pt idx="3">
                  <c:v>0.159</c:v>
                </c:pt>
                <c:pt idx="4">
                  <c:v>0.11600000000000001</c:v>
                </c:pt>
                <c:pt idx="5" formatCode="0.00000000">
                  <c:v>1.22E-6</c:v>
                </c:pt>
                <c:pt idx="6" formatCode="0.00000000">
                  <c:v>4.2500000000000003E-5</c:v>
                </c:pt>
                <c:pt idx="7">
                  <c:v>3.59</c:v>
                </c:pt>
              </c:numCache>
            </c:numRef>
          </c:val>
          <c:extLst>
            <c:ext xmlns:c16="http://schemas.microsoft.com/office/drawing/2014/chart" uri="{C3380CC4-5D6E-409C-BE32-E72D297353CC}">
              <c16:uniqueId val="{00000001-787F-4998-81F5-32DCA17FDD8D}"/>
            </c:ext>
          </c:extLst>
        </c:ser>
        <c:ser>
          <c:idx val="2"/>
          <c:order val="2"/>
          <c:tx>
            <c:strRef>
              <c:f>Sheet4!$M$5</c:f>
              <c:strCache>
                <c:ptCount val="1"/>
                <c:pt idx="0">
                  <c:v>Oil</c:v>
                </c:pt>
              </c:strCache>
            </c:strRef>
          </c:tx>
          <c:spPr>
            <a:solidFill>
              <a:schemeClr val="accent3"/>
            </a:solidFill>
            <a:ln>
              <a:noFill/>
            </a:ln>
            <a:effectLst/>
          </c:spPr>
          <c:invertIfNegative val="0"/>
          <c:cat>
            <c:strRef>
              <c:f>Sheet4!$D$2:$K$2</c:f>
              <c:strCache>
                <c:ptCount val="8"/>
                <c:pt idx="0">
                  <c:v>HTPI     </c:v>
                </c:pt>
                <c:pt idx="1">
                  <c:v>HTPE     </c:v>
                </c:pt>
                <c:pt idx="2">
                  <c:v>TTP      </c:v>
                </c:pt>
                <c:pt idx="3">
                  <c:v>ATP      </c:v>
                </c:pt>
                <c:pt idx="4">
                  <c:v>GWP      </c:v>
                </c:pt>
                <c:pt idx="5">
                  <c:v>ODP      </c:v>
                </c:pt>
                <c:pt idx="6">
                  <c:v>PCOP     </c:v>
                </c:pt>
                <c:pt idx="7">
                  <c:v>AP       </c:v>
                </c:pt>
              </c:strCache>
            </c:strRef>
          </c:cat>
          <c:val>
            <c:numRef>
              <c:f>Sheet4!$D$5:$K$5</c:f>
              <c:numCache>
                <c:formatCode>0.00</c:formatCode>
                <c:ptCount val="8"/>
                <c:pt idx="0">
                  <c:v>5.4899999999999997E-2</c:v>
                </c:pt>
                <c:pt idx="1">
                  <c:v>4.4999999999999997E-3</c:v>
                </c:pt>
                <c:pt idx="2">
                  <c:v>5.4899999999999997E-2</c:v>
                </c:pt>
                <c:pt idx="3">
                  <c:v>0.13</c:v>
                </c:pt>
                <c:pt idx="4">
                  <c:v>9.1399999999999995E-2</c:v>
                </c:pt>
                <c:pt idx="5" formatCode="0.00000000">
                  <c:v>0</c:v>
                </c:pt>
                <c:pt idx="6" formatCode="0.00000000">
                  <c:v>2.1299999999999999E-5</c:v>
                </c:pt>
                <c:pt idx="7">
                  <c:v>2.25</c:v>
                </c:pt>
              </c:numCache>
            </c:numRef>
          </c:val>
          <c:extLst>
            <c:ext xmlns:c16="http://schemas.microsoft.com/office/drawing/2014/chart" uri="{C3380CC4-5D6E-409C-BE32-E72D297353CC}">
              <c16:uniqueId val="{00000002-787F-4998-81F5-32DCA17FDD8D}"/>
            </c:ext>
          </c:extLst>
        </c:ser>
        <c:dLbls>
          <c:showLegendKey val="0"/>
          <c:showVal val="0"/>
          <c:showCatName val="0"/>
          <c:showSerName val="0"/>
          <c:showPercent val="0"/>
          <c:showBubbleSize val="0"/>
        </c:dLbls>
        <c:gapWidth val="182"/>
        <c:axId val="463074047"/>
        <c:axId val="463070687"/>
      </c:barChart>
      <c:catAx>
        <c:axId val="463074047"/>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070687"/>
        <c:crosses val="autoZero"/>
        <c:auto val="1"/>
        <c:lblAlgn val="ctr"/>
        <c:lblOffset val="100"/>
        <c:noMultiLvlLbl val="0"/>
      </c:catAx>
      <c:valAx>
        <c:axId val="463070687"/>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Total output rate of PEI form energy use (PEI/h)</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63074047"/>
        <c:crosses val="autoZero"/>
        <c:crossBetween val="between"/>
      </c:valAx>
      <c:spPr>
        <a:noFill/>
        <a:ln>
          <a:solidFill>
            <a:schemeClr val="tx1"/>
          </a:solidFill>
        </a:ln>
        <a:effectLst/>
      </c:spPr>
    </c:plotArea>
    <c:legend>
      <c:legendPos val="t"/>
      <c:layout>
        <c:manualLayout>
          <c:xMode val="edge"/>
          <c:yMode val="edge"/>
          <c:x val="0.36271682072349659"/>
          <c:y val="7.0621468926553672E-3"/>
          <c:w val="0.3180443341321465"/>
          <c:h val="0.112637906490502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iHaZ/2+7eyTXYXB0n180EGn5g==">CgMxLjAyCGguZ2pkZ3hzOAByITFreFN3ZnZnelhGZDQ3UVc3ejJUYzhrZU5iazVvMURRSQ==</go:docsCustomData>
</go:gDocsCustomXmlDataStorage>
</file>

<file path=customXml/itemProps1.xml><?xml version="1.0" encoding="utf-8"?>
<ds:datastoreItem xmlns:ds="http://schemas.openxmlformats.org/officeDocument/2006/customXml" ds:itemID="{97365035-C00D-4991-B6DA-3807E4FCDF3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6</Pages>
  <Words>12342</Words>
  <Characters>67881</Characters>
  <Application>Microsoft Office Word</Application>
  <DocSecurity>0</DocSecurity>
  <Lines>565</Lines>
  <Paragraphs>160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AspenUser</cp:lastModifiedBy>
  <cp:revision>60</cp:revision>
  <dcterms:created xsi:type="dcterms:W3CDTF">2026-04-14T01:36:00Z</dcterms:created>
  <dcterms:modified xsi:type="dcterms:W3CDTF">2026-04-14T23:38:00Z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d0388a9d-ac2a-3c39-a91f-0d6969e200f0</vt:lpwstr>
  </property>
  <property fmtid="{D5CDD505-2E9C-101B-9397-08002B2CF9AE}" pid="6" name="Mendeley Citation Style_1">
    <vt:lpwstr>http://www.zotero.org/styles/vancouver</vt:lpwstr>
  </property>
  <property fmtid="{D5CDD505-2E9C-101B-9397-08002B2CF9AE}" pid="7" name="Mendeley Recent Style Id 0_1">
    <vt:lpwstr>http://www.zotero.org/styles/american-medical-association</vt:lpwstr>
  </property>
  <property fmtid="{D5CDD505-2E9C-101B-9397-08002B2CF9AE}" pid="8" name="Mendeley Recent Style Name 0_1">
    <vt:lpwstr>AMA Manual of Style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APSA Style Manual revised 2018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ASA Style Guide 6th/7th edition</vt:lpwstr>
  </property>
  <property fmtid="{D5CDD505-2E9C-101B-9397-08002B2CF9AE}" pid="13" name="Mendeley Recent Style Id 3_1">
    <vt:lpwstr>http://www.zotero.org/styles/apa</vt:lpwstr>
  </property>
  <property fmtid="{D5CDD505-2E9C-101B-9397-08002B2CF9AE}" pid="14" name="Mendeley Recent Style Name 3_1">
    <vt:lpwstr>American Psychological Association 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18th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(author-date/Harvard)</vt:lpwstr>
  </property>
  <property fmtid="{D5CDD505-2E9C-101B-9397-08002B2CF9AE}" pid="19" name="Mendeley Recent Style Id 6_1">
    <vt:lpwstr>http://www.zotero.org/styles/ieee</vt:lpwstr>
  </property>
  <property fmtid="{D5CDD505-2E9C-101B-9397-08002B2CF9AE}" pid="20" name="Mendeley Recent Style Name 6_1">
    <vt:lpwstr>IEEE Reference Guide version 11.29.2023</vt:lpwstr>
  </property>
  <property fmtid="{D5CDD505-2E9C-101B-9397-08002B2CF9AE}" pid="21" name="Mendeley Recent Style Id 7_1">
    <vt:lpwstr>http://www.zotero.org/styles/modern-language-association</vt:lpwstr>
  </property>
  <property fmtid="{D5CDD505-2E9C-101B-9397-08002B2CF9AE}" pid="22" name="Mendeley Recent Style Name 7_1">
    <vt:lpwstr>MLA Handbook 9th edition (in-text citations)</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