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7"/>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10341" w:rsidRPr="00510341" w14:paraId="1324DB40" w14:textId="77777777">
        <w:trPr>
          <w:trHeight w:val="852"/>
          <w:jc w:val="center"/>
        </w:trPr>
        <w:tc>
          <w:tcPr>
            <w:tcW w:w="6940" w:type="dxa"/>
            <w:vMerge w:val="restart"/>
            <w:tcBorders>
              <w:right w:val="single" w:sz="4" w:space="0" w:color="000000"/>
            </w:tcBorders>
          </w:tcPr>
          <w:p w14:paraId="246463FA" w14:textId="77777777" w:rsidR="00D8071B" w:rsidRPr="00510341" w:rsidRDefault="00051DAE">
            <w:pPr>
              <w:tabs>
                <w:tab w:val="left" w:pos="-108"/>
              </w:tabs>
              <w:ind w:left="-108"/>
              <w:jc w:val="left"/>
              <w:rPr>
                <w:b/>
                <w:i/>
                <w:sz w:val="12"/>
                <w:szCs w:val="12"/>
              </w:rPr>
            </w:pPr>
            <w:bookmarkStart w:id="0" w:name="_Hlk224148817"/>
            <w:r w:rsidRPr="00510341">
              <w:rPr>
                <w:rFonts w:ascii="AdvP6960" w:eastAsia="AdvP6960" w:hAnsi="AdvP6960" w:cs="AdvP6960"/>
                <w:noProof/>
              </w:rPr>
              <w:drawing>
                <wp:inline distT="0" distB="0" distL="0" distR="0" wp14:anchorId="1F005989" wp14:editId="6B779616">
                  <wp:extent cx="640080" cy="373380"/>
                  <wp:effectExtent l="0" t="0" r="0" b="0"/>
                  <wp:docPr id="1287744807" name="image4.jpg" descr="cetlogo"/>
                  <wp:cNvGraphicFramePr/>
                  <a:graphic xmlns:a="http://schemas.openxmlformats.org/drawingml/2006/main">
                    <a:graphicData uri="http://schemas.openxmlformats.org/drawingml/2006/picture">
                      <pic:pic xmlns:pic="http://schemas.openxmlformats.org/drawingml/2006/picture">
                        <pic:nvPicPr>
                          <pic:cNvPr id="0" name="image4.jpg" descr="cetlogo"/>
                          <pic:cNvPicPr preferRelativeResize="0"/>
                        </pic:nvPicPr>
                        <pic:blipFill>
                          <a:blip r:embed="rId8"/>
                          <a:srcRect/>
                          <a:stretch>
                            <a:fillRect/>
                          </a:stretch>
                        </pic:blipFill>
                        <pic:spPr>
                          <a:xfrm>
                            <a:off x="0" y="0"/>
                            <a:ext cx="640080" cy="373380"/>
                          </a:xfrm>
                          <a:prstGeom prst="rect">
                            <a:avLst/>
                          </a:prstGeom>
                          <a:ln/>
                        </pic:spPr>
                      </pic:pic>
                    </a:graphicData>
                  </a:graphic>
                </wp:inline>
              </w:drawing>
            </w:r>
            <w:r w:rsidRPr="00510341">
              <w:rPr>
                <w:rFonts w:ascii="AdvP6960" w:eastAsia="AdvP6960" w:hAnsi="AdvP6960" w:cs="AdvP6960"/>
              </w:rPr>
              <w:t xml:space="preserve"> </w:t>
            </w:r>
            <w:r w:rsidRPr="00510341">
              <w:rPr>
                <w:b/>
                <w:i/>
                <w:sz w:val="24"/>
                <w:szCs w:val="24"/>
              </w:rPr>
              <w:t>CHEMICAL ENGINEERING TRANSACTIONS</w:t>
            </w:r>
            <w:r w:rsidRPr="00510341">
              <w:rPr>
                <w:sz w:val="24"/>
                <w:szCs w:val="24"/>
              </w:rPr>
              <w:t xml:space="preserve"> </w:t>
            </w:r>
            <w:r w:rsidRPr="00510341">
              <w:rPr>
                <w:b/>
                <w:i/>
                <w:sz w:val="27"/>
                <w:szCs w:val="27"/>
              </w:rPr>
              <w:br/>
            </w:r>
          </w:p>
          <w:p w14:paraId="3A5C3082" w14:textId="54ED203D" w:rsidR="00D8071B" w:rsidRPr="00510341" w:rsidRDefault="00051DAE">
            <w:pPr>
              <w:tabs>
                <w:tab w:val="left" w:pos="-108"/>
              </w:tabs>
              <w:ind w:left="-108"/>
              <w:rPr>
                <w:b/>
                <w:i/>
                <w:sz w:val="22"/>
                <w:szCs w:val="22"/>
              </w:rPr>
            </w:pPr>
            <w:r w:rsidRPr="00510341">
              <w:rPr>
                <w:b/>
                <w:i/>
                <w:sz w:val="22"/>
                <w:szCs w:val="22"/>
              </w:rPr>
              <w:t xml:space="preserve">VOL.  </w:t>
            </w:r>
            <w:proofErr w:type="gramStart"/>
            <w:r w:rsidRPr="00510341">
              <w:rPr>
                <w:b/>
                <w:i/>
                <w:sz w:val="22"/>
                <w:szCs w:val="22"/>
              </w:rPr>
              <w:t xml:space="preserve">  ,</w:t>
            </w:r>
            <w:proofErr w:type="gramEnd"/>
            <w:r w:rsidRPr="00510341">
              <w:rPr>
                <w:b/>
                <w:i/>
                <w:sz w:val="22"/>
                <w:szCs w:val="22"/>
              </w:rPr>
              <w:t xml:space="preserve"> 202</w:t>
            </w:r>
            <w:r w:rsidR="009C1356" w:rsidRPr="00510341">
              <w:rPr>
                <w:b/>
                <w:i/>
                <w:sz w:val="22"/>
                <w:szCs w:val="22"/>
              </w:rPr>
              <w:t>6</w:t>
            </w:r>
          </w:p>
        </w:tc>
        <w:tc>
          <w:tcPr>
            <w:tcW w:w="1842" w:type="dxa"/>
            <w:tcBorders>
              <w:left w:val="single" w:sz="4" w:space="0" w:color="000000"/>
              <w:bottom w:val="nil"/>
              <w:right w:val="single" w:sz="4" w:space="0" w:color="000000"/>
            </w:tcBorders>
          </w:tcPr>
          <w:p w14:paraId="7DBDB806" w14:textId="77777777" w:rsidR="00D8071B" w:rsidRPr="00510341" w:rsidRDefault="00051DAE">
            <w:pPr>
              <w:jc w:val="right"/>
              <w:rPr>
                <w:sz w:val="14"/>
                <w:szCs w:val="14"/>
              </w:rPr>
            </w:pPr>
            <w:r w:rsidRPr="00510341">
              <w:rPr>
                <w:sz w:val="14"/>
                <w:szCs w:val="14"/>
              </w:rPr>
              <w:t>A publication of</w:t>
            </w:r>
          </w:p>
          <w:p w14:paraId="7249C559" w14:textId="77777777" w:rsidR="00D8071B" w:rsidRPr="00510341" w:rsidRDefault="00051DAE">
            <w:pPr>
              <w:jc w:val="right"/>
            </w:pPr>
            <w:r w:rsidRPr="00510341">
              <w:rPr>
                <w:noProof/>
              </w:rPr>
              <w:drawing>
                <wp:inline distT="0" distB="0" distL="0" distR="0" wp14:anchorId="65C5C878" wp14:editId="6FA894CF">
                  <wp:extent cx="670560" cy="358140"/>
                  <wp:effectExtent l="0" t="0" r="0" b="0"/>
                  <wp:docPr id="128774480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9"/>
                          <a:srcRect/>
                          <a:stretch>
                            <a:fillRect/>
                          </a:stretch>
                        </pic:blipFill>
                        <pic:spPr>
                          <a:xfrm>
                            <a:off x="0" y="0"/>
                            <a:ext cx="670560" cy="358140"/>
                          </a:xfrm>
                          <a:prstGeom prst="rect">
                            <a:avLst/>
                          </a:prstGeom>
                          <a:ln/>
                        </pic:spPr>
                      </pic:pic>
                    </a:graphicData>
                  </a:graphic>
                </wp:inline>
              </w:drawing>
            </w:r>
          </w:p>
        </w:tc>
      </w:tr>
      <w:tr w:rsidR="00510341" w:rsidRPr="00510341" w14:paraId="7DCAE58C" w14:textId="77777777">
        <w:trPr>
          <w:trHeight w:val="567"/>
          <w:jc w:val="center"/>
        </w:trPr>
        <w:tc>
          <w:tcPr>
            <w:tcW w:w="6940" w:type="dxa"/>
            <w:vMerge/>
            <w:tcBorders>
              <w:right w:val="single" w:sz="4" w:space="0" w:color="000000"/>
            </w:tcBorders>
          </w:tcPr>
          <w:p w14:paraId="07FBD9BB" w14:textId="77777777" w:rsidR="00D8071B" w:rsidRPr="00510341" w:rsidRDefault="00D8071B">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3DC863E" w14:textId="77777777" w:rsidR="00D8071B" w:rsidRPr="00510341" w:rsidRDefault="00051DAE">
            <w:pPr>
              <w:jc w:val="right"/>
              <w:rPr>
                <w:sz w:val="14"/>
                <w:szCs w:val="14"/>
              </w:rPr>
            </w:pPr>
            <w:r w:rsidRPr="00510341">
              <w:rPr>
                <w:sz w:val="14"/>
                <w:szCs w:val="14"/>
              </w:rPr>
              <w:t>The Italian Association</w:t>
            </w:r>
          </w:p>
          <w:p w14:paraId="1E16D1EA" w14:textId="77777777" w:rsidR="00D8071B" w:rsidRPr="00510341" w:rsidRDefault="00051DAE">
            <w:pPr>
              <w:jc w:val="right"/>
              <w:rPr>
                <w:sz w:val="14"/>
                <w:szCs w:val="14"/>
              </w:rPr>
            </w:pPr>
            <w:r w:rsidRPr="00510341">
              <w:rPr>
                <w:sz w:val="14"/>
                <w:szCs w:val="14"/>
              </w:rPr>
              <w:t>of Chemical Engineering</w:t>
            </w:r>
          </w:p>
          <w:p w14:paraId="6C7FCC3B" w14:textId="77777777" w:rsidR="00D8071B" w:rsidRPr="00510341" w:rsidRDefault="00051DAE">
            <w:pPr>
              <w:jc w:val="right"/>
              <w:rPr>
                <w:sz w:val="13"/>
                <w:szCs w:val="13"/>
              </w:rPr>
            </w:pPr>
            <w:r w:rsidRPr="00510341">
              <w:rPr>
                <w:sz w:val="13"/>
                <w:szCs w:val="13"/>
              </w:rPr>
              <w:t>Online at www.cetjournal.it</w:t>
            </w:r>
          </w:p>
        </w:tc>
      </w:tr>
      <w:tr w:rsidR="00510341" w:rsidRPr="00510341" w14:paraId="4F12B980" w14:textId="77777777">
        <w:trPr>
          <w:trHeight w:val="68"/>
          <w:jc w:val="center"/>
        </w:trPr>
        <w:tc>
          <w:tcPr>
            <w:tcW w:w="8782" w:type="dxa"/>
            <w:gridSpan w:val="2"/>
          </w:tcPr>
          <w:p w14:paraId="6BD51E46" w14:textId="77777777" w:rsidR="00D8071B" w:rsidRPr="00510341" w:rsidRDefault="00051DAE">
            <w:pPr>
              <w:ind w:left="-107"/>
              <w:rPr>
                <w:rFonts w:ascii="Tahoma" w:eastAsia="Tahoma" w:hAnsi="Tahoma" w:cs="Tahoma"/>
                <w:sz w:val="14"/>
                <w:szCs w:val="14"/>
              </w:rPr>
            </w:pPr>
            <w:r w:rsidRPr="00510341">
              <w:rPr>
                <w:rFonts w:ascii="Tahoma" w:eastAsia="Tahoma" w:hAnsi="Tahoma" w:cs="Tahoma"/>
                <w:sz w:val="14"/>
                <w:szCs w:val="14"/>
              </w:rPr>
              <w:t>Guest Editors:</w:t>
            </w:r>
            <w:r w:rsidRPr="00510341">
              <w:rPr>
                <w:rFonts w:ascii="Tahoma" w:eastAsia="Tahoma" w:hAnsi="Tahoma" w:cs="Tahoma"/>
                <w:sz w:val="14"/>
                <w:szCs w:val="14"/>
                <w:highlight w:val="white"/>
              </w:rPr>
              <w:t xml:space="preserve"> </w:t>
            </w:r>
          </w:p>
          <w:p w14:paraId="69F74B5A" w14:textId="77777777" w:rsidR="00D8071B" w:rsidRPr="00510341" w:rsidRDefault="00051DAE">
            <w:pPr>
              <w:tabs>
                <w:tab w:val="left" w:pos="-108"/>
              </w:tabs>
              <w:ind w:left="-107"/>
              <w:jc w:val="left"/>
            </w:pPr>
            <w:r w:rsidRPr="00510341">
              <w:rPr>
                <w:rFonts w:ascii="Tahoma" w:eastAsia="Tahoma" w:hAnsi="Tahoma" w:cs="Tahoma"/>
                <w:sz w:val="14"/>
                <w:szCs w:val="14"/>
              </w:rPr>
              <w:t xml:space="preserve">Copyright © 2025, AIDIC </w:t>
            </w:r>
            <w:proofErr w:type="spellStart"/>
            <w:r w:rsidRPr="00510341">
              <w:rPr>
                <w:rFonts w:ascii="Tahoma" w:eastAsia="Tahoma" w:hAnsi="Tahoma" w:cs="Tahoma"/>
                <w:sz w:val="14"/>
                <w:szCs w:val="14"/>
              </w:rPr>
              <w:t>Servizi</w:t>
            </w:r>
            <w:proofErr w:type="spellEnd"/>
            <w:r w:rsidRPr="00510341">
              <w:rPr>
                <w:rFonts w:ascii="Tahoma" w:eastAsia="Tahoma" w:hAnsi="Tahoma" w:cs="Tahoma"/>
                <w:sz w:val="14"/>
                <w:szCs w:val="14"/>
              </w:rPr>
              <w:t xml:space="preserve"> </w:t>
            </w:r>
            <w:proofErr w:type="spellStart"/>
            <w:r w:rsidRPr="00510341">
              <w:rPr>
                <w:rFonts w:ascii="Tahoma" w:eastAsia="Tahoma" w:hAnsi="Tahoma" w:cs="Tahoma"/>
                <w:sz w:val="14"/>
                <w:szCs w:val="14"/>
              </w:rPr>
              <w:t>S.r.l</w:t>
            </w:r>
            <w:proofErr w:type="spellEnd"/>
            <w:r w:rsidRPr="00510341">
              <w:rPr>
                <w:rFonts w:ascii="Tahoma" w:eastAsia="Tahoma" w:hAnsi="Tahoma" w:cs="Tahoma"/>
                <w:sz w:val="14"/>
                <w:szCs w:val="14"/>
              </w:rPr>
              <w:t>.</w:t>
            </w:r>
            <w:r w:rsidRPr="00510341">
              <w:rPr>
                <w:rFonts w:ascii="Tahoma" w:eastAsia="Tahoma" w:hAnsi="Tahoma" w:cs="Tahoma"/>
                <w:sz w:val="14"/>
                <w:szCs w:val="14"/>
              </w:rPr>
              <w:br/>
            </w:r>
            <w:r w:rsidRPr="00510341">
              <w:rPr>
                <w:rFonts w:ascii="Tahoma" w:eastAsia="Tahoma" w:hAnsi="Tahoma" w:cs="Tahoma"/>
                <w:b/>
                <w:sz w:val="14"/>
                <w:szCs w:val="14"/>
              </w:rPr>
              <w:t>ISBN</w:t>
            </w:r>
            <w:r w:rsidRPr="00510341">
              <w:rPr>
                <w:rFonts w:ascii="Tahoma" w:eastAsia="Tahoma" w:hAnsi="Tahoma" w:cs="Tahoma"/>
                <w:sz w:val="14"/>
                <w:szCs w:val="14"/>
              </w:rPr>
              <w:t xml:space="preserve"> 979-12-81206-XX-X; </w:t>
            </w:r>
            <w:r w:rsidRPr="00510341">
              <w:rPr>
                <w:rFonts w:ascii="Tahoma" w:eastAsia="Tahoma" w:hAnsi="Tahoma" w:cs="Tahoma"/>
                <w:b/>
                <w:sz w:val="14"/>
                <w:szCs w:val="14"/>
              </w:rPr>
              <w:t>ISSN</w:t>
            </w:r>
            <w:r w:rsidRPr="00510341">
              <w:rPr>
                <w:rFonts w:ascii="Tahoma" w:eastAsia="Tahoma" w:hAnsi="Tahoma" w:cs="Tahoma"/>
                <w:sz w:val="14"/>
                <w:szCs w:val="14"/>
              </w:rPr>
              <w:t xml:space="preserve"> 2283-9216</w:t>
            </w:r>
          </w:p>
        </w:tc>
      </w:tr>
    </w:tbl>
    <w:p w14:paraId="1C633C5E" w14:textId="02D8F1CA" w:rsidR="00D8071B" w:rsidRPr="00510341" w:rsidRDefault="00076D4C" w:rsidP="009C1356">
      <w:pPr>
        <w:spacing w:before="480" w:after="120"/>
        <w:jc w:val="center"/>
        <w:rPr>
          <w:sz w:val="32"/>
          <w:szCs w:val="32"/>
        </w:rPr>
      </w:pPr>
      <w:r>
        <w:rPr>
          <w:sz w:val="32"/>
          <w:szCs w:val="32"/>
        </w:rPr>
        <w:t>M</w:t>
      </w:r>
      <w:r w:rsidRPr="00076D4C">
        <w:rPr>
          <w:sz w:val="32"/>
          <w:szCs w:val="32"/>
        </w:rPr>
        <w:t xml:space="preserve">odeling and simulation of a seed-based cascade biorefinery for </w:t>
      </w:r>
      <w:r>
        <w:rPr>
          <w:sz w:val="32"/>
          <w:szCs w:val="32"/>
        </w:rPr>
        <w:t>H</w:t>
      </w:r>
      <w:r w:rsidRPr="00076D4C">
        <w:rPr>
          <w:sz w:val="32"/>
          <w:szCs w:val="32"/>
        </w:rPr>
        <w:t>ass avocado cultivated in the amazon region</w:t>
      </w:r>
    </w:p>
    <w:p w14:paraId="260FA5F6" w14:textId="649D985C" w:rsidR="00D8071B" w:rsidRPr="00510341" w:rsidRDefault="00051DAE">
      <w:pPr>
        <w:keepNext/>
        <w:pBdr>
          <w:top w:val="nil"/>
          <w:left w:val="nil"/>
          <w:bottom w:val="nil"/>
          <w:right w:val="nil"/>
          <w:between w:val="nil"/>
        </w:pBdr>
        <w:spacing w:after="120"/>
        <w:rPr>
          <w:sz w:val="24"/>
          <w:szCs w:val="24"/>
          <w:lang w:val="es-CO"/>
        </w:rPr>
      </w:pPr>
      <w:r w:rsidRPr="00510341">
        <w:rPr>
          <w:sz w:val="24"/>
          <w:szCs w:val="24"/>
          <w:lang w:val="es-CO"/>
        </w:rPr>
        <w:t>Tamy C</w:t>
      </w:r>
      <w:r w:rsidR="009C1356" w:rsidRPr="00510341">
        <w:rPr>
          <w:sz w:val="24"/>
          <w:szCs w:val="24"/>
          <w:lang w:val="es-CO"/>
        </w:rPr>
        <w:t>arolina</w:t>
      </w:r>
      <w:r w:rsidRPr="00510341">
        <w:rPr>
          <w:sz w:val="24"/>
          <w:szCs w:val="24"/>
          <w:lang w:val="es-CO"/>
        </w:rPr>
        <w:t xml:space="preserve"> Herrera-Rodríguez</w:t>
      </w:r>
      <w:r w:rsidR="009C1356" w:rsidRPr="00510341">
        <w:rPr>
          <w:sz w:val="24"/>
          <w:szCs w:val="24"/>
          <w:lang w:val="es-CO"/>
        </w:rPr>
        <w:t>*</w:t>
      </w:r>
      <w:r w:rsidRPr="00510341">
        <w:rPr>
          <w:sz w:val="24"/>
          <w:szCs w:val="24"/>
          <w:lang w:val="es-CO"/>
        </w:rPr>
        <w:t>, Ángel D</w:t>
      </w:r>
      <w:r w:rsidR="009C1356" w:rsidRPr="00510341">
        <w:rPr>
          <w:sz w:val="24"/>
          <w:szCs w:val="24"/>
          <w:lang w:val="es-CO"/>
        </w:rPr>
        <w:t>arío</w:t>
      </w:r>
      <w:r w:rsidRPr="00510341">
        <w:rPr>
          <w:sz w:val="24"/>
          <w:szCs w:val="24"/>
          <w:lang w:val="es-CO"/>
        </w:rPr>
        <w:t xml:space="preserve"> González-Delgado</w:t>
      </w:r>
    </w:p>
    <w:p w14:paraId="415E909B" w14:textId="0CEAE801" w:rsidR="00D8071B" w:rsidRPr="00510341" w:rsidRDefault="00051DAE">
      <w:pPr>
        <w:keepNext/>
        <w:pBdr>
          <w:top w:val="nil"/>
          <w:left w:val="nil"/>
          <w:bottom w:val="nil"/>
          <w:right w:val="nil"/>
          <w:between w:val="nil"/>
        </w:pBdr>
        <w:rPr>
          <w:sz w:val="16"/>
          <w:szCs w:val="16"/>
        </w:rPr>
      </w:pPr>
      <w:r w:rsidRPr="00510341">
        <w:rPr>
          <w:sz w:val="16"/>
          <w:szCs w:val="16"/>
        </w:rPr>
        <w:t>Nanomaterials and Computer Aided Process Engineering Research Group (NIPAC), Chemical Engineering Department,</w:t>
      </w:r>
    </w:p>
    <w:p w14:paraId="63DE53A9" w14:textId="77777777" w:rsidR="00D8071B" w:rsidRPr="00510341" w:rsidRDefault="00051DAE">
      <w:pPr>
        <w:keepNext/>
        <w:pBdr>
          <w:top w:val="nil"/>
          <w:left w:val="nil"/>
          <w:bottom w:val="nil"/>
          <w:right w:val="nil"/>
          <w:between w:val="nil"/>
        </w:pBdr>
        <w:rPr>
          <w:sz w:val="16"/>
          <w:szCs w:val="16"/>
        </w:rPr>
      </w:pPr>
      <w:r w:rsidRPr="00510341">
        <w:rPr>
          <w:sz w:val="16"/>
          <w:szCs w:val="16"/>
        </w:rPr>
        <w:t xml:space="preserve">Faculty of Engineering, University of Cartagena, Av. del </w:t>
      </w:r>
      <w:proofErr w:type="spellStart"/>
      <w:r w:rsidRPr="00510341">
        <w:rPr>
          <w:sz w:val="16"/>
          <w:szCs w:val="16"/>
        </w:rPr>
        <w:t>Consulado</w:t>
      </w:r>
      <w:proofErr w:type="spellEnd"/>
      <w:r w:rsidRPr="00510341">
        <w:rPr>
          <w:sz w:val="16"/>
          <w:szCs w:val="16"/>
        </w:rPr>
        <w:t xml:space="preserve"> Calle 30 No. 48-152, Cartagena, Colombia. </w:t>
      </w:r>
    </w:p>
    <w:p w14:paraId="21383CC4" w14:textId="758D738E" w:rsidR="00D8071B" w:rsidRPr="00510341" w:rsidRDefault="009C1356">
      <w:pPr>
        <w:rPr>
          <w:sz w:val="16"/>
          <w:szCs w:val="16"/>
        </w:rPr>
      </w:pPr>
      <w:r w:rsidRPr="00510341">
        <w:rPr>
          <w:sz w:val="16"/>
          <w:szCs w:val="16"/>
        </w:rPr>
        <w:t>therrerar@u</w:t>
      </w:r>
      <w:r w:rsidR="00051DAE" w:rsidRPr="00510341">
        <w:rPr>
          <w:sz w:val="16"/>
          <w:szCs w:val="16"/>
        </w:rPr>
        <w:t>nicartagena.edu.co</w:t>
      </w:r>
    </w:p>
    <w:p w14:paraId="057FF3BD" w14:textId="77777777" w:rsidR="00D8071B" w:rsidRPr="00510341" w:rsidRDefault="00D8071B"/>
    <w:p w14:paraId="7B4E57A9" w14:textId="2C7F5042" w:rsidR="0077733C" w:rsidRDefault="0077733C" w:rsidP="0077733C">
      <w:r>
        <w:t xml:space="preserve">Worldwide, the most widely consumed avocado variety is </w:t>
      </w:r>
      <w:r w:rsidRPr="0077733C">
        <w:rPr>
          <w:i/>
        </w:rPr>
        <w:t xml:space="preserve">Persea </w:t>
      </w:r>
      <w:r w:rsidRPr="0077733C">
        <w:rPr>
          <w:i/>
        </w:rPr>
        <w:t>Americana</w:t>
      </w:r>
      <w:r w:rsidRPr="0077733C">
        <w:rPr>
          <w:i/>
        </w:rPr>
        <w:t xml:space="preserve"> Mill</w:t>
      </w:r>
      <w:r>
        <w:t xml:space="preserve">., commonly known as Hass avocado. While the pulp is extensively used, the seed is typically treated as </w:t>
      </w:r>
      <w:proofErr w:type="spellStart"/>
      <w:r>
        <w:t>agro</w:t>
      </w:r>
      <w:proofErr w:type="spellEnd"/>
      <w:r>
        <w:t>-industrial waste despite its high content of bioactive compounds and its potential for value-added applications. In this study, the valorization of Hass avocado seed cultivated in the Colombian Amazon was evaluated through the modeling and simulation of a cascade biorefinery aimed at producing starch, biopolymer films, and biocontrol agents.</w:t>
      </w:r>
      <w:r>
        <w:t xml:space="preserve"> </w:t>
      </w:r>
      <w:r>
        <w:t>The process was simulated in Aspen Plus V15, considering regional conditions and a processing capacity of 255.92 t/y. The model integrates stages of seed conditioning, extraction, separation, and product formulation, using appropriate thermodynamic approaches for multicomponent systems.</w:t>
      </w:r>
      <w:r>
        <w:t xml:space="preserve"> </w:t>
      </w:r>
      <w:r>
        <w:t xml:space="preserve">The results showed yields of 1.66% for starch, 5.76% for biofilm, and 10.94% for the biocontrol agent, with an overall yield of 18.37%. These findings demonstrate the feasibility of integral biomass utilization under a cascade approach. The study provides key insights into process conditions for industrial-scale implementation, highlighting the potential of avocado seed as a strategic resource to promote circular </w:t>
      </w:r>
      <w:proofErr w:type="spellStart"/>
      <w:r>
        <w:t>bioeconomy</w:t>
      </w:r>
      <w:proofErr w:type="spellEnd"/>
      <w:r>
        <w:t xml:space="preserve"> models and reduce </w:t>
      </w:r>
      <w:proofErr w:type="spellStart"/>
      <w:r>
        <w:t>agro</w:t>
      </w:r>
      <w:proofErr w:type="spellEnd"/>
      <w:r>
        <w:t>-industrial waste.</w:t>
      </w:r>
    </w:p>
    <w:p w14:paraId="23BD14C5" w14:textId="77777777" w:rsidR="00D8071B" w:rsidRPr="004E3879" w:rsidRDefault="00051DAE">
      <w:pPr>
        <w:keepNext/>
        <w:pBdr>
          <w:top w:val="nil"/>
          <w:left w:val="nil"/>
          <w:bottom w:val="nil"/>
          <w:right w:val="nil"/>
          <w:between w:val="nil"/>
        </w:pBdr>
        <w:spacing w:before="240" w:after="120" w:line="240" w:lineRule="auto"/>
        <w:rPr>
          <w:b/>
          <w:sz w:val="20"/>
          <w:lang w:val="es-CO"/>
        </w:rPr>
      </w:pPr>
      <w:r w:rsidRPr="004E3879">
        <w:rPr>
          <w:b/>
          <w:sz w:val="20"/>
          <w:lang w:val="es-CO"/>
        </w:rPr>
        <w:t xml:space="preserve">1. </w:t>
      </w:r>
      <w:proofErr w:type="spellStart"/>
      <w:r w:rsidRPr="004E3879">
        <w:rPr>
          <w:b/>
          <w:sz w:val="20"/>
          <w:lang w:val="es-CO"/>
        </w:rPr>
        <w:t>Introduction</w:t>
      </w:r>
      <w:proofErr w:type="spellEnd"/>
    </w:p>
    <w:p w14:paraId="17126380" w14:textId="4443B20A" w:rsidR="00AC3892" w:rsidRDefault="00AC3892" w:rsidP="00AC3892">
      <w:pPr>
        <w:pStyle w:val="CETBodytext"/>
        <w:rPr>
          <w:b/>
          <w:lang w:eastAsia="es-CO"/>
        </w:rPr>
      </w:pPr>
      <w:r w:rsidRPr="00AC3892">
        <w:rPr>
          <w:lang w:eastAsia="es-CO"/>
        </w:rPr>
        <w:t xml:space="preserve">The growing concern over the reduction of greenhouse gas emissions, together with the global energy transition and the adoption of more environmentally friendly materials, has driven the improvement of industrial processes as a priority objective. In this context, process modeling and simulation have emerged as fundamental tools to predict system behavior, optimize resource utilization, and evaluate energy performance prior to industrial-scale implementation. However, some commonly used simulation software, such as Aspen Plus, </w:t>
      </w:r>
      <w:proofErr w:type="spellStart"/>
      <w:r w:rsidRPr="00AC3892">
        <w:rPr>
          <w:lang w:eastAsia="es-CO"/>
        </w:rPr>
        <w:t>ProSimPlus</w:t>
      </w:r>
      <w:proofErr w:type="spellEnd"/>
      <w:r w:rsidRPr="00AC3892">
        <w:rPr>
          <w:lang w:eastAsia="es-CO"/>
        </w:rPr>
        <w:t xml:space="preserve">, and CHEMCAD, have been primarily developed for chemical and petrochemical processes; therefore, their applicability to </w:t>
      </w:r>
      <w:proofErr w:type="spellStart"/>
      <w:r w:rsidRPr="00AC3892">
        <w:rPr>
          <w:lang w:eastAsia="es-CO"/>
        </w:rPr>
        <w:t>agro</w:t>
      </w:r>
      <w:proofErr w:type="spellEnd"/>
      <w:r w:rsidRPr="00AC3892">
        <w:rPr>
          <w:lang w:eastAsia="es-CO"/>
        </w:rPr>
        <w:t xml:space="preserve">-industrial systems must be carefully assessed </w:t>
      </w:r>
      <w:r w:rsidR="009C1ADE" w:rsidRPr="00AC3892">
        <w:rPr>
          <w:lang w:eastAsia="es-CO"/>
        </w:rPr>
        <w:t>to</w:t>
      </w:r>
      <w:r w:rsidRPr="00AC3892">
        <w:rPr>
          <w:lang w:eastAsia="es-CO"/>
        </w:rPr>
        <w:t xml:space="preserve"> select appropriate thermodynamic models capable of representing the complexity of food and biomass structures (</w:t>
      </w:r>
      <w:proofErr w:type="spellStart"/>
      <w:r w:rsidRPr="00AC3892">
        <w:rPr>
          <w:lang w:eastAsia="es-CO"/>
        </w:rPr>
        <w:t>Jbira</w:t>
      </w:r>
      <w:proofErr w:type="spellEnd"/>
      <w:r w:rsidRPr="00AC3892">
        <w:rPr>
          <w:lang w:eastAsia="es-CO"/>
        </w:rPr>
        <w:t xml:space="preserve"> et al., 2026</w:t>
      </w:r>
      <w:r w:rsidR="009C1ADE">
        <w:rPr>
          <w:lang w:eastAsia="es-CO"/>
        </w:rPr>
        <w:t xml:space="preserve">, </w:t>
      </w:r>
      <w:proofErr w:type="spellStart"/>
      <w:r w:rsidR="009C1ADE">
        <w:rPr>
          <w:lang w:eastAsia="es-CO"/>
        </w:rPr>
        <w:t>Herrer</w:t>
      </w:r>
      <w:proofErr w:type="spellEnd"/>
      <w:r w:rsidR="009C1ADE">
        <w:rPr>
          <w:lang w:eastAsia="es-CO"/>
        </w:rPr>
        <w:t>-Rodríguez et al., 2025</w:t>
      </w:r>
      <w:r w:rsidRPr="00AC3892">
        <w:rPr>
          <w:lang w:eastAsia="es-CO"/>
        </w:rPr>
        <w:t>).</w:t>
      </w:r>
    </w:p>
    <w:p w14:paraId="29AAED79" w14:textId="4D9D82E9" w:rsidR="00AC3892" w:rsidRPr="00AC3892" w:rsidRDefault="00AC3892" w:rsidP="00AC3892">
      <w:pPr>
        <w:pStyle w:val="CETBodytext"/>
        <w:rPr>
          <w:lang w:eastAsia="es-CO"/>
        </w:rPr>
      </w:pPr>
      <w:r w:rsidRPr="00AC3892">
        <w:rPr>
          <w:lang w:eastAsia="es-CO"/>
        </w:rPr>
        <w:t xml:space="preserve">In parallel, the valorization of </w:t>
      </w:r>
      <w:proofErr w:type="spellStart"/>
      <w:r w:rsidRPr="00AC3892">
        <w:rPr>
          <w:lang w:eastAsia="es-CO"/>
        </w:rPr>
        <w:t>agro</w:t>
      </w:r>
      <w:proofErr w:type="spellEnd"/>
      <w:r w:rsidRPr="00AC3892">
        <w:rPr>
          <w:lang w:eastAsia="es-CO"/>
        </w:rPr>
        <w:t xml:space="preserve">-industrial residues has gained relevance as a strategy to advance toward more sustainable production systems. </w:t>
      </w:r>
      <w:proofErr w:type="gramStart"/>
      <w:r w:rsidRPr="00AC3892">
        <w:rPr>
          <w:lang w:eastAsia="es-CO"/>
        </w:rPr>
        <w:t>In particular, the</w:t>
      </w:r>
      <w:proofErr w:type="gramEnd"/>
      <w:r w:rsidRPr="00AC3892">
        <w:rPr>
          <w:lang w:eastAsia="es-CO"/>
        </w:rPr>
        <w:t xml:space="preserve"> avocado industry generates large amounts of waste, mainly peel and seed. The latter represents approximately 16% of the total fruit weight and is rich in fiber, phenolic compounds, antioxidants, fatty acids, and various secondary metabolites. In this context, the biorefinery concept enables the integral valorization of this biomass through the production of biomolecules, biomaterials, bioenergy, and biofuels within a single production scheme (</w:t>
      </w:r>
      <w:proofErr w:type="spellStart"/>
      <w:r w:rsidRPr="00AC3892">
        <w:rPr>
          <w:lang w:eastAsia="es-CO"/>
        </w:rPr>
        <w:t>Dávila</w:t>
      </w:r>
      <w:proofErr w:type="spellEnd"/>
      <w:r w:rsidRPr="00AC3892">
        <w:rPr>
          <w:lang w:eastAsia="es-CO"/>
        </w:rPr>
        <w:t xml:space="preserve"> et al., 2017).</w:t>
      </w:r>
      <w:r>
        <w:rPr>
          <w:lang w:eastAsia="es-CO"/>
        </w:rPr>
        <w:t xml:space="preserve"> </w:t>
      </w:r>
      <w:r w:rsidRPr="00AC3892">
        <w:rPr>
          <w:lang w:eastAsia="es-CO"/>
        </w:rPr>
        <w:t xml:space="preserve">One of the most relevant compounds found in avocado seed is starch, which can account for up to 66% of its composition, making it a promising alternative to conventional raw materials. This starch exhibits a high amylose content, irregular granular morphology, and highly ordered nanocrystals, characteristics that influence its functional properties (Wang et al., 2022; </w:t>
      </w:r>
      <w:proofErr w:type="spellStart"/>
      <w:r w:rsidRPr="00AC3892">
        <w:rPr>
          <w:lang w:eastAsia="es-CO"/>
        </w:rPr>
        <w:t>Macena</w:t>
      </w:r>
      <w:proofErr w:type="spellEnd"/>
      <w:r w:rsidRPr="00AC3892">
        <w:rPr>
          <w:lang w:eastAsia="es-CO"/>
        </w:rPr>
        <w:t xml:space="preserve"> et al., 2020). In addition, its high gelatinization temperature promotes the formation of stable gels suitable for applications such as bioplastics and biodegradable films (Martins et al., 2025; Muñoz et al., 2024). Furthermore, this biomass can be used to produce biocontrol agents with applications in the food, pharmaceutical, and agricultural sectors, particularly in controlled-release systems that contribute to the protection of products and materials (</w:t>
      </w:r>
      <w:proofErr w:type="spellStart"/>
      <w:r w:rsidRPr="00AC3892">
        <w:rPr>
          <w:lang w:eastAsia="es-CO"/>
        </w:rPr>
        <w:t>Quispe</w:t>
      </w:r>
      <w:proofErr w:type="spellEnd"/>
      <w:r w:rsidRPr="00AC3892">
        <w:rPr>
          <w:lang w:eastAsia="es-CO"/>
        </w:rPr>
        <w:t>-Sánchez et al., 2026; Silva-Ferrer et al., 2026).</w:t>
      </w:r>
    </w:p>
    <w:p w14:paraId="4C9D89BC" w14:textId="77777777" w:rsidR="00AC3892" w:rsidRPr="00AC3892" w:rsidRDefault="00AC3892" w:rsidP="00AC3892">
      <w:pPr>
        <w:pStyle w:val="CETBodytext"/>
        <w:rPr>
          <w:b/>
          <w:lang w:eastAsia="es-CO"/>
        </w:rPr>
      </w:pPr>
      <w:r w:rsidRPr="00AC3892">
        <w:rPr>
          <w:lang w:eastAsia="es-CO"/>
        </w:rPr>
        <w:lastRenderedPageBreak/>
        <w:t xml:space="preserve">Based on the above, cascade biorefineries represent an attractive alternative, as they enable the sequential fractionation of biomass to maximize the utilization of its components and generate multiple high value-added product streams. This approach not only improves resource efficiency but also enhances the economic and environmental sustainability of the system. The present study focuses on the modeling and simulation of a cascade biorefinery based on Hass avocado seed cultivated in the Amazon region. The aim is to valorize this </w:t>
      </w:r>
      <w:proofErr w:type="spellStart"/>
      <w:r w:rsidRPr="00AC3892">
        <w:rPr>
          <w:lang w:eastAsia="es-CO"/>
        </w:rPr>
        <w:t>agro</w:t>
      </w:r>
      <w:proofErr w:type="spellEnd"/>
      <w:r w:rsidRPr="00AC3892">
        <w:rPr>
          <w:lang w:eastAsia="es-CO"/>
        </w:rPr>
        <w:t>-industrial residue through the production of value-added products such as starch, biocontrol agents, and biodegradable films. These products are obtained through process simulation using Aspen Plus, incorporating both experimental and literature data to accurately represent the properties and characteristics of the materials involved. These products have potential applications in bioplastic synthesis, development of antimicrobial compounds, and pest control. Finally, through the integration of process simulation tools and the cascade approach, this work seeks to contribute to the development of sustainable biorefinery systems that promote circular economy principles and efficient resource utilization.</w:t>
      </w:r>
    </w:p>
    <w:p w14:paraId="1771E10D" w14:textId="47B6D887" w:rsidR="00A02EA3" w:rsidRPr="00510341" w:rsidRDefault="00051DAE" w:rsidP="00AC3892">
      <w:pPr>
        <w:pStyle w:val="CETHeading1"/>
      </w:pPr>
      <w:r w:rsidRPr="00510341">
        <w:t>2. Materials and methods</w:t>
      </w:r>
    </w:p>
    <w:p w14:paraId="1998C031" w14:textId="77777777" w:rsidR="00082E02" w:rsidRPr="00510341" w:rsidRDefault="00082E02" w:rsidP="00F071C4">
      <w:pPr>
        <w:pStyle w:val="CETHeadingxx"/>
      </w:pPr>
      <w:r w:rsidRPr="00510341">
        <w:t>2.1 Process description</w:t>
      </w:r>
    </w:p>
    <w:p w14:paraId="703D5D7D" w14:textId="7D43E67A" w:rsidR="00AC3892" w:rsidRPr="00AC3892" w:rsidRDefault="00AC3892" w:rsidP="00AC3892">
      <w:pPr>
        <w:pStyle w:val="CETBodytext"/>
      </w:pPr>
      <w:r w:rsidRPr="00AC3892">
        <w:t>Figure 1 shows the process block diagram, illustrating the stages required to produce starch, biofilm, and biocontrol agent from avocado seed. The modeled cascade biorefinery processes 255.92 t/y of Hass avocado seed cultivated in the Colombian Amazon, yielding 4.25 t/y of starch, 14.75 t/y</w:t>
      </w:r>
      <w:r>
        <w:t xml:space="preserve"> </w:t>
      </w:r>
      <w:r w:rsidRPr="00AC3892">
        <w:t>of biofilm, and 28 t/y of biocontrol agent.</w:t>
      </w:r>
    </w:p>
    <w:p w14:paraId="24C82C5D" w14:textId="0D0CAF88" w:rsidR="00AC3892" w:rsidRDefault="00AC3892" w:rsidP="00AC3892">
      <w:pPr>
        <w:pStyle w:val="CETBodytext"/>
      </w:pPr>
      <w:r w:rsidRPr="00AC3892">
        <w:t xml:space="preserve">The process begins with seed conditioning, where the seeds are washed with water to remove residual pulp and other unwanted substances. The cleaned seeds are then </w:t>
      </w:r>
      <w:r w:rsidR="00BB6E3B">
        <w:t xml:space="preserve">subjected to size reduction </w:t>
      </w:r>
      <w:r w:rsidRPr="00AC3892">
        <w:t>to facilitate their transformation in subsequent stages. A portion of the seeds is directed toward biocontrol agent production, while the remaining fraction is used for starch extraction.</w:t>
      </w:r>
      <w:r>
        <w:t xml:space="preserve"> </w:t>
      </w:r>
      <w:r w:rsidRPr="00AC3892">
        <w:t>Subsequently, one fraction of the conditioned seeds undergoes milling and freeze-drying to reduce particle size and remove moisture, respectively. The freeze-dried material is further ground and subjected to maceration in the presence of an ethanol solution. The resulting mixture is filtered to separate solids from the liquid extract, which is then sent to a flash evaporation unit to partially remove ethanol. The concentrated extract is dried to eliminate the remaining solvent and finally subjected to spray drying, producing the biocontrol agent as solid particles and humid air as a residual stream.</w:t>
      </w:r>
    </w:p>
    <w:p w14:paraId="77A6FA4C" w14:textId="5BDD3EBA" w:rsidR="00AC3892" w:rsidRDefault="00AC3892" w:rsidP="00AC3892">
      <w:pPr>
        <w:pStyle w:val="CETBodytext"/>
      </w:pPr>
    </w:p>
    <w:p w14:paraId="1CD5E388" w14:textId="64D617A5" w:rsidR="00AC3892" w:rsidRDefault="006E7E1F" w:rsidP="00AC3892">
      <w:pPr>
        <w:pStyle w:val="CETBodytext"/>
      </w:pPr>
      <w:r w:rsidRPr="006E7E1F">
        <w:drawing>
          <wp:inline distT="0" distB="0" distL="0" distR="0" wp14:anchorId="5DD4CC22" wp14:editId="1FF46DFC">
            <wp:extent cx="5579745" cy="2667000"/>
            <wp:effectExtent l="19050" t="19050" r="2095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8127" cy="2671006"/>
                    </a:xfrm>
                    <a:prstGeom prst="rect">
                      <a:avLst/>
                    </a:prstGeom>
                    <a:ln>
                      <a:solidFill>
                        <a:schemeClr val="tx1"/>
                      </a:solidFill>
                    </a:ln>
                  </pic:spPr>
                </pic:pic>
              </a:graphicData>
            </a:graphic>
          </wp:inline>
        </w:drawing>
      </w:r>
      <w:r w:rsidRPr="006E7E1F">
        <w:rPr>
          <w:noProof/>
        </w:rPr>
        <w:t xml:space="preserve"> </w:t>
      </w:r>
    </w:p>
    <w:p w14:paraId="3AEEE2FD" w14:textId="56CA2A92" w:rsidR="00021E8A" w:rsidRPr="00CA3F38" w:rsidRDefault="00CA3F38" w:rsidP="00021E8A">
      <w:pPr>
        <w:pStyle w:val="CETCaption"/>
        <w:rPr>
          <w:rStyle w:val="CETCaptionCarattere"/>
          <w:i/>
          <w:highlight w:val="yellow"/>
          <w:lang w:val="en-US"/>
        </w:rPr>
      </w:pPr>
      <w:r w:rsidRPr="00CA3F38">
        <w:rPr>
          <w:rStyle w:val="CETCaptionCarattere"/>
          <w:i/>
          <w:lang w:val="en-US"/>
        </w:rPr>
        <w:t>Figure 1: Block diagram of the cascade biorefinery based on Hass avocado seed.</w:t>
      </w:r>
    </w:p>
    <w:p w14:paraId="6D5B3BFC" w14:textId="62F4F235" w:rsidR="00AC3892" w:rsidRPr="00AC3892" w:rsidRDefault="00AC3892" w:rsidP="00021E8A">
      <w:pPr>
        <w:pStyle w:val="CETBodytext"/>
      </w:pPr>
      <w:r w:rsidRPr="00AC3892">
        <w:t>On the other hand, the remaining fraction of the seeds is treated with sodium metabisulfite to facilitate the breakdown of the biomass structure and the release of starch. The material is then ground into a paste, which is filtered to obtain two streams: a liquid stream containing suspended starch and a solid residue. The liquid stream undergoes sedimentation to separate starch from the liquid phase. The recovered starch is subsequently washed to remove the characteristic coloration of avocado seed and centrifuged to obtain a starch paste. Finally, this paste is dried to produce starch. A portion of the starch is stored as the final product, while the remaining fraction is used for biofilm production.</w:t>
      </w:r>
      <w:r>
        <w:t xml:space="preserve"> </w:t>
      </w:r>
      <w:r w:rsidRPr="00AC3892">
        <w:t xml:space="preserve">For film formation, the starch is mixed with water to form a gel. This gel </w:t>
      </w:r>
      <w:r w:rsidRPr="00AC3892">
        <w:lastRenderedPageBreak/>
        <w:t>is then combined with glycerol, an acetone extract of avocado seed, and a polyvinyl alcohol (PVA) solution. The resulting mixture is dried, yielding the biofilm as the final product and humid air as a residual stream</w:t>
      </w:r>
      <w:r w:rsidR="0035675D">
        <w:t xml:space="preserve"> (</w:t>
      </w:r>
      <w:proofErr w:type="spellStart"/>
      <w:r w:rsidR="0035675D">
        <w:t>Alviz</w:t>
      </w:r>
      <w:proofErr w:type="spellEnd"/>
      <w:r w:rsidR="0035675D">
        <w:t>-Meza et al., 2025).</w:t>
      </w:r>
    </w:p>
    <w:p w14:paraId="635E13F2" w14:textId="2F73E3C3" w:rsidR="00593FCA" w:rsidRPr="009A3362" w:rsidRDefault="00593FCA" w:rsidP="00593FCA">
      <w:pPr>
        <w:pStyle w:val="CETHeadingxx"/>
      </w:pPr>
      <w:r w:rsidRPr="009A3362">
        <w:t xml:space="preserve">2.2 </w:t>
      </w:r>
      <w:r w:rsidR="0064499F" w:rsidRPr="009A3362">
        <w:t xml:space="preserve">Process simulation </w:t>
      </w:r>
    </w:p>
    <w:p w14:paraId="636EEB53" w14:textId="31FA582F" w:rsidR="00AC3892" w:rsidRPr="009A3362" w:rsidRDefault="00AC3892" w:rsidP="009A3362">
      <w:pPr>
        <w:pStyle w:val="CETBodytext"/>
        <w:rPr>
          <w:lang w:eastAsia="es-CO"/>
        </w:rPr>
      </w:pPr>
      <w:r w:rsidRPr="009A3362">
        <w:rPr>
          <w:lang w:eastAsia="es-CO"/>
        </w:rPr>
        <w:t xml:space="preserve">Process simulation constitutes a fundamental tool for the design, analysis, and optimization of systems, as it enables the modeling of physical and chemical transformations of substances and the integration of multiple unit operations within a single framework. Within the context of Computer-Aided Process Engineering (CAPE), these tools facilitate the development, integration, and optimization of complex processes </w:t>
      </w:r>
      <w:r w:rsidR="00A26599" w:rsidRPr="009A3362">
        <w:rPr>
          <w:lang w:eastAsia="es-CO"/>
        </w:rPr>
        <w:t>using</w:t>
      </w:r>
      <w:r w:rsidRPr="009A3362">
        <w:rPr>
          <w:lang w:eastAsia="es-CO"/>
        </w:rPr>
        <w:t xml:space="preserve"> mathematical models and advanced computational platforms (El-Halwagi, 2017). Software such as Aspen Plus is widely used due to its robustness and its capability to represent complex systems that include stages such as pretreatment, extraction, separation, reaction, purification, and heat transfer (Kazmi et al., 2026; Silva et al., 202</w:t>
      </w:r>
      <w:r w:rsidR="00A26599">
        <w:rPr>
          <w:lang w:eastAsia="es-CO"/>
        </w:rPr>
        <w:t>6</w:t>
      </w:r>
      <w:r w:rsidRPr="009A3362">
        <w:rPr>
          <w:lang w:eastAsia="es-CO"/>
        </w:rPr>
        <w:t>). The selection of the thermodynamic model depends on the characteristics of the system. In this study, the Non-Random Two-Liquid (NRTL) model is employed to accurately describe liquid–liquid equilibria in processes involving both polar and non-polar compounds (Luna et al., 2025). Operating conditions such as temperature, pressure, and mass flow rates were defined based on experimental data and optimal conditions reported in the literature.</w:t>
      </w:r>
    </w:p>
    <w:p w14:paraId="42DA36CF" w14:textId="77777777" w:rsidR="009A3362" w:rsidRPr="009A3362" w:rsidRDefault="00AC3892" w:rsidP="009A3362">
      <w:pPr>
        <w:pStyle w:val="CETBodytext"/>
        <w:rPr>
          <w:lang w:eastAsia="es-CO"/>
        </w:rPr>
      </w:pPr>
      <w:r w:rsidRPr="009A3362">
        <w:rPr>
          <w:lang w:eastAsia="es-CO"/>
        </w:rPr>
        <w:t>In cascade biorefineries, where multiple value-added products are sequentially obtained from a single biomass source, process simulation enables the evaluation of mass and energy balances, process efficiency, and resource utilization. The behavior of multicomponent systems is described using activity coefficient models or equations of state, depending on the nature of the compounds and operating conditions (</w:t>
      </w:r>
      <w:proofErr w:type="spellStart"/>
      <w:r w:rsidRPr="009A3362">
        <w:rPr>
          <w:lang w:eastAsia="es-CO"/>
        </w:rPr>
        <w:t>Rezakazemi</w:t>
      </w:r>
      <w:proofErr w:type="spellEnd"/>
      <w:r w:rsidRPr="009A3362">
        <w:rPr>
          <w:lang w:eastAsia="es-CO"/>
        </w:rPr>
        <w:t xml:space="preserve"> et al., 2018; El-Halwagi, 2011). In this context, the CAPE approach also contributes to systematic process integration, allowing the analysis of different configurations, optimization of conversion pathways, and evaluation of overall system performance under various operating scenarios. The processing capacity of the biorefinery was defined based on regional data from the Colombian Amazon, considering post-harvest losses. The process includes stages such as drying, milling, extraction of bioactive compounds, starch recovery, and gelatinization. Hass avocado seed was used as the raw material, considering its composition and content of compounds of interest (Araújo et al., 2021; </w:t>
      </w:r>
      <w:proofErr w:type="spellStart"/>
      <w:r w:rsidRPr="009A3362">
        <w:rPr>
          <w:lang w:eastAsia="es-CO"/>
        </w:rPr>
        <w:t>Dabas</w:t>
      </w:r>
      <w:proofErr w:type="spellEnd"/>
      <w:r w:rsidRPr="009A3362">
        <w:rPr>
          <w:lang w:eastAsia="es-CO"/>
        </w:rPr>
        <w:t xml:space="preserve"> et al., 2019). Experimental data were incorporated into the simulator to represent interactions under local conditions. This approach enables the evaluation of technical feasibility, scalability, and system sustainability, promoting efficient resource utilization under circular economy principles.</w:t>
      </w:r>
    </w:p>
    <w:p w14:paraId="065E38B0" w14:textId="6C819912" w:rsidR="00D8071B" w:rsidRPr="002512CB" w:rsidRDefault="00051DAE" w:rsidP="00AC3892">
      <w:pPr>
        <w:pStyle w:val="CETHeading1"/>
        <w:rPr>
          <w:lang w:val="es-CO"/>
        </w:rPr>
      </w:pPr>
      <w:r w:rsidRPr="002512CB">
        <w:rPr>
          <w:lang w:val="es-CO"/>
        </w:rPr>
        <w:t xml:space="preserve">3. </w:t>
      </w:r>
      <w:proofErr w:type="spellStart"/>
      <w:r w:rsidRPr="002512CB">
        <w:rPr>
          <w:lang w:val="es-CO"/>
        </w:rPr>
        <w:t>Results</w:t>
      </w:r>
      <w:proofErr w:type="spellEnd"/>
      <w:r w:rsidRPr="002512CB">
        <w:rPr>
          <w:lang w:val="es-CO"/>
        </w:rPr>
        <w:t xml:space="preserve"> and </w:t>
      </w:r>
      <w:proofErr w:type="spellStart"/>
      <w:r w:rsidR="00495CDA" w:rsidRPr="002512CB">
        <w:rPr>
          <w:lang w:val="es-CO"/>
        </w:rPr>
        <w:t>discussion</w:t>
      </w:r>
      <w:proofErr w:type="spellEnd"/>
    </w:p>
    <w:p w14:paraId="4D548AD1" w14:textId="77777777" w:rsidR="00021E8A" w:rsidRPr="00021E8A" w:rsidRDefault="00021E8A" w:rsidP="00021E8A">
      <w:pPr>
        <w:pStyle w:val="CETBodytext"/>
      </w:pPr>
      <w:r w:rsidRPr="00021E8A">
        <w:t>The simulation of the cascade biorefinery based on avocado seed under Colombian Amazon conditions was performed using Aspen Plus V15. Experimental and literature data were incorporated to accurately represent the interactions between components and enable the production of target products. The main modeling assumptions are summarized as follows:</w:t>
      </w:r>
    </w:p>
    <w:p w14:paraId="23133039" w14:textId="77777777" w:rsidR="00021E8A" w:rsidRPr="00021E8A" w:rsidRDefault="00021E8A" w:rsidP="00021E8A">
      <w:pPr>
        <w:pStyle w:val="CETBodytext"/>
        <w:numPr>
          <w:ilvl w:val="0"/>
          <w:numId w:val="5"/>
        </w:numPr>
      </w:pPr>
      <w:r w:rsidRPr="00021E8A">
        <w:t>The NRTL thermodynamic model was used to describe non-ideal behavior in the liquid phase, while the Redlich–</w:t>
      </w:r>
      <w:proofErr w:type="spellStart"/>
      <w:r w:rsidRPr="00021E8A">
        <w:t>Kwong</w:t>
      </w:r>
      <w:proofErr w:type="spellEnd"/>
      <w:r w:rsidRPr="00021E8A">
        <w:t xml:space="preserve"> (RK) equation of state was applied to the vapor phase. This combination is suitable for systems involving both polar and non-polar compounds, particularly in solvent extraction and drying operations.</w:t>
      </w:r>
    </w:p>
    <w:p w14:paraId="322DD299" w14:textId="77777777" w:rsidR="00021E8A" w:rsidRPr="00021E8A" w:rsidRDefault="00021E8A" w:rsidP="00021E8A">
      <w:pPr>
        <w:pStyle w:val="CETBodytext"/>
        <w:numPr>
          <w:ilvl w:val="0"/>
          <w:numId w:val="5"/>
        </w:numPr>
      </w:pPr>
      <w:r w:rsidRPr="00021E8A">
        <w:t>Steady-state conditions were assumed, neglecting dynamic variations over time and complex chemical reactions.</w:t>
      </w:r>
    </w:p>
    <w:p w14:paraId="22F513E5" w14:textId="77777777" w:rsidR="00021E8A" w:rsidRPr="00021E8A" w:rsidRDefault="00021E8A" w:rsidP="00021E8A">
      <w:pPr>
        <w:pStyle w:val="CETBodytext"/>
        <w:numPr>
          <w:ilvl w:val="0"/>
          <w:numId w:val="5"/>
        </w:numPr>
      </w:pPr>
      <w:r w:rsidRPr="00021E8A">
        <w:t>Avocado seed was represented using surrogate components to describe its main fractions: carbohydrates (glucose), proteins (serine/leucine), lipids (oleic acid), ash (calcium oxide), and moisture (water), due to database limitations.</w:t>
      </w:r>
    </w:p>
    <w:p w14:paraId="2F0909A4" w14:textId="0491D639" w:rsidR="00021E8A" w:rsidRPr="00021E8A" w:rsidRDefault="00021E8A" w:rsidP="00021E8A">
      <w:pPr>
        <w:pStyle w:val="CETBodytext"/>
        <w:numPr>
          <w:ilvl w:val="0"/>
          <w:numId w:val="5"/>
        </w:numPr>
      </w:pPr>
      <w:r w:rsidRPr="00021E8A">
        <w:t>The processing capacity was set at 255.92 t/y, corresponding to 50% of the estimated availability of avocado residues in the study region.</w:t>
      </w:r>
    </w:p>
    <w:p w14:paraId="08C39D11" w14:textId="77777777" w:rsidR="00021E8A" w:rsidRPr="00021E8A" w:rsidRDefault="00021E8A" w:rsidP="00021E8A">
      <w:pPr>
        <w:pStyle w:val="CETBodytext"/>
        <w:numPr>
          <w:ilvl w:val="0"/>
          <w:numId w:val="5"/>
        </w:numPr>
      </w:pPr>
      <w:r w:rsidRPr="00021E8A">
        <w:t xml:space="preserve">Size reduction operations were modeled using a </w:t>
      </w:r>
      <w:r w:rsidRPr="00021E8A">
        <w:rPr>
          <w:i/>
        </w:rPr>
        <w:t xml:space="preserve">Crusher </w:t>
      </w:r>
      <w:r w:rsidRPr="00021E8A">
        <w:t>with unit efficiency and Bond’s law for energy estimation.</w:t>
      </w:r>
    </w:p>
    <w:p w14:paraId="536D4966" w14:textId="77777777" w:rsidR="00021E8A" w:rsidRPr="00021E8A" w:rsidRDefault="00021E8A" w:rsidP="00021E8A">
      <w:pPr>
        <w:pStyle w:val="CETBodytext"/>
        <w:numPr>
          <w:ilvl w:val="0"/>
          <w:numId w:val="5"/>
        </w:numPr>
      </w:pPr>
      <w:r w:rsidRPr="00021E8A">
        <w:t xml:space="preserve">Drying operations (convective and spray drying) were simulated using </w:t>
      </w:r>
      <w:r w:rsidRPr="00021E8A">
        <w:rPr>
          <w:i/>
        </w:rPr>
        <w:t>shortcut</w:t>
      </w:r>
      <w:r w:rsidRPr="00021E8A">
        <w:t xml:space="preserve"> models, while vapor–liquid separations were represented using </w:t>
      </w:r>
      <w:r w:rsidRPr="00021E8A">
        <w:rPr>
          <w:i/>
        </w:rPr>
        <w:t>Flash</w:t>
      </w:r>
      <w:r w:rsidRPr="00021E8A">
        <w:t xml:space="preserve"> units.</w:t>
      </w:r>
    </w:p>
    <w:p w14:paraId="7C79556A" w14:textId="22A5BF0C" w:rsidR="005055E0" w:rsidRPr="00021E8A" w:rsidRDefault="00021E8A" w:rsidP="00021E8A">
      <w:pPr>
        <w:pStyle w:val="CETBodytext"/>
        <w:numPr>
          <w:ilvl w:val="0"/>
          <w:numId w:val="5"/>
        </w:numPr>
      </w:pPr>
      <w:r w:rsidRPr="00021E8A">
        <w:t xml:space="preserve">Solid–liquid separation processes (filtration, decantation, and centrifugation) were modeled using </w:t>
      </w:r>
      <w:r w:rsidRPr="006237FD">
        <w:rPr>
          <w:i/>
        </w:rPr>
        <w:t xml:space="preserve">Sep </w:t>
      </w:r>
      <w:r w:rsidRPr="00021E8A">
        <w:t xml:space="preserve">and </w:t>
      </w:r>
      <w:proofErr w:type="spellStart"/>
      <w:r w:rsidRPr="006237FD">
        <w:rPr>
          <w:i/>
        </w:rPr>
        <w:t>Cfuge</w:t>
      </w:r>
      <w:proofErr w:type="spellEnd"/>
      <w:r w:rsidRPr="00021E8A">
        <w:t xml:space="preserve"> blocks, and stream splitting was represented using ideal </w:t>
      </w:r>
      <w:r w:rsidRPr="006237FD">
        <w:rPr>
          <w:i/>
        </w:rPr>
        <w:t>Split</w:t>
      </w:r>
      <w:r w:rsidRPr="00021E8A">
        <w:t xml:space="preserve"> units.</w:t>
      </w:r>
    </w:p>
    <w:p w14:paraId="5511C59C" w14:textId="3D5A6F8A" w:rsidR="00AE103E" w:rsidRDefault="00051DAE" w:rsidP="00021E8A">
      <w:pPr>
        <w:pStyle w:val="CETHeadingxx"/>
        <w:rPr>
          <w:lang w:val="es-CO"/>
        </w:rPr>
      </w:pPr>
      <w:r w:rsidRPr="004F0928">
        <w:rPr>
          <w:lang w:val="es-CO"/>
        </w:rPr>
        <w:t xml:space="preserve">3.1 </w:t>
      </w:r>
      <w:bookmarkStart w:id="1" w:name="_Hlk224165205"/>
      <w:r w:rsidR="005055E0" w:rsidRPr="009C1ADE">
        <w:t>Simulation cascade biorefinery</w:t>
      </w:r>
    </w:p>
    <w:bookmarkEnd w:id="1"/>
    <w:p w14:paraId="27AA2680" w14:textId="15FC8284" w:rsidR="00021E8A" w:rsidRDefault="00021E8A" w:rsidP="00021E8A">
      <w:pPr>
        <w:pStyle w:val="CETBodytext"/>
      </w:pPr>
      <w:r w:rsidRPr="00021E8A">
        <w:t xml:space="preserve">The simulated avocado seed biorefinery enabled the representation of a complex system integrating multiple unit operations and material transformations. This behavior is supported by the appropriate selection of the thermodynamic model, equation of state, and representative compounds used to describe the biomass, which </w:t>
      </w:r>
      <w:r w:rsidRPr="00021E8A">
        <w:lastRenderedPageBreak/>
        <w:t>are key aspects in process simulation using platforms such as Aspen Plus (El-Halwagi, 2017; Kazmi et al., 2026). The processing capacity considered was 255.92 t/y</w:t>
      </w:r>
      <w:r w:rsidR="0035675D">
        <w:t xml:space="preserve"> </w:t>
      </w:r>
      <w:r w:rsidRPr="00021E8A">
        <w:t>of Hass avocado seed, corresponding to 50% of the estimated availability in the study region. Based on this feed, mass balances were solved across all process units, allowing the estimation of mass flow rates and product yields. The incorporation of experimental data and literature values enabled the definition of realistic operating conditions in terms of temperature, pressure, moisture content, and separation efficiencies.</w:t>
      </w:r>
    </w:p>
    <w:p w14:paraId="2A45C742" w14:textId="00FCFA90" w:rsidR="0035675D" w:rsidRPr="00021E8A" w:rsidRDefault="0035675D" w:rsidP="0035675D">
      <w:pPr>
        <w:pStyle w:val="CETBodytext"/>
      </w:pPr>
      <w:r w:rsidRPr="00021E8A">
        <w:t>Figure</w:t>
      </w:r>
      <w:r w:rsidR="00CA3F38">
        <w:t>s</w:t>
      </w:r>
      <w:r w:rsidRPr="00021E8A">
        <w:t xml:space="preserve"> </w:t>
      </w:r>
      <w:r w:rsidR="00CA3F38">
        <w:t xml:space="preserve">2 and 3 </w:t>
      </w:r>
      <w:r w:rsidRPr="00021E8A">
        <w:t>shows the process block diagram, where the seed conditioning stage and the biocontrol agent production line can be identified, including cooling, freeze-drying, size reduction, extraction, and spray drying operations. The process begins with seed washing (WASH), modeled using an ideal separation block (Sep), commonly applied to represent solid–liquid washing stages in biomass simulations (</w:t>
      </w:r>
      <w:proofErr w:type="spellStart"/>
      <w:r w:rsidRPr="00021E8A">
        <w:t>Dávila</w:t>
      </w:r>
      <w:proofErr w:type="spellEnd"/>
      <w:r w:rsidRPr="00021E8A">
        <w:t xml:space="preserve"> et al., 2017). In this step, a water-to-seed ratio of 2:1 was defined, achieving the removal of impurities and pulp fractions in the range of 10–15%, with partial moisture retention in the solid. Subsequently, the seed undergoes size reduction (SEED-CUT) using a cone crusher (Crusher), reaching particle sizes of approximately 1.5 cm, which enhances mass transfer in subsequent stages.</w:t>
      </w:r>
    </w:p>
    <w:p w14:paraId="2EC72E3E" w14:textId="77777777" w:rsidR="0035675D" w:rsidRPr="00021E8A" w:rsidRDefault="0035675D" w:rsidP="00021E8A">
      <w:pPr>
        <w:pStyle w:val="CETBodytext"/>
      </w:pPr>
    </w:p>
    <w:p w14:paraId="35D26D2E" w14:textId="14E41958" w:rsidR="00C43434" w:rsidRDefault="00790B8F" w:rsidP="00C43434">
      <w:pPr>
        <w:pStyle w:val="CETBodytext"/>
        <w:rPr>
          <w:lang w:val="es-CO" w:eastAsia="es-CO"/>
        </w:rPr>
      </w:pPr>
      <w:r w:rsidRPr="002D3897">
        <w:rPr>
          <w:noProof/>
        </w:rPr>
        <w:drawing>
          <wp:inline distT="0" distB="0" distL="0" distR="0" wp14:anchorId="0DAD094F" wp14:editId="58896F3E">
            <wp:extent cx="5577786" cy="2722418"/>
            <wp:effectExtent l="19050" t="19050" r="23495" b="20955"/>
            <wp:docPr id="11915246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491"/>
                    <a:stretch>
                      <a:fillRect/>
                    </a:stretch>
                  </pic:blipFill>
                  <pic:spPr bwMode="auto">
                    <a:xfrm>
                      <a:off x="0" y="0"/>
                      <a:ext cx="5616271" cy="27412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9259CB" w14:textId="1C8F40C0" w:rsidR="00CA3F38" w:rsidRPr="00CA3F38" w:rsidRDefault="00CA3F38" w:rsidP="00C43434">
      <w:pPr>
        <w:pStyle w:val="CETCaption"/>
      </w:pPr>
      <w:r w:rsidRPr="00CA3F38">
        <w:rPr>
          <w:rStyle w:val="CETCaptionCarattere"/>
          <w:i/>
          <w:lang w:val="en-US"/>
        </w:rPr>
        <w:t>Figure 2: Process flow diagram of the cascade biorefinery based on Hass avocado seed (Part 1).</w:t>
      </w:r>
    </w:p>
    <w:p w14:paraId="10D27854" w14:textId="310598FB" w:rsidR="00021E8A" w:rsidRDefault="00021E8A" w:rsidP="00021E8A">
      <w:pPr>
        <w:pStyle w:val="CETBodytext"/>
      </w:pPr>
      <w:r w:rsidRPr="00021E8A">
        <w:t>To produce the biocontrol agent, a fraction of the conditioned seed is subjected to cooling (COOLING) prior to freeze-drying (FREEZ). This operation was represented using a Flash model, which describes phase equilibrium under specified temperature and pressure conditions, a common approach in separation process simulation (</w:t>
      </w:r>
      <w:proofErr w:type="spellStart"/>
      <w:r w:rsidRPr="00021E8A">
        <w:t>Rezakazemi</w:t>
      </w:r>
      <w:proofErr w:type="spellEnd"/>
      <w:r w:rsidRPr="00021E8A">
        <w:t xml:space="preserve"> et al., 2018). The material is then conditioned to ambient temperature using heat exchangers (Heater) and further reduced in size (TRITUR) to particles smaller than 40 </w:t>
      </w:r>
      <w:proofErr w:type="spellStart"/>
      <w:r w:rsidRPr="00021E8A">
        <w:t>μm</w:t>
      </w:r>
      <w:proofErr w:type="spellEnd"/>
      <w:r w:rsidRPr="00021E8A">
        <w:t xml:space="preserve">, increasing the surface area available for extraction. The extraction of bioactive compounds (EXTR) was modeled using a Mixer block in the presence of ethanol as solvent, typically used to represent extraction and formulation tanks. The resulting mixture is filtered (FILTR) using a Sep block, yielding a wet solid phase and a liquid stream rich in target compounds. The extract is subsequently concentrated through partial evaporation (FLASH2) at 42 °C and vacuum drying (VACDRY) at 60 °C and 300 mbar, both modeled using Flash units to ensure efficient removal of volatile </w:t>
      </w:r>
      <w:r w:rsidR="009C1ADE" w:rsidRPr="00021E8A">
        <w:t>solvents. The</w:t>
      </w:r>
      <w:r w:rsidRPr="00021E8A">
        <w:t xml:space="preserve"> concentrated extract is mixed with additives to form an emulsion, which is pumped (Pump) to the spray drying system operating at 6 </w:t>
      </w:r>
      <w:r w:rsidR="009C1ADE" w:rsidRPr="00021E8A">
        <w:t>bars</w:t>
      </w:r>
      <w:bookmarkStart w:id="2" w:name="_GoBack"/>
      <w:bookmarkEnd w:id="2"/>
      <w:r w:rsidRPr="00021E8A">
        <w:t>. Finally, spray drying (SPRYD) is performed at 140 °C using a Spray model that captures the heat and mass transfer phenomena characteristic of this operation, widely used for stabilizing bioactive compounds (Kazmi et al., 2026). The final biocontrol agent presents a moisture content of 13%.</w:t>
      </w:r>
    </w:p>
    <w:p w14:paraId="0C9C927E" w14:textId="77777777" w:rsidR="0077733C" w:rsidRPr="00021E8A" w:rsidRDefault="0077733C" w:rsidP="0077733C">
      <w:pPr>
        <w:pStyle w:val="CETBodytext"/>
        <w:rPr>
          <w:lang w:eastAsia="es-CO"/>
        </w:rPr>
      </w:pPr>
      <w:r w:rsidRPr="00021E8A">
        <w:rPr>
          <w:lang w:eastAsia="es-CO"/>
        </w:rPr>
        <w:t xml:space="preserve">For starch production, the remaining seed fraction is brought into contact with sodium metabisulfite in an extraction stage (EXTRACT), followed by size reduction using a rotary crusher (BLEND). The resulting stream is subjected to filtration (FILT), yielding a liquid phase with starch in suspension and a solid phase composed of seed residues, which is directed to the production of the acetonic extract used in biofilm formulation. The starch-rich liquid stream is then sent to sedimentation (SEDIM), producing a starch paste and an aqueous residual stream. Subsequently, the paste is washed with water (ST-WASH) using a 10:1 ratio and centrifuged (CENTR) </w:t>
      </w:r>
      <w:r w:rsidRPr="00021E8A">
        <w:rPr>
          <w:lang w:eastAsia="es-CO"/>
        </w:rPr>
        <w:lastRenderedPageBreak/>
        <w:t>to achieve a moisture content of approximately 40%. Finally, the material is dried (ST-DRY) at 60 °C to obtain starch. A portion of the product is stored, while the remainder is used as raw material for biofilm production.</w:t>
      </w:r>
    </w:p>
    <w:p w14:paraId="0AF24DBA" w14:textId="77777777" w:rsidR="0077733C" w:rsidRPr="00021E8A" w:rsidRDefault="0077733C" w:rsidP="00021E8A">
      <w:pPr>
        <w:pStyle w:val="CETBodytext"/>
      </w:pPr>
    </w:p>
    <w:p w14:paraId="1FD33CAC" w14:textId="2D076C4C" w:rsidR="009731DA" w:rsidRDefault="009731DA" w:rsidP="00021E8A">
      <w:pPr>
        <w:pStyle w:val="CETBodytext"/>
        <w:rPr>
          <w:lang w:val="es-CO" w:eastAsia="es-CO"/>
        </w:rPr>
      </w:pPr>
      <w:r w:rsidRPr="002D3897">
        <w:rPr>
          <w:noProof/>
        </w:rPr>
        <w:drawing>
          <wp:inline distT="0" distB="0" distL="0" distR="0" wp14:anchorId="6339352D" wp14:editId="0C56007D">
            <wp:extent cx="5578475" cy="2327564"/>
            <wp:effectExtent l="19050" t="19050" r="22225" b="15875"/>
            <wp:docPr id="11963504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571" t="4809" b="22468"/>
                    <a:stretch/>
                  </pic:blipFill>
                  <pic:spPr bwMode="auto">
                    <a:xfrm>
                      <a:off x="0" y="0"/>
                      <a:ext cx="5583552" cy="232968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32E20C" w14:textId="2D3BD882" w:rsidR="0035675D" w:rsidRPr="00CA3F38" w:rsidRDefault="00CA3F38" w:rsidP="0035675D">
      <w:pPr>
        <w:pStyle w:val="CETCaption"/>
      </w:pPr>
      <w:r w:rsidRPr="00CA3F38">
        <w:rPr>
          <w:rStyle w:val="CETCaptionCarattere"/>
          <w:i/>
          <w:lang w:val="en-US"/>
        </w:rPr>
        <w:t>Figure 3: Process flow diagram of the cascade biorefinery based on Hass avocado seed (Part 2).</w:t>
      </w:r>
    </w:p>
    <w:p w14:paraId="1AF51188" w14:textId="3FF7787C" w:rsidR="009731DA" w:rsidRPr="00021E8A" w:rsidRDefault="00021E8A" w:rsidP="00021E8A">
      <w:pPr>
        <w:pStyle w:val="CETBodytext"/>
        <w:rPr>
          <w:lang w:eastAsia="es-CO"/>
        </w:rPr>
      </w:pPr>
      <w:r w:rsidRPr="00021E8A">
        <w:rPr>
          <w:lang w:eastAsia="es-CO"/>
        </w:rPr>
        <w:t>The avocado seed extract used in the biofilm is obtained through acetone extraction (MWEXTR), followed by filtration to separate the liquid extract. This extract is then concentrated by evaporation at 40 °C (FLASH1), removing the solvent and yielding a phase rich in bioactive compounds. In the film formulation, 5% of this extract is used relative to the starch mass, while the excess is stored.</w:t>
      </w:r>
      <w:r>
        <w:rPr>
          <w:lang w:eastAsia="es-CO"/>
        </w:rPr>
        <w:t xml:space="preserve"> </w:t>
      </w:r>
      <w:r w:rsidRPr="00021E8A">
        <w:rPr>
          <w:lang w:eastAsia="es-CO"/>
        </w:rPr>
        <w:t>The starch designated for film production is gelatinized in the presence of water (GEL) and mixed with the concentrated extract in the formulation stage (FORM). At this stage, glycerol and a polyvinyl alcohol solution are added as plasticizing and film-forming agents. Finally, the mixture is dried (BIO-DRY) at 70 °C, producing a starch-based film reinforced with PVA.</w:t>
      </w:r>
    </w:p>
    <w:p w14:paraId="0A8F0C79" w14:textId="35F3B7DD" w:rsidR="003D3389" w:rsidRPr="00CA3F38" w:rsidRDefault="003D3389" w:rsidP="00021E8A">
      <w:pPr>
        <w:pStyle w:val="CETHeadingxx"/>
        <w:rPr>
          <w:lang w:eastAsia="es-CO"/>
        </w:rPr>
      </w:pPr>
      <w:r w:rsidRPr="00CA3F38">
        <w:rPr>
          <w:lang w:eastAsia="es-CO"/>
        </w:rPr>
        <w:t xml:space="preserve">3.2. </w:t>
      </w:r>
      <w:r w:rsidR="006237FD" w:rsidRPr="00CA3F38">
        <w:rPr>
          <w:lang w:eastAsia="es-CO"/>
        </w:rPr>
        <w:t>Simulated biorefinery yields</w:t>
      </w:r>
    </w:p>
    <w:p w14:paraId="1D66B23A" w14:textId="6064D5F8" w:rsidR="006237FD" w:rsidRPr="006237FD" w:rsidRDefault="006237FD" w:rsidP="006237FD">
      <w:pPr>
        <w:pStyle w:val="CETBodytext"/>
      </w:pPr>
      <w:r w:rsidRPr="006237FD">
        <w:t>The yields obtained in this study (1.66% for starch, 5.76% for biofilm, and 10.94% for the biocontrol agent) differ from literature values due to separation losses and model simplifications. Although avocado seed contains 40–66% starch (</w:t>
      </w:r>
      <w:proofErr w:type="spellStart"/>
      <w:r w:rsidRPr="006237FD">
        <w:t>Macena</w:t>
      </w:r>
      <w:proofErr w:type="spellEnd"/>
      <w:r w:rsidRPr="006237FD">
        <w:t xml:space="preserve"> et al., 2020; Wang et al., 2022), actual extraction yields typically range from 10% to 30%, explaining the lower value obtained.</w:t>
      </w:r>
    </w:p>
    <w:p w14:paraId="18F7BA86" w14:textId="54AD91AF" w:rsidR="006237FD" w:rsidRDefault="006237FD" w:rsidP="006237FD">
      <w:pPr>
        <w:pStyle w:val="CETBodytext"/>
        <w:rPr>
          <w:b/>
        </w:rPr>
      </w:pPr>
      <w:r w:rsidRPr="006237FD">
        <w:t>For the biofilm, yields may increase to 120–250% relative to the initial starch due to the addition of plasticizers (Martins et al., 2025; Muñoz-</w:t>
      </w:r>
      <w:proofErr w:type="spellStart"/>
      <w:r w:rsidRPr="006237FD">
        <w:t>Gimena</w:t>
      </w:r>
      <w:proofErr w:type="spellEnd"/>
      <w:r w:rsidRPr="006237FD">
        <w:t xml:space="preserve"> et al., 2024). Thus, the 5.76% yield is consistent when considering both losses and additives.</w:t>
      </w:r>
      <w:r>
        <w:rPr>
          <w:b/>
        </w:rPr>
        <w:t xml:space="preserve"> </w:t>
      </w:r>
      <w:r w:rsidRPr="006237FD">
        <w:t>The biocontrol agent yield (10.94%) falls within reported ranges for encapsulation and spray drying processes (5–20%), supporting model reliability. Overall, the global yield (18.37%) aligns with typical biorefinery values (15–40%) (</w:t>
      </w:r>
      <w:proofErr w:type="spellStart"/>
      <w:r w:rsidRPr="006237FD">
        <w:t>Dávila</w:t>
      </w:r>
      <w:proofErr w:type="spellEnd"/>
      <w:r w:rsidRPr="006237FD">
        <w:t xml:space="preserve"> et al., 2017), indicating efficient biomass utilization under a cascade approach.</w:t>
      </w:r>
    </w:p>
    <w:p w14:paraId="296A20C0" w14:textId="2F8B959F" w:rsidR="003320AE" w:rsidRPr="006237FD" w:rsidRDefault="00051DAE" w:rsidP="006237FD">
      <w:pPr>
        <w:pStyle w:val="CETHeading1"/>
      </w:pPr>
      <w:r w:rsidRPr="006237FD">
        <w:rPr>
          <w:rFonts w:eastAsia="Arial"/>
        </w:rPr>
        <w:t xml:space="preserve">4. Conclusions </w:t>
      </w:r>
    </w:p>
    <w:p w14:paraId="0827E628" w14:textId="6BEDCD96" w:rsidR="00021E8A" w:rsidRDefault="00021E8A" w:rsidP="006237FD">
      <w:pPr>
        <w:pStyle w:val="CETBodytext"/>
      </w:pPr>
      <w:r w:rsidRPr="00021E8A">
        <w:t xml:space="preserve">The simulation of the cascade biorefinery based on Hass avocado seed enabled the evaluation of the technical feasibility of a system aimed at the valorization of </w:t>
      </w:r>
      <w:proofErr w:type="spellStart"/>
      <w:r w:rsidRPr="00021E8A">
        <w:t>agro</w:t>
      </w:r>
      <w:proofErr w:type="spellEnd"/>
      <w:r w:rsidRPr="00021E8A">
        <w:t>-industrial residues. Using Aspen Plus®, the main unit operations involved were consistently represented, including conditioning, extraction, separation, and drying stages, employing appropriate thermodynamic models to describe multicomponent systems. The results demonstrate that it is possible to obtain value-added products such as starch, biofilms, and biocontrol agents from a single biomass source, supporting the cascade biorefinery approach under circular economy principles.</w:t>
      </w:r>
      <w:r>
        <w:t xml:space="preserve"> </w:t>
      </w:r>
      <w:r w:rsidRPr="00021E8A">
        <w:t>The obtained yields reflect the inherent limitations of separation processes and the simplifications of the simulation model; however, they fall within ranges reported in the literature for similar systems. The production of biofilms and biocontrol agents showed a higher relative utilization of the biomass, highlighting their potential as strategic products. Overall, this study provides a solid foundation for future optimization, scale-up, and techno-economic assessment, contributing to the development of sustainable processes for the integral utilization of agricultural residues.</w:t>
      </w:r>
    </w:p>
    <w:p w14:paraId="1CF4F5F2" w14:textId="7C8C0187" w:rsidR="00CA3F38" w:rsidRDefault="00CA3F38" w:rsidP="006237FD">
      <w:pPr>
        <w:pStyle w:val="CETBodytext"/>
      </w:pPr>
    </w:p>
    <w:p w14:paraId="22239639" w14:textId="77777777" w:rsidR="00CA3F38" w:rsidRDefault="00CA3F38" w:rsidP="006237FD">
      <w:pPr>
        <w:pStyle w:val="CETBodytext"/>
      </w:pPr>
    </w:p>
    <w:p w14:paraId="25AF16F1" w14:textId="0F248C52" w:rsidR="00D8071B" w:rsidRPr="00510341" w:rsidRDefault="00051DAE" w:rsidP="00021E8A">
      <w:pPr>
        <w:pStyle w:val="CETAcknowledgementstitle"/>
        <w:rPr>
          <w:rFonts w:eastAsia="Arial"/>
        </w:rPr>
      </w:pPr>
      <w:r w:rsidRPr="00510341">
        <w:rPr>
          <w:rFonts w:eastAsia="Arial"/>
        </w:rPr>
        <w:lastRenderedPageBreak/>
        <w:t>Acknowledgments</w:t>
      </w:r>
    </w:p>
    <w:p w14:paraId="54D69E87" w14:textId="77777777" w:rsidR="0077733C" w:rsidRPr="001D40DD" w:rsidRDefault="0077733C" w:rsidP="0077733C">
      <w:pPr>
        <w:pStyle w:val="CETBodytext"/>
        <w:rPr>
          <w:color w:val="000000" w:themeColor="text1"/>
          <w:lang w:val="es-CO"/>
        </w:rPr>
      </w:pPr>
      <w:r w:rsidRPr="001D40DD">
        <w:rPr>
          <w:rFonts w:eastAsia="Arial" w:cs="Arial"/>
          <w:szCs w:val="18"/>
        </w:rPr>
        <w:t xml:space="preserve">The authors gratefully acknowledge the financial support provided by the Universidad de Cartagena and the Colombian Ministry of Science, Technology, and Innovation (MINCIENCIAS) for this research. </w:t>
      </w:r>
      <w:proofErr w:type="spellStart"/>
      <w:r w:rsidRPr="001D40DD">
        <w:rPr>
          <w:rFonts w:eastAsia="Arial" w:cs="Arial"/>
          <w:szCs w:val="18"/>
          <w:lang w:val="es-CO"/>
        </w:rPr>
        <w:t>This</w:t>
      </w:r>
      <w:proofErr w:type="spellEnd"/>
      <w:r w:rsidRPr="001D40DD">
        <w:rPr>
          <w:rFonts w:eastAsia="Arial" w:cs="Arial"/>
          <w:szCs w:val="18"/>
          <w:lang w:val="es-CO"/>
        </w:rPr>
        <w:t xml:space="preserve"> </w:t>
      </w:r>
      <w:proofErr w:type="spellStart"/>
      <w:r w:rsidRPr="001D40DD">
        <w:rPr>
          <w:rFonts w:eastAsia="Arial" w:cs="Arial"/>
          <w:szCs w:val="18"/>
          <w:lang w:val="es-CO"/>
        </w:rPr>
        <w:t>work</w:t>
      </w:r>
      <w:proofErr w:type="spellEnd"/>
      <w:r w:rsidRPr="001D40DD">
        <w:rPr>
          <w:rFonts w:eastAsia="Arial" w:cs="Arial"/>
          <w:szCs w:val="18"/>
          <w:lang w:val="es-CO"/>
        </w:rPr>
        <w:t xml:space="preserve"> </w:t>
      </w:r>
      <w:proofErr w:type="spellStart"/>
      <w:r w:rsidRPr="001D40DD">
        <w:rPr>
          <w:rFonts w:eastAsia="Arial" w:cs="Arial"/>
          <w:szCs w:val="18"/>
          <w:lang w:val="es-CO"/>
        </w:rPr>
        <w:t>was</w:t>
      </w:r>
      <w:proofErr w:type="spellEnd"/>
      <w:r w:rsidRPr="001D40DD">
        <w:rPr>
          <w:rFonts w:eastAsia="Arial" w:cs="Arial"/>
          <w:szCs w:val="18"/>
          <w:lang w:val="es-CO"/>
        </w:rPr>
        <w:t xml:space="preserve"> </w:t>
      </w:r>
      <w:proofErr w:type="spellStart"/>
      <w:r w:rsidRPr="001D40DD">
        <w:rPr>
          <w:rFonts w:eastAsia="Arial" w:cs="Arial"/>
          <w:szCs w:val="18"/>
          <w:lang w:val="es-CO"/>
        </w:rPr>
        <w:t>funded</w:t>
      </w:r>
      <w:proofErr w:type="spellEnd"/>
      <w:r w:rsidRPr="001D40DD">
        <w:rPr>
          <w:rFonts w:eastAsia="Arial" w:cs="Arial"/>
          <w:szCs w:val="18"/>
          <w:lang w:val="es-CO"/>
        </w:rPr>
        <w:t xml:space="preserve"> </w:t>
      </w:r>
      <w:proofErr w:type="spellStart"/>
      <w:r w:rsidRPr="001D40DD">
        <w:rPr>
          <w:rFonts w:eastAsia="Arial" w:cs="Arial"/>
          <w:szCs w:val="18"/>
          <w:lang w:val="es-CO"/>
        </w:rPr>
        <w:t>under</w:t>
      </w:r>
      <w:proofErr w:type="spellEnd"/>
      <w:r w:rsidRPr="001D40DD">
        <w:rPr>
          <w:rFonts w:eastAsia="Arial" w:cs="Arial"/>
          <w:szCs w:val="18"/>
          <w:lang w:val="es-CO"/>
        </w:rPr>
        <w:t xml:space="preserve"> </w:t>
      </w:r>
      <w:proofErr w:type="spellStart"/>
      <w:r w:rsidRPr="001D40DD">
        <w:rPr>
          <w:rFonts w:eastAsia="Arial" w:cs="Arial"/>
          <w:szCs w:val="18"/>
          <w:lang w:val="es-CO"/>
        </w:rPr>
        <w:t>the</w:t>
      </w:r>
      <w:proofErr w:type="spellEnd"/>
      <w:r w:rsidRPr="001D40DD">
        <w:rPr>
          <w:rFonts w:eastAsia="Arial" w:cs="Arial"/>
          <w:szCs w:val="18"/>
          <w:lang w:val="es-CO"/>
        </w:rPr>
        <w:t xml:space="preserve"> </w:t>
      </w:r>
      <w:proofErr w:type="spellStart"/>
      <w:r w:rsidRPr="001D40DD">
        <w:rPr>
          <w:rFonts w:eastAsia="Arial" w:cs="Arial"/>
          <w:szCs w:val="18"/>
          <w:lang w:val="es-CO"/>
        </w:rPr>
        <w:t>project</w:t>
      </w:r>
      <w:proofErr w:type="spellEnd"/>
      <w:r w:rsidRPr="001D40DD">
        <w:rPr>
          <w:rFonts w:eastAsia="Arial" w:cs="Arial"/>
          <w:szCs w:val="18"/>
          <w:lang w:val="es-CO"/>
        </w:rPr>
        <w:t xml:space="preserve"> “Desarrollo de un modelo de bioeconomía para la obtención de productos derivados de la semilla de aguacate Hass con aplicabilidad en el sector agrícola y alimentario en el departamento del Putumayo” </w:t>
      </w:r>
      <w:proofErr w:type="spellStart"/>
      <w:r w:rsidRPr="001D40DD">
        <w:rPr>
          <w:rFonts w:eastAsia="Arial" w:cs="Arial"/>
          <w:szCs w:val="18"/>
          <w:lang w:val="es-CO"/>
        </w:rPr>
        <w:t>with</w:t>
      </w:r>
      <w:proofErr w:type="spellEnd"/>
      <w:r w:rsidRPr="001D40DD">
        <w:rPr>
          <w:rFonts w:eastAsia="Arial" w:cs="Arial"/>
          <w:szCs w:val="18"/>
          <w:lang w:val="es-CO"/>
        </w:rPr>
        <w:t xml:space="preserve"> </w:t>
      </w:r>
      <w:proofErr w:type="spellStart"/>
      <w:r w:rsidRPr="001D40DD">
        <w:rPr>
          <w:rFonts w:eastAsia="Arial" w:cs="Arial"/>
          <w:szCs w:val="18"/>
          <w:lang w:val="es-CO"/>
        </w:rPr>
        <w:t>project</w:t>
      </w:r>
      <w:proofErr w:type="spellEnd"/>
      <w:r w:rsidRPr="001D40DD">
        <w:rPr>
          <w:rFonts w:eastAsia="Arial" w:cs="Arial"/>
          <w:szCs w:val="18"/>
          <w:lang w:val="es-CO"/>
        </w:rPr>
        <w:t xml:space="preserve"> </w:t>
      </w:r>
      <w:proofErr w:type="spellStart"/>
      <w:r w:rsidRPr="001D40DD">
        <w:rPr>
          <w:rFonts w:eastAsia="Arial" w:cs="Arial"/>
          <w:szCs w:val="18"/>
          <w:lang w:val="es-CO"/>
        </w:rPr>
        <w:t>code</w:t>
      </w:r>
      <w:proofErr w:type="spellEnd"/>
      <w:r w:rsidRPr="001D40DD">
        <w:rPr>
          <w:rFonts w:eastAsia="Arial" w:cs="Arial"/>
          <w:szCs w:val="18"/>
          <w:lang w:val="es-CO"/>
        </w:rPr>
        <w:t xml:space="preserve"> SIGP 100307, </w:t>
      </w:r>
      <w:proofErr w:type="spellStart"/>
      <w:r w:rsidRPr="001D40DD">
        <w:rPr>
          <w:rFonts w:eastAsia="Arial" w:cs="Arial"/>
          <w:szCs w:val="18"/>
          <w:lang w:val="es-CO"/>
        </w:rPr>
        <w:t>contract</w:t>
      </w:r>
      <w:proofErr w:type="spellEnd"/>
      <w:r w:rsidRPr="001D40DD">
        <w:rPr>
          <w:rFonts w:eastAsia="Arial" w:cs="Arial"/>
          <w:szCs w:val="18"/>
          <w:lang w:val="es-CO"/>
        </w:rPr>
        <w:t xml:space="preserve"> 442-2023.</w:t>
      </w:r>
    </w:p>
    <w:p w14:paraId="7FB9A360" w14:textId="77777777" w:rsidR="00D8071B" w:rsidRPr="00510341" w:rsidRDefault="00051DAE" w:rsidP="004A01AD">
      <w:pPr>
        <w:pStyle w:val="CETReference"/>
        <w:rPr>
          <w:rFonts w:eastAsia="Arial"/>
        </w:rPr>
      </w:pPr>
      <w:r w:rsidRPr="00510341">
        <w:rPr>
          <w:rFonts w:eastAsia="Arial"/>
        </w:rPr>
        <w:t>References</w:t>
      </w:r>
    </w:p>
    <w:bookmarkEnd w:id="0"/>
    <w:p w14:paraId="0174FD3C" w14:textId="44432D15" w:rsidR="004A01AD" w:rsidRPr="00CA3F38" w:rsidRDefault="004A01AD" w:rsidP="00403160">
      <w:pPr>
        <w:pStyle w:val="CETReferencetext"/>
      </w:pPr>
      <w:proofErr w:type="spellStart"/>
      <w:r w:rsidRPr="00CA3F38">
        <w:t>Alviz</w:t>
      </w:r>
      <w:proofErr w:type="spellEnd"/>
      <w:r w:rsidR="003320AE" w:rsidRPr="00CA3F38">
        <w:t xml:space="preserve">-Meza </w:t>
      </w:r>
      <w:r w:rsidRPr="00CA3F38">
        <w:t>A., Valdez</w:t>
      </w:r>
      <w:r w:rsidR="003320AE" w:rsidRPr="00CA3F38">
        <w:t>-Valdes</w:t>
      </w:r>
      <w:r w:rsidRPr="00CA3F38">
        <w:t xml:space="preserve"> S.A., Gonzalez</w:t>
      </w:r>
      <w:r w:rsidR="003320AE" w:rsidRPr="00CA3F38">
        <w:t xml:space="preserve">-Delgado </w:t>
      </w:r>
      <w:r w:rsidRPr="00CA3F38">
        <w:t>A.D., 2025, Computer-aided simulation of a cascade biorefinery: Case study of the Colombian Amazon’s Hass avocado waste, Chemical Engineering Transactions, 117, 67–72.</w:t>
      </w:r>
    </w:p>
    <w:p w14:paraId="697AE7EA" w14:textId="77777777" w:rsidR="00034AE5" w:rsidRPr="00CA3F38" w:rsidRDefault="00034AE5" w:rsidP="00034AE5">
      <w:pPr>
        <w:pStyle w:val="CETReferencetext"/>
      </w:pPr>
      <w:r w:rsidRPr="00CA3F38">
        <w:t>Araújo R.G., Rodriguez-Jasso R.M., Ruiz H.A., Pintado M.M., Aguilar C.N., 2021, Avocado by-products: Nutritional and functional properties, Trends in Food Science &amp; Technology, 80, 51–60.</w:t>
      </w:r>
    </w:p>
    <w:p w14:paraId="00476CE7" w14:textId="77777777" w:rsidR="00034AE5" w:rsidRPr="00CA3F38" w:rsidRDefault="00034AE5" w:rsidP="00034AE5">
      <w:pPr>
        <w:pStyle w:val="CETReferencetext"/>
      </w:pPr>
      <w:proofErr w:type="spellStart"/>
      <w:r w:rsidRPr="00CA3F38">
        <w:t>Dabas</w:t>
      </w:r>
      <w:proofErr w:type="spellEnd"/>
      <w:r w:rsidRPr="00CA3F38">
        <w:t xml:space="preserve"> D., Elias R.J., Ziegler G.R., Lambert J.D., 2019, A colored avocado seed extract as a potential natural colorant, Journal of Food Science, 84, 1140–1148.</w:t>
      </w:r>
    </w:p>
    <w:p w14:paraId="3D2006C0" w14:textId="5CB15815" w:rsidR="00034AE5" w:rsidRPr="00CA3F38" w:rsidRDefault="00034AE5" w:rsidP="00034AE5">
      <w:pPr>
        <w:pStyle w:val="CETReferencetext"/>
      </w:pPr>
      <w:proofErr w:type="spellStart"/>
      <w:r w:rsidRPr="00CA3F38">
        <w:t>Dávila</w:t>
      </w:r>
      <w:proofErr w:type="spellEnd"/>
      <w:r w:rsidRPr="00CA3F38">
        <w:t xml:space="preserve"> J.A., Rosenberg M., Castro E., Cardona C.A., 2017, A model biorefinery for avocado (Persea </w:t>
      </w:r>
      <w:proofErr w:type="spellStart"/>
      <w:r w:rsidRPr="00CA3F38">
        <w:t>americana</w:t>
      </w:r>
      <w:proofErr w:type="spellEnd"/>
      <w:r w:rsidRPr="00CA3F38">
        <w:t xml:space="preserve"> Mill.) processing, Bioresource Technology, 243, 17–29</w:t>
      </w:r>
      <w:r w:rsidR="009C1ADE">
        <w:t>.</w:t>
      </w:r>
    </w:p>
    <w:p w14:paraId="66E1321C" w14:textId="54D50EF1" w:rsidR="00034AE5" w:rsidRPr="00CA3F38" w:rsidRDefault="00034AE5" w:rsidP="00034AE5">
      <w:pPr>
        <w:pStyle w:val="CETReferencetext"/>
      </w:pPr>
      <w:r w:rsidRPr="00CA3F38">
        <w:t>El-Halwagi M., 2011, Sustainable Design Through Process Integration: Fundamentals and Applications, Elsevier, Amsterdam.</w:t>
      </w:r>
    </w:p>
    <w:p w14:paraId="6F7AFDFB" w14:textId="77777777" w:rsidR="009C1ADE" w:rsidRDefault="005055E0" w:rsidP="009C1ADE">
      <w:pPr>
        <w:pStyle w:val="CETReferencetext"/>
      </w:pPr>
      <w:r w:rsidRPr="00CA3F38">
        <w:t>El-Halwagi M., 2017, Sustainable design through process integration and computer-aided process engineering, Computer Aided Chemical Engineering, 40, 3–18</w:t>
      </w:r>
      <w:r w:rsidR="009C1ADE">
        <w:t>.</w:t>
      </w:r>
      <w:r w:rsidR="009C1ADE" w:rsidRPr="009C1ADE">
        <w:t xml:space="preserve"> </w:t>
      </w:r>
    </w:p>
    <w:p w14:paraId="0CAB0BBF" w14:textId="7A20CCC1" w:rsidR="005055E0" w:rsidRPr="00CA3F38" w:rsidRDefault="009C1ADE" w:rsidP="009C1ADE">
      <w:pPr>
        <w:pStyle w:val="CETReferencetext"/>
      </w:pPr>
      <w:r>
        <w:t>Herrera-Rodriguez T.C., Acevedo Pabon P.A., Gonzalez-Delgado A.D., 2025, Computer-aided Simulation of the</w:t>
      </w:r>
      <w:r>
        <w:t xml:space="preserve"> </w:t>
      </w:r>
      <w:r>
        <w:t>Hydrogen Production Process from Palm Rachis in María La Baja, Chemical Engineering Transactions, 117, 73-78</w:t>
      </w:r>
      <w:r>
        <w:t>.</w:t>
      </w:r>
    </w:p>
    <w:p w14:paraId="4F537C2A" w14:textId="07670430" w:rsidR="00034AE5" w:rsidRPr="00CA3F38" w:rsidRDefault="00034AE5" w:rsidP="00034AE5">
      <w:pPr>
        <w:pStyle w:val="CETReferencetext"/>
      </w:pPr>
      <w:proofErr w:type="spellStart"/>
      <w:r w:rsidRPr="00CA3F38">
        <w:t>Jbira</w:t>
      </w:r>
      <w:proofErr w:type="spellEnd"/>
      <w:r w:rsidRPr="00CA3F38">
        <w:t xml:space="preserve"> N., </w:t>
      </w:r>
      <w:proofErr w:type="spellStart"/>
      <w:r w:rsidRPr="00CA3F38">
        <w:t>Lebnaiti</w:t>
      </w:r>
      <w:proofErr w:type="spellEnd"/>
      <w:r w:rsidRPr="00CA3F38">
        <w:t xml:space="preserve"> A., </w:t>
      </w:r>
      <w:proofErr w:type="spellStart"/>
      <w:r w:rsidRPr="00CA3F38">
        <w:t>Hayani</w:t>
      </w:r>
      <w:proofErr w:type="spellEnd"/>
      <w:r w:rsidRPr="00CA3F38">
        <w:t xml:space="preserve"> Mounir S., 2026, Simulation, modeling and optimization of a Moroccan dairy processes with experimental validation, Chemical Engineering Science, 328, 123710.</w:t>
      </w:r>
    </w:p>
    <w:p w14:paraId="161856F8" w14:textId="41C12C46" w:rsidR="006513FA" w:rsidRPr="00CA3F38" w:rsidRDefault="006513FA" w:rsidP="006513FA">
      <w:pPr>
        <w:pStyle w:val="CETReferencetext"/>
      </w:pPr>
      <w:r w:rsidRPr="00CA3F38">
        <w:t xml:space="preserve">Kazmi B., </w:t>
      </w:r>
      <w:proofErr w:type="spellStart"/>
      <w:r w:rsidRPr="00CA3F38">
        <w:t>Zabiri</w:t>
      </w:r>
      <w:proofErr w:type="spellEnd"/>
      <w:r w:rsidRPr="00CA3F38">
        <w:t xml:space="preserve"> H., Azeem B., 2026, Circular thermochemical valorization of forest industrial residues: A 4E process safety and sustainability review, Process Safety and Environmental Protection, 211, 108804.</w:t>
      </w:r>
    </w:p>
    <w:p w14:paraId="6C40FBDE" w14:textId="2F00176D" w:rsidR="006513FA" w:rsidRPr="00CA3F38" w:rsidRDefault="006513FA" w:rsidP="006513FA">
      <w:pPr>
        <w:pStyle w:val="CETReferencetext"/>
      </w:pPr>
      <w:r w:rsidRPr="00CA3F38">
        <w:t>Luna N.A.L.M., Silva M.G.L., Menezes R.S.C., Dutra E.D., Albuquerque A.A., 2025, Simulation refinement of the biogas production process via anaerobic digestion: Validation of properties, phase equilibrium and database construction, Chemical Engineering Science, 316, 121908.</w:t>
      </w:r>
    </w:p>
    <w:p w14:paraId="4C3283F7" w14:textId="4E45F125" w:rsidR="00034AE5" w:rsidRPr="00CA3F38" w:rsidRDefault="00034AE5" w:rsidP="006513FA">
      <w:pPr>
        <w:pStyle w:val="CETReferencetext"/>
      </w:pPr>
      <w:proofErr w:type="spellStart"/>
      <w:r w:rsidRPr="00CA3F38">
        <w:t>Macena</w:t>
      </w:r>
      <w:proofErr w:type="spellEnd"/>
      <w:r w:rsidRPr="00CA3F38">
        <w:t xml:space="preserve"> J.F.F., Souza J.C.A., </w:t>
      </w:r>
      <w:proofErr w:type="spellStart"/>
      <w:r w:rsidRPr="00CA3F38">
        <w:t>Camilloto</w:t>
      </w:r>
      <w:proofErr w:type="spellEnd"/>
      <w:r w:rsidRPr="00CA3F38">
        <w:t xml:space="preserve"> G.P., Cruz R.S., 2020, </w:t>
      </w:r>
      <w:proofErr w:type="spellStart"/>
      <w:r w:rsidRPr="00CA3F38">
        <w:t>Physico</w:t>
      </w:r>
      <w:proofErr w:type="spellEnd"/>
      <w:r w:rsidRPr="00CA3F38">
        <w:t xml:space="preserve">-chemical, morphological and technological properties of the avocado (Persea </w:t>
      </w:r>
      <w:proofErr w:type="spellStart"/>
      <w:r w:rsidRPr="00CA3F38">
        <w:t>americana</w:t>
      </w:r>
      <w:proofErr w:type="spellEnd"/>
      <w:r w:rsidRPr="00CA3F38">
        <w:t xml:space="preserve"> Mill. cv. Hass) seed starch, </w:t>
      </w:r>
      <w:proofErr w:type="spellStart"/>
      <w:r w:rsidRPr="00CA3F38">
        <w:t>Ciência</w:t>
      </w:r>
      <w:proofErr w:type="spellEnd"/>
      <w:r w:rsidRPr="00CA3F38">
        <w:t xml:space="preserve"> e </w:t>
      </w:r>
      <w:proofErr w:type="spellStart"/>
      <w:r w:rsidRPr="00CA3F38">
        <w:t>Agrotecnologia</w:t>
      </w:r>
      <w:proofErr w:type="spellEnd"/>
      <w:r w:rsidRPr="00CA3F38">
        <w:t>, 44, e014220</w:t>
      </w:r>
      <w:r w:rsidR="00F90389" w:rsidRPr="00CA3F38">
        <w:t>.</w:t>
      </w:r>
    </w:p>
    <w:p w14:paraId="3FD8066B" w14:textId="6D5ADA1B" w:rsidR="00034AE5" w:rsidRPr="00CA3F38" w:rsidRDefault="00034AE5" w:rsidP="00034AE5">
      <w:pPr>
        <w:pStyle w:val="CETReferencetext"/>
      </w:pPr>
      <w:r w:rsidRPr="00CA3F38">
        <w:t xml:space="preserve">Martins S.H.F., Pontes K.V., </w:t>
      </w:r>
      <w:proofErr w:type="spellStart"/>
      <w:r w:rsidRPr="00CA3F38">
        <w:t>Filgueiras</w:t>
      </w:r>
      <w:proofErr w:type="spellEnd"/>
      <w:r w:rsidRPr="00CA3F38">
        <w:t xml:space="preserve"> C.T., Nogueira G.F., </w:t>
      </w:r>
      <w:proofErr w:type="spellStart"/>
      <w:r w:rsidRPr="00CA3F38">
        <w:t>Fialho</w:t>
      </w:r>
      <w:proofErr w:type="spellEnd"/>
      <w:r w:rsidRPr="00CA3F38">
        <w:t xml:space="preserve"> R., </w:t>
      </w:r>
      <w:proofErr w:type="spellStart"/>
      <w:r w:rsidRPr="00CA3F38">
        <w:t>Fakhouri</w:t>
      </w:r>
      <w:proofErr w:type="spellEnd"/>
      <w:r w:rsidRPr="00CA3F38">
        <w:t xml:space="preserve"> F.M., 2025, Development and characterization of starch films extracted from avocado (Persea </w:t>
      </w:r>
      <w:proofErr w:type="spellStart"/>
      <w:r w:rsidRPr="00CA3F38">
        <w:t>americana</w:t>
      </w:r>
      <w:proofErr w:type="spellEnd"/>
      <w:r w:rsidRPr="00CA3F38">
        <w:t xml:space="preserve"> Mill.) seeds incorporated with avocado (Persea gratissima) essential oil, International Journal of Biological Macromolecules, 322, 14662</w:t>
      </w:r>
      <w:r w:rsidR="00F90389" w:rsidRPr="00CA3F38">
        <w:t>4.</w:t>
      </w:r>
    </w:p>
    <w:p w14:paraId="2A6AE7B2" w14:textId="0B26FF2B" w:rsidR="00034AE5" w:rsidRPr="00CA3F38" w:rsidRDefault="00034AE5" w:rsidP="006513FA">
      <w:pPr>
        <w:pStyle w:val="CETReferencetext"/>
      </w:pPr>
      <w:r w:rsidRPr="00CA3F38">
        <w:t>Muñoz-</w:t>
      </w:r>
      <w:proofErr w:type="spellStart"/>
      <w:r w:rsidRPr="00CA3F38">
        <w:t>Gimena</w:t>
      </w:r>
      <w:proofErr w:type="spellEnd"/>
      <w:r w:rsidRPr="00CA3F38">
        <w:t xml:space="preserve"> P.F., Aragón-Gutiérrez A., </w:t>
      </w:r>
      <w:proofErr w:type="spellStart"/>
      <w:r w:rsidRPr="00CA3F38">
        <w:t>Blázquez-Blázquez</w:t>
      </w:r>
      <w:proofErr w:type="spellEnd"/>
      <w:r w:rsidRPr="00CA3F38">
        <w:t xml:space="preserve"> E., Arrieta M.P., Rodríguez G., </w:t>
      </w:r>
      <w:proofErr w:type="spellStart"/>
      <w:r w:rsidRPr="00CA3F38">
        <w:t>Peponi</w:t>
      </w:r>
      <w:proofErr w:type="spellEnd"/>
      <w:r w:rsidRPr="00CA3F38">
        <w:t xml:space="preserve"> L., López D., 2024, Avocado seed starch-based films reinforced with starch nanocrystals, Polymers, 16, 2868</w:t>
      </w:r>
      <w:r w:rsidR="006513FA" w:rsidRPr="00CA3F38">
        <w:t>.</w:t>
      </w:r>
    </w:p>
    <w:p w14:paraId="6BA7D773" w14:textId="34F10B2B" w:rsidR="00034AE5" w:rsidRPr="00CA3F38" w:rsidRDefault="00034AE5" w:rsidP="00034AE5">
      <w:pPr>
        <w:pStyle w:val="CETReferencetext"/>
      </w:pPr>
      <w:proofErr w:type="spellStart"/>
      <w:r w:rsidRPr="00CA3F38">
        <w:t>Quispe</w:t>
      </w:r>
      <w:proofErr w:type="spellEnd"/>
      <w:r w:rsidRPr="00CA3F38">
        <w:t xml:space="preserve">-Sanchez L., Mena-Chacon L.M., </w:t>
      </w:r>
      <w:proofErr w:type="spellStart"/>
      <w:r w:rsidRPr="00CA3F38">
        <w:t>Oblitas</w:t>
      </w:r>
      <w:proofErr w:type="spellEnd"/>
      <w:r w:rsidRPr="00CA3F38">
        <w:t>-Delgado R., Meléndez-Mori J.B., Guadalupe G.A., Mori-</w:t>
      </w:r>
      <w:proofErr w:type="spellStart"/>
      <w:r w:rsidRPr="00CA3F38">
        <w:t>Zabarburu</w:t>
      </w:r>
      <w:proofErr w:type="spellEnd"/>
      <w:r w:rsidRPr="00CA3F38">
        <w:t xml:space="preserve"> R., </w:t>
      </w:r>
      <w:proofErr w:type="spellStart"/>
      <w:r w:rsidRPr="00CA3F38">
        <w:t>Yoplac</w:t>
      </w:r>
      <w:proofErr w:type="spellEnd"/>
      <w:r w:rsidRPr="00CA3F38">
        <w:t xml:space="preserve"> I., </w:t>
      </w:r>
      <w:proofErr w:type="spellStart"/>
      <w:r w:rsidRPr="00CA3F38">
        <w:t>Quispe</w:t>
      </w:r>
      <w:proofErr w:type="spellEnd"/>
      <w:r w:rsidRPr="00CA3F38">
        <w:t>-Sanchez W., Hernandez-Diaz E., Mendoza-</w:t>
      </w:r>
      <w:proofErr w:type="spellStart"/>
      <w:r w:rsidRPr="00CA3F38">
        <w:t>Ordoñez</w:t>
      </w:r>
      <w:proofErr w:type="spellEnd"/>
      <w:r w:rsidRPr="00CA3F38">
        <w:t xml:space="preserve"> G., Oliva-Cruz M., 2026, Biodegradable films based on avocado seed starch and essential oils from mandarin peel (Citrus </w:t>
      </w:r>
      <w:proofErr w:type="spellStart"/>
      <w:r w:rsidRPr="00CA3F38">
        <w:t>unshiu</w:t>
      </w:r>
      <w:proofErr w:type="spellEnd"/>
      <w:r w:rsidRPr="00CA3F38">
        <w:t xml:space="preserve"> </w:t>
      </w:r>
      <w:proofErr w:type="spellStart"/>
      <w:r w:rsidRPr="00CA3F38">
        <w:t>Marcow</w:t>
      </w:r>
      <w:proofErr w:type="spellEnd"/>
      <w:r w:rsidRPr="00CA3F38">
        <w:t xml:space="preserve">. cv. Miyagawa </w:t>
      </w:r>
      <w:proofErr w:type="spellStart"/>
      <w:r w:rsidRPr="00CA3F38">
        <w:t>Wase</w:t>
      </w:r>
      <w:proofErr w:type="spellEnd"/>
      <w:r w:rsidRPr="00CA3F38">
        <w:t>) and rosemary (Rosmarinus officinalis), Applied Food Research, 6</w:t>
      </w:r>
      <w:r w:rsidR="006513FA" w:rsidRPr="00CA3F38">
        <w:t>.</w:t>
      </w:r>
    </w:p>
    <w:p w14:paraId="7233DE99" w14:textId="77777777" w:rsidR="00034AE5" w:rsidRPr="00CA3F38" w:rsidRDefault="00034AE5" w:rsidP="00034AE5">
      <w:pPr>
        <w:pStyle w:val="CETReferencetext"/>
      </w:pPr>
      <w:proofErr w:type="spellStart"/>
      <w:r w:rsidRPr="00CA3F38">
        <w:t>Rezakazemi</w:t>
      </w:r>
      <w:proofErr w:type="spellEnd"/>
      <w:r w:rsidRPr="00CA3F38">
        <w:t xml:space="preserve"> M., </w:t>
      </w:r>
      <w:proofErr w:type="spellStart"/>
      <w:r w:rsidRPr="00CA3F38">
        <w:t>Shirazian</w:t>
      </w:r>
      <w:proofErr w:type="spellEnd"/>
      <w:r w:rsidRPr="00CA3F38">
        <w:t xml:space="preserve"> S., </w:t>
      </w:r>
      <w:proofErr w:type="spellStart"/>
      <w:r w:rsidRPr="00CA3F38">
        <w:t>Ashrafizadeh</w:t>
      </w:r>
      <w:proofErr w:type="spellEnd"/>
      <w:r w:rsidRPr="00CA3F38">
        <w:t xml:space="preserve"> S.N., 2018, Simulation of chemical processes: A review of thermodynamic modeling approaches, Chemical Engineering &amp; Technology, 41, 1969–1983.</w:t>
      </w:r>
    </w:p>
    <w:p w14:paraId="360B2B70" w14:textId="035F8DBA" w:rsidR="00034AE5" w:rsidRPr="00CA3F38" w:rsidRDefault="00034AE5" w:rsidP="006513FA">
      <w:pPr>
        <w:pStyle w:val="CETReferencetext"/>
      </w:pPr>
      <w:r w:rsidRPr="00CA3F38">
        <w:t xml:space="preserve">Wang J., Li Y., </w:t>
      </w:r>
      <w:proofErr w:type="spellStart"/>
      <w:r w:rsidRPr="00CA3F38">
        <w:t>Jin</w:t>
      </w:r>
      <w:proofErr w:type="spellEnd"/>
      <w:r w:rsidRPr="00CA3F38">
        <w:t xml:space="preserve"> Z., Cheng Y., 2022, Physicochemical, morphological, and functional properties of starches isolated from avocado seeds, Biomolecules, 12, 1121</w:t>
      </w:r>
      <w:r w:rsidR="00FA544B" w:rsidRPr="00CA3F38">
        <w:t>.</w:t>
      </w:r>
    </w:p>
    <w:p w14:paraId="6158BA57" w14:textId="1CA0986D" w:rsidR="00076D4C" w:rsidRDefault="00034AE5" w:rsidP="00403160">
      <w:pPr>
        <w:pStyle w:val="CETReferencetext"/>
      </w:pPr>
      <w:r w:rsidRPr="00CA3F38">
        <w:t>Yildirim-</w:t>
      </w:r>
      <w:proofErr w:type="spellStart"/>
      <w:r w:rsidRPr="00CA3F38">
        <w:t>Yalcin</w:t>
      </w:r>
      <w:proofErr w:type="spellEnd"/>
      <w:r w:rsidRPr="00CA3F38">
        <w:t xml:space="preserve"> M., Ceyhan T., </w:t>
      </w:r>
      <w:proofErr w:type="spellStart"/>
      <w:r w:rsidRPr="00CA3F38">
        <w:t>Olcay</w:t>
      </w:r>
      <w:proofErr w:type="spellEnd"/>
      <w:r w:rsidRPr="00CA3F38">
        <w:t xml:space="preserve"> H.S., </w:t>
      </w:r>
      <w:proofErr w:type="spellStart"/>
      <w:r w:rsidRPr="00CA3F38">
        <w:t>Ozmen</w:t>
      </w:r>
      <w:proofErr w:type="spellEnd"/>
      <w:r w:rsidRPr="00CA3F38">
        <w:t xml:space="preserve"> D., </w:t>
      </w:r>
      <w:proofErr w:type="spellStart"/>
      <w:r w:rsidRPr="00CA3F38">
        <w:t>Toker</w:t>
      </w:r>
      <w:proofErr w:type="spellEnd"/>
      <w:r w:rsidRPr="00CA3F38">
        <w:t xml:space="preserve"> O.S., 2026, Characterization of the properties of modified avocado seed starches by heat-moisture treatment, cross-linking and oxidation and their applications in packaging film, International Journal of Biological Macromolecules, 340, 150100</w:t>
      </w:r>
      <w:r w:rsidR="006237FD" w:rsidRPr="00CA3F38">
        <w:t>.</w:t>
      </w:r>
    </w:p>
    <w:p w14:paraId="3703D704" w14:textId="77777777" w:rsidR="0056089C" w:rsidRPr="00B35A71" w:rsidRDefault="0056089C" w:rsidP="0056089C">
      <w:pPr>
        <w:pStyle w:val="CETBodytext"/>
        <w:rPr>
          <w:color w:val="FF0000"/>
        </w:rPr>
      </w:pPr>
    </w:p>
    <w:sectPr w:rsidR="0056089C" w:rsidRPr="00B35A71">
      <w:type w:val="continuous"/>
      <w:pgSz w:w="11906" w:h="16838"/>
      <w:pgMar w:top="1701" w:right="1418" w:bottom="1701" w:left="1701" w:header="17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92BA8" w14:textId="77777777" w:rsidR="00376BA2" w:rsidRDefault="00376BA2" w:rsidP="00AF7E94">
      <w:pPr>
        <w:spacing w:line="240" w:lineRule="auto"/>
      </w:pPr>
      <w:r>
        <w:separator/>
      </w:r>
    </w:p>
  </w:endnote>
  <w:endnote w:type="continuationSeparator" w:id="0">
    <w:p w14:paraId="411D2EB8" w14:textId="77777777" w:rsidR="00376BA2" w:rsidRDefault="00376BA2" w:rsidP="00AF7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939769D-3F82-44AF-915B-AF43F7826DAA}"/>
    <w:embedBold r:id="rId2" w:fontKey="{AA273767-3815-4938-B3CC-D0758A99D785}"/>
    <w:embedItalic r:id="rId3" w:fontKey="{E0C0870B-2973-43DD-B1EB-0533C325E328}"/>
    <w:embedBoldItalic r:id="rId4" w:fontKey="{F0ADE024-69AA-4D1A-93C4-D9A53FDB04DB}"/>
  </w:font>
  <w:font w:name="Tahoma">
    <w:panose1 w:val="020B0604030504040204"/>
    <w:charset w:val="00"/>
    <w:family w:val="swiss"/>
    <w:pitch w:val="variable"/>
    <w:sig w:usb0="E1002EFF" w:usb1="C000605B" w:usb2="00000029" w:usb3="00000000" w:csb0="000101FF" w:csb1="00000000"/>
    <w:embedRegular r:id="rId5" w:fontKey="{AFB50929-BEC5-4AE4-B30A-0C1F78451382}"/>
    <w:embedBold r:id="rId6" w:fontKey="{B2F3C1E9-CFFC-4AC2-A624-EB447652A3CC}"/>
  </w:font>
  <w:font w:name="Consolas">
    <w:panose1 w:val="020B0609020204030204"/>
    <w:charset w:val="00"/>
    <w:family w:val="modern"/>
    <w:pitch w:val="fixed"/>
    <w:sig w:usb0="E00006FF" w:usb1="0000FCFF" w:usb2="00000001" w:usb3="00000000" w:csb0="0000019F" w:csb1="00000000"/>
    <w:embedRegular r:id="rId7" w:fontKey="{6A0B361F-7451-4906-9386-3FD2DDADD88A}"/>
  </w:font>
  <w:font w:name="Georgia">
    <w:panose1 w:val="02040502050405020303"/>
    <w:charset w:val="00"/>
    <w:family w:val="roman"/>
    <w:pitch w:val="variable"/>
    <w:sig w:usb0="00000287" w:usb1="00000000" w:usb2="00000000" w:usb3="00000000" w:csb0="0000009F" w:csb1="00000000"/>
    <w:embedRegular r:id="rId8" w:fontKey="{16D57FF0-2154-45B7-8041-D65694F6354B}"/>
    <w:embedItalic r:id="rId9" w:fontKey="{D76C2C83-B8BC-465C-A09F-64C89197C206}"/>
  </w:font>
  <w:font w:name="Arial MT">
    <w:altName w:val="Arial"/>
    <w:charset w:val="01"/>
    <w:family w:val="swiss"/>
    <w:pitch w:val="variable"/>
  </w:font>
  <w:font w:name="AdvP6960">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0" w:fontKey="{16F8CDE1-2757-429E-B7D5-1178EF3B04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07576" w14:textId="77777777" w:rsidR="00376BA2" w:rsidRDefault="00376BA2" w:rsidP="00AF7E94">
      <w:pPr>
        <w:spacing w:line="240" w:lineRule="auto"/>
      </w:pPr>
      <w:r>
        <w:separator/>
      </w:r>
    </w:p>
  </w:footnote>
  <w:footnote w:type="continuationSeparator" w:id="0">
    <w:p w14:paraId="5419A76C" w14:textId="77777777" w:rsidR="00376BA2" w:rsidRDefault="00376BA2" w:rsidP="00AF7E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56DE6"/>
    <w:multiLevelType w:val="hybridMultilevel"/>
    <w:tmpl w:val="BFCED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324D47"/>
    <w:multiLevelType w:val="multilevel"/>
    <w:tmpl w:val="DBDA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600B22"/>
    <w:multiLevelType w:val="hybridMultilevel"/>
    <w:tmpl w:val="84EAA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C9F4D3C"/>
    <w:multiLevelType w:val="multilevel"/>
    <w:tmpl w:val="83E2DD74"/>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DA42CCC"/>
    <w:multiLevelType w:val="multilevel"/>
    <w:tmpl w:val="77AA4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CETheadingx"/>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1B"/>
    <w:rsid w:val="00003306"/>
    <w:rsid w:val="00021E8A"/>
    <w:rsid w:val="00034AE5"/>
    <w:rsid w:val="000409D1"/>
    <w:rsid w:val="00047690"/>
    <w:rsid w:val="00051DAE"/>
    <w:rsid w:val="00070E9E"/>
    <w:rsid w:val="00076A30"/>
    <w:rsid w:val="00076D4C"/>
    <w:rsid w:val="00082E02"/>
    <w:rsid w:val="00095F78"/>
    <w:rsid w:val="000A41E9"/>
    <w:rsid w:val="000B52B5"/>
    <w:rsid w:val="000B6198"/>
    <w:rsid w:val="000C77FC"/>
    <w:rsid w:val="000D69EA"/>
    <w:rsid w:val="000D743E"/>
    <w:rsid w:val="000E2CD7"/>
    <w:rsid w:val="000E5E75"/>
    <w:rsid w:val="00105084"/>
    <w:rsid w:val="0011548C"/>
    <w:rsid w:val="00117E7B"/>
    <w:rsid w:val="001219C3"/>
    <w:rsid w:val="001233A4"/>
    <w:rsid w:val="0012480C"/>
    <w:rsid w:val="001877D7"/>
    <w:rsid w:val="00187926"/>
    <w:rsid w:val="0019780E"/>
    <w:rsid w:val="001C29BB"/>
    <w:rsid w:val="001F3B9C"/>
    <w:rsid w:val="00200C71"/>
    <w:rsid w:val="0021210F"/>
    <w:rsid w:val="00214A2A"/>
    <w:rsid w:val="00231133"/>
    <w:rsid w:val="00235DE9"/>
    <w:rsid w:val="00243CE4"/>
    <w:rsid w:val="002512CB"/>
    <w:rsid w:val="002614C4"/>
    <w:rsid w:val="002804F6"/>
    <w:rsid w:val="0029354F"/>
    <w:rsid w:val="00294FA5"/>
    <w:rsid w:val="002A4BCB"/>
    <w:rsid w:val="002D122B"/>
    <w:rsid w:val="002E0FA2"/>
    <w:rsid w:val="002E610D"/>
    <w:rsid w:val="002F50B2"/>
    <w:rsid w:val="0031491E"/>
    <w:rsid w:val="003165F6"/>
    <w:rsid w:val="0032041D"/>
    <w:rsid w:val="003320AE"/>
    <w:rsid w:val="0034431D"/>
    <w:rsid w:val="003463FA"/>
    <w:rsid w:val="00352DCD"/>
    <w:rsid w:val="0035675D"/>
    <w:rsid w:val="003718E0"/>
    <w:rsid w:val="00376BA2"/>
    <w:rsid w:val="00377333"/>
    <w:rsid w:val="0038144A"/>
    <w:rsid w:val="003C1D3B"/>
    <w:rsid w:val="003C743B"/>
    <w:rsid w:val="003D3389"/>
    <w:rsid w:val="003E0699"/>
    <w:rsid w:val="00403160"/>
    <w:rsid w:val="004179C4"/>
    <w:rsid w:val="00457F95"/>
    <w:rsid w:val="00472758"/>
    <w:rsid w:val="004923FA"/>
    <w:rsid w:val="00495CDA"/>
    <w:rsid w:val="004971DE"/>
    <w:rsid w:val="004A01AD"/>
    <w:rsid w:val="004C2437"/>
    <w:rsid w:val="004C2647"/>
    <w:rsid w:val="004C39EE"/>
    <w:rsid w:val="004E3879"/>
    <w:rsid w:val="004F0928"/>
    <w:rsid w:val="005055E0"/>
    <w:rsid w:val="00510341"/>
    <w:rsid w:val="0053223C"/>
    <w:rsid w:val="0056089C"/>
    <w:rsid w:val="00562567"/>
    <w:rsid w:val="005906C8"/>
    <w:rsid w:val="00593FCA"/>
    <w:rsid w:val="005A5215"/>
    <w:rsid w:val="005A60FD"/>
    <w:rsid w:val="005C1E9C"/>
    <w:rsid w:val="005C2677"/>
    <w:rsid w:val="005D5CDE"/>
    <w:rsid w:val="005F5B27"/>
    <w:rsid w:val="006237FD"/>
    <w:rsid w:val="00625F63"/>
    <w:rsid w:val="0063763B"/>
    <w:rsid w:val="0064499F"/>
    <w:rsid w:val="0064533C"/>
    <w:rsid w:val="006513FA"/>
    <w:rsid w:val="0066625A"/>
    <w:rsid w:val="00680588"/>
    <w:rsid w:val="006A0A91"/>
    <w:rsid w:val="006C2FDF"/>
    <w:rsid w:val="006E7E1F"/>
    <w:rsid w:val="006F022A"/>
    <w:rsid w:val="006F2101"/>
    <w:rsid w:val="006F3699"/>
    <w:rsid w:val="0070030C"/>
    <w:rsid w:val="007039EF"/>
    <w:rsid w:val="0071251D"/>
    <w:rsid w:val="00716AA4"/>
    <w:rsid w:val="00720153"/>
    <w:rsid w:val="0073783F"/>
    <w:rsid w:val="00745019"/>
    <w:rsid w:val="00764CC9"/>
    <w:rsid w:val="0077733C"/>
    <w:rsid w:val="00781727"/>
    <w:rsid w:val="00786D63"/>
    <w:rsid w:val="00790B8F"/>
    <w:rsid w:val="007A674B"/>
    <w:rsid w:val="007B0129"/>
    <w:rsid w:val="007B218E"/>
    <w:rsid w:val="007B4676"/>
    <w:rsid w:val="007C0F1A"/>
    <w:rsid w:val="007D400A"/>
    <w:rsid w:val="007E1E63"/>
    <w:rsid w:val="008028F9"/>
    <w:rsid w:val="00810E52"/>
    <w:rsid w:val="008275DD"/>
    <w:rsid w:val="00847D6A"/>
    <w:rsid w:val="00857F0F"/>
    <w:rsid w:val="00864202"/>
    <w:rsid w:val="00876263"/>
    <w:rsid w:val="008936CB"/>
    <w:rsid w:val="00895F80"/>
    <w:rsid w:val="0089782E"/>
    <w:rsid w:val="008A0865"/>
    <w:rsid w:val="008B7A84"/>
    <w:rsid w:val="008D1B64"/>
    <w:rsid w:val="008D65C9"/>
    <w:rsid w:val="008E7BE3"/>
    <w:rsid w:val="008F1B9D"/>
    <w:rsid w:val="008F70DD"/>
    <w:rsid w:val="009076D1"/>
    <w:rsid w:val="009206BE"/>
    <w:rsid w:val="00924EFF"/>
    <w:rsid w:val="00930E79"/>
    <w:rsid w:val="0093111B"/>
    <w:rsid w:val="00933C8B"/>
    <w:rsid w:val="0093675E"/>
    <w:rsid w:val="0095136D"/>
    <w:rsid w:val="00951A58"/>
    <w:rsid w:val="00961FF9"/>
    <w:rsid w:val="009714B9"/>
    <w:rsid w:val="009725C4"/>
    <w:rsid w:val="009731DA"/>
    <w:rsid w:val="00981BDD"/>
    <w:rsid w:val="00991E7B"/>
    <w:rsid w:val="009A3362"/>
    <w:rsid w:val="009A3D32"/>
    <w:rsid w:val="009B1359"/>
    <w:rsid w:val="009B23D8"/>
    <w:rsid w:val="009C1356"/>
    <w:rsid w:val="009C1ADE"/>
    <w:rsid w:val="009E22FF"/>
    <w:rsid w:val="009E6013"/>
    <w:rsid w:val="009F7488"/>
    <w:rsid w:val="00A02B07"/>
    <w:rsid w:val="00A02EA3"/>
    <w:rsid w:val="00A1697C"/>
    <w:rsid w:val="00A21968"/>
    <w:rsid w:val="00A22BE6"/>
    <w:rsid w:val="00A26599"/>
    <w:rsid w:val="00A32836"/>
    <w:rsid w:val="00A77DA4"/>
    <w:rsid w:val="00A830C0"/>
    <w:rsid w:val="00A86F8B"/>
    <w:rsid w:val="00AB2A87"/>
    <w:rsid w:val="00AC0A15"/>
    <w:rsid w:val="00AC3892"/>
    <w:rsid w:val="00AC45A2"/>
    <w:rsid w:val="00AC71BD"/>
    <w:rsid w:val="00AE103E"/>
    <w:rsid w:val="00AE4F90"/>
    <w:rsid w:val="00AF4819"/>
    <w:rsid w:val="00AF7E94"/>
    <w:rsid w:val="00B0608D"/>
    <w:rsid w:val="00B062E5"/>
    <w:rsid w:val="00B2574D"/>
    <w:rsid w:val="00B317BE"/>
    <w:rsid w:val="00B35A71"/>
    <w:rsid w:val="00B36026"/>
    <w:rsid w:val="00B362E1"/>
    <w:rsid w:val="00B401DB"/>
    <w:rsid w:val="00B53580"/>
    <w:rsid w:val="00B83040"/>
    <w:rsid w:val="00B92AC9"/>
    <w:rsid w:val="00BA1935"/>
    <w:rsid w:val="00BB6E3B"/>
    <w:rsid w:val="00BE783F"/>
    <w:rsid w:val="00BF2313"/>
    <w:rsid w:val="00C1447A"/>
    <w:rsid w:val="00C264DC"/>
    <w:rsid w:val="00C43434"/>
    <w:rsid w:val="00C50036"/>
    <w:rsid w:val="00C61FB7"/>
    <w:rsid w:val="00C819B2"/>
    <w:rsid w:val="00C90FF0"/>
    <w:rsid w:val="00C95F8D"/>
    <w:rsid w:val="00CA3F38"/>
    <w:rsid w:val="00CC60D9"/>
    <w:rsid w:val="00CD0465"/>
    <w:rsid w:val="00CD65BB"/>
    <w:rsid w:val="00CF582D"/>
    <w:rsid w:val="00D0139F"/>
    <w:rsid w:val="00D047FF"/>
    <w:rsid w:val="00D112BE"/>
    <w:rsid w:val="00D13A61"/>
    <w:rsid w:val="00D14768"/>
    <w:rsid w:val="00D20BD9"/>
    <w:rsid w:val="00D24383"/>
    <w:rsid w:val="00D24642"/>
    <w:rsid w:val="00D27906"/>
    <w:rsid w:val="00D45A9F"/>
    <w:rsid w:val="00D538EC"/>
    <w:rsid w:val="00D76D9A"/>
    <w:rsid w:val="00D8071B"/>
    <w:rsid w:val="00D968C9"/>
    <w:rsid w:val="00DA70B8"/>
    <w:rsid w:val="00DA7C99"/>
    <w:rsid w:val="00DE0692"/>
    <w:rsid w:val="00DE642C"/>
    <w:rsid w:val="00DF59D0"/>
    <w:rsid w:val="00DF7346"/>
    <w:rsid w:val="00E03215"/>
    <w:rsid w:val="00E1622E"/>
    <w:rsid w:val="00E3170F"/>
    <w:rsid w:val="00E32331"/>
    <w:rsid w:val="00E4224E"/>
    <w:rsid w:val="00E461BA"/>
    <w:rsid w:val="00E60D2C"/>
    <w:rsid w:val="00E65102"/>
    <w:rsid w:val="00E826C8"/>
    <w:rsid w:val="00ED563D"/>
    <w:rsid w:val="00F071C4"/>
    <w:rsid w:val="00F2643A"/>
    <w:rsid w:val="00F33B2B"/>
    <w:rsid w:val="00F41BD6"/>
    <w:rsid w:val="00F53528"/>
    <w:rsid w:val="00F72111"/>
    <w:rsid w:val="00F90389"/>
    <w:rsid w:val="00FA544B"/>
    <w:rsid w:val="00FB1EFB"/>
    <w:rsid w:val="00FC4505"/>
    <w:rsid w:val="00FC4B55"/>
    <w:rsid w:val="00FE4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E078"/>
  <w15:docId w15:val="{00180487-90EF-42F2-AEB2-4A551896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qFormat/>
    <w:rsid w:val="00620DEE"/>
    <w:rPr>
      <w:rFonts w:eastAsia="Times New Roman" w:cs="Times New Roman"/>
      <w:szCs w:val="20"/>
    </w:rPr>
  </w:style>
  <w:style w:type="paragraph" w:styleId="Ttulo1">
    <w:name w:val="heading 1"/>
    <w:basedOn w:val="CETHeading1"/>
    <w:next w:val="Normal"/>
    <w:link w:val="Ttulo1Car"/>
    <w:uiPriority w:val="9"/>
    <w:qFormat/>
    <w:rsid w:val="004F5E36"/>
    <w:pPr>
      <w:tabs>
        <w:tab w:val="clear" w:pos="360"/>
      </w:tabs>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tabs>
        <w:tab w:val="num" w:pos="720"/>
      </w:tabs>
      <w:ind w:left="720" w:hanging="720"/>
      <w:contextualSpacing/>
    </w:pPr>
  </w:style>
  <w:style w:type="paragraph" w:styleId="Listaconnmeros3">
    <w:name w:val="List Number 3"/>
    <w:basedOn w:val="Normal"/>
    <w:uiPriority w:val="99"/>
    <w:semiHidden/>
    <w:unhideWhenUsed/>
    <w:rsid w:val="0003148D"/>
    <w:pPr>
      <w:tabs>
        <w:tab w:val="num" w:pos="720"/>
      </w:tabs>
      <w:ind w:left="720" w:hanging="720"/>
      <w:contextualSpacing/>
    </w:pPr>
  </w:style>
  <w:style w:type="paragraph" w:styleId="Listaconnmeros4">
    <w:name w:val="List Number 4"/>
    <w:basedOn w:val="Normal"/>
    <w:uiPriority w:val="99"/>
    <w:semiHidden/>
    <w:unhideWhenUsed/>
    <w:rsid w:val="0003148D"/>
    <w:pPr>
      <w:tabs>
        <w:tab w:val="num" w:pos="720"/>
      </w:tabs>
      <w:ind w:left="720" w:hanging="720"/>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Pr>
  </w:style>
  <w:style w:type="table" w:customStyle="1" w:styleId="a4">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5">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7">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character" w:styleId="Textodelmarcadordeposicin">
    <w:name w:val="Placeholder Text"/>
    <w:basedOn w:val="Fuentedeprrafopredeter"/>
    <w:uiPriority w:val="99"/>
    <w:semiHidden/>
    <w:rsid w:val="007140A6"/>
    <w:rPr>
      <w:color w:val="666666"/>
    </w:rPr>
  </w:style>
  <w:style w:type="character" w:styleId="Mencinsinresolver">
    <w:name w:val="Unresolved Mention"/>
    <w:basedOn w:val="Fuentedeprrafopredeter"/>
    <w:uiPriority w:val="99"/>
    <w:semiHidden/>
    <w:unhideWhenUsed/>
    <w:rsid w:val="00DD599B"/>
    <w:rPr>
      <w:color w:val="605E5C"/>
      <w:shd w:val="clear" w:color="auto" w:fill="E1DFDD"/>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Pr>
  </w:style>
  <w:style w:type="character" w:customStyle="1" w:styleId="anchor-text">
    <w:name w:val="anchor-text"/>
    <w:basedOn w:val="Fuentedeprrafopredeter"/>
    <w:rsid w:val="002C4AB7"/>
  </w:style>
  <w:style w:type="character" w:styleId="Textoennegrita">
    <w:name w:val="Strong"/>
    <w:basedOn w:val="Fuentedeprrafopredeter"/>
    <w:uiPriority w:val="22"/>
    <w:qFormat/>
    <w:rsid w:val="0006632A"/>
    <w:rPr>
      <w:b/>
      <w:bC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Pr>
  </w:style>
  <w:style w:type="table" w:customStyle="1" w:styleId="ae">
    <w:basedOn w:val="TableNormal3"/>
    <w:tblPr>
      <w:tblStyleRowBandSize w:val="1"/>
      <w:tblStyleColBandSize w:val="1"/>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character" w:customStyle="1" w:styleId="katex-mathml">
    <w:name w:val="katex-mathml"/>
    <w:basedOn w:val="Fuentedeprrafopredeter"/>
    <w:rsid w:val="002614C4"/>
  </w:style>
  <w:style w:type="character" w:customStyle="1" w:styleId="mopen">
    <w:name w:val="mopen"/>
    <w:basedOn w:val="Fuentedeprrafopredeter"/>
    <w:rsid w:val="002614C4"/>
  </w:style>
  <w:style w:type="character" w:customStyle="1" w:styleId="mord">
    <w:name w:val="mord"/>
    <w:basedOn w:val="Fuentedeprrafopredeter"/>
    <w:rsid w:val="002614C4"/>
  </w:style>
  <w:style w:type="character" w:customStyle="1" w:styleId="vlist-s">
    <w:name w:val="vlist-s"/>
    <w:basedOn w:val="Fuentedeprrafopredeter"/>
    <w:rsid w:val="002614C4"/>
  </w:style>
  <w:style w:type="character" w:customStyle="1" w:styleId="mpunct">
    <w:name w:val="mpunct"/>
    <w:basedOn w:val="Fuentedeprrafopredeter"/>
    <w:rsid w:val="002614C4"/>
  </w:style>
  <w:style w:type="character" w:customStyle="1" w:styleId="mclose">
    <w:name w:val="mclose"/>
    <w:basedOn w:val="Fuentedeprrafopredeter"/>
    <w:rsid w:val="002614C4"/>
  </w:style>
  <w:style w:type="paragraph" w:customStyle="1" w:styleId="TableParagraph">
    <w:name w:val="Table Paragraph"/>
    <w:basedOn w:val="Normal"/>
    <w:uiPriority w:val="1"/>
    <w:qFormat/>
    <w:rsid w:val="0063763B"/>
    <w:pPr>
      <w:widowControl w:val="0"/>
      <w:tabs>
        <w:tab w:val="clear" w:pos="7100"/>
      </w:tabs>
      <w:autoSpaceDE w:val="0"/>
      <w:autoSpaceDN w:val="0"/>
      <w:spacing w:before="18" w:line="240" w:lineRule="auto"/>
      <w:ind w:left="-3"/>
      <w:jc w:val="left"/>
    </w:pPr>
    <w:rPr>
      <w:rFonts w:ascii="Arial MT" w:eastAsia="Arial MT" w:hAnsi="Arial MT" w:cs="Arial MT"/>
      <w:sz w:val="22"/>
      <w:szCs w:val="22"/>
    </w:rPr>
  </w:style>
  <w:style w:type="character" w:styleId="nfasis">
    <w:name w:val="Emphasis"/>
    <w:basedOn w:val="Fuentedeprrafopredeter"/>
    <w:uiPriority w:val="20"/>
    <w:qFormat/>
    <w:rsid w:val="00CD0465"/>
    <w:rPr>
      <w:i/>
      <w:iCs/>
    </w:rPr>
  </w:style>
  <w:style w:type="character" w:customStyle="1" w:styleId="mi">
    <w:name w:val="mi"/>
    <w:basedOn w:val="Fuentedeprrafopredeter"/>
    <w:rsid w:val="00E60D2C"/>
  </w:style>
  <w:style w:type="character" w:customStyle="1" w:styleId="mo">
    <w:name w:val="mo"/>
    <w:basedOn w:val="Fuentedeprrafopredeter"/>
    <w:rsid w:val="00E60D2C"/>
  </w:style>
  <w:style w:type="character" w:customStyle="1" w:styleId="mtext">
    <w:name w:val="mtext"/>
    <w:basedOn w:val="Fuentedeprrafopredeter"/>
    <w:rsid w:val="00A22BE6"/>
  </w:style>
  <w:style w:type="character" w:customStyle="1" w:styleId="mbin">
    <w:name w:val="mbin"/>
    <w:basedOn w:val="Fuentedeprrafopredeter"/>
    <w:rsid w:val="00B401DB"/>
  </w:style>
  <w:style w:type="character" w:customStyle="1" w:styleId="whitespace-normal">
    <w:name w:val="whitespace-normal"/>
    <w:basedOn w:val="Fuentedeprrafopredeter"/>
    <w:rsid w:val="0092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3009">
      <w:bodyDiv w:val="1"/>
      <w:marLeft w:val="0"/>
      <w:marRight w:val="0"/>
      <w:marTop w:val="0"/>
      <w:marBottom w:val="0"/>
      <w:divBdr>
        <w:top w:val="none" w:sz="0" w:space="0" w:color="auto"/>
        <w:left w:val="none" w:sz="0" w:space="0" w:color="auto"/>
        <w:bottom w:val="none" w:sz="0" w:space="0" w:color="auto"/>
        <w:right w:val="none" w:sz="0" w:space="0" w:color="auto"/>
      </w:divBdr>
    </w:div>
    <w:div w:id="57441397">
      <w:bodyDiv w:val="1"/>
      <w:marLeft w:val="0"/>
      <w:marRight w:val="0"/>
      <w:marTop w:val="0"/>
      <w:marBottom w:val="0"/>
      <w:divBdr>
        <w:top w:val="none" w:sz="0" w:space="0" w:color="auto"/>
        <w:left w:val="none" w:sz="0" w:space="0" w:color="auto"/>
        <w:bottom w:val="none" w:sz="0" w:space="0" w:color="auto"/>
        <w:right w:val="none" w:sz="0" w:space="0" w:color="auto"/>
      </w:divBdr>
    </w:div>
    <w:div w:id="95298844">
      <w:bodyDiv w:val="1"/>
      <w:marLeft w:val="0"/>
      <w:marRight w:val="0"/>
      <w:marTop w:val="0"/>
      <w:marBottom w:val="0"/>
      <w:divBdr>
        <w:top w:val="none" w:sz="0" w:space="0" w:color="auto"/>
        <w:left w:val="none" w:sz="0" w:space="0" w:color="auto"/>
        <w:bottom w:val="none" w:sz="0" w:space="0" w:color="auto"/>
        <w:right w:val="none" w:sz="0" w:space="0" w:color="auto"/>
      </w:divBdr>
    </w:div>
    <w:div w:id="127361633">
      <w:bodyDiv w:val="1"/>
      <w:marLeft w:val="0"/>
      <w:marRight w:val="0"/>
      <w:marTop w:val="0"/>
      <w:marBottom w:val="0"/>
      <w:divBdr>
        <w:top w:val="none" w:sz="0" w:space="0" w:color="auto"/>
        <w:left w:val="none" w:sz="0" w:space="0" w:color="auto"/>
        <w:bottom w:val="none" w:sz="0" w:space="0" w:color="auto"/>
        <w:right w:val="none" w:sz="0" w:space="0" w:color="auto"/>
      </w:divBdr>
    </w:div>
    <w:div w:id="217281138">
      <w:bodyDiv w:val="1"/>
      <w:marLeft w:val="0"/>
      <w:marRight w:val="0"/>
      <w:marTop w:val="0"/>
      <w:marBottom w:val="0"/>
      <w:divBdr>
        <w:top w:val="none" w:sz="0" w:space="0" w:color="auto"/>
        <w:left w:val="none" w:sz="0" w:space="0" w:color="auto"/>
        <w:bottom w:val="none" w:sz="0" w:space="0" w:color="auto"/>
        <w:right w:val="none" w:sz="0" w:space="0" w:color="auto"/>
      </w:divBdr>
      <w:divsChild>
        <w:div w:id="136000121">
          <w:marLeft w:val="0"/>
          <w:marRight w:val="0"/>
          <w:marTop w:val="15"/>
          <w:marBottom w:val="0"/>
          <w:divBdr>
            <w:top w:val="single" w:sz="48" w:space="0" w:color="auto"/>
            <w:left w:val="single" w:sz="48" w:space="0" w:color="auto"/>
            <w:bottom w:val="single" w:sz="48" w:space="0" w:color="auto"/>
            <w:right w:val="single" w:sz="48" w:space="0" w:color="auto"/>
          </w:divBdr>
          <w:divsChild>
            <w:div w:id="12136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8038">
      <w:bodyDiv w:val="1"/>
      <w:marLeft w:val="0"/>
      <w:marRight w:val="0"/>
      <w:marTop w:val="0"/>
      <w:marBottom w:val="0"/>
      <w:divBdr>
        <w:top w:val="none" w:sz="0" w:space="0" w:color="auto"/>
        <w:left w:val="none" w:sz="0" w:space="0" w:color="auto"/>
        <w:bottom w:val="none" w:sz="0" w:space="0" w:color="auto"/>
        <w:right w:val="none" w:sz="0" w:space="0" w:color="auto"/>
      </w:divBdr>
    </w:div>
    <w:div w:id="417486912">
      <w:bodyDiv w:val="1"/>
      <w:marLeft w:val="0"/>
      <w:marRight w:val="0"/>
      <w:marTop w:val="0"/>
      <w:marBottom w:val="0"/>
      <w:divBdr>
        <w:top w:val="none" w:sz="0" w:space="0" w:color="auto"/>
        <w:left w:val="none" w:sz="0" w:space="0" w:color="auto"/>
        <w:bottom w:val="none" w:sz="0" w:space="0" w:color="auto"/>
        <w:right w:val="none" w:sz="0" w:space="0" w:color="auto"/>
      </w:divBdr>
    </w:div>
    <w:div w:id="470907764">
      <w:bodyDiv w:val="1"/>
      <w:marLeft w:val="0"/>
      <w:marRight w:val="0"/>
      <w:marTop w:val="0"/>
      <w:marBottom w:val="0"/>
      <w:divBdr>
        <w:top w:val="none" w:sz="0" w:space="0" w:color="auto"/>
        <w:left w:val="none" w:sz="0" w:space="0" w:color="auto"/>
        <w:bottom w:val="none" w:sz="0" w:space="0" w:color="auto"/>
        <w:right w:val="none" w:sz="0" w:space="0" w:color="auto"/>
      </w:divBdr>
    </w:div>
    <w:div w:id="498426493">
      <w:bodyDiv w:val="1"/>
      <w:marLeft w:val="0"/>
      <w:marRight w:val="0"/>
      <w:marTop w:val="0"/>
      <w:marBottom w:val="0"/>
      <w:divBdr>
        <w:top w:val="none" w:sz="0" w:space="0" w:color="auto"/>
        <w:left w:val="none" w:sz="0" w:space="0" w:color="auto"/>
        <w:bottom w:val="none" w:sz="0" w:space="0" w:color="auto"/>
        <w:right w:val="none" w:sz="0" w:space="0" w:color="auto"/>
      </w:divBdr>
    </w:div>
    <w:div w:id="665086823">
      <w:bodyDiv w:val="1"/>
      <w:marLeft w:val="0"/>
      <w:marRight w:val="0"/>
      <w:marTop w:val="0"/>
      <w:marBottom w:val="0"/>
      <w:divBdr>
        <w:top w:val="none" w:sz="0" w:space="0" w:color="auto"/>
        <w:left w:val="none" w:sz="0" w:space="0" w:color="auto"/>
        <w:bottom w:val="none" w:sz="0" w:space="0" w:color="auto"/>
        <w:right w:val="none" w:sz="0" w:space="0" w:color="auto"/>
      </w:divBdr>
    </w:div>
    <w:div w:id="676662450">
      <w:bodyDiv w:val="1"/>
      <w:marLeft w:val="0"/>
      <w:marRight w:val="0"/>
      <w:marTop w:val="0"/>
      <w:marBottom w:val="0"/>
      <w:divBdr>
        <w:top w:val="none" w:sz="0" w:space="0" w:color="auto"/>
        <w:left w:val="none" w:sz="0" w:space="0" w:color="auto"/>
        <w:bottom w:val="none" w:sz="0" w:space="0" w:color="auto"/>
        <w:right w:val="none" w:sz="0" w:space="0" w:color="auto"/>
      </w:divBdr>
    </w:div>
    <w:div w:id="687024210">
      <w:bodyDiv w:val="1"/>
      <w:marLeft w:val="0"/>
      <w:marRight w:val="0"/>
      <w:marTop w:val="0"/>
      <w:marBottom w:val="0"/>
      <w:divBdr>
        <w:top w:val="none" w:sz="0" w:space="0" w:color="auto"/>
        <w:left w:val="none" w:sz="0" w:space="0" w:color="auto"/>
        <w:bottom w:val="none" w:sz="0" w:space="0" w:color="auto"/>
        <w:right w:val="none" w:sz="0" w:space="0" w:color="auto"/>
      </w:divBdr>
    </w:div>
    <w:div w:id="705758537">
      <w:bodyDiv w:val="1"/>
      <w:marLeft w:val="0"/>
      <w:marRight w:val="0"/>
      <w:marTop w:val="0"/>
      <w:marBottom w:val="0"/>
      <w:divBdr>
        <w:top w:val="none" w:sz="0" w:space="0" w:color="auto"/>
        <w:left w:val="none" w:sz="0" w:space="0" w:color="auto"/>
        <w:bottom w:val="none" w:sz="0" w:space="0" w:color="auto"/>
        <w:right w:val="none" w:sz="0" w:space="0" w:color="auto"/>
      </w:divBdr>
    </w:div>
    <w:div w:id="716514706">
      <w:bodyDiv w:val="1"/>
      <w:marLeft w:val="0"/>
      <w:marRight w:val="0"/>
      <w:marTop w:val="0"/>
      <w:marBottom w:val="0"/>
      <w:divBdr>
        <w:top w:val="none" w:sz="0" w:space="0" w:color="auto"/>
        <w:left w:val="none" w:sz="0" w:space="0" w:color="auto"/>
        <w:bottom w:val="none" w:sz="0" w:space="0" w:color="auto"/>
        <w:right w:val="none" w:sz="0" w:space="0" w:color="auto"/>
      </w:divBdr>
    </w:div>
    <w:div w:id="721175939">
      <w:bodyDiv w:val="1"/>
      <w:marLeft w:val="0"/>
      <w:marRight w:val="0"/>
      <w:marTop w:val="0"/>
      <w:marBottom w:val="0"/>
      <w:divBdr>
        <w:top w:val="none" w:sz="0" w:space="0" w:color="auto"/>
        <w:left w:val="none" w:sz="0" w:space="0" w:color="auto"/>
        <w:bottom w:val="none" w:sz="0" w:space="0" w:color="auto"/>
        <w:right w:val="none" w:sz="0" w:space="0" w:color="auto"/>
      </w:divBdr>
    </w:div>
    <w:div w:id="822283839">
      <w:bodyDiv w:val="1"/>
      <w:marLeft w:val="0"/>
      <w:marRight w:val="0"/>
      <w:marTop w:val="0"/>
      <w:marBottom w:val="0"/>
      <w:divBdr>
        <w:top w:val="none" w:sz="0" w:space="0" w:color="auto"/>
        <w:left w:val="none" w:sz="0" w:space="0" w:color="auto"/>
        <w:bottom w:val="none" w:sz="0" w:space="0" w:color="auto"/>
        <w:right w:val="none" w:sz="0" w:space="0" w:color="auto"/>
      </w:divBdr>
    </w:div>
    <w:div w:id="961375215">
      <w:bodyDiv w:val="1"/>
      <w:marLeft w:val="0"/>
      <w:marRight w:val="0"/>
      <w:marTop w:val="0"/>
      <w:marBottom w:val="0"/>
      <w:divBdr>
        <w:top w:val="none" w:sz="0" w:space="0" w:color="auto"/>
        <w:left w:val="none" w:sz="0" w:space="0" w:color="auto"/>
        <w:bottom w:val="none" w:sz="0" w:space="0" w:color="auto"/>
        <w:right w:val="none" w:sz="0" w:space="0" w:color="auto"/>
      </w:divBdr>
    </w:div>
    <w:div w:id="984821648">
      <w:bodyDiv w:val="1"/>
      <w:marLeft w:val="0"/>
      <w:marRight w:val="0"/>
      <w:marTop w:val="0"/>
      <w:marBottom w:val="0"/>
      <w:divBdr>
        <w:top w:val="none" w:sz="0" w:space="0" w:color="auto"/>
        <w:left w:val="none" w:sz="0" w:space="0" w:color="auto"/>
        <w:bottom w:val="none" w:sz="0" w:space="0" w:color="auto"/>
        <w:right w:val="none" w:sz="0" w:space="0" w:color="auto"/>
      </w:divBdr>
    </w:div>
    <w:div w:id="1003553892">
      <w:bodyDiv w:val="1"/>
      <w:marLeft w:val="0"/>
      <w:marRight w:val="0"/>
      <w:marTop w:val="0"/>
      <w:marBottom w:val="0"/>
      <w:divBdr>
        <w:top w:val="none" w:sz="0" w:space="0" w:color="auto"/>
        <w:left w:val="none" w:sz="0" w:space="0" w:color="auto"/>
        <w:bottom w:val="none" w:sz="0" w:space="0" w:color="auto"/>
        <w:right w:val="none" w:sz="0" w:space="0" w:color="auto"/>
      </w:divBdr>
    </w:div>
    <w:div w:id="1273702998">
      <w:bodyDiv w:val="1"/>
      <w:marLeft w:val="0"/>
      <w:marRight w:val="0"/>
      <w:marTop w:val="0"/>
      <w:marBottom w:val="0"/>
      <w:divBdr>
        <w:top w:val="none" w:sz="0" w:space="0" w:color="auto"/>
        <w:left w:val="none" w:sz="0" w:space="0" w:color="auto"/>
        <w:bottom w:val="none" w:sz="0" w:space="0" w:color="auto"/>
        <w:right w:val="none" w:sz="0" w:space="0" w:color="auto"/>
      </w:divBdr>
    </w:div>
    <w:div w:id="1289044504">
      <w:bodyDiv w:val="1"/>
      <w:marLeft w:val="0"/>
      <w:marRight w:val="0"/>
      <w:marTop w:val="0"/>
      <w:marBottom w:val="0"/>
      <w:divBdr>
        <w:top w:val="none" w:sz="0" w:space="0" w:color="auto"/>
        <w:left w:val="none" w:sz="0" w:space="0" w:color="auto"/>
        <w:bottom w:val="none" w:sz="0" w:space="0" w:color="auto"/>
        <w:right w:val="none" w:sz="0" w:space="0" w:color="auto"/>
      </w:divBdr>
    </w:div>
    <w:div w:id="1314525567">
      <w:bodyDiv w:val="1"/>
      <w:marLeft w:val="0"/>
      <w:marRight w:val="0"/>
      <w:marTop w:val="0"/>
      <w:marBottom w:val="0"/>
      <w:divBdr>
        <w:top w:val="none" w:sz="0" w:space="0" w:color="auto"/>
        <w:left w:val="none" w:sz="0" w:space="0" w:color="auto"/>
        <w:bottom w:val="none" w:sz="0" w:space="0" w:color="auto"/>
        <w:right w:val="none" w:sz="0" w:space="0" w:color="auto"/>
      </w:divBdr>
    </w:div>
    <w:div w:id="1320229559">
      <w:bodyDiv w:val="1"/>
      <w:marLeft w:val="0"/>
      <w:marRight w:val="0"/>
      <w:marTop w:val="0"/>
      <w:marBottom w:val="0"/>
      <w:divBdr>
        <w:top w:val="none" w:sz="0" w:space="0" w:color="auto"/>
        <w:left w:val="none" w:sz="0" w:space="0" w:color="auto"/>
        <w:bottom w:val="none" w:sz="0" w:space="0" w:color="auto"/>
        <w:right w:val="none" w:sz="0" w:space="0" w:color="auto"/>
      </w:divBdr>
    </w:div>
    <w:div w:id="1368411996">
      <w:bodyDiv w:val="1"/>
      <w:marLeft w:val="0"/>
      <w:marRight w:val="0"/>
      <w:marTop w:val="0"/>
      <w:marBottom w:val="0"/>
      <w:divBdr>
        <w:top w:val="none" w:sz="0" w:space="0" w:color="auto"/>
        <w:left w:val="none" w:sz="0" w:space="0" w:color="auto"/>
        <w:bottom w:val="none" w:sz="0" w:space="0" w:color="auto"/>
        <w:right w:val="none" w:sz="0" w:space="0" w:color="auto"/>
      </w:divBdr>
    </w:div>
    <w:div w:id="1405032454">
      <w:bodyDiv w:val="1"/>
      <w:marLeft w:val="0"/>
      <w:marRight w:val="0"/>
      <w:marTop w:val="0"/>
      <w:marBottom w:val="0"/>
      <w:divBdr>
        <w:top w:val="none" w:sz="0" w:space="0" w:color="auto"/>
        <w:left w:val="none" w:sz="0" w:space="0" w:color="auto"/>
        <w:bottom w:val="none" w:sz="0" w:space="0" w:color="auto"/>
        <w:right w:val="none" w:sz="0" w:space="0" w:color="auto"/>
      </w:divBdr>
    </w:div>
    <w:div w:id="1624462449">
      <w:bodyDiv w:val="1"/>
      <w:marLeft w:val="0"/>
      <w:marRight w:val="0"/>
      <w:marTop w:val="0"/>
      <w:marBottom w:val="0"/>
      <w:divBdr>
        <w:top w:val="none" w:sz="0" w:space="0" w:color="auto"/>
        <w:left w:val="none" w:sz="0" w:space="0" w:color="auto"/>
        <w:bottom w:val="none" w:sz="0" w:space="0" w:color="auto"/>
        <w:right w:val="none" w:sz="0" w:space="0" w:color="auto"/>
      </w:divBdr>
    </w:div>
    <w:div w:id="1644964539">
      <w:bodyDiv w:val="1"/>
      <w:marLeft w:val="0"/>
      <w:marRight w:val="0"/>
      <w:marTop w:val="0"/>
      <w:marBottom w:val="0"/>
      <w:divBdr>
        <w:top w:val="none" w:sz="0" w:space="0" w:color="auto"/>
        <w:left w:val="none" w:sz="0" w:space="0" w:color="auto"/>
        <w:bottom w:val="none" w:sz="0" w:space="0" w:color="auto"/>
        <w:right w:val="none" w:sz="0" w:space="0" w:color="auto"/>
      </w:divBdr>
    </w:div>
    <w:div w:id="1672098668">
      <w:bodyDiv w:val="1"/>
      <w:marLeft w:val="0"/>
      <w:marRight w:val="0"/>
      <w:marTop w:val="0"/>
      <w:marBottom w:val="0"/>
      <w:divBdr>
        <w:top w:val="none" w:sz="0" w:space="0" w:color="auto"/>
        <w:left w:val="none" w:sz="0" w:space="0" w:color="auto"/>
        <w:bottom w:val="none" w:sz="0" w:space="0" w:color="auto"/>
        <w:right w:val="none" w:sz="0" w:space="0" w:color="auto"/>
      </w:divBdr>
    </w:div>
    <w:div w:id="1697192275">
      <w:bodyDiv w:val="1"/>
      <w:marLeft w:val="0"/>
      <w:marRight w:val="0"/>
      <w:marTop w:val="0"/>
      <w:marBottom w:val="0"/>
      <w:divBdr>
        <w:top w:val="none" w:sz="0" w:space="0" w:color="auto"/>
        <w:left w:val="none" w:sz="0" w:space="0" w:color="auto"/>
        <w:bottom w:val="none" w:sz="0" w:space="0" w:color="auto"/>
        <w:right w:val="none" w:sz="0" w:space="0" w:color="auto"/>
      </w:divBdr>
    </w:div>
    <w:div w:id="1757365931">
      <w:bodyDiv w:val="1"/>
      <w:marLeft w:val="0"/>
      <w:marRight w:val="0"/>
      <w:marTop w:val="0"/>
      <w:marBottom w:val="0"/>
      <w:divBdr>
        <w:top w:val="none" w:sz="0" w:space="0" w:color="auto"/>
        <w:left w:val="none" w:sz="0" w:space="0" w:color="auto"/>
        <w:bottom w:val="none" w:sz="0" w:space="0" w:color="auto"/>
        <w:right w:val="none" w:sz="0" w:space="0" w:color="auto"/>
      </w:divBdr>
    </w:div>
    <w:div w:id="1802503584">
      <w:bodyDiv w:val="1"/>
      <w:marLeft w:val="0"/>
      <w:marRight w:val="0"/>
      <w:marTop w:val="0"/>
      <w:marBottom w:val="0"/>
      <w:divBdr>
        <w:top w:val="none" w:sz="0" w:space="0" w:color="auto"/>
        <w:left w:val="none" w:sz="0" w:space="0" w:color="auto"/>
        <w:bottom w:val="none" w:sz="0" w:space="0" w:color="auto"/>
        <w:right w:val="none" w:sz="0" w:space="0" w:color="auto"/>
      </w:divBdr>
    </w:div>
    <w:div w:id="1808084607">
      <w:bodyDiv w:val="1"/>
      <w:marLeft w:val="0"/>
      <w:marRight w:val="0"/>
      <w:marTop w:val="0"/>
      <w:marBottom w:val="0"/>
      <w:divBdr>
        <w:top w:val="none" w:sz="0" w:space="0" w:color="auto"/>
        <w:left w:val="none" w:sz="0" w:space="0" w:color="auto"/>
        <w:bottom w:val="none" w:sz="0" w:space="0" w:color="auto"/>
        <w:right w:val="none" w:sz="0" w:space="0" w:color="auto"/>
      </w:divBdr>
      <w:divsChild>
        <w:div w:id="2025741369">
          <w:marLeft w:val="0"/>
          <w:marRight w:val="0"/>
          <w:marTop w:val="15"/>
          <w:marBottom w:val="0"/>
          <w:divBdr>
            <w:top w:val="single" w:sz="48" w:space="0" w:color="auto"/>
            <w:left w:val="single" w:sz="48" w:space="0" w:color="auto"/>
            <w:bottom w:val="single" w:sz="48" w:space="0" w:color="auto"/>
            <w:right w:val="single" w:sz="48"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0060">
      <w:bodyDiv w:val="1"/>
      <w:marLeft w:val="0"/>
      <w:marRight w:val="0"/>
      <w:marTop w:val="0"/>
      <w:marBottom w:val="0"/>
      <w:divBdr>
        <w:top w:val="none" w:sz="0" w:space="0" w:color="auto"/>
        <w:left w:val="none" w:sz="0" w:space="0" w:color="auto"/>
        <w:bottom w:val="none" w:sz="0" w:space="0" w:color="auto"/>
        <w:right w:val="none" w:sz="0" w:space="0" w:color="auto"/>
      </w:divBdr>
    </w:div>
    <w:div w:id="1882784084">
      <w:bodyDiv w:val="1"/>
      <w:marLeft w:val="0"/>
      <w:marRight w:val="0"/>
      <w:marTop w:val="0"/>
      <w:marBottom w:val="0"/>
      <w:divBdr>
        <w:top w:val="none" w:sz="0" w:space="0" w:color="auto"/>
        <w:left w:val="none" w:sz="0" w:space="0" w:color="auto"/>
        <w:bottom w:val="none" w:sz="0" w:space="0" w:color="auto"/>
        <w:right w:val="none" w:sz="0" w:space="0" w:color="auto"/>
      </w:divBdr>
    </w:div>
    <w:div w:id="1961302932">
      <w:bodyDiv w:val="1"/>
      <w:marLeft w:val="0"/>
      <w:marRight w:val="0"/>
      <w:marTop w:val="0"/>
      <w:marBottom w:val="0"/>
      <w:divBdr>
        <w:top w:val="none" w:sz="0" w:space="0" w:color="auto"/>
        <w:left w:val="none" w:sz="0" w:space="0" w:color="auto"/>
        <w:bottom w:val="none" w:sz="0" w:space="0" w:color="auto"/>
        <w:right w:val="none" w:sz="0" w:space="0" w:color="auto"/>
      </w:divBdr>
    </w:div>
    <w:div w:id="2002074552">
      <w:bodyDiv w:val="1"/>
      <w:marLeft w:val="0"/>
      <w:marRight w:val="0"/>
      <w:marTop w:val="0"/>
      <w:marBottom w:val="0"/>
      <w:divBdr>
        <w:top w:val="none" w:sz="0" w:space="0" w:color="auto"/>
        <w:left w:val="none" w:sz="0" w:space="0" w:color="auto"/>
        <w:bottom w:val="none" w:sz="0" w:space="0" w:color="auto"/>
        <w:right w:val="none" w:sz="0" w:space="0" w:color="auto"/>
      </w:divBdr>
    </w:div>
    <w:div w:id="2021856718">
      <w:bodyDiv w:val="1"/>
      <w:marLeft w:val="0"/>
      <w:marRight w:val="0"/>
      <w:marTop w:val="0"/>
      <w:marBottom w:val="0"/>
      <w:divBdr>
        <w:top w:val="none" w:sz="0" w:space="0" w:color="auto"/>
        <w:left w:val="none" w:sz="0" w:space="0" w:color="auto"/>
        <w:bottom w:val="none" w:sz="0" w:space="0" w:color="auto"/>
        <w:right w:val="none" w:sz="0" w:space="0" w:color="auto"/>
      </w:divBdr>
    </w:div>
    <w:div w:id="2133018611">
      <w:bodyDiv w:val="1"/>
      <w:marLeft w:val="0"/>
      <w:marRight w:val="0"/>
      <w:marTop w:val="0"/>
      <w:marBottom w:val="0"/>
      <w:divBdr>
        <w:top w:val="none" w:sz="0" w:space="0" w:color="auto"/>
        <w:left w:val="none" w:sz="0" w:space="0" w:color="auto"/>
        <w:bottom w:val="none" w:sz="0" w:space="0" w:color="auto"/>
        <w:right w:val="none" w:sz="0" w:space="0" w:color="auto"/>
      </w:divBdr>
    </w:div>
    <w:div w:id="2139764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WOoPE/vEnmMBZIAOPX6Cpwpvw==">CgMxLjAyDmguYzR1M2ZjcWs1eWpmMg5oLmM0dTNmY3FrNXlqZjIOaC40eTZ4YXo2a3BnMHA4AHIhMTEzWVNWSlRtZTlSQlVvcDNNaTc2dGpwVlhYNEpmcmpa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3683</Words>
  <Characters>20260</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Usuario</cp:lastModifiedBy>
  <cp:revision>56</cp:revision>
  <dcterms:created xsi:type="dcterms:W3CDTF">2025-02-05T22:29:00Z</dcterms:created>
  <dcterms:modified xsi:type="dcterms:W3CDTF">2026-04-09T09:48:00Z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