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E845E" w14:textId="77777777" w:rsidR="005F29D3" w:rsidRDefault="005F29D3">
      <w:pPr>
        <w:widowControl w:val="0"/>
        <w:pBdr>
          <w:top w:val="nil"/>
          <w:left w:val="nil"/>
          <w:bottom w:val="nil"/>
          <w:right w:val="nil"/>
          <w:between w:val="nil"/>
        </w:pBdr>
        <w:spacing w:line="276" w:lineRule="auto"/>
        <w:jc w:val="left"/>
        <w:rPr>
          <w:rFonts w:eastAsia="Arial" w:cs="Arial"/>
          <w:color w:val="000000"/>
          <w:sz w:val="22"/>
          <w:szCs w:val="22"/>
        </w:rPr>
      </w:pPr>
    </w:p>
    <w:tbl>
      <w:tblPr>
        <w:tblStyle w:val="a"/>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5F29D3" w14:paraId="47AB74FA" w14:textId="77777777">
        <w:trPr>
          <w:trHeight w:val="852"/>
          <w:jc w:val="center"/>
        </w:trPr>
        <w:tc>
          <w:tcPr>
            <w:tcW w:w="6940" w:type="dxa"/>
            <w:vMerge w:val="restart"/>
            <w:tcBorders>
              <w:right w:val="single" w:sz="4" w:space="0" w:color="000000"/>
            </w:tcBorders>
          </w:tcPr>
          <w:p w14:paraId="71E8EAE1" w14:textId="77777777" w:rsidR="005F29D3" w:rsidRDefault="00000000">
            <w:pPr>
              <w:tabs>
                <w:tab w:val="left" w:pos="-108"/>
              </w:tabs>
              <w:ind w:left="-108"/>
              <w:jc w:val="left"/>
              <w:rPr>
                <w:b/>
                <w:i/>
                <w:color w:val="000066"/>
                <w:sz w:val="12"/>
                <w:szCs w:val="12"/>
              </w:rPr>
            </w:pPr>
            <w:r>
              <w:rPr>
                <w:rFonts w:ascii="AdvP6960" w:eastAsia="AdvP6960" w:hAnsi="AdvP6960" w:cs="AdvP6960"/>
                <w:noProof/>
                <w:color w:val="241F20"/>
              </w:rPr>
              <w:drawing>
                <wp:inline distT="0" distB="0" distL="0" distR="0" wp14:anchorId="73029311" wp14:editId="44D0FAF2">
                  <wp:extent cx="640080" cy="373380"/>
                  <wp:effectExtent l="0" t="0" r="0" b="0"/>
                  <wp:docPr id="7" name="image3.jpg" descr="cetlogo"/>
                  <wp:cNvGraphicFramePr/>
                  <a:graphic xmlns:a="http://schemas.openxmlformats.org/drawingml/2006/main">
                    <a:graphicData uri="http://schemas.openxmlformats.org/drawingml/2006/picture">
                      <pic:pic xmlns:pic="http://schemas.openxmlformats.org/drawingml/2006/picture">
                        <pic:nvPicPr>
                          <pic:cNvPr id="0" name="image3.jpg" descr="cetlogo"/>
                          <pic:cNvPicPr preferRelativeResize="0"/>
                        </pic:nvPicPr>
                        <pic:blipFill>
                          <a:blip r:embed="rId7"/>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i/>
                <w:color w:val="000066"/>
                <w:sz w:val="24"/>
                <w:szCs w:val="24"/>
              </w:rPr>
              <w:t>CHEMICAL ENGINEERING</w:t>
            </w:r>
            <w:r>
              <w:rPr>
                <w:b/>
                <w:i/>
                <w:color w:val="0033FF"/>
                <w:sz w:val="24"/>
                <w:szCs w:val="24"/>
              </w:rPr>
              <w:t xml:space="preserve"> </w:t>
            </w:r>
            <w:r>
              <w:rPr>
                <w:b/>
                <w:i/>
                <w:color w:val="666666"/>
                <w:sz w:val="24"/>
                <w:szCs w:val="24"/>
              </w:rPr>
              <w:t>TRANSACTIONS</w:t>
            </w:r>
            <w:r>
              <w:rPr>
                <w:color w:val="333333"/>
                <w:sz w:val="24"/>
                <w:szCs w:val="24"/>
              </w:rPr>
              <w:t xml:space="preserve"> </w:t>
            </w:r>
            <w:r>
              <w:rPr>
                <w:b/>
                <w:i/>
                <w:color w:val="000066"/>
                <w:sz w:val="27"/>
                <w:szCs w:val="27"/>
              </w:rPr>
              <w:br/>
            </w:r>
          </w:p>
          <w:p w14:paraId="0F87A6B0" w14:textId="5ED64D15" w:rsidR="005F29D3" w:rsidRDefault="00000000">
            <w:pPr>
              <w:tabs>
                <w:tab w:val="left" w:pos="-108"/>
              </w:tabs>
              <w:ind w:left="-108"/>
              <w:rPr>
                <w:b/>
                <w:i/>
                <w:color w:val="000066"/>
                <w:sz w:val="22"/>
                <w:szCs w:val="22"/>
              </w:rPr>
            </w:pPr>
            <w:r>
              <w:rPr>
                <w:b/>
                <w:i/>
                <w:color w:val="000066"/>
                <w:sz w:val="22"/>
                <w:szCs w:val="22"/>
              </w:rPr>
              <w:t>VOL.    , 202</w:t>
            </w:r>
            <w:r w:rsidR="00C63B18">
              <w:rPr>
                <w:b/>
                <w:i/>
                <w:color w:val="000066"/>
                <w:sz w:val="22"/>
                <w:szCs w:val="22"/>
              </w:rPr>
              <w:t>6</w:t>
            </w:r>
          </w:p>
        </w:tc>
        <w:tc>
          <w:tcPr>
            <w:tcW w:w="1842" w:type="dxa"/>
            <w:tcBorders>
              <w:left w:val="single" w:sz="4" w:space="0" w:color="000000"/>
              <w:bottom w:val="nil"/>
              <w:right w:val="single" w:sz="4" w:space="0" w:color="000000"/>
            </w:tcBorders>
          </w:tcPr>
          <w:p w14:paraId="6212659C" w14:textId="77777777" w:rsidR="005F29D3" w:rsidRDefault="00000000">
            <w:pPr>
              <w:jc w:val="right"/>
              <w:rPr>
                <w:sz w:val="14"/>
                <w:szCs w:val="14"/>
              </w:rPr>
            </w:pPr>
            <w:r>
              <w:rPr>
                <w:sz w:val="14"/>
                <w:szCs w:val="14"/>
              </w:rPr>
              <w:t>A publication of</w:t>
            </w:r>
          </w:p>
          <w:p w14:paraId="76D0E9EF" w14:textId="77777777" w:rsidR="005F29D3" w:rsidRDefault="00000000">
            <w:pPr>
              <w:jc w:val="right"/>
            </w:pPr>
            <w:r>
              <w:rPr>
                <w:noProof/>
              </w:rPr>
              <w:drawing>
                <wp:inline distT="0" distB="0" distL="0" distR="0" wp14:anchorId="2037F4DA" wp14:editId="1DB907FE">
                  <wp:extent cx="670560" cy="358140"/>
                  <wp:effectExtent l="0" t="0" r="0" b="0"/>
                  <wp:docPr id="9" name="image2.jpg" descr="aidiclogo_grande"/>
                  <wp:cNvGraphicFramePr/>
                  <a:graphic xmlns:a="http://schemas.openxmlformats.org/drawingml/2006/main">
                    <a:graphicData uri="http://schemas.openxmlformats.org/drawingml/2006/picture">
                      <pic:pic xmlns:pic="http://schemas.openxmlformats.org/drawingml/2006/picture">
                        <pic:nvPicPr>
                          <pic:cNvPr id="0" name="image2.jpg" descr="aidiclogo_grande"/>
                          <pic:cNvPicPr preferRelativeResize="0"/>
                        </pic:nvPicPr>
                        <pic:blipFill>
                          <a:blip r:embed="rId8"/>
                          <a:srcRect/>
                          <a:stretch>
                            <a:fillRect/>
                          </a:stretch>
                        </pic:blipFill>
                        <pic:spPr>
                          <a:xfrm>
                            <a:off x="0" y="0"/>
                            <a:ext cx="670560" cy="358140"/>
                          </a:xfrm>
                          <a:prstGeom prst="rect">
                            <a:avLst/>
                          </a:prstGeom>
                          <a:ln/>
                        </pic:spPr>
                      </pic:pic>
                    </a:graphicData>
                  </a:graphic>
                </wp:inline>
              </w:drawing>
            </w:r>
          </w:p>
        </w:tc>
      </w:tr>
      <w:tr w:rsidR="005F29D3" w14:paraId="32908C2A" w14:textId="77777777">
        <w:trPr>
          <w:trHeight w:val="567"/>
          <w:jc w:val="center"/>
        </w:trPr>
        <w:tc>
          <w:tcPr>
            <w:tcW w:w="6940" w:type="dxa"/>
            <w:vMerge/>
            <w:tcBorders>
              <w:right w:val="single" w:sz="4" w:space="0" w:color="000000"/>
            </w:tcBorders>
          </w:tcPr>
          <w:p w14:paraId="17B37E1A" w14:textId="77777777" w:rsidR="005F29D3" w:rsidRDefault="005F29D3">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5BF978C5" w14:textId="77777777" w:rsidR="005F29D3" w:rsidRDefault="00000000">
            <w:pPr>
              <w:jc w:val="right"/>
              <w:rPr>
                <w:sz w:val="14"/>
                <w:szCs w:val="14"/>
              </w:rPr>
            </w:pPr>
            <w:r>
              <w:rPr>
                <w:sz w:val="14"/>
                <w:szCs w:val="14"/>
              </w:rPr>
              <w:t>The Italian Association</w:t>
            </w:r>
          </w:p>
          <w:p w14:paraId="0C9B08CB" w14:textId="77777777" w:rsidR="005F29D3" w:rsidRDefault="00000000">
            <w:pPr>
              <w:jc w:val="right"/>
              <w:rPr>
                <w:sz w:val="14"/>
                <w:szCs w:val="14"/>
              </w:rPr>
            </w:pPr>
            <w:r>
              <w:rPr>
                <w:sz w:val="14"/>
                <w:szCs w:val="14"/>
              </w:rPr>
              <w:t>of Chemical Engineering</w:t>
            </w:r>
          </w:p>
          <w:p w14:paraId="32AD0473" w14:textId="77777777" w:rsidR="005F29D3" w:rsidRDefault="00000000">
            <w:pPr>
              <w:jc w:val="right"/>
              <w:rPr>
                <w:sz w:val="13"/>
                <w:szCs w:val="13"/>
              </w:rPr>
            </w:pPr>
            <w:r>
              <w:rPr>
                <w:sz w:val="13"/>
                <w:szCs w:val="13"/>
              </w:rPr>
              <w:t>Online at www.cetjournal.it</w:t>
            </w:r>
          </w:p>
        </w:tc>
      </w:tr>
      <w:tr w:rsidR="005F29D3" w14:paraId="03E002A9" w14:textId="77777777">
        <w:trPr>
          <w:trHeight w:val="68"/>
          <w:jc w:val="center"/>
        </w:trPr>
        <w:tc>
          <w:tcPr>
            <w:tcW w:w="8782" w:type="dxa"/>
            <w:gridSpan w:val="2"/>
          </w:tcPr>
          <w:p w14:paraId="6E5DFFAC" w14:textId="77777777" w:rsidR="005F29D3" w:rsidRDefault="00000000">
            <w:pPr>
              <w:ind w:left="-107"/>
              <w:rPr>
                <w:rFonts w:ascii="Tahoma" w:eastAsia="Tahoma" w:hAnsi="Tahoma" w:cs="Tahoma"/>
                <w:color w:val="000000"/>
                <w:sz w:val="14"/>
                <w:szCs w:val="14"/>
              </w:rPr>
            </w:pPr>
            <w:r>
              <w:rPr>
                <w:rFonts w:ascii="Tahoma" w:eastAsia="Tahoma" w:hAnsi="Tahoma" w:cs="Tahoma"/>
                <w:color w:val="333333"/>
                <w:sz w:val="14"/>
                <w:szCs w:val="14"/>
              </w:rPr>
              <w:t>Guest Editors:</w:t>
            </w:r>
            <w:r>
              <w:rPr>
                <w:rFonts w:ascii="Tahoma" w:eastAsia="Tahoma" w:hAnsi="Tahoma" w:cs="Tahoma"/>
                <w:color w:val="000000"/>
                <w:sz w:val="14"/>
                <w:szCs w:val="14"/>
                <w:highlight w:val="white"/>
              </w:rPr>
              <w:t xml:space="preserve"> </w:t>
            </w:r>
          </w:p>
          <w:p w14:paraId="27265037" w14:textId="1B9E9734" w:rsidR="005F29D3" w:rsidRDefault="00000000">
            <w:pPr>
              <w:tabs>
                <w:tab w:val="left" w:pos="-108"/>
              </w:tabs>
              <w:ind w:left="-107"/>
              <w:jc w:val="left"/>
            </w:pPr>
            <w:r>
              <w:rPr>
                <w:rFonts w:ascii="Tahoma" w:eastAsia="Tahoma" w:hAnsi="Tahoma" w:cs="Tahoma"/>
                <w:color w:val="333333"/>
                <w:sz w:val="14"/>
                <w:szCs w:val="14"/>
              </w:rPr>
              <w:t>Copyright © 202</w:t>
            </w:r>
            <w:r w:rsidR="00A2700D">
              <w:rPr>
                <w:rFonts w:ascii="Tahoma" w:eastAsia="Tahoma" w:hAnsi="Tahoma" w:cs="Tahoma"/>
                <w:color w:val="333333"/>
                <w:sz w:val="14"/>
                <w:szCs w:val="14"/>
              </w:rPr>
              <w:t>6</w:t>
            </w:r>
            <w:r>
              <w:rPr>
                <w:rFonts w:ascii="Tahoma" w:eastAsia="Tahoma" w:hAnsi="Tahoma" w:cs="Tahoma"/>
                <w:color w:val="333333"/>
                <w:sz w:val="14"/>
                <w:szCs w:val="14"/>
              </w:rPr>
              <w:t>, AIDIC Servizi S.r.l.</w:t>
            </w:r>
            <w:r>
              <w:rPr>
                <w:rFonts w:ascii="Tahoma" w:eastAsia="Tahoma" w:hAnsi="Tahoma" w:cs="Tahoma"/>
                <w:color w:val="333333"/>
                <w:sz w:val="14"/>
                <w:szCs w:val="14"/>
              </w:rPr>
              <w:br/>
            </w:r>
            <w:r>
              <w:rPr>
                <w:rFonts w:ascii="Tahoma" w:eastAsia="Tahoma" w:hAnsi="Tahoma" w:cs="Tahoma"/>
                <w:b/>
                <w:color w:val="000000"/>
                <w:sz w:val="14"/>
                <w:szCs w:val="14"/>
              </w:rPr>
              <w:t>ISBN</w:t>
            </w:r>
            <w:r>
              <w:rPr>
                <w:rFonts w:ascii="Tahoma" w:eastAsia="Tahoma" w:hAnsi="Tahoma" w:cs="Tahoma"/>
                <w:color w:val="000000"/>
                <w:sz w:val="14"/>
                <w:szCs w:val="14"/>
              </w:rPr>
              <w:t xml:space="preserve"> </w:t>
            </w:r>
            <w:r>
              <w:rPr>
                <w:rFonts w:ascii="Tahoma" w:eastAsia="Tahoma" w:hAnsi="Tahoma" w:cs="Tahoma"/>
                <w:sz w:val="14"/>
                <w:szCs w:val="14"/>
              </w:rPr>
              <w:t>979-12-81206-XX-X</w:t>
            </w:r>
            <w:r>
              <w:rPr>
                <w:rFonts w:ascii="Tahoma" w:eastAsia="Tahoma" w:hAnsi="Tahoma" w:cs="Tahoma"/>
                <w:color w:val="333333"/>
                <w:sz w:val="14"/>
                <w:szCs w:val="14"/>
              </w:rPr>
              <w:t xml:space="preserve">; </w:t>
            </w:r>
            <w:r>
              <w:rPr>
                <w:rFonts w:ascii="Tahoma" w:eastAsia="Tahoma" w:hAnsi="Tahoma" w:cs="Tahoma"/>
                <w:b/>
                <w:color w:val="333333"/>
                <w:sz w:val="14"/>
                <w:szCs w:val="14"/>
              </w:rPr>
              <w:t>ISSN</w:t>
            </w:r>
            <w:r>
              <w:rPr>
                <w:rFonts w:ascii="Tahoma" w:eastAsia="Tahoma" w:hAnsi="Tahoma" w:cs="Tahoma"/>
                <w:color w:val="333333"/>
                <w:sz w:val="14"/>
                <w:szCs w:val="14"/>
              </w:rPr>
              <w:t xml:space="preserve"> 2283-9216</w:t>
            </w:r>
          </w:p>
        </w:tc>
      </w:tr>
    </w:tbl>
    <w:p w14:paraId="43D2B51B" w14:textId="2AFEB3B9" w:rsidR="005F29D3" w:rsidRDefault="00C63B18" w:rsidP="00A12FEB">
      <w:pPr>
        <w:pStyle w:val="CETTitle"/>
        <w:rPr>
          <w:rFonts w:eastAsia="Arial"/>
        </w:rPr>
      </w:pPr>
      <w:r w:rsidRPr="00C63B18">
        <w:rPr>
          <w:rFonts w:eastAsia="Arial"/>
        </w:rPr>
        <w:t>Resource management of a seed-based cascade biorefinery from amazon Hass avocado through exergy analysis</w:t>
      </w:r>
      <w:r w:rsidR="00D00A0C" w:rsidRPr="00D00A0C">
        <w:rPr>
          <w:rFonts w:eastAsia="Arial"/>
        </w:rPr>
        <w:t xml:space="preserve"> </w:t>
      </w:r>
    </w:p>
    <w:p w14:paraId="057AB0FE" w14:textId="6F616BAF" w:rsidR="005F29D3" w:rsidRPr="00375BF8" w:rsidRDefault="00C63B18" w:rsidP="008C0AE7">
      <w:pPr>
        <w:pStyle w:val="CETAuthors"/>
        <w:jc w:val="center"/>
        <w:rPr>
          <w:rFonts w:eastAsia="Arial"/>
          <w:sz w:val="22"/>
          <w:szCs w:val="18"/>
          <w:lang w:val="es-CO"/>
        </w:rPr>
      </w:pPr>
      <w:r w:rsidRPr="00375BF8">
        <w:rPr>
          <w:rFonts w:eastAsia="Arial"/>
          <w:sz w:val="22"/>
          <w:szCs w:val="18"/>
          <w:lang w:val="es-CO"/>
        </w:rPr>
        <w:t>Eduardo Andres Aguilar-Vásquez</w:t>
      </w:r>
      <w:r w:rsidRPr="00375BF8">
        <w:rPr>
          <w:rFonts w:eastAsia="Arial"/>
          <w:sz w:val="22"/>
          <w:szCs w:val="18"/>
          <w:vertAlign w:val="superscript"/>
          <w:lang w:val="es-CO"/>
        </w:rPr>
        <w:t>§</w:t>
      </w:r>
      <w:r w:rsidRPr="00375BF8">
        <w:rPr>
          <w:rFonts w:eastAsia="Arial"/>
          <w:sz w:val="22"/>
          <w:szCs w:val="18"/>
          <w:lang w:val="es-CO"/>
        </w:rPr>
        <w:t xml:space="preserve"> and Ángel Darío González</w:t>
      </w:r>
    </w:p>
    <w:p w14:paraId="47AF1914" w14:textId="076D1A6E" w:rsidR="00530031" w:rsidRPr="00530031" w:rsidRDefault="00530031" w:rsidP="00A12FEB">
      <w:pPr>
        <w:pStyle w:val="CETAddress"/>
        <w:rPr>
          <w:rFonts w:eastAsia="Arial"/>
        </w:rPr>
      </w:pPr>
      <w:r w:rsidRPr="00530031">
        <w:rPr>
          <w:rFonts w:eastAsia="Arial"/>
        </w:rPr>
        <w:t xml:space="preserve">Nanomaterials and Computer Aided Process Engineering Research Group (NIPAC), Chemical Engineering Department, faculty of engieniering, </w:t>
      </w:r>
      <w:r w:rsidRPr="00530031">
        <w:rPr>
          <w:rFonts w:eastAsiaTheme="minorHAnsi"/>
          <w:lang w:val="en-US"/>
        </w:rPr>
        <w:t xml:space="preserve">Av. del Consulado Calle 30 No. 48-152, </w:t>
      </w:r>
      <w:r w:rsidRPr="00530031">
        <w:rPr>
          <w:rFonts w:eastAsia="Arial"/>
        </w:rPr>
        <w:t>Universidad de Cartagena, Cartagena, Colombia.</w:t>
      </w:r>
    </w:p>
    <w:p w14:paraId="2DB968D3" w14:textId="7FD3C8AA" w:rsidR="005F29D3" w:rsidRPr="002A75B7" w:rsidRDefault="00C63B18" w:rsidP="00A12FEB">
      <w:pPr>
        <w:pStyle w:val="CETemail"/>
        <w:rPr>
          <w:rFonts w:eastAsia="Arial"/>
        </w:rPr>
      </w:pPr>
      <w:r w:rsidRPr="002A75B7">
        <w:rPr>
          <w:rFonts w:eastAsia="Arial"/>
          <w:vertAlign w:val="superscript"/>
          <w:lang w:val="es-CO"/>
        </w:rPr>
        <w:t>§</w:t>
      </w:r>
      <w:r w:rsidRPr="002A75B7">
        <w:rPr>
          <w:rFonts w:eastAsia="Arial"/>
        </w:rPr>
        <w:t>eaguilarv</w:t>
      </w:r>
      <w:r w:rsidR="00530031" w:rsidRPr="002A75B7">
        <w:rPr>
          <w:rFonts w:eastAsia="Arial"/>
        </w:rPr>
        <w:t>@unicartagena.edu.co</w:t>
      </w:r>
      <w:r w:rsidR="00440A23" w:rsidRPr="002A75B7">
        <w:rPr>
          <w:rFonts w:eastAsia="Arial"/>
        </w:rPr>
        <w:t xml:space="preserve"> </w:t>
      </w:r>
    </w:p>
    <w:p w14:paraId="30C1DD43" w14:textId="0966478D" w:rsidR="002A75B7" w:rsidRPr="00975F0D" w:rsidRDefault="004C5808" w:rsidP="00CD4AA4">
      <w:pPr>
        <w:pStyle w:val="CETBodytext"/>
        <w:rPr>
          <w:rFonts w:eastAsia="Arial"/>
        </w:rPr>
      </w:pPr>
      <w:r w:rsidRPr="00975F0D">
        <w:rPr>
          <w:rFonts w:eastAsia="Arial"/>
        </w:rPr>
        <w:t xml:space="preserve">Cascade biorefineries are promising technologies able to transform agricultural waste into valuable products. These systems are key to achieving a circular bioeconomy, requiring them to be sustainable and efficient, especially with mass and energy resources. In that case, </w:t>
      </w:r>
      <w:r w:rsidR="00CD4AA4" w:rsidRPr="00975F0D">
        <w:rPr>
          <w:rFonts w:eastAsia="Arial"/>
        </w:rPr>
        <w:t xml:space="preserve">in this study the </w:t>
      </w:r>
      <w:r w:rsidRPr="00975F0D">
        <w:rPr>
          <w:rFonts w:eastAsia="Arial"/>
        </w:rPr>
        <w:t>resource</w:t>
      </w:r>
      <w:r w:rsidR="00CD4AA4" w:rsidRPr="00975F0D">
        <w:rPr>
          <w:rFonts w:eastAsia="Arial"/>
        </w:rPr>
        <w:t xml:space="preserve"> management of an avocado cascade biorefinery was performed through an exergetic analysis, </w:t>
      </w:r>
      <w:r w:rsidRPr="00975F0D">
        <w:rPr>
          <w:rFonts w:eastAsia="Arial"/>
        </w:rPr>
        <w:t>where a series of performance parameters are calculated, which include</w:t>
      </w:r>
      <w:r w:rsidR="00CD4AA4" w:rsidRPr="00975F0D">
        <w:rPr>
          <w:rFonts w:eastAsia="Arial"/>
        </w:rPr>
        <w:t xml:space="preserve"> </w:t>
      </w:r>
      <w:r w:rsidRPr="00975F0D">
        <w:rPr>
          <w:rFonts w:eastAsia="Arial"/>
        </w:rPr>
        <w:t xml:space="preserve">efficiency, </w:t>
      </w:r>
      <w:r w:rsidR="00CD4AA4" w:rsidRPr="00975F0D">
        <w:rPr>
          <w:rFonts w:eastAsia="Arial"/>
        </w:rPr>
        <w:t xml:space="preserve">irreversibilities, industrial services, </w:t>
      </w:r>
      <w:r w:rsidRPr="00975F0D">
        <w:rPr>
          <w:rFonts w:eastAsia="Arial"/>
        </w:rPr>
        <w:t xml:space="preserve">among others. </w:t>
      </w:r>
      <w:r w:rsidR="002A75B7" w:rsidRPr="00975F0D">
        <w:rPr>
          <w:rFonts w:eastAsia="Arial"/>
        </w:rPr>
        <w:t>The analysis was complemented with CAPE tools, like process simulators. The exergy analysis showed that the process had a poor efficiency of 1.5%, with high losses (1950 MJ/h), especially from waste streams (more than 50% of the total)</w:t>
      </w:r>
      <w:r w:rsidRPr="00975F0D">
        <w:rPr>
          <w:rFonts w:eastAsia="Arial"/>
        </w:rPr>
        <w:t>, indicating the cascade configuration is not valorizing fully the raw material.</w:t>
      </w:r>
      <w:r w:rsidR="002A75B7" w:rsidRPr="00975F0D">
        <w:rPr>
          <w:rFonts w:eastAsia="Arial"/>
        </w:rPr>
        <w:t xml:space="preserve"> </w:t>
      </w:r>
      <w:r w:rsidRPr="00975F0D">
        <w:rPr>
          <w:rFonts w:eastAsia="Arial"/>
        </w:rPr>
        <w:t>The same result was observed for its stages with efficiencies lower than 10%</w:t>
      </w:r>
      <w:r w:rsidR="002A75B7" w:rsidRPr="00975F0D">
        <w:rPr>
          <w:rFonts w:eastAsia="Arial"/>
        </w:rPr>
        <w:t xml:space="preserve">, </w:t>
      </w:r>
      <w:r w:rsidRPr="00975F0D">
        <w:rPr>
          <w:rFonts w:eastAsia="Arial"/>
        </w:rPr>
        <w:t xml:space="preserve">with only </w:t>
      </w:r>
      <w:r w:rsidR="002A75B7" w:rsidRPr="00975F0D">
        <w:rPr>
          <w:rFonts w:eastAsia="Arial"/>
        </w:rPr>
        <w:t xml:space="preserve">the seed conditioning </w:t>
      </w:r>
      <w:r w:rsidRPr="00975F0D">
        <w:rPr>
          <w:rFonts w:eastAsia="Arial"/>
        </w:rPr>
        <w:t>having</w:t>
      </w:r>
      <w:r w:rsidR="002A75B7" w:rsidRPr="00975F0D">
        <w:rPr>
          <w:rFonts w:eastAsia="Arial"/>
        </w:rPr>
        <w:t xml:space="preserve"> an efficiency above 80%</w:t>
      </w:r>
      <w:r w:rsidRPr="00975F0D">
        <w:rPr>
          <w:rFonts w:eastAsia="Arial"/>
        </w:rPr>
        <w:t xml:space="preserve">. </w:t>
      </w:r>
      <w:r w:rsidR="00C21415" w:rsidRPr="00975F0D">
        <w:rPr>
          <w:rFonts w:eastAsia="Arial"/>
        </w:rPr>
        <w:t>M</w:t>
      </w:r>
      <w:r w:rsidRPr="00975F0D">
        <w:rPr>
          <w:rFonts w:eastAsia="Arial"/>
        </w:rPr>
        <w:t>oreover, the starch extraction and the biocontrol agent production</w:t>
      </w:r>
      <w:r w:rsidR="002A75B7" w:rsidRPr="00975F0D">
        <w:rPr>
          <w:rFonts w:eastAsia="Arial"/>
        </w:rPr>
        <w:t xml:space="preserve"> combined had almost 90% of the total losses. Consequently, the process requires extensive improvements</w:t>
      </w:r>
      <w:r w:rsidR="00C21415" w:rsidRPr="00975F0D">
        <w:rPr>
          <w:rFonts w:eastAsia="Arial"/>
        </w:rPr>
        <w:t xml:space="preserve"> to increase its resource conservation, strategies based on process integration are recommended.</w:t>
      </w:r>
    </w:p>
    <w:p w14:paraId="6410734C" w14:textId="1A2DA695" w:rsidR="005F29D3" w:rsidRDefault="00000000" w:rsidP="00A12FEB">
      <w:pPr>
        <w:pStyle w:val="CETHeading1"/>
        <w:numPr>
          <w:ilvl w:val="0"/>
          <w:numId w:val="16"/>
        </w:numPr>
        <w:rPr>
          <w:rFonts w:eastAsia="Arial"/>
        </w:rPr>
      </w:pPr>
      <w:r>
        <w:rPr>
          <w:rFonts w:eastAsia="Arial"/>
        </w:rPr>
        <w:t>Introduction</w:t>
      </w:r>
    </w:p>
    <w:p w14:paraId="65D8B507" w14:textId="4EC1932D" w:rsidR="00C67F39" w:rsidRDefault="00D07FFD" w:rsidP="00D07FFD">
      <w:pPr>
        <w:pStyle w:val="CETBodytext"/>
        <w:rPr>
          <w:rFonts w:eastAsia="Arial"/>
          <w:lang w:val="en-GB"/>
        </w:rPr>
      </w:pPr>
      <w:r>
        <w:rPr>
          <w:rFonts w:eastAsia="Arial"/>
          <w:lang w:val="en-GB"/>
        </w:rPr>
        <w:t>As circular bioeconomy has been emerging as an answer to the increasing concerns regarding the impacts of the actual fossil-based economy</w:t>
      </w:r>
      <w:r w:rsidR="006516E6">
        <w:rPr>
          <w:rFonts w:eastAsia="Arial"/>
          <w:lang w:val="en-GB"/>
        </w:rPr>
        <w:t xml:space="preserve"> </w:t>
      </w:r>
      <w:r w:rsidR="006516E6">
        <w:rPr>
          <w:rFonts w:eastAsia="Arial"/>
          <w:lang w:val="en-GB"/>
        </w:rPr>
        <w:fldChar w:fldCharType="begin" w:fldLock="1"/>
      </w:r>
      <w:r w:rsidR="00A900A3">
        <w:rPr>
          <w:rFonts w:eastAsia="Arial"/>
          <w:lang w:val="en-GB"/>
        </w:rPr>
        <w:instrText>ADDIN CSL_CITATION {"citationItems":[{"id":"ITEM-1","itemData":{"DOI":"10.1016/j.seta.2025.104457","ISSN":"22131388","abstract":"The valorization and conversion of biowaste through a biorefinery approach is an eco-friendly method of transforming biowaste into usable products along with commercially viable value-added products that address energy, chemicals, and environmental concerns. This study examines the potential of several biowaste feedstocks, including agricultural residues, municipal solid waste, food waste, and biowaste from food processing businesses, for the production of biofuels, biochemicals, and biomaterials. Biochemical (Anaerobic digestion, fermentation) and thermochemical (pyrolysis, gasification, hydrothermal, torrefection, liquefaction) processes are examples of advanced bioconversion technologies that have been assessed for their effectiveness, yield of products, and byproducts. Furthermore, in the study, India's perspective on utilizing biowaste for the biorefinery and several government initiatives that have been undertaken are highlighted. Overall, the biowaste biorefinery models should emphasize resource recovery and waste valorization while integrating the circular economy concepts. Hence, a comprehensive strategy towards process integration and regulatory support is crucial for the full application of biowaste in biorefineries in transition to a biobased economy.","author":[{"dropping-particle":"","family":"Daimary","given":"Niran","non-dropping-particle":"","parse-names":false,"suffix":""},{"dropping-particle":"","family":"Deb","given":"Bachu","non-dropping-particle":"","parse-names":false,"suffix":""},{"dropping-particle":"","family":"Roy","given":"Bidesh","non-dropping-particle":"","parse-names":false,"suffix":""},{"dropping-particle":"","family":"Ranjan","given":"Ritesh Kumar","non-dropping-particle":"","parse-names":false,"suffix":""},{"dropping-particle":"","family":"Mukherjee","given":"Akarsan","non-dropping-particle":"","parse-names":false,"suffix":""}],"container-title":"Sustainable Energy Technologies and Assessments","id":"ITEM-1","issue":"March","issued":{"date-parts":[["2025"]]},"page":"104457","publisher":"Elsevier Ltd","title":"Sustainable biorefinery approach for the transformation of biowaste into biofuels and chemicals for the circular economy: A review","type":"article-journal","volume":"82"},"uris":["http://www.mendeley.com/documents/?uuid=7383c1b9-6d84-4724-9cb4-57c5efcbf702"]}],"mendeley":{"formattedCitation":"(Daimary et al., 2025)","plainTextFormattedCitation":"(Daimary et al., 2025)","previouslyFormattedCitation":"(Daimary et al., 2025)"},"properties":{"noteIndex":0},"schema":"https://github.com/citation-style-language/schema/raw/master/csl-citation.json"}</w:instrText>
      </w:r>
      <w:r w:rsidR="006516E6">
        <w:rPr>
          <w:rFonts w:eastAsia="Arial"/>
          <w:lang w:val="en-GB"/>
        </w:rPr>
        <w:fldChar w:fldCharType="separate"/>
      </w:r>
      <w:r w:rsidR="006516E6" w:rsidRPr="006516E6">
        <w:rPr>
          <w:rFonts w:eastAsia="Arial"/>
          <w:noProof/>
          <w:lang w:val="en-GB"/>
        </w:rPr>
        <w:t>(Daimary et al., 2025)</w:t>
      </w:r>
      <w:r w:rsidR="006516E6">
        <w:rPr>
          <w:rFonts w:eastAsia="Arial"/>
          <w:lang w:val="en-GB"/>
        </w:rPr>
        <w:fldChar w:fldCharType="end"/>
      </w:r>
      <w:r>
        <w:rPr>
          <w:rFonts w:eastAsia="Arial"/>
          <w:lang w:val="en-GB"/>
        </w:rPr>
        <w:t>.</w:t>
      </w:r>
      <w:r w:rsidR="007C0281">
        <w:rPr>
          <w:rFonts w:eastAsia="Arial"/>
          <w:lang w:val="en-GB"/>
        </w:rPr>
        <w:t xml:space="preserve"> For </w:t>
      </w:r>
      <w:r w:rsidR="006516E6" w:rsidRPr="006516E6">
        <w:rPr>
          <w:rFonts w:eastAsia="Arial"/>
          <w:lang w:val="en-GB"/>
        </w:rPr>
        <w:t>emerging economies</w:t>
      </w:r>
      <w:r w:rsidR="007C0281">
        <w:rPr>
          <w:rFonts w:eastAsia="Arial"/>
          <w:lang w:val="en-GB"/>
        </w:rPr>
        <w:t xml:space="preserve">, this concept it’s an opportunity </w:t>
      </w:r>
      <w:r w:rsidR="006516E6" w:rsidRPr="006516E6">
        <w:rPr>
          <w:rFonts w:eastAsia="Arial"/>
          <w:lang w:val="en-GB"/>
        </w:rPr>
        <w:t>to diversify their energy sources and economic structures</w:t>
      </w:r>
      <w:r w:rsidR="007C0281">
        <w:rPr>
          <w:rFonts w:eastAsia="Arial"/>
          <w:lang w:val="en-GB"/>
        </w:rPr>
        <w:t>, e</w:t>
      </w:r>
      <w:r w:rsidR="006516E6" w:rsidRPr="006516E6">
        <w:rPr>
          <w:rFonts w:eastAsia="Arial"/>
          <w:lang w:val="en-GB"/>
        </w:rPr>
        <w:t>nhancing sustainable economic development</w:t>
      </w:r>
      <w:r w:rsidR="007C0281">
        <w:rPr>
          <w:rFonts w:eastAsia="Arial"/>
          <w:lang w:val="en-GB"/>
        </w:rPr>
        <w:t xml:space="preserve"> and economic </w:t>
      </w:r>
      <w:r w:rsidR="006516E6" w:rsidRPr="006516E6">
        <w:rPr>
          <w:rFonts w:eastAsia="Arial"/>
          <w:lang w:val="en-GB"/>
        </w:rPr>
        <w:t>resilien</w:t>
      </w:r>
      <w:r w:rsidR="007C0281">
        <w:rPr>
          <w:rFonts w:eastAsia="Arial"/>
          <w:lang w:val="en-GB"/>
        </w:rPr>
        <w:t xml:space="preserve">ce </w:t>
      </w:r>
      <w:r w:rsidR="007C0281">
        <w:rPr>
          <w:rFonts w:eastAsia="Arial"/>
          <w:lang w:val="en-GB"/>
        </w:rPr>
        <w:fldChar w:fldCharType="begin" w:fldLock="1"/>
      </w:r>
      <w:r w:rsidR="00C67F39">
        <w:rPr>
          <w:rFonts w:eastAsia="Arial"/>
          <w:lang w:val="en-GB"/>
        </w:rPr>
        <w:instrText>ADDIN CSL_CITATION {"citationItems":[{"id":"ITEM-1","itemData":{"DOI":"10.1016/j.fuel.2019.116314","ISSN":"00162361","abstract":"In the present paper, an integrated scheme of first and second-generation bioethanol production is proposed to increase the yield and decreasing thermal energy and freshwater requirements. In this sense, an energy consumption reduction of the integrated process was evaluated through heat exchangers network integration, applying mathematical programming. Then, to reduce freshwater consumption, streams with water disposal for re-use in the process was evaluated, formulating the problem as a mixed-integer nonlinear programming problem (MINLP). Bioethanol production from the integrated scheme increased at least 40% compared it with sugar-bioethanol production scheme. The heat exchanger network with the minimum annual cost was identified. Around of 16% of freshwater consumption was minimized using a nonconvex nonlinear programming NLP. The integration of second-generation bioethanol to a sugar-bioethanol process could increase, the bioethanol production in Colombia, without an energy and water excessive consumption.","author":[{"dropping-particle":"","family":"Valderrama","given":"Claudia","non-dropping-particle":"","parse-names":false,"suffix":""},{"dropping-particle":"","family":"Quintero","given":"Viviana","non-dropping-particle":"","parse-names":false,"suffix":""},{"dropping-particle":"","family":"Kafarov","given":"Viatcheslav","non-dropping-particle":"","parse-names":false,"suffix":""}],"container-title":"Fuel","id":"ITEM-1","issue":"April 2019","issued":{"date-parts":[["2020"]]},"page":"116314","publisher":"Elsevier","title":"Energy and water optimization of an integrated bioethanol production process from molasses and sugarcane bagasse: A Colombian case","type":"article-journal","volume":"260"},"uris":["http://www.mendeley.com/documents/?uuid=3c5449d8-104d-4be8-8d60-fafd71f79f3c"]}],"mendeley":{"formattedCitation":"(Valderrama et al., 2020)","plainTextFormattedCitation":"(Valderrama et al., 2020)","previouslyFormattedCitation":"(Valderrama et al., 2020)"},"properties":{"noteIndex":0},"schema":"https://github.com/citation-style-language/schema/raw/master/csl-citation.json"}</w:instrText>
      </w:r>
      <w:r w:rsidR="007C0281">
        <w:rPr>
          <w:rFonts w:eastAsia="Arial"/>
          <w:lang w:val="en-GB"/>
        </w:rPr>
        <w:fldChar w:fldCharType="separate"/>
      </w:r>
      <w:r w:rsidR="007C0281" w:rsidRPr="007C0281">
        <w:rPr>
          <w:rFonts w:eastAsia="Arial"/>
          <w:noProof/>
          <w:lang w:val="en-GB"/>
        </w:rPr>
        <w:t>(Valderrama et al., 2020)</w:t>
      </w:r>
      <w:r w:rsidR="007C0281">
        <w:rPr>
          <w:rFonts w:eastAsia="Arial"/>
          <w:lang w:val="en-GB"/>
        </w:rPr>
        <w:fldChar w:fldCharType="end"/>
      </w:r>
      <w:r w:rsidR="007C0281">
        <w:rPr>
          <w:rFonts w:eastAsia="Arial"/>
          <w:lang w:val="en-GB"/>
        </w:rPr>
        <w:t>.</w:t>
      </w:r>
      <w:r w:rsidR="00944DDA">
        <w:rPr>
          <w:rFonts w:eastAsia="Arial"/>
          <w:lang w:val="en-GB"/>
        </w:rPr>
        <w:t xml:space="preserve"> </w:t>
      </w:r>
      <w:r>
        <w:rPr>
          <w:rFonts w:eastAsia="Arial"/>
          <w:lang w:val="en-GB"/>
        </w:rPr>
        <w:t>The biorefineries are essential systems capable of transforming biomass into several valuable products (materials and energy)</w:t>
      </w:r>
      <w:r w:rsidR="008B00F7">
        <w:rPr>
          <w:rFonts w:eastAsia="Arial"/>
          <w:lang w:val="en-GB"/>
        </w:rPr>
        <w:t xml:space="preserve"> </w:t>
      </w:r>
      <w:r w:rsidR="008B00F7">
        <w:rPr>
          <w:rFonts w:eastAsia="Arial"/>
          <w:lang w:val="en-GB"/>
        </w:rPr>
        <w:fldChar w:fldCharType="begin" w:fldLock="1"/>
      </w:r>
      <w:r w:rsidR="008B00F7">
        <w:rPr>
          <w:rFonts w:eastAsia="Arial"/>
          <w:lang w:val="en-GB"/>
        </w:rPr>
        <w:instrText>ADDIN CSL_CITATION {"citationItems":[{"id":"ITEM-1","itemData":{"DOI":"10.1016/j.jclepro.2023.137925","ISSN":"09596526","abstract":"The overexploitation of resources, the increase of the world population and the trend of consumption based on “use and throw away” is causing an increasing pressure on waste management. In this sense, it is necessary to promote sustainable practices in the valorization of waste streams as a strategy for the co-production of bioproducts and bioenergy. This approach can lead to more sustainable production chains, as lower environmental burdens are expected. However, even if a promising cascade production technology could be used, the technical and economic feasibility of biorefineries remains a challenge. This report aims to provide various insights on how to assess biorefineries from a sustainability perspective, including also available standards and guidelines that enable reliable, accurate and transparent sustainability assessments. It also shows where to focus for the inclusion of biorefineries in the value chain, for communicate/visualize their potential, and for the promotion of bio-based products from recovered resources. The outcomes and main conclusions of this report could be summarized as the importance and the need of assessing biorefinery scenarios under a sustainable perspective to have an increased market potential, considering the main aspects available on the international guidelines, certification schemes and voluntary standards.","author":[{"dropping-particle":"","family":"Arias","given":"Ana","non-dropping-particle":"","parse-names":false,"suffix":""},{"dropping-particle":"","family":"Feijoo","given":"Gumersindo","non-dropping-particle":"","parse-names":false,"suffix":""},{"dropping-particle":"","family":"Moreira","given":"María Teresa","non-dropping-particle":"","parse-names":false,"suffix":""}],"container-title":"Journal of Cleaner Production","id":"ITEM-1","issue":"April","issued":{"date-parts":[["2023"]]},"page":"137925","publisher":"Elsevier Ltd","title":"Biorefineries as a driver for sustainability: Key aspects, actual development and future prospects","type":"article-journal","volume":"418"},"uris":["http://www.mendeley.com/documents/?uuid=65bfe53b-4387-43fb-8ee2-1312b27fd7a1"]}],"mendeley":{"formattedCitation":"(Arias et al., 2023)","plainTextFormattedCitation":"(Arias et al., 2023)","previouslyFormattedCitation":"(Arias et al., 2023)"},"properties":{"noteIndex":0},"schema":"https://github.com/citation-style-language/schema/raw/master/csl-citation.json"}</w:instrText>
      </w:r>
      <w:r w:rsidR="008B00F7">
        <w:rPr>
          <w:rFonts w:eastAsia="Arial"/>
          <w:lang w:val="en-GB"/>
        </w:rPr>
        <w:fldChar w:fldCharType="separate"/>
      </w:r>
      <w:r w:rsidR="008B00F7" w:rsidRPr="008B00F7">
        <w:rPr>
          <w:rFonts w:eastAsia="Arial"/>
          <w:noProof/>
          <w:lang w:val="en-GB"/>
        </w:rPr>
        <w:t>(Arias et al., 2023)</w:t>
      </w:r>
      <w:r w:rsidR="008B00F7">
        <w:rPr>
          <w:rFonts w:eastAsia="Arial"/>
          <w:lang w:val="en-GB"/>
        </w:rPr>
        <w:fldChar w:fldCharType="end"/>
      </w:r>
      <w:r>
        <w:rPr>
          <w:rFonts w:eastAsia="Arial"/>
          <w:lang w:val="en-GB"/>
        </w:rPr>
        <w:t>. In which, cascade configuration offer further use of biomaterials to the maximum extends, reducing waste and mitigating environmental impact</w:t>
      </w:r>
      <w:r w:rsidR="008B00F7">
        <w:rPr>
          <w:rFonts w:eastAsia="Arial"/>
          <w:lang w:val="en-GB"/>
        </w:rPr>
        <w:t xml:space="preserve"> </w:t>
      </w:r>
      <w:r w:rsidR="008B00F7">
        <w:rPr>
          <w:rFonts w:eastAsia="Arial"/>
          <w:lang w:val="en-GB"/>
        </w:rPr>
        <w:fldChar w:fldCharType="begin" w:fldLock="1"/>
      </w:r>
      <w:r w:rsidR="00944DDA">
        <w:rPr>
          <w:rFonts w:eastAsia="Arial"/>
          <w:lang w:val="en-GB"/>
        </w:rPr>
        <w:instrText>ADDIN CSL_CITATION {"citationItems":[{"id":"ITEM-1","itemData":{"DOI":"10.1016/j.renene.2020.05.113","ISSN":"18790682","abstract":"Six million tons of Coffee Spent Grounds (SCG) are produced every year all around the world. Their physical and chemical characterization, rich in high value molecules and organic compounds, make SCG ideal for the recovery of bioactive molecules and bioenergy production according to the “cascade biorefinery approach”. This work investigates the effects of the implementation of sequential processes for the recovery of the coffee oil, rich in valuable molecules, and the productions of bioethanol and biogas from SCG. The use of a 50:50 (v/v) ethanol-iso-propanol mixture allowed a coffee oil recovery of about 16% w/w. In particular, the extracted coffee oil was rich in tocopherols (about 15 mg/100 g SCG). On the other hand, n-hexane showed a lower performance in terms of coffee oil extraction (10% w/w) but allowed for the extraction of different molecules: linoleic and palmitic acids (38% and 34% w/w of the coffee oil, respectively) and of Cafestol (383 mg/100g SCG) and Kahweol (194 mg/100g SCG). The extracted SCG underwent to an acid-enzymatic hydrolysis process followed by a solid/liquid separation. The liquid fraction was then used for the bioethanol production which reached the final concentration of 50 g/L, while the solid fraction was used for biogas production by Anaerobic Digestion. The final methane yield resulted in a production of about 250 NLCH4/kgVS. A complete train of operations, composing a biorefinery approach, can be therefore adopted to fully valorise this particular organic waste.","author":[{"dropping-particle":"","family":"Battista","given":"Federico","non-dropping-particle":"","parse-names":false,"suffix":""},{"dropping-particle":"","family":"Zanzoni","given":"Serena","non-dropping-particle":"","parse-names":false,"suffix":""},{"dropping-particle":"","family":"Strazzera","given":"Giuseppe","non-dropping-particle":"","parse-names":false,"suffix":""},{"dropping-particle":"","family":"Andreolli","given":"Marco","non-dropping-particle":"","parse-names":false,"suffix":""},{"dropping-particle":"","family":"Bolzonella","given":"David","non-dropping-particle":"","parse-names":false,"suffix":""}],"container-title":"Renewable Energy","id":"ITEM-1","issued":{"date-parts":[["2020"]]},"page":"1203-1211","publisher":"Elsevier Ltd","title":"The cascade biorefinery approach for the valorization of the spent coffee grounds","type":"article-journal","volume":"157"},"uris":["http://www.mendeley.com/documents/?uuid=14c7e34a-b6e2-4835-9a4c-91ffbd4fc291"]}],"mendeley":{"formattedCitation":"(Battista et al., 2020)","plainTextFormattedCitation":"(Battista et al., 2020)","previouslyFormattedCitation":"(Battista et al., 2020)"},"properties":{"noteIndex":0},"schema":"https://github.com/citation-style-language/schema/raw/master/csl-citation.json"}</w:instrText>
      </w:r>
      <w:r w:rsidR="008B00F7">
        <w:rPr>
          <w:rFonts w:eastAsia="Arial"/>
          <w:lang w:val="en-GB"/>
        </w:rPr>
        <w:fldChar w:fldCharType="separate"/>
      </w:r>
      <w:r w:rsidR="008B00F7" w:rsidRPr="008B00F7">
        <w:rPr>
          <w:rFonts w:eastAsia="Arial"/>
          <w:noProof/>
          <w:lang w:val="en-GB"/>
        </w:rPr>
        <w:t>(Battista et al., 2020)</w:t>
      </w:r>
      <w:r w:rsidR="008B00F7">
        <w:rPr>
          <w:rFonts w:eastAsia="Arial"/>
          <w:lang w:val="en-GB"/>
        </w:rPr>
        <w:fldChar w:fldCharType="end"/>
      </w:r>
      <w:r>
        <w:rPr>
          <w:rFonts w:eastAsia="Arial"/>
          <w:lang w:val="en-GB"/>
        </w:rPr>
        <w:t>.</w:t>
      </w:r>
      <w:r w:rsidR="00944DDA">
        <w:rPr>
          <w:rFonts w:eastAsia="Arial"/>
          <w:lang w:val="en-GB"/>
        </w:rPr>
        <w:t xml:space="preserve"> </w:t>
      </w:r>
      <w:r w:rsidR="00C67F39">
        <w:rPr>
          <w:rFonts w:eastAsia="Arial"/>
          <w:lang w:val="en-GB"/>
        </w:rPr>
        <w:t>However, these systems are required to be not only feasible, but sustainable and efficient as they are based on green chemistry principles, meaning using resource like energy to adequately</w:t>
      </w:r>
      <w:r w:rsidR="00944DDA">
        <w:rPr>
          <w:rFonts w:eastAsia="Arial"/>
          <w:lang w:val="en-GB"/>
        </w:rPr>
        <w:t xml:space="preserve"> </w:t>
      </w:r>
      <w:r w:rsidR="00944DDA">
        <w:rPr>
          <w:rFonts w:eastAsia="Arial"/>
          <w:lang w:val="en-GB"/>
        </w:rPr>
        <w:fldChar w:fldCharType="begin" w:fldLock="1"/>
      </w:r>
      <w:r w:rsidR="00944DDA">
        <w:rPr>
          <w:rFonts w:eastAsia="Arial"/>
          <w:lang w:val="en-GB"/>
        </w:rPr>
        <w:instrText>ADDIN CSL_CITATION {"citationItems":[{"id":"ITEM-1","itemData":{"DOI":"10.1016/j.cscee.2023.100586","ISSN":"26660164","abstract":"Diverse biomass sources are used in advanced processes called biorefineries to create biofuels, high-value products and for industrial effluents treatment. Making a workable model for its legal execution, however, is a simple task. The issues relating to innovation and financial reasonability are the most pressing ones. The structures for gathering, storing, and harvesting feedstocks; the biorefinery conversion procedures ranging from pre-treatment, essential refining, secondary filtration, purification, item moulding, recovery and yet again utilisation of result streams. The general non-technical deployment drivers and obstacles in the fields of industrial effluent treatment such as environmental concerns, societal concerns, and legislation will be investigated. Although the complexity of treatment systems earned nearly equal high scores, high (production) costs are still seen as key deterrents to the deployment of biorefineries. Additionally deemed significant were the dearth of sustainability proof and the perception of food competitiveness. To meet the requirements of both present and future generations, it is also essential that we strike a balance between economic development and environmental protection.","author":[{"dropping-particle":"","family":"Mohammad","given":"Rania Edrees Adam","non-dropping-particle":"","parse-names":false,"suffix":""},{"dropping-particle":"","family":"Abdullahi","given":"Shehu Sa ad","non-dropping-particle":"","parse-names":false,"suffix":""},{"dropping-particle":"","family":"Muhammed","given":"Haruna Abdulbakee","non-dropping-particle":"","parse-names":false,"suffix":""},{"dropping-particle":"","family":"Musa","given":"Haruna","non-dropping-particle":"","parse-names":false,"suffix":""},{"dropping-particle":"","family":"Habibu","given":"Shehu","non-dropping-particle":"","parse-names":false,"suffix":""},{"dropping-particle":"","family":"Jagaba","given":"Ahmad Hussaini","non-dropping-particle":"","parse-names":false,"suffix":""},{"dropping-particle":"","family":"Birniwa","given":"Abdullahi Haruna","non-dropping-particle":"","parse-names":false,"suffix":""}],"container-title":"Case Studies in Chemical and Environmental Engineering","id":"ITEM-1","issue":"December 2023","issued":{"date-parts":[["2024"]]},"page":"100586","publisher":"Elsevier Ltd","title":"Recent technical and non-technical biorefinery development barriers and potential solutions for a sustainable environment: A mini review","type":"article-journal","volume":"9"},"uris":["http://www.mendeley.com/documents/?uuid=049919b9-79f6-4e51-b8d8-af346f22351e"]}],"mendeley":{"formattedCitation":"(Mohammad et al., 2024)","plainTextFormattedCitation":"(Mohammad et al., 2024)","previouslyFormattedCitation":"(Mohammad et al., 2024)"},"properties":{"noteIndex":0},"schema":"https://github.com/citation-style-language/schema/raw/master/csl-citation.json"}</w:instrText>
      </w:r>
      <w:r w:rsidR="00944DDA">
        <w:rPr>
          <w:rFonts w:eastAsia="Arial"/>
          <w:lang w:val="en-GB"/>
        </w:rPr>
        <w:fldChar w:fldCharType="separate"/>
      </w:r>
      <w:r w:rsidR="00944DDA" w:rsidRPr="00944DDA">
        <w:rPr>
          <w:rFonts w:eastAsia="Arial"/>
          <w:noProof/>
          <w:lang w:val="en-GB"/>
        </w:rPr>
        <w:t>(Mohammad et al., 2024)</w:t>
      </w:r>
      <w:r w:rsidR="00944DDA">
        <w:rPr>
          <w:rFonts w:eastAsia="Arial"/>
          <w:lang w:val="en-GB"/>
        </w:rPr>
        <w:fldChar w:fldCharType="end"/>
      </w:r>
      <w:r w:rsidR="00C67F39">
        <w:rPr>
          <w:rFonts w:eastAsia="Arial"/>
          <w:lang w:val="en-GB"/>
        </w:rPr>
        <w:t xml:space="preserve">. </w:t>
      </w:r>
    </w:p>
    <w:p w14:paraId="7FD0E3BC" w14:textId="77777777" w:rsidR="00C67F39" w:rsidRDefault="00C67F39" w:rsidP="00D07FFD">
      <w:pPr>
        <w:pStyle w:val="CETBodytext"/>
        <w:rPr>
          <w:rFonts w:eastAsia="Arial"/>
          <w:lang w:val="en-GB"/>
        </w:rPr>
      </w:pPr>
    </w:p>
    <w:p w14:paraId="7636FE70" w14:textId="704B0D83" w:rsidR="00A900A3" w:rsidRDefault="00C67F39" w:rsidP="00E002A4">
      <w:pPr>
        <w:pStyle w:val="CETBodytext"/>
        <w:spacing w:after="240"/>
        <w:rPr>
          <w:rFonts w:eastAsia="Arial"/>
          <w:lang w:val="en-GB"/>
        </w:rPr>
      </w:pPr>
      <w:r>
        <w:rPr>
          <w:rFonts w:eastAsia="Arial"/>
          <w:lang w:val="en-GB"/>
        </w:rPr>
        <w:t xml:space="preserve">For that reason, the assessment on how these systems use energy and mass resources are necessary, as the complexity and variety of these facilities demand data to implement optimal designs </w:t>
      </w:r>
      <w:r>
        <w:rPr>
          <w:rFonts w:eastAsia="Arial"/>
          <w:lang w:val="en-GB"/>
        </w:rPr>
        <w:fldChar w:fldCharType="begin" w:fldLock="1"/>
      </w:r>
      <w:r w:rsidR="008B00F7">
        <w:rPr>
          <w:rFonts w:eastAsia="Arial"/>
          <w:lang w:val="en-GB"/>
        </w:rPr>
        <w:instrText>ADDIN CSL_CITATION {"citationItems":[{"id":"ITEM-1","itemData":{"DOI":"10.3303/CET2291066","ISBN":"9788895608891","ISSN":"22839216","abstract":"The adoption of a sustainability perspective in chemical industry shall start from the early phases of process design (e.g. conceptual design, technology selection, process development) where the key drivers in the environmental, economical, and hazard fingerprint of a process are defined. These phases also allow the opportunities for the lower cost of design change. A sound support of design activities requires quantitative tools, allowing for the assessment of the sustainability profile of a process, the identification of possible improvements and supporting informed tradeoffs. Though several tools for process development were proposed in last decades, application is still limited in the current practice because of issues on data requirement, indicator definition and customization to specific application needs (e.g. PFD definition in design of polypropylene production plants). This study focuses on the application to the early process design of environmental and exergy Key Performance Indicators (KPIs) to support sustainability-oriented design activities. It was tailored on the specific industrial application of polypropylene production plants. The choice of a specific sector allowed customization of the method, promoting ease of application and allowing the assessment of multiple scenarios (e.g. sensitivity on material and energy supply strategies, comparison of different technologies). Results obtained draw up sustainable guidelines to improve design activities within the scope in a lifecycle perspective.","author":[{"dropping-particle":"","family":"Tacchini","given":"Eugenio","non-dropping-particle":"","parse-names":false,"suffix":""},{"dropping-particle":"","family":"Tugnoli","given":"Alessandro","non-dropping-particle":"","parse-names":false,"suffix":""},{"dropping-particle":"","family":"Cozzani","given":"Valerio","non-dropping-particle":"","parse-names":false,"suffix":""}],"container-title":"Chemical Engineering Transactions","id":"ITEM-1","issue":"May","issued":{"date-parts":[["2022"]]},"page":"391-396","title":"Key Performance Indicators for Implementing Sustainability and Environmental Protection in Early Process Design Activities","type":"article-journal","volume":"91"},"uris":["http://www.mendeley.com/documents/?uuid=a74a68d0-5991-4b1e-8011-8f900ffba1ab"]}],"mendeley":{"formattedCitation":"(Tacchini et al., 2022)","plainTextFormattedCitation":"(Tacchini et al., 2022)","previouslyFormattedCitation":"(Tacchini et al., 2022)"},"properties":{"noteIndex":0},"schema":"https://github.com/citation-style-language/schema/raw/master/csl-citation.json"}</w:instrText>
      </w:r>
      <w:r>
        <w:rPr>
          <w:rFonts w:eastAsia="Arial"/>
          <w:lang w:val="en-GB"/>
        </w:rPr>
        <w:fldChar w:fldCharType="separate"/>
      </w:r>
      <w:r w:rsidRPr="00C67F39">
        <w:rPr>
          <w:rFonts w:eastAsia="Arial"/>
          <w:noProof/>
          <w:lang w:val="en-GB"/>
        </w:rPr>
        <w:t>(Tacchini et al., 2022)</w:t>
      </w:r>
      <w:r>
        <w:rPr>
          <w:rFonts w:eastAsia="Arial"/>
          <w:lang w:val="en-GB"/>
        </w:rPr>
        <w:fldChar w:fldCharType="end"/>
      </w:r>
      <w:r>
        <w:rPr>
          <w:rFonts w:eastAsia="Arial"/>
          <w:lang w:val="en-GB"/>
        </w:rPr>
        <w:t>.</w:t>
      </w:r>
      <w:r w:rsidR="00944DDA">
        <w:rPr>
          <w:rFonts w:eastAsia="Arial"/>
          <w:lang w:val="en-GB"/>
        </w:rPr>
        <w:t xml:space="preserve"> </w:t>
      </w:r>
      <w:r w:rsidR="00DC62E3">
        <w:rPr>
          <w:rFonts w:eastAsia="Arial"/>
          <w:lang w:val="en-GB"/>
        </w:rPr>
        <w:t xml:space="preserve">The exergy analysis </w:t>
      </w:r>
      <w:r w:rsidR="00DC62E3" w:rsidRPr="00DC62E3">
        <w:rPr>
          <w:rFonts w:eastAsia="Arial"/>
          <w:lang w:val="en-GB"/>
        </w:rPr>
        <w:t xml:space="preserve">is </w:t>
      </w:r>
      <w:r w:rsidR="006516E6">
        <w:rPr>
          <w:rFonts w:eastAsia="Arial"/>
          <w:lang w:val="en-GB"/>
        </w:rPr>
        <w:t xml:space="preserve">powerful </w:t>
      </w:r>
      <w:r w:rsidR="00DC62E3" w:rsidRPr="00DC62E3">
        <w:rPr>
          <w:rFonts w:eastAsia="Arial"/>
          <w:lang w:val="en-GB"/>
        </w:rPr>
        <w:t xml:space="preserve">tool that </w:t>
      </w:r>
      <w:r w:rsidR="006516E6">
        <w:rPr>
          <w:rFonts w:eastAsia="Arial"/>
          <w:lang w:val="en-GB"/>
        </w:rPr>
        <w:t xml:space="preserve">analyses </w:t>
      </w:r>
      <w:r w:rsidR="006516E6" w:rsidRPr="00DC62E3">
        <w:rPr>
          <w:rFonts w:eastAsia="Arial"/>
          <w:lang w:val="en-GB"/>
        </w:rPr>
        <w:t>energy quality and resource utilization</w:t>
      </w:r>
      <w:r w:rsidR="006516E6" w:rsidRPr="00DC62E3">
        <w:rPr>
          <w:rFonts w:eastAsia="Arial"/>
          <w:lang w:val="en-GB"/>
        </w:rPr>
        <w:t xml:space="preserve"> </w:t>
      </w:r>
      <w:r w:rsidR="006516E6">
        <w:rPr>
          <w:rFonts w:eastAsia="Arial"/>
          <w:lang w:val="en-GB"/>
        </w:rPr>
        <w:t xml:space="preserve">of </w:t>
      </w:r>
      <w:r w:rsidR="00DC62E3" w:rsidRPr="00DC62E3">
        <w:rPr>
          <w:rFonts w:eastAsia="Arial"/>
          <w:lang w:val="en-GB"/>
        </w:rPr>
        <w:t>system</w:t>
      </w:r>
      <w:r w:rsidR="006516E6">
        <w:rPr>
          <w:rFonts w:eastAsia="Arial"/>
          <w:lang w:val="en-GB"/>
        </w:rPr>
        <w:t>s</w:t>
      </w:r>
      <w:r w:rsidR="00DC62E3" w:rsidRPr="00DC62E3">
        <w:rPr>
          <w:rFonts w:eastAsia="Arial"/>
          <w:lang w:val="en-GB"/>
        </w:rPr>
        <w:t xml:space="preserve"> and</w:t>
      </w:r>
      <w:r w:rsidR="006516E6">
        <w:rPr>
          <w:rFonts w:eastAsia="Arial"/>
          <w:lang w:val="en-GB"/>
        </w:rPr>
        <w:t xml:space="preserve"> its </w:t>
      </w:r>
      <w:r w:rsidR="00DC62E3" w:rsidRPr="00DC62E3">
        <w:rPr>
          <w:rFonts w:eastAsia="Arial"/>
          <w:lang w:val="en-GB"/>
        </w:rPr>
        <w:t xml:space="preserve">performance </w:t>
      </w:r>
      <w:r w:rsidR="006516E6">
        <w:rPr>
          <w:rFonts w:eastAsia="Arial"/>
          <w:lang w:val="en-GB"/>
        </w:rPr>
        <w:t xml:space="preserve">based on the </w:t>
      </w:r>
      <w:r w:rsidR="006516E6" w:rsidRPr="00DC62E3">
        <w:rPr>
          <w:rFonts w:eastAsia="Arial"/>
          <w:lang w:val="en-GB"/>
        </w:rPr>
        <w:t>quantifi</w:t>
      </w:r>
      <w:r w:rsidR="006516E6">
        <w:rPr>
          <w:rFonts w:eastAsia="Arial"/>
          <w:lang w:val="en-GB"/>
        </w:rPr>
        <w:t xml:space="preserve">cation of </w:t>
      </w:r>
      <w:r w:rsidR="006516E6" w:rsidRPr="006516E6">
        <w:rPr>
          <w:rFonts w:eastAsia="Arial"/>
          <w:lang w:val="en-GB"/>
        </w:rPr>
        <w:t>thermodynamic</w:t>
      </w:r>
      <w:r w:rsidR="006516E6" w:rsidRPr="006516E6">
        <w:rPr>
          <w:rFonts w:eastAsia="Arial"/>
          <w:lang w:val="en-GB"/>
        </w:rPr>
        <w:t xml:space="preserve"> irreversibilities</w:t>
      </w:r>
      <w:r w:rsidR="006516E6">
        <w:rPr>
          <w:rFonts w:eastAsia="Arial"/>
          <w:lang w:val="en-GB"/>
        </w:rPr>
        <w:t xml:space="preserve"> (losses)</w:t>
      </w:r>
      <w:r w:rsidR="00A900A3">
        <w:rPr>
          <w:rFonts w:eastAsia="Arial"/>
          <w:lang w:val="en-GB"/>
        </w:rPr>
        <w:t xml:space="preserve"> </w:t>
      </w:r>
      <w:r w:rsidR="00A900A3">
        <w:rPr>
          <w:rFonts w:eastAsia="Arial"/>
          <w:lang w:val="en-GB"/>
        </w:rPr>
        <w:fldChar w:fldCharType="begin" w:fldLock="1"/>
      </w:r>
      <w:r w:rsidR="007C0281">
        <w:rPr>
          <w:rFonts w:eastAsia="Arial"/>
          <w:lang w:val="en-GB"/>
        </w:rPr>
        <w:instrText>ADDIN CSL_CITATION {"citationItems":[{"id":"ITEM-1","itemData":{"DOI":"10.21601/ejosdr/9346","abstract":"Exergy is described as a tool for addressing climate change, in particular through identifying and explaining the benefits of sustainable energy, so the benefits can be appreciated by experts and non-experts alike and attained. Exergy can be used to understand climate change measures and to assess and improve energy systems. Exergy also can help better understand the benefits of utilizing sustainable energy by providing more useful and meaningful information than energy provides. Exergy clearly identifies efficiency improvements and reductions in wastes and environmental impacts attributable to sustainable energy. Exergy can also identify better than energy the environmental benefits and economics of energy technologies. Exergy should be applied by engineers and scientists, as well as decision and policy makers, involved in addressing climate change.","author":[{"dropping-particle":"","family":"Rosen","given":"Marc A.","non-dropping-particle":"","parse-names":false,"suffix":""}],"container-title":"European Journal of Sustainable Development Research","id":"ITEM-1","issue":"2","issued":{"date-parts":[["2021"]]},"page":"em0148","title":"Exergy Analysis as a Tool for Addressing Climate Change","type":"article-journal","volume":"5"},"uris":["http://www.mendeley.com/documents/?uuid=a244ae8b-57ba-4248-b3a4-a09082c4f544"]}],"mendeley":{"formattedCitation":"(Rosen, 2021)","plainTextFormattedCitation":"(Rosen, 2021)","previouslyFormattedCitation":"(Rosen, 2021)"},"properties":{"noteIndex":0},"schema":"https://github.com/citation-style-language/schema/raw/master/csl-citation.json"}</w:instrText>
      </w:r>
      <w:r w:rsidR="00A900A3">
        <w:rPr>
          <w:rFonts w:eastAsia="Arial"/>
          <w:lang w:val="en-GB"/>
        </w:rPr>
        <w:fldChar w:fldCharType="separate"/>
      </w:r>
      <w:r w:rsidR="00A900A3" w:rsidRPr="00A900A3">
        <w:rPr>
          <w:rFonts w:eastAsia="Arial"/>
          <w:noProof/>
          <w:lang w:val="en-GB"/>
        </w:rPr>
        <w:t>(Rosen, 2021)</w:t>
      </w:r>
      <w:r w:rsidR="00A900A3">
        <w:rPr>
          <w:rFonts w:eastAsia="Arial"/>
          <w:lang w:val="en-GB"/>
        </w:rPr>
        <w:fldChar w:fldCharType="end"/>
      </w:r>
      <w:r w:rsidR="006516E6">
        <w:rPr>
          <w:rFonts w:eastAsia="Arial"/>
          <w:lang w:val="en-GB"/>
        </w:rPr>
        <w:t>.</w:t>
      </w:r>
      <w:r w:rsidR="007C0281" w:rsidRPr="007C0281">
        <w:rPr>
          <w:rFonts w:eastAsia="Arial"/>
          <w:lang w:val="en-GB"/>
        </w:rPr>
        <w:t xml:space="preserve"> </w:t>
      </w:r>
      <w:r w:rsidR="007C0281" w:rsidRPr="007C0281">
        <w:rPr>
          <w:rFonts w:eastAsia="Arial"/>
          <w:lang w:val="en-GB"/>
        </w:rPr>
        <w:t xml:space="preserve">Furthermore, it can be </w:t>
      </w:r>
      <w:r w:rsidR="007C0281" w:rsidRPr="007C0281">
        <w:rPr>
          <w:rFonts w:eastAsia="Arial"/>
          <w:lang w:val="en-GB"/>
        </w:rPr>
        <w:t>used</w:t>
      </w:r>
      <w:r w:rsidR="007C0281" w:rsidRPr="007C0281">
        <w:rPr>
          <w:rFonts w:eastAsia="Arial"/>
          <w:lang w:val="en-GB"/>
        </w:rPr>
        <w:t xml:space="preserve"> as a metric of resource conservation as can evaluate the flow (input and outputs) and conversion of resources</w:t>
      </w:r>
      <w:r w:rsidR="007C0281">
        <w:rPr>
          <w:rFonts w:eastAsia="Arial"/>
          <w:lang w:val="en-GB"/>
        </w:rPr>
        <w:t xml:space="preserve"> </w:t>
      </w:r>
      <w:r w:rsidR="007C0281">
        <w:rPr>
          <w:rFonts w:eastAsia="Arial"/>
          <w:lang w:val="en-GB"/>
        </w:rPr>
        <w:fldChar w:fldCharType="begin" w:fldLock="1"/>
      </w:r>
      <w:r w:rsidR="007C0281">
        <w:rPr>
          <w:rFonts w:eastAsia="Arial"/>
          <w:lang w:val="en-GB"/>
        </w:rPr>
        <w:instrText>ADDIN CSL_CITATION {"citationItems":[{"id":"ITEM-1","itemData":{"DOI":"10.1111/jiec.13120","ISSN":"15309290","abstract":"Modern society requires large amounts of materials which lead to emissions of greenhouse gases. Effective climate policy should focus on not just energy efficiency but material efficiency as well. Exergy analysis is a powerful metric used to identify opportunities for efficiency improvement in industrial resource flow systems. Exergy offers a single unified measure of energy and material resources and indicates the real thermodynamic value of these resources, but the method suffers from a lack of comprehensive specific material chemical exergy datasets. The variety of different materials used in the global resource supply chain necessitates a combination of exergy calculation approaches. These approaches are combined into a single exergy calculator tool with over 1400 substances in the dataset. The chemical exergy values computed for key materials typically differ by less than 10% from values estimated in literature. The calculator is used in a case study of the upstream global material supply chain in 2013. The exergy resource map is visualized in a Sankey diagram and is found to be 72% resource efficient with 170 EJ of combined exergy losses and destruction. Further analysis is conducted on the refining, utilities, and industry sectors which are found to be 72%, 44%, and 50% resource efficient, respectively. Their combined losses and destruction are 15, 101, and 54 EJ, respectively. This study and the calculator developed provide a comprehensive dataset of chemical exergy values for a wide range of materials and can be applied in a variety of studies using exergy analysis.","author":[{"dropping-particle":"","family":"Michalakakis","given":"Charalampos","non-dropping-particle":"","parse-names":false,"suffix":""},{"dropping-particle":"","family":"Fouillou","given":"Jeremy","non-dropping-particle":"","parse-names":false,"suffix":""},{"dropping-particle":"","family":"Lupton","given":"Richard C.","non-dropping-particle":"","parse-names":false,"suffix":""},{"dropping-particle":"","family":"Gonzalez Hernandez","given":"Ana","non-dropping-particle":"","parse-names":false,"suffix":""},{"dropping-particle":"","family":"Cullen","given":"Jonathan M.","non-dropping-particle":"","parse-names":false,"suffix":""}],"container-title":"Journal of Industrial Ecology","id":"ITEM-1","issue":"2","issued":{"date-parts":[["2021"]]},"page":"274-287","title":"Calculating the chemical exergy of materials","type":"article-journal","volume":"25"},"uris":["http://www.mendeley.com/documents/?uuid=416e7619-c3e1-49af-b4b1-bcfa90899948"]}],"mendeley":{"formattedCitation":"(Michalakakis et al., 2021)","plainTextFormattedCitation":"(Michalakakis et al., 2021)","previouslyFormattedCitation":"(Michalakakis et al., 2021)"},"properties":{"noteIndex":0},"schema":"https://github.com/citation-style-language/schema/raw/master/csl-citation.json"}</w:instrText>
      </w:r>
      <w:r w:rsidR="007C0281">
        <w:rPr>
          <w:rFonts w:eastAsia="Arial"/>
          <w:lang w:val="en-GB"/>
        </w:rPr>
        <w:fldChar w:fldCharType="separate"/>
      </w:r>
      <w:r w:rsidR="007C0281" w:rsidRPr="007C0281">
        <w:rPr>
          <w:rFonts w:eastAsia="Arial"/>
          <w:noProof/>
          <w:lang w:val="en-GB"/>
        </w:rPr>
        <w:t>(Michalakakis et al., 2021)</w:t>
      </w:r>
      <w:r w:rsidR="007C0281">
        <w:rPr>
          <w:rFonts w:eastAsia="Arial"/>
          <w:lang w:val="en-GB"/>
        </w:rPr>
        <w:fldChar w:fldCharType="end"/>
      </w:r>
      <w:r w:rsidR="007C0281">
        <w:rPr>
          <w:rFonts w:eastAsia="Arial"/>
          <w:lang w:val="en-GB"/>
        </w:rPr>
        <w:t xml:space="preserve">, higher the efficiency of a system, better the management of its resources </w:t>
      </w:r>
      <w:r w:rsidR="007C0281">
        <w:rPr>
          <w:rFonts w:eastAsia="Arial"/>
          <w:lang w:val="en-GB"/>
        </w:rPr>
        <w:fldChar w:fldCharType="begin" w:fldLock="1"/>
      </w:r>
      <w:r w:rsidR="007C0281">
        <w:rPr>
          <w:rFonts w:eastAsia="Arial"/>
          <w:lang w:val="en-GB"/>
        </w:rPr>
        <w:instrText>ADDIN CSL_CITATION {"citationItems":[{"id":"ITEM-1","itemData":{"DOI":"10.1016/j.ecmx.2023.100373","ISSN":"25901745","abstract":"Implementing optimization strategies enhance resource conservation and pollution prevention of chemical processes. The above is a key factor to gear chemical process industry toward sustainability. Considering the above, this work presents, for the first-time, exergy loss as a decision-making objective into a process integration problem to reduce utility consumption (energy and water) of chemical processes. The methodology combines mathematical programming, superstructure formulation, and a 2-dimensional approach by integrating heat and water streams. A case study based on a magnetite nanoparticles production is presented to test the methodology. Different scenarios illustrated perspectives of including exergy loss as optimization objective; scenario 1 for cost optimization, scenario 2 for exergy optimization, and Scenario 3 for a combined 2-dimensional-optimization. Scenario 1 delivered the lowest total annualized cost (436,734.50 $USD/y) with an exergy loss of 2,519.76 MJ/h. Scenario 3 presented a more balanced performance with a total cost of 481,007.50 $USD/y and an exergy loss of 2,519.76 MJ/h. Scenario 2 showed the lowest exergy loss but with a poorer economic performance. The exergy variable provides a new way of optimizing chemical process at conceptual design level to reduce water and energy consumption.","author":[{"dropping-particle":"","family":"Meramo","given":"Samir","non-dropping-particle":"","parse-names":false,"suffix":""},{"dropping-particle":"","family":"González-Delgado","given":"Ángel Darío","non-dropping-particle":"","parse-names":false,"suffix":""}],"container-title":"Energy Conversion and Management: X","id":"ITEM-1","issue":"August 2022","issued":{"date-parts":[["2023"]]},"note":"The exergy concept is intimately related to the resource conservation\nprinciple; a high exergy efficiency indicates that the system better takes advantage of its existing resources","title":"Exergy and economic optimization of heat-integrated water regeneration networks","type":"article-journal","volume":"18"},"uris":["http://www.mendeley.com/documents/?uuid=5d790076-aeff-4992-9354-acdcf8452f53"]}],"mendeley":{"formattedCitation":"(Meramo &amp; González-Delgado, 2023)","plainTextFormattedCitation":"(Meramo &amp; González-Delgado, 2023)","previouslyFormattedCitation":"(Meramo &amp; González-Delgado, 2023)"},"properties":{"noteIndex":0},"schema":"https://github.com/citation-style-language/schema/raw/master/csl-citation.json"}</w:instrText>
      </w:r>
      <w:r w:rsidR="007C0281">
        <w:rPr>
          <w:rFonts w:eastAsia="Arial"/>
          <w:lang w:val="en-GB"/>
        </w:rPr>
        <w:fldChar w:fldCharType="separate"/>
      </w:r>
      <w:r w:rsidR="007C0281" w:rsidRPr="007C0281">
        <w:rPr>
          <w:rFonts w:eastAsia="Arial"/>
          <w:noProof/>
          <w:lang w:val="en-GB"/>
        </w:rPr>
        <w:t>(Meramo &amp; González-Delgado, 2023)</w:t>
      </w:r>
      <w:r w:rsidR="007C0281">
        <w:rPr>
          <w:rFonts w:eastAsia="Arial"/>
          <w:lang w:val="en-GB"/>
        </w:rPr>
        <w:fldChar w:fldCharType="end"/>
      </w:r>
      <w:r w:rsidR="007C0281" w:rsidRPr="007C0281">
        <w:rPr>
          <w:rFonts w:eastAsia="Arial"/>
          <w:lang w:val="en-GB"/>
        </w:rPr>
        <w:t>.</w:t>
      </w:r>
      <w:r w:rsidR="00944DDA">
        <w:rPr>
          <w:rFonts w:eastAsia="Arial"/>
          <w:lang w:val="en-GB"/>
        </w:rPr>
        <w:t xml:space="preserve"> </w:t>
      </w:r>
      <w:r w:rsidR="007C0281">
        <w:rPr>
          <w:rFonts w:eastAsia="Arial"/>
          <w:lang w:val="en-GB"/>
        </w:rPr>
        <w:t xml:space="preserve">The </w:t>
      </w:r>
      <w:r w:rsidR="00FA1C4C" w:rsidRPr="00010048">
        <w:rPr>
          <w:rFonts w:eastAsia="Arial"/>
          <w:lang w:val="en-GB"/>
        </w:rPr>
        <w:t xml:space="preserve">exergy analysis </w:t>
      </w:r>
      <w:r w:rsidR="00944DDA">
        <w:rPr>
          <w:rFonts w:eastAsia="Arial"/>
          <w:lang w:val="en-GB"/>
        </w:rPr>
        <w:t>have been applied to several industries</w:t>
      </w:r>
      <w:r w:rsidR="00FA1C4C" w:rsidRPr="00010048">
        <w:rPr>
          <w:rFonts w:eastAsia="Arial"/>
          <w:lang w:val="en-GB"/>
        </w:rPr>
        <w:t xml:space="preserve">, </w:t>
      </w:r>
      <w:r w:rsidR="00944DDA">
        <w:rPr>
          <w:rFonts w:eastAsia="Arial"/>
          <w:lang w:val="en-GB"/>
        </w:rPr>
        <w:t>recently</w:t>
      </w:r>
      <w:r w:rsidR="00FA1C4C" w:rsidRPr="00010048">
        <w:rPr>
          <w:rFonts w:eastAsia="Arial"/>
          <w:lang w:val="en-GB"/>
        </w:rPr>
        <w:t xml:space="preserve"> </w:t>
      </w:r>
      <w:r w:rsidR="00944DDA">
        <w:rPr>
          <w:rFonts w:eastAsia="Arial"/>
          <w:lang w:val="en-GB"/>
        </w:rPr>
        <w:t xml:space="preserve">to </w:t>
      </w:r>
      <w:r w:rsidR="00FA1C4C" w:rsidRPr="00010048">
        <w:rPr>
          <w:rFonts w:eastAsia="Arial"/>
          <w:lang w:val="en-GB"/>
        </w:rPr>
        <w:t>biorefineries, which involve significant energy losses that occur throughout the process</w:t>
      </w:r>
      <w:r w:rsidR="008B00F7">
        <w:rPr>
          <w:rFonts w:eastAsia="Arial"/>
          <w:lang w:val="en-GB"/>
        </w:rPr>
        <w:t xml:space="preserve"> </w:t>
      </w:r>
      <w:r w:rsidR="008B00F7">
        <w:rPr>
          <w:rFonts w:eastAsia="Arial"/>
          <w:lang w:val="en-GB"/>
        </w:rPr>
        <w:fldChar w:fldCharType="begin" w:fldLock="1"/>
      </w:r>
      <w:r w:rsidR="008B00F7">
        <w:rPr>
          <w:rFonts w:eastAsia="Arial"/>
          <w:lang w:val="en-GB"/>
        </w:rPr>
        <w:instrText>ADDIN CSL_CITATION {"citationItems":[{"id":"ITEM-1","itemData":{"DOI":"10.3390/su17125588","ISSN":"20711050","abstract":"The work presented in this paper is a contribution to the practical implementation of the “sustainability” concept, which is tightly connected with “resource thriftiness”, i.e., with reduction in the anthropic extraction of the irreplaceable supplies of fossil materials—ores and fuels—contained in the Earth’s crust. The saving is tied with “environmental conservation”, which is another concept embedded in the definition of sustainability. This paper starts from the assumption that the best measure of “resource consumption” is the total equivalent primary exergy extracted from the biosphere. The question is, then, while it is evidently correct to include social, ethical, and monetary matters into the definition of “sustainability”, what about the required resource consumption? To answer this question, the dynamic balances of a society represented as a thermodynamic system were examined to show that a “sustainable state” can be reached under two necessary conditions: first, the supply must consist only of renewable resources; and, second, the rate of such a supply must be higher than a certain threshold that can be attributed a physical significance. The procedure outlined in this paper leads to a rigorous definition of a society’s “thermodynamical degree of sustainability”, which is based solely on the primary renewable and non-renewable exergy inputs, as well as on the final exergy consumption. Some examples of applications to industrialized and non-industrialized countries are also presented and discussed.","author":[{"dropping-particle":"","family":"Sciubba","given":"Enrico","non-dropping-particle":"","parse-names":false,"suffix":""}],"container-title":"Sustainability (Switzerland)","id":"ITEM-1","issue":"12","issued":{"date-parts":[["2025"]]},"title":"An Exergy-Based “Degree of Sustainability”: Definition, Derivation, and Examples of Application","type":"article-journal","volume":"17"},"uris":["http://www.mendeley.com/documents/?uuid=4338d45f-56b4-48d4-9f81-eb67ab93b261"]}],"mendeley":{"formattedCitation":"(Sciubba, 2025)","plainTextFormattedCitation":"(Sciubba, 2025)","previouslyFormattedCitation":"(Sciubba, 2025)"},"properties":{"noteIndex":0},"schema":"https://github.com/citation-style-language/schema/raw/master/csl-citation.json"}</w:instrText>
      </w:r>
      <w:r w:rsidR="008B00F7">
        <w:rPr>
          <w:rFonts w:eastAsia="Arial"/>
          <w:lang w:val="en-GB"/>
        </w:rPr>
        <w:fldChar w:fldCharType="separate"/>
      </w:r>
      <w:r w:rsidR="008B00F7" w:rsidRPr="008B00F7">
        <w:rPr>
          <w:rFonts w:eastAsia="Arial"/>
          <w:noProof/>
          <w:lang w:val="en-GB"/>
        </w:rPr>
        <w:t>(Sciubba, 2025)</w:t>
      </w:r>
      <w:r w:rsidR="008B00F7">
        <w:rPr>
          <w:rFonts w:eastAsia="Arial"/>
          <w:lang w:val="en-GB"/>
        </w:rPr>
        <w:fldChar w:fldCharType="end"/>
      </w:r>
      <w:r w:rsidR="00FA1C4C" w:rsidRPr="00010048">
        <w:rPr>
          <w:rFonts w:eastAsia="Arial"/>
          <w:lang w:val="en-GB"/>
        </w:rPr>
        <w:t xml:space="preserve">. </w:t>
      </w:r>
    </w:p>
    <w:p w14:paraId="460062A7" w14:textId="08F7D49B" w:rsidR="00246E13" w:rsidRPr="00563A3C" w:rsidRDefault="00944DDA" w:rsidP="00E002A4">
      <w:pPr>
        <w:pStyle w:val="CETBodytext"/>
        <w:spacing w:after="240"/>
        <w:rPr>
          <w:rFonts w:eastAsia="Arial"/>
          <w:lang w:val="en-GB"/>
        </w:rPr>
      </w:pPr>
      <w:r>
        <w:rPr>
          <w:rFonts w:eastAsia="Arial"/>
          <w:lang w:val="en-GB"/>
        </w:rPr>
        <w:t xml:space="preserve">Works like Fontalvo-morales et la., showcased the benefit of this analysis to extractive avocado biorefineries, finding a efficiency of 50%, with losses up to 7763 MJ/h, with wastes having the most contribution to these </w:t>
      </w:r>
      <w:r>
        <w:rPr>
          <w:rFonts w:eastAsia="Arial"/>
          <w:lang w:val="en-GB"/>
        </w:rPr>
        <w:lastRenderedPageBreak/>
        <w:fldChar w:fldCharType="begin" w:fldLock="1"/>
      </w:r>
      <w:r w:rsidR="00FC52F6">
        <w:rPr>
          <w:rFonts w:eastAsia="Arial"/>
          <w:lang w:val="en-GB"/>
        </w:rPr>
        <w:instrText>ADDIN CSL_CITATION {"citationItems":[{"id":"ITEM-1","itemData":{"DOI":"10.3390/su17125451","ISSN":"20711050","abstract":"Creole avocado is the second most widely produced and consumed variety of avocado globally. Due to its commercialization, limited studies have explored its potential for sustainable applications in biorefinery, particularly focusing on reusing the significant amount of waste generated during its consumption. This research evaluates thermodynamic energy losses of a Creole avocado extractive-based biorefinery, which are of critical importance during the fruit valorization process to determine the efficiency and possibilities of optimization, as well as sustainability impacts, through an exergy balance using computer-aided process engineering. The proposed method utilizes the whole fruit to produce three primary bioproducts, with a focus on implementation in the Montes de María region of Colombia. Following the extended mass and energy balance, an in-depth exergetic analysis was conducted, revealing that all process stages exhibited an exergetic efficiency exceeding 50%. The irreversibilities of the process were calculated as 7763.74 MJ/h, the total waste exergy was 2924.42 MJ/h, and the exergy from industrial waste amounted to 7800.42 MJ/h. These findings highlight the potential for optimizing the sustainability of avocado-based production systems through computer-aided analysis as an effective method. This approach accurately identifies exergy losses at each stage, providing precise numerical data and graphical representations. Additionally, it underscores not only the environmental benefits but also the contribution of these systems to enhancing energy efficiency in agro-industrial applications.","author":[{"dropping-particle":"","family":"Fontalvo-Morales","given":"Alejandra","non-dropping-particle":"","parse-names":false,"suffix":""},{"dropping-particle":"","family":"Rojas-Flores","given":"Segundo","non-dropping-particle":"","parse-names":false,"suffix":""},{"dropping-particle":"","family":"González-Delgado","given":"Ángel Darío","non-dropping-particle":"","parse-names":false,"suffix":""}],"container-title":"Sustainability (Switzerland)","id":"ITEM-1","issue":"12","issued":{"date-parts":[["2025"]]},"page":"1-15","title":"Computer-Aided Exergy Analysis of a Creole Avocado Extractive-Based Biorefinery and Sustainable Utilization in Montes de Maria, Colombia","type":"article-journal","volume":"17"},"uris":["http://www.mendeley.com/documents/?uuid=8603d64c-e6ea-49d5-ae06-e970ff49cc74"]}],"mendeley":{"formattedCitation":"(Fontalvo-Morales et al., 2025)","plainTextFormattedCitation":"(Fontalvo-Morales et al., 2025)","previouslyFormattedCitation":"(Fontalvo-Morales et al., 2025)"},"properties":{"noteIndex":0},"schema":"https://github.com/citation-style-language/schema/raw/master/csl-citation.json"}</w:instrText>
      </w:r>
      <w:r>
        <w:rPr>
          <w:rFonts w:eastAsia="Arial"/>
          <w:lang w:val="en-GB"/>
        </w:rPr>
        <w:fldChar w:fldCharType="separate"/>
      </w:r>
      <w:r w:rsidRPr="00944DDA">
        <w:rPr>
          <w:rFonts w:eastAsia="Arial"/>
          <w:noProof/>
          <w:lang w:val="en-GB"/>
        </w:rPr>
        <w:t>(Fontalvo-Morales et al., 2025)</w:t>
      </w:r>
      <w:r>
        <w:rPr>
          <w:rFonts w:eastAsia="Arial"/>
          <w:lang w:val="en-GB"/>
        </w:rPr>
        <w:fldChar w:fldCharType="end"/>
      </w:r>
      <w:r>
        <w:rPr>
          <w:rFonts w:eastAsia="Arial"/>
          <w:lang w:val="en-GB"/>
        </w:rPr>
        <w:t xml:space="preserve">. Similarly, </w:t>
      </w:r>
      <w:r w:rsidR="00FC52F6">
        <w:rPr>
          <w:rFonts w:eastAsia="Arial"/>
          <w:lang w:val="en-GB"/>
        </w:rPr>
        <w:t xml:space="preserve">Herrera et al., found for avocado oil extraction, wastes impacting strongly the process performance with almost 90% of the total losses, achieving a efficiency around 30% </w:t>
      </w:r>
      <w:r w:rsidR="00FC52F6">
        <w:rPr>
          <w:rFonts w:eastAsia="Arial"/>
          <w:lang w:val="en-GB"/>
        </w:rPr>
        <w:fldChar w:fldCharType="begin" w:fldLock="1"/>
      </w:r>
      <w:r w:rsidR="00FC52F6">
        <w:rPr>
          <w:rFonts w:eastAsia="Arial"/>
          <w:lang w:val="en-GB"/>
        </w:rPr>
        <w:instrText>ADDIN CSL_CITATION {"citationItems":[{"id":"ITEM-1","itemData":{"DOI":"10.3303/CET2291041","ISBN":"9788895608891","ISSN":"22839216","abstract":"Supply chains in Creole-Antillean avocado production are not highly efficient in Colombia and large quantities of this product are wasted due to fruit deterioration. There, it is important to identify alternatives of waste valorization such as avocado oil production. To assess the viability of large-scale avocado oil production from a sustainability point of view, related to the quality of energy conservation, decision-making tools such as exergy analysis must be applied. In this work, an exergy analysis was carried out to identify sources of irreversibilities within the large-scale production of such oil. The conversion of avocado pulp into oil was simulated through the software Aspen plus ® to obtain the extended mass and energy balances. The chemical and physical exergies were quantified and used to calculate the global exergetic efficiency as well as the efficiency by stages of the process. From this analysis, it was found that the stage with the highest waste exergy corresponds to the centrifugation stage. Likewise, it is possible to observe that the greatest irreversibilities in the process occur in the solvent distillation, condensation, and cooling stage 2,754.49 MJ/h. The peel and seed separation showed an exergetic efficiency of 99.0 %, while the overall exergy of the process obtained was 26.80 %. This work provided insights into the energetic performance of avocado oil production.","author":[{"dropping-particle":"","family":"Herrera","given":"Tamy","non-dropping-particle":"","parse-names":false,"suffix":""},{"dropping-particle":"","family":"Parejo","given":"Vianny","non-dropping-particle":"","parse-names":false,"suffix":""},{"dropping-particle":"","family":"González-Delgado","given":"Ángel","non-dropping-particle":"","parse-names":false,"suffix":""}],"container-title":"Chemical Engineering Transactions","id":"ITEM-1","issue":"December 2021","issued":{"date-parts":[["2022"]]},"page":"241-246","title":"Quality of Energy Conservation in an Avocado Oil Extraction Process Via Exergy Analysis","type":"article-journal","volume":"91"},"uris":["http://www.mendeley.com/documents/?uuid=cfcf678f-6dbb-47e4-9bd3-2a86f6ad7d68"]}],"mendeley":{"formattedCitation":"(Herrera et al., 2022)","plainTextFormattedCitation":"(Herrera et al., 2022)"},"properties":{"noteIndex":0},"schema":"https://github.com/citation-style-language/schema/raw/master/csl-citation.json"}</w:instrText>
      </w:r>
      <w:r w:rsidR="00FC52F6">
        <w:rPr>
          <w:rFonts w:eastAsia="Arial"/>
          <w:lang w:val="en-GB"/>
        </w:rPr>
        <w:fldChar w:fldCharType="separate"/>
      </w:r>
      <w:r w:rsidR="00FC52F6" w:rsidRPr="00FC52F6">
        <w:rPr>
          <w:rFonts w:eastAsia="Arial"/>
          <w:noProof/>
          <w:lang w:val="en-GB"/>
        </w:rPr>
        <w:t>(Herrera et al., 2022)</w:t>
      </w:r>
      <w:r w:rsidR="00FC52F6">
        <w:rPr>
          <w:rFonts w:eastAsia="Arial"/>
          <w:lang w:val="en-GB"/>
        </w:rPr>
        <w:fldChar w:fldCharType="end"/>
      </w:r>
      <w:r w:rsidR="00FC52F6">
        <w:rPr>
          <w:rFonts w:eastAsia="Arial"/>
          <w:lang w:val="en-GB"/>
        </w:rPr>
        <w:t xml:space="preserve">. Both works, showcase the effect of wastes in the avocado processing, nonetheless, the use of avocado wastes (like seed) has been no fully explored, meaning extracting valuable fractions of these wastes only. </w:t>
      </w:r>
      <w:r w:rsidR="00246E13" w:rsidRPr="00246E13">
        <w:rPr>
          <w:rFonts w:eastAsia="Arial"/>
        </w:rPr>
        <w:t xml:space="preserve">This </w:t>
      </w:r>
      <w:r w:rsidR="00FC52F6">
        <w:rPr>
          <w:rFonts w:eastAsia="Arial"/>
        </w:rPr>
        <w:t>work</w:t>
      </w:r>
      <w:r w:rsidR="00246E13" w:rsidRPr="00246E13">
        <w:rPr>
          <w:rFonts w:eastAsia="Arial"/>
        </w:rPr>
        <w:t xml:space="preserve"> </w:t>
      </w:r>
      <w:r w:rsidR="00FC52F6">
        <w:rPr>
          <w:rFonts w:eastAsia="Arial"/>
        </w:rPr>
        <w:t>aims</w:t>
      </w:r>
      <w:r w:rsidR="00246E13" w:rsidRPr="00246E13">
        <w:rPr>
          <w:rFonts w:eastAsia="Arial"/>
        </w:rPr>
        <w:t xml:space="preserve"> to </w:t>
      </w:r>
      <w:r w:rsidR="00FC52F6">
        <w:rPr>
          <w:rFonts w:eastAsia="Arial"/>
        </w:rPr>
        <w:t xml:space="preserve">conduct </w:t>
      </w:r>
      <w:r w:rsidR="00FC52F6">
        <w:rPr>
          <w:rFonts w:eastAsia="Arial"/>
        </w:rPr>
        <w:t>a</w:t>
      </w:r>
      <w:r w:rsidR="00FC52F6" w:rsidRPr="00246E13">
        <w:rPr>
          <w:rFonts w:eastAsia="Arial"/>
        </w:rPr>
        <w:t xml:space="preserve">n exergy analysis to </w:t>
      </w:r>
      <w:r w:rsidR="00FC52F6">
        <w:rPr>
          <w:rFonts w:eastAsia="Arial"/>
        </w:rPr>
        <w:t xml:space="preserve">assess the process </w:t>
      </w:r>
      <w:r w:rsidR="00E002A4">
        <w:rPr>
          <w:rFonts w:eastAsia="Arial"/>
        </w:rPr>
        <w:t xml:space="preserve">conservation </w:t>
      </w:r>
      <w:r w:rsidR="00FC52F6">
        <w:rPr>
          <w:rFonts w:eastAsia="Arial"/>
        </w:rPr>
        <w:t>performance</w:t>
      </w:r>
      <w:r w:rsidR="00E002A4">
        <w:rPr>
          <w:rFonts w:eastAsia="Arial"/>
        </w:rPr>
        <w:t xml:space="preserve">, combined with </w:t>
      </w:r>
      <w:r w:rsidR="00246E13" w:rsidRPr="00246E13">
        <w:rPr>
          <w:rFonts w:eastAsia="Arial"/>
        </w:rPr>
        <w:t>simulat</w:t>
      </w:r>
      <w:r w:rsidR="00E002A4">
        <w:rPr>
          <w:rFonts w:eastAsia="Arial"/>
        </w:rPr>
        <w:t>ion</w:t>
      </w:r>
      <w:r w:rsidR="00246E13" w:rsidRPr="00246E13">
        <w:rPr>
          <w:rFonts w:eastAsia="Arial"/>
        </w:rPr>
        <w:t xml:space="preserve"> in the Aspen plus software. </w:t>
      </w:r>
      <w:r w:rsidR="00E002A4">
        <w:rPr>
          <w:rFonts w:eastAsia="Arial"/>
        </w:rPr>
        <w:t xml:space="preserve">The </w:t>
      </w:r>
      <w:r w:rsidR="00246E13" w:rsidRPr="00246E13">
        <w:rPr>
          <w:rFonts w:eastAsia="Arial"/>
        </w:rPr>
        <w:t xml:space="preserve">chemical and physical exergies were </w:t>
      </w:r>
      <w:r w:rsidR="00E002A4">
        <w:rPr>
          <w:rFonts w:eastAsia="Arial"/>
        </w:rPr>
        <w:t xml:space="preserve">quantified for the streams and utilities of the process. After that, several exergetic performance parameters are obtained, such as </w:t>
      </w:r>
      <w:r w:rsidR="00246E13" w:rsidRPr="00246E13">
        <w:rPr>
          <w:rFonts w:eastAsia="Arial"/>
        </w:rPr>
        <w:t>global exergetic efficiency, efficiency by stages of the process</w:t>
      </w:r>
      <w:r w:rsidR="00E002A4">
        <w:rPr>
          <w:rFonts w:eastAsia="Arial"/>
        </w:rPr>
        <w:t xml:space="preserve">, exergy losses, among others. From this work, several insights </w:t>
      </w:r>
      <w:r w:rsidR="00563A3C">
        <w:rPr>
          <w:rFonts w:eastAsia="Arial"/>
        </w:rPr>
        <w:t>into</w:t>
      </w:r>
      <w:r w:rsidR="00E002A4">
        <w:rPr>
          <w:rFonts w:eastAsia="Arial"/>
        </w:rPr>
        <w:t xml:space="preserve"> cascading processing can be found, especially on the resource conservation </w:t>
      </w:r>
      <w:r w:rsidR="00246E13" w:rsidRPr="00246E13">
        <w:rPr>
          <w:rFonts w:eastAsia="Arial"/>
        </w:rPr>
        <w:t>from the energy point of view</w:t>
      </w:r>
      <w:r w:rsidR="00E002A4">
        <w:rPr>
          <w:rFonts w:eastAsia="Arial"/>
        </w:rPr>
        <w:t xml:space="preserve">, serving as basis to </w:t>
      </w:r>
      <w:r w:rsidR="00246E13" w:rsidRPr="00246E13">
        <w:rPr>
          <w:rFonts w:eastAsia="Arial"/>
        </w:rPr>
        <w:t xml:space="preserve">propose </w:t>
      </w:r>
      <w:r w:rsidR="00246E13" w:rsidRPr="00246E13">
        <w:rPr>
          <w:rFonts w:eastAsia="Arial"/>
        </w:rPr>
        <w:t>improvements</w:t>
      </w:r>
      <w:r w:rsidR="00246E13" w:rsidRPr="00246E13">
        <w:rPr>
          <w:rFonts w:eastAsia="Arial"/>
        </w:rPr>
        <w:t xml:space="preserve"> </w:t>
      </w:r>
      <w:r w:rsidR="00E002A4">
        <w:rPr>
          <w:rFonts w:eastAsia="Arial"/>
        </w:rPr>
        <w:t>to optimize performance.</w:t>
      </w:r>
    </w:p>
    <w:p w14:paraId="2778529C" w14:textId="1FEDE15A" w:rsidR="005F29D3" w:rsidRDefault="0051363B" w:rsidP="00A12FEB">
      <w:pPr>
        <w:pStyle w:val="CETHeading1"/>
        <w:numPr>
          <w:ilvl w:val="0"/>
          <w:numId w:val="16"/>
        </w:numPr>
      </w:pPr>
      <w:r w:rsidRPr="00A12FEB">
        <w:rPr>
          <w:rFonts w:eastAsia="Arial"/>
        </w:rPr>
        <w:t>Materials and methods</w:t>
      </w:r>
    </w:p>
    <w:p w14:paraId="27EB050F" w14:textId="05D92591" w:rsidR="005C5E5B" w:rsidRPr="005C5E5B" w:rsidRDefault="005C5E5B" w:rsidP="00A12FEB">
      <w:pPr>
        <w:pStyle w:val="CETheadingx"/>
        <w:numPr>
          <w:ilvl w:val="1"/>
          <w:numId w:val="19"/>
        </w:numPr>
        <w:rPr>
          <w:rFonts w:eastAsia="Arial"/>
        </w:rPr>
      </w:pPr>
      <w:r w:rsidRPr="005C5E5B">
        <w:rPr>
          <w:rFonts w:eastAsia="Arial"/>
        </w:rPr>
        <w:t>Process description</w:t>
      </w:r>
    </w:p>
    <w:p w14:paraId="093FA40E" w14:textId="7ECF3AA4" w:rsidR="00673BE3" w:rsidRPr="00673BE3" w:rsidRDefault="00673BE3" w:rsidP="00A900A3">
      <w:pPr>
        <w:pBdr>
          <w:top w:val="nil"/>
          <w:left w:val="nil"/>
          <w:bottom w:val="nil"/>
          <w:right w:val="nil"/>
          <w:between w:val="nil"/>
        </w:pBdr>
        <w:spacing w:after="240"/>
        <w:rPr>
          <w:rFonts w:eastAsia="Arial" w:cs="Arial"/>
          <w:color w:val="000000"/>
          <w:szCs w:val="18"/>
          <w:lang w:val="en-US"/>
        </w:rPr>
      </w:pPr>
      <w:r w:rsidRPr="00673BE3">
        <w:rPr>
          <w:rFonts w:eastAsia="Arial" w:cs="Arial"/>
          <w:color w:val="000000"/>
          <w:szCs w:val="18"/>
          <w:lang w:val="en-US"/>
        </w:rPr>
        <w:t>Figure 1 presents the cascade biorefinery for avocado waste, illustrating the units and material flows. The system consists of four main subprocesses: (i) seed conditioning, (ii) starch production, (iii) biopolymeric film synthesis, and (iv) biocontrol agent production.</w:t>
      </w:r>
      <w:r w:rsidR="00554FBC">
        <w:rPr>
          <w:rFonts w:eastAsia="Arial" w:cs="Arial"/>
          <w:color w:val="000000"/>
          <w:szCs w:val="18"/>
          <w:lang w:val="en-US"/>
        </w:rPr>
        <w:t xml:space="preserve"> </w:t>
      </w:r>
      <w:r w:rsidRPr="00673BE3">
        <w:rPr>
          <w:rFonts w:eastAsia="Arial" w:cs="Arial"/>
          <w:color w:val="000000"/>
          <w:szCs w:val="18"/>
          <w:lang w:val="en-US"/>
        </w:rPr>
        <w:t>Avocado residues enter Section 1 under ambient conditions (25 °C, 1 bar). Seeds are washed and cut into pieces (~1.5 cm) and split 1:1 between Sections 2 and 5. In Section 2, seeds contact 0.05% sodium metabisulfite at ambient temperature, are milled to 80 µm, filtered to remove coarse solids, decanted, washed, and centrifuged. The wet starch paste is hot-air dried to &lt;7% moisture and split 50:50, one part as final starch product.</w:t>
      </w:r>
      <w:r w:rsidR="00554FBC">
        <w:rPr>
          <w:rFonts w:eastAsia="Arial" w:cs="Arial"/>
          <w:color w:val="000000"/>
          <w:szCs w:val="18"/>
          <w:lang w:val="en-US"/>
        </w:rPr>
        <w:t xml:space="preserve"> </w:t>
      </w:r>
    </w:p>
    <w:p w14:paraId="15A5E8FF" w14:textId="57EBB9B1" w:rsidR="005C5E5B" w:rsidRDefault="00673BE3" w:rsidP="00476C16">
      <w:pPr>
        <w:pBdr>
          <w:top w:val="nil"/>
          <w:left w:val="nil"/>
          <w:bottom w:val="nil"/>
          <w:right w:val="nil"/>
          <w:between w:val="nil"/>
        </w:pBdr>
        <w:jc w:val="center"/>
        <w:rPr>
          <w:rFonts w:eastAsia="Arial" w:cs="Arial"/>
          <w:color w:val="000000"/>
          <w:szCs w:val="18"/>
          <w:lang w:val="es-CO"/>
        </w:rPr>
      </w:pPr>
      <w:r w:rsidRPr="0020508E">
        <w:rPr>
          <w:noProof/>
        </w:rPr>
        <w:drawing>
          <wp:inline distT="0" distB="0" distL="0" distR="0" wp14:anchorId="605DE5F0" wp14:editId="56B6021B">
            <wp:extent cx="4157062" cy="2123389"/>
            <wp:effectExtent l="19050" t="19050" r="15240" b="10795"/>
            <wp:docPr id="172038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5788" cy="2127846"/>
                    </a:xfrm>
                    <a:prstGeom prst="rect">
                      <a:avLst/>
                    </a:prstGeom>
                    <a:noFill/>
                    <a:ln>
                      <a:solidFill>
                        <a:schemeClr val="tx1"/>
                      </a:solidFill>
                    </a:ln>
                  </pic:spPr>
                </pic:pic>
              </a:graphicData>
            </a:graphic>
          </wp:inline>
        </w:drawing>
      </w:r>
    </w:p>
    <w:p w14:paraId="076BDE8D" w14:textId="57F89E08" w:rsidR="000A0076" w:rsidRDefault="00385BE2" w:rsidP="00DB0BB0">
      <w:pPr>
        <w:spacing w:after="240"/>
        <w:rPr>
          <w:i/>
          <w:iCs/>
          <w:lang w:val="en-US"/>
        </w:rPr>
      </w:pPr>
      <w:r w:rsidRPr="00816008">
        <w:rPr>
          <w:rFonts w:eastAsia="Arial"/>
          <w:b/>
          <w:bCs/>
          <w:i/>
          <w:iCs/>
          <w:lang w:val="en-US"/>
        </w:rPr>
        <w:t xml:space="preserve">Figure </w:t>
      </w:r>
      <w:r w:rsidR="00651C37" w:rsidRPr="00816008">
        <w:rPr>
          <w:rFonts w:eastAsia="Arial"/>
          <w:b/>
          <w:bCs/>
          <w:i/>
          <w:iCs/>
          <w:lang w:val="en-US"/>
        </w:rPr>
        <w:t>1</w:t>
      </w:r>
      <w:r w:rsidRPr="00816008">
        <w:rPr>
          <w:rFonts w:eastAsia="Arial"/>
          <w:b/>
          <w:bCs/>
          <w:i/>
          <w:iCs/>
          <w:lang w:val="en-US"/>
        </w:rPr>
        <w:t>.</w:t>
      </w:r>
      <w:r w:rsidRPr="00816008">
        <w:rPr>
          <w:rFonts w:eastAsia="Arial"/>
          <w:i/>
          <w:iCs/>
          <w:lang w:val="en-US"/>
        </w:rPr>
        <w:t xml:space="preserve"> </w:t>
      </w:r>
      <w:r w:rsidR="00673BE3" w:rsidRPr="00427450">
        <w:rPr>
          <w:i/>
          <w:iCs/>
          <w:lang w:val="en-US"/>
        </w:rPr>
        <w:t>Process Flow Diagram of the Hass Avocado Waste Cascade Biorefinery.</w:t>
      </w:r>
    </w:p>
    <w:p w14:paraId="5E2CF25E" w14:textId="302D179A" w:rsidR="00554FBC" w:rsidRPr="00816008" w:rsidRDefault="00554FBC" w:rsidP="00673BE3">
      <w:pPr>
        <w:rPr>
          <w:i/>
          <w:iCs/>
          <w:lang w:val="en-US"/>
        </w:rPr>
      </w:pPr>
      <w:r w:rsidRPr="00673BE3">
        <w:rPr>
          <w:rFonts w:eastAsia="Arial" w:cs="Arial"/>
          <w:color w:val="000000"/>
          <w:szCs w:val="18"/>
          <w:lang w:val="en-US"/>
        </w:rPr>
        <w:t>The other starch portion moves to Section 3, gelatinized at 80 °C with water, and mixed with PVA and glycerol. Filtration residues undergo acetone extraction, filtered and concentrated, then added to the biopolymer for antioxidant and antimicrobial properties. The mixture is dried at 70 °C to form the starch-based biopolymer film.</w:t>
      </w:r>
      <w:r>
        <w:rPr>
          <w:rFonts w:eastAsia="Arial" w:cs="Arial"/>
          <w:color w:val="000000"/>
          <w:szCs w:val="18"/>
          <w:lang w:val="en-US"/>
        </w:rPr>
        <w:t xml:space="preserve"> </w:t>
      </w:r>
      <w:r w:rsidRPr="00673BE3">
        <w:rPr>
          <w:rFonts w:eastAsia="Arial" w:cs="Arial"/>
          <w:color w:val="000000"/>
          <w:szCs w:val="18"/>
          <w:lang w:val="en-US"/>
        </w:rPr>
        <w:t>In Section 4, pretreated seeds are freeze-dried to remove ~90% water, ground, and extracted with ethanol to isolate bioactive compounds. The liquid phase is filtered and concentrated via vacuum evaporation, removing up to 90% ethanol. The dry bioactive paste is emulsified with maltodextrin and gum arabic, ethanol is added for agglomeration, and the mixture is spray-dried to obtain the final biocontrol agent.</w:t>
      </w:r>
    </w:p>
    <w:p w14:paraId="407BABCB" w14:textId="77777777" w:rsidR="005C5E5B" w:rsidRPr="005C5E5B" w:rsidRDefault="005C5E5B" w:rsidP="005C5E5B">
      <w:pPr>
        <w:pStyle w:val="ListParagraph"/>
        <w:numPr>
          <w:ilvl w:val="0"/>
          <w:numId w:val="15"/>
        </w:numPr>
        <w:pBdr>
          <w:top w:val="nil"/>
          <w:left w:val="nil"/>
          <w:bottom w:val="nil"/>
          <w:right w:val="nil"/>
          <w:between w:val="nil"/>
        </w:pBdr>
        <w:contextualSpacing w:val="0"/>
        <w:rPr>
          <w:rFonts w:eastAsia="Arial" w:cs="Arial"/>
          <w:b/>
          <w:bCs/>
          <w:vanish/>
          <w:color w:val="000000"/>
          <w:szCs w:val="18"/>
          <w:lang w:val="en-US"/>
        </w:rPr>
      </w:pPr>
    </w:p>
    <w:p w14:paraId="68101012" w14:textId="77777777" w:rsidR="005C5E5B" w:rsidRPr="005C5E5B" w:rsidRDefault="005C5E5B" w:rsidP="005C5E5B">
      <w:pPr>
        <w:pStyle w:val="ListParagraph"/>
        <w:numPr>
          <w:ilvl w:val="0"/>
          <w:numId w:val="15"/>
        </w:numPr>
        <w:pBdr>
          <w:top w:val="nil"/>
          <w:left w:val="nil"/>
          <w:bottom w:val="nil"/>
          <w:right w:val="nil"/>
          <w:between w:val="nil"/>
        </w:pBdr>
        <w:contextualSpacing w:val="0"/>
        <w:rPr>
          <w:rFonts w:eastAsia="Arial" w:cs="Arial"/>
          <w:b/>
          <w:bCs/>
          <w:vanish/>
          <w:color w:val="000000"/>
          <w:szCs w:val="18"/>
          <w:lang w:val="en-US"/>
        </w:rPr>
      </w:pPr>
    </w:p>
    <w:p w14:paraId="401DD997" w14:textId="77777777" w:rsidR="005C5E5B" w:rsidRPr="005C5E5B" w:rsidRDefault="005C5E5B" w:rsidP="005C5E5B">
      <w:pPr>
        <w:pStyle w:val="ListParagraph"/>
        <w:numPr>
          <w:ilvl w:val="1"/>
          <w:numId w:val="15"/>
        </w:numPr>
        <w:pBdr>
          <w:top w:val="nil"/>
          <w:left w:val="nil"/>
          <w:bottom w:val="nil"/>
          <w:right w:val="nil"/>
          <w:between w:val="nil"/>
        </w:pBdr>
        <w:contextualSpacing w:val="0"/>
        <w:rPr>
          <w:rFonts w:eastAsia="Arial" w:cs="Arial"/>
          <w:b/>
          <w:bCs/>
          <w:vanish/>
          <w:color w:val="000000"/>
          <w:szCs w:val="18"/>
          <w:lang w:val="en-US"/>
        </w:rPr>
      </w:pPr>
    </w:p>
    <w:p w14:paraId="18E8484B" w14:textId="687E9E7A" w:rsidR="005C5E5B" w:rsidRPr="00FF1F9E" w:rsidRDefault="00D64DD6" w:rsidP="00A12FEB">
      <w:pPr>
        <w:pStyle w:val="CETheadingx"/>
        <w:numPr>
          <w:ilvl w:val="1"/>
          <w:numId w:val="19"/>
        </w:numPr>
        <w:rPr>
          <w:rFonts w:eastAsia="Arial"/>
        </w:rPr>
      </w:pPr>
      <w:r>
        <w:rPr>
          <w:rFonts w:eastAsia="Arial"/>
        </w:rPr>
        <w:t>Exergetic analysis</w:t>
      </w:r>
      <w:r w:rsidR="00FF1F9E">
        <w:rPr>
          <w:rFonts w:eastAsia="Arial"/>
        </w:rPr>
        <w:t xml:space="preserve"> of a chemical process</w:t>
      </w:r>
    </w:p>
    <w:p w14:paraId="4311CCE2" w14:textId="65ECD7B7" w:rsidR="00D64DD6" w:rsidRPr="0045310B" w:rsidRDefault="0045310B" w:rsidP="00DB0BB0">
      <w:pPr>
        <w:pStyle w:val="CETBodytext"/>
        <w:spacing w:after="240"/>
        <w:rPr>
          <w:rFonts w:eastAsia="Arial"/>
        </w:rPr>
      </w:pPr>
      <w:r w:rsidRPr="0045310B">
        <w:rPr>
          <w:rFonts w:eastAsia="Arial"/>
        </w:rPr>
        <w:t>The exergy analysis is c</w:t>
      </w:r>
      <w:r>
        <w:rPr>
          <w:rFonts w:eastAsia="Arial"/>
        </w:rPr>
        <w:t xml:space="preserve">arried out by quantifying the exergy contained inside streams crossing the process alongside the exergy of utilities or services required for the process to perform. </w:t>
      </w:r>
      <w:r w:rsidR="003803DD">
        <w:rPr>
          <w:rFonts w:eastAsia="Arial"/>
        </w:rPr>
        <w:t>Firstly, the exergy of a stream is calculated by Eq. (1), where the stream’s exergy is composed of physical and chemical exergy.</w:t>
      </w:r>
      <w:r w:rsidR="003803DD" w:rsidRPr="003803DD">
        <w:rPr>
          <w:rFonts w:eastAsia="Arial"/>
        </w:rPr>
        <w:t xml:space="preserve"> </w:t>
      </w:r>
      <w:r w:rsidR="003803DD" w:rsidRPr="003803DD">
        <w:rPr>
          <w:rFonts w:eastAsia="Arial"/>
        </w:rPr>
        <w:t>In which chemical e</w:t>
      </w:r>
      <w:r w:rsidR="003803DD">
        <w:rPr>
          <w:rFonts w:eastAsia="Arial"/>
        </w:rPr>
        <w:t>xergy is calculated by the</w:t>
      </w:r>
      <w:r w:rsidR="003803DD">
        <w:rPr>
          <w:rFonts w:eastAsia="Arial"/>
        </w:rPr>
        <w:t xml:space="preserve"> Eq. (2), while </w:t>
      </w:r>
      <w:r w:rsidR="00A778E3">
        <w:rPr>
          <w:rFonts w:eastAsia="Arial"/>
        </w:rPr>
        <w:t>physical</w:t>
      </w:r>
      <w:r w:rsidR="003803DD">
        <w:rPr>
          <w:rFonts w:eastAsia="Arial"/>
        </w:rPr>
        <w:t xml:space="preserve"> exergy is calculated b</w:t>
      </w:r>
      <w:r w:rsidR="001373DA">
        <w:rPr>
          <w:rFonts w:eastAsia="Arial"/>
        </w:rPr>
        <w:t>y</w:t>
      </w:r>
      <w:r w:rsidR="003803DD">
        <w:rPr>
          <w:rFonts w:eastAsia="Arial"/>
        </w:rPr>
        <w:t xml:space="preserve"> Eq. (3)</w:t>
      </w:r>
      <w:r w:rsidR="00D64208">
        <w:rPr>
          <w:rFonts w:eastAsia="Arial"/>
        </w:rPr>
        <w:t>. For the chemical exergy, data of standard chemical exergy for chemical species are collected from literature</w:t>
      </w:r>
      <w:r w:rsidR="009467F1">
        <w:rPr>
          <w:rFonts w:eastAsia="Arial"/>
        </w:rPr>
        <w:t xml:space="preserve"> </w:t>
      </w:r>
      <w:r w:rsidR="009467F1">
        <w:rPr>
          <w:rFonts w:eastAsia="Arial"/>
        </w:rPr>
        <w:fldChar w:fldCharType="begin" w:fldLock="1"/>
      </w:r>
      <w:r w:rsidR="006516E6">
        <w:rPr>
          <w:rFonts w:eastAsia="Arial"/>
        </w:rPr>
        <w:instrText>ADDIN CSL_CITATION {"citationItems":[{"id":"ITEM-1","itemData":{"DOI":"10.1016/j.rser.2019.05.044","ISSN":"18790690","abstract":"In recent decades, there is an increasing interest to gradually replace fossil energy sources because of the environmental concerns associated to their use. Therefore, promising renewable energy sources such as bio-oil have attracted great attention. The aim of this work is to provide insights into the application of computer-aided tools for decision-making related to renewable energy-based projects. The influence of feedstocks on the process design for producing bio-oil is evaluated from environmental and exergy viewpoints. To this end, two different feedstocks were selected: (i) mixture of banana empty fruit bunches/corn stover, and (ii) microalgae Chlorella sp. The processing topologies for bio-oil production were simulated using Aspen Plus ®, considering parameters such as operating conditions (temperature, pressure, among others). Exergy analysis was developed based on extended mass/energy balances, heat of reactions, work, among other parameters derived from process simulation. The Waste Reduction (WAR) algorithm was then applied to perform environmental analysis calculating potential environmental impacts. Thus, this work presented the exergetic and environmental comparison of two different low-cost feedstocks for renewable energy production. Results revealed that algal processing topology is the most convenient alternate based on exergy efficiency (</w:instrText>
      </w:r>
      <w:r w:rsidR="006516E6">
        <w:rPr>
          <w:rFonts w:ascii="Segoe UI Symbol" w:eastAsia="Arial" w:hAnsi="Segoe UI Symbol" w:cs="Segoe UI Symbol"/>
        </w:rPr>
        <w:instrText>⁓</w:instrText>
      </w:r>
      <w:r w:rsidR="006516E6">
        <w:rPr>
          <w:rFonts w:eastAsia="Arial"/>
        </w:rPr>
        <w:instrText>24%) and environmental performance (2.13×10-2 PEI output/kg; −3.22×10+1 PEI generated/kg).","author":[{"dropping-particle":"","family":"Moreno-Sader","given":"K.","non-dropping-particle":"","parse-names":false,"suffix":""},{"dropping-particle":"","family":"Meramo-Hurtado","given":"S. I.","non-dropping-particle":"","parse-names":false,"suffix":""},{"dropping-particle":"","family":"González-Delgado","given":"A. D.","non-dropping-particle":"","parse-names":false,"suffix":""}],"container-title":"Renewable and Sustainable Energy Reviews","id":"ITEM-1","issue":"February","issued":{"date-parts":[["2019"]]},"page":"42-57","publisher":"Elsevier Ltd","title":"Computer-aided environmental and exergy analysis as decision-making tools for selecting bio-oil feedstocks","type":"article-journal","volume":"112"},"uris":["http://www.mendeley.com/documents/?uuid=2b6c4d19-bdb1-41a8-a75b-28ca911f462a"]}],"mendeley":{"formattedCitation":"(K. Moreno-Sader et al., 2019)","plainTextFormattedCitation":"(K. Moreno-Sader et al., 2019)","previouslyFormattedCitation":"(K. Moreno-Sader et al., 2019)"},"properties":{"noteIndex":0},"schema":"https://github.com/citation-style-language/schema/raw/master/csl-citation.json"}</w:instrText>
      </w:r>
      <w:r w:rsidR="009467F1">
        <w:rPr>
          <w:rFonts w:eastAsia="Arial"/>
        </w:rPr>
        <w:fldChar w:fldCharType="separate"/>
      </w:r>
      <w:r w:rsidR="009467F1" w:rsidRPr="009467F1">
        <w:rPr>
          <w:rFonts w:eastAsia="Arial"/>
          <w:noProof/>
        </w:rPr>
        <w:t>(K. Moreno-Sader et al., 2019)</w:t>
      </w:r>
      <w:r w:rsidR="009467F1">
        <w:rPr>
          <w:rFonts w:eastAsia="Arial"/>
        </w:rPr>
        <w:fldChar w:fldCharType="end"/>
      </w:r>
      <w:r w:rsidR="00D64208">
        <w:rPr>
          <w:rFonts w:eastAsia="Arial"/>
        </w:rPr>
        <w:t>.</w:t>
      </w:r>
    </w:p>
    <w:tbl>
      <w:tblPr>
        <w:tblStyle w:val="TableGrid"/>
        <w:tblW w:w="8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8"/>
        <w:gridCol w:w="469"/>
        <w:gridCol w:w="8"/>
      </w:tblGrid>
      <w:tr w:rsidR="00D64DD6" w14:paraId="3E2A5F3C" w14:textId="77777777" w:rsidTr="00136071">
        <w:trPr>
          <w:trHeight w:val="526"/>
        </w:trPr>
        <w:tc>
          <w:tcPr>
            <w:tcW w:w="8318" w:type="dxa"/>
            <w:vAlign w:val="center"/>
          </w:tcPr>
          <w:p w14:paraId="3771B006" w14:textId="0638E572" w:rsidR="00D64DD6" w:rsidRPr="00136071" w:rsidRDefault="00000000" w:rsidP="008C0AE7">
            <w:pPr>
              <w:spacing w:after="240"/>
              <w:jc w:val="center"/>
              <w:rPr>
                <w:bCs/>
                <w:i/>
                <w:iCs/>
                <w:lang w:bidi="en-US"/>
              </w:rPr>
            </w:pPr>
            <m:oMathPara>
              <m:oMathParaPr>
                <m:jc m:val="center"/>
              </m:oMathParaPr>
              <m:oMath>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mass</m:t>
                    </m:r>
                  </m:sub>
                </m:sSub>
                <m:r>
                  <m:rPr>
                    <m:sty m:val="p"/>
                  </m:rPr>
                  <w:rPr>
                    <w:rFonts w:ascii="Cambria Math" w:hAnsi="Cambria Math"/>
                    <w:lang w:bidi="en-US"/>
                  </w:rPr>
                  <m:t>=</m:t>
                </m:r>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phy</m:t>
                    </m:r>
                  </m:sub>
                </m:sSub>
                <m:r>
                  <m:rPr>
                    <m:sty m:val="p"/>
                  </m:rPr>
                  <w:rPr>
                    <w:rFonts w:ascii="Cambria Math" w:hAnsi="Cambria Math"/>
                    <w:lang w:bidi="en-US"/>
                  </w:rPr>
                  <m:t>+</m:t>
                </m:r>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chem</m:t>
                    </m:r>
                  </m:sub>
                </m:sSub>
              </m:oMath>
            </m:oMathPara>
          </w:p>
        </w:tc>
        <w:tc>
          <w:tcPr>
            <w:tcW w:w="477" w:type="dxa"/>
            <w:gridSpan w:val="2"/>
            <w:vAlign w:val="bottom"/>
          </w:tcPr>
          <w:p w14:paraId="1F7A9ECA" w14:textId="59940844" w:rsidR="00D64DD6" w:rsidRPr="00A900A3" w:rsidRDefault="00D64DD6" w:rsidP="00136071">
            <w:pPr>
              <w:spacing w:after="240"/>
              <w:jc w:val="center"/>
              <w:rPr>
                <w:rFonts w:cs="Arial"/>
                <w:bCs/>
                <w:i/>
                <w:iCs/>
                <w:lang w:bidi="en-US"/>
              </w:rPr>
            </w:pPr>
            <w:r w:rsidRPr="00A900A3">
              <w:rPr>
                <w:rFonts w:cs="Arial"/>
                <w:bCs/>
                <w:lang w:bidi="en-US"/>
              </w:rPr>
              <w:t>(</w:t>
            </w:r>
            <w:r w:rsidR="00A22745" w:rsidRPr="00A900A3">
              <w:rPr>
                <w:rFonts w:cs="Arial"/>
                <w:bCs/>
                <w:lang w:bidi="en-US"/>
              </w:rPr>
              <w:t>1</w:t>
            </w:r>
            <w:r w:rsidRPr="00A900A3">
              <w:rPr>
                <w:rFonts w:cs="Arial"/>
                <w:bCs/>
                <w:lang w:bidi="en-US"/>
              </w:rPr>
              <w:t>)</w:t>
            </w:r>
          </w:p>
        </w:tc>
      </w:tr>
      <w:tr w:rsidR="00D64DD6" w14:paraId="1D5D3997" w14:textId="77777777" w:rsidTr="003803DD">
        <w:trPr>
          <w:gridAfter w:val="1"/>
          <w:wAfter w:w="8" w:type="dxa"/>
        </w:trPr>
        <w:tc>
          <w:tcPr>
            <w:tcW w:w="8318" w:type="dxa"/>
            <w:vAlign w:val="center"/>
          </w:tcPr>
          <w:p w14:paraId="5192E382" w14:textId="247A9F17" w:rsidR="00D64DD6" w:rsidRDefault="00D64208" w:rsidP="008C0AE7">
            <w:pPr>
              <w:spacing w:after="240"/>
              <w:jc w:val="center"/>
              <w:rPr>
                <w:bCs/>
                <w:i/>
                <w:iCs/>
                <w:lang w:bidi="en-US"/>
              </w:rPr>
            </w:pPr>
            <m:oMathPara>
              <m:oMath>
                <m:sSub>
                  <m:sSubPr>
                    <m:ctrlPr>
                      <w:rPr>
                        <w:rFonts w:ascii="Cambria Math" w:hAnsi="Cambria Math"/>
                        <w:bCs/>
                        <w:lang w:val="es-MX" w:bidi="en-US"/>
                      </w:rPr>
                    </m:ctrlPr>
                  </m:sSubPr>
                  <m:e>
                    <m:acc>
                      <m:accPr>
                        <m:chr m:val="̇"/>
                        <m:ctrlPr>
                          <w:rPr>
                            <w:rFonts w:ascii="Cambria Math" w:hAnsi="Cambria Math"/>
                            <w:bCs/>
                            <w:lang w:val="es-MX" w:bidi="en-US"/>
                          </w:rPr>
                        </m:ctrlPr>
                      </m:accPr>
                      <m:e>
                        <m:r>
                          <w:rPr>
                            <w:rFonts w:ascii="Cambria Math" w:hAnsi="Cambria Math"/>
                            <w:lang w:val="es-MX" w:bidi="en-US"/>
                          </w:rPr>
                          <m:t>E</m:t>
                        </m:r>
                      </m:e>
                    </m:acc>
                    <m:r>
                      <w:rPr>
                        <w:rFonts w:ascii="Cambria Math" w:hAnsi="Cambria Math"/>
                        <w:lang w:val="es-MX" w:bidi="en-US"/>
                      </w:rPr>
                      <m:t>x</m:t>
                    </m:r>
                  </m:e>
                  <m:sub>
                    <m:r>
                      <w:rPr>
                        <w:rFonts w:ascii="Cambria Math" w:hAnsi="Cambria Math"/>
                        <w:lang w:val="es-MX" w:bidi="en-US"/>
                      </w:rPr>
                      <m:t>chem-mix</m:t>
                    </m:r>
                  </m:sub>
                </m:sSub>
                <m:r>
                  <w:rPr>
                    <w:rFonts w:ascii="Cambria Math" w:hAnsi="Cambria Math"/>
                    <w:lang w:val="es-MX" w:bidi="en-US"/>
                  </w:rPr>
                  <m:t>=</m:t>
                </m:r>
                <m:nary>
                  <m:naryPr>
                    <m:chr m:val="∑"/>
                    <m:supHide m:val="1"/>
                    <m:ctrlPr>
                      <w:rPr>
                        <w:rFonts w:ascii="Cambria Math" w:hAnsi="Cambria Math"/>
                        <w:bCs/>
                        <w:lang w:val="es-MX" w:bidi="en-US"/>
                      </w:rPr>
                    </m:ctrlPr>
                  </m:naryPr>
                  <m:sub>
                    <m:r>
                      <w:rPr>
                        <w:rFonts w:ascii="Cambria Math" w:hAnsi="Cambria Math"/>
                        <w:lang w:val="es-MX" w:bidi="en-US"/>
                      </w:rPr>
                      <m:t>i</m:t>
                    </m:r>
                  </m:sub>
                  <m:sup/>
                  <m:e>
                    <m:sSub>
                      <m:sSubPr>
                        <m:ctrlPr>
                          <w:rPr>
                            <w:rFonts w:ascii="Cambria Math" w:hAnsi="Cambria Math"/>
                            <w:bCs/>
                            <w:lang w:val="es-MX" w:bidi="en-US"/>
                          </w:rPr>
                        </m:ctrlPr>
                      </m:sSubPr>
                      <m:e>
                        <m:r>
                          <w:rPr>
                            <w:rFonts w:ascii="Cambria Math" w:hAnsi="Cambria Math"/>
                            <w:lang w:val="es-MX" w:bidi="en-US"/>
                          </w:rPr>
                          <m:t>y</m:t>
                        </m:r>
                      </m:e>
                      <m:sub>
                        <m:r>
                          <w:rPr>
                            <w:rFonts w:ascii="Cambria Math" w:hAnsi="Cambria Math"/>
                            <w:lang w:val="es-MX" w:bidi="en-US"/>
                          </w:rPr>
                          <m:t>i</m:t>
                        </m:r>
                      </m:sub>
                    </m:sSub>
                    <m:r>
                      <w:rPr>
                        <w:rFonts w:ascii="Cambria Math" w:hAnsi="Cambria Math"/>
                        <w:lang w:val="es-MX" w:bidi="en-US"/>
                      </w:rPr>
                      <m:t>*</m:t>
                    </m:r>
                    <m:sSub>
                      <m:sSubPr>
                        <m:ctrlPr>
                          <w:rPr>
                            <w:rFonts w:ascii="Cambria Math" w:hAnsi="Cambria Math"/>
                            <w:bCs/>
                            <w:lang w:val="es-MX" w:bidi="en-US"/>
                          </w:rPr>
                        </m:ctrlPr>
                      </m:sSubPr>
                      <m:e>
                        <m:r>
                          <w:rPr>
                            <w:rFonts w:ascii="Cambria Math" w:hAnsi="Cambria Math"/>
                            <w:lang w:val="es-MX" w:bidi="en-US"/>
                          </w:rPr>
                          <m:t>Ex</m:t>
                        </m:r>
                      </m:e>
                      <m:sub>
                        <m:r>
                          <w:rPr>
                            <w:rFonts w:ascii="Cambria Math" w:hAnsi="Cambria Math"/>
                            <w:lang w:val="es-MX" w:bidi="en-US"/>
                          </w:rPr>
                          <m:t>chem-j</m:t>
                        </m:r>
                      </m:sub>
                    </m:sSub>
                  </m:e>
                </m:nary>
                <m:r>
                  <w:rPr>
                    <w:rFonts w:ascii="Cambria Math" w:hAnsi="Cambria Math"/>
                    <w:lang w:val="es-MX" w:bidi="en-US"/>
                  </w:rPr>
                  <m:t>+R</m:t>
                </m:r>
                <m:sSub>
                  <m:sSubPr>
                    <m:ctrlPr>
                      <w:rPr>
                        <w:rFonts w:ascii="Cambria Math" w:hAnsi="Cambria Math"/>
                        <w:bCs/>
                        <w:lang w:val="es-MX" w:bidi="en-US"/>
                      </w:rPr>
                    </m:ctrlPr>
                  </m:sSubPr>
                  <m:e>
                    <m:r>
                      <w:rPr>
                        <w:rFonts w:ascii="Cambria Math" w:hAnsi="Cambria Math"/>
                        <w:lang w:val="es-MX" w:bidi="en-US"/>
                      </w:rPr>
                      <m:t>T</m:t>
                    </m:r>
                  </m:e>
                  <m:sub>
                    <m:r>
                      <w:rPr>
                        <w:rFonts w:ascii="Cambria Math" w:hAnsi="Cambria Math"/>
                        <w:lang w:val="es-MX" w:bidi="en-US"/>
                      </w:rPr>
                      <m:t>0</m:t>
                    </m:r>
                  </m:sub>
                </m:sSub>
                <m:nary>
                  <m:naryPr>
                    <m:chr m:val="∑"/>
                    <m:supHide m:val="1"/>
                    <m:ctrlPr>
                      <w:rPr>
                        <w:rFonts w:ascii="Cambria Math" w:hAnsi="Cambria Math"/>
                        <w:bCs/>
                        <w:lang w:val="es-MX" w:bidi="en-US"/>
                      </w:rPr>
                    </m:ctrlPr>
                  </m:naryPr>
                  <m:sub>
                    <m:r>
                      <w:rPr>
                        <w:rFonts w:ascii="Cambria Math" w:hAnsi="Cambria Math"/>
                        <w:lang w:val="es-MX" w:bidi="en-US"/>
                      </w:rPr>
                      <m:t>i</m:t>
                    </m:r>
                  </m:sub>
                  <m:sup/>
                  <m:e>
                    <m:sSub>
                      <m:sSubPr>
                        <m:ctrlPr>
                          <w:rPr>
                            <w:rFonts w:ascii="Cambria Math" w:hAnsi="Cambria Math"/>
                            <w:bCs/>
                            <w:lang w:val="es-MX" w:bidi="en-US"/>
                          </w:rPr>
                        </m:ctrlPr>
                      </m:sSubPr>
                      <m:e>
                        <m:r>
                          <w:rPr>
                            <w:rFonts w:ascii="Cambria Math" w:hAnsi="Cambria Math"/>
                            <w:lang w:val="es-MX" w:bidi="en-US"/>
                          </w:rPr>
                          <m:t>y</m:t>
                        </m:r>
                      </m:e>
                      <m:sub>
                        <m:r>
                          <w:rPr>
                            <w:rFonts w:ascii="Cambria Math" w:hAnsi="Cambria Math"/>
                            <w:lang w:val="es-MX" w:bidi="en-US"/>
                          </w:rPr>
                          <m:t>i</m:t>
                        </m:r>
                      </m:sub>
                    </m:sSub>
                    <m:r>
                      <w:rPr>
                        <w:rFonts w:ascii="Cambria Math" w:hAnsi="Cambria Math"/>
                        <w:lang w:val="es-MX" w:bidi="en-US"/>
                      </w:rPr>
                      <m:t>*ln⁡(</m:t>
                    </m:r>
                    <m:sSub>
                      <m:sSubPr>
                        <m:ctrlPr>
                          <w:rPr>
                            <w:rFonts w:ascii="Cambria Math" w:hAnsi="Cambria Math"/>
                            <w:bCs/>
                            <w:lang w:val="es-MX" w:bidi="en-US"/>
                          </w:rPr>
                        </m:ctrlPr>
                      </m:sSubPr>
                      <m:e>
                        <m:r>
                          <w:rPr>
                            <w:rFonts w:ascii="Cambria Math" w:hAnsi="Cambria Math"/>
                            <w:lang w:val="es-MX" w:bidi="en-US"/>
                          </w:rPr>
                          <m:t>y</m:t>
                        </m:r>
                      </m:e>
                      <m:sub>
                        <m:r>
                          <w:rPr>
                            <w:rFonts w:ascii="Cambria Math" w:hAnsi="Cambria Math"/>
                            <w:lang w:val="es-MX" w:bidi="en-US"/>
                          </w:rPr>
                          <m:t>i</m:t>
                        </m:r>
                      </m:sub>
                    </m:sSub>
                    <m:r>
                      <w:rPr>
                        <w:rFonts w:ascii="Cambria Math" w:hAnsi="Cambria Math"/>
                        <w:lang w:val="es-MX" w:bidi="en-US"/>
                      </w:rPr>
                      <m:t>)</m:t>
                    </m:r>
                  </m:e>
                </m:nary>
              </m:oMath>
            </m:oMathPara>
          </w:p>
        </w:tc>
        <w:tc>
          <w:tcPr>
            <w:tcW w:w="469" w:type="dxa"/>
            <w:vAlign w:val="center"/>
          </w:tcPr>
          <w:p w14:paraId="0B2ECC38" w14:textId="79A21C2D" w:rsidR="00D64DD6" w:rsidRPr="00A900A3" w:rsidRDefault="00D64DD6" w:rsidP="008C0AE7">
            <w:pPr>
              <w:spacing w:after="240"/>
              <w:jc w:val="center"/>
              <w:rPr>
                <w:rFonts w:cs="Arial"/>
                <w:bCs/>
                <w:i/>
                <w:iCs/>
                <w:lang w:bidi="en-US"/>
              </w:rPr>
            </w:pPr>
            <w:r w:rsidRPr="00A900A3">
              <w:rPr>
                <w:rFonts w:cs="Arial"/>
                <w:bCs/>
                <w:lang w:bidi="en-US"/>
              </w:rPr>
              <w:t>(</w:t>
            </w:r>
            <w:r w:rsidR="00A22745" w:rsidRPr="00A900A3">
              <w:rPr>
                <w:rFonts w:cs="Arial"/>
                <w:bCs/>
                <w:lang w:bidi="en-US"/>
              </w:rPr>
              <w:t>2</w:t>
            </w:r>
            <w:r w:rsidRPr="00A900A3">
              <w:rPr>
                <w:rFonts w:cs="Arial"/>
                <w:bCs/>
                <w:lang w:bidi="en-US"/>
              </w:rPr>
              <w:t>)</w:t>
            </w:r>
          </w:p>
        </w:tc>
      </w:tr>
      <w:tr w:rsidR="00D64DD6" w14:paraId="1481D71F" w14:textId="77777777" w:rsidTr="003803DD">
        <w:trPr>
          <w:gridAfter w:val="1"/>
          <w:wAfter w:w="8" w:type="dxa"/>
        </w:trPr>
        <w:tc>
          <w:tcPr>
            <w:tcW w:w="8318" w:type="dxa"/>
          </w:tcPr>
          <w:p w14:paraId="61411B4A" w14:textId="77777777" w:rsidR="00D64DD6" w:rsidRDefault="00000000" w:rsidP="00C32891">
            <w:pPr>
              <w:spacing w:after="240"/>
              <w:rPr>
                <w:bCs/>
                <w:i/>
                <w:iCs/>
                <w:lang w:bidi="en-US"/>
              </w:rPr>
            </w:pPr>
            <m:oMathPara>
              <m:oMath>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phy</m:t>
                    </m:r>
                  </m:sub>
                </m:sSub>
                <m:r>
                  <m:rPr>
                    <m:sty m:val="p"/>
                  </m:rPr>
                  <w:rPr>
                    <w:rFonts w:ascii="Cambria Math" w:hAnsi="Cambria Math"/>
                    <w:lang w:bidi="en-US"/>
                  </w:rPr>
                  <m:t>=</m:t>
                </m:r>
                <m:d>
                  <m:dPr>
                    <m:ctrlPr>
                      <w:rPr>
                        <w:rFonts w:ascii="Cambria Math" w:hAnsi="Cambria Math"/>
                        <w:bCs/>
                        <w:lang w:bidi="en-US"/>
                      </w:rPr>
                    </m:ctrlPr>
                  </m:dPr>
                  <m:e>
                    <m:r>
                      <w:rPr>
                        <w:rFonts w:ascii="Cambria Math" w:hAnsi="Cambria Math"/>
                        <w:lang w:bidi="en-US"/>
                      </w:rPr>
                      <m:t>H</m:t>
                    </m:r>
                    <m:r>
                      <m:rPr>
                        <m:sty m:val="p"/>
                      </m:rPr>
                      <w:rPr>
                        <w:rFonts w:ascii="Cambria Math" w:hAnsi="Cambria Math"/>
                        <w:lang w:bidi="en-US"/>
                      </w:rPr>
                      <m:t>-</m:t>
                    </m:r>
                    <m:sSub>
                      <m:sSubPr>
                        <m:ctrlPr>
                          <w:rPr>
                            <w:rFonts w:ascii="Cambria Math" w:hAnsi="Cambria Math"/>
                            <w:bCs/>
                            <w:lang w:bidi="en-US"/>
                          </w:rPr>
                        </m:ctrlPr>
                      </m:sSubPr>
                      <m:e>
                        <m:r>
                          <w:rPr>
                            <w:rFonts w:ascii="Cambria Math" w:hAnsi="Cambria Math"/>
                            <w:lang w:bidi="en-US"/>
                          </w:rPr>
                          <m:t>H</m:t>
                        </m:r>
                      </m:e>
                      <m:sub>
                        <m:r>
                          <m:rPr>
                            <m:sty m:val="p"/>
                          </m:rPr>
                          <w:rPr>
                            <w:rFonts w:ascii="Cambria Math" w:hAnsi="Cambria Math"/>
                            <w:lang w:bidi="en-US"/>
                          </w:rPr>
                          <m:t>0</m:t>
                        </m:r>
                      </m:sub>
                    </m:sSub>
                  </m:e>
                </m:d>
                <m:r>
                  <m:rPr>
                    <m:sty m:val="p"/>
                  </m:rPr>
                  <w:rPr>
                    <w:rFonts w:ascii="Cambria Math" w:hAnsi="Cambria Math"/>
                    <w:lang w:bidi="en-US"/>
                  </w:rPr>
                  <m:t>-</m:t>
                </m:r>
                <m:sSub>
                  <m:sSubPr>
                    <m:ctrlPr>
                      <w:rPr>
                        <w:rFonts w:ascii="Cambria Math" w:hAnsi="Cambria Math"/>
                        <w:bCs/>
                        <w:lang w:bidi="en-US"/>
                      </w:rPr>
                    </m:ctrlPr>
                  </m:sSubPr>
                  <m:e>
                    <m:r>
                      <w:rPr>
                        <w:rFonts w:ascii="Cambria Math" w:hAnsi="Cambria Math"/>
                        <w:lang w:bidi="en-US"/>
                      </w:rPr>
                      <m:t>T</m:t>
                    </m:r>
                  </m:e>
                  <m:sub>
                    <m:r>
                      <m:rPr>
                        <m:sty m:val="p"/>
                      </m:rPr>
                      <w:rPr>
                        <w:rFonts w:ascii="Cambria Math" w:hAnsi="Cambria Math"/>
                        <w:lang w:bidi="en-US"/>
                      </w:rPr>
                      <m:t>0</m:t>
                    </m:r>
                  </m:sub>
                </m:sSub>
                <m:r>
                  <m:rPr>
                    <m:sty m:val="p"/>
                  </m:rPr>
                  <w:rPr>
                    <w:rFonts w:ascii="Cambria Math" w:hAnsi="Cambria Math"/>
                    <w:lang w:bidi="en-US"/>
                  </w:rPr>
                  <m:t>(</m:t>
                </m:r>
                <m:r>
                  <w:rPr>
                    <w:rFonts w:ascii="Cambria Math" w:hAnsi="Cambria Math"/>
                    <w:lang w:bidi="en-US"/>
                  </w:rPr>
                  <m:t>S</m:t>
                </m:r>
                <m:r>
                  <m:rPr>
                    <m:sty m:val="p"/>
                  </m:rPr>
                  <w:rPr>
                    <w:rFonts w:ascii="Cambria Math" w:hAnsi="Cambria Math"/>
                    <w:lang w:bidi="en-US"/>
                  </w:rPr>
                  <m:t>-</m:t>
                </m:r>
                <m:sSub>
                  <m:sSubPr>
                    <m:ctrlPr>
                      <w:rPr>
                        <w:rFonts w:ascii="Cambria Math" w:hAnsi="Cambria Math"/>
                        <w:bCs/>
                        <w:lang w:bidi="en-US"/>
                      </w:rPr>
                    </m:ctrlPr>
                  </m:sSubPr>
                  <m:e>
                    <m:r>
                      <w:rPr>
                        <w:rFonts w:ascii="Cambria Math" w:hAnsi="Cambria Math"/>
                        <w:lang w:bidi="en-US"/>
                      </w:rPr>
                      <m:t>S</m:t>
                    </m:r>
                  </m:e>
                  <m:sub>
                    <m:r>
                      <m:rPr>
                        <m:sty m:val="p"/>
                      </m:rPr>
                      <w:rPr>
                        <w:rFonts w:ascii="Cambria Math" w:hAnsi="Cambria Math"/>
                        <w:lang w:bidi="en-US"/>
                      </w:rPr>
                      <m:t>0</m:t>
                    </m:r>
                  </m:sub>
                </m:sSub>
                <m:r>
                  <m:rPr>
                    <m:sty m:val="p"/>
                  </m:rPr>
                  <w:rPr>
                    <w:rFonts w:ascii="Cambria Math" w:hAnsi="Cambria Math"/>
                    <w:lang w:bidi="en-US"/>
                  </w:rPr>
                  <m:t>)</m:t>
                </m:r>
              </m:oMath>
            </m:oMathPara>
          </w:p>
        </w:tc>
        <w:tc>
          <w:tcPr>
            <w:tcW w:w="469" w:type="dxa"/>
            <w:vAlign w:val="center"/>
          </w:tcPr>
          <w:p w14:paraId="19C0CCE9" w14:textId="715681E6" w:rsidR="00D64DD6" w:rsidRPr="00A900A3" w:rsidRDefault="00D64DD6" w:rsidP="008C0AE7">
            <w:pPr>
              <w:spacing w:after="240"/>
              <w:jc w:val="center"/>
              <w:rPr>
                <w:rFonts w:cs="Arial"/>
                <w:bCs/>
                <w:i/>
                <w:iCs/>
                <w:lang w:bidi="en-US"/>
              </w:rPr>
            </w:pPr>
            <w:r w:rsidRPr="00A900A3">
              <w:rPr>
                <w:rFonts w:cs="Arial"/>
                <w:bCs/>
                <w:lang w:bidi="en-US"/>
              </w:rPr>
              <w:t>(</w:t>
            </w:r>
            <w:r w:rsidR="00A22745" w:rsidRPr="00A900A3">
              <w:rPr>
                <w:rFonts w:cs="Arial"/>
                <w:bCs/>
                <w:lang w:bidi="en-US"/>
              </w:rPr>
              <w:t>3</w:t>
            </w:r>
            <w:r w:rsidRPr="00A900A3">
              <w:rPr>
                <w:rFonts w:cs="Arial"/>
                <w:bCs/>
                <w:lang w:bidi="en-US"/>
              </w:rPr>
              <w:t>)</w:t>
            </w:r>
          </w:p>
        </w:tc>
      </w:tr>
    </w:tbl>
    <w:p w14:paraId="107276A8" w14:textId="31B34DE2" w:rsidR="00246E13" w:rsidRDefault="00AD0080" w:rsidP="00A778E3">
      <w:pPr>
        <w:pStyle w:val="CETBodytext"/>
        <w:spacing w:after="240"/>
        <w:rPr>
          <w:rFonts w:eastAsia="Arial"/>
        </w:rPr>
      </w:pPr>
      <w:r>
        <w:rPr>
          <w:rFonts w:eastAsia="Arial"/>
        </w:rPr>
        <w:t xml:space="preserve">For the calculation of the physical exergy of the streams of the biorefinery, </w:t>
      </w:r>
      <w:r w:rsidR="00246E13" w:rsidRPr="00246E13">
        <w:rPr>
          <w:rFonts w:eastAsia="Arial"/>
        </w:rPr>
        <w:t>Aspen Plus® V15</w:t>
      </w:r>
      <w:r>
        <w:rPr>
          <w:rFonts w:eastAsia="Arial"/>
        </w:rPr>
        <w:t xml:space="preserve"> was used, following the suggestion of </w:t>
      </w:r>
      <w:r w:rsidR="00246E13" w:rsidRPr="00246E13">
        <w:rPr>
          <w:rFonts w:eastAsia="Arial"/>
        </w:rPr>
        <w:t xml:space="preserve">Alviz-Meza et al., with Non-Random Two- Liquid (NRTL) model and Redlich-Kwong (RK) equation of state selected as thermodynamic package for liquid and vapor phase </w:t>
      </w:r>
      <w:r w:rsidRPr="00246E13">
        <w:rPr>
          <w:rFonts w:eastAsia="Arial"/>
        </w:rPr>
        <w:t>behavior</w:t>
      </w:r>
      <w:r w:rsidR="00246E13" w:rsidRPr="00246E13">
        <w:rPr>
          <w:rFonts w:eastAsia="Arial"/>
        </w:rPr>
        <w:t>. Furthermore, unit models and operating conditions were determined based on experimental data and literature values</w:t>
      </w:r>
      <w:r>
        <w:rPr>
          <w:rFonts w:eastAsia="Arial"/>
        </w:rPr>
        <w:t xml:space="preserve"> </w:t>
      </w:r>
      <w:r w:rsidR="00246E13" w:rsidRPr="00246E13">
        <w:rPr>
          <w:rFonts w:eastAsia="Arial"/>
        </w:rPr>
        <w:fldChar w:fldCharType="begin" w:fldLock="1"/>
      </w:r>
      <w:r w:rsidR="009467F1">
        <w:rPr>
          <w:rFonts w:eastAsia="Arial"/>
        </w:rPr>
        <w:instrText>ADDIN CSL_CITATION {"citationItems":[{"id":"ITEM-1","itemData":{"DOI":"10.3303/CET25117012","ISBN":"9791281206175","ISSN":"22839216","abstract":"Colombia has established itself as a significant contributor to Hass avocado production; however, the supply chain predominantly focuses on marketing the pulp, thereby underutilizing by-products, such as the seed. This situation presents environmental challenges and overlooks potential economic opportunities within bioeconomy development. This study introduces a cascade biorefinery model designed to valorize avocado seed waste from Colombia's Amazon region, transforming it into high-value products, including starch and biodegradable biofilms. The methodology employed involves process simulation using Aspen Plus, with NRTL models for the liquid phase and the Redlich-Kwong model for the vapor phase, to model separation and reaction stages accurately. The biorefinery comprises three principal modules: (i) pretreatment and wet extraction, which produces 1.92 kg/h of starch comparable in composition to commercial avocado seed flours; (ii) a starch gelatinization process with glycerol, yielding 3.76 kg/h of type 1 biofilm; and (iii) a thermochemical and biotechnological process encompassing acid hydrolysis, lactic acid fermentation, and polymerization, resulting in polylactic acid. This PLA is subsequently combined with starch to generate 3.44 kg/h of type 2 biofilm. The entire process attains a 78.34% yield based on a waste input of 27.4 kg/h, thereby demonstrating efficient biomass recovery. The principal contribution of this research lies in showing, through detailed simulation, the technical feasibility of a multistep system that integrates physical, chemical, and biotechnological processes to produce functional bioproducts from agricultural waste. Unlike fragmented approaches, this cascade biorefinery optimizes resource utilization, broadens product diversity, and minimizes waste, thereby supporting sustainability and circular economy principles.","author":[{"dropping-particle":"","family":"Alviz-Meza","given":"Anibal","non-dropping-particle":"","parse-names":false,"suffix":""},{"dropping-particle":"","family":"Valdez-Valdes","given":"Stefany A.","non-dropping-particle":"","parse-names":false,"suffix":""},{"dropping-particle":"","family":"González-Delgado","given":"Ángel Darío","non-dropping-particle":"","parse-names":false,"suffix":""}],"container-title":"Chemical Engineering Transactions ","id":"ITEM-1","issue":"May","issued":{"date-parts":[["2025"]]},"page":"67-72","title":"Computer-Aided Simulation of a Cascade Biorefinery: Case Study of the Colombian Amazon’s Hass Avocado Waste","type":"article-journal","volume":"117"},"uris":["http://www.mendeley.com/documents/?uuid=f1951427-afa9-45a0-a8f0-6c162834fbe5"]}],"mendeley":{"formattedCitation":"(Alviz-Meza et al., 2025)","plainTextFormattedCitation":"(Alviz-Meza et al., 2025)","previouslyFormattedCitation":"(Alviz-Meza et al., 2025)"},"properties":{"noteIndex":0},"schema":"https://github.com/citation-style-language/schema/raw/master/csl-citation.json"}</w:instrText>
      </w:r>
      <w:r w:rsidR="00246E13" w:rsidRPr="00246E13">
        <w:rPr>
          <w:rFonts w:eastAsia="Arial"/>
        </w:rPr>
        <w:fldChar w:fldCharType="separate"/>
      </w:r>
      <w:r w:rsidR="00246E13" w:rsidRPr="00246E13">
        <w:rPr>
          <w:rFonts w:eastAsia="Arial"/>
          <w:noProof/>
        </w:rPr>
        <w:t>(Alviz-Meza et al., 2025)</w:t>
      </w:r>
      <w:r w:rsidR="00246E13" w:rsidRPr="00246E13">
        <w:rPr>
          <w:rFonts w:eastAsia="Arial"/>
          <w:lang w:val="es-CO"/>
        </w:rPr>
        <w:fldChar w:fldCharType="end"/>
      </w:r>
      <w:r w:rsidR="00246E13" w:rsidRPr="00246E13">
        <w:rPr>
          <w:rFonts w:eastAsia="Arial"/>
        </w:rPr>
        <w:t>.</w:t>
      </w:r>
    </w:p>
    <w:p w14:paraId="382EB932" w14:textId="1E42EAA2" w:rsidR="00AD0080" w:rsidRPr="00246E13" w:rsidRDefault="00AD0080" w:rsidP="00DB0BB0">
      <w:pPr>
        <w:pStyle w:val="CETBodytext"/>
        <w:spacing w:after="240"/>
        <w:rPr>
          <w:rFonts w:eastAsia="Arial"/>
        </w:rPr>
      </w:pPr>
      <w:r>
        <w:rPr>
          <w:rFonts w:eastAsia="Arial"/>
        </w:rPr>
        <w:t>On the other hand</w:t>
      </w:r>
      <w:r w:rsidR="00F75D97">
        <w:rPr>
          <w:rFonts w:eastAsia="Arial"/>
        </w:rPr>
        <w:t xml:space="preserve">, the exergy entering the process by utilities is quantified using Eq. (4) and </w:t>
      </w:r>
      <w:r w:rsidR="00F75D97">
        <w:rPr>
          <w:rFonts w:eastAsia="Arial"/>
        </w:rPr>
        <w:t>Eq. (</w:t>
      </w:r>
      <w:r w:rsidR="00F75D97">
        <w:rPr>
          <w:rFonts w:eastAsia="Arial"/>
        </w:rPr>
        <w:t>5</w:t>
      </w:r>
      <w:r w:rsidR="00F75D97">
        <w:rPr>
          <w:rFonts w:eastAsia="Arial"/>
        </w:rPr>
        <w:t>)</w:t>
      </w:r>
      <w:r w:rsidR="00F75D97">
        <w:rPr>
          <w:rFonts w:eastAsia="Arial"/>
        </w:rPr>
        <w:t>, taking into consideration the energy source into the stage, like work and heat.</w:t>
      </w:r>
      <w:r w:rsidR="00FA0857">
        <w:rPr>
          <w:rFonts w:eastAsia="Arial"/>
        </w:rPr>
        <w:t xml:space="preserve"> Additionally, it is required the assumption of environmental conditions, where </w:t>
      </w:r>
      <m:oMath>
        <m:sSub>
          <m:sSubPr>
            <m:ctrlPr>
              <w:rPr>
                <w:rFonts w:ascii="Cambria Math" w:eastAsia="Arial" w:hAnsi="Cambria Math"/>
                <w:i/>
              </w:rPr>
            </m:ctrlPr>
          </m:sSubPr>
          <m:e>
            <m:r>
              <w:rPr>
                <w:rFonts w:ascii="Cambria Math" w:eastAsia="Arial" w:hAnsi="Cambria Math"/>
              </w:rPr>
              <m:t>T</m:t>
            </m:r>
          </m:e>
          <m:sub>
            <m:r>
              <w:rPr>
                <w:rFonts w:ascii="Cambria Math" w:eastAsia="Arial" w:hAnsi="Cambria Math"/>
              </w:rPr>
              <m:t>0</m:t>
            </m:r>
          </m:sub>
        </m:sSub>
      </m:oMath>
      <w:r w:rsidR="00FA0857">
        <w:rPr>
          <w:rFonts w:eastAsia="Arial"/>
        </w:rPr>
        <w:t xml:space="preserve"> is equal to 25 Celsius and </w:t>
      </w:r>
      <m:oMath>
        <m:sSub>
          <m:sSubPr>
            <m:ctrlPr>
              <w:rPr>
                <w:rFonts w:ascii="Cambria Math" w:eastAsia="Arial" w:hAnsi="Cambria Math"/>
                <w:i/>
              </w:rPr>
            </m:ctrlPr>
          </m:sSubPr>
          <m:e>
            <m:r>
              <w:rPr>
                <w:rFonts w:ascii="Cambria Math" w:eastAsia="Arial" w:hAnsi="Cambria Math"/>
              </w:rPr>
              <m:t>P</m:t>
            </m:r>
          </m:e>
          <m:sub>
            <m:r>
              <w:rPr>
                <w:rFonts w:ascii="Cambria Math" w:eastAsia="Arial" w:hAnsi="Cambria Math"/>
              </w:rPr>
              <m:t>0</m:t>
            </m:r>
          </m:sub>
        </m:sSub>
      </m:oMath>
      <w:r w:rsidR="00FA0857">
        <w:rPr>
          <w:rFonts w:eastAsia="Arial"/>
        </w:rPr>
        <w:t xml:space="preserve"> to 1 atm</w:t>
      </w:r>
      <w:r w:rsidR="009467F1">
        <w:rPr>
          <w:rFonts w:eastAsia="Arial"/>
        </w:rPr>
        <w:t xml:space="preserve"> </w:t>
      </w:r>
      <w:r w:rsidR="009467F1">
        <w:rPr>
          <w:rFonts w:eastAsia="Arial"/>
        </w:rPr>
        <w:fldChar w:fldCharType="begin" w:fldLock="1"/>
      </w:r>
      <w:r w:rsidR="006516E6">
        <w:rPr>
          <w:rFonts w:eastAsia="Arial"/>
        </w:rPr>
        <w:instrText>ADDIN CSL_CITATION {"citationItems":[{"id":"ITEM-1","itemData":{"DOI":"10.1016/j.rser.2019.05.044","ISSN":"18790690","abstract":"In recent decades, there is an increasing interest to gradually replace fossil energy sources because of the environmental concerns associated to their use. Therefore, promising renewable energy sources such as bio-oil have attracted great attention. The aim of this work is to provide insights into the application of computer-aided tools for decision-making related to renewable energy-based projects. The influence of feedstocks on the process design for producing bio-oil is evaluated from environmental and exergy viewpoints. To this end, two different feedstocks were selected: (i) mixture of banana empty fruit bunches/corn stover, and (ii) microalgae Chlorella sp. The processing topologies for bio-oil production were simulated using Aspen Plus ®, considering parameters such as operating conditions (temperature, pressure, among others). Exergy analysis was developed based on extended mass/energy balances, heat of reactions, work, among other parameters derived from process simulation. The Waste Reduction (WAR) algorithm was then applied to perform environmental analysis calculating potential environmental impacts. Thus, this work presented the exergetic and environmental comparison of two different low-cost feedstocks for renewable energy production. Results revealed that algal processing topology is the most convenient alternate based on exergy efficiency (</w:instrText>
      </w:r>
      <w:r w:rsidR="006516E6">
        <w:rPr>
          <w:rFonts w:ascii="Segoe UI Symbol" w:eastAsia="Arial" w:hAnsi="Segoe UI Symbol" w:cs="Segoe UI Symbol"/>
        </w:rPr>
        <w:instrText>⁓</w:instrText>
      </w:r>
      <w:r w:rsidR="006516E6">
        <w:rPr>
          <w:rFonts w:eastAsia="Arial"/>
        </w:rPr>
        <w:instrText>24%) and environmental performance (2.13×10-2 PEI output/kg; −3.22×10+1 PEI generated/kg).","author":[{"dropping-particle":"","family":"Moreno-Sader","given":"K.","non-dropping-particle":"","parse-names":false,"suffix":""},{"dropping-particle":"","family":"Meramo-Hurtado","given":"S. I.","non-dropping-particle":"","parse-names":false,"suffix":""},{"dropping-particle":"","family":"González-Delgado","given":"A. D.","non-dropping-particle":"","parse-names":false,"suffix":""}],"container-title":"Renewable and Sustainable Energy Reviews","id":"ITEM-1","issue":"February","issued":{"date-parts":[["2019"]]},"page":"42-57","publisher":"Elsevier Ltd","title":"Computer-aided environmental and exergy analysis as decision-making tools for selecting bio-oil feedstocks","type":"article-journal","volume":"112"},"uris":["http://www.mendeley.com/documents/?uuid=2b6c4d19-bdb1-41a8-a75b-28ca911f462a"]}],"mendeley":{"formattedCitation":"(K. Moreno-Sader et al., 2019)","plainTextFormattedCitation":"(K. Moreno-Sader et al., 2019)","previouslyFormattedCitation":"(K. Moreno-Sader et al., 2019)"},"properties":{"noteIndex":0},"schema":"https://github.com/citation-style-language/schema/raw/master/csl-citation.json"}</w:instrText>
      </w:r>
      <w:r w:rsidR="009467F1">
        <w:rPr>
          <w:rFonts w:eastAsia="Arial"/>
        </w:rPr>
        <w:fldChar w:fldCharType="separate"/>
      </w:r>
      <w:r w:rsidR="009467F1" w:rsidRPr="009467F1">
        <w:rPr>
          <w:rFonts w:eastAsia="Arial"/>
          <w:noProof/>
        </w:rPr>
        <w:t>(K. Moreno-Sader et al., 2019)</w:t>
      </w:r>
      <w:r w:rsidR="009467F1">
        <w:rPr>
          <w:rFonts w:eastAsia="Arial"/>
        </w:rPr>
        <w:fldChar w:fldCharType="end"/>
      </w:r>
      <w:r w:rsidR="00FA0857">
        <w:rPr>
          <w:rFonts w:eastAsia="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436"/>
      </w:tblGrid>
      <w:tr w:rsidR="00D64DD6" w14:paraId="22746A7F" w14:textId="77777777" w:rsidTr="00136071">
        <w:tc>
          <w:tcPr>
            <w:tcW w:w="8361" w:type="dxa"/>
          </w:tcPr>
          <w:p w14:paraId="5C92F77D" w14:textId="77777777" w:rsidR="00D64DD6" w:rsidRDefault="00000000" w:rsidP="00C32891">
            <w:pPr>
              <w:spacing w:after="240"/>
              <w:rPr>
                <w:bCs/>
                <w:i/>
                <w:iCs/>
                <w:lang w:bidi="en-US"/>
              </w:rPr>
            </w:pPr>
            <m:oMathPara>
              <m:oMath>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work</m:t>
                    </m:r>
                  </m:sub>
                </m:sSub>
                <m:r>
                  <m:rPr>
                    <m:sty m:val="p"/>
                  </m:rPr>
                  <w:rPr>
                    <w:rFonts w:ascii="Cambria Math" w:hAnsi="Cambria Math"/>
                    <w:lang w:bidi="en-US"/>
                  </w:rPr>
                  <m:t>=</m:t>
                </m:r>
                <m:acc>
                  <m:accPr>
                    <m:chr m:val="̇"/>
                    <m:ctrlPr>
                      <w:rPr>
                        <w:rFonts w:ascii="Cambria Math" w:hAnsi="Cambria Math"/>
                        <w:bCs/>
                        <w:lang w:bidi="en-US"/>
                      </w:rPr>
                    </m:ctrlPr>
                  </m:accPr>
                  <m:e>
                    <m:r>
                      <w:rPr>
                        <w:rFonts w:ascii="Cambria Math" w:hAnsi="Cambria Math"/>
                        <w:lang w:bidi="en-US"/>
                      </w:rPr>
                      <m:t>W</m:t>
                    </m:r>
                  </m:e>
                </m:acc>
              </m:oMath>
            </m:oMathPara>
          </w:p>
        </w:tc>
        <w:tc>
          <w:tcPr>
            <w:tcW w:w="426" w:type="dxa"/>
            <w:vAlign w:val="bottom"/>
          </w:tcPr>
          <w:p w14:paraId="0D2D6B27" w14:textId="1FB90E1F" w:rsidR="00D64DD6" w:rsidRPr="00A900A3" w:rsidRDefault="00D64DD6" w:rsidP="00136071">
            <w:pPr>
              <w:spacing w:after="240"/>
              <w:jc w:val="center"/>
              <w:rPr>
                <w:rFonts w:cs="Arial"/>
                <w:bCs/>
                <w:i/>
                <w:iCs/>
                <w:lang w:bidi="en-US"/>
              </w:rPr>
            </w:pPr>
            <w:r w:rsidRPr="00A900A3">
              <w:rPr>
                <w:rFonts w:cs="Arial"/>
                <w:bCs/>
                <w:lang w:bidi="en-US"/>
              </w:rPr>
              <w:t>(</w:t>
            </w:r>
            <w:r w:rsidR="00A22745" w:rsidRPr="00A900A3">
              <w:rPr>
                <w:rFonts w:cs="Arial"/>
                <w:bCs/>
                <w:lang w:bidi="en-US"/>
              </w:rPr>
              <w:t>4</w:t>
            </w:r>
            <w:r w:rsidRPr="00A900A3">
              <w:rPr>
                <w:rFonts w:cs="Arial"/>
                <w:bCs/>
                <w:lang w:bidi="en-US"/>
              </w:rPr>
              <w:t>)</w:t>
            </w:r>
          </w:p>
        </w:tc>
      </w:tr>
      <w:tr w:rsidR="00D64DD6" w14:paraId="636725FC" w14:textId="77777777" w:rsidTr="00136071">
        <w:tc>
          <w:tcPr>
            <w:tcW w:w="8361" w:type="dxa"/>
          </w:tcPr>
          <w:p w14:paraId="647149B5" w14:textId="77777777" w:rsidR="00D64DD6" w:rsidRDefault="00000000" w:rsidP="00C32891">
            <w:pPr>
              <w:spacing w:after="240"/>
              <w:rPr>
                <w:bCs/>
                <w:i/>
                <w:iCs/>
                <w:lang w:bidi="en-US"/>
              </w:rPr>
            </w:pPr>
            <m:oMathPara>
              <m:oMath>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heat</m:t>
                    </m:r>
                  </m:sub>
                </m:sSub>
                <m:r>
                  <m:rPr>
                    <m:sty m:val="p"/>
                  </m:rPr>
                  <w:rPr>
                    <w:rFonts w:ascii="Cambria Math" w:hAnsi="Cambria Math"/>
                    <w:lang w:bidi="en-US"/>
                  </w:rPr>
                  <m:t>=</m:t>
                </m:r>
                <m:nary>
                  <m:naryPr>
                    <m:chr m:val="∑"/>
                    <m:limLoc m:val="undOvr"/>
                    <m:subHide m:val="1"/>
                    <m:supHide m:val="1"/>
                    <m:ctrlPr>
                      <w:rPr>
                        <w:rFonts w:ascii="Cambria Math" w:hAnsi="Cambria Math"/>
                        <w:bCs/>
                        <w:lang w:bidi="en-US"/>
                      </w:rPr>
                    </m:ctrlPr>
                  </m:naryPr>
                  <m:sub/>
                  <m:sup/>
                  <m:e>
                    <m:d>
                      <m:dPr>
                        <m:ctrlPr>
                          <w:rPr>
                            <w:rFonts w:ascii="Cambria Math" w:hAnsi="Cambria Math"/>
                            <w:bCs/>
                            <w:lang w:bidi="en-US"/>
                          </w:rPr>
                        </m:ctrlPr>
                      </m:dPr>
                      <m:e>
                        <m:r>
                          <m:rPr>
                            <m:sty m:val="p"/>
                          </m:rPr>
                          <w:rPr>
                            <w:rFonts w:ascii="Cambria Math" w:hAnsi="Cambria Math"/>
                            <w:lang w:bidi="en-US"/>
                          </w:rPr>
                          <m:t>1-</m:t>
                        </m:r>
                        <m:f>
                          <m:fPr>
                            <m:ctrlPr>
                              <w:rPr>
                                <w:rFonts w:ascii="Cambria Math" w:hAnsi="Cambria Math"/>
                                <w:bCs/>
                                <w:lang w:bidi="en-US"/>
                              </w:rPr>
                            </m:ctrlPr>
                          </m:fPr>
                          <m:num>
                            <m:sSub>
                              <m:sSubPr>
                                <m:ctrlPr>
                                  <w:rPr>
                                    <w:rFonts w:ascii="Cambria Math" w:hAnsi="Cambria Math"/>
                                    <w:bCs/>
                                    <w:lang w:bidi="en-US"/>
                                  </w:rPr>
                                </m:ctrlPr>
                              </m:sSubPr>
                              <m:e>
                                <m:r>
                                  <w:rPr>
                                    <w:rFonts w:ascii="Cambria Math" w:hAnsi="Cambria Math"/>
                                    <w:lang w:bidi="en-US"/>
                                  </w:rPr>
                                  <m:t>T</m:t>
                                </m:r>
                              </m:e>
                              <m:sub>
                                <m:r>
                                  <m:rPr>
                                    <m:sty m:val="p"/>
                                  </m:rPr>
                                  <w:rPr>
                                    <w:rFonts w:ascii="Cambria Math" w:hAnsi="Cambria Math"/>
                                    <w:lang w:bidi="en-US"/>
                                  </w:rPr>
                                  <m:t>0</m:t>
                                </m:r>
                              </m:sub>
                            </m:sSub>
                          </m:num>
                          <m:den>
                            <m:r>
                              <w:rPr>
                                <w:rFonts w:ascii="Cambria Math" w:hAnsi="Cambria Math"/>
                                <w:lang w:bidi="en-US"/>
                              </w:rPr>
                              <m:t>T</m:t>
                            </m:r>
                          </m:den>
                        </m:f>
                      </m:e>
                    </m:d>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Q</m:t>
                            </m:r>
                          </m:e>
                        </m:acc>
                      </m:e>
                      <m:sub>
                        <m:r>
                          <w:rPr>
                            <w:rFonts w:ascii="Cambria Math" w:hAnsi="Cambria Math"/>
                            <w:lang w:bidi="en-US"/>
                          </w:rPr>
                          <m:t>i</m:t>
                        </m:r>
                      </m:sub>
                    </m:sSub>
                  </m:e>
                </m:nary>
              </m:oMath>
            </m:oMathPara>
          </w:p>
        </w:tc>
        <w:tc>
          <w:tcPr>
            <w:tcW w:w="426" w:type="dxa"/>
            <w:vAlign w:val="bottom"/>
          </w:tcPr>
          <w:p w14:paraId="69259F8F" w14:textId="700C3936" w:rsidR="00D64DD6" w:rsidRPr="00A900A3" w:rsidRDefault="00D64DD6" w:rsidP="00136071">
            <w:pPr>
              <w:spacing w:after="240"/>
              <w:jc w:val="center"/>
              <w:rPr>
                <w:rFonts w:cs="Arial"/>
                <w:bCs/>
                <w:i/>
                <w:iCs/>
                <w:lang w:bidi="en-US"/>
              </w:rPr>
            </w:pPr>
            <w:r w:rsidRPr="00A900A3">
              <w:rPr>
                <w:rFonts w:cs="Arial"/>
                <w:bCs/>
                <w:lang w:bidi="en-US"/>
              </w:rPr>
              <w:t>(</w:t>
            </w:r>
            <w:r w:rsidR="00F75D97" w:rsidRPr="00A900A3">
              <w:rPr>
                <w:rFonts w:cs="Arial"/>
                <w:bCs/>
                <w:lang w:bidi="en-US"/>
              </w:rPr>
              <w:t>5</w:t>
            </w:r>
            <w:r w:rsidRPr="00A900A3">
              <w:rPr>
                <w:rFonts w:cs="Arial"/>
                <w:bCs/>
                <w:lang w:bidi="en-US"/>
              </w:rPr>
              <w:t>)</w:t>
            </w:r>
          </w:p>
        </w:tc>
      </w:tr>
    </w:tbl>
    <w:p w14:paraId="0DBA39FF" w14:textId="5A590CF8" w:rsidR="00D64DD6" w:rsidRPr="00FA0857" w:rsidRDefault="00FA0857" w:rsidP="00DB0BB0">
      <w:pPr>
        <w:pStyle w:val="CETBodytext"/>
        <w:spacing w:after="240"/>
        <w:rPr>
          <w:rFonts w:eastAsia="Arial"/>
        </w:rPr>
      </w:pPr>
      <w:r>
        <w:rPr>
          <w:rFonts w:eastAsia="Arial"/>
        </w:rPr>
        <w:t>The quantification of the exergy by the former equations is done both for the exergy getting into and outside the process globally and locally (per stage or unit)</w:t>
      </w:r>
      <w:r w:rsidR="00EC5A09">
        <w:rPr>
          <w:rFonts w:eastAsia="Arial"/>
        </w:rPr>
        <w:t>. For the exergy getting into, Eq. (6) considers exergy from mass and for the utilities. Contrary, the exergy exiting, is in the only in the form of mass, where it is categorized into products and residues, as Eq. (7) shows</w:t>
      </w:r>
      <w:r w:rsidR="009467F1">
        <w:rPr>
          <w:rFonts w:eastAsia="Arial"/>
        </w:rPr>
        <w:t xml:space="preserve"> </w:t>
      </w:r>
      <w:r w:rsidR="009467F1">
        <w:rPr>
          <w:rFonts w:eastAsia="Arial"/>
        </w:rPr>
        <w:fldChar w:fldCharType="begin" w:fldLock="1"/>
      </w:r>
      <w:r w:rsidR="006516E6">
        <w:rPr>
          <w:rFonts w:eastAsia="Arial"/>
        </w:rPr>
        <w:instrText>ADDIN CSL_CITATION {"citationItems":[{"id":"ITEM-1","itemData":{"DOI":"10.1016/j.rser.2019.05.044","ISSN":"18790690","abstract":"In recent decades, there is an increasing interest to gradually replace fossil energy sources because of the environmental concerns associated to their use. Therefore, promising renewable energy sources such as bio-oil have attracted great attention. The aim of this work is to provide insights into the application of computer-aided tools for decision-making related to renewable energy-based projects. The influence of feedstocks on the process design for producing bio-oil is evaluated from environmental and exergy viewpoints. To this end, two different feedstocks were selected: (i) mixture of banana empty fruit bunches/corn stover, and (ii) microalgae Chlorella sp. The processing topologies for bio-oil production were simulated using Aspen Plus ®, considering parameters such as operating conditions (temperature, pressure, among others). Exergy analysis was developed based on extended mass/energy balances, heat of reactions, work, among other parameters derived from process simulation. The Waste Reduction (WAR) algorithm was then applied to perform environmental analysis calculating potential environmental impacts. Thus, this work presented the exergetic and environmental comparison of two different low-cost feedstocks for renewable energy production. Results revealed that algal processing topology is the most convenient alternate based on exergy efficiency (</w:instrText>
      </w:r>
      <w:r w:rsidR="006516E6">
        <w:rPr>
          <w:rFonts w:ascii="Segoe UI Symbol" w:eastAsia="Arial" w:hAnsi="Segoe UI Symbol" w:cs="Segoe UI Symbol"/>
        </w:rPr>
        <w:instrText>⁓</w:instrText>
      </w:r>
      <w:r w:rsidR="006516E6">
        <w:rPr>
          <w:rFonts w:eastAsia="Arial"/>
        </w:rPr>
        <w:instrText>24%) and environmental performance (2.13×10-2 PEI output/kg; −3.22×10+1 PEI generated/kg).","author":[{"dropping-particle":"","family":"Moreno-Sader","given":"K.","non-dropping-particle":"","parse-names":false,"suffix":""},{"dropping-particle":"","family":"Meramo-Hurtado","given":"S. I.","non-dropping-particle":"","parse-names":false,"suffix":""},{"dropping-particle":"","family":"González-Delgado","given":"A. D.","non-dropping-particle":"","parse-names":false,"suffix":""}],"container-title":"Renewable and Sustainable Energy Reviews","id":"ITEM-1","issue":"February","issued":{"date-parts":[["2019"]]},"page":"42-57","publisher":"Elsevier Ltd","title":"Computer-aided environmental and exergy analysis as decision-making tools for selecting bio-oil feedstocks","type":"article-journal","volume":"112"},"uris":["http://www.mendeley.com/documents/?uuid=2b6c4d19-bdb1-41a8-a75b-28ca911f462a"]}],"mendeley":{"formattedCitation":"(K. Moreno-Sader et al., 2019)","plainTextFormattedCitation":"(K. Moreno-Sader et al., 2019)","previouslyFormattedCitation":"(K. Moreno-Sader et al., 2019)"},"properties":{"noteIndex":0},"schema":"https://github.com/citation-style-language/schema/raw/master/csl-citation.json"}</w:instrText>
      </w:r>
      <w:r w:rsidR="009467F1">
        <w:rPr>
          <w:rFonts w:eastAsia="Arial"/>
        </w:rPr>
        <w:fldChar w:fldCharType="separate"/>
      </w:r>
      <w:r w:rsidR="009467F1" w:rsidRPr="009467F1">
        <w:rPr>
          <w:rFonts w:eastAsia="Arial"/>
          <w:noProof/>
        </w:rPr>
        <w:t>(K. Moreno-Sader et al., 2019)</w:t>
      </w:r>
      <w:r w:rsidR="009467F1">
        <w:rPr>
          <w:rFonts w:eastAsia="Arial"/>
        </w:rPr>
        <w:fldChar w:fldCharType="end"/>
      </w:r>
      <w:r w:rsidR="00EC5A09">
        <w:rPr>
          <w:rFonts w:eastAsia="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436"/>
      </w:tblGrid>
      <w:tr w:rsidR="00F33062" w14:paraId="019428CB" w14:textId="77777777" w:rsidTr="00136071">
        <w:tc>
          <w:tcPr>
            <w:tcW w:w="8361" w:type="dxa"/>
          </w:tcPr>
          <w:p w14:paraId="0E1BB705" w14:textId="77777777" w:rsidR="00F33062" w:rsidRDefault="00000000" w:rsidP="00C32891">
            <w:pPr>
              <w:spacing w:after="240"/>
              <w:rPr>
                <w:bCs/>
                <w:i/>
                <w:iCs/>
                <w:lang w:bidi="en-US"/>
              </w:rPr>
            </w:pPr>
            <m:oMathPara>
              <m:oMath>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in</m:t>
                    </m:r>
                  </m:sub>
                </m:sSub>
                <m:r>
                  <m:rPr>
                    <m:sty m:val="p"/>
                  </m:rPr>
                  <w:rPr>
                    <w:rFonts w:ascii="Cambria Math" w:hAnsi="Cambria Math"/>
                    <w:lang w:bidi="en-US"/>
                  </w:rPr>
                  <m:t>=</m:t>
                </m:r>
                <m:nary>
                  <m:naryPr>
                    <m:chr m:val="∑"/>
                    <m:limLoc m:val="undOvr"/>
                    <m:subHide m:val="1"/>
                    <m:supHide m:val="1"/>
                    <m:ctrlPr>
                      <w:rPr>
                        <w:rFonts w:ascii="Cambria Math" w:hAnsi="Cambria Math"/>
                        <w:bCs/>
                        <w:lang w:bidi="en-US"/>
                      </w:rPr>
                    </m:ctrlPr>
                  </m:naryPr>
                  <m:sub/>
                  <m:sup/>
                  <m:e>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mass</m:t>
                        </m:r>
                        <m:r>
                          <m:rPr>
                            <m:sty m:val="p"/>
                          </m:rPr>
                          <w:rPr>
                            <w:rFonts w:ascii="Cambria Math" w:hAnsi="Cambria Math"/>
                            <w:lang w:bidi="en-US"/>
                          </w:rPr>
                          <m:t>-</m:t>
                        </m:r>
                        <m:r>
                          <w:rPr>
                            <w:rFonts w:ascii="Cambria Math" w:hAnsi="Cambria Math"/>
                            <w:lang w:bidi="en-US"/>
                          </w:rPr>
                          <m:t>in</m:t>
                        </m:r>
                      </m:sub>
                    </m:sSub>
                  </m:e>
                </m:nary>
                <m:r>
                  <m:rPr>
                    <m:sty m:val="p"/>
                  </m:rPr>
                  <w:rPr>
                    <w:rFonts w:ascii="Cambria Math" w:hAnsi="Cambria Math"/>
                    <w:lang w:bidi="en-US"/>
                  </w:rPr>
                  <m:t>+</m:t>
                </m:r>
                <m:nary>
                  <m:naryPr>
                    <m:chr m:val="∑"/>
                    <m:limLoc m:val="undOvr"/>
                    <m:subHide m:val="1"/>
                    <m:supHide m:val="1"/>
                    <m:ctrlPr>
                      <w:rPr>
                        <w:rFonts w:ascii="Cambria Math" w:hAnsi="Cambria Math"/>
                        <w:bCs/>
                        <w:lang w:bidi="en-US"/>
                      </w:rPr>
                    </m:ctrlPr>
                  </m:naryPr>
                  <m:sub/>
                  <m:sup/>
                  <m:e>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utilities</m:t>
                        </m:r>
                        <m:r>
                          <m:rPr>
                            <m:sty m:val="p"/>
                          </m:rPr>
                          <w:rPr>
                            <w:rFonts w:ascii="Cambria Math" w:hAnsi="Cambria Math"/>
                            <w:lang w:bidi="en-US"/>
                          </w:rPr>
                          <m:t>-</m:t>
                        </m:r>
                        <m:r>
                          <w:rPr>
                            <w:rFonts w:ascii="Cambria Math" w:hAnsi="Cambria Math"/>
                            <w:lang w:bidi="en-US"/>
                          </w:rPr>
                          <m:t>in</m:t>
                        </m:r>
                      </m:sub>
                    </m:sSub>
                  </m:e>
                </m:nary>
              </m:oMath>
            </m:oMathPara>
          </w:p>
        </w:tc>
        <w:tc>
          <w:tcPr>
            <w:tcW w:w="426" w:type="dxa"/>
            <w:vAlign w:val="center"/>
          </w:tcPr>
          <w:p w14:paraId="5848F2B7" w14:textId="169A8C52" w:rsidR="00F33062" w:rsidRPr="00A900A3" w:rsidRDefault="00F33062" w:rsidP="00136071">
            <w:pPr>
              <w:spacing w:after="240"/>
              <w:jc w:val="center"/>
              <w:rPr>
                <w:rFonts w:cs="Arial"/>
                <w:bCs/>
                <w:i/>
                <w:iCs/>
                <w:lang w:bidi="en-US"/>
              </w:rPr>
            </w:pPr>
            <w:r w:rsidRPr="00A900A3">
              <w:rPr>
                <w:rFonts w:cs="Arial"/>
                <w:bCs/>
                <w:lang w:bidi="en-US"/>
              </w:rPr>
              <w:t>(</w:t>
            </w:r>
            <w:r w:rsidR="00F75D97" w:rsidRPr="00A900A3">
              <w:rPr>
                <w:rFonts w:cs="Arial"/>
                <w:bCs/>
                <w:lang w:bidi="en-US"/>
              </w:rPr>
              <w:t>6</w:t>
            </w:r>
            <w:r w:rsidRPr="00A900A3">
              <w:rPr>
                <w:rFonts w:cs="Arial"/>
                <w:bCs/>
                <w:lang w:bidi="en-US"/>
              </w:rPr>
              <w:t>)</w:t>
            </w:r>
          </w:p>
        </w:tc>
      </w:tr>
      <w:tr w:rsidR="00F33062" w14:paraId="6C929D80" w14:textId="77777777" w:rsidTr="00136071">
        <w:tc>
          <w:tcPr>
            <w:tcW w:w="8361" w:type="dxa"/>
          </w:tcPr>
          <w:p w14:paraId="4F83E84A" w14:textId="77777777" w:rsidR="00F33062" w:rsidRDefault="00000000" w:rsidP="00C32891">
            <w:pPr>
              <w:spacing w:after="240"/>
              <w:rPr>
                <w:bCs/>
                <w:i/>
                <w:iCs/>
                <w:lang w:bidi="en-US"/>
              </w:rPr>
            </w:pPr>
            <m:oMathPara>
              <m:oMath>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Ex</m:t>
                        </m:r>
                      </m:e>
                    </m:acc>
                  </m:e>
                  <m:sub>
                    <m:r>
                      <w:rPr>
                        <w:rFonts w:ascii="Cambria Math" w:hAnsi="Cambria Math"/>
                        <w:lang w:bidi="en-US"/>
                      </w:rPr>
                      <m:t>out</m:t>
                    </m:r>
                  </m:sub>
                </m:sSub>
                <m:r>
                  <m:rPr>
                    <m:sty m:val="p"/>
                  </m:rPr>
                  <w:rPr>
                    <w:rFonts w:ascii="Cambria Math" w:hAnsi="Cambria Math"/>
                    <w:lang w:bidi="en-US"/>
                  </w:rPr>
                  <m:t>=</m:t>
                </m:r>
                <m:nary>
                  <m:naryPr>
                    <m:chr m:val="∑"/>
                    <m:limLoc m:val="undOvr"/>
                    <m:subHide m:val="1"/>
                    <m:supHide m:val="1"/>
                    <m:ctrlPr>
                      <w:rPr>
                        <w:rFonts w:ascii="Cambria Math" w:hAnsi="Cambria Math"/>
                        <w:bCs/>
                        <w:lang w:bidi="en-US"/>
                      </w:rPr>
                    </m:ctrlPr>
                  </m:naryPr>
                  <m:sub/>
                  <m:sup/>
                  <m:e>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products</m:t>
                        </m:r>
                      </m:sub>
                    </m:sSub>
                  </m:e>
                </m:nary>
                <m:r>
                  <m:rPr>
                    <m:sty m:val="p"/>
                  </m:rPr>
                  <w:rPr>
                    <w:rFonts w:ascii="Cambria Math" w:hAnsi="Cambria Math"/>
                    <w:lang w:bidi="en-US"/>
                  </w:rPr>
                  <m:t>+</m:t>
                </m:r>
                <m:nary>
                  <m:naryPr>
                    <m:chr m:val="∑"/>
                    <m:limLoc m:val="undOvr"/>
                    <m:subHide m:val="1"/>
                    <m:supHide m:val="1"/>
                    <m:ctrlPr>
                      <w:rPr>
                        <w:rFonts w:ascii="Cambria Math" w:hAnsi="Cambria Math"/>
                        <w:bCs/>
                        <w:lang w:bidi="en-US"/>
                      </w:rPr>
                    </m:ctrlPr>
                  </m:naryPr>
                  <m:sub/>
                  <m:sup/>
                  <m:e>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residues</m:t>
                        </m:r>
                      </m:sub>
                    </m:sSub>
                  </m:e>
                </m:nary>
              </m:oMath>
            </m:oMathPara>
          </w:p>
        </w:tc>
        <w:tc>
          <w:tcPr>
            <w:tcW w:w="426" w:type="dxa"/>
            <w:vAlign w:val="center"/>
          </w:tcPr>
          <w:p w14:paraId="12734E61" w14:textId="753BF992" w:rsidR="00F33062" w:rsidRPr="00A900A3" w:rsidRDefault="00F33062" w:rsidP="00136071">
            <w:pPr>
              <w:spacing w:after="240"/>
              <w:jc w:val="center"/>
              <w:rPr>
                <w:rFonts w:cs="Arial"/>
                <w:bCs/>
                <w:i/>
                <w:iCs/>
                <w:lang w:bidi="en-US"/>
              </w:rPr>
            </w:pPr>
            <w:r w:rsidRPr="00A900A3">
              <w:rPr>
                <w:rFonts w:cs="Arial"/>
                <w:bCs/>
                <w:lang w:bidi="en-US"/>
              </w:rPr>
              <w:t>(</w:t>
            </w:r>
            <w:r w:rsidR="00F75D97" w:rsidRPr="00A900A3">
              <w:rPr>
                <w:rFonts w:cs="Arial"/>
                <w:bCs/>
                <w:lang w:bidi="en-US"/>
              </w:rPr>
              <w:t>7</w:t>
            </w:r>
            <w:r w:rsidRPr="00A900A3">
              <w:rPr>
                <w:rFonts w:cs="Arial"/>
                <w:bCs/>
                <w:lang w:bidi="en-US"/>
              </w:rPr>
              <w:t>)</w:t>
            </w:r>
          </w:p>
        </w:tc>
      </w:tr>
    </w:tbl>
    <w:p w14:paraId="6E343FAD" w14:textId="596CC6A0" w:rsidR="00BC5230" w:rsidRPr="00BC5230" w:rsidRDefault="00BC5230" w:rsidP="00DB0BB0">
      <w:pPr>
        <w:pStyle w:val="CETBodytext"/>
        <w:spacing w:after="240"/>
        <w:rPr>
          <w:rFonts w:eastAsia="Arial"/>
        </w:rPr>
      </w:pPr>
      <w:r w:rsidRPr="00BC5230">
        <w:rPr>
          <w:rFonts w:eastAsia="Arial"/>
        </w:rPr>
        <w:t xml:space="preserve">From a balance between </w:t>
      </w:r>
      <w:r>
        <w:rPr>
          <w:rFonts w:eastAsia="Arial"/>
        </w:rPr>
        <w:t xml:space="preserve">the exergy crossing the process both globally and locally, the losses or irreversibilities can be quantified, as seen in Eq. (8). These losses include both </w:t>
      </w:r>
      <w:r w:rsidRPr="00BC5230">
        <w:rPr>
          <w:rFonts w:eastAsia="Arial"/>
        </w:rPr>
        <w:t>avoidable and unavoidable, which allows determining the recoverable e</w:t>
      </w:r>
      <w:r>
        <w:rPr>
          <w:rFonts w:eastAsia="Arial"/>
        </w:rPr>
        <w:t>x</w:t>
      </w:r>
      <w:r w:rsidRPr="00BC5230">
        <w:rPr>
          <w:rFonts w:eastAsia="Arial"/>
        </w:rPr>
        <w:t xml:space="preserve">ergy potential </w:t>
      </w:r>
      <w:r>
        <w:rPr>
          <w:rFonts w:eastAsia="Arial"/>
        </w:rPr>
        <w:t xml:space="preserve">of the </w:t>
      </w:r>
      <w:r w:rsidRPr="00BC5230">
        <w:rPr>
          <w:rFonts w:eastAsia="Arial"/>
        </w:rPr>
        <w:t>process</w:t>
      </w:r>
      <w:r>
        <w:rPr>
          <w:rFonts w:eastAsia="Arial"/>
        </w:rPr>
        <w:t xml:space="preserve"> and subprocess</w:t>
      </w:r>
      <w:r w:rsidRPr="00BC5230">
        <w:rPr>
          <w:rFonts w:eastAsia="Arial"/>
        </w:rPr>
        <w:t>.</w:t>
      </w:r>
      <w:r>
        <w:rPr>
          <w:rFonts w:eastAsia="Arial"/>
        </w:rPr>
        <w:t xml:space="preserve"> Moreover, with the losses</w:t>
      </w:r>
      <w:r w:rsidR="00A778E3">
        <w:rPr>
          <w:rFonts w:eastAsia="Arial"/>
        </w:rPr>
        <w:t>, efficiency</w:t>
      </w:r>
      <w:r>
        <w:rPr>
          <w:rFonts w:eastAsia="Arial"/>
        </w:rPr>
        <w:t xml:space="preserve"> </w:t>
      </w:r>
      <w:r w:rsidR="00A778E3">
        <w:rPr>
          <w:rFonts w:eastAsia="Arial"/>
        </w:rPr>
        <w:t>can be quantified using Eq. (9), both globally and locally. Lastly, the contribution of each stage to the total irreversibilities is quantified by Eq. (10)</w:t>
      </w:r>
      <w:r w:rsidR="009467F1">
        <w:rPr>
          <w:rFonts w:eastAsia="Arial"/>
        </w:rPr>
        <w:t xml:space="preserve"> </w:t>
      </w:r>
      <w:r w:rsidR="009467F1">
        <w:rPr>
          <w:rFonts w:eastAsia="Arial"/>
        </w:rPr>
        <w:fldChar w:fldCharType="begin" w:fldLock="1"/>
      </w:r>
      <w:r w:rsidR="006516E6">
        <w:rPr>
          <w:rFonts w:eastAsia="Arial"/>
        </w:rPr>
        <w:instrText>ADDIN CSL_CITATION {"citationItems":[{"id":"ITEM-1","itemData":{"DOI":"10.1016/j.rser.2019.05.044","ISSN":"18790690","abstract":"In recent decades, there is an increasing interest to gradually replace fossil energy sources because of the environmental concerns associated to their use. Therefore, promising renewable energy sources such as bio-oil have attracted great attention. The aim of this work is to provide insights into the application of computer-aided tools for decision-making related to renewable energy-based projects. The influence of feedstocks on the process design for producing bio-oil is evaluated from environmental and exergy viewpoints. To this end, two different feedstocks were selected: (i) mixture of banana empty fruit bunches/corn stover, and (ii) microalgae Chlorella sp. The processing topologies for bio-oil production were simulated using Aspen Plus ®, considering parameters such as operating conditions (temperature, pressure, among others). Exergy analysis was developed based on extended mass/energy balances, heat of reactions, work, among other parameters derived from process simulation. The Waste Reduction (WAR) algorithm was then applied to perform environmental analysis calculating potential environmental impacts. Thus, this work presented the exergetic and environmental comparison of two different low-cost feedstocks for renewable energy production. Results revealed that algal processing topology is the most convenient alternate based on exergy efficiency (</w:instrText>
      </w:r>
      <w:r w:rsidR="006516E6">
        <w:rPr>
          <w:rFonts w:ascii="Segoe UI Symbol" w:eastAsia="Arial" w:hAnsi="Segoe UI Symbol" w:cs="Segoe UI Symbol"/>
        </w:rPr>
        <w:instrText>⁓</w:instrText>
      </w:r>
      <w:r w:rsidR="006516E6">
        <w:rPr>
          <w:rFonts w:eastAsia="Arial"/>
        </w:rPr>
        <w:instrText>24%) and environmental performance (2.13×10-2 PEI output/kg; −3.22×10+1 PEI generated/kg).","author":[{"dropping-particle":"","family":"Moreno-Sader","given":"K.","non-dropping-particle":"","parse-names":false,"suffix":""},{"dropping-particle":"","family":"Meramo-Hurtado","given":"S. I.","non-dropping-particle":"","parse-names":false,"suffix":""},{"dropping-particle":"","family":"González-Delgado","given":"A. D.","non-dropping-particle":"","parse-names":false,"suffix":""}],"container-title":"Renewable and Sustainable Energy Reviews","id":"ITEM-1","issue":"February","issued":{"date-parts":[["2019"]]},"page":"42-57","publisher":"Elsevier Ltd","title":"Computer-aided environmental and exergy analysis as decision-making tools for selecting bio-oil feedstocks","type":"article-journal","volume":"112"},"uris":["http://www.mendeley.com/documents/?uuid=2b6c4d19-bdb1-41a8-a75b-28ca911f462a"]}],"mendeley":{"formattedCitation":"(K. Moreno-Sader et al., 2019)","plainTextFormattedCitation":"(K. Moreno-Sader et al., 2019)","previouslyFormattedCitation":"(K. Moreno-Sader et al., 2019)"},"properties":{"noteIndex":0},"schema":"https://github.com/citation-style-language/schema/raw/master/csl-citation.json"}</w:instrText>
      </w:r>
      <w:r w:rsidR="009467F1">
        <w:rPr>
          <w:rFonts w:eastAsia="Arial"/>
        </w:rPr>
        <w:fldChar w:fldCharType="separate"/>
      </w:r>
      <w:r w:rsidR="009467F1" w:rsidRPr="009467F1">
        <w:rPr>
          <w:rFonts w:eastAsia="Arial"/>
          <w:noProof/>
        </w:rPr>
        <w:t>(K. Moreno-Sader et al., 2019)</w:t>
      </w:r>
      <w:r w:rsidR="009467F1">
        <w:rPr>
          <w:rFonts w:eastAsia="Arial"/>
        </w:rPr>
        <w:fldChar w:fldCharType="end"/>
      </w:r>
      <w:r w:rsidR="00A778E3">
        <w:rPr>
          <w:rFonts w:eastAsia="Arial"/>
        </w:rPr>
        <w:t xml:space="preserve">. </w:t>
      </w:r>
    </w:p>
    <w:tbl>
      <w:tblPr>
        <w:tblStyle w:val="TableGrid"/>
        <w:tblW w:w="8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2"/>
        <w:gridCol w:w="537"/>
      </w:tblGrid>
      <w:tr w:rsidR="00F33062" w:rsidRPr="005621A6" w14:paraId="717B8589" w14:textId="77777777" w:rsidTr="008255A6">
        <w:trPr>
          <w:trHeight w:val="662"/>
        </w:trPr>
        <w:tc>
          <w:tcPr>
            <w:tcW w:w="8251" w:type="dxa"/>
          </w:tcPr>
          <w:p w14:paraId="2EC1E33E" w14:textId="3A2E0836" w:rsidR="00F33062" w:rsidRDefault="00000000" w:rsidP="00C32891">
            <w:pPr>
              <w:spacing w:after="240"/>
              <w:rPr>
                <w:bCs/>
                <w:i/>
                <w:iCs/>
                <w:lang w:bidi="en-US"/>
              </w:rPr>
            </w:pPr>
            <m:oMathPara>
              <m:oMath>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losses</m:t>
                    </m:r>
                  </m:sub>
                </m:sSub>
                <m:r>
                  <m:rPr>
                    <m:sty m:val="p"/>
                  </m:rPr>
                  <w:rPr>
                    <w:rFonts w:ascii="Cambria Math" w:hAnsi="Cambria Math"/>
                    <w:lang w:bidi="en-US"/>
                  </w:rPr>
                  <m:t>=</m:t>
                </m:r>
                <m:nary>
                  <m:naryPr>
                    <m:chr m:val="∑"/>
                    <m:limLoc m:val="undOvr"/>
                    <m:subHide m:val="1"/>
                    <m:supHide m:val="1"/>
                    <m:ctrlPr>
                      <w:rPr>
                        <w:rFonts w:ascii="Cambria Math" w:hAnsi="Cambria Math"/>
                        <w:bCs/>
                        <w:lang w:bidi="en-US"/>
                      </w:rPr>
                    </m:ctrlPr>
                  </m:naryPr>
                  <m:sub/>
                  <m:sup/>
                  <m:e>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in</m:t>
                        </m:r>
                      </m:sub>
                    </m:sSub>
                  </m:e>
                </m:nary>
                <m:r>
                  <m:rPr>
                    <m:sty m:val="p"/>
                  </m:rPr>
                  <w:rPr>
                    <w:rFonts w:ascii="Cambria Math" w:hAnsi="Cambria Math"/>
                    <w:lang w:bidi="en-US"/>
                  </w:rPr>
                  <m:t>-</m:t>
                </m:r>
                <m:nary>
                  <m:naryPr>
                    <m:chr m:val="∑"/>
                    <m:limLoc m:val="undOvr"/>
                    <m:subHide m:val="1"/>
                    <m:supHide m:val="1"/>
                    <m:ctrlPr>
                      <w:rPr>
                        <w:rFonts w:ascii="Cambria Math" w:hAnsi="Cambria Math"/>
                        <w:bCs/>
                        <w:lang w:bidi="en-US"/>
                      </w:rPr>
                    </m:ctrlPr>
                  </m:naryPr>
                  <m:sub/>
                  <m:sup/>
                  <m:e>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products</m:t>
                        </m:r>
                      </m:sub>
                    </m:sSub>
                  </m:e>
                </m:nary>
              </m:oMath>
            </m:oMathPara>
          </w:p>
        </w:tc>
        <w:tc>
          <w:tcPr>
            <w:tcW w:w="518" w:type="dxa"/>
            <w:vAlign w:val="center"/>
          </w:tcPr>
          <w:p w14:paraId="5F378F26" w14:textId="3D02467B" w:rsidR="00F33062" w:rsidRPr="00A900A3" w:rsidRDefault="00F33062" w:rsidP="008C0AE7">
            <w:pPr>
              <w:spacing w:after="240"/>
              <w:jc w:val="center"/>
              <w:rPr>
                <w:rFonts w:cs="Arial"/>
                <w:bCs/>
                <w:i/>
                <w:iCs/>
                <w:lang w:bidi="en-US"/>
              </w:rPr>
            </w:pPr>
            <w:r w:rsidRPr="00A900A3">
              <w:rPr>
                <w:rFonts w:cs="Arial"/>
                <w:bCs/>
                <w:lang w:bidi="en-US"/>
              </w:rPr>
              <w:t>(</w:t>
            </w:r>
            <w:r w:rsidR="00F75D97" w:rsidRPr="00A900A3">
              <w:rPr>
                <w:rFonts w:cs="Arial"/>
                <w:bCs/>
                <w:lang w:bidi="en-US"/>
              </w:rPr>
              <w:t>8</w:t>
            </w:r>
            <w:r w:rsidRPr="00A900A3">
              <w:rPr>
                <w:rFonts w:cs="Arial"/>
                <w:bCs/>
                <w:lang w:bidi="en-US"/>
              </w:rPr>
              <w:t>)</w:t>
            </w:r>
          </w:p>
        </w:tc>
      </w:tr>
      <w:tr w:rsidR="00D64DD6" w14:paraId="7B25C3B7" w14:textId="77777777" w:rsidTr="008255A6">
        <w:trPr>
          <w:trHeight w:val="792"/>
        </w:trPr>
        <w:tc>
          <w:tcPr>
            <w:tcW w:w="8251" w:type="dxa"/>
          </w:tcPr>
          <w:p w14:paraId="26704FA1" w14:textId="7F9F6C8C" w:rsidR="00D64DD6" w:rsidRDefault="00000000" w:rsidP="00C32891">
            <w:pPr>
              <w:spacing w:after="240"/>
              <w:rPr>
                <w:bCs/>
                <w:i/>
                <w:iCs/>
                <w:lang w:bidi="en-US"/>
              </w:rPr>
            </w:pPr>
            <m:oMathPara>
              <m:oMath>
                <m:sSub>
                  <m:sSubPr>
                    <m:ctrlPr>
                      <w:rPr>
                        <w:rFonts w:ascii="Cambria Math" w:hAnsi="Cambria Math"/>
                        <w:bCs/>
                        <w:i/>
                        <w:lang w:val="es-CO" w:bidi="en-US"/>
                      </w:rPr>
                    </m:ctrlPr>
                  </m:sSubPr>
                  <m:e>
                    <m:r>
                      <w:rPr>
                        <w:rFonts w:ascii="Cambria Math" w:hAnsi="Cambria Math"/>
                        <w:lang w:bidi="en-US"/>
                      </w:rPr>
                      <m:t>η</m:t>
                    </m:r>
                  </m:e>
                  <m:sub>
                    <m:r>
                      <w:rPr>
                        <w:rFonts w:ascii="Cambria Math" w:hAnsi="Cambria Math"/>
                        <w:lang w:bidi="en-US"/>
                      </w:rPr>
                      <m:t>Exergy</m:t>
                    </m:r>
                  </m:sub>
                </m:sSub>
                <m:r>
                  <m:rPr>
                    <m:sty m:val="p"/>
                  </m:rPr>
                  <w:rPr>
                    <w:rFonts w:ascii="Cambria Math" w:hAnsi="Cambria Math"/>
                    <w:lang w:bidi="en-US"/>
                  </w:rPr>
                  <m:t>=1-</m:t>
                </m:r>
                <m:d>
                  <m:dPr>
                    <m:ctrlPr>
                      <w:rPr>
                        <w:rFonts w:ascii="Cambria Math" w:hAnsi="Cambria Math"/>
                        <w:bCs/>
                        <w:i/>
                        <w:lang w:val="es-CO" w:bidi="en-US"/>
                      </w:rPr>
                    </m:ctrlPr>
                  </m:dPr>
                  <m:e>
                    <m:f>
                      <m:fPr>
                        <m:ctrlPr>
                          <w:rPr>
                            <w:rFonts w:ascii="Cambria Math" w:hAnsi="Cambria Math"/>
                            <w:bCs/>
                            <w:i/>
                            <w:lang w:val="es-CO" w:bidi="en-US"/>
                          </w:rPr>
                        </m:ctrlPr>
                      </m:fPr>
                      <m:num>
                        <m:sSub>
                          <m:sSubPr>
                            <m:ctrlPr>
                              <w:rPr>
                                <w:rFonts w:ascii="Cambria Math" w:hAnsi="Cambria Math"/>
                                <w:bCs/>
                                <w:i/>
                                <w:lang w:val="es-CO" w:bidi="en-US"/>
                              </w:rPr>
                            </m:ctrlPr>
                          </m:sSubPr>
                          <m:e>
                            <m:acc>
                              <m:accPr>
                                <m:chr m:val="̇"/>
                                <m:ctrlPr>
                                  <w:rPr>
                                    <w:rFonts w:ascii="Cambria Math" w:hAnsi="Cambria Math"/>
                                    <w:bCs/>
                                    <w:i/>
                                    <w:iCs/>
                                    <w:lang w:val="es-CO" w:bidi="en-US"/>
                                  </w:rPr>
                                </m:ctrlPr>
                              </m:accPr>
                              <m:e>
                                <m:r>
                                  <w:rPr>
                                    <w:rFonts w:ascii="Cambria Math" w:hAnsi="Cambria Math"/>
                                    <w:lang w:bidi="en-US"/>
                                  </w:rPr>
                                  <m:t>E</m:t>
                                </m:r>
                              </m:e>
                            </m:acc>
                            <m:r>
                              <w:rPr>
                                <w:rFonts w:ascii="Cambria Math" w:hAnsi="Cambria Math"/>
                                <w:lang w:bidi="en-US"/>
                              </w:rPr>
                              <m:t>x</m:t>
                            </m:r>
                          </m:e>
                          <m:sub>
                            <m:r>
                              <w:rPr>
                                <w:rFonts w:ascii="Cambria Math" w:hAnsi="Cambria Math"/>
                                <w:lang w:val="es-CO" w:bidi="en-US"/>
                              </w:rPr>
                              <m:t>losses</m:t>
                            </m:r>
                          </m:sub>
                        </m:sSub>
                      </m:num>
                      <m:den>
                        <m:sSub>
                          <m:sSubPr>
                            <m:ctrlPr>
                              <w:rPr>
                                <w:rFonts w:ascii="Cambria Math" w:hAnsi="Cambria Math"/>
                                <w:bCs/>
                                <w:i/>
                                <w:lang w:val="es-CO" w:bidi="en-US"/>
                              </w:rPr>
                            </m:ctrlPr>
                          </m:sSubPr>
                          <m:e>
                            <m:acc>
                              <m:accPr>
                                <m:chr m:val="̇"/>
                                <m:ctrlPr>
                                  <w:rPr>
                                    <w:rFonts w:ascii="Cambria Math" w:hAnsi="Cambria Math"/>
                                    <w:bCs/>
                                    <w:i/>
                                    <w:iCs/>
                                    <w:lang w:val="es-CO"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in</m:t>
                            </m:r>
                          </m:sub>
                        </m:sSub>
                      </m:den>
                    </m:f>
                  </m:e>
                </m:d>
                <m:r>
                  <m:rPr>
                    <m:sty m:val="p"/>
                  </m:rPr>
                  <w:rPr>
                    <w:rFonts w:ascii="Cambria Math" w:hAnsi="Cambria Math"/>
                    <w:lang w:bidi="en-US"/>
                  </w:rPr>
                  <m:t>*100%</m:t>
                </m:r>
              </m:oMath>
            </m:oMathPara>
          </w:p>
        </w:tc>
        <w:tc>
          <w:tcPr>
            <w:tcW w:w="518" w:type="dxa"/>
            <w:vAlign w:val="center"/>
          </w:tcPr>
          <w:p w14:paraId="3DAB9952" w14:textId="69C1978C" w:rsidR="00D64DD6" w:rsidRPr="00A900A3" w:rsidRDefault="00D64DD6" w:rsidP="008C0AE7">
            <w:pPr>
              <w:spacing w:after="240"/>
              <w:jc w:val="center"/>
              <w:rPr>
                <w:rFonts w:cs="Arial"/>
                <w:bCs/>
                <w:i/>
                <w:iCs/>
                <w:lang w:bidi="en-US"/>
              </w:rPr>
            </w:pPr>
            <w:r w:rsidRPr="00A900A3">
              <w:rPr>
                <w:rFonts w:cs="Arial"/>
                <w:bCs/>
                <w:iCs/>
                <w:lang w:bidi="en-US"/>
              </w:rPr>
              <w:t>(</w:t>
            </w:r>
            <w:r w:rsidR="00F75D97" w:rsidRPr="00A900A3">
              <w:rPr>
                <w:rFonts w:cs="Arial"/>
                <w:bCs/>
                <w:iCs/>
                <w:lang w:bidi="en-US"/>
              </w:rPr>
              <w:t>9</w:t>
            </w:r>
            <w:r w:rsidRPr="00A900A3">
              <w:rPr>
                <w:rFonts w:cs="Arial"/>
                <w:bCs/>
                <w:iCs/>
                <w:lang w:bidi="en-US"/>
              </w:rPr>
              <w:t>)</w:t>
            </w:r>
          </w:p>
        </w:tc>
      </w:tr>
      <w:tr w:rsidR="00D64DD6" w14:paraId="7D95E6D4" w14:textId="77777777" w:rsidTr="008255A6">
        <w:trPr>
          <w:trHeight w:val="792"/>
        </w:trPr>
        <w:tc>
          <w:tcPr>
            <w:tcW w:w="8251" w:type="dxa"/>
          </w:tcPr>
          <w:p w14:paraId="39C0C95A" w14:textId="56230B5E" w:rsidR="00D64DD6" w:rsidRDefault="00000000" w:rsidP="00C32891">
            <w:pPr>
              <w:spacing w:after="240"/>
              <w:rPr>
                <w:bCs/>
                <w:i/>
                <w:iCs/>
                <w:lang w:bidi="en-US"/>
              </w:rPr>
            </w:pPr>
            <m:oMathPara>
              <m:oMath>
                <m:sSub>
                  <m:sSubPr>
                    <m:ctrlPr>
                      <w:rPr>
                        <w:rFonts w:ascii="Cambria Math" w:hAnsi="Cambria Math"/>
                        <w:bCs/>
                        <w:i/>
                        <w:lang w:val="es-CO" w:bidi="en-US"/>
                      </w:rPr>
                    </m:ctrlPr>
                  </m:sSubPr>
                  <m:e>
                    <m:r>
                      <m:rPr>
                        <m:sty m:val="p"/>
                      </m:rPr>
                      <w:rPr>
                        <w:rFonts w:ascii="Cambria Math" w:hAnsi="Cambria Math"/>
                        <w:lang w:bidi="en-US"/>
                      </w:rPr>
                      <m:t>%</m:t>
                    </m:r>
                    <m:r>
                      <w:rPr>
                        <w:rFonts w:ascii="Cambria Math" w:hAnsi="Cambria Math"/>
                        <w:lang w:bidi="en-US"/>
                      </w:rPr>
                      <m:t>Ex</m:t>
                    </m:r>
                  </m:e>
                  <m:sub>
                    <m:r>
                      <w:rPr>
                        <w:rFonts w:ascii="Cambria Math" w:hAnsi="Cambria Math"/>
                        <w:lang w:bidi="en-US"/>
                      </w:rPr>
                      <m:t>lost</m:t>
                    </m:r>
                    <m:r>
                      <m:rPr>
                        <m:sty m:val="p"/>
                      </m:rPr>
                      <w:rPr>
                        <w:rFonts w:ascii="Cambria Math" w:hAnsi="Cambria Math"/>
                        <w:lang w:bidi="en-US"/>
                      </w:rPr>
                      <m:t xml:space="preserve">, </m:t>
                    </m:r>
                    <m:r>
                      <w:rPr>
                        <w:rFonts w:ascii="Cambria Math" w:hAnsi="Cambria Math"/>
                        <w:lang w:bidi="en-US"/>
                      </w:rPr>
                      <m:t>i</m:t>
                    </m:r>
                  </m:sub>
                </m:sSub>
                <m:r>
                  <m:rPr>
                    <m:sty m:val="p"/>
                  </m:rPr>
                  <w:rPr>
                    <w:rFonts w:ascii="Cambria Math" w:hAnsi="Cambria Math"/>
                    <w:lang w:bidi="en-US"/>
                  </w:rPr>
                  <m:t>=</m:t>
                </m:r>
                <m:d>
                  <m:dPr>
                    <m:ctrlPr>
                      <w:rPr>
                        <w:rFonts w:ascii="Cambria Math" w:hAnsi="Cambria Math"/>
                        <w:bCs/>
                        <w:i/>
                        <w:lang w:val="es-CO" w:bidi="en-US"/>
                      </w:rPr>
                    </m:ctrlPr>
                  </m:dPr>
                  <m:e>
                    <m:f>
                      <m:fPr>
                        <m:ctrlPr>
                          <w:rPr>
                            <w:rFonts w:ascii="Cambria Math" w:hAnsi="Cambria Math"/>
                            <w:bCs/>
                            <w:i/>
                            <w:lang w:val="es-CO" w:bidi="en-US"/>
                          </w:rPr>
                        </m:ctrlPr>
                      </m:fPr>
                      <m:num>
                        <m:sSub>
                          <m:sSubPr>
                            <m:ctrlPr>
                              <w:rPr>
                                <w:rFonts w:ascii="Cambria Math" w:hAnsi="Cambria Math"/>
                                <w:bCs/>
                                <w:i/>
                                <w:lang w:val="es-CO" w:bidi="en-US"/>
                              </w:rPr>
                            </m:ctrlPr>
                          </m:sSubPr>
                          <m:e>
                            <m:acc>
                              <m:accPr>
                                <m:chr m:val="̇"/>
                                <m:ctrlPr>
                                  <w:rPr>
                                    <w:rFonts w:ascii="Cambria Math" w:hAnsi="Cambria Math"/>
                                    <w:bCs/>
                                    <w:i/>
                                    <w:iCs/>
                                    <w:lang w:val="es-CO" w:bidi="en-US"/>
                                  </w:rPr>
                                </m:ctrlPr>
                              </m:accPr>
                              <m:e>
                                <m:r>
                                  <w:rPr>
                                    <w:rFonts w:ascii="Cambria Math" w:hAnsi="Cambria Math"/>
                                    <w:lang w:bidi="en-US"/>
                                  </w:rPr>
                                  <m:t>E</m:t>
                                </m:r>
                              </m:e>
                            </m:acc>
                            <m:r>
                              <w:rPr>
                                <w:rFonts w:ascii="Cambria Math" w:hAnsi="Cambria Math"/>
                                <w:lang w:bidi="en-US"/>
                              </w:rPr>
                              <m:t>x</m:t>
                            </m:r>
                          </m:e>
                          <m:sub>
                            <m:r>
                              <w:rPr>
                                <w:rFonts w:ascii="Cambria Math" w:hAnsi="Cambria Math"/>
                                <w:lang w:val="es-CO" w:bidi="en-US"/>
                              </w:rPr>
                              <m:t>losses</m:t>
                            </m:r>
                            <m:r>
                              <m:rPr>
                                <m:sty m:val="p"/>
                              </m:rPr>
                              <w:rPr>
                                <w:rFonts w:ascii="Cambria Math" w:hAnsi="Cambria Math"/>
                                <w:lang w:bidi="en-US"/>
                              </w:rPr>
                              <m:t xml:space="preserve">, </m:t>
                            </m:r>
                            <m:r>
                              <w:rPr>
                                <w:rFonts w:ascii="Cambria Math" w:hAnsi="Cambria Math"/>
                                <w:lang w:bidi="en-US"/>
                              </w:rPr>
                              <m:t>i</m:t>
                            </m:r>
                          </m:sub>
                        </m:sSub>
                      </m:num>
                      <m:den>
                        <m:sSub>
                          <m:sSubPr>
                            <m:ctrlPr>
                              <w:rPr>
                                <w:rFonts w:ascii="Cambria Math" w:hAnsi="Cambria Math"/>
                                <w:bCs/>
                                <w:i/>
                                <w:lang w:val="es-CO" w:bidi="en-US"/>
                              </w:rPr>
                            </m:ctrlPr>
                          </m:sSubPr>
                          <m:e>
                            <m:acc>
                              <m:accPr>
                                <m:chr m:val="̇"/>
                                <m:ctrlPr>
                                  <w:rPr>
                                    <w:rFonts w:ascii="Cambria Math" w:hAnsi="Cambria Math"/>
                                    <w:bCs/>
                                    <w:i/>
                                    <w:iCs/>
                                    <w:lang w:val="es-CO"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total</m:t>
                            </m:r>
                            <m:r>
                              <m:rPr>
                                <m:sty m:val="p"/>
                              </m:rPr>
                              <w:rPr>
                                <w:rFonts w:ascii="Cambria Math" w:hAnsi="Cambria Math"/>
                                <w:lang w:bidi="en-US"/>
                              </w:rPr>
                              <m:t>-</m:t>
                            </m:r>
                            <m:r>
                              <m:rPr>
                                <m:sty m:val="p"/>
                              </m:rPr>
                              <w:rPr>
                                <w:rFonts w:ascii="Cambria Math" w:hAnsi="Cambria Math"/>
                                <w:lang w:bidi="en-US"/>
                              </w:rPr>
                              <m:t>losses</m:t>
                            </m:r>
                          </m:sub>
                        </m:sSub>
                      </m:den>
                    </m:f>
                  </m:e>
                </m:d>
                <m:r>
                  <m:rPr>
                    <m:sty m:val="p"/>
                  </m:rPr>
                  <w:rPr>
                    <w:rFonts w:ascii="Cambria Math" w:hAnsi="Cambria Math"/>
                    <w:lang w:bidi="en-US"/>
                  </w:rPr>
                  <m:t>*100%</m:t>
                </m:r>
              </m:oMath>
            </m:oMathPara>
          </w:p>
        </w:tc>
        <w:tc>
          <w:tcPr>
            <w:tcW w:w="518" w:type="dxa"/>
            <w:vAlign w:val="center"/>
          </w:tcPr>
          <w:p w14:paraId="33F949ED" w14:textId="098285A1" w:rsidR="00D64DD6" w:rsidRPr="00A900A3" w:rsidRDefault="00D64DD6" w:rsidP="008C0AE7">
            <w:pPr>
              <w:spacing w:after="240"/>
              <w:jc w:val="center"/>
              <w:rPr>
                <w:rFonts w:cs="Arial"/>
                <w:bCs/>
                <w:i/>
                <w:iCs/>
                <w:lang w:bidi="en-US"/>
              </w:rPr>
            </w:pPr>
            <w:r w:rsidRPr="00A900A3">
              <w:rPr>
                <w:rFonts w:cs="Arial"/>
                <w:bCs/>
                <w:lang w:bidi="en-US"/>
              </w:rPr>
              <w:t>(</w:t>
            </w:r>
            <w:r w:rsidR="00F75D97" w:rsidRPr="00A900A3">
              <w:rPr>
                <w:rFonts w:cs="Arial"/>
                <w:bCs/>
                <w:lang w:bidi="en-US"/>
              </w:rPr>
              <w:t>10</w:t>
            </w:r>
            <w:r w:rsidRPr="00A900A3">
              <w:rPr>
                <w:rFonts w:cs="Arial"/>
                <w:bCs/>
                <w:lang w:bidi="en-US"/>
              </w:rPr>
              <w:t>)</w:t>
            </w:r>
          </w:p>
        </w:tc>
      </w:tr>
    </w:tbl>
    <w:p w14:paraId="1A13520F" w14:textId="6B558110" w:rsidR="005F29D3" w:rsidRDefault="004F412E" w:rsidP="00734B75">
      <w:pPr>
        <w:pStyle w:val="CETHeading1"/>
        <w:numPr>
          <w:ilvl w:val="0"/>
          <w:numId w:val="15"/>
        </w:numPr>
        <w:rPr>
          <w:rFonts w:eastAsia="Arial"/>
        </w:rPr>
      </w:pPr>
      <w:r w:rsidRPr="00734B75">
        <w:rPr>
          <w:rFonts w:eastAsia="Arial"/>
        </w:rPr>
        <w:t>Results and discussion</w:t>
      </w:r>
    </w:p>
    <w:p w14:paraId="6A805830" w14:textId="67259171" w:rsidR="00BD6D3C" w:rsidRDefault="00BD6D3C" w:rsidP="00563A3C">
      <w:pPr>
        <w:pStyle w:val="CETBodytext"/>
        <w:spacing w:before="240" w:after="240" w:line="276" w:lineRule="auto"/>
        <w:rPr>
          <w:rFonts w:eastAsia="Arial"/>
        </w:rPr>
      </w:pPr>
      <w:r>
        <w:rPr>
          <w:rFonts w:eastAsia="Arial"/>
        </w:rPr>
        <w:t>In figure 2 the exergy performance of each subprocess of the avocado cascade biorefinery is portrayed.</w:t>
      </w:r>
      <w:r w:rsidR="005202CF">
        <w:rPr>
          <w:rFonts w:eastAsia="Arial"/>
        </w:rPr>
        <w:t xml:space="preserve"> In which m</w:t>
      </w:r>
      <w:r>
        <w:rPr>
          <w:rFonts w:eastAsia="Arial"/>
        </w:rPr>
        <w:t>ost</w:t>
      </w:r>
      <w:r w:rsidR="005202CF">
        <w:rPr>
          <w:rFonts w:eastAsia="Arial"/>
        </w:rPr>
        <w:t xml:space="preserve"> </w:t>
      </w:r>
      <w:r>
        <w:rPr>
          <w:rFonts w:eastAsia="Arial"/>
        </w:rPr>
        <w:t xml:space="preserve">of the stages of the biorefinery were strongly inefficient with values of 9.9%, 5.9% and 2.6% for bio-film production, biocontrol agent production and starch extraction, respectively. </w:t>
      </w:r>
      <w:r w:rsidR="005202CF">
        <w:rPr>
          <w:rFonts w:eastAsia="Arial"/>
        </w:rPr>
        <w:t xml:space="preserve">The poor performance indicates the requiring of improvements for the individual stages of the biorefinery. </w:t>
      </w:r>
      <w:r>
        <w:rPr>
          <w:rFonts w:eastAsia="Arial"/>
        </w:rPr>
        <w:t>In contrast,</w:t>
      </w:r>
      <w:r w:rsidR="003E2EBA">
        <w:rPr>
          <w:rFonts w:eastAsia="Arial"/>
        </w:rPr>
        <w:t xml:space="preserve"> </w:t>
      </w:r>
      <w:r>
        <w:rPr>
          <w:rFonts w:eastAsia="Arial"/>
        </w:rPr>
        <w:t xml:space="preserve">the seed conditioning </w:t>
      </w:r>
      <w:r w:rsidR="003E2EBA">
        <w:rPr>
          <w:rFonts w:eastAsia="Arial"/>
        </w:rPr>
        <w:t xml:space="preserve">stage </w:t>
      </w:r>
      <w:r w:rsidR="003E2EBA">
        <w:rPr>
          <w:rFonts w:eastAsia="Arial"/>
        </w:rPr>
        <w:t xml:space="preserve">was </w:t>
      </w:r>
      <w:r w:rsidR="003E2EBA">
        <w:rPr>
          <w:rFonts w:eastAsia="Arial"/>
        </w:rPr>
        <w:t xml:space="preserve">the most efficient </w:t>
      </w:r>
      <w:r>
        <w:rPr>
          <w:rFonts w:eastAsia="Arial"/>
        </w:rPr>
        <w:t>with 88%</w:t>
      </w:r>
      <w:r w:rsidR="00915750">
        <w:rPr>
          <w:rFonts w:eastAsia="Arial"/>
        </w:rPr>
        <w:t>, as the stage contains only a washing and fractioning, meaning conserving the most exergy entering the stage.</w:t>
      </w:r>
      <w:r w:rsidR="006B13E2">
        <w:rPr>
          <w:rFonts w:eastAsia="Arial"/>
        </w:rPr>
        <w:t xml:space="preserve"> However, the stage had important exergy in its waste that can be </w:t>
      </w:r>
      <w:r w:rsidR="00563A3C">
        <w:rPr>
          <w:rFonts w:eastAsia="Arial"/>
        </w:rPr>
        <w:t>reused</w:t>
      </w:r>
      <w:r w:rsidR="006B13E2">
        <w:rPr>
          <w:rFonts w:eastAsia="Arial"/>
        </w:rPr>
        <w:t>.</w:t>
      </w:r>
    </w:p>
    <w:p w14:paraId="474F7967" w14:textId="6D5D2484" w:rsidR="00FC3036" w:rsidRDefault="00EC25C3" w:rsidP="00734B75">
      <w:pPr>
        <w:pBdr>
          <w:top w:val="nil"/>
          <w:left w:val="nil"/>
          <w:bottom w:val="nil"/>
          <w:right w:val="nil"/>
          <w:between w:val="nil"/>
        </w:pBdr>
        <w:rPr>
          <w:rFonts w:eastAsia="Arial" w:cs="Arial"/>
          <w:color w:val="000000"/>
          <w:szCs w:val="18"/>
          <w:lang w:val="en-US"/>
        </w:rPr>
      </w:pPr>
      <w:r>
        <w:rPr>
          <w:noProof/>
        </w:rPr>
        <w:lastRenderedPageBreak/>
        <w:drawing>
          <wp:inline distT="0" distB="0" distL="0" distR="0" wp14:anchorId="294EC468" wp14:editId="640DFE77">
            <wp:extent cx="5172075" cy="2647950"/>
            <wp:effectExtent l="0" t="0" r="9525" b="0"/>
            <wp:docPr id="347246177" name="Chart 1">
              <a:extLst xmlns:a="http://schemas.openxmlformats.org/drawingml/2006/main">
                <a:ext uri="{FF2B5EF4-FFF2-40B4-BE49-F238E27FC236}">
                  <a16:creationId xmlns:a16="http://schemas.microsoft.com/office/drawing/2014/main" id="{F427EB73-938B-FA52-15BB-95DD927F3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92D37E4" w14:textId="7F2C2B28" w:rsidR="000A0076" w:rsidRDefault="00FC3036" w:rsidP="00C63B18">
      <w:pPr>
        <w:pStyle w:val="CETCaption"/>
        <w:spacing w:before="0"/>
        <w:rPr>
          <w:rFonts w:eastAsia="Arial"/>
          <w:i w:val="0"/>
          <w:iCs/>
        </w:rPr>
      </w:pPr>
      <w:bookmarkStart w:id="0" w:name="_Toc144145247"/>
      <w:r w:rsidRPr="00FC3036">
        <w:rPr>
          <w:rFonts w:eastAsia="Arial"/>
          <w:b/>
          <w:bCs/>
          <w:lang w:val="en-US"/>
        </w:rPr>
        <w:t xml:space="preserve">Figure </w:t>
      </w:r>
      <w:r w:rsidR="00651C37" w:rsidRPr="00651C37">
        <w:rPr>
          <w:rFonts w:eastAsia="Arial"/>
          <w:b/>
          <w:bCs/>
          <w:lang w:val="en-US"/>
        </w:rPr>
        <w:t>2</w:t>
      </w:r>
      <w:r w:rsidRPr="00FC3036">
        <w:rPr>
          <w:rFonts w:eastAsia="Arial"/>
          <w:b/>
          <w:bCs/>
          <w:lang w:val="en-US"/>
        </w:rPr>
        <w:t xml:space="preserve">. </w:t>
      </w:r>
      <w:bookmarkEnd w:id="0"/>
      <w:r w:rsidR="00F97F4B" w:rsidRPr="00D8176C">
        <w:rPr>
          <w:rFonts w:eastAsia="Arial"/>
          <w:i w:val="0"/>
          <w:iCs/>
        </w:rPr>
        <w:t xml:space="preserve">Exergy parameters by stage for </w:t>
      </w:r>
      <w:r w:rsidR="00D8176C" w:rsidRPr="00D8176C">
        <w:rPr>
          <w:rFonts w:eastAsia="Arial"/>
          <w:i w:val="0"/>
          <w:iCs/>
        </w:rPr>
        <w:t>the avocado cascade</w:t>
      </w:r>
      <w:r w:rsidR="00F97F4B" w:rsidRPr="00D8176C">
        <w:rPr>
          <w:rFonts w:eastAsia="Arial"/>
          <w:i w:val="0"/>
          <w:iCs/>
        </w:rPr>
        <w:t xml:space="preserve"> biorefinery.</w:t>
      </w:r>
    </w:p>
    <w:p w14:paraId="0146B0BA" w14:textId="53A4ED0B" w:rsidR="00DB0BB0" w:rsidRPr="00DB0BB0" w:rsidRDefault="006B13E2" w:rsidP="00563A3C">
      <w:pPr>
        <w:pStyle w:val="CETBodytext"/>
        <w:spacing w:after="240" w:line="276" w:lineRule="auto"/>
        <w:rPr>
          <w:rFonts w:eastAsia="Arial"/>
        </w:rPr>
      </w:pPr>
      <w:r>
        <w:rPr>
          <w:rFonts w:eastAsia="Arial"/>
        </w:rPr>
        <w:t>Observing more deeply</w:t>
      </w:r>
      <w:r w:rsidR="00DB0BB0">
        <w:rPr>
          <w:rFonts w:eastAsia="Arial"/>
        </w:rPr>
        <w:t>, highest irreversibilities were obtained in the starch extraction stage with 882.7 MJ/h, followed by 859.4 MJ/h in the biocontrol agent production stage. Both are characterized by important significant changes in temperature and pressure, alongside the generation of important streams of waste. Especially for the biocontrol agent production stage, where the highest exergy lost in waste was present (776 MJ/h), as significant streams of purged solvent and spent solids are ejected from purification units.</w:t>
      </w:r>
      <w:r w:rsidR="00712EB7">
        <w:rPr>
          <w:rFonts w:eastAsia="Arial"/>
        </w:rPr>
        <w:t xml:space="preserve"> </w:t>
      </w:r>
      <w:r w:rsidR="00DB0BB0">
        <w:rPr>
          <w:rFonts w:eastAsia="Arial"/>
        </w:rPr>
        <w:t>The most exergy entered as utility was in the starch extraction and the biocontrol agent, in which 89.62 and 97.09 MJ/h were used, respectively. For both the main source was heat, specifically heat for the air used to dry the wet mass (wet starch and wet bioagent emulsion). For the former stage, atomization drying required more, as several units were used to separate solvent using heat (ethanol), furthermore, the atomization dryer used work for the pump of the bioagent into the dryer.</w:t>
      </w:r>
    </w:p>
    <w:p w14:paraId="467FCFFE" w14:textId="16816B27" w:rsidR="001F42DC" w:rsidRPr="00A900A3" w:rsidRDefault="00BD6D3C" w:rsidP="00563A3C">
      <w:pPr>
        <w:pStyle w:val="CETCaption"/>
        <w:spacing w:before="0" w:line="276" w:lineRule="auto"/>
        <w:rPr>
          <w:rFonts w:eastAsia="Arial"/>
          <w:i w:val="0"/>
          <w:iCs/>
        </w:rPr>
      </w:pPr>
      <w:r>
        <w:rPr>
          <w:rFonts w:eastAsia="Arial"/>
          <w:i w:val="0"/>
          <w:iCs/>
        </w:rPr>
        <w:t xml:space="preserve">In figure 3 the global exergy performance of the analysed cascade biorefinery is depicted. </w:t>
      </w:r>
      <w:r w:rsidRPr="00A900A3">
        <w:rPr>
          <w:rFonts w:eastAsia="Arial"/>
          <w:i w:val="0"/>
          <w:iCs/>
        </w:rPr>
        <w:t xml:space="preserve">Firstly, the overall efficiency of the process was very </w:t>
      </w:r>
      <w:r w:rsidR="001F42DC" w:rsidRPr="00A900A3">
        <w:rPr>
          <w:rFonts w:eastAsia="Arial"/>
          <w:i w:val="0"/>
          <w:iCs/>
        </w:rPr>
        <w:t>low,</w:t>
      </w:r>
      <w:r w:rsidRPr="00A900A3">
        <w:rPr>
          <w:rFonts w:eastAsia="Arial"/>
          <w:i w:val="0"/>
          <w:iCs/>
        </w:rPr>
        <w:t xml:space="preserve"> with 1.5%</w:t>
      </w:r>
      <w:r w:rsidR="001F42DC" w:rsidRPr="00A900A3">
        <w:rPr>
          <w:rFonts w:eastAsia="Arial"/>
          <w:i w:val="0"/>
          <w:iCs/>
        </w:rPr>
        <w:t xml:space="preserve">, characterizing the process as very inefficient. Consequently, the process </w:t>
      </w:r>
      <w:r w:rsidR="00010048" w:rsidRPr="00A900A3">
        <w:rPr>
          <w:rFonts w:eastAsia="Arial"/>
          <w:i w:val="0"/>
          <w:iCs/>
        </w:rPr>
        <w:t>requires</w:t>
      </w:r>
      <w:r w:rsidR="001F42DC" w:rsidRPr="00A900A3">
        <w:rPr>
          <w:rFonts w:eastAsia="Arial"/>
          <w:i w:val="0"/>
          <w:iCs/>
        </w:rPr>
        <w:t xml:space="preserve"> further optimization to reduce losses throughout the whole process</w:t>
      </w:r>
      <w:r w:rsidR="008C640D" w:rsidRPr="00A900A3">
        <w:rPr>
          <w:rFonts w:eastAsia="Arial"/>
          <w:i w:val="0"/>
          <w:iCs/>
        </w:rPr>
        <w:t>,</w:t>
      </w:r>
      <w:r w:rsidR="001F42DC" w:rsidRPr="00A900A3">
        <w:rPr>
          <w:rFonts w:eastAsia="Arial"/>
          <w:i w:val="0"/>
          <w:iCs/>
        </w:rPr>
        <w:t xml:space="preserve"> in the form of heat </w:t>
      </w:r>
      <w:r w:rsidR="00010048" w:rsidRPr="00A900A3">
        <w:rPr>
          <w:rFonts w:eastAsia="Arial"/>
          <w:i w:val="0"/>
          <w:iCs/>
        </w:rPr>
        <w:t>exchange</w:t>
      </w:r>
      <w:r w:rsidR="001F42DC" w:rsidRPr="00A900A3">
        <w:rPr>
          <w:rFonts w:eastAsia="Arial"/>
          <w:i w:val="0"/>
          <w:iCs/>
        </w:rPr>
        <w:t xml:space="preserve"> networks </w:t>
      </w:r>
      <w:r w:rsidR="003C0B4F" w:rsidRPr="00A900A3">
        <w:rPr>
          <w:rFonts w:eastAsia="Arial"/>
          <w:i w:val="0"/>
          <w:iCs/>
        </w:rPr>
        <w:t>or</w:t>
      </w:r>
      <w:r w:rsidR="001F42DC" w:rsidRPr="00A900A3">
        <w:rPr>
          <w:rFonts w:eastAsia="Arial"/>
          <w:i w:val="0"/>
          <w:iCs/>
        </w:rPr>
        <w:t xml:space="preserve"> revalorizing waste fractions</w:t>
      </w:r>
      <w:r w:rsidR="00CD4AA4" w:rsidRPr="00A900A3">
        <w:rPr>
          <w:rFonts w:eastAsia="Arial"/>
          <w:i w:val="0"/>
          <w:iCs/>
        </w:rPr>
        <w:t xml:space="preserve"> (optimizing cascading sequence)</w:t>
      </w:r>
      <w:r w:rsidR="009467F1" w:rsidRPr="00A900A3">
        <w:rPr>
          <w:rFonts w:eastAsia="Arial"/>
          <w:i w:val="0"/>
          <w:iCs/>
        </w:rPr>
        <w:t xml:space="preserve"> </w:t>
      </w:r>
      <w:r w:rsidR="009467F1" w:rsidRPr="00A900A3">
        <w:rPr>
          <w:rFonts w:eastAsia="Arial"/>
          <w:i w:val="0"/>
          <w:iCs/>
        </w:rPr>
        <w:fldChar w:fldCharType="begin" w:fldLock="1"/>
      </w:r>
      <w:r w:rsidR="006516E6" w:rsidRPr="00A900A3">
        <w:rPr>
          <w:rFonts w:eastAsia="Arial"/>
          <w:i w:val="0"/>
          <w:iCs/>
        </w:rPr>
        <w:instrText>ADDIN CSL_CITATION {"citationItems":[{"id":"ITEM-1","itemData":{"DOI":"10.1016/j.fbp.2021.04.003","ISSN":"09603085","abstract":"The cleaner production of value-added products from shrimp under biorefinery concept requires the application of mass integration techniques to conserve resources and reduce waste generation. This work aims to develop an integrated approach of shrimp biorefinery using rigorous graphical targeting approach for material recycle/reuse networks. The simulation of the integrated process and the environmental analysis are conducted using Aspen Plus® software and waste reduction (WAR) algorithm to evaluate technical and environmental performance. Targets for minimum fresh resources usage and minimum waste discharge for the network were calculated at 911.18 kg/h and 1546.68 kg/h, respectively. The integrated biorefinery has the capacity to process 469.22 kg/h of fresh shrimp while reducing 56.63% in fresh resources consumption compared with non-integrated approach. The chitin and chitosan production rates were increased up to 3.783 and 3.061 kg/h, respectively, by the material recovery in residual water recycle. The environmental study showed reductions in atmospheric and toxicological categories estimated at 7.8 and 3.48% for potential environmental impacts (PEI) output, while the impacts generated within the process reach values up to 3.51 and 7.97%. The highest impacts were observed for atmospheric categories, being the photochemical oxidation potential the larger contributor. The environmental friendliness of the proposed approach is confirmed by the negative values in PEI generation. The high freshwater savings reveal the potential benefits of incorporating recycle/reuse networks within shrimp valorization strategies for resources conservation.","author":[{"dropping-particle":"","family":"Moreno-Sader","given":"Kariana Andrea","non-dropping-particle":"","parse-names":false,"suffix":""},{"dropping-particle":"","family":"Martínez-Consuegra","given":"Jairo","non-dropping-particle":"","parse-names":false,"suffix":""},{"dropping-particle":"","family":"González-Delgado","given":"Ángel Darío","non-dropping-particle":"","parse-names":false,"suffix":""}],"container-title":"Food and Bioproducts Processing","id":"ITEM-1","issued":{"date-parts":[["2021"]]},"note":"This work also addresses the process simu- lation and environmental assessment of the integrated biorefinery at pilot-scale to estimate key performance indicators regarding techni- cal aspects and potential impacts on the environment","page":"443-453","title":"An integrated biorefinery approach via material recycle/reuse networks for the extraction of value-added components from shrimp: Computer-aided simulation and environmental assessment","type":"article-journal","volume":"127"},"uris":["http://www.mendeley.com/documents/?uuid=9c18d0fc-edeb-4001-bbbf-d3a2fdc16ba1"]}],"mendeley":{"formattedCitation":"(K. A. Moreno-Sader et al., 2021)","plainTextFormattedCitation":"(K. A. Moreno-Sader et al., 2021)","previouslyFormattedCitation":"(K. A. Moreno-Sader et al., 2021)"},"properties":{"noteIndex":0},"schema":"https://github.com/citation-style-language/schema/raw/master/csl-citation.json"}</w:instrText>
      </w:r>
      <w:r w:rsidR="009467F1" w:rsidRPr="00A900A3">
        <w:rPr>
          <w:rFonts w:eastAsia="Arial"/>
          <w:i w:val="0"/>
          <w:iCs/>
        </w:rPr>
        <w:fldChar w:fldCharType="separate"/>
      </w:r>
      <w:r w:rsidR="009467F1" w:rsidRPr="00A900A3">
        <w:rPr>
          <w:rFonts w:eastAsia="Arial"/>
          <w:i w:val="0"/>
          <w:iCs/>
          <w:noProof/>
        </w:rPr>
        <w:t>(K. A. Moreno-Sader et al., 2021)</w:t>
      </w:r>
      <w:r w:rsidR="009467F1" w:rsidRPr="00A900A3">
        <w:rPr>
          <w:rFonts w:eastAsia="Arial"/>
          <w:i w:val="0"/>
          <w:iCs/>
        </w:rPr>
        <w:fldChar w:fldCharType="end"/>
      </w:r>
      <w:r w:rsidR="00010048" w:rsidRPr="00A900A3">
        <w:rPr>
          <w:rFonts w:eastAsia="Arial"/>
          <w:i w:val="0"/>
          <w:iCs/>
        </w:rPr>
        <w:t>.</w:t>
      </w:r>
      <w:r w:rsidR="00A900A3" w:rsidRPr="00A900A3">
        <w:rPr>
          <w:rFonts w:eastAsia="Arial"/>
          <w:i w:val="0"/>
          <w:iCs/>
        </w:rPr>
        <w:t xml:space="preserve"> In comparison, Herrera et al., quantified the efficiency of avocado biorefinery, were the whole avocado is processed, to produce not only a material product but energy carriers, achieving a efficiency of almost 50%, indicating the complete use of valuable fractions of </w:t>
      </w:r>
      <w:r w:rsidR="00A900A3">
        <w:rPr>
          <w:rFonts w:eastAsia="Arial"/>
          <w:i w:val="0"/>
          <w:iCs/>
        </w:rPr>
        <w:t xml:space="preserve">the </w:t>
      </w:r>
      <w:r w:rsidR="00A900A3" w:rsidRPr="00A900A3">
        <w:rPr>
          <w:rFonts w:eastAsia="Arial"/>
          <w:i w:val="0"/>
          <w:iCs/>
        </w:rPr>
        <w:t xml:space="preserve">raw material can increase the overall performance of the process </w:t>
      </w:r>
      <w:r w:rsidR="00A900A3" w:rsidRPr="00A900A3">
        <w:rPr>
          <w:rFonts w:eastAsia="Arial"/>
          <w:i w:val="0"/>
          <w:iCs/>
        </w:rPr>
        <w:fldChar w:fldCharType="begin" w:fldLock="1"/>
      </w:r>
      <w:r w:rsidR="00A900A3">
        <w:rPr>
          <w:rFonts w:eastAsia="Arial"/>
          <w:i w:val="0"/>
          <w:iCs/>
        </w:rPr>
        <w:instrText>ADDIN CSL_CITATION {"citationItems":[{"id":"ITEM-1","itemData":{"DOI":"10.3303/CET25117100","ISBN":"9791281206175","ISSN":"22839216","abstract":"In Colombia, avocado cultivation is prominent in departments such as Bolívar, Antioquia, Tolima, Cesar, Caldas, Valle del Cauca, Quindío, and Santander, covering 86% of the planted area. In Bolívar, particularly in the Montes de María, avocados damaged by fungi, poor marketing, and deteriorated roads pose a challenge. This study proposes a biorefinery approach to valorize these wastes by producing oil, chlorophyll, biochar, fat-free pulp, and fertilizer. The research evaluates the overall exergy efficiency and identifies key thermodynamic irreversibilities in an avocado (Laurus Persea L) biorefinery in northern Colombia. Exergy, which measures energy quality and work potential, is used to assess process efficiency and sustainability. Results show that stages 8 (oil distillation, condensation, and refrigeration), 12 (pyrolysis and by-product separation), and 16 (chlorophyll extract distillation, condensation, and refrigeration) have the highest exergy destruction, accounting for 23.90 %, 33.27 %, and 7.84 %, respectively. The peel washing stage demonstrated high exergetic efficiency (97.32 %) due to its contribution to chlorophyll-rich extract and fertilizer production. However, stage 12 had significant exergy loss (2,438.52 MJ/h) because the volatile gases produced during pyrolysis were not utilized as biorefinery products. The highest irreversibilities were observed in stages 8 and 12. The overall exergy efficiency of the process was 46.26 %, higher than systems that use only avocado pulp, as this biorefinery integrates seeds and peels into its processes, reducing waste generation. This study highlights the potential of avocado crop residues for value-added production and emphasizes the need to optimize processes to enhance energy efficiency and sustainability.","author":[{"dropping-particle":"","family":"Herrera-Rodríguez","given":"Tamy C.","non-dropping-particle":"","parse-names":false,"suffix":""},{"dropping-particle":"","family":"Parejo-Palacio","given":"Vianny","non-dropping-particle":"","parse-names":false,"suffix":""},{"dropping-particle":"","family":"González-Delgado","given":"Ángel D.","non-dropping-particle":"","parse-names":false,"suffix":""}],"container-title":"Chemical Engineering Transactions ","id":"ITEM-1","issue":"May","issued":{"date-parts":[["2025"]]},"page":"595-600","title":"Exergetic Evaluation of an avocado (Laurus Persea L.) Biorefinery in Northern Colombia","type":"article-journal","volume":"117"},"uris":["http://www.mendeley.com/documents/?uuid=0ea65d5a-4ac8-4ba1-998d-189cc4e36bd6"]}],"mendeley":{"formattedCitation":"(Herrera-Rodríguez et al., 2025)","plainTextFormattedCitation":"(Herrera-Rodríguez et al., 2025)","previouslyFormattedCitation":"(Herrera-Rodríguez et al., 2025)"},"properties":{"noteIndex":0},"schema":"https://github.com/citation-style-language/schema/raw/master/csl-citation.json"}</w:instrText>
      </w:r>
      <w:r w:rsidR="00A900A3" w:rsidRPr="00A900A3">
        <w:rPr>
          <w:rFonts w:eastAsia="Arial"/>
          <w:i w:val="0"/>
          <w:iCs/>
        </w:rPr>
        <w:fldChar w:fldCharType="separate"/>
      </w:r>
      <w:r w:rsidR="00A900A3" w:rsidRPr="00A900A3">
        <w:rPr>
          <w:rFonts w:eastAsia="Arial"/>
          <w:i w:val="0"/>
          <w:iCs/>
          <w:noProof/>
        </w:rPr>
        <w:t>(Herrera-Rodríguez et al., 2025)</w:t>
      </w:r>
      <w:r w:rsidR="00A900A3" w:rsidRPr="00A900A3">
        <w:rPr>
          <w:rFonts w:eastAsia="Arial"/>
          <w:i w:val="0"/>
          <w:iCs/>
        </w:rPr>
        <w:fldChar w:fldCharType="end"/>
      </w:r>
      <w:r w:rsidR="00A900A3" w:rsidRPr="00A900A3">
        <w:rPr>
          <w:rFonts w:eastAsia="Arial"/>
          <w:i w:val="0"/>
          <w:iCs/>
        </w:rPr>
        <w:t>.</w:t>
      </w:r>
    </w:p>
    <w:p w14:paraId="1B492080" w14:textId="14164FDD" w:rsidR="00FC3036" w:rsidRPr="00737357" w:rsidRDefault="00EC25C3" w:rsidP="00734B75">
      <w:pPr>
        <w:pBdr>
          <w:top w:val="nil"/>
          <w:left w:val="nil"/>
          <w:bottom w:val="nil"/>
          <w:right w:val="nil"/>
          <w:between w:val="nil"/>
        </w:pBdr>
        <w:rPr>
          <w:rFonts w:eastAsia="Arial" w:cs="Arial"/>
          <w:color w:val="000000"/>
          <w:szCs w:val="18"/>
          <w:lang w:val="en-US"/>
        </w:rPr>
      </w:pPr>
      <w:r>
        <w:rPr>
          <w:noProof/>
        </w:rPr>
        <w:drawing>
          <wp:inline distT="0" distB="0" distL="0" distR="0" wp14:anchorId="37028B0E" wp14:editId="5918C1BC">
            <wp:extent cx="5579745" cy="2133600"/>
            <wp:effectExtent l="0" t="0" r="1905" b="0"/>
            <wp:docPr id="1131663293" name="Chart 1">
              <a:extLst xmlns:a="http://schemas.openxmlformats.org/drawingml/2006/main">
                <a:ext uri="{FF2B5EF4-FFF2-40B4-BE49-F238E27FC236}">
                  <a16:creationId xmlns:a16="http://schemas.microsoft.com/office/drawing/2014/main" id="{26A9CB7A-527E-EF55-5657-7B6CC7E52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3A3446" w14:textId="57E4CA27" w:rsidR="005F29D3" w:rsidRDefault="00FC3036" w:rsidP="00F97F4B">
      <w:pPr>
        <w:pStyle w:val="CETCaption"/>
        <w:spacing w:before="0"/>
        <w:rPr>
          <w:rFonts w:eastAsia="Arial"/>
          <w:i w:val="0"/>
          <w:iCs/>
        </w:rPr>
      </w:pPr>
      <w:bookmarkStart w:id="1" w:name="_Toc144145248"/>
      <w:r w:rsidRPr="00FC3036">
        <w:rPr>
          <w:rFonts w:eastAsia="Arial"/>
          <w:b/>
          <w:bCs/>
          <w:lang w:val="en-US"/>
        </w:rPr>
        <w:t xml:space="preserve">Figure </w:t>
      </w:r>
      <w:r w:rsidR="00651C37">
        <w:rPr>
          <w:rFonts w:eastAsia="Arial"/>
          <w:b/>
          <w:bCs/>
          <w:lang w:val="en-US"/>
        </w:rPr>
        <w:t>3</w:t>
      </w:r>
      <w:r w:rsidRPr="00FC3036">
        <w:rPr>
          <w:rFonts w:eastAsia="Arial"/>
          <w:b/>
          <w:bCs/>
          <w:lang w:val="en-US"/>
        </w:rPr>
        <w:t xml:space="preserve">. </w:t>
      </w:r>
      <w:bookmarkEnd w:id="1"/>
      <w:r w:rsidR="00F97F4B" w:rsidRPr="00D8176C">
        <w:rPr>
          <w:rFonts w:eastAsia="Arial"/>
          <w:i w:val="0"/>
          <w:iCs/>
        </w:rPr>
        <w:t xml:space="preserve">Global exergy parameters for the avocado </w:t>
      </w:r>
      <w:r w:rsidR="00D8176C" w:rsidRPr="00D8176C">
        <w:rPr>
          <w:rFonts w:eastAsia="Arial"/>
          <w:i w:val="0"/>
          <w:iCs/>
        </w:rPr>
        <w:t xml:space="preserve">cascade </w:t>
      </w:r>
      <w:r w:rsidR="00F97F4B" w:rsidRPr="00D8176C">
        <w:rPr>
          <w:rFonts w:eastAsia="Arial"/>
          <w:i w:val="0"/>
          <w:iCs/>
        </w:rPr>
        <w:t>biorefinery.</w:t>
      </w:r>
    </w:p>
    <w:p w14:paraId="096F802B" w14:textId="77777777" w:rsidR="00E002A4" w:rsidRPr="00E002A4" w:rsidRDefault="00E002A4" w:rsidP="00563A3C">
      <w:pPr>
        <w:pStyle w:val="CETCaption"/>
        <w:spacing w:line="276" w:lineRule="auto"/>
        <w:rPr>
          <w:rFonts w:eastAsia="Arial"/>
          <w:i w:val="0"/>
          <w:lang w:val="en-US"/>
        </w:rPr>
      </w:pPr>
      <w:r w:rsidRPr="00E002A4">
        <w:rPr>
          <w:rFonts w:eastAsia="Arial"/>
          <w:i w:val="0"/>
          <w:lang w:val="en-US"/>
        </w:rPr>
        <w:lastRenderedPageBreak/>
        <w:t>On the other hand, the exergy of utilities were 221.31 MJ/h, this value is significantly lower than the exergy of mass from the inlet streams of the process (1769.55 MJ/h); the overall operational conditions in the biorefinery were near atmospheric conditions requiring no significant changes in temperature or pression, moreover, the low flow of the streams contributed to lower utilities as well.</w:t>
      </w:r>
    </w:p>
    <w:p w14:paraId="14ADABE9" w14:textId="1E40698E" w:rsidR="00BD6D3C" w:rsidRDefault="00BD6D3C" w:rsidP="00563A3C">
      <w:pPr>
        <w:pStyle w:val="CETCaption"/>
        <w:spacing w:before="0" w:line="276" w:lineRule="auto"/>
        <w:rPr>
          <w:rFonts w:eastAsia="Arial"/>
          <w:i w:val="0"/>
          <w:iCs/>
        </w:rPr>
      </w:pPr>
      <w:r>
        <w:rPr>
          <w:rFonts w:eastAsia="Arial"/>
          <w:i w:val="0"/>
          <w:iCs/>
        </w:rPr>
        <w:t>The total irreversibilities of the process was 1950 MJ/h, with the exergy related to wastes being the main contributor of these losses (1006.24 MJ/h)</w:t>
      </w:r>
      <w:r w:rsidR="008C640D">
        <w:rPr>
          <w:rFonts w:eastAsia="Arial"/>
          <w:i w:val="0"/>
          <w:iCs/>
        </w:rPr>
        <w:t xml:space="preserve">; This value confirms that the valorisation of wastes is imperative to improve process resource utilization. However, wastes contain both substances like solvents that can be easily reused and solids fractions that could </w:t>
      </w:r>
      <w:r w:rsidR="00701240">
        <w:rPr>
          <w:rFonts w:eastAsia="Arial"/>
          <w:i w:val="0"/>
          <w:iCs/>
        </w:rPr>
        <w:t>require</w:t>
      </w:r>
      <w:r w:rsidR="008C640D">
        <w:rPr>
          <w:rFonts w:eastAsia="Arial"/>
          <w:i w:val="0"/>
          <w:iCs/>
        </w:rPr>
        <w:t xml:space="preserve"> </w:t>
      </w:r>
      <w:r w:rsidR="00701240">
        <w:rPr>
          <w:rFonts w:eastAsia="Arial"/>
          <w:i w:val="0"/>
          <w:iCs/>
        </w:rPr>
        <w:t>further processing stages to be fully utilized, meaning potential trade-offs can appear.</w:t>
      </w:r>
      <w:r w:rsidR="00E002A4">
        <w:rPr>
          <w:rFonts w:eastAsia="Arial"/>
          <w:i w:val="0"/>
          <w:iCs/>
        </w:rPr>
        <w:t xml:space="preserve"> </w:t>
      </w:r>
      <w:r>
        <w:rPr>
          <w:rFonts w:eastAsia="Arial"/>
          <w:i w:val="0"/>
          <w:iCs/>
        </w:rPr>
        <w:t>Meanwhile, the permanent degradation of exergy achieved a value of 897.47 MJ/h, indicating strong leak of exergy due to lost heat and other unrefusable form of energy.</w:t>
      </w:r>
      <w:r w:rsidR="00701240">
        <w:rPr>
          <w:rFonts w:eastAsia="Arial"/>
          <w:i w:val="0"/>
          <w:iCs/>
        </w:rPr>
        <w:t xml:space="preserve"> These losses are unavoidable and fixed to the configuration of the process carried out; to change it, it would entail substantial change for both operational conditions and process units, such as replacing technologies for others.</w:t>
      </w:r>
    </w:p>
    <w:p w14:paraId="2BB1B6CD" w14:textId="351CBE66" w:rsidR="008C0AE7" w:rsidRDefault="008C0AE7" w:rsidP="008C0AE7">
      <w:pPr>
        <w:pStyle w:val="CETCaption"/>
        <w:numPr>
          <w:ilvl w:val="0"/>
          <w:numId w:val="15"/>
        </w:numPr>
        <w:spacing w:before="0"/>
        <w:rPr>
          <w:rFonts w:eastAsia="Arial"/>
          <w:b/>
          <w:bCs/>
          <w:i w:val="0"/>
          <w:iCs/>
          <w:sz w:val="20"/>
          <w:szCs w:val="22"/>
        </w:rPr>
      </w:pPr>
      <w:r w:rsidRPr="008C0AE7">
        <w:rPr>
          <w:rFonts w:eastAsia="Arial"/>
          <w:b/>
          <w:bCs/>
          <w:i w:val="0"/>
          <w:iCs/>
          <w:sz w:val="20"/>
          <w:szCs w:val="22"/>
        </w:rPr>
        <w:t xml:space="preserve">Conclusions </w:t>
      </w:r>
    </w:p>
    <w:p w14:paraId="3028D27B" w14:textId="5794F12C" w:rsidR="00CD4AA4" w:rsidRPr="00563A3C" w:rsidRDefault="00CD4AA4" w:rsidP="00563A3C">
      <w:pPr>
        <w:pStyle w:val="CETCaption"/>
        <w:spacing w:before="0" w:line="276" w:lineRule="auto"/>
        <w:rPr>
          <w:rFonts w:eastAsia="Arial"/>
          <w:i w:val="0"/>
          <w:iCs/>
        </w:rPr>
      </w:pPr>
      <w:r w:rsidRPr="00563A3C">
        <w:rPr>
          <w:rFonts w:eastAsia="Arial"/>
          <w:i w:val="0"/>
          <w:iCs/>
        </w:rPr>
        <w:t xml:space="preserve">As cascade biorefineries are developed as more complete processes for the valorisation of agricultural waste, its energy efficiency is a key factor for they adoption. So, in this study the energy management of an avocado cascade biorefinery </w:t>
      </w:r>
      <w:r w:rsidRPr="00563A3C">
        <w:rPr>
          <w:rFonts w:eastAsia="Arial"/>
          <w:i w:val="0"/>
          <w:iCs/>
        </w:rPr>
        <w:t>was performed</w:t>
      </w:r>
      <w:r w:rsidRPr="00563A3C">
        <w:rPr>
          <w:rFonts w:eastAsia="Arial"/>
          <w:i w:val="0"/>
          <w:iCs/>
        </w:rPr>
        <w:t xml:space="preserve"> through an</w:t>
      </w:r>
      <w:r w:rsidRPr="00563A3C">
        <w:rPr>
          <w:rFonts w:eastAsia="Arial"/>
          <w:i w:val="0"/>
          <w:iCs/>
        </w:rPr>
        <w:t xml:space="preserve"> exergetic analysis</w:t>
      </w:r>
      <w:r w:rsidR="00CF75E9" w:rsidRPr="00563A3C">
        <w:rPr>
          <w:rFonts w:eastAsia="Arial"/>
          <w:i w:val="0"/>
          <w:iCs/>
        </w:rPr>
        <w:t xml:space="preserve">. The analysis was complemented with CAPE tools, like process simulators. The exergy analysis showed that the process </w:t>
      </w:r>
      <w:r w:rsidR="002A75B7" w:rsidRPr="00563A3C">
        <w:rPr>
          <w:rFonts w:eastAsia="Arial"/>
          <w:i w:val="0"/>
          <w:iCs/>
        </w:rPr>
        <w:t xml:space="preserve">had a poor efficiency of 1.5%, with high losses (1950 MJ/h), especially from waste streams (more than 50% of the total). Furthermore, only the seed conditioning had an efficiency above 80%, compared to the other stages that did not </w:t>
      </w:r>
      <w:r w:rsidR="005B6932" w:rsidRPr="00563A3C">
        <w:rPr>
          <w:rFonts w:eastAsia="Arial"/>
          <w:i w:val="0"/>
          <w:iCs/>
        </w:rPr>
        <w:t>surpass</w:t>
      </w:r>
      <w:r w:rsidR="002A75B7" w:rsidRPr="00563A3C">
        <w:rPr>
          <w:rFonts w:eastAsia="Arial"/>
          <w:i w:val="0"/>
          <w:iCs/>
        </w:rPr>
        <w:t xml:space="preserve"> 10%. The key stages were the starch extraction and the biocontrol agent production, combined had almost 90% of the total losses. Consequently, the process requires extensive improvements, both in relation to exergy related to operational conditions and exergy contained in streams (mass and energy integration).</w:t>
      </w:r>
    </w:p>
    <w:p w14:paraId="2D153CC1" w14:textId="77777777" w:rsidR="005F29D3" w:rsidRDefault="00000000" w:rsidP="00734B75">
      <w:pPr>
        <w:pStyle w:val="CETAcknowledgementstitle"/>
        <w:rPr>
          <w:rFonts w:eastAsia="Arial"/>
        </w:rPr>
      </w:pPr>
      <w:r>
        <w:rPr>
          <w:rFonts w:eastAsia="Arial"/>
        </w:rPr>
        <w:t>Acknowledgments</w:t>
      </w:r>
    </w:p>
    <w:p w14:paraId="559EC2D4" w14:textId="77777777" w:rsidR="00CC7E2D" w:rsidRPr="000731B1" w:rsidRDefault="00CC7E2D" w:rsidP="00CC7E2D">
      <w:pPr>
        <w:pStyle w:val="CETAcknowledgementstitle"/>
        <w:rPr>
          <w:rFonts w:eastAsia="Arial"/>
        </w:rPr>
      </w:pPr>
      <w:r w:rsidRPr="000731B1">
        <w:rPr>
          <w:rFonts w:eastAsia="Arial"/>
          <w:b w:val="0"/>
          <w:lang w:val="en-US"/>
        </w:rPr>
        <w:t xml:space="preserve">The authors gratefully acknowledge the financial support provided by the Universidad de Cartagena and the Colombian Ministry of Science, Technology, and Innovation (Minciencias). This work was funded under the project SIGP 100307 and contract 442-2023. </w:t>
      </w:r>
    </w:p>
    <w:p w14:paraId="1554D881" w14:textId="2D1240CC" w:rsidR="005F29D3" w:rsidRDefault="00000000" w:rsidP="00C63B18">
      <w:pPr>
        <w:pStyle w:val="CETReference"/>
        <w:rPr>
          <w:rFonts w:eastAsia="Arial"/>
          <w:lang w:val="es-CO"/>
        </w:rPr>
      </w:pPr>
      <w:r w:rsidRPr="0083263D">
        <w:rPr>
          <w:rFonts w:eastAsia="Arial"/>
          <w:lang w:val="es-CO"/>
        </w:rPr>
        <w:t>References</w:t>
      </w:r>
    </w:p>
    <w:p w14:paraId="2DEF9D8C" w14:textId="1BD3E41D" w:rsidR="00FC52F6" w:rsidRPr="00FC52F6" w:rsidRDefault="008C0AE7" w:rsidP="00FC52F6">
      <w:pPr>
        <w:widowControl w:val="0"/>
        <w:autoSpaceDE w:val="0"/>
        <w:autoSpaceDN w:val="0"/>
        <w:adjustRightInd w:val="0"/>
        <w:spacing w:before="200" w:after="120" w:line="240" w:lineRule="auto"/>
        <w:ind w:left="480" w:hanging="480"/>
        <w:rPr>
          <w:rFonts w:cs="Arial"/>
          <w:noProof/>
        </w:rPr>
      </w:pPr>
      <w:r>
        <w:rPr>
          <w:rFonts w:eastAsia="Arial"/>
          <w:lang w:val="es-CO"/>
        </w:rPr>
        <w:fldChar w:fldCharType="begin" w:fldLock="1"/>
      </w:r>
      <w:r>
        <w:rPr>
          <w:rFonts w:eastAsia="Arial"/>
          <w:lang w:val="es-CO"/>
        </w:rPr>
        <w:instrText xml:space="preserve">ADDIN Mendeley Bibliography CSL_BIBLIOGRAPHY </w:instrText>
      </w:r>
      <w:r>
        <w:rPr>
          <w:rFonts w:eastAsia="Arial"/>
          <w:lang w:val="es-CO"/>
        </w:rPr>
        <w:fldChar w:fldCharType="separate"/>
      </w:r>
      <w:r w:rsidR="00FC52F6" w:rsidRPr="00FC52F6">
        <w:rPr>
          <w:rFonts w:cs="Arial"/>
          <w:noProof/>
        </w:rPr>
        <w:t xml:space="preserve">Alviz-Meza, A., Valdez-Valdes, S. A., &amp; González-Delgado, Á. D. (2025). Computer-Aided Simulation of a Cascade Biorefinery: Case Study of the Colombian Amazon’s Hass Avocado Waste. </w:t>
      </w:r>
      <w:r w:rsidR="00FC52F6" w:rsidRPr="00FC52F6">
        <w:rPr>
          <w:rFonts w:cs="Arial"/>
          <w:i/>
          <w:iCs/>
          <w:noProof/>
        </w:rPr>
        <w:t xml:space="preserve">Chemical Engineering Transactions </w:t>
      </w:r>
      <w:r w:rsidR="00FC52F6" w:rsidRPr="00FC52F6">
        <w:rPr>
          <w:rFonts w:cs="Arial"/>
          <w:noProof/>
        </w:rPr>
        <w:t xml:space="preserve">, </w:t>
      </w:r>
      <w:r w:rsidR="00FC52F6" w:rsidRPr="00FC52F6">
        <w:rPr>
          <w:rFonts w:cs="Arial"/>
          <w:i/>
          <w:iCs/>
          <w:noProof/>
        </w:rPr>
        <w:t>117</w:t>
      </w:r>
      <w:r w:rsidR="00FC52F6" w:rsidRPr="00FC52F6">
        <w:rPr>
          <w:rFonts w:cs="Arial"/>
          <w:noProof/>
        </w:rPr>
        <w:t>(May), 67–72. https://doi.org/10.3303/CET25117012</w:t>
      </w:r>
    </w:p>
    <w:p w14:paraId="5C7BBDDA" w14:textId="77777777" w:rsidR="00FC52F6" w:rsidRPr="00FC52F6" w:rsidRDefault="00FC52F6" w:rsidP="00FC52F6">
      <w:pPr>
        <w:widowControl w:val="0"/>
        <w:autoSpaceDE w:val="0"/>
        <w:autoSpaceDN w:val="0"/>
        <w:adjustRightInd w:val="0"/>
        <w:spacing w:before="200" w:after="120" w:line="240" w:lineRule="auto"/>
        <w:ind w:left="480" w:hanging="480"/>
        <w:rPr>
          <w:rFonts w:cs="Arial"/>
          <w:noProof/>
        </w:rPr>
      </w:pPr>
      <w:r w:rsidRPr="00FC52F6">
        <w:rPr>
          <w:rFonts w:cs="Arial"/>
          <w:noProof/>
        </w:rPr>
        <w:t xml:space="preserve">Arias, A., Feijoo, G., &amp; Moreira, M. T. (2023). Biorefineries as a driver for sustainability: Key aspects, actual development and future prospects. </w:t>
      </w:r>
      <w:r w:rsidRPr="00FC52F6">
        <w:rPr>
          <w:rFonts w:cs="Arial"/>
          <w:i/>
          <w:iCs/>
          <w:noProof/>
        </w:rPr>
        <w:t>Journal of Cleaner Production</w:t>
      </w:r>
      <w:r w:rsidRPr="00FC52F6">
        <w:rPr>
          <w:rFonts w:cs="Arial"/>
          <w:noProof/>
        </w:rPr>
        <w:t xml:space="preserve">, </w:t>
      </w:r>
      <w:r w:rsidRPr="00FC52F6">
        <w:rPr>
          <w:rFonts w:cs="Arial"/>
          <w:i/>
          <w:iCs/>
          <w:noProof/>
        </w:rPr>
        <w:t>418</w:t>
      </w:r>
      <w:r w:rsidRPr="00FC52F6">
        <w:rPr>
          <w:rFonts w:cs="Arial"/>
          <w:noProof/>
        </w:rPr>
        <w:t>(April), 137925. https://doi.org/10.1016/j.jclepro.2023.137925</w:t>
      </w:r>
    </w:p>
    <w:p w14:paraId="122F44AA" w14:textId="77777777" w:rsidR="00FC52F6" w:rsidRPr="00FC52F6" w:rsidRDefault="00FC52F6" w:rsidP="00FC52F6">
      <w:pPr>
        <w:widowControl w:val="0"/>
        <w:autoSpaceDE w:val="0"/>
        <w:autoSpaceDN w:val="0"/>
        <w:adjustRightInd w:val="0"/>
        <w:spacing w:before="200" w:after="120" w:line="240" w:lineRule="auto"/>
        <w:ind w:left="480" w:hanging="480"/>
        <w:rPr>
          <w:rFonts w:cs="Arial"/>
          <w:noProof/>
        </w:rPr>
      </w:pPr>
      <w:r w:rsidRPr="00FC52F6">
        <w:rPr>
          <w:rFonts w:cs="Arial"/>
          <w:noProof/>
        </w:rPr>
        <w:t xml:space="preserve">Battista, F., Zanzoni, S., Strazzera, G., Andreolli, M., &amp; Bolzonella, D. (2020). The cascade biorefinery approach for the valorization of the spent coffee grounds. </w:t>
      </w:r>
      <w:r w:rsidRPr="00FC52F6">
        <w:rPr>
          <w:rFonts w:cs="Arial"/>
          <w:i/>
          <w:iCs/>
          <w:noProof/>
        </w:rPr>
        <w:t>Renewable Energy</w:t>
      </w:r>
      <w:r w:rsidRPr="00FC52F6">
        <w:rPr>
          <w:rFonts w:cs="Arial"/>
          <w:noProof/>
        </w:rPr>
        <w:t xml:space="preserve">, </w:t>
      </w:r>
      <w:r w:rsidRPr="00FC52F6">
        <w:rPr>
          <w:rFonts w:cs="Arial"/>
          <w:i/>
          <w:iCs/>
          <w:noProof/>
        </w:rPr>
        <w:t>157</w:t>
      </w:r>
      <w:r w:rsidRPr="00FC52F6">
        <w:rPr>
          <w:rFonts w:cs="Arial"/>
          <w:noProof/>
        </w:rPr>
        <w:t>, 1203–1211. https://doi.org/10.1016/j.renene.2020.05.113</w:t>
      </w:r>
    </w:p>
    <w:p w14:paraId="3A69F9E3" w14:textId="77777777" w:rsidR="00FC52F6" w:rsidRPr="00FC52F6" w:rsidRDefault="00FC52F6" w:rsidP="00FC52F6">
      <w:pPr>
        <w:widowControl w:val="0"/>
        <w:autoSpaceDE w:val="0"/>
        <w:autoSpaceDN w:val="0"/>
        <w:adjustRightInd w:val="0"/>
        <w:spacing w:before="200" w:after="120" w:line="240" w:lineRule="auto"/>
        <w:ind w:left="480" w:hanging="480"/>
        <w:rPr>
          <w:rFonts w:cs="Arial"/>
          <w:noProof/>
        </w:rPr>
      </w:pPr>
      <w:r w:rsidRPr="00FC52F6">
        <w:rPr>
          <w:rFonts w:cs="Arial"/>
          <w:noProof/>
        </w:rPr>
        <w:t xml:space="preserve">Daimary, N., Deb, B., Roy, B., Ranjan, R. K., &amp; Mukherjee, A. (2025). Sustainable biorefinery approach for the transformation of biowaste into biofuels and chemicals for the circular economy: A review. </w:t>
      </w:r>
      <w:r w:rsidRPr="00FC52F6">
        <w:rPr>
          <w:rFonts w:cs="Arial"/>
          <w:i/>
          <w:iCs/>
          <w:noProof/>
        </w:rPr>
        <w:t>Sustainable Energy Technologies and Assessments</w:t>
      </w:r>
      <w:r w:rsidRPr="00FC52F6">
        <w:rPr>
          <w:rFonts w:cs="Arial"/>
          <w:noProof/>
        </w:rPr>
        <w:t xml:space="preserve">, </w:t>
      </w:r>
      <w:r w:rsidRPr="00FC52F6">
        <w:rPr>
          <w:rFonts w:cs="Arial"/>
          <w:i/>
          <w:iCs/>
          <w:noProof/>
        </w:rPr>
        <w:t>82</w:t>
      </w:r>
      <w:r w:rsidRPr="00FC52F6">
        <w:rPr>
          <w:rFonts w:cs="Arial"/>
          <w:noProof/>
        </w:rPr>
        <w:t>(March), 104457. https://doi.org/10.1016/j.seta.2025.104457</w:t>
      </w:r>
    </w:p>
    <w:p w14:paraId="0EA441ED" w14:textId="77777777" w:rsidR="00FC52F6" w:rsidRPr="00FC52F6" w:rsidRDefault="00FC52F6" w:rsidP="00FC52F6">
      <w:pPr>
        <w:widowControl w:val="0"/>
        <w:autoSpaceDE w:val="0"/>
        <w:autoSpaceDN w:val="0"/>
        <w:adjustRightInd w:val="0"/>
        <w:spacing w:before="200" w:after="120" w:line="240" w:lineRule="auto"/>
        <w:ind w:left="480" w:hanging="480"/>
        <w:rPr>
          <w:rFonts w:cs="Arial"/>
          <w:noProof/>
        </w:rPr>
      </w:pPr>
      <w:r w:rsidRPr="00FC52F6">
        <w:rPr>
          <w:rFonts w:cs="Arial"/>
          <w:noProof/>
        </w:rPr>
        <w:t xml:space="preserve">Fontalvo-Morales, A., Rojas-Flores, S., &amp; González-Delgado, Á. D. (2025). Computer-Aided Exergy Analysis of a Creole Avocado Extractive-Based Biorefinery and Sustainable Utilization in Montes de Maria, Colombia. </w:t>
      </w:r>
      <w:r w:rsidRPr="00FC52F6">
        <w:rPr>
          <w:rFonts w:cs="Arial"/>
          <w:i/>
          <w:iCs/>
          <w:noProof/>
        </w:rPr>
        <w:t>Sustainability (Switzerland)</w:t>
      </w:r>
      <w:r w:rsidRPr="00FC52F6">
        <w:rPr>
          <w:rFonts w:cs="Arial"/>
          <w:noProof/>
        </w:rPr>
        <w:t xml:space="preserve">, </w:t>
      </w:r>
      <w:r w:rsidRPr="00FC52F6">
        <w:rPr>
          <w:rFonts w:cs="Arial"/>
          <w:i/>
          <w:iCs/>
          <w:noProof/>
        </w:rPr>
        <w:t>17</w:t>
      </w:r>
      <w:r w:rsidRPr="00FC52F6">
        <w:rPr>
          <w:rFonts w:cs="Arial"/>
          <w:noProof/>
        </w:rPr>
        <w:t>(12), 1–15. https://doi.org/10.3390/su17125451</w:t>
      </w:r>
    </w:p>
    <w:p w14:paraId="4E81C703" w14:textId="77777777" w:rsidR="00FC52F6" w:rsidRPr="00FC52F6" w:rsidRDefault="00FC52F6" w:rsidP="00FC52F6">
      <w:pPr>
        <w:widowControl w:val="0"/>
        <w:autoSpaceDE w:val="0"/>
        <w:autoSpaceDN w:val="0"/>
        <w:adjustRightInd w:val="0"/>
        <w:spacing w:before="200" w:after="120" w:line="240" w:lineRule="auto"/>
        <w:ind w:left="480" w:hanging="480"/>
        <w:rPr>
          <w:rFonts w:cs="Arial"/>
          <w:noProof/>
        </w:rPr>
      </w:pPr>
      <w:r w:rsidRPr="00FC52F6">
        <w:rPr>
          <w:rFonts w:cs="Arial"/>
          <w:noProof/>
        </w:rPr>
        <w:t xml:space="preserve">Herrera-Rodríguez, T. C., Parejo-Palacio, V., &amp; González-Delgado, Á. D. (2025). Exergetic Evaluation of an avocado (Laurus Persea L.) Biorefinery in Northern Colombia. </w:t>
      </w:r>
      <w:r w:rsidRPr="00FC52F6">
        <w:rPr>
          <w:rFonts w:cs="Arial"/>
          <w:i/>
          <w:iCs/>
          <w:noProof/>
        </w:rPr>
        <w:t xml:space="preserve">Chemical Engineering Transactions </w:t>
      </w:r>
      <w:r w:rsidRPr="00FC52F6">
        <w:rPr>
          <w:rFonts w:cs="Arial"/>
          <w:noProof/>
        </w:rPr>
        <w:t xml:space="preserve">, </w:t>
      </w:r>
      <w:r w:rsidRPr="00FC52F6">
        <w:rPr>
          <w:rFonts w:cs="Arial"/>
          <w:i/>
          <w:iCs/>
          <w:noProof/>
        </w:rPr>
        <w:t>117</w:t>
      </w:r>
      <w:r w:rsidRPr="00FC52F6">
        <w:rPr>
          <w:rFonts w:cs="Arial"/>
          <w:noProof/>
        </w:rPr>
        <w:t>(May), 595–600. https://doi.org/10.3303/CET25117100</w:t>
      </w:r>
    </w:p>
    <w:p w14:paraId="63BC947B" w14:textId="77777777" w:rsidR="00FC52F6" w:rsidRPr="00FC52F6" w:rsidRDefault="00FC52F6" w:rsidP="00FC52F6">
      <w:pPr>
        <w:widowControl w:val="0"/>
        <w:autoSpaceDE w:val="0"/>
        <w:autoSpaceDN w:val="0"/>
        <w:adjustRightInd w:val="0"/>
        <w:spacing w:before="200" w:after="120" w:line="240" w:lineRule="auto"/>
        <w:ind w:left="480" w:hanging="480"/>
        <w:rPr>
          <w:rFonts w:cs="Arial"/>
          <w:noProof/>
        </w:rPr>
      </w:pPr>
      <w:r w:rsidRPr="00FC52F6">
        <w:rPr>
          <w:rFonts w:cs="Arial"/>
          <w:noProof/>
        </w:rPr>
        <w:t xml:space="preserve">Herrera, T., Parejo, V., &amp; González-Delgado, Á. (2022). Quality of Energy Conservation in an Avocado Oil Extraction Process Via Exergy Analysis. </w:t>
      </w:r>
      <w:r w:rsidRPr="00FC52F6">
        <w:rPr>
          <w:rFonts w:cs="Arial"/>
          <w:i/>
          <w:iCs/>
          <w:noProof/>
        </w:rPr>
        <w:t>Chemical Engineering Transactions</w:t>
      </w:r>
      <w:r w:rsidRPr="00FC52F6">
        <w:rPr>
          <w:rFonts w:cs="Arial"/>
          <w:noProof/>
        </w:rPr>
        <w:t xml:space="preserve">, </w:t>
      </w:r>
      <w:r w:rsidRPr="00FC52F6">
        <w:rPr>
          <w:rFonts w:cs="Arial"/>
          <w:i/>
          <w:iCs/>
          <w:noProof/>
        </w:rPr>
        <w:t>91</w:t>
      </w:r>
      <w:r w:rsidRPr="00FC52F6">
        <w:rPr>
          <w:rFonts w:cs="Arial"/>
          <w:noProof/>
        </w:rPr>
        <w:t>(December 2021), 241–</w:t>
      </w:r>
      <w:r w:rsidRPr="00FC52F6">
        <w:rPr>
          <w:rFonts w:cs="Arial"/>
          <w:noProof/>
        </w:rPr>
        <w:lastRenderedPageBreak/>
        <w:t>246. https://doi.org/10.3303/CET2291041</w:t>
      </w:r>
    </w:p>
    <w:p w14:paraId="54991D15" w14:textId="77777777" w:rsidR="00FC52F6" w:rsidRPr="00FC52F6" w:rsidRDefault="00FC52F6" w:rsidP="00FC52F6">
      <w:pPr>
        <w:widowControl w:val="0"/>
        <w:autoSpaceDE w:val="0"/>
        <w:autoSpaceDN w:val="0"/>
        <w:adjustRightInd w:val="0"/>
        <w:spacing w:before="200" w:after="120" w:line="240" w:lineRule="auto"/>
        <w:ind w:left="480" w:hanging="480"/>
        <w:rPr>
          <w:rFonts w:cs="Arial"/>
          <w:noProof/>
        </w:rPr>
      </w:pPr>
      <w:r w:rsidRPr="00FC52F6">
        <w:rPr>
          <w:rFonts w:cs="Arial"/>
          <w:noProof/>
        </w:rPr>
        <w:t xml:space="preserve">Meramo, S., &amp; González-Delgado, Á. D. (2023). Exergy and economic optimization of heat-integrated water regeneration networks. </w:t>
      </w:r>
      <w:r w:rsidRPr="00FC52F6">
        <w:rPr>
          <w:rFonts w:cs="Arial"/>
          <w:i/>
          <w:iCs/>
          <w:noProof/>
        </w:rPr>
        <w:t>Energy Conversion and Management: X</w:t>
      </w:r>
      <w:r w:rsidRPr="00FC52F6">
        <w:rPr>
          <w:rFonts w:cs="Arial"/>
          <w:noProof/>
        </w:rPr>
        <w:t xml:space="preserve">, </w:t>
      </w:r>
      <w:r w:rsidRPr="00FC52F6">
        <w:rPr>
          <w:rFonts w:cs="Arial"/>
          <w:i/>
          <w:iCs/>
          <w:noProof/>
        </w:rPr>
        <w:t>18</w:t>
      </w:r>
      <w:r w:rsidRPr="00FC52F6">
        <w:rPr>
          <w:rFonts w:cs="Arial"/>
          <w:noProof/>
        </w:rPr>
        <w:t>(August 2022). https://doi.org/10.1016/j.ecmx.2023.100373</w:t>
      </w:r>
    </w:p>
    <w:p w14:paraId="10FD85C6" w14:textId="77777777" w:rsidR="00FC52F6" w:rsidRPr="00FC52F6" w:rsidRDefault="00FC52F6" w:rsidP="00FC52F6">
      <w:pPr>
        <w:widowControl w:val="0"/>
        <w:autoSpaceDE w:val="0"/>
        <w:autoSpaceDN w:val="0"/>
        <w:adjustRightInd w:val="0"/>
        <w:spacing w:before="200" w:after="120" w:line="240" w:lineRule="auto"/>
        <w:ind w:left="480" w:hanging="480"/>
        <w:rPr>
          <w:rFonts w:cs="Arial"/>
          <w:noProof/>
        </w:rPr>
      </w:pPr>
      <w:r w:rsidRPr="00FC52F6">
        <w:rPr>
          <w:rFonts w:cs="Arial"/>
          <w:noProof/>
        </w:rPr>
        <w:t xml:space="preserve">Michalakakis, C., Fouillou, J., Lupton, R. C., Gonzalez Hernandez, A., &amp; Cullen, J. M. (2021). Calculating the chemical exergy of materials. </w:t>
      </w:r>
      <w:r w:rsidRPr="00FC52F6">
        <w:rPr>
          <w:rFonts w:cs="Arial"/>
          <w:i/>
          <w:iCs/>
          <w:noProof/>
        </w:rPr>
        <w:t>Journal of Industrial Ecology</w:t>
      </w:r>
      <w:r w:rsidRPr="00FC52F6">
        <w:rPr>
          <w:rFonts w:cs="Arial"/>
          <w:noProof/>
        </w:rPr>
        <w:t xml:space="preserve">, </w:t>
      </w:r>
      <w:r w:rsidRPr="00FC52F6">
        <w:rPr>
          <w:rFonts w:cs="Arial"/>
          <w:i/>
          <w:iCs/>
          <w:noProof/>
        </w:rPr>
        <w:t>25</w:t>
      </w:r>
      <w:r w:rsidRPr="00FC52F6">
        <w:rPr>
          <w:rFonts w:cs="Arial"/>
          <w:noProof/>
        </w:rPr>
        <w:t>(2), 274–287. https://doi.org/10.1111/jiec.13120</w:t>
      </w:r>
    </w:p>
    <w:p w14:paraId="6901B9EB" w14:textId="77777777" w:rsidR="00FC52F6" w:rsidRPr="00FC52F6" w:rsidRDefault="00FC52F6" w:rsidP="00FC52F6">
      <w:pPr>
        <w:widowControl w:val="0"/>
        <w:autoSpaceDE w:val="0"/>
        <w:autoSpaceDN w:val="0"/>
        <w:adjustRightInd w:val="0"/>
        <w:spacing w:before="200" w:after="120" w:line="240" w:lineRule="auto"/>
        <w:ind w:left="480" w:hanging="480"/>
        <w:rPr>
          <w:rFonts w:cs="Arial"/>
          <w:noProof/>
        </w:rPr>
      </w:pPr>
      <w:r w:rsidRPr="00FC52F6">
        <w:rPr>
          <w:rFonts w:cs="Arial"/>
          <w:noProof/>
        </w:rPr>
        <w:t xml:space="preserve">Mohammad, R. E. A., Abdullahi, S. S. ad, Muhammed, H. A., Musa, H., Habibu, S., Jagaba, A. H., &amp; Birniwa, A. H. (2024). Recent technical and non-technical biorefinery development barriers and potential solutions for a sustainable environment: A mini review. </w:t>
      </w:r>
      <w:r w:rsidRPr="00FC52F6">
        <w:rPr>
          <w:rFonts w:cs="Arial"/>
          <w:i/>
          <w:iCs/>
          <w:noProof/>
        </w:rPr>
        <w:t>Case Studies in Chemical and Environmental Engineering</w:t>
      </w:r>
      <w:r w:rsidRPr="00FC52F6">
        <w:rPr>
          <w:rFonts w:cs="Arial"/>
          <w:noProof/>
        </w:rPr>
        <w:t xml:space="preserve">, </w:t>
      </w:r>
      <w:r w:rsidRPr="00FC52F6">
        <w:rPr>
          <w:rFonts w:cs="Arial"/>
          <w:i/>
          <w:iCs/>
          <w:noProof/>
        </w:rPr>
        <w:t>9</w:t>
      </w:r>
      <w:r w:rsidRPr="00FC52F6">
        <w:rPr>
          <w:rFonts w:cs="Arial"/>
          <w:noProof/>
        </w:rPr>
        <w:t>(December 2023), 100586. https://doi.org/10.1016/j.cscee.2023.100586</w:t>
      </w:r>
    </w:p>
    <w:p w14:paraId="02466708" w14:textId="77777777" w:rsidR="00FC52F6" w:rsidRPr="00FC52F6" w:rsidRDefault="00FC52F6" w:rsidP="00FC52F6">
      <w:pPr>
        <w:widowControl w:val="0"/>
        <w:autoSpaceDE w:val="0"/>
        <w:autoSpaceDN w:val="0"/>
        <w:adjustRightInd w:val="0"/>
        <w:spacing w:before="200" w:after="120" w:line="240" w:lineRule="auto"/>
        <w:ind w:left="480" w:hanging="480"/>
        <w:rPr>
          <w:rFonts w:cs="Arial"/>
          <w:noProof/>
        </w:rPr>
      </w:pPr>
      <w:r w:rsidRPr="00FC52F6">
        <w:rPr>
          <w:rFonts w:cs="Arial"/>
          <w:noProof/>
        </w:rPr>
        <w:t xml:space="preserve">Moreno-Sader, K. A., Martínez-Consuegra, J., &amp; González-Delgado, Á. D. (2021). An integrated biorefinery approach via material recycle/reuse networks for the extraction of value-added components from shrimp: Computer-aided simulation and environmental assessment. </w:t>
      </w:r>
      <w:r w:rsidRPr="00FC52F6">
        <w:rPr>
          <w:rFonts w:cs="Arial"/>
          <w:i/>
          <w:iCs/>
          <w:noProof/>
        </w:rPr>
        <w:t>Food and Bioproducts Processing</w:t>
      </w:r>
      <w:r w:rsidRPr="00FC52F6">
        <w:rPr>
          <w:rFonts w:cs="Arial"/>
          <w:noProof/>
        </w:rPr>
        <w:t xml:space="preserve">, </w:t>
      </w:r>
      <w:r w:rsidRPr="00FC52F6">
        <w:rPr>
          <w:rFonts w:cs="Arial"/>
          <w:i/>
          <w:iCs/>
          <w:noProof/>
        </w:rPr>
        <w:t>127</w:t>
      </w:r>
      <w:r w:rsidRPr="00FC52F6">
        <w:rPr>
          <w:rFonts w:cs="Arial"/>
          <w:noProof/>
        </w:rPr>
        <w:t>, 443–453. https://doi.org/10.1016/j.fbp.2021.04.003</w:t>
      </w:r>
    </w:p>
    <w:p w14:paraId="61EB5EA4" w14:textId="77777777" w:rsidR="00FC52F6" w:rsidRPr="00FC52F6" w:rsidRDefault="00FC52F6" w:rsidP="00FC52F6">
      <w:pPr>
        <w:widowControl w:val="0"/>
        <w:autoSpaceDE w:val="0"/>
        <w:autoSpaceDN w:val="0"/>
        <w:adjustRightInd w:val="0"/>
        <w:spacing w:before="200" w:after="120" w:line="240" w:lineRule="auto"/>
        <w:ind w:left="480" w:hanging="480"/>
        <w:rPr>
          <w:rFonts w:cs="Arial"/>
          <w:noProof/>
        </w:rPr>
      </w:pPr>
      <w:r w:rsidRPr="00FC52F6">
        <w:rPr>
          <w:rFonts w:cs="Arial"/>
          <w:noProof/>
        </w:rPr>
        <w:t xml:space="preserve">Moreno-Sader, K., Meramo-Hurtado, S. I., &amp; González-Delgado, A. D. (2019). Computer-aided environmental and exergy analysis as decision-making tools for selecting bio-oil feedstocks. </w:t>
      </w:r>
      <w:r w:rsidRPr="00FC52F6">
        <w:rPr>
          <w:rFonts w:cs="Arial"/>
          <w:i/>
          <w:iCs/>
          <w:noProof/>
        </w:rPr>
        <w:t>Renewable and Sustainable Energy Reviews</w:t>
      </w:r>
      <w:r w:rsidRPr="00FC52F6">
        <w:rPr>
          <w:rFonts w:cs="Arial"/>
          <w:noProof/>
        </w:rPr>
        <w:t xml:space="preserve">, </w:t>
      </w:r>
      <w:r w:rsidRPr="00FC52F6">
        <w:rPr>
          <w:rFonts w:cs="Arial"/>
          <w:i/>
          <w:iCs/>
          <w:noProof/>
        </w:rPr>
        <w:t>112</w:t>
      </w:r>
      <w:r w:rsidRPr="00FC52F6">
        <w:rPr>
          <w:rFonts w:cs="Arial"/>
          <w:noProof/>
        </w:rPr>
        <w:t>(February), 42–57. https://doi.org/10.1016/j.rser.2019.05.044</w:t>
      </w:r>
    </w:p>
    <w:p w14:paraId="1D9AB763" w14:textId="77777777" w:rsidR="00FC52F6" w:rsidRPr="00FC52F6" w:rsidRDefault="00FC52F6" w:rsidP="00FC52F6">
      <w:pPr>
        <w:widowControl w:val="0"/>
        <w:autoSpaceDE w:val="0"/>
        <w:autoSpaceDN w:val="0"/>
        <w:adjustRightInd w:val="0"/>
        <w:spacing w:before="200" w:after="120" w:line="240" w:lineRule="auto"/>
        <w:ind w:left="480" w:hanging="480"/>
        <w:rPr>
          <w:rFonts w:cs="Arial"/>
          <w:noProof/>
        </w:rPr>
      </w:pPr>
      <w:r w:rsidRPr="00FC52F6">
        <w:rPr>
          <w:rFonts w:cs="Arial"/>
          <w:noProof/>
        </w:rPr>
        <w:t xml:space="preserve">Rosen, M. A. (2021). Exergy Analysis as a Tool for Addressing Climate Change. </w:t>
      </w:r>
      <w:r w:rsidRPr="00FC52F6">
        <w:rPr>
          <w:rFonts w:cs="Arial"/>
          <w:i/>
          <w:iCs/>
          <w:noProof/>
        </w:rPr>
        <w:t>European Journal of Sustainable Development Research</w:t>
      </w:r>
      <w:r w:rsidRPr="00FC52F6">
        <w:rPr>
          <w:rFonts w:cs="Arial"/>
          <w:noProof/>
        </w:rPr>
        <w:t xml:space="preserve">, </w:t>
      </w:r>
      <w:r w:rsidRPr="00FC52F6">
        <w:rPr>
          <w:rFonts w:cs="Arial"/>
          <w:i/>
          <w:iCs/>
          <w:noProof/>
        </w:rPr>
        <w:t>5</w:t>
      </w:r>
      <w:r w:rsidRPr="00FC52F6">
        <w:rPr>
          <w:rFonts w:cs="Arial"/>
          <w:noProof/>
        </w:rPr>
        <w:t>(2), em0148. https://doi.org/10.21601/ejosdr/9346</w:t>
      </w:r>
    </w:p>
    <w:p w14:paraId="537A1A78" w14:textId="77777777" w:rsidR="00FC52F6" w:rsidRPr="00FC52F6" w:rsidRDefault="00FC52F6" w:rsidP="00FC52F6">
      <w:pPr>
        <w:widowControl w:val="0"/>
        <w:autoSpaceDE w:val="0"/>
        <w:autoSpaceDN w:val="0"/>
        <w:adjustRightInd w:val="0"/>
        <w:spacing w:before="200" w:after="120" w:line="240" w:lineRule="auto"/>
        <w:ind w:left="480" w:hanging="480"/>
        <w:rPr>
          <w:rFonts w:cs="Arial"/>
          <w:noProof/>
        </w:rPr>
      </w:pPr>
      <w:r w:rsidRPr="00FC52F6">
        <w:rPr>
          <w:rFonts w:cs="Arial"/>
          <w:noProof/>
        </w:rPr>
        <w:t xml:space="preserve">Sciubba, E. (2025). An Exergy-Based “Degree of Sustainability”: Definition, Derivation, and Examples of Application. </w:t>
      </w:r>
      <w:r w:rsidRPr="00FC52F6">
        <w:rPr>
          <w:rFonts w:cs="Arial"/>
          <w:i/>
          <w:iCs/>
          <w:noProof/>
        </w:rPr>
        <w:t>Sustainability (Switzerland)</w:t>
      </w:r>
      <w:r w:rsidRPr="00FC52F6">
        <w:rPr>
          <w:rFonts w:cs="Arial"/>
          <w:noProof/>
        </w:rPr>
        <w:t xml:space="preserve">, </w:t>
      </w:r>
      <w:r w:rsidRPr="00FC52F6">
        <w:rPr>
          <w:rFonts w:cs="Arial"/>
          <w:i/>
          <w:iCs/>
          <w:noProof/>
        </w:rPr>
        <w:t>17</w:t>
      </w:r>
      <w:r w:rsidRPr="00FC52F6">
        <w:rPr>
          <w:rFonts w:cs="Arial"/>
          <w:noProof/>
        </w:rPr>
        <w:t>(12). https://doi.org/10.3390/su17125588</w:t>
      </w:r>
    </w:p>
    <w:p w14:paraId="0E564EB4" w14:textId="77777777" w:rsidR="00FC52F6" w:rsidRPr="00FC52F6" w:rsidRDefault="00FC52F6" w:rsidP="00FC52F6">
      <w:pPr>
        <w:widowControl w:val="0"/>
        <w:autoSpaceDE w:val="0"/>
        <w:autoSpaceDN w:val="0"/>
        <w:adjustRightInd w:val="0"/>
        <w:spacing w:before="200" w:after="120" w:line="240" w:lineRule="auto"/>
        <w:ind w:left="480" w:hanging="480"/>
        <w:rPr>
          <w:rFonts w:cs="Arial"/>
          <w:noProof/>
        </w:rPr>
      </w:pPr>
      <w:r w:rsidRPr="00FC52F6">
        <w:rPr>
          <w:rFonts w:cs="Arial"/>
          <w:noProof/>
        </w:rPr>
        <w:t xml:space="preserve">Tacchini, E., Tugnoli, A., &amp; Cozzani, V. (2022). Key Performance Indicators for Implementing Sustainability and Environmental Protection in Early Process Design Activities. </w:t>
      </w:r>
      <w:r w:rsidRPr="00FC52F6">
        <w:rPr>
          <w:rFonts w:cs="Arial"/>
          <w:i/>
          <w:iCs/>
          <w:noProof/>
        </w:rPr>
        <w:t>Chemical Engineering Transactions</w:t>
      </w:r>
      <w:r w:rsidRPr="00FC52F6">
        <w:rPr>
          <w:rFonts w:cs="Arial"/>
          <w:noProof/>
        </w:rPr>
        <w:t xml:space="preserve">, </w:t>
      </w:r>
      <w:r w:rsidRPr="00FC52F6">
        <w:rPr>
          <w:rFonts w:cs="Arial"/>
          <w:i/>
          <w:iCs/>
          <w:noProof/>
        </w:rPr>
        <w:t>91</w:t>
      </w:r>
      <w:r w:rsidRPr="00FC52F6">
        <w:rPr>
          <w:rFonts w:cs="Arial"/>
          <w:noProof/>
        </w:rPr>
        <w:t>(May), 391–396. https://doi.org/10.3303/CET2291066</w:t>
      </w:r>
    </w:p>
    <w:p w14:paraId="20161274" w14:textId="77777777" w:rsidR="00FC52F6" w:rsidRPr="00FC52F6" w:rsidRDefault="00FC52F6" w:rsidP="00FC52F6">
      <w:pPr>
        <w:widowControl w:val="0"/>
        <w:autoSpaceDE w:val="0"/>
        <w:autoSpaceDN w:val="0"/>
        <w:adjustRightInd w:val="0"/>
        <w:spacing w:before="200" w:after="120" w:line="240" w:lineRule="auto"/>
        <w:ind w:left="480" w:hanging="480"/>
        <w:rPr>
          <w:rFonts w:cs="Arial"/>
          <w:noProof/>
        </w:rPr>
      </w:pPr>
      <w:r w:rsidRPr="00FC52F6">
        <w:rPr>
          <w:rFonts w:cs="Arial"/>
          <w:noProof/>
        </w:rPr>
        <w:t xml:space="preserve">Valderrama, C., Quintero, V., &amp; Kafarov, V. (2020). Energy and water optimization of an integrated bioethanol production process from molasses and sugarcane bagasse: A Colombian case. </w:t>
      </w:r>
      <w:r w:rsidRPr="00FC52F6">
        <w:rPr>
          <w:rFonts w:cs="Arial"/>
          <w:i/>
          <w:iCs/>
          <w:noProof/>
        </w:rPr>
        <w:t>Fuel</w:t>
      </w:r>
      <w:r w:rsidRPr="00FC52F6">
        <w:rPr>
          <w:rFonts w:cs="Arial"/>
          <w:noProof/>
        </w:rPr>
        <w:t xml:space="preserve">, </w:t>
      </w:r>
      <w:r w:rsidRPr="00FC52F6">
        <w:rPr>
          <w:rFonts w:cs="Arial"/>
          <w:i/>
          <w:iCs/>
          <w:noProof/>
        </w:rPr>
        <w:t>260</w:t>
      </w:r>
      <w:r w:rsidRPr="00FC52F6">
        <w:rPr>
          <w:rFonts w:cs="Arial"/>
          <w:noProof/>
        </w:rPr>
        <w:t>(April 2019), 116314. https://doi.org/10.1016/j.fuel.2019.116314</w:t>
      </w:r>
    </w:p>
    <w:p w14:paraId="6512955F" w14:textId="639627B4" w:rsidR="00467852" w:rsidRPr="00C63B18" w:rsidRDefault="008C0AE7" w:rsidP="00C63B18">
      <w:pPr>
        <w:pStyle w:val="CETReference"/>
        <w:rPr>
          <w:rFonts w:eastAsia="Arial"/>
          <w:lang w:val="es-CO"/>
        </w:rPr>
      </w:pPr>
      <w:r>
        <w:rPr>
          <w:rFonts w:eastAsia="Arial"/>
          <w:lang w:val="es-CO"/>
        </w:rPr>
        <w:fldChar w:fldCharType="end"/>
      </w:r>
    </w:p>
    <w:sectPr w:rsidR="00467852" w:rsidRPr="00C63B18">
      <w:type w:val="continuous"/>
      <w:pgSz w:w="11906" w:h="16838"/>
      <w:pgMar w:top="1701" w:right="1418" w:bottom="1701" w:left="1701" w:header="1701"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30EBB75-44E7-46B3-AE70-A8199FD2422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4815FDA-B6CA-40CA-95CE-90C66E913FF4}"/>
    <w:embedBold r:id="rId3" w:fontKey="{DAB0E37B-5AE9-45E6-9292-0CC194EF61B5}"/>
    <w:embedItalic r:id="rId4" w:fontKey="{FA907D3B-63D7-4C3A-ACF8-013EC7626132}"/>
    <w:embedBoldItalic r:id="rId5" w:fontKey="{5667CF65-2FAA-4F73-865F-39C091DD1D04}"/>
  </w:font>
  <w:font w:name="Tahoma">
    <w:panose1 w:val="020B0604030504040204"/>
    <w:charset w:val="00"/>
    <w:family w:val="swiss"/>
    <w:pitch w:val="variable"/>
    <w:sig w:usb0="E1002EFF" w:usb1="C000605B" w:usb2="00000029" w:usb3="00000000" w:csb0="000101FF" w:csb1="00000000"/>
    <w:embedRegular r:id="rId6" w:fontKey="{A85715F2-DDC0-4CEF-82B2-B1D164E47351}"/>
    <w:embedBold r:id="rId7" w:fontKey="{BA7CB4EC-FF2F-4162-AA8B-ED6B70942039}"/>
  </w:font>
  <w:font w:name="Consolas">
    <w:panose1 w:val="020B0609020204030204"/>
    <w:charset w:val="00"/>
    <w:family w:val="modern"/>
    <w:pitch w:val="fixed"/>
    <w:sig w:usb0="E00006FF" w:usb1="0000FCFF" w:usb2="00000001" w:usb3="00000000" w:csb0="0000019F" w:csb1="00000000"/>
    <w:embedRegular r:id="rId8" w:fontKey="{4AB0F292-C991-4D11-8FED-3DFDAC78FE09}"/>
  </w:font>
  <w:font w:name="Georgia">
    <w:panose1 w:val="02040502050405020303"/>
    <w:charset w:val="00"/>
    <w:family w:val="roman"/>
    <w:pitch w:val="variable"/>
    <w:sig w:usb0="00000287" w:usb1="00000000" w:usb2="00000000" w:usb3="00000000" w:csb0="0000009F" w:csb1="00000000"/>
    <w:embedRegular r:id="rId9" w:fontKey="{A9762E83-0050-417E-B404-0D9C7E389F32}"/>
    <w:embedItalic r:id="rId10" w:fontKey="{0E995C57-869F-417F-9240-B14F873344DD}"/>
  </w:font>
  <w:font w:name="AdvP6960">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1" w:fontKey="{48B5A731-1C76-4DC0-BD3D-81E00465E16E}"/>
  </w:font>
  <w:font w:name="Segoe UI Symbol">
    <w:panose1 w:val="020B0502040204020203"/>
    <w:charset w:val="00"/>
    <w:family w:val="swiss"/>
    <w:pitch w:val="variable"/>
    <w:sig w:usb0="800001E3" w:usb1="1200FFEF" w:usb2="00040000" w:usb3="00000000" w:csb0="00000001" w:csb1="00000000"/>
    <w:embedRegular r:id="rId12" w:fontKey="{59332936-A531-4D25-9F29-0D949F215CAF}"/>
  </w:font>
  <w:font w:name="Cambria Math">
    <w:panose1 w:val="02040503050406030204"/>
    <w:charset w:val="00"/>
    <w:family w:val="roman"/>
    <w:pitch w:val="variable"/>
    <w:sig w:usb0="E00006FF" w:usb1="420024FF" w:usb2="02000000" w:usb3="00000000" w:csb0="0000019F" w:csb1="00000000"/>
    <w:embedRegular r:id="rId13" w:fontKey="{78BF4E5F-552B-4F5F-9FA5-F71AD8F8CA26}"/>
    <w:embedItalic r:id="rId14" w:fontKey="{33334FAC-72D4-46E3-9F88-7A82025D84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6006E"/>
    <w:multiLevelType w:val="multilevel"/>
    <w:tmpl w:val="3FDAF8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37E3F18"/>
    <w:multiLevelType w:val="hybridMultilevel"/>
    <w:tmpl w:val="B362377A"/>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2E651A86"/>
    <w:multiLevelType w:val="multilevel"/>
    <w:tmpl w:val="CAFA7D96"/>
    <w:lvl w:ilvl="0">
      <w:start w:val="1"/>
      <w:numFmt w:val="decimal"/>
      <w:lvlText w:val="Chapter %1"/>
      <w:lvlJc w:val="left"/>
      <w:pPr>
        <w:ind w:left="0" w:firstLine="0"/>
      </w:pPr>
    </w:lvl>
    <w:lvl w:ilvl="1">
      <w:start w:val="1"/>
      <w:numFmt w:val="decimal"/>
      <w:pStyle w:val="Heading1"/>
      <w:lvlText w:val="%2."/>
      <w:lvlJc w:val="left"/>
      <w:pPr>
        <w:ind w:left="0" w:firstLine="0"/>
      </w:pPr>
    </w:lvl>
    <w:lvl w:ilvl="2">
      <w:start w:val="1"/>
      <w:numFmt w:val="decimal"/>
      <w:pStyle w:val="CETheadingx"/>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3" w15:restartNumberingAfterBreak="0">
    <w:nsid w:val="4772167B"/>
    <w:multiLevelType w:val="multilevel"/>
    <w:tmpl w:val="1F7E7914"/>
    <w:lvl w:ilvl="0">
      <w:start w:val="1"/>
      <w:numFmt w:val="bullet"/>
      <w:pStyle w:val="ListNumber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421D74"/>
    <w:multiLevelType w:val="multilevel"/>
    <w:tmpl w:val="31A28970"/>
    <w:lvl w:ilvl="0">
      <w:start w:val="1"/>
      <w:numFmt w:val="decimal"/>
      <w:pStyle w:val="ListNumber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9FD21CB"/>
    <w:multiLevelType w:val="multilevel"/>
    <w:tmpl w:val="1C8A4768"/>
    <w:lvl w:ilvl="0">
      <w:start w:val="1"/>
      <w:numFmt w:val="bullet"/>
      <w:pStyle w:val="ListNumber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B6E57FC"/>
    <w:multiLevelType w:val="multilevel"/>
    <w:tmpl w:val="3CBC53C0"/>
    <w:lvl w:ilvl="0">
      <w:start w:val="1"/>
      <w:numFmt w:val="decimal"/>
      <w:lvlText w:val="%1."/>
      <w:lvlJc w:val="left"/>
      <w:pPr>
        <w:ind w:left="360" w:hanging="36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5BAF067E"/>
    <w:multiLevelType w:val="multilevel"/>
    <w:tmpl w:val="8C3C4B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CDC277F"/>
    <w:multiLevelType w:val="multilevel"/>
    <w:tmpl w:val="D3CE136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FEB0604"/>
    <w:multiLevelType w:val="multilevel"/>
    <w:tmpl w:val="F4529A2A"/>
    <w:lvl w:ilvl="0">
      <w:start w:val="1"/>
      <w:numFmt w:val="bullet"/>
      <w:pStyle w:val="ListNumber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AC5553"/>
    <w:multiLevelType w:val="multilevel"/>
    <w:tmpl w:val="3C9C976A"/>
    <w:lvl w:ilvl="0">
      <w:start w:val="1"/>
      <w:numFmt w:val="bullet"/>
      <w:pStyle w:val="ListNumber"/>
      <w:lvlText w:val="●"/>
      <w:lvlJc w:val="left"/>
      <w:pPr>
        <w:ind w:left="340"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7510514">
    <w:abstractNumId w:val="2"/>
  </w:num>
  <w:num w:numId="2" w16cid:durableId="1726640284">
    <w:abstractNumId w:val="10"/>
  </w:num>
  <w:num w:numId="3" w16cid:durableId="513885806">
    <w:abstractNumId w:val="5"/>
  </w:num>
  <w:num w:numId="4" w16cid:durableId="1557276879">
    <w:abstractNumId w:val="3"/>
  </w:num>
  <w:num w:numId="5" w16cid:durableId="715354721">
    <w:abstractNumId w:val="9"/>
  </w:num>
  <w:num w:numId="6" w16cid:durableId="2134052101">
    <w:abstractNumId w:val="4"/>
  </w:num>
  <w:num w:numId="7" w16cid:durableId="4372567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386085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523212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930236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173217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728475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56101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31602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56072905">
    <w:abstractNumId w:val="6"/>
  </w:num>
  <w:num w:numId="16" w16cid:durableId="782379426">
    <w:abstractNumId w:val="1"/>
  </w:num>
  <w:num w:numId="17" w16cid:durableId="409809246">
    <w:abstractNumId w:val="7"/>
  </w:num>
  <w:num w:numId="18" w16cid:durableId="1659070204">
    <w:abstractNumId w:val="8"/>
  </w:num>
  <w:num w:numId="19" w16cid:durableId="358775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9D3"/>
    <w:rsid w:val="00001F07"/>
    <w:rsid w:val="00004DB2"/>
    <w:rsid w:val="00007582"/>
    <w:rsid w:val="00010048"/>
    <w:rsid w:val="000172EA"/>
    <w:rsid w:val="0003714E"/>
    <w:rsid w:val="0004682D"/>
    <w:rsid w:val="000473B9"/>
    <w:rsid w:val="000678D9"/>
    <w:rsid w:val="00086695"/>
    <w:rsid w:val="00097F66"/>
    <w:rsid w:val="000A0076"/>
    <w:rsid w:val="000D3553"/>
    <w:rsid w:val="00115E0C"/>
    <w:rsid w:val="00132796"/>
    <w:rsid w:val="00136071"/>
    <w:rsid w:val="001366FF"/>
    <w:rsid w:val="001373DA"/>
    <w:rsid w:val="0015206D"/>
    <w:rsid w:val="001626D6"/>
    <w:rsid w:val="00166A15"/>
    <w:rsid w:val="00166FA9"/>
    <w:rsid w:val="00167DCF"/>
    <w:rsid w:val="00173FED"/>
    <w:rsid w:val="0017606A"/>
    <w:rsid w:val="00181AC1"/>
    <w:rsid w:val="00194486"/>
    <w:rsid w:val="001A1043"/>
    <w:rsid w:val="001E3509"/>
    <w:rsid w:val="001F42DC"/>
    <w:rsid w:val="00246E13"/>
    <w:rsid w:val="00254C37"/>
    <w:rsid w:val="00265D4C"/>
    <w:rsid w:val="002673CC"/>
    <w:rsid w:val="00281F8B"/>
    <w:rsid w:val="002A75B7"/>
    <w:rsid w:val="002B2D8A"/>
    <w:rsid w:val="002D23DA"/>
    <w:rsid w:val="002F69C3"/>
    <w:rsid w:val="00315336"/>
    <w:rsid w:val="003165C9"/>
    <w:rsid w:val="00342BE2"/>
    <w:rsid w:val="0034347C"/>
    <w:rsid w:val="00356B69"/>
    <w:rsid w:val="0036659C"/>
    <w:rsid w:val="00375BF8"/>
    <w:rsid w:val="003803DD"/>
    <w:rsid w:val="00381C6F"/>
    <w:rsid w:val="003849F4"/>
    <w:rsid w:val="00385BE2"/>
    <w:rsid w:val="00385CB3"/>
    <w:rsid w:val="003943B8"/>
    <w:rsid w:val="003A5B3D"/>
    <w:rsid w:val="003C0B4F"/>
    <w:rsid w:val="003C1B6C"/>
    <w:rsid w:val="003D37CD"/>
    <w:rsid w:val="003E2EBA"/>
    <w:rsid w:val="003E39D6"/>
    <w:rsid w:val="003F697E"/>
    <w:rsid w:val="00414C9E"/>
    <w:rsid w:val="00425316"/>
    <w:rsid w:val="00440A23"/>
    <w:rsid w:val="0045310B"/>
    <w:rsid w:val="00455F07"/>
    <w:rsid w:val="004667B9"/>
    <w:rsid w:val="00467852"/>
    <w:rsid w:val="00476C16"/>
    <w:rsid w:val="004776B5"/>
    <w:rsid w:val="004B3FD4"/>
    <w:rsid w:val="004C5808"/>
    <w:rsid w:val="004D0686"/>
    <w:rsid w:val="004D47AF"/>
    <w:rsid w:val="004F2327"/>
    <w:rsid w:val="004F4013"/>
    <w:rsid w:val="004F412E"/>
    <w:rsid w:val="0051363B"/>
    <w:rsid w:val="005202A7"/>
    <w:rsid w:val="005202CF"/>
    <w:rsid w:val="00530031"/>
    <w:rsid w:val="00554FBC"/>
    <w:rsid w:val="0056122C"/>
    <w:rsid w:val="00561CCD"/>
    <w:rsid w:val="00563A3C"/>
    <w:rsid w:val="00570A22"/>
    <w:rsid w:val="005963E7"/>
    <w:rsid w:val="005A133D"/>
    <w:rsid w:val="005A2A0F"/>
    <w:rsid w:val="005B2A26"/>
    <w:rsid w:val="005B6932"/>
    <w:rsid w:val="005C5E5B"/>
    <w:rsid w:val="005D77E4"/>
    <w:rsid w:val="005F29D3"/>
    <w:rsid w:val="006101A4"/>
    <w:rsid w:val="00611B2E"/>
    <w:rsid w:val="006161E5"/>
    <w:rsid w:val="006208A7"/>
    <w:rsid w:val="00635C7B"/>
    <w:rsid w:val="006365B1"/>
    <w:rsid w:val="00641D4D"/>
    <w:rsid w:val="006516E6"/>
    <w:rsid w:val="00651C37"/>
    <w:rsid w:val="00671883"/>
    <w:rsid w:val="00673BE3"/>
    <w:rsid w:val="006863ED"/>
    <w:rsid w:val="00686732"/>
    <w:rsid w:val="00697C20"/>
    <w:rsid w:val="006B13E2"/>
    <w:rsid w:val="006B3CE1"/>
    <w:rsid w:val="006B4C24"/>
    <w:rsid w:val="006F126F"/>
    <w:rsid w:val="006F6154"/>
    <w:rsid w:val="00701240"/>
    <w:rsid w:val="00712EB7"/>
    <w:rsid w:val="007201D0"/>
    <w:rsid w:val="0073495D"/>
    <w:rsid w:val="00734B75"/>
    <w:rsid w:val="00737357"/>
    <w:rsid w:val="0076211B"/>
    <w:rsid w:val="0078148A"/>
    <w:rsid w:val="00783A78"/>
    <w:rsid w:val="00793780"/>
    <w:rsid w:val="007B0AAF"/>
    <w:rsid w:val="007C0281"/>
    <w:rsid w:val="007F413A"/>
    <w:rsid w:val="00806823"/>
    <w:rsid w:val="00816008"/>
    <w:rsid w:val="008255A6"/>
    <w:rsid w:val="0083263D"/>
    <w:rsid w:val="00842DA1"/>
    <w:rsid w:val="00864B33"/>
    <w:rsid w:val="008956C6"/>
    <w:rsid w:val="008A437D"/>
    <w:rsid w:val="008B00F7"/>
    <w:rsid w:val="008C0AE7"/>
    <w:rsid w:val="008C5928"/>
    <w:rsid w:val="008C640D"/>
    <w:rsid w:val="008F0686"/>
    <w:rsid w:val="008F2148"/>
    <w:rsid w:val="0091294B"/>
    <w:rsid w:val="00915750"/>
    <w:rsid w:val="00944AF9"/>
    <w:rsid w:val="00944DDA"/>
    <w:rsid w:val="009463E1"/>
    <w:rsid w:val="009467F1"/>
    <w:rsid w:val="00950357"/>
    <w:rsid w:val="0095647F"/>
    <w:rsid w:val="00964D38"/>
    <w:rsid w:val="00975F0D"/>
    <w:rsid w:val="00992441"/>
    <w:rsid w:val="009A30FB"/>
    <w:rsid w:val="009A5221"/>
    <w:rsid w:val="009B64B3"/>
    <w:rsid w:val="009C6444"/>
    <w:rsid w:val="009E0447"/>
    <w:rsid w:val="009E1C48"/>
    <w:rsid w:val="00A12FEB"/>
    <w:rsid w:val="00A22745"/>
    <w:rsid w:val="00A25A52"/>
    <w:rsid w:val="00A2700D"/>
    <w:rsid w:val="00A3060D"/>
    <w:rsid w:val="00A4241A"/>
    <w:rsid w:val="00A65D7B"/>
    <w:rsid w:val="00A6683E"/>
    <w:rsid w:val="00A778E3"/>
    <w:rsid w:val="00A83970"/>
    <w:rsid w:val="00A900A3"/>
    <w:rsid w:val="00A935D4"/>
    <w:rsid w:val="00AD0080"/>
    <w:rsid w:val="00AD2AFB"/>
    <w:rsid w:val="00B04E84"/>
    <w:rsid w:val="00B134B6"/>
    <w:rsid w:val="00B316C5"/>
    <w:rsid w:val="00B472BF"/>
    <w:rsid w:val="00B62799"/>
    <w:rsid w:val="00B659F0"/>
    <w:rsid w:val="00B738AC"/>
    <w:rsid w:val="00B81F3F"/>
    <w:rsid w:val="00B93F49"/>
    <w:rsid w:val="00B96346"/>
    <w:rsid w:val="00BA68D6"/>
    <w:rsid w:val="00BC089F"/>
    <w:rsid w:val="00BC100D"/>
    <w:rsid w:val="00BC5230"/>
    <w:rsid w:val="00BD6D3C"/>
    <w:rsid w:val="00BE449F"/>
    <w:rsid w:val="00BE6CA1"/>
    <w:rsid w:val="00C01393"/>
    <w:rsid w:val="00C14D87"/>
    <w:rsid w:val="00C21415"/>
    <w:rsid w:val="00C22B2F"/>
    <w:rsid w:val="00C373B2"/>
    <w:rsid w:val="00C47A46"/>
    <w:rsid w:val="00C63B18"/>
    <w:rsid w:val="00C67F39"/>
    <w:rsid w:val="00C85746"/>
    <w:rsid w:val="00C96E6D"/>
    <w:rsid w:val="00C97D5D"/>
    <w:rsid w:val="00CA6F36"/>
    <w:rsid w:val="00CC7E2D"/>
    <w:rsid w:val="00CD4AA4"/>
    <w:rsid w:val="00CE160A"/>
    <w:rsid w:val="00CE21A9"/>
    <w:rsid w:val="00CF75E9"/>
    <w:rsid w:val="00D00A0C"/>
    <w:rsid w:val="00D07FFD"/>
    <w:rsid w:val="00D16C6B"/>
    <w:rsid w:val="00D179A3"/>
    <w:rsid w:val="00D252FB"/>
    <w:rsid w:val="00D30530"/>
    <w:rsid w:val="00D64208"/>
    <w:rsid w:val="00D64DD6"/>
    <w:rsid w:val="00D8176C"/>
    <w:rsid w:val="00D942A0"/>
    <w:rsid w:val="00D96F47"/>
    <w:rsid w:val="00D97E8A"/>
    <w:rsid w:val="00DB0BB0"/>
    <w:rsid w:val="00DC62E3"/>
    <w:rsid w:val="00DD1BB8"/>
    <w:rsid w:val="00DE0CA5"/>
    <w:rsid w:val="00DE60ED"/>
    <w:rsid w:val="00E002A4"/>
    <w:rsid w:val="00E07E55"/>
    <w:rsid w:val="00E42105"/>
    <w:rsid w:val="00E5406C"/>
    <w:rsid w:val="00E66445"/>
    <w:rsid w:val="00E73F0B"/>
    <w:rsid w:val="00E801AC"/>
    <w:rsid w:val="00E81547"/>
    <w:rsid w:val="00E91FF5"/>
    <w:rsid w:val="00EC25C3"/>
    <w:rsid w:val="00EC5A09"/>
    <w:rsid w:val="00F03817"/>
    <w:rsid w:val="00F33062"/>
    <w:rsid w:val="00F34F06"/>
    <w:rsid w:val="00F50C90"/>
    <w:rsid w:val="00F514BC"/>
    <w:rsid w:val="00F515C1"/>
    <w:rsid w:val="00F57722"/>
    <w:rsid w:val="00F600D2"/>
    <w:rsid w:val="00F67AE8"/>
    <w:rsid w:val="00F75D97"/>
    <w:rsid w:val="00F84656"/>
    <w:rsid w:val="00F930C2"/>
    <w:rsid w:val="00F97F4B"/>
    <w:rsid w:val="00FA023F"/>
    <w:rsid w:val="00FA0857"/>
    <w:rsid w:val="00FA1C4C"/>
    <w:rsid w:val="00FB0816"/>
    <w:rsid w:val="00FC3036"/>
    <w:rsid w:val="00FC52F6"/>
    <w:rsid w:val="00FE0B82"/>
    <w:rsid w:val="00FE55C6"/>
    <w:rsid w:val="00FE71D1"/>
    <w:rsid w:val="00FF1F9E"/>
    <w:rsid w:val="00FF26D9"/>
    <w:rsid w:val="00FF6A32"/>
    <w:rsid w:val="00FF6C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CB822"/>
  <w15:docId w15:val="{D96F1CA5-B6BF-497B-9DAA-655C00B22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GB" w:eastAsia="es-CO"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qFormat/>
    <w:rsid w:val="00FC3036"/>
    <w:rPr>
      <w:rFonts w:eastAsia="Times New Roman" w:cs="Times New Roman"/>
      <w:szCs w:val="20"/>
    </w:rPr>
  </w:style>
  <w:style w:type="paragraph" w:styleId="Heading1">
    <w:name w:val="heading 1"/>
    <w:basedOn w:val="CETHeading1"/>
    <w:next w:val="Normal"/>
    <w:link w:val="Heading1Char"/>
    <w:uiPriority w:val="9"/>
    <w:qFormat/>
    <w:rsid w:val="004F5E36"/>
    <w:pPr>
      <w:numPr>
        <w:ilvl w:val="1"/>
        <w:numId w:val="1"/>
      </w:numPr>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pPr>
    <w:rPr>
      <w:rFonts w:eastAsia="Times New Roman" w:cs="Times New Roman"/>
      <w:b/>
      <w:sz w:val="20"/>
      <w:szCs w:val="20"/>
      <w:lang w:val="en-US"/>
    </w:rPr>
  </w:style>
  <w:style w:type="paragraph" w:customStyle="1" w:styleId="CETBodytext">
    <w:name w:val="CET Body text"/>
    <w:link w:val="CETBodytextCarattere"/>
    <w:qFormat/>
    <w:rsid w:val="000E414A"/>
    <w:rPr>
      <w:rFonts w:eastAsia="Times New Roman" w:cs="Times New Roman"/>
      <w:szCs w:val="20"/>
      <w:lang w:val="en-US"/>
    </w:rPr>
  </w:style>
  <w:style w:type="paragraph" w:customStyle="1" w:styleId="CETheadingx">
    <w:name w:val="CET headingx"/>
    <w:next w:val="CETBodytext"/>
    <w:link w:val="CETheadingxCarattere"/>
    <w:autoRedefine/>
    <w:qFormat/>
    <w:rsid w:val="005C5E5B"/>
    <w:pPr>
      <w:keepNext/>
      <w:numPr>
        <w:ilvl w:val="2"/>
        <w:numId w:val="1"/>
      </w:numPr>
      <w:suppressAutoHyphens/>
      <w:spacing w:before="120" w:after="120" w:line="240" w:lineRule="auto"/>
    </w:pPr>
    <w:rPr>
      <w:rFonts w:eastAsia="Times New Roman" w:cs="Times New Roman"/>
      <w:b/>
      <w:szCs w:val="20"/>
      <w:lang w:val="en-US"/>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rPr>
  </w:style>
  <w:style w:type="table" w:styleId="TableSimple1">
    <w:name w:val="Table Simple 1"/>
    <w:basedOn w:val="TableNormal"/>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rPr>
  </w:style>
  <w:style w:type="paragraph" w:customStyle="1" w:styleId="CETCaption">
    <w:name w:val="CET Caption"/>
    <w:link w:val="CETCaptionCarattere"/>
    <w:qFormat/>
    <w:rsid w:val="00F7534E"/>
    <w:pPr>
      <w:spacing w:before="240" w:after="240"/>
    </w:pPr>
    <w:rPr>
      <w:rFonts w:eastAsia="Times New Roman" w:cs="Times New Roman"/>
      <w:i/>
      <w:szCs w:val="20"/>
    </w:rPr>
  </w:style>
  <w:style w:type="character" w:customStyle="1" w:styleId="CETheadingxCarattere">
    <w:name w:val="CET headingx Carattere"/>
    <w:link w:val="CETheadingx"/>
    <w:rsid w:val="005C5E5B"/>
    <w:rPr>
      <w:rFonts w:eastAsia="Times New Roman" w:cs="Times New Roman"/>
      <w:b/>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tabs>
        <w:tab w:val="num" w:pos="720"/>
      </w:tabs>
      <w:ind w:left="720" w:hanging="720"/>
      <w:contextualSpacing/>
    </w:pPr>
  </w:style>
  <w:style w:type="paragraph" w:styleId="ListBullet2">
    <w:name w:val="List Bullet 2"/>
    <w:basedOn w:val="Normal"/>
    <w:uiPriority w:val="99"/>
    <w:semiHidden/>
    <w:unhideWhenUsed/>
    <w:rsid w:val="0003148D"/>
    <w:pPr>
      <w:tabs>
        <w:tab w:val="num" w:pos="720"/>
      </w:tabs>
      <w:ind w:left="720" w:hanging="720"/>
      <w:contextualSpacing/>
    </w:pPr>
  </w:style>
  <w:style w:type="paragraph" w:styleId="ListBullet3">
    <w:name w:val="List Bullet 3"/>
    <w:basedOn w:val="Normal"/>
    <w:uiPriority w:val="99"/>
    <w:semiHidden/>
    <w:unhideWhenUsed/>
    <w:rsid w:val="0003148D"/>
    <w:pPr>
      <w:tabs>
        <w:tab w:val="num" w:pos="720"/>
      </w:tabs>
      <w:ind w:left="720" w:hanging="720"/>
      <w:contextualSpacing/>
    </w:pPr>
  </w:style>
  <w:style w:type="paragraph" w:styleId="ListBullet4">
    <w:name w:val="List Bullet 4"/>
    <w:basedOn w:val="Normal"/>
    <w:uiPriority w:val="99"/>
    <w:semiHidden/>
    <w:unhideWhenUsed/>
    <w:rsid w:val="0003148D"/>
    <w:pPr>
      <w:tabs>
        <w:tab w:val="num" w:pos="720"/>
      </w:tabs>
      <w:ind w:left="720" w:hanging="720"/>
      <w:contextualSpacing/>
    </w:pPr>
  </w:style>
  <w:style w:type="paragraph" w:styleId="ListBullet5">
    <w:name w:val="List Bullet 5"/>
    <w:basedOn w:val="Normal"/>
    <w:uiPriority w:val="99"/>
    <w:semiHidden/>
    <w:unhideWhenUsed/>
    <w:rsid w:val="0003148D"/>
    <w:pPr>
      <w:tabs>
        <w:tab w:val="num" w:pos="720"/>
      </w:tabs>
      <w:ind w:left="720" w:hanging="720"/>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eastAsia="Times New Roman" w:cs="Times New Roman"/>
      <w:noProof/>
      <w:sz w:val="16"/>
      <w:szCs w:val="20"/>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rPr>
  </w:style>
  <w:style w:type="paragraph" w:customStyle="1" w:styleId="CETnumbering1">
    <w:name w:val="CET numbering (1"/>
    <w:aliases w:val="2..)"/>
    <w:rsid w:val="00B57B36"/>
    <w:pPr>
      <w:tabs>
        <w:tab w:val="num" w:pos="720"/>
      </w:tabs>
      <w:ind w:left="340" w:hanging="227"/>
    </w:pPr>
    <w:rPr>
      <w:rFonts w:eastAsia="Times New Roman" w:cs="Times New Roman"/>
      <w:szCs w:val="20"/>
      <w:lang w:val="en-US"/>
    </w:rPr>
  </w:style>
  <w:style w:type="paragraph" w:customStyle="1" w:styleId="CETnumberinga">
    <w:name w:val="CET numbering (a"/>
    <w:aliases w:val="b,..)"/>
    <w:rsid w:val="00B57B36"/>
    <w:pPr>
      <w:tabs>
        <w:tab w:val="num" w:pos="720"/>
      </w:tabs>
      <w:ind w:left="720" w:hanging="720"/>
    </w:pPr>
    <w:rPr>
      <w:rFonts w:eastAsia="Times New Roman" w:cs="Times New Roman"/>
      <w:szCs w:val="20"/>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ind w:left="340" w:hanging="227"/>
    </w:pPr>
    <w:rPr>
      <w:rFonts w:eastAsia="Times New Roman" w:cs="Times New Roman"/>
      <w:szCs w:val="20"/>
    </w:rPr>
  </w:style>
  <w:style w:type="paragraph" w:customStyle="1" w:styleId="CETReferencetext">
    <w:name w:val="CET Reference text"/>
    <w:qFormat/>
    <w:rsid w:val="00600535"/>
    <w:pPr>
      <w:ind w:left="284" w:hanging="284"/>
    </w:pPr>
    <w:rPr>
      <w:rFonts w:eastAsia="Times New Roman" w:cs="Times New Roman"/>
      <w:szCs w:val="20"/>
    </w:rPr>
  </w:style>
  <w:style w:type="paragraph" w:customStyle="1" w:styleId="CETTabletitle">
    <w:name w:val="CET Table title"/>
    <w:qFormat/>
    <w:rsid w:val="00600535"/>
    <w:pPr>
      <w:keepNext/>
      <w:spacing w:before="240" w:after="80" w:line="240" w:lineRule="exact"/>
    </w:pPr>
    <w:rPr>
      <w:rFonts w:eastAsia="Times New Roman" w:cs="Times New Roman"/>
      <w:i/>
      <w:szCs w:val="20"/>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Pr>
  </w:style>
  <w:style w:type="character" w:styleId="PlaceholderText">
    <w:name w:val="Placeholder Text"/>
    <w:basedOn w:val="DefaultParagraphFont"/>
    <w:uiPriority w:val="99"/>
    <w:semiHidden/>
    <w:rsid w:val="00A12FEB"/>
    <w:rPr>
      <w:color w:val="666666"/>
    </w:rPr>
  </w:style>
  <w:style w:type="paragraph" w:styleId="Revision">
    <w:name w:val="Revision"/>
    <w:hidden/>
    <w:uiPriority w:val="99"/>
    <w:semiHidden/>
    <w:rsid w:val="0036659C"/>
    <w:pPr>
      <w:tabs>
        <w:tab w:val="clear" w:pos="7100"/>
      </w:tabs>
      <w:spacing w:line="240" w:lineRule="auto"/>
      <w:jc w:val="left"/>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555643">
      <w:bodyDiv w:val="1"/>
      <w:marLeft w:val="0"/>
      <w:marRight w:val="0"/>
      <w:marTop w:val="0"/>
      <w:marBottom w:val="0"/>
      <w:divBdr>
        <w:top w:val="none" w:sz="0" w:space="0" w:color="auto"/>
        <w:left w:val="none" w:sz="0" w:space="0" w:color="auto"/>
        <w:bottom w:val="none" w:sz="0" w:space="0" w:color="auto"/>
        <w:right w:val="none" w:sz="0" w:space="0" w:color="auto"/>
      </w:divBdr>
      <w:divsChild>
        <w:div w:id="874847705">
          <w:marLeft w:val="0"/>
          <w:marRight w:val="0"/>
          <w:marTop w:val="0"/>
          <w:marBottom w:val="0"/>
          <w:divBdr>
            <w:top w:val="none" w:sz="0" w:space="0" w:color="auto"/>
            <w:left w:val="none" w:sz="0" w:space="0" w:color="auto"/>
            <w:bottom w:val="none" w:sz="0" w:space="0" w:color="auto"/>
            <w:right w:val="none" w:sz="0" w:space="0" w:color="auto"/>
          </w:divBdr>
          <w:divsChild>
            <w:div w:id="1194611042">
              <w:marLeft w:val="0"/>
              <w:marRight w:val="0"/>
              <w:marTop w:val="0"/>
              <w:marBottom w:val="0"/>
              <w:divBdr>
                <w:top w:val="none" w:sz="0" w:space="0" w:color="auto"/>
                <w:left w:val="none" w:sz="0" w:space="0" w:color="auto"/>
                <w:bottom w:val="none" w:sz="0" w:space="0" w:color="auto"/>
                <w:right w:val="none" w:sz="0" w:space="0" w:color="auto"/>
              </w:divBdr>
              <w:divsChild>
                <w:div w:id="1128741056">
                  <w:marLeft w:val="0"/>
                  <w:marRight w:val="0"/>
                  <w:marTop w:val="0"/>
                  <w:marBottom w:val="0"/>
                  <w:divBdr>
                    <w:top w:val="none" w:sz="0" w:space="0" w:color="auto"/>
                    <w:left w:val="none" w:sz="0" w:space="0" w:color="auto"/>
                    <w:bottom w:val="none" w:sz="0" w:space="0" w:color="auto"/>
                    <w:right w:val="none" w:sz="0" w:space="0" w:color="auto"/>
                  </w:divBdr>
                  <w:divsChild>
                    <w:div w:id="190263261">
                      <w:marLeft w:val="0"/>
                      <w:marRight w:val="0"/>
                      <w:marTop w:val="0"/>
                      <w:marBottom w:val="0"/>
                      <w:divBdr>
                        <w:top w:val="none" w:sz="0" w:space="0" w:color="auto"/>
                        <w:left w:val="none" w:sz="0" w:space="0" w:color="auto"/>
                        <w:bottom w:val="none" w:sz="0" w:space="0" w:color="auto"/>
                        <w:right w:val="none" w:sz="0" w:space="0" w:color="auto"/>
                      </w:divBdr>
                      <w:divsChild>
                        <w:div w:id="1902249097">
                          <w:marLeft w:val="0"/>
                          <w:marRight w:val="0"/>
                          <w:marTop w:val="0"/>
                          <w:marBottom w:val="0"/>
                          <w:divBdr>
                            <w:top w:val="none" w:sz="0" w:space="0" w:color="auto"/>
                            <w:left w:val="none" w:sz="0" w:space="0" w:color="auto"/>
                            <w:bottom w:val="none" w:sz="0" w:space="0" w:color="auto"/>
                            <w:right w:val="none" w:sz="0" w:space="0" w:color="auto"/>
                          </w:divBdr>
                          <w:divsChild>
                            <w:div w:id="398871520">
                              <w:marLeft w:val="0"/>
                              <w:marRight w:val="0"/>
                              <w:marTop w:val="0"/>
                              <w:marBottom w:val="0"/>
                              <w:divBdr>
                                <w:top w:val="none" w:sz="0" w:space="0" w:color="auto"/>
                                <w:left w:val="none" w:sz="0" w:space="0" w:color="auto"/>
                                <w:bottom w:val="none" w:sz="0" w:space="0" w:color="auto"/>
                                <w:right w:val="none" w:sz="0" w:space="0" w:color="auto"/>
                              </w:divBdr>
                              <w:divsChild>
                                <w:div w:id="1087001830">
                                  <w:marLeft w:val="0"/>
                                  <w:marRight w:val="0"/>
                                  <w:marTop w:val="0"/>
                                  <w:marBottom w:val="0"/>
                                  <w:divBdr>
                                    <w:top w:val="none" w:sz="0" w:space="0" w:color="auto"/>
                                    <w:left w:val="none" w:sz="0" w:space="0" w:color="auto"/>
                                    <w:bottom w:val="none" w:sz="0" w:space="0" w:color="auto"/>
                                    <w:right w:val="none" w:sz="0" w:space="0" w:color="auto"/>
                                  </w:divBdr>
                                  <w:divsChild>
                                    <w:div w:id="20436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979190805314583E-2"/>
          <c:y val="0.13504969943273218"/>
          <c:w val="0.82014267677107111"/>
          <c:h val="0.72591753450173568"/>
        </c:manualLayout>
      </c:layout>
      <c:barChart>
        <c:barDir val="col"/>
        <c:grouping val="clustered"/>
        <c:varyColors val="0"/>
        <c:ser>
          <c:idx val="0"/>
          <c:order val="0"/>
          <c:tx>
            <c:strRef>
              <c:f>Sheet4!$T$14</c:f>
              <c:strCache>
                <c:ptCount val="1"/>
                <c:pt idx="0">
                  <c:v>Total Irreversibilities (MJ/h)</c:v>
                </c:pt>
              </c:strCache>
            </c:strRef>
          </c:tx>
          <c:spPr>
            <a:solidFill>
              <a:schemeClr val="accent1"/>
            </a:solidFill>
            <a:ln>
              <a:noFill/>
            </a:ln>
            <a:effectLst/>
          </c:spPr>
          <c:invertIfNegative val="0"/>
          <c:cat>
            <c:strRef>
              <c:f>Sheet4!$Q$17:$Q$20</c:f>
              <c:strCache>
                <c:ptCount val="4"/>
                <c:pt idx="0">
                  <c:v>Seed conditioning</c:v>
                </c:pt>
                <c:pt idx="1">
                  <c:v>Starch extraction</c:v>
                </c:pt>
                <c:pt idx="2">
                  <c:v>Biofilm production</c:v>
                </c:pt>
                <c:pt idx="3">
                  <c:v>Biocontrol agent production</c:v>
                </c:pt>
              </c:strCache>
            </c:strRef>
          </c:cat>
          <c:val>
            <c:numRef>
              <c:f>Sheet4!$U$3:$U$6</c:f>
              <c:numCache>
                <c:formatCode>General</c:formatCode>
                <c:ptCount val="4"/>
                <c:pt idx="0">
                  <c:v>64.419466688098794</c:v>
                </c:pt>
                <c:pt idx="1">
                  <c:v>882.74993177723763</c:v>
                </c:pt>
                <c:pt idx="2">
                  <c:v>158.28324921690549</c:v>
                </c:pt>
                <c:pt idx="3">
                  <c:v>859.44400929897176</c:v>
                </c:pt>
              </c:numCache>
            </c:numRef>
          </c:val>
          <c:extLst>
            <c:ext xmlns:c16="http://schemas.microsoft.com/office/drawing/2014/chart" uri="{C3380CC4-5D6E-409C-BE32-E72D297353CC}">
              <c16:uniqueId val="{00000000-5CAD-40F5-A14C-88184B48A98A}"/>
            </c:ext>
          </c:extLst>
        </c:ser>
        <c:ser>
          <c:idx val="2"/>
          <c:order val="2"/>
          <c:tx>
            <c:strRef>
              <c:f>Sheet4!$T$12</c:f>
              <c:strCache>
                <c:ptCount val="1"/>
                <c:pt idx="0">
                  <c:v>Exergy of wastes (MJ/h)</c:v>
                </c:pt>
              </c:strCache>
            </c:strRef>
          </c:tx>
          <c:spPr>
            <a:solidFill>
              <a:schemeClr val="accent3"/>
            </a:solidFill>
            <a:ln>
              <a:noFill/>
            </a:ln>
            <a:effectLst/>
          </c:spPr>
          <c:invertIfNegative val="0"/>
          <c:cat>
            <c:strRef>
              <c:f>Sheet4!$Q$17:$Q$20</c:f>
              <c:strCache>
                <c:ptCount val="4"/>
                <c:pt idx="0">
                  <c:v>Seed conditioning</c:v>
                </c:pt>
                <c:pt idx="1">
                  <c:v>Starch extraction</c:v>
                </c:pt>
                <c:pt idx="2">
                  <c:v>Biofilm production</c:v>
                </c:pt>
                <c:pt idx="3">
                  <c:v>Biocontrol agent production</c:v>
                </c:pt>
              </c:strCache>
            </c:strRef>
          </c:cat>
          <c:val>
            <c:numRef>
              <c:f>Sheet4!$S$3:$S$6</c:f>
              <c:numCache>
                <c:formatCode>General</c:formatCode>
                <c:ptCount val="4"/>
                <c:pt idx="0">
                  <c:v>45.856511775630821</c:v>
                </c:pt>
                <c:pt idx="1">
                  <c:v>94.825372000340892</c:v>
                </c:pt>
                <c:pt idx="2">
                  <c:v>98.341558501435969</c:v>
                </c:pt>
                <c:pt idx="3">
                  <c:v>767.22025504381384</c:v>
                </c:pt>
              </c:numCache>
            </c:numRef>
          </c:val>
          <c:extLst>
            <c:ext xmlns:c16="http://schemas.microsoft.com/office/drawing/2014/chart" uri="{C3380CC4-5D6E-409C-BE32-E72D297353CC}">
              <c16:uniqueId val="{00000001-5CAD-40F5-A14C-88184B48A98A}"/>
            </c:ext>
          </c:extLst>
        </c:ser>
        <c:ser>
          <c:idx val="3"/>
          <c:order val="3"/>
          <c:tx>
            <c:strRef>
              <c:f>Sheet4!$T$11</c:f>
              <c:strCache>
                <c:ptCount val="1"/>
                <c:pt idx="0">
                  <c:v>Exergy of utilities (MJ/h)</c:v>
                </c:pt>
              </c:strCache>
            </c:strRef>
          </c:tx>
          <c:spPr>
            <a:solidFill>
              <a:schemeClr val="accent4"/>
            </a:solidFill>
            <a:ln>
              <a:noFill/>
            </a:ln>
            <a:effectLst/>
          </c:spPr>
          <c:invertIfNegative val="0"/>
          <c:cat>
            <c:strRef>
              <c:f>Sheet4!$Q$17:$Q$20</c:f>
              <c:strCache>
                <c:ptCount val="4"/>
                <c:pt idx="0">
                  <c:v>Seed conditioning</c:v>
                </c:pt>
                <c:pt idx="1">
                  <c:v>Starch extraction</c:v>
                </c:pt>
                <c:pt idx="2">
                  <c:v>Biofilm production</c:v>
                </c:pt>
                <c:pt idx="3">
                  <c:v>Biocontrol agent production</c:v>
                </c:pt>
              </c:strCache>
            </c:strRef>
          </c:cat>
          <c:val>
            <c:numRef>
              <c:f>Sheet4!$O$3:$O$6</c:f>
              <c:numCache>
                <c:formatCode>General</c:formatCode>
                <c:ptCount val="4"/>
                <c:pt idx="0">
                  <c:v>18</c:v>
                </c:pt>
                <c:pt idx="1">
                  <c:v>89.628554758552269</c:v>
                </c:pt>
                <c:pt idx="2">
                  <c:v>16.586952861125152</c:v>
                </c:pt>
                <c:pt idx="3">
                  <c:v>97.094158358990768</c:v>
                </c:pt>
              </c:numCache>
            </c:numRef>
          </c:val>
          <c:extLst>
            <c:ext xmlns:c16="http://schemas.microsoft.com/office/drawing/2014/chart" uri="{C3380CC4-5D6E-409C-BE32-E72D297353CC}">
              <c16:uniqueId val="{00000002-5CAD-40F5-A14C-88184B48A98A}"/>
            </c:ext>
          </c:extLst>
        </c:ser>
        <c:dLbls>
          <c:showLegendKey val="0"/>
          <c:showVal val="0"/>
          <c:showCatName val="0"/>
          <c:showSerName val="0"/>
          <c:showPercent val="0"/>
          <c:showBubbleSize val="0"/>
        </c:dLbls>
        <c:gapWidth val="219"/>
        <c:axId val="37434912"/>
        <c:axId val="37431552"/>
      </c:barChart>
      <c:scatterChart>
        <c:scatterStyle val="lineMarker"/>
        <c:varyColors val="0"/>
        <c:ser>
          <c:idx val="1"/>
          <c:order val="1"/>
          <c:tx>
            <c:strRef>
              <c:f>Sheet4!$T$15</c:f>
              <c:strCache>
                <c:ptCount val="1"/>
                <c:pt idx="0">
                  <c:v>Exergetic Efficiency (%)</c:v>
                </c:pt>
              </c:strCache>
            </c:strRef>
          </c:tx>
          <c:spPr>
            <a:ln w="25400" cap="rnd">
              <a:noFill/>
              <a:round/>
            </a:ln>
            <a:effectLst/>
          </c:spPr>
          <c:marker>
            <c:symbol val="circle"/>
            <c:size val="5"/>
            <c:spPr>
              <a:solidFill>
                <a:schemeClr val="accent2"/>
              </a:solidFill>
              <a:ln w="9525">
                <a:solidFill>
                  <a:schemeClr val="accent2"/>
                </a:solidFill>
              </a:ln>
              <a:effectLst/>
            </c:spPr>
          </c:marker>
          <c:xVal>
            <c:strRef>
              <c:f>Sheet4!$R$17:$R$20</c:f>
              <c:strCache>
                <c:ptCount val="4"/>
                <c:pt idx="0">
                  <c:v>acondicionamiento</c:v>
                </c:pt>
                <c:pt idx="1">
                  <c:v>extraccion de almidon</c:v>
                </c:pt>
                <c:pt idx="2">
                  <c:v>biopelicula 1</c:v>
                </c:pt>
                <c:pt idx="3">
                  <c:v>agente de biocontrol</c:v>
                </c:pt>
              </c:strCache>
            </c:strRef>
          </c:xVal>
          <c:yVal>
            <c:numRef>
              <c:f>Sheet4!$W$3:$W$6</c:f>
              <c:numCache>
                <c:formatCode>0.0%</c:formatCode>
                <c:ptCount val="4"/>
                <c:pt idx="0">
                  <c:v>0.88263190954705684</c:v>
                </c:pt>
                <c:pt idx="1">
                  <c:v>2.5796611421431082E-2</c:v>
                </c:pt>
                <c:pt idx="2">
                  <c:v>9.91402592745384E-2</c:v>
                </c:pt>
                <c:pt idx="3">
                  <c:v>5.9267777378568032E-2</c:v>
                </c:pt>
              </c:numCache>
            </c:numRef>
          </c:yVal>
          <c:smooth val="0"/>
          <c:extLst>
            <c:ext xmlns:c16="http://schemas.microsoft.com/office/drawing/2014/chart" uri="{C3380CC4-5D6E-409C-BE32-E72D297353CC}">
              <c16:uniqueId val="{00000003-5CAD-40F5-A14C-88184B48A98A}"/>
            </c:ext>
          </c:extLst>
        </c:ser>
        <c:dLbls>
          <c:showLegendKey val="0"/>
          <c:showVal val="0"/>
          <c:showCatName val="0"/>
          <c:showSerName val="0"/>
          <c:showPercent val="0"/>
          <c:showBubbleSize val="0"/>
        </c:dLbls>
        <c:axId val="298707424"/>
        <c:axId val="298701664"/>
      </c:scatterChart>
      <c:catAx>
        <c:axId val="374349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37431552"/>
        <c:crosses val="autoZero"/>
        <c:auto val="1"/>
        <c:lblAlgn val="ctr"/>
        <c:lblOffset val="100"/>
        <c:noMultiLvlLbl val="0"/>
      </c:catAx>
      <c:valAx>
        <c:axId val="37431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37434912"/>
        <c:crosses val="autoZero"/>
        <c:crossBetween val="between"/>
      </c:valAx>
      <c:valAx>
        <c:axId val="29870166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298707424"/>
        <c:crosses val="max"/>
        <c:crossBetween val="midCat"/>
      </c:valAx>
      <c:valAx>
        <c:axId val="298707424"/>
        <c:scaling>
          <c:orientation val="minMax"/>
        </c:scaling>
        <c:delete val="1"/>
        <c:axPos val="b"/>
        <c:numFmt formatCode="General" sourceLinked="1"/>
        <c:majorTickMark val="out"/>
        <c:minorTickMark val="none"/>
        <c:tickLblPos val="nextTo"/>
        <c:crossAx val="298701664"/>
        <c:crosses val="autoZero"/>
        <c:crossBetween val="midCat"/>
      </c:valAx>
      <c:spPr>
        <a:noFill/>
        <a:ln>
          <a:solidFill>
            <a:schemeClr val="tx1"/>
          </a:solidFill>
        </a:ln>
        <a:effectLst/>
      </c:spPr>
    </c:plotArea>
    <c:legend>
      <c:legendPos val="t"/>
      <c:layout>
        <c:manualLayout>
          <c:xMode val="edge"/>
          <c:yMode val="edge"/>
          <c:x val="0.11342740573269926"/>
          <c:y val="2.4498228379429332E-2"/>
          <c:w val="0.84086696345277279"/>
          <c:h val="0.1001397307350969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19203849518809"/>
          <c:y val="0.17171296296296298"/>
          <c:w val="0.84580796150481186"/>
          <c:h val="0.65253353747448239"/>
        </c:manualLayout>
      </c:layout>
      <c:barChart>
        <c:barDir val="col"/>
        <c:grouping val="clustered"/>
        <c:varyColors val="0"/>
        <c:ser>
          <c:idx val="0"/>
          <c:order val="0"/>
          <c:tx>
            <c:strRef>
              <c:f>Sheet4!$T$11</c:f>
              <c:strCache>
                <c:ptCount val="1"/>
                <c:pt idx="0">
                  <c:v>Exergy of utilities (MJ/h)</c:v>
                </c:pt>
              </c:strCache>
            </c:strRef>
          </c:tx>
          <c:spPr>
            <a:solidFill>
              <a:schemeClr val="accent1"/>
            </a:solidFill>
            <a:ln>
              <a:noFill/>
            </a:ln>
            <a:effectLst/>
          </c:spPr>
          <c:invertIfNegative val="0"/>
          <c:val>
            <c:numRef>
              <c:f>Sheet4!$V$11</c:f>
              <c:numCache>
                <c:formatCode>0.00</c:formatCode>
                <c:ptCount val="1"/>
                <c:pt idx="0">
                  <c:v>221.30966597866819</c:v>
                </c:pt>
              </c:numCache>
            </c:numRef>
          </c:val>
          <c:extLst>
            <c:ext xmlns:c16="http://schemas.microsoft.com/office/drawing/2014/chart" uri="{C3380CC4-5D6E-409C-BE32-E72D297353CC}">
              <c16:uniqueId val="{00000000-3ED1-4848-A501-19832CC111E3}"/>
            </c:ext>
          </c:extLst>
        </c:ser>
        <c:ser>
          <c:idx val="1"/>
          <c:order val="1"/>
          <c:tx>
            <c:strRef>
              <c:f>Sheet4!$T$12</c:f>
              <c:strCache>
                <c:ptCount val="1"/>
                <c:pt idx="0">
                  <c:v>Exergy of wastes (MJ/h)</c:v>
                </c:pt>
              </c:strCache>
            </c:strRef>
          </c:tx>
          <c:spPr>
            <a:solidFill>
              <a:schemeClr val="accent2"/>
            </a:solidFill>
            <a:ln>
              <a:noFill/>
            </a:ln>
            <a:effectLst/>
          </c:spPr>
          <c:invertIfNegative val="0"/>
          <c:val>
            <c:numRef>
              <c:f>Sheet4!$V$12</c:f>
              <c:numCache>
                <c:formatCode>0.00</c:formatCode>
                <c:ptCount val="1"/>
                <c:pt idx="0">
                  <c:v>1006.2436973212215</c:v>
                </c:pt>
              </c:numCache>
            </c:numRef>
          </c:val>
          <c:extLst>
            <c:ext xmlns:c16="http://schemas.microsoft.com/office/drawing/2014/chart" uri="{C3380CC4-5D6E-409C-BE32-E72D297353CC}">
              <c16:uniqueId val="{00000001-3ED1-4848-A501-19832CC111E3}"/>
            </c:ext>
          </c:extLst>
        </c:ser>
        <c:ser>
          <c:idx val="2"/>
          <c:order val="2"/>
          <c:tx>
            <c:strRef>
              <c:f>Sheet4!$T$13</c:f>
              <c:strCache>
                <c:ptCount val="1"/>
                <c:pt idx="0">
                  <c:v>Exergy destroyed (MJ/h)</c:v>
                </c:pt>
              </c:strCache>
            </c:strRef>
          </c:tx>
          <c:spPr>
            <a:solidFill>
              <a:schemeClr val="accent3"/>
            </a:solidFill>
            <a:ln>
              <a:noFill/>
            </a:ln>
            <a:effectLst/>
          </c:spPr>
          <c:invertIfNegative val="0"/>
          <c:val>
            <c:numRef>
              <c:f>Sheet4!$V$13</c:f>
              <c:numCache>
                <c:formatCode>0.00</c:formatCode>
                <c:ptCount val="1"/>
                <c:pt idx="0">
                  <c:v>897.47353737886522</c:v>
                </c:pt>
              </c:numCache>
            </c:numRef>
          </c:val>
          <c:extLst>
            <c:ext xmlns:c16="http://schemas.microsoft.com/office/drawing/2014/chart" uri="{C3380CC4-5D6E-409C-BE32-E72D297353CC}">
              <c16:uniqueId val="{00000002-3ED1-4848-A501-19832CC111E3}"/>
            </c:ext>
          </c:extLst>
        </c:ser>
        <c:ser>
          <c:idx val="3"/>
          <c:order val="3"/>
          <c:tx>
            <c:strRef>
              <c:f>Sheet4!$T$14</c:f>
              <c:strCache>
                <c:ptCount val="1"/>
                <c:pt idx="0">
                  <c:v>Total Irreversibilities (MJ/h)</c:v>
                </c:pt>
              </c:strCache>
            </c:strRef>
          </c:tx>
          <c:spPr>
            <a:solidFill>
              <a:schemeClr val="accent4"/>
            </a:solidFill>
            <a:ln>
              <a:noFill/>
            </a:ln>
            <a:effectLst/>
          </c:spPr>
          <c:invertIfNegative val="0"/>
          <c:val>
            <c:numRef>
              <c:f>Sheet4!$V$14</c:f>
              <c:numCache>
                <c:formatCode>0.00</c:formatCode>
                <c:ptCount val="1"/>
                <c:pt idx="0">
                  <c:v>1964.8966569812137</c:v>
                </c:pt>
              </c:numCache>
            </c:numRef>
          </c:val>
          <c:extLst>
            <c:ext xmlns:c16="http://schemas.microsoft.com/office/drawing/2014/chart" uri="{C3380CC4-5D6E-409C-BE32-E72D297353CC}">
              <c16:uniqueId val="{00000003-3ED1-4848-A501-19832CC111E3}"/>
            </c:ext>
          </c:extLst>
        </c:ser>
        <c:dLbls>
          <c:showLegendKey val="0"/>
          <c:showVal val="0"/>
          <c:showCatName val="0"/>
          <c:showSerName val="0"/>
          <c:showPercent val="0"/>
          <c:showBubbleSize val="0"/>
        </c:dLbls>
        <c:gapWidth val="219"/>
        <c:axId val="1695064016"/>
        <c:axId val="1695064976"/>
      </c:barChart>
      <c:scatterChart>
        <c:scatterStyle val="lineMarker"/>
        <c:varyColors val="0"/>
        <c:ser>
          <c:idx val="4"/>
          <c:order val="4"/>
          <c:tx>
            <c:strRef>
              <c:f>Sheet4!$T$15</c:f>
              <c:strCache>
                <c:ptCount val="1"/>
                <c:pt idx="0">
                  <c:v>Exergetic Efficiency (%)</c:v>
                </c:pt>
              </c:strCache>
            </c:strRef>
          </c:tx>
          <c:spPr>
            <a:ln w="25400" cap="rnd">
              <a:noFill/>
              <a:round/>
            </a:ln>
            <a:effectLst/>
          </c:spPr>
          <c:marker>
            <c:symbol val="circle"/>
            <c:size val="5"/>
            <c:spPr>
              <a:solidFill>
                <a:schemeClr val="accent5"/>
              </a:solidFill>
              <a:ln w="9525">
                <a:solidFill>
                  <a:schemeClr val="accent5"/>
                </a:solidFill>
              </a:ln>
              <a:effectLst/>
            </c:spPr>
          </c:marker>
          <c:yVal>
            <c:numRef>
              <c:f>Sheet4!$V$15</c:f>
              <c:numCache>
                <c:formatCode>0.00%</c:formatCode>
                <c:ptCount val="1"/>
                <c:pt idx="0">
                  <c:v>1.3044342816506571E-2</c:v>
                </c:pt>
              </c:numCache>
            </c:numRef>
          </c:yVal>
          <c:smooth val="0"/>
          <c:extLst>
            <c:ext xmlns:c16="http://schemas.microsoft.com/office/drawing/2014/chart" uri="{C3380CC4-5D6E-409C-BE32-E72D297353CC}">
              <c16:uniqueId val="{00000004-3ED1-4848-A501-19832CC111E3}"/>
            </c:ext>
          </c:extLst>
        </c:ser>
        <c:dLbls>
          <c:showLegendKey val="0"/>
          <c:showVal val="0"/>
          <c:showCatName val="0"/>
          <c:showSerName val="0"/>
          <c:showPercent val="0"/>
          <c:showBubbleSize val="0"/>
        </c:dLbls>
        <c:axId val="1785457792"/>
        <c:axId val="1785456832"/>
      </c:scatterChart>
      <c:catAx>
        <c:axId val="1695064016"/>
        <c:scaling>
          <c:orientation val="minMax"/>
        </c:scaling>
        <c:delete val="1"/>
        <c:axPos val="b"/>
        <c:numFmt formatCode="General" sourceLinked="1"/>
        <c:majorTickMark val="none"/>
        <c:minorTickMark val="none"/>
        <c:tickLblPos val="nextTo"/>
        <c:crossAx val="1695064976"/>
        <c:crosses val="autoZero"/>
        <c:auto val="1"/>
        <c:lblAlgn val="ctr"/>
        <c:lblOffset val="100"/>
        <c:noMultiLvlLbl val="0"/>
      </c:catAx>
      <c:valAx>
        <c:axId val="169506497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1695064016"/>
        <c:crosses val="autoZero"/>
        <c:crossBetween val="between"/>
      </c:valAx>
      <c:valAx>
        <c:axId val="1785456832"/>
        <c:scaling>
          <c:orientation val="minMax"/>
          <c:max val="2.0000000000000004E-2"/>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1785457792"/>
        <c:crosses val="max"/>
        <c:crossBetween val="midCat"/>
      </c:valAx>
      <c:valAx>
        <c:axId val="1785457792"/>
        <c:scaling>
          <c:orientation val="minMax"/>
        </c:scaling>
        <c:delete val="1"/>
        <c:axPos val="b"/>
        <c:majorTickMark val="out"/>
        <c:minorTickMark val="none"/>
        <c:tickLblPos val="nextTo"/>
        <c:crossAx val="1785456832"/>
        <c:crosses val="autoZero"/>
        <c:crossBetween val="midCat"/>
      </c:valAx>
      <c:spPr>
        <a:noFill/>
        <a:ln>
          <a:solidFill>
            <a:schemeClr val="tx1"/>
          </a:solidFill>
        </a:ln>
        <a:effectLst/>
      </c:spPr>
    </c:plotArea>
    <c:legend>
      <c:legendPos val="b"/>
      <c:layout>
        <c:manualLayout>
          <c:xMode val="edge"/>
          <c:yMode val="edge"/>
          <c:x val="6.7959577341988875E-2"/>
          <c:y val="0.81886410032079326"/>
          <c:w val="0.85860389326334208"/>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yiHaZ/2+7eyTXYXB0n180EGn5g==">CgMxLjAyCGguZ2pkZ3hzOAByITFreFN3ZnZnelhGZDQ3UVc3ejJUYzhrZU5iazVvMURRSQ==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365035-C00D-4991-B6DA-3807E4FCD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4038</TotalTime>
  <Pages>6</Pages>
  <Words>10862</Words>
  <Characters>59741</Characters>
  <Application>Microsoft Office Word</Application>
  <DocSecurity>0</DocSecurity>
  <Lines>497</Lines>
  <Paragraphs>140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AspenUser</cp:lastModifiedBy>
  <cp:revision>216</cp:revision>
  <dcterms:created xsi:type="dcterms:W3CDTF">2022-09-21T08:52:00Z</dcterms:created>
  <dcterms:modified xsi:type="dcterms:W3CDTF">2026-04-13T05:30:00Z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d0388a9d-ac2a-3c39-a91f-0d6969e200f0</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AMA Manual of Style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APSA Style Manual revised 2018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ASA Style Guide 6th/7th edition</vt:lpwstr>
  </property>
  <property fmtid="{D5CDD505-2E9C-101B-9397-08002B2CF9AE}" pid="13" name="Mendeley Recent Style Id 3_1">
    <vt:lpwstr>http://www.zotero.org/styles/apa</vt:lpwstr>
  </property>
  <property fmtid="{D5CDD505-2E9C-101B-9397-08002B2CF9AE}" pid="14" name="Mendeley Recent Style Name 3_1">
    <vt:lpwstr>American Psychological Association 7th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18th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(author-date/Harvard)</vt:lpwstr>
  </property>
  <property fmtid="{D5CDD505-2E9C-101B-9397-08002B2CF9AE}" pid="19" name="Mendeley Recent Style Id 6_1">
    <vt:lpwstr>http://www.zotero.org/styles/ieee</vt:lpwstr>
  </property>
  <property fmtid="{D5CDD505-2E9C-101B-9397-08002B2CF9AE}" pid="20" name="Mendeley Recent Style Name 6_1">
    <vt:lpwstr>IEEE Reference Guide version 11.29.2023</vt:lpwstr>
  </property>
  <property fmtid="{D5CDD505-2E9C-101B-9397-08002B2CF9AE}" pid="21" name="Mendeley Recent Style Id 7_1">
    <vt:lpwstr>http://www.zotero.org/styles/modern-language-association</vt:lpwstr>
  </property>
  <property fmtid="{D5CDD505-2E9C-101B-9397-08002B2CF9AE}" pid="22" name="Mendeley Recent Style Name 7_1">
    <vt:lpwstr>MLA Handbook 9th edition (in-text citations)</vt:lpwstr>
  </property>
  <property fmtid="{D5CDD505-2E9C-101B-9397-08002B2CF9AE}" pid="23" name="Mendeley Recent Style Id 8_1">
    <vt:lpwstr>http://www.zotero.org/styles/modern-humanities-research-association</vt:lpwstr>
  </property>
  <property fmtid="{D5CDD505-2E9C-101B-9397-08002B2CF9AE}" pid="24" name="Mendeley Recent Style Name 8_1">
    <vt:lpwstr>Modern Humanities Research Association 3rd edition (note with bibliography)</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ies>
</file>