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7"/>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10341" w:rsidRPr="00510341" w14:paraId="1324DB40" w14:textId="77777777">
        <w:trPr>
          <w:trHeight w:val="852"/>
          <w:jc w:val="center"/>
        </w:trPr>
        <w:tc>
          <w:tcPr>
            <w:tcW w:w="6940" w:type="dxa"/>
            <w:vMerge w:val="restart"/>
            <w:tcBorders>
              <w:right w:val="single" w:sz="4" w:space="0" w:color="000000"/>
            </w:tcBorders>
          </w:tcPr>
          <w:p w14:paraId="246463FA" w14:textId="77777777" w:rsidR="00D8071B" w:rsidRPr="00510341" w:rsidRDefault="00051DAE">
            <w:pPr>
              <w:tabs>
                <w:tab w:val="left" w:pos="-108"/>
              </w:tabs>
              <w:ind w:left="-108"/>
              <w:jc w:val="left"/>
              <w:rPr>
                <w:b/>
                <w:i/>
                <w:sz w:val="12"/>
                <w:szCs w:val="12"/>
              </w:rPr>
            </w:pPr>
            <w:bookmarkStart w:id="0" w:name="_Hlk224148817"/>
            <w:r w:rsidRPr="00510341">
              <w:rPr>
                <w:rFonts w:ascii="AdvP6960" w:eastAsia="AdvP6960" w:hAnsi="AdvP6960" w:cs="AdvP6960"/>
                <w:noProof/>
              </w:rPr>
              <w:drawing>
                <wp:inline distT="0" distB="0" distL="0" distR="0" wp14:anchorId="1F005989" wp14:editId="6B779616">
                  <wp:extent cx="640080" cy="373380"/>
                  <wp:effectExtent l="0" t="0" r="0" b="0"/>
                  <wp:docPr id="1287744807" name="image4.jpg" descr="cetlogo"/>
                  <wp:cNvGraphicFramePr/>
                  <a:graphic xmlns:a="http://schemas.openxmlformats.org/drawingml/2006/main">
                    <a:graphicData uri="http://schemas.openxmlformats.org/drawingml/2006/picture">
                      <pic:pic xmlns:pic="http://schemas.openxmlformats.org/drawingml/2006/picture">
                        <pic:nvPicPr>
                          <pic:cNvPr id="0" name="image4.jpg" descr="cetlogo"/>
                          <pic:cNvPicPr preferRelativeResize="0"/>
                        </pic:nvPicPr>
                        <pic:blipFill>
                          <a:blip r:embed="rId8"/>
                          <a:srcRect/>
                          <a:stretch>
                            <a:fillRect/>
                          </a:stretch>
                        </pic:blipFill>
                        <pic:spPr>
                          <a:xfrm>
                            <a:off x="0" y="0"/>
                            <a:ext cx="640080" cy="373380"/>
                          </a:xfrm>
                          <a:prstGeom prst="rect">
                            <a:avLst/>
                          </a:prstGeom>
                          <a:ln/>
                        </pic:spPr>
                      </pic:pic>
                    </a:graphicData>
                  </a:graphic>
                </wp:inline>
              </w:drawing>
            </w:r>
            <w:r w:rsidRPr="00510341">
              <w:rPr>
                <w:rFonts w:ascii="AdvP6960" w:eastAsia="AdvP6960" w:hAnsi="AdvP6960" w:cs="AdvP6960"/>
              </w:rPr>
              <w:t xml:space="preserve"> </w:t>
            </w:r>
            <w:r w:rsidRPr="00510341">
              <w:rPr>
                <w:b/>
                <w:i/>
                <w:sz w:val="24"/>
                <w:szCs w:val="24"/>
              </w:rPr>
              <w:t>CHEMICAL ENGINEERING TRANSACTIONS</w:t>
            </w:r>
            <w:r w:rsidRPr="00510341">
              <w:rPr>
                <w:sz w:val="24"/>
                <w:szCs w:val="24"/>
              </w:rPr>
              <w:t xml:space="preserve"> </w:t>
            </w:r>
            <w:r w:rsidRPr="00510341">
              <w:rPr>
                <w:b/>
                <w:i/>
                <w:sz w:val="27"/>
                <w:szCs w:val="27"/>
              </w:rPr>
              <w:br/>
            </w:r>
          </w:p>
          <w:p w14:paraId="3A5C3082" w14:textId="54ED203D" w:rsidR="00D8071B" w:rsidRPr="00510341" w:rsidRDefault="00051DAE">
            <w:pPr>
              <w:tabs>
                <w:tab w:val="left" w:pos="-108"/>
              </w:tabs>
              <w:ind w:left="-108"/>
              <w:rPr>
                <w:b/>
                <w:i/>
                <w:sz w:val="22"/>
                <w:szCs w:val="22"/>
              </w:rPr>
            </w:pPr>
            <w:r w:rsidRPr="00510341">
              <w:rPr>
                <w:b/>
                <w:i/>
                <w:sz w:val="22"/>
                <w:szCs w:val="22"/>
              </w:rPr>
              <w:t xml:space="preserve">VOL.  </w:t>
            </w:r>
            <w:proofErr w:type="gramStart"/>
            <w:r w:rsidRPr="00510341">
              <w:rPr>
                <w:b/>
                <w:i/>
                <w:sz w:val="22"/>
                <w:szCs w:val="22"/>
              </w:rPr>
              <w:t xml:space="preserve">  ,</w:t>
            </w:r>
            <w:proofErr w:type="gramEnd"/>
            <w:r w:rsidRPr="00510341">
              <w:rPr>
                <w:b/>
                <w:i/>
                <w:sz w:val="22"/>
                <w:szCs w:val="22"/>
              </w:rPr>
              <w:t xml:space="preserve"> 202</w:t>
            </w:r>
            <w:r w:rsidR="009C1356" w:rsidRPr="00510341">
              <w:rPr>
                <w:b/>
                <w:i/>
                <w:sz w:val="22"/>
                <w:szCs w:val="22"/>
              </w:rPr>
              <w:t>6</w:t>
            </w:r>
          </w:p>
        </w:tc>
        <w:tc>
          <w:tcPr>
            <w:tcW w:w="1842" w:type="dxa"/>
            <w:tcBorders>
              <w:left w:val="single" w:sz="4" w:space="0" w:color="000000"/>
              <w:bottom w:val="nil"/>
              <w:right w:val="single" w:sz="4" w:space="0" w:color="000000"/>
            </w:tcBorders>
          </w:tcPr>
          <w:p w14:paraId="7DBDB806" w14:textId="77777777" w:rsidR="00D8071B" w:rsidRPr="00510341" w:rsidRDefault="00051DAE">
            <w:pPr>
              <w:jc w:val="right"/>
              <w:rPr>
                <w:sz w:val="14"/>
                <w:szCs w:val="14"/>
              </w:rPr>
            </w:pPr>
            <w:r w:rsidRPr="00510341">
              <w:rPr>
                <w:sz w:val="14"/>
                <w:szCs w:val="14"/>
              </w:rPr>
              <w:t>A publication of</w:t>
            </w:r>
          </w:p>
          <w:p w14:paraId="7249C559" w14:textId="77777777" w:rsidR="00D8071B" w:rsidRPr="00510341" w:rsidRDefault="00051DAE">
            <w:pPr>
              <w:jc w:val="right"/>
            </w:pPr>
            <w:r w:rsidRPr="00510341">
              <w:rPr>
                <w:noProof/>
              </w:rPr>
              <w:drawing>
                <wp:inline distT="0" distB="0" distL="0" distR="0" wp14:anchorId="65C5C878" wp14:editId="6FA894CF">
                  <wp:extent cx="670560" cy="358140"/>
                  <wp:effectExtent l="0" t="0" r="0" b="0"/>
                  <wp:docPr id="128774480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9"/>
                          <a:srcRect/>
                          <a:stretch>
                            <a:fillRect/>
                          </a:stretch>
                        </pic:blipFill>
                        <pic:spPr>
                          <a:xfrm>
                            <a:off x="0" y="0"/>
                            <a:ext cx="670560" cy="358140"/>
                          </a:xfrm>
                          <a:prstGeom prst="rect">
                            <a:avLst/>
                          </a:prstGeom>
                          <a:ln/>
                        </pic:spPr>
                      </pic:pic>
                    </a:graphicData>
                  </a:graphic>
                </wp:inline>
              </w:drawing>
            </w:r>
          </w:p>
        </w:tc>
      </w:tr>
      <w:tr w:rsidR="00510341" w:rsidRPr="00510341" w14:paraId="7DCAE58C" w14:textId="77777777">
        <w:trPr>
          <w:trHeight w:val="567"/>
          <w:jc w:val="center"/>
        </w:trPr>
        <w:tc>
          <w:tcPr>
            <w:tcW w:w="6940" w:type="dxa"/>
            <w:vMerge/>
            <w:tcBorders>
              <w:right w:val="single" w:sz="4" w:space="0" w:color="000000"/>
            </w:tcBorders>
          </w:tcPr>
          <w:p w14:paraId="07FBD9BB" w14:textId="77777777" w:rsidR="00D8071B" w:rsidRPr="00510341" w:rsidRDefault="00D8071B">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3DC863E" w14:textId="77777777" w:rsidR="00D8071B" w:rsidRPr="00510341" w:rsidRDefault="00051DAE">
            <w:pPr>
              <w:jc w:val="right"/>
              <w:rPr>
                <w:sz w:val="14"/>
                <w:szCs w:val="14"/>
              </w:rPr>
            </w:pPr>
            <w:r w:rsidRPr="00510341">
              <w:rPr>
                <w:sz w:val="14"/>
                <w:szCs w:val="14"/>
              </w:rPr>
              <w:t>The Italian Association</w:t>
            </w:r>
          </w:p>
          <w:p w14:paraId="1E16D1EA" w14:textId="77777777" w:rsidR="00D8071B" w:rsidRPr="00510341" w:rsidRDefault="00051DAE">
            <w:pPr>
              <w:jc w:val="right"/>
              <w:rPr>
                <w:sz w:val="14"/>
                <w:szCs w:val="14"/>
              </w:rPr>
            </w:pPr>
            <w:r w:rsidRPr="00510341">
              <w:rPr>
                <w:sz w:val="14"/>
                <w:szCs w:val="14"/>
              </w:rPr>
              <w:t>of Chemical Engineering</w:t>
            </w:r>
          </w:p>
          <w:p w14:paraId="6C7FCC3B" w14:textId="77777777" w:rsidR="00D8071B" w:rsidRPr="00510341" w:rsidRDefault="00051DAE">
            <w:pPr>
              <w:jc w:val="right"/>
              <w:rPr>
                <w:sz w:val="13"/>
                <w:szCs w:val="13"/>
              </w:rPr>
            </w:pPr>
            <w:r w:rsidRPr="00510341">
              <w:rPr>
                <w:sz w:val="13"/>
                <w:szCs w:val="13"/>
              </w:rPr>
              <w:t>Online at www.cetjournal.it</w:t>
            </w:r>
          </w:p>
        </w:tc>
      </w:tr>
      <w:tr w:rsidR="00510341" w:rsidRPr="00510341" w14:paraId="4F12B980" w14:textId="77777777">
        <w:trPr>
          <w:trHeight w:val="68"/>
          <w:jc w:val="center"/>
        </w:trPr>
        <w:tc>
          <w:tcPr>
            <w:tcW w:w="8782" w:type="dxa"/>
            <w:gridSpan w:val="2"/>
          </w:tcPr>
          <w:p w14:paraId="6BD51E46" w14:textId="77777777" w:rsidR="00D8071B" w:rsidRPr="00510341" w:rsidRDefault="00051DAE">
            <w:pPr>
              <w:ind w:left="-107"/>
              <w:rPr>
                <w:rFonts w:ascii="Tahoma" w:eastAsia="Tahoma" w:hAnsi="Tahoma" w:cs="Tahoma"/>
                <w:sz w:val="14"/>
                <w:szCs w:val="14"/>
              </w:rPr>
            </w:pPr>
            <w:r w:rsidRPr="00510341">
              <w:rPr>
                <w:rFonts w:ascii="Tahoma" w:eastAsia="Tahoma" w:hAnsi="Tahoma" w:cs="Tahoma"/>
                <w:sz w:val="14"/>
                <w:szCs w:val="14"/>
              </w:rPr>
              <w:t>Guest Editors:</w:t>
            </w:r>
            <w:r w:rsidRPr="00510341">
              <w:rPr>
                <w:rFonts w:ascii="Tahoma" w:eastAsia="Tahoma" w:hAnsi="Tahoma" w:cs="Tahoma"/>
                <w:sz w:val="14"/>
                <w:szCs w:val="14"/>
                <w:highlight w:val="white"/>
              </w:rPr>
              <w:t xml:space="preserve"> </w:t>
            </w:r>
          </w:p>
          <w:p w14:paraId="69F74B5A" w14:textId="77777777" w:rsidR="00D8071B" w:rsidRPr="00510341" w:rsidRDefault="00051DAE">
            <w:pPr>
              <w:tabs>
                <w:tab w:val="left" w:pos="-108"/>
              </w:tabs>
              <w:ind w:left="-107"/>
              <w:jc w:val="left"/>
            </w:pPr>
            <w:r w:rsidRPr="00510341">
              <w:rPr>
                <w:rFonts w:ascii="Tahoma" w:eastAsia="Tahoma" w:hAnsi="Tahoma" w:cs="Tahoma"/>
                <w:sz w:val="14"/>
                <w:szCs w:val="14"/>
              </w:rPr>
              <w:t xml:space="preserve">Copyright © 2025, AIDIC </w:t>
            </w:r>
            <w:proofErr w:type="spellStart"/>
            <w:r w:rsidRPr="00510341">
              <w:rPr>
                <w:rFonts w:ascii="Tahoma" w:eastAsia="Tahoma" w:hAnsi="Tahoma" w:cs="Tahoma"/>
                <w:sz w:val="14"/>
                <w:szCs w:val="14"/>
              </w:rPr>
              <w:t>Servizi</w:t>
            </w:r>
            <w:proofErr w:type="spellEnd"/>
            <w:r w:rsidRPr="00510341">
              <w:rPr>
                <w:rFonts w:ascii="Tahoma" w:eastAsia="Tahoma" w:hAnsi="Tahoma" w:cs="Tahoma"/>
                <w:sz w:val="14"/>
                <w:szCs w:val="14"/>
              </w:rPr>
              <w:t xml:space="preserve"> </w:t>
            </w:r>
            <w:proofErr w:type="spellStart"/>
            <w:r w:rsidRPr="00510341">
              <w:rPr>
                <w:rFonts w:ascii="Tahoma" w:eastAsia="Tahoma" w:hAnsi="Tahoma" w:cs="Tahoma"/>
                <w:sz w:val="14"/>
                <w:szCs w:val="14"/>
              </w:rPr>
              <w:t>S.r.l</w:t>
            </w:r>
            <w:proofErr w:type="spellEnd"/>
            <w:r w:rsidRPr="00510341">
              <w:rPr>
                <w:rFonts w:ascii="Tahoma" w:eastAsia="Tahoma" w:hAnsi="Tahoma" w:cs="Tahoma"/>
                <w:sz w:val="14"/>
                <w:szCs w:val="14"/>
              </w:rPr>
              <w:t>.</w:t>
            </w:r>
            <w:r w:rsidRPr="00510341">
              <w:rPr>
                <w:rFonts w:ascii="Tahoma" w:eastAsia="Tahoma" w:hAnsi="Tahoma" w:cs="Tahoma"/>
                <w:sz w:val="14"/>
                <w:szCs w:val="14"/>
              </w:rPr>
              <w:br/>
            </w:r>
            <w:r w:rsidRPr="00510341">
              <w:rPr>
                <w:rFonts w:ascii="Tahoma" w:eastAsia="Tahoma" w:hAnsi="Tahoma" w:cs="Tahoma"/>
                <w:b/>
                <w:sz w:val="14"/>
                <w:szCs w:val="14"/>
              </w:rPr>
              <w:t>ISBN</w:t>
            </w:r>
            <w:r w:rsidRPr="00510341">
              <w:rPr>
                <w:rFonts w:ascii="Tahoma" w:eastAsia="Tahoma" w:hAnsi="Tahoma" w:cs="Tahoma"/>
                <w:sz w:val="14"/>
                <w:szCs w:val="14"/>
              </w:rPr>
              <w:t xml:space="preserve"> 979-12-81206-XX-X; </w:t>
            </w:r>
            <w:r w:rsidRPr="00510341">
              <w:rPr>
                <w:rFonts w:ascii="Tahoma" w:eastAsia="Tahoma" w:hAnsi="Tahoma" w:cs="Tahoma"/>
                <w:b/>
                <w:sz w:val="14"/>
                <w:szCs w:val="14"/>
              </w:rPr>
              <w:t>ISSN</w:t>
            </w:r>
            <w:r w:rsidRPr="00510341">
              <w:rPr>
                <w:rFonts w:ascii="Tahoma" w:eastAsia="Tahoma" w:hAnsi="Tahoma" w:cs="Tahoma"/>
                <w:sz w:val="14"/>
                <w:szCs w:val="14"/>
              </w:rPr>
              <w:t xml:space="preserve"> 2283-9216</w:t>
            </w:r>
          </w:p>
        </w:tc>
      </w:tr>
    </w:tbl>
    <w:p w14:paraId="1C633C5E" w14:textId="4758FC7A" w:rsidR="00D8071B" w:rsidRPr="00510341" w:rsidRDefault="009C1356" w:rsidP="009C1356">
      <w:pPr>
        <w:spacing w:before="480" w:after="120"/>
        <w:jc w:val="center"/>
        <w:rPr>
          <w:sz w:val="32"/>
          <w:szCs w:val="32"/>
        </w:rPr>
      </w:pPr>
      <w:r w:rsidRPr="00510341">
        <w:rPr>
          <w:sz w:val="32"/>
          <w:szCs w:val="32"/>
        </w:rPr>
        <w:t xml:space="preserve">Exergy </w:t>
      </w:r>
      <w:r w:rsidR="009B23D8" w:rsidRPr="00510341">
        <w:rPr>
          <w:sz w:val="32"/>
          <w:szCs w:val="32"/>
        </w:rPr>
        <w:t>Sensitivity</w:t>
      </w:r>
      <w:r w:rsidRPr="00510341">
        <w:rPr>
          <w:sz w:val="32"/>
          <w:szCs w:val="32"/>
        </w:rPr>
        <w:t xml:space="preserve"> Assessment of a Seed-Based Cascade Biorefinery for Hass Avocado Valorization in the Colombian Amazon</w:t>
      </w:r>
    </w:p>
    <w:p w14:paraId="260FA5F6" w14:textId="649D985C" w:rsidR="00D8071B" w:rsidRPr="00510341" w:rsidRDefault="00051DAE">
      <w:pPr>
        <w:keepNext/>
        <w:pBdr>
          <w:top w:val="nil"/>
          <w:left w:val="nil"/>
          <w:bottom w:val="nil"/>
          <w:right w:val="nil"/>
          <w:between w:val="nil"/>
        </w:pBdr>
        <w:spacing w:after="120"/>
        <w:rPr>
          <w:sz w:val="24"/>
          <w:szCs w:val="24"/>
          <w:lang w:val="es-CO"/>
        </w:rPr>
      </w:pPr>
      <w:r w:rsidRPr="00510341">
        <w:rPr>
          <w:sz w:val="24"/>
          <w:szCs w:val="24"/>
          <w:lang w:val="es-CO"/>
        </w:rPr>
        <w:t>Tamy C</w:t>
      </w:r>
      <w:r w:rsidR="009C1356" w:rsidRPr="00510341">
        <w:rPr>
          <w:sz w:val="24"/>
          <w:szCs w:val="24"/>
          <w:lang w:val="es-CO"/>
        </w:rPr>
        <w:t>arolina</w:t>
      </w:r>
      <w:r w:rsidRPr="00510341">
        <w:rPr>
          <w:sz w:val="24"/>
          <w:szCs w:val="24"/>
          <w:lang w:val="es-CO"/>
        </w:rPr>
        <w:t xml:space="preserve"> Herrera-Rodríguez</w:t>
      </w:r>
      <w:r w:rsidR="009C1356" w:rsidRPr="00510341">
        <w:rPr>
          <w:sz w:val="24"/>
          <w:szCs w:val="24"/>
          <w:lang w:val="es-CO"/>
        </w:rPr>
        <w:t>*</w:t>
      </w:r>
      <w:r w:rsidRPr="00510341">
        <w:rPr>
          <w:sz w:val="24"/>
          <w:szCs w:val="24"/>
          <w:lang w:val="es-CO"/>
        </w:rPr>
        <w:t>, Ángel D</w:t>
      </w:r>
      <w:r w:rsidR="009C1356" w:rsidRPr="00510341">
        <w:rPr>
          <w:sz w:val="24"/>
          <w:szCs w:val="24"/>
          <w:lang w:val="es-CO"/>
        </w:rPr>
        <w:t>arío</w:t>
      </w:r>
      <w:r w:rsidRPr="00510341">
        <w:rPr>
          <w:sz w:val="24"/>
          <w:szCs w:val="24"/>
          <w:lang w:val="es-CO"/>
        </w:rPr>
        <w:t xml:space="preserve"> González-Delgado</w:t>
      </w:r>
    </w:p>
    <w:p w14:paraId="415E909B" w14:textId="0CEAE801" w:rsidR="00D8071B" w:rsidRPr="00510341" w:rsidRDefault="00051DAE">
      <w:pPr>
        <w:keepNext/>
        <w:pBdr>
          <w:top w:val="nil"/>
          <w:left w:val="nil"/>
          <w:bottom w:val="nil"/>
          <w:right w:val="nil"/>
          <w:between w:val="nil"/>
        </w:pBdr>
        <w:rPr>
          <w:sz w:val="16"/>
          <w:szCs w:val="16"/>
        </w:rPr>
      </w:pPr>
      <w:r w:rsidRPr="00510341">
        <w:rPr>
          <w:sz w:val="16"/>
          <w:szCs w:val="16"/>
        </w:rPr>
        <w:t>Nanomaterials and Computer Aided Process Engineering Research Group (NIPAC), Chemical Engineering Department,</w:t>
      </w:r>
    </w:p>
    <w:p w14:paraId="63DE53A9" w14:textId="77777777" w:rsidR="00D8071B" w:rsidRPr="00510341" w:rsidRDefault="00051DAE">
      <w:pPr>
        <w:keepNext/>
        <w:pBdr>
          <w:top w:val="nil"/>
          <w:left w:val="nil"/>
          <w:bottom w:val="nil"/>
          <w:right w:val="nil"/>
          <w:between w:val="nil"/>
        </w:pBdr>
        <w:rPr>
          <w:sz w:val="16"/>
          <w:szCs w:val="16"/>
        </w:rPr>
      </w:pPr>
      <w:r w:rsidRPr="00510341">
        <w:rPr>
          <w:sz w:val="16"/>
          <w:szCs w:val="16"/>
        </w:rPr>
        <w:t xml:space="preserve">Faculty of Engineering, University of Cartagena, Av. del </w:t>
      </w:r>
      <w:proofErr w:type="spellStart"/>
      <w:r w:rsidRPr="00510341">
        <w:rPr>
          <w:sz w:val="16"/>
          <w:szCs w:val="16"/>
        </w:rPr>
        <w:t>Consulado</w:t>
      </w:r>
      <w:proofErr w:type="spellEnd"/>
      <w:r w:rsidRPr="00510341">
        <w:rPr>
          <w:sz w:val="16"/>
          <w:szCs w:val="16"/>
        </w:rPr>
        <w:t xml:space="preserve"> Calle 30 No. 48-152, Cartagena, Colombia. </w:t>
      </w:r>
    </w:p>
    <w:p w14:paraId="21383CC4" w14:textId="758D738E" w:rsidR="00D8071B" w:rsidRPr="00510341" w:rsidRDefault="009C1356">
      <w:pPr>
        <w:rPr>
          <w:sz w:val="16"/>
          <w:szCs w:val="16"/>
        </w:rPr>
      </w:pPr>
      <w:r w:rsidRPr="00510341">
        <w:rPr>
          <w:sz w:val="16"/>
          <w:szCs w:val="16"/>
        </w:rPr>
        <w:t>therrerar@u</w:t>
      </w:r>
      <w:r w:rsidR="00051DAE" w:rsidRPr="00510341">
        <w:rPr>
          <w:sz w:val="16"/>
          <w:szCs w:val="16"/>
        </w:rPr>
        <w:t>nicartagena.edu.co</w:t>
      </w:r>
    </w:p>
    <w:p w14:paraId="057FF3BD" w14:textId="77777777" w:rsidR="00D8071B" w:rsidRPr="00510341" w:rsidRDefault="00D8071B"/>
    <w:p w14:paraId="00A9DE5E" w14:textId="7EE626C5" w:rsidR="00A86F8B" w:rsidRPr="00510341" w:rsidRDefault="009C1356" w:rsidP="00A86F8B">
      <w:r w:rsidRPr="00510341">
        <w:t xml:space="preserve">Colombia is among the five main exporters of Hass avocado worldwide. This fruit is supplied to more than 38 international markets, including Spain, France, the United Kingdom, China, Japan, and the Netherlands. While the avocado pulp is widely consumed, the seed </w:t>
      </w:r>
      <w:proofErr w:type="spellStart"/>
      <w:r w:rsidRPr="00510341">
        <w:t>an</w:t>
      </w:r>
      <w:r w:rsidR="001233A4" w:rsidRPr="00510341">
        <w:t>re</w:t>
      </w:r>
      <w:r w:rsidRPr="00510341">
        <w:t>d</w:t>
      </w:r>
      <w:proofErr w:type="spellEnd"/>
      <w:r w:rsidRPr="00510341">
        <w:t xml:space="preserve"> peel are usually discarded despite their</w:t>
      </w:r>
      <w:bookmarkStart w:id="1" w:name="_GoBack"/>
      <w:bookmarkEnd w:id="1"/>
      <w:r w:rsidRPr="00510341">
        <w:t xml:space="preserve"> high content of antioxidants, phytochemicals, and compounds with anti-inflammatory properties. In this study, the exergy </w:t>
      </w:r>
      <w:r w:rsidR="009B23D8" w:rsidRPr="00510341">
        <w:t>sensitivity</w:t>
      </w:r>
      <w:r w:rsidRPr="00510341">
        <w:t xml:space="preserve"> associated with the valorization of Hass avocado seed cultivated in the Colombian Amazon was evaluated through the application of the biorefinery concept. This approach integrates simultaneous valorization routes </w:t>
      </w:r>
      <w:r w:rsidR="005D5CDE" w:rsidRPr="00510341">
        <w:t>to produce</w:t>
      </w:r>
      <w:r w:rsidRPr="00510341">
        <w:t xml:space="preserve"> starch, a biocontrol agent, and a biofilm. The objective of this assessment is to determine the optimal conditions to improve the overall exergy efficiency and reduce the unavoidable losses of the system through the analysis of different scenarios and process variations. </w:t>
      </w:r>
      <w:r w:rsidR="00A86F8B" w:rsidRPr="00510341">
        <w:t>The exergy analysis yielded an overall exergy efficiency of 68.6%. Furthermore, the sensitivity analysis showed that the drying and separation stages have the greatest influence on system performance, as the drying efficiencies of starch and biofilm can reach values between 95–99% under optimized conditions. The results also indicate that avoidable losses contribute more significantly to the reduction of system sensitivity than irreversibilities associated with the second law of thermodynamics. These findings highlight the potential of cascade biorefineries to reduce energy demand and associated greenhouse gas emissions, contributing to the development of more sustainable and low-carbon production systems.</w:t>
      </w:r>
    </w:p>
    <w:p w14:paraId="23BD14C5" w14:textId="77777777" w:rsidR="00D8071B" w:rsidRPr="00510341" w:rsidRDefault="00051DAE">
      <w:pPr>
        <w:keepNext/>
        <w:pBdr>
          <w:top w:val="nil"/>
          <w:left w:val="nil"/>
          <w:bottom w:val="nil"/>
          <w:right w:val="nil"/>
          <w:between w:val="nil"/>
        </w:pBdr>
        <w:spacing w:before="240" w:after="120" w:line="240" w:lineRule="auto"/>
        <w:rPr>
          <w:b/>
          <w:sz w:val="20"/>
        </w:rPr>
      </w:pPr>
      <w:r w:rsidRPr="00510341">
        <w:rPr>
          <w:b/>
          <w:sz w:val="20"/>
        </w:rPr>
        <w:t>1. Introduction</w:t>
      </w:r>
    </w:p>
    <w:p w14:paraId="0DAB5123" w14:textId="7E7CE047" w:rsidR="00810E52" w:rsidRPr="00510341" w:rsidRDefault="00810E52" w:rsidP="00810E52">
      <w:pPr>
        <w:pStyle w:val="CETBodytext"/>
      </w:pPr>
      <w:bookmarkStart w:id="2" w:name="_Hlk224761798"/>
      <w:r w:rsidRPr="00510341">
        <w:t xml:space="preserve">In recent years, avocado consumption has increased due to its nutritional value, generating significant </w:t>
      </w:r>
      <w:proofErr w:type="spellStart"/>
      <w:r w:rsidRPr="00510341">
        <w:t>agro</w:t>
      </w:r>
      <w:proofErr w:type="spellEnd"/>
      <w:r w:rsidRPr="00510341">
        <w:t>-industrial residues such as seeds and peels that can be converted into bioproducts and energy. These residues can be valorized through cascade biorefineries, which prioritize the sequential extraction of compounds and support circular economy strategies. To ensure the sustainability and efficiency of these systems, exergy analysis and exergetic sensitivity studies are used to evaluate energy quality, identify irreversibilities, and detect critical stages with high exergy losses that can be optimized (Hernández, 2023; Silva et al., 2024).</w:t>
      </w:r>
    </w:p>
    <w:p w14:paraId="777C3FEE" w14:textId="6011F4CD" w:rsidR="00BF2313" w:rsidRPr="00510341" w:rsidRDefault="00810E52" w:rsidP="004179C4">
      <w:pPr>
        <w:pStyle w:val="CETBodytext"/>
      </w:pPr>
      <w:r w:rsidRPr="00510341">
        <w:t>However, studies on exergetic sensitivity applied to biorefineries remain limited. Herrera et al. (2025) analyzed an avocado biorefinery in Colombia, identifying distillation and pyrolysis as the main sources of exergy destruction. Similarly, Meramo et al. (2020) evaluated chitosan production from shrimp exoskeleton, showing that improvements in the depigmentation stage can significantly increase the overall exergy efficiency. Other studies have applied exergetic sensitivity analysis to processes outside biorefineries. Hashemi et al. (2019) reported that reducing temperature improves exergy efficiency in a modified Claus process, while Qureshi and Zubair (2016) identified relationships between operating variables and exergy destruction in reverse electrodialysis systems.</w:t>
      </w:r>
      <w:r w:rsidR="00AE4F90" w:rsidRPr="00510341">
        <w:t xml:space="preserve"> </w:t>
      </w:r>
      <w:r w:rsidRPr="00510341">
        <w:t>Exergetic sensitivity analysis evaluates the response of a system to variations in operating conditions</w:t>
      </w:r>
      <w:r w:rsidR="007C0F1A" w:rsidRPr="00510341">
        <w:t xml:space="preserve"> (Pérez et al., 2023)</w:t>
      </w:r>
      <w:r w:rsidRPr="00510341">
        <w:t>.</w:t>
      </w:r>
      <w:r w:rsidR="007C0F1A" w:rsidRPr="00510341">
        <w:t xml:space="preserve"> </w:t>
      </w:r>
      <w:r w:rsidR="00C90FF0" w:rsidRPr="00510341">
        <w:t xml:space="preserve">In contrast, exergetic resilience refers to the ability of a system to maintain or recover its performance under disturbances, whereas sensitivity analysis evaluates the effect of parameter variations. In this study, the focus is on exergetic sensitivity. However, existing studies have mainly identified critical variables without fully addressing system behavior under variable and uncertain conditions, </w:t>
      </w:r>
      <w:r w:rsidR="00C90FF0" w:rsidRPr="00510341">
        <w:lastRenderedPageBreak/>
        <w:t xml:space="preserve">particularly in </w:t>
      </w:r>
      <w:proofErr w:type="spellStart"/>
      <w:r w:rsidR="00C90FF0" w:rsidRPr="00510341">
        <w:t>agro</w:t>
      </w:r>
      <w:proofErr w:type="spellEnd"/>
      <w:r w:rsidR="00C90FF0" w:rsidRPr="00510341">
        <w:t>-industrial biorefineries. In this context, the present study evaluates the exergetic sensitivity of a cascade biorefinery based on avocado seeds from the Colombian Amazon region for starch and biofilm production. The system promotes progressive use of biomass chemical exergy, improving efficiency compared to single-valorization approaches. The study identifies stages with the highest exergy destruction and evaluates the impact of operational variations on system performance, supporting process optimization and design from technical and environmental perspectives.</w:t>
      </w:r>
    </w:p>
    <w:bookmarkEnd w:id="2"/>
    <w:p w14:paraId="1771E10D" w14:textId="54A6DB32" w:rsidR="00A02EA3" w:rsidRPr="00510341" w:rsidRDefault="00051DAE" w:rsidP="00F071C4">
      <w:pPr>
        <w:pStyle w:val="CETHeading1"/>
      </w:pPr>
      <w:r w:rsidRPr="00510341">
        <w:t>2. Materials and methods</w:t>
      </w:r>
    </w:p>
    <w:p w14:paraId="1998C031" w14:textId="77777777" w:rsidR="00082E02" w:rsidRPr="00510341" w:rsidRDefault="00082E02" w:rsidP="00F071C4">
      <w:pPr>
        <w:pStyle w:val="CETHeadingxx"/>
      </w:pPr>
      <w:r w:rsidRPr="00510341">
        <w:t>2.1 Process description</w:t>
      </w:r>
    </w:p>
    <w:p w14:paraId="5A58B50A" w14:textId="322F8F32" w:rsidR="00F071C4" w:rsidRPr="00510341" w:rsidRDefault="00F071C4" w:rsidP="00F071C4">
      <w:pPr>
        <w:pStyle w:val="CETBodytext"/>
      </w:pPr>
      <w:r w:rsidRPr="00510341">
        <w:t>The evaluated biorefinery uses Hass avocado seeds produced in the Colombian Amazon region</w:t>
      </w:r>
      <w:r w:rsidR="00E32331" w:rsidRPr="00510341">
        <w:t>. It was simulated in Aspen Plus software by selecting the Non-Random Two-Liquid (NRTL) thermodynamic model for the liquid phase and the Redlich-</w:t>
      </w:r>
      <w:proofErr w:type="spellStart"/>
      <w:r w:rsidR="00E32331" w:rsidRPr="00510341">
        <w:t>Kwong</w:t>
      </w:r>
      <w:proofErr w:type="spellEnd"/>
      <w:r w:rsidR="00E32331" w:rsidRPr="00510341">
        <w:t xml:space="preserve"> (RK) equation of state for the vapor phase.</w:t>
      </w:r>
      <w:r w:rsidRPr="00510341">
        <w:t xml:space="preserve"> </w:t>
      </w:r>
      <w:r w:rsidR="001F3B9C" w:rsidRPr="00510341">
        <w:t>The process begins with washing the seeds to remove impurities, followed by drying at 50 °C and size reduction to facilitate subsequent processing. The seed stream is divided into two flows: one for starch and biofilm 1 production, and the other for biofilm 2. For starch production, the chopped seeds are contacted with a sodium metabisulfite solution for 24 h, followed by liquefaction, filtration, and decantation to separate the starch. The recovered starch is washed, dried, and divided into three fractions: one corresponds to the final starch product, and the other two are used as raw material for biofilm production.</w:t>
      </w:r>
    </w:p>
    <w:p w14:paraId="1DC62864" w14:textId="56083F98" w:rsidR="003320AE" w:rsidRPr="00510341" w:rsidRDefault="003320AE" w:rsidP="00082E02">
      <w:pPr>
        <w:pStyle w:val="CETBodytext"/>
        <w:rPr>
          <w:lang w:eastAsia="es-CO"/>
        </w:rPr>
      </w:pPr>
    </w:p>
    <w:p w14:paraId="157C9E10" w14:textId="4789CD13" w:rsidR="003320AE" w:rsidRPr="00510341" w:rsidRDefault="003320AE" w:rsidP="00082E02">
      <w:pPr>
        <w:pStyle w:val="CETBodytext"/>
        <w:rPr>
          <w:lang w:val="es-CO" w:eastAsia="es-CO"/>
        </w:rPr>
      </w:pPr>
      <w:r w:rsidRPr="00510341">
        <w:rPr>
          <w:noProof/>
          <w:lang w:val="es-CO" w:eastAsia="es-CO"/>
        </w:rPr>
        <w:drawing>
          <wp:inline distT="0" distB="0" distL="0" distR="0" wp14:anchorId="0C8D23E1" wp14:editId="2E302F26">
            <wp:extent cx="5554345" cy="2491740"/>
            <wp:effectExtent l="19050" t="19050" r="27305"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5602777" cy="2513467"/>
                    </a:xfrm>
                    <a:prstGeom prst="rect">
                      <a:avLst/>
                    </a:prstGeom>
                    <a:ln>
                      <a:solidFill>
                        <a:schemeClr val="tx1"/>
                      </a:solidFill>
                    </a:ln>
                  </pic:spPr>
                </pic:pic>
              </a:graphicData>
            </a:graphic>
          </wp:inline>
        </w:drawing>
      </w:r>
    </w:p>
    <w:p w14:paraId="25091194" w14:textId="305916B2" w:rsidR="0093111B" w:rsidRPr="00510341" w:rsidRDefault="00AF7E94" w:rsidP="003320AE">
      <w:pPr>
        <w:pStyle w:val="CETCaption"/>
        <w:rPr>
          <w:rStyle w:val="CETCaptionCarattere"/>
          <w:i/>
          <w:lang w:val="en-US"/>
        </w:rPr>
      </w:pPr>
      <w:r w:rsidRPr="00510341">
        <w:rPr>
          <w:rStyle w:val="CETCaptionCarattere"/>
          <w:i/>
          <w:lang w:val="en-US"/>
        </w:rPr>
        <w:t xml:space="preserve">Figure 1: </w:t>
      </w:r>
      <w:r w:rsidR="003320AE" w:rsidRPr="00510341">
        <w:rPr>
          <w:rStyle w:val="CETCaptionCarattere"/>
          <w:i/>
          <w:lang w:val="en-US"/>
        </w:rPr>
        <w:t>Process flow diagram of the cascade biorefinery for Hass avocado seed</w:t>
      </w:r>
    </w:p>
    <w:p w14:paraId="765C1FC2" w14:textId="663D170F" w:rsidR="00933C8B" w:rsidRPr="00510341" w:rsidRDefault="001233A4" w:rsidP="00933C8B">
      <w:pPr>
        <w:pStyle w:val="CETBodytext"/>
      </w:pPr>
      <w:r w:rsidRPr="00510341">
        <w:t>Meanwhile, the seed stream from splitter 1 is hydrolyzed at 120 °C with a 5 wt.% H</w:t>
      </w:r>
      <w:r w:rsidRPr="00510341">
        <w:rPr>
          <w:rFonts w:ascii="Cambria Math" w:hAnsi="Cambria Math" w:cs="Cambria Math"/>
        </w:rPr>
        <w:t>₂</w:t>
      </w:r>
      <w:r w:rsidRPr="00510341">
        <w:t>SO</w:t>
      </w:r>
      <w:r w:rsidRPr="00510341">
        <w:rPr>
          <w:rFonts w:ascii="Cambria Math" w:hAnsi="Cambria Math" w:cs="Cambria Math"/>
        </w:rPr>
        <w:t>₄</w:t>
      </w:r>
      <w:r w:rsidRPr="00510341">
        <w:t xml:space="preserve"> solution and fermented with Lactobacillus and </w:t>
      </w:r>
      <w:proofErr w:type="gramStart"/>
      <w:r w:rsidRPr="00510341">
        <w:t>Ca(</w:t>
      </w:r>
      <w:proofErr w:type="gramEnd"/>
      <w:r w:rsidRPr="00510341">
        <w:t>OH)</w:t>
      </w:r>
      <w:r w:rsidRPr="00510341">
        <w:rPr>
          <w:rFonts w:ascii="Cambria Math" w:hAnsi="Cambria Math" w:cs="Cambria Math"/>
        </w:rPr>
        <w:t>₂</w:t>
      </w:r>
      <w:r w:rsidRPr="00510341">
        <w:t xml:space="preserve"> to produce lactic acid (</w:t>
      </w:r>
      <w:proofErr w:type="spellStart"/>
      <w:r w:rsidRPr="00510341">
        <w:t>Alv</w:t>
      </w:r>
      <w:r w:rsidRPr="00510341">
        <w:rPr>
          <w:rFonts w:cs="Arial"/>
        </w:rPr>
        <w:t>í</w:t>
      </w:r>
      <w:r w:rsidRPr="00510341">
        <w:t>z</w:t>
      </w:r>
      <w:proofErr w:type="spellEnd"/>
      <w:r w:rsidRPr="00510341">
        <w:t xml:space="preserve"> et al., 2025). Undesired compounds are removed through neutralization, filtration, and flash separation, generating steam and gypsum as residual streams, while the concentrated lactic acid proceeds to pre-polymerization to form L-lactide and M-lactide monomers for PLA production (Swetha et al., 2023). Pre-polymerization is carried out under nitrogen, which circulates through the flash separation units and is purged from the system. The stream from flash separator 1 is distilled to recover unreacted lactic acid, which is recycled to purification, while the remaining stream is polymerized to produce PLA. Finally, PLA is combined with starch (mixing stage 3) to obtain biofilm 2. Figure 1 shows the block flow diagram of the cascade biorefinery, where the yellow section corresponds to biofilm production and the orange section to starch production.</w:t>
      </w:r>
    </w:p>
    <w:p w14:paraId="62C2A5BA" w14:textId="491FE556" w:rsidR="00D8071B" w:rsidRPr="00510341" w:rsidRDefault="00051DAE" w:rsidP="00F071C4">
      <w:pPr>
        <w:pStyle w:val="CETHeadingxx"/>
      </w:pPr>
      <w:r w:rsidRPr="00510341">
        <w:t>2.2</w:t>
      </w:r>
      <w:r w:rsidR="00A02EA3" w:rsidRPr="00510341">
        <w:t xml:space="preserve"> Exergy analysis</w:t>
      </w:r>
      <w:r w:rsidR="0031491E" w:rsidRPr="00510341">
        <w:t xml:space="preserve"> and exergy sensitivity</w:t>
      </w:r>
    </w:p>
    <w:p w14:paraId="34013FFC" w14:textId="2A882F21" w:rsidR="00F071C4" w:rsidRPr="00510341" w:rsidRDefault="00D27906" w:rsidP="00F071C4">
      <w:pPr>
        <w:pStyle w:val="CETBodytext"/>
        <w:rPr>
          <w:lang w:eastAsia="es-CO"/>
        </w:rPr>
      </w:pPr>
      <w:r w:rsidRPr="00510341">
        <w:rPr>
          <w:lang w:eastAsia="es-CO"/>
        </w:rPr>
        <w:t xml:space="preserve">Exergy analysis is a method based on the second law of thermodynamics used to evaluate the quality of energy and quantify system irreversibilities by determining the maximum useful work obtainable at equilibrium with the environment. It helps identify thermodynamic losses, exergy destruction, and improvement opportunities, and is widely applied to optimize chemical, thermal, and biomass conversion systems </w:t>
      </w:r>
      <w:bookmarkStart w:id="3" w:name="_Hlk224169550"/>
      <w:r w:rsidRPr="00510341">
        <w:rPr>
          <w:lang w:eastAsia="es-CO"/>
        </w:rPr>
        <w:t>(</w:t>
      </w:r>
      <w:proofErr w:type="spellStart"/>
      <w:r w:rsidRPr="00510341">
        <w:rPr>
          <w:lang w:eastAsia="es-CO"/>
        </w:rPr>
        <w:t>Bejan</w:t>
      </w:r>
      <w:proofErr w:type="spellEnd"/>
      <w:r w:rsidRPr="00510341">
        <w:rPr>
          <w:lang w:eastAsia="es-CO"/>
        </w:rPr>
        <w:t xml:space="preserve">, 2016; </w:t>
      </w:r>
      <w:proofErr w:type="spellStart"/>
      <w:r w:rsidRPr="00510341">
        <w:rPr>
          <w:lang w:eastAsia="es-CO"/>
        </w:rPr>
        <w:t>Dincer</w:t>
      </w:r>
      <w:proofErr w:type="spellEnd"/>
      <w:r w:rsidRPr="00510341">
        <w:rPr>
          <w:lang w:eastAsia="es-CO"/>
        </w:rPr>
        <w:t xml:space="preserve"> &amp; Rosen, 2013; </w:t>
      </w:r>
      <w:proofErr w:type="spellStart"/>
      <w:r w:rsidRPr="00510341">
        <w:rPr>
          <w:lang w:eastAsia="es-CO"/>
        </w:rPr>
        <w:t>Kotas</w:t>
      </w:r>
      <w:proofErr w:type="spellEnd"/>
      <w:r w:rsidRPr="00510341">
        <w:rPr>
          <w:lang w:eastAsia="es-CO"/>
        </w:rPr>
        <w:t>, 2013).</w:t>
      </w:r>
      <w:bookmarkEnd w:id="3"/>
      <w:r w:rsidR="00933C8B" w:rsidRPr="00510341">
        <w:rPr>
          <w:lang w:eastAsia="es-CO"/>
        </w:rPr>
        <w:t xml:space="preserve"> </w:t>
      </w:r>
      <w:r w:rsidR="00F071C4" w:rsidRPr="00510341">
        <w:rPr>
          <w:lang w:eastAsia="es-CO"/>
        </w:rPr>
        <w:t xml:space="preserve">Equation (1) corresponds to the </w:t>
      </w:r>
      <w:r w:rsidR="00F071C4" w:rsidRPr="00510341">
        <w:rPr>
          <w:bCs/>
          <w:lang w:eastAsia="es-CO"/>
        </w:rPr>
        <w:t>exergy associated with work</w:t>
      </w:r>
      <w:r w:rsidR="00F071C4" w:rsidRPr="00510341">
        <w:rPr>
          <w:lang w:eastAsia="es-CO"/>
        </w:rPr>
        <w:t xml:space="preserve">, which is equivalent to the useful work transferred within the system. The exergy associated with heat is calculated using </w:t>
      </w:r>
      <w:r w:rsidR="00F071C4" w:rsidRPr="00510341">
        <w:rPr>
          <w:bCs/>
          <w:lang w:eastAsia="es-CO"/>
        </w:rPr>
        <w:t>Equation (2)</w:t>
      </w:r>
      <w:r w:rsidR="00F071C4" w:rsidRPr="00510341">
        <w:rPr>
          <w:lang w:eastAsia="es-CO"/>
        </w:rPr>
        <w:t xml:space="preserve">, </w:t>
      </w:r>
      <w:r w:rsidR="00F071C4" w:rsidRPr="00510341">
        <w:rPr>
          <w:lang w:eastAsia="es-CO"/>
        </w:rPr>
        <w:lastRenderedPageBreak/>
        <w:t xml:space="preserve">which considers the heat flow transferred at a given temperature and the temperature of the reference environment. Meanwhile, the exergy of mass streams is calculated using </w:t>
      </w:r>
      <w:r w:rsidR="00F071C4" w:rsidRPr="00510341">
        <w:rPr>
          <w:bCs/>
          <w:lang w:eastAsia="es-CO"/>
        </w:rPr>
        <w:t>Equation (3)</w:t>
      </w:r>
      <w:r w:rsidR="00F071C4" w:rsidRPr="00510341">
        <w:rPr>
          <w:lang w:eastAsia="es-CO"/>
        </w:rPr>
        <w:t xml:space="preserve"> as the sum of the </w:t>
      </w:r>
      <w:r w:rsidR="00F071C4" w:rsidRPr="00510341">
        <w:rPr>
          <w:bCs/>
          <w:lang w:eastAsia="es-CO"/>
        </w:rPr>
        <w:t>physical, chemical, potential, and kinetic contributions</w:t>
      </w:r>
      <w:r w:rsidR="00F071C4" w:rsidRPr="00510341">
        <w:rPr>
          <w:lang w:eastAsia="es-CO"/>
        </w:rPr>
        <w:t xml:space="preserve"> </w:t>
      </w:r>
      <w:bookmarkStart w:id="4" w:name="_Hlk224169540"/>
      <w:r w:rsidR="00F071C4" w:rsidRPr="00510341">
        <w:rPr>
          <w:lang w:eastAsia="es-CO"/>
        </w:rPr>
        <w:t>(Herrera et al., 2025</w:t>
      </w:r>
      <w:bookmarkEnd w:id="4"/>
      <w:r w:rsidR="00E1622E" w:rsidRPr="00510341">
        <w:rPr>
          <w:lang w:eastAsia="es-CO"/>
        </w:rPr>
        <w:t>a</w:t>
      </w:r>
      <w:r w:rsidR="0032041D" w:rsidRPr="00510341">
        <w:rPr>
          <w:lang w:eastAsia="es-CO"/>
        </w:rPr>
        <w:t>).</w:t>
      </w:r>
      <w:r w:rsidR="00A32836" w:rsidRPr="00510341">
        <w:t xml:space="preserve"> </w:t>
      </w:r>
      <w:r w:rsidR="00A32836" w:rsidRPr="00510341">
        <w:rPr>
          <w:lang w:eastAsia="es-CO"/>
        </w:rPr>
        <w:t>Chemical and physical exergies were calculated using Equations (4) and (5), respectively. Biomass was represented by conventional compounds (leucine, catechin, calcium oxide, water, oleic acid, and glucose), and its chemical exergy was determined as a weighted sum based on molar fractions and standard literature values.</w:t>
      </w:r>
    </w:p>
    <w:p w14:paraId="765949B4" w14:textId="672D4BC1" w:rsidR="003C1D3B" w:rsidRPr="00510341" w:rsidRDefault="003C1D3B" w:rsidP="00495CDA">
      <w:pPr>
        <w:pStyle w:val="CETEquation"/>
      </w:pPr>
      <m:oMathPara>
        <m:oMath>
          <m:r>
            <w:rPr>
              <w:rFonts w:ascii="Cambria Math" w:hAnsi="Cambria Math"/>
            </w:rPr>
            <m:t>E</m:t>
          </m:r>
          <m:sSub>
            <m:sSubPr>
              <m:ctrlPr>
                <w:rPr>
                  <w:rFonts w:ascii="Cambria Math" w:hAnsi="Cambria Math"/>
                  <w:iCs/>
                </w:rPr>
              </m:ctrlPr>
            </m:sSubPr>
            <m:e>
              <m:r>
                <w:rPr>
                  <w:rFonts w:ascii="Cambria Math" w:hAnsi="Cambria Math"/>
                </w:rPr>
                <m:t>x</m:t>
              </m:r>
            </m:e>
            <m:sub>
              <m:r>
                <w:rPr>
                  <w:rFonts w:ascii="Cambria Math" w:hAnsi="Cambria Math"/>
                </w:rPr>
                <m:t>work</m:t>
              </m:r>
            </m:sub>
          </m:sSub>
          <m:r>
            <m:rPr>
              <m:sty m:val="p"/>
            </m:rPr>
            <w:rPr>
              <w:rFonts w:ascii="Cambria Math" w:hAnsi="Cambria Math"/>
            </w:rPr>
            <m:t>=</m:t>
          </m:r>
          <m:r>
            <w:rPr>
              <w:rFonts w:ascii="Cambria Math" w:hAnsi="Cambria Math"/>
            </w:rPr>
            <m:t>W</m:t>
          </m:r>
          <m:r>
            <m:rPr>
              <m:sty m:val="p"/>
            </m:rPr>
            <w:rPr>
              <w:rFonts w:ascii="Cambria Math" w:hAnsi="Cambria Math"/>
            </w:rPr>
            <m:t xml:space="preserve">                                                                                                                                                                                              (1)</m:t>
          </m:r>
        </m:oMath>
      </m:oMathPara>
    </w:p>
    <w:p w14:paraId="3206885A" w14:textId="4D4D25CC" w:rsidR="003C1D3B" w:rsidRPr="00510341" w:rsidRDefault="003C1D3B" w:rsidP="00495CDA">
      <w:pPr>
        <w:pStyle w:val="CETEquation"/>
      </w:pPr>
      <m:oMathPara>
        <m:oMath>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lang w:val="es-CO"/>
                </w:rPr>
                <m:t>h</m:t>
              </m:r>
              <m:r>
                <w:rPr>
                  <w:rFonts w:ascii="Cambria Math" w:hAnsi="Cambria Math"/>
                </w:rPr>
                <m:t>eat</m:t>
              </m:r>
            </m:sub>
          </m:sSub>
          <m:r>
            <m:rPr>
              <m:sty m:val="p"/>
            </m:rPr>
            <w:rPr>
              <w:rFonts w:ascii="Cambria Math" w:hAnsi="Cambria Math"/>
              <w:lang w:val="es-CO"/>
            </w:rPr>
            <m:t>=∑</m:t>
          </m:r>
          <m:d>
            <m:dPr>
              <m:ctrlPr>
                <w:rPr>
                  <w:rFonts w:ascii="Cambria Math" w:hAnsi="Cambria Math"/>
                </w:rPr>
              </m:ctrlPr>
            </m:dPr>
            <m:e>
              <m:r>
                <m:rPr>
                  <m:sty m:val="p"/>
                </m:rPr>
                <w:rPr>
                  <w:rFonts w:ascii="Cambria Math" w:hAnsi="Cambria Math"/>
                  <w:lang w:val="es-CO"/>
                </w:rPr>
                <m:t>1-</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lang w:val="es-CO"/>
                        </w:rPr>
                        <m:t>0</m:t>
                      </m:r>
                    </m:sub>
                  </m:sSub>
                </m:num>
                <m:den>
                  <m:r>
                    <w:rPr>
                      <w:rFonts w:ascii="Cambria Math" w:hAnsi="Cambria Math"/>
                    </w:rPr>
                    <m:t>T</m:t>
                  </m:r>
                </m:den>
              </m:f>
            </m:e>
          </m:d>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 xml:space="preserve">                                                                                                                                                                          (2)</m:t>
          </m:r>
        </m:oMath>
      </m:oMathPara>
    </w:p>
    <w:p w14:paraId="3321910C" w14:textId="7D8DFE01" w:rsidR="00A32836" w:rsidRPr="00510341" w:rsidRDefault="00864202" w:rsidP="00495CDA">
      <w:pPr>
        <w:pStyle w:val="CETEquation"/>
        <w:rPr>
          <w:rStyle w:val="mi"/>
          <w:rFonts w:ascii="GyrePagellaMathJax_Normal" w:hAnsi="GyrePagellaMathJax_Normal" w:cs="Arial"/>
          <w:sz w:val="19"/>
          <w:szCs w:val="19"/>
          <w:bdr w:val="none" w:sz="0" w:space="0" w:color="auto" w:frame="1"/>
          <w:shd w:val="clear" w:color="auto" w:fill="FFFFFF"/>
        </w:rPr>
      </w:pPr>
      <m:oMath>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mass</m:t>
            </m:r>
          </m:sub>
        </m:sSub>
        <m:r>
          <m:rPr>
            <m:sty m:val="p"/>
          </m:rPr>
          <w:rPr>
            <w:rFonts w:ascii="Cambria Math" w:hAnsi="Cambria Math"/>
          </w:rPr>
          <m:t>=</m:t>
        </m:r>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p</m:t>
            </m:r>
            <m:r>
              <w:rPr>
                <w:rFonts w:ascii="Cambria Math" w:hAnsi="Cambria Math"/>
              </w:rPr>
              <m:t>h</m:t>
            </m:r>
            <m:r>
              <w:rPr>
                <w:rFonts w:ascii="Cambria Math" w:hAnsi="Cambria Math"/>
                <w:lang w:val="es-CO"/>
              </w:rPr>
              <m:t>y</m:t>
            </m:r>
          </m:sub>
        </m:sSub>
        <m:r>
          <m:rPr>
            <m:sty m:val="p"/>
          </m:rPr>
          <w:rPr>
            <w:rFonts w:ascii="Cambria Math" w:hAnsi="Cambria Math"/>
          </w:rPr>
          <m:t>+</m:t>
        </m:r>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c</m:t>
            </m:r>
            <m:r>
              <w:rPr>
                <w:rFonts w:ascii="Cambria Math" w:hAnsi="Cambria Math"/>
              </w:rPr>
              <m:t>h</m:t>
            </m:r>
            <m:r>
              <w:rPr>
                <w:rFonts w:ascii="Cambria Math" w:hAnsi="Cambria Math"/>
                <w:lang w:val="es-CO"/>
              </w:rPr>
              <m:t>em</m:t>
            </m:r>
            <m:r>
              <m:rPr>
                <m:sty m:val="p"/>
              </m:rPr>
              <w:rPr>
                <w:rFonts w:ascii="Cambria Math" w:hAnsi="Cambria Math"/>
              </w:rPr>
              <m:t xml:space="preserve"> </m:t>
            </m:r>
          </m:sub>
        </m:sSub>
        <m:r>
          <m:rPr>
            <m:sty m:val="p"/>
          </m:rPr>
          <w:rPr>
            <w:rFonts w:ascii="Cambria Math" w:hAnsi="Cambria Math"/>
          </w:rPr>
          <m:t>+</m:t>
        </m:r>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potential</m:t>
            </m:r>
          </m:sub>
        </m:sSub>
        <m:r>
          <m:rPr>
            <m:sty m:val="p"/>
          </m:rPr>
          <w:rPr>
            <w:rFonts w:ascii="Cambria Math" w:hAnsi="Cambria Math"/>
          </w:rPr>
          <m:t>+</m:t>
        </m:r>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kinetic</m:t>
            </m:r>
          </m:sub>
        </m:sSub>
        <m:r>
          <m:rPr>
            <m:sty m:val="p"/>
          </m:rPr>
          <w:rPr>
            <w:rFonts w:ascii="Cambria Math" w:hAnsi="Cambria Math"/>
          </w:rPr>
          <m:t xml:space="preserve">                                                                                                                  (3)</m:t>
        </m:r>
      </m:oMath>
      <w:r w:rsidR="003C1D3B" w:rsidRPr="00510341">
        <w:rPr>
          <w:rStyle w:val="mi"/>
          <w:rFonts w:ascii="GyrePagellaMathJax_Normal" w:hAnsi="GyrePagellaMathJax_Normal" w:cs="Arial"/>
          <w:sz w:val="19"/>
          <w:szCs w:val="19"/>
          <w:bdr w:val="none" w:sz="0" w:space="0" w:color="auto" w:frame="1"/>
          <w:shd w:val="clear" w:color="auto" w:fill="FFFFFF"/>
        </w:rPr>
        <w:t xml:space="preserve">        </w:t>
      </w:r>
    </w:p>
    <w:p w14:paraId="009E5D0B" w14:textId="7617DF1C" w:rsidR="00A32836" w:rsidRPr="00510341" w:rsidRDefault="003C1D3B" w:rsidP="00A32836">
      <w:pPr>
        <w:pStyle w:val="CETEquation"/>
        <w:rPr>
          <w:rStyle w:val="mi"/>
          <w:rFonts w:ascii="GyrePagellaMathJax_Normal" w:hAnsi="GyrePagellaMathJax_Normal" w:cs="Arial"/>
          <w:sz w:val="19"/>
          <w:szCs w:val="19"/>
          <w:bdr w:val="none" w:sz="0" w:space="0" w:color="auto" w:frame="1"/>
          <w:shd w:val="clear" w:color="auto" w:fill="FFFFFF"/>
        </w:rPr>
      </w:pPr>
      <w:r w:rsidRPr="00510341">
        <w:rPr>
          <w:rStyle w:val="mi"/>
          <w:rFonts w:ascii="GyrePagellaMathJax_Normal" w:hAnsi="GyrePagellaMathJax_Normal" w:cs="Arial"/>
          <w:sz w:val="19"/>
          <w:szCs w:val="19"/>
          <w:bdr w:val="none" w:sz="0" w:space="0" w:color="auto" w:frame="1"/>
          <w:shd w:val="clear" w:color="auto" w:fill="FFFFFF"/>
        </w:rPr>
        <w:t xml:space="preserve"> </w:t>
      </w:r>
      <m:oMath>
        <m:r>
          <w:rPr>
            <w:rFonts w:ascii="Cambria Math" w:hAnsi="Cambria Math"/>
            <w:lang w:val="es-CO"/>
          </w:rPr>
          <m:t>E</m:t>
        </m:r>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ch</m:t>
            </m:r>
            <m:r>
              <m:rPr>
                <m:sty m:val="p"/>
              </m:rPr>
              <w:rPr>
                <w:rFonts w:ascii="Cambria Math" w:hAnsi="Cambria Math" w:cs="Arial"/>
                <w:szCs w:val="18"/>
              </w:rPr>
              <m:t>em</m:t>
            </m:r>
          </m:sub>
        </m:sSub>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y</m:t>
            </m:r>
          </m:e>
          <m:sub>
            <m:r>
              <w:rPr>
                <w:rFonts w:ascii="Cambria Math" w:hAnsi="Cambria Math" w:cs="Arial"/>
                <w:szCs w:val="18"/>
              </w:rPr>
              <m:t>i</m:t>
            </m:r>
          </m:sub>
        </m:sSub>
        <m:r>
          <w:rPr>
            <w:rFonts w:ascii="Cambria Math" w:hAnsi="Cambria Math" w:cs="Arial"/>
            <w:szCs w:val="18"/>
          </w:rPr>
          <m:t>E</m:t>
        </m:r>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ch</m:t>
            </m:r>
            <m:r>
              <m:rPr>
                <m:sty m:val="p"/>
              </m:rPr>
              <w:rPr>
                <w:rFonts w:ascii="Cambria Math" w:hAnsi="Cambria Math" w:cs="Arial"/>
                <w:szCs w:val="18"/>
              </w:rPr>
              <m:t>-</m:t>
            </m:r>
            <m:r>
              <w:rPr>
                <w:rFonts w:ascii="Cambria Math" w:hAnsi="Cambria Math" w:cs="Arial"/>
                <w:szCs w:val="18"/>
              </w:rPr>
              <m:t>i</m:t>
            </m:r>
          </m:sub>
        </m:sSub>
        <m:r>
          <m:rPr>
            <m:sty m:val="p"/>
          </m:rPr>
          <w:rPr>
            <w:rFonts w:ascii="Cambria Math" w:hAnsi="Cambria Math" w:cs="Arial"/>
            <w:szCs w:val="18"/>
          </w:rPr>
          <m:t>+</m:t>
        </m:r>
        <m:r>
          <w:rPr>
            <w:rFonts w:ascii="Cambria Math" w:hAnsi="Cambria Math" w:cs="Arial"/>
            <w:szCs w:val="18"/>
          </w:rPr>
          <m:t>R</m:t>
        </m:r>
        <m:sSub>
          <m:sSubPr>
            <m:ctrlPr>
              <w:rPr>
                <w:rFonts w:ascii="Cambria Math" w:hAnsi="Cambria Math" w:cs="Arial"/>
                <w:szCs w:val="18"/>
              </w:rPr>
            </m:ctrlPr>
          </m:sSubPr>
          <m:e>
            <m:r>
              <w:rPr>
                <w:rFonts w:ascii="Cambria Math" w:hAnsi="Cambria Math" w:cs="Arial"/>
                <w:szCs w:val="18"/>
              </w:rPr>
              <m:t>T</m:t>
            </m:r>
          </m:e>
          <m:sub>
            <m:r>
              <m:rPr>
                <m:sty m:val="p"/>
              </m:rPr>
              <w:rPr>
                <w:rFonts w:ascii="Cambria Math" w:hAnsi="Cambria Math" w:cs="Arial"/>
                <w:szCs w:val="18"/>
              </w:rPr>
              <m:t>0</m:t>
            </m:r>
          </m:sub>
        </m:sSub>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y</m:t>
            </m:r>
          </m:e>
          <m:sub>
            <m:r>
              <w:rPr>
                <w:rFonts w:ascii="Cambria Math" w:hAnsi="Cambria Math" w:cs="Arial"/>
                <w:szCs w:val="18"/>
              </w:rPr>
              <m:t>i</m:t>
            </m:r>
          </m:sub>
        </m:sSub>
        <m:func>
          <m:funcPr>
            <m:ctrlPr>
              <w:rPr>
                <w:rFonts w:ascii="Cambria Math" w:hAnsi="Cambria Math" w:cs="Arial"/>
                <w:szCs w:val="18"/>
              </w:rPr>
            </m:ctrlPr>
          </m:funcPr>
          <m:fName>
            <m:r>
              <m:rPr>
                <m:sty m:val="p"/>
              </m:rPr>
              <w:rPr>
                <w:rFonts w:ascii="Cambria Math" w:hAnsi="Cambria Math" w:cs="Arial"/>
                <w:szCs w:val="18"/>
              </w:rPr>
              <m:t>ln</m:t>
            </m:r>
          </m:fName>
          <m:e>
            <m:d>
              <m:dPr>
                <m:ctrlPr>
                  <w:rPr>
                    <w:rFonts w:ascii="Cambria Math" w:hAnsi="Cambria Math" w:cs="Arial"/>
                    <w:szCs w:val="18"/>
                  </w:rPr>
                </m:ctrlPr>
              </m:dPr>
              <m:e>
                <m:sSub>
                  <m:sSubPr>
                    <m:ctrlPr>
                      <w:rPr>
                        <w:rFonts w:ascii="Cambria Math" w:hAnsi="Cambria Math" w:cs="Arial"/>
                        <w:szCs w:val="18"/>
                      </w:rPr>
                    </m:ctrlPr>
                  </m:sSubPr>
                  <m:e>
                    <m:r>
                      <w:rPr>
                        <w:rFonts w:ascii="Cambria Math" w:hAnsi="Cambria Math" w:cs="Arial"/>
                        <w:szCs w:val="18"/>
                      </w:rPr>
                      <m:t>y</m:t>
                    </m:r>
                  </m:e>
                  <m:sub>
                    <m:r>
                      <w:rPr>
                        <w:rFonts w:ascii="Cambria Math" w:hAnsi="Cambria Math" w:cs="Arial"/>
                        <w:szCs w:val="18"/>
                      </w:rPr>
                      <m:t>i</m:t>
                    </m:r>
                  </m:sub>
                </m:sSub>
              </m:e>
            </m:d>
          </m:e>
        </m:func>
        <m:r>
          <m:rPr>
            <m:sty m:val="p"/>
          </m:rPr>
          <w:rPr>
            <w:rFonts w:ascii="Cambria Math" w:hAnsi="Cambria Math"/>
          </w:rPr>
          <m:t xml:space="preserve">                                                                                                          </m:t>
        </m:r>
        <m:r>
          <m:rPr>
            <m:sty m:val="p"/>
          </m:rPr>
          <w:rPr>
            <w:rFonts w:ascii="Cambria Math" w:hAnsi="Cambria Math"/>
          </w:rPr>
          <m:t xml:space="preserve">                                   (</m:t>
        </m:r>
        <m:r>
          <m:rPr>
            <m:sty m:val="p"/>
          </m:rPr>
          <w:rPr>
            <w:rFonts w:ascii="Cambria Math" w:hAnsi="Cambria Math"/>
          </w:rPr>
          <m:t>4)</m:t>
        </m:r>
      </m:oMath>
      <w:r w:rsidR="00A32836" w:rsidRPr="00510341">
        <w:rPr>
          <w:rStyle w:val="mi"/>
          <w:rFonts w:ascii="GyrePagellaMathJax_Normal" w:hAnsi="GyrePagellaMathJax_Normal" w:cs="Arial"/>
          <w:sz w:val="19"/>
          <w:szCs w:val="19"/>
          <w:bdr w:val="none" w:sz="0" w:space="0" w:color="auto" w:frame="1"/>
          <w:shd w:val="clear" w:color="auto" w:fill="FFFFFF"/>
        </w:rPr>
        <w:t xml:space="preserve">        </w:t>
      </w:r>
    </w:p>
    <w:p w14:paraId="6F553344" w14:textId="19212DAD" w:rsidR="00A32836" w:rsidRPr="00510341" w:rsidRDefault="003C1D3B" w:rsidP="00A32836">
      <w:pPr>
        <w:pStyle w:val="CETEquation"/>
        <w:rPr>
          <w:rStyle w:val="mi"/>
          <w:rFonts w:ascii="GyrePagellaMathJax_Normal" w:hAnsi="GyrePagellaMathJax_Normal" w:cs="Arial"/>
          <w:sz w:val="19"/>
          <w:szCs w:val="19"/>
          <w:bdr w:val="none" w:sz="0" w:space="0" w:color="auto" w:frame="1"/>
          <w:shd w:val="clear" w:color="auto" w:fill="FFFFFF"/>
        </w:rPr>
      </w:pPr>
      <w:r w:rsidRPr="00510341">
        <w:rPr>
          <w:rStyle w:val="mi"/>
          <w:rFonts w:ascii="GyrePagellaMathJax_Normal" w:hAnsi="GyrePagellaMathJax_Normal" w:cs="Arial"/>
          <w:sz w:val="19"/>
          <w:szCs w:val="19"/>
          <w:bdr w:val="none" w:sz="0" w:space="0" w:color="auto" w:frame="1"/>
          <w:shd w:val="clear" w:color="auto" w:fill="FFFFFF"/>
        </w:rPr>
        <w:t xml:space="preserve"> </w:t>
      </w:r>
      <m:oMath>
        <m:r>
          <w:rPr>
            <w:rFonts w:ascii="Cambria Math" w:hAnsi="Cambria Math"/>
            <w:lang w:val="es-CO"/>
          </w:rPr>
          <m:t>E</m:t>
        </m:r>
        <m:sSub>
          <m:sSubPr>
            <m:ctrlPr>
              <w:rPr>
                <w:rFonts w:ascii="Cambria Math" w:hAnsi="Cambria Math"/>
                <w:lang w:val="es-CO"/>
              </w:rPr>
            </m:ctrlPr>
          </m:sSubPr>
          <m:e>
            <m:r>
              <w:rPr>
                <w:rFonts w:ascii="Cambria Math" w:hAnsi="Cambria Math"/>
                <w:lang w:val="es-CO"/>
              </w:rPr>
              <m:t>x</m:t>
            </m:r>
          </m:e>
          <m:sub>
            <m:r>
              <w:rPr>
                <w:rFonts w:ascii="Cambria Math" w:hAnsi="Cambria Math"/>
                <w:lang w:val="es-CO"/>
              </w:rPr>
              <m:t>p</m:t>
            </m:r>
            <m:r>
              <w:rPr>
                <w:rFonts w:ascii="Cambria Math" w:hAnsi="Cambria Math"/>
              </w:rPr>
              <m:t>h</m:t>
            </m:r>
            <m:r>
              <w:rPr>
                <w:rFonts w:ascii="Cambria Math" w:hAnsi="Cambria Math"/>
                <w:lang w:val="es-CO"/>
              </w:rPr>
              <m:t>y</m:t>
            </m:r>
          </m:sub>
        </m:sSub>
        <m:r>
          <m:rPr>
            <m:sty m:val="p"/>
          </m:rPr>
          <w:rPr>
            <w:rFonts w:ascii="Cambria Math" w:hAnsi="Cambria Math"/>
          </w:rPr>
          <m:t>=</m:t>
        </m:r>
        <m:sSub>
          <m:sSubPr>
            <m:ctrlPr>
              <w:rPr>
                <w:rFonts w:ascii="Cambria Math" w:hAnsi="Cambria Math" w:cs="Arial"/>
                <w:szCs w:val="18"/>
                <w:lang w:val="es-ES"/>
              </w:rPr>
            </m:ctrlPr>
          </m:sSubPr>
          <m:e>
            <m:r>
              <w:rPr>
                <w:rFonts w:ascii="Cambria Math" w:hAnsi="Cambria Math" w:cs="Arial"/>
                <w:szCs w:val="18"/>
                <w:lang w:val="es-ES"/>
              </w:rPr>
              <m:t>m</m:t>
            </m:r>
          </m:e>
          <m:sub>
            <m:r>
              <w:rPr>
                <w:rFonts w:ascii="Cambria Math" w:hAnsi="Cambria Math" w:cs="Arial"/>
                <w:szCs w:val="18"/>
                <w:lang w:val="es-ES"/>
              </w:rPr>
              <m:t>i</m:t>
            </m:r>
          </m:sub>
        </m:sSub>
        <m:d>
          <m:dPr>
            <m:begChr m:val="["/>
            <m:endChr m:val="]"/>
            <m:ctrlPr>
              <w:rPr>
                <w:rFonts w:ascii="Cambria Math" w:hAnsi="Cambria Math" w:cs="Arial"/>
                <w:szCs w:val="18"/>
                <w:lang w:val="es-ES"/>
              </w:rPr>
            </m:ctrlPr>
          </m:dPr>
          <m:e>
            <m:d>
              <m:dPr>
                <m:ctrlPr>
                  <w:rPr>
                    <w:rFonts w:ascii="Cambria Math" w:hAnsi="Cambria Math" w:cs="Arial"/>
                    <w:szCs w:val="18"/>
                    <w:lang w:val="es-ES"/>
                  </w:rPr>
                </m:ctrlPr>
              </m:dPr>
              <m:e>
                <m:sSub>
                  <m:sSubPr>
                    <m:ctrlPr>
                      <w:rPr>
                        <w:rFonts w:ascii="Cambria Math" w:hAnsi="Cambria Math" w:cs="Arial"/>
                        <w:szCs w:val="18"/>
                        <w:lang w:val="es-ES"/>
                      </w:rPr>
                    </m:ctrlPr>
                  </m:sSubPr>
                  <m:e>
                    <m:r>
                      <w:rPr>
                        <w:rFonts w:ascii="Cambria Math" w:hAnsi="Cambria Math" w:cs="Arial"/>
                        <w:szCs w:val="18"/>
                      </w:rPr>
                      <m:t>h</m:t>
                    </m:r>
                  </m:e>
                  <m:sub>
                    <m:r>
                      <w:rPr>
                        <w:rFonts w:ascii="Cambria Math" w:hAnsi="Cambria Math" w:cs="Arial"/>
                        <w:szCs w:val="18"/>
                        <w:lang w:val="es-ES"/>
                      </w:rPr>
                      <m:t>i</m:t>
                    </m:r>
                  </m:sub>
                </m:sSub>
                <m:r>
                  <m:rPr>
                    <m:sty m:val="p"/>
                  </m:rPr>
                  <w:rPr>
                    <w:rFonts w:ascii="Cambria Math" w:hAnsi="Cambria Math" w:cs="Arial"/>
                    <w:szCs w:val="18"/>
                  </w:rPr>
                  <m:t>-</m:t>
                </m:r>
                <m:sSub>
                  <m:sSubPr>
                    <m:ctrlPr>
                      <w:rPr>
                        <w:rFonts w:ascii="Cambria Math" w:hAnsi="Cambria Math" w:cs="Arial"/>
                        <w:szCs w:val="18"/>
                        <w:lang w:val="es-ES"/>
                      </w:rPr>
                    </m:ctrlPr>
                  </m:sSubPr>
                  <m:e>
                    <m:r>
                      <w:rPr>
                        <w:rFonts w:ascii="Cambria Math" w:hAnsi="Cambria Math" w:cs="Arial"/>
                        <w:szCs w:val="18"/>
                      </w:rPr>
                      <m:t>h</m:t>
                    </m:r>
                  </m:e>
                  <m:sub>
                    <m:r>
                      <m:rPr>
                        <m:sty m:val="p"/>
                      </m:rPr>
                      <w:rPr>
                        <w:rFonts w:ascii="Cambria Math" w:hAnsi="Cambria Math" w:cs="Arial"/>
                        <w:szCs w:val="18"/>
                      </w:rPr>
                      <m:t>0</m:t>
                    </m:r>
                  </m:sub>
                </m:sSub>
              </m:e>
            </m:d>
            <m:r>
              <m:rPr>
                <m:sty m:val="p"/>
              </m:rPr>
              <w:rPr>
                <w:rFonts w:ascii="Cambria Math" w:hAnsi="Cambria Math" w:cs="Arial"/>
                <w:szCs w:val="18"/>
              </w:rPr>
              <m:t>-</m:t>
            </m:r>
            <m:sSub>
              <m:sSubPr>
                <m:ctrlPr>
                  <w:rPr>
                    <w:rFonts w:ascii="Cambria Math" w:hAnsi="Cambria Math" w:cs="Arial"/>
                    <w:szCs w:val="18"/>
                    <w:lang w:val="es-ES"/>
                  </w:rPr>
                </m:ctrlPr>
              </m:sSubPr>
              <m:e>
                <m:r>
                  <w:rPr>
                    <w:rFonts w:ascii="Cambria Math" w:hAnsi="Cambria Math" w:cs="Arial"/>
                    <w:szCs w:val="18"/>
                    <w:lang w:val="es-ES"/>
                  </w:rPr>
                  <m:t>T</m:t>
                </m:r>
              </m:e>
              <m:sub>
                <m:r>
                  <m:rPr>
                    <m:sty m:val="p"/>
                  </m:rPr>
                  <w:rPr>
                    <w:rFonts w:ascii="Cambria Math" w:hAnsi="Cambria Math" w:cs="Arial"/>
                    <w:szCs w:val="18"/>
                  </w:rPr>
                  <m:t>0</m:t>
                </m:r>
              </m:sub>
            </m:sSub>
            <m:d>
              <m:dPr>
                <m:ctrlPr>
                  <w:rPr>
                    <w:rFonts w:ascii="Cambria Math" w:hAnsi="Cambria Math" w:cs="Arial"/>
                    <w:szCs w:val="18"/>
                    <w:lang w:val="es-ES"/>
                  </w:rPr>
                </m:ctrlPr>
              </m:dPr>
              <m:e>
                <m:sSub>
                  <m:sSubPr>
                    <m:ctrlPr>
                      <w:rPr>
                        <w:rFonts w:ascii="Cambria Math" w:hAnsi="Cambria Math" w:cs="Arial"/>
                        <w:szCs w:val="18"/>
                        <w:lang w:val="es-ES"/>
                      </w:rPr>
                    </m:ctrlPr>
                  </m:sSubPr>
                  <m:e>
                    <m:r>
                      <w:rPr>
                        <w:rFonts w:ascii="Cambria Math" w:hAnsi="Cambria Math" w:cs="Arial"/>
                        <w:szCs w:val="18"/>
                        <w:lang w:val="es-ES"/>
                      </w:rPr>
                      <m:t>s</m:t>
                    </m:r>
                  </m:e>
                  <m:sub>
                    <m:r>
                      <w:rPr>
                        <w:rFonts w:ascii="Cambria Math" w:hAnsi="Cambria Math" w:cs="Arial"/>
                        <w:szCs w:val="18"/>
                        <w:lang w:val="es-ES"/>
                      </w:rPr>
                      <m:t>i</m:t>
                    </m:r>
                  </m:sub>
                </m:sSub>
                <m:r>
                  <m:rPr>
                    <m:sty m:val="p"/>
                  </m:rPr>
                  <w:rPr>
                    <w:rFonts w:ascii="Cambria Math" w:hAnsi="Cambria Math" w:cs="Arial"/>
                    <w:szCs w:val="18"/>
                  </w:rPr>
                  <m:t>-</m:t>
                </m:r>
                <m:sSub>
                  <m:sSubPr>
                    <m:ctrlPr>
                      <w:rPr>
                        <w:rFonts w:ascii="Cambria Math" w:hAnsi="Cambria Math" w:cs="Arial"/>
                        <w:szCs w:val="18"/>
                        <w:lang w:val="es-ES"/>
                      </w:rPr>
                    </m:ctrlPr>
                  </m:sSubPr>
                  <m:e>
                    <m:r>
                      <w:rPr>
                        <w:rFonts w:ascii="Cambria Math" w:hAnsi="Cambria Math" w:cs="Arial"/>
                        <w:szCs w:val="18"/>
                        <w:lang w:val="es-ES"/>
                      </w:rPr>
                      <m:t>s</m:t>
                    </m:r>
                  </m:e>
                  <m:sub>
                    <m:r>
                      <m:rPr>
                        <m:sty m:val="p"/>
                      </m:rPr>
                      <w:rPr>
                        <w:rFonts w:ascii="Cambria Math" w:hAnsi="Cambria Math" w:cs="Arial"/>
                        <w:szCs w:val="18"/>
                      </w:rPr>
                      <m:t>0</m:t>
                    </m:r>
                  </m:sub>
                </m:sSub>
              </m:e>
            </m:d>
          </m:e>
        </m:d>
        <m:r>
          <m:rPr>
            <m:sty m:val="p"/>
          </m:rPr>
          <w:rPr>
            <w:rFonts w:ascii="Cambria Math" w:hAnsi="Cambria Math"/>
          </w:rPr>
          <m:t xml:space="preserve">                                                                                                                 </m:t>
        </m:r>
        <m:r>
          <m:rPr>
            <m:sty m:val="p"/>
          </m:rPr>
          <w:rPr>
            <w:rFonts w:ascii="Cambria Math" w:hAnsi="Cambria Math"/>
          </w:rPr>
          <m:t xml:space="preserve">                              </m:t>
        </m:r>
        <m:r>
          <m:rPr>
            <m:sty m:val="p"/>
          </m:rPr>
          <w:rPr>
            <w:rFonts w:ascii="Cambria Math" w:hAnsi="Cambria Math"/>
          </w:rPr>
          <m:t>(5)</m:t>
        </m:r>
      </m:oMath>
      <w:r w:rsidR="00A32836" w:rsidRPr="00510341">
        <w:rPr>
          <w:rStyle w:val="mi"/>
          <w:rFonts w:ascii="GyrePagellaMathJax_Normal" w:hAnsi="GyrePagellaMathJax_Normal" w:cs="Arial"/>
          <w:sz w:val="19"/>
          <w:szCs w:val="19"/>
          <w:bdr w:val="none" w:sz="0" w:space="0" w:color="auto" w:frame="1"/>
          <w:shd w:val="clear" w:color="auto" w:fill="FFFFFF"/>
        </w:rPr>
        <w:t xml:space="preserve">        </w:t>
      </w:r>
    </w:p>
    <w:p w14:paraId="27CEFD08" w14:textId="13D41C1B" w:rsidR="003C1D3B" w:rsidRPr="00510341" w:rsidRDefault="003C1D3B" w:rsidP="00495CDA">
      <w:pPr>
        <w:pStyle w:val="CETEquation"/>
        <w:rPr>
          <w:lang w:val="es-CO"/>
        </w:rPr>
      </w:pPr>
      <m:oMathPara>
        <m:oMath>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destroyed</m:t>
              </m:r>
              <m:r>
                <m:rPr>
                  <m:sty m:val="p"/>
                </m:rPr>
                <w:rPr>
                  <w:rFonts w:ascii="Cambria Math" w:hAnsi="Cambria Math"/>
                  <w:lang w:val="en-US"/>
                </w:rPr>
                <m:t xml:space="preserve"> </m:t>
              </m:r>
            </m:sub>
          </m:sSub>
          <m:r>
            <m:rPr>
              <m:sty m:val="p"/>
            </m:rPr>
            <w:rPr>
              <w:rFonts w:ascii="Cambria Math" w:hAnsi="Cambria Math"/>
              <w:lang w:val="en-US"/>
            </w:rPr>
            <m:t xml:space="preserve">= </m:t>
          </m:r>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lang w:val="en-US"/>
                </w:rPr>
                <m:t>h</m:t>
              </m:r>
              <m:r>
                <w:rPr>
                  <w:rFonts w:ascii="Cambria Math" w:hAnsi="Cambria Math"/>
                </w:rPr>
                <m:t>eat</m:t>
              </m:r>
            </m:sub>
          </m:sSub>
          <m:r>
            <m:rPr>
              <m:sty m:val="p"/>
            </m:rPr>
            <w:rPr>
              <w:rFonts w:ascii="Cambria Math" w:hAnsi="Cambria Math"/>
              <w:lang w:val="en-US"/>
            </w:rPr>
            <m:t xml:space="preserve">+ </m:t>
          </m:r>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work</m:t>
              </m:r>
            </m:sub>
          </m:sSub>
          <m:r>
            <m:rPr>
              <m:sty m:val="p"/>
            </m:rPr>
            <w:rPr>
              <w:rFonts w:ascii="Cambria Math" w:hAnsi="Cambria Math"/>
              <w:lang w:val="en-US"/>
            </w:rPr>
            <m:t xml:space="preserve">+ </m:t>
          </m:r>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mass</m:t>
              </m:r>
            </m:sub>
          </m:sSub>
          <m:r>
            <m:rPr>
              <m:sty m:val="p"/>
            </m:rPr>
            <w:rPr>
              <w:rFonts w:ascii="Cambria Math" w:hAnsi="Cambria Math"/>
              <w:lang w:val="en-US"/>
            </w:rPr>
            <m:t xml:space="preserve">                                                                                                                                   (6)</m:t>
          </m:r>
        </m:oMath>
      </m:oMathPara>
    </w:p>
    <w:p w14:paraId="51108524" w14:textId="656938EB" w:rsidR="0093675E" w:rsidRPr="00510341" w:rsidRDefault="00A32836" w:rsidP="00F071C4">
      <w:pPr>
        <w:pStyle w:val="CETBodytext"/>
      </w:pPr>
      <w:r w:rsidRPr="00510341">
        <w:t xml:space="preserve">Exergy destruction, output, and losses were calculated using Equations (6), (7) and (8), considering heat, work, and mass flow contributions. Product-related losses and the percentage of exergy destruction were determined using Equations (9) and (10), respectively. Finally, the overall exergy efficiency was calculated using Equation (11), accounting for the exergy effectively utilized after process irreversibilities. </w:t>
      </w:r>
      <w:r w:rsidR="0032041D" w:rsidRPr="00510341">
        <w:rPr>
          <w:lang w:eastAsia="es-CO"/>
        </w:rPr>
        <w:t>(Herrera et al., 2025</w:t>
      </w:r>
      <w:r w:rsidR="00E1622E" w:rsidRPr="00510341">
        <w:rPr>
          <w:lang w:eastAsia="es-CO"/>
        </w:rPr>
        <w:t>a</w:t>
      </w:r>
      <w:r w:rsidR="0032041D" w:rsidRPr="00510341">
        <w:rPr>
          <w:lang w:eastAsia="es-CO"/>
        </w:rPr>
        <w:t>).</w:t>
      </w:r>
    </w:p>
    <w:p w14:paraId="53ADFC39" w14:textId="3CE86F64" w:rsidR="00D0139F" w:rsidRPr="00510341" w:rsidRDefault="00D0139F" w:rsidP="00495CDA">
      <w:pPr>
        <w:pStyle w:val="CETEquation"/>
        <w:rPr>
          <w:lang w:val="es-CO"/>
        </w:rPr>
      </w:pPr>
      <m:oMathPara>
        <m:oMath>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total</m:t>
              </m:r>
              <m:r>
                <m:rPr>
                  <m:sty m:val="p"/>
                </m:rPr>
                <w:rPr>
                  <w:rFonts w:ascii="Cambria Math" w:hAnsi="Cambria Math"/>
                  <w:lang w:val="es-CO"/>
                </w:rPr>
                <m:t>-</m:t>
              </m:r>
              <m:r>
                <w:rPr>
                  <w:rFonts w:ascii="Cambria Math" w:hAnsi="Cambria Math"/>
                </w:rPr>
                <m:t>out</m:t>
              </m:r>
            </m:sub>
          </m:sSub>
          <m:r>
            <m:rPr>
              <m:sty m:val="p"/>
            </m:rPr>
            <w:rPr>
              <w:rFonts w:ascii="Cambria Math" w:hAnsi="Cambria Math"/>
              <w:lang w:val="es-CO"/>
            </w:rPr>
            <m:t xml:space="preserve"> = </m:t>
          </m:r>
          <m:nary>
            <m:naryPr>
              <m:chr m:val="∑"/>
              <m:limLoc m:val="undOvr"/>
              <m:subHide m:val="1"/>
              <m:supHide m:val="1"/>
              <m:ctrlPr>
                <w:rPr>
                  <w:rFonts w:ascii="Cambria Math" w:hAnsi="Cambria Math"/>
                  <w:lang w:val="es-CO"/>
                </w:rPr>
              </m:ctrlPr>
            </m:naryPr>
            <m:sub/>
            <m:sup/>
            <m:e>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products</m:t>
                  </m:r>
                </m:sub>
              </m:sSub>
            </m:e>
          </m:nary>
          <m:r>
            <m:rPr>
              <m:sty m:val="p"/>
            </m:rPr>
            <w:rPr>
              <w:rFonts w:ascii="Cambria Math" w:hAnsi="Cambria Math"/>
              <w:lang w:val="es-CO"/>
            </w:rPr>
            <m:t>+</m:t>
          </m:r>
          <m:nary>
            <m:naryPr>
              <m:chr m:val="∑"/>
              <m:limLoc m:val="undOvr"/>
              <m:subHide m:val="1"/>
              <m:supHide m:val="1"/>
              <m:ctrlPr>
                <w:rPr>
                  <w:rFonts w:ascii="Cambria Math" w:hAnsi="Cambria Math"/>
                  <w:lang w:val="es-CO"/>
                </w:rPr>
              </m:ctrlPr>
            </m:naryPr>
            <m:sub/>
            <m:sup/>
            <m:e>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residues</m:t>
                  </m:r>
                </m:sub>
              </m:sSub>
            </m:e>
          </m:nary>
          <m:r>
            <m:rPr>
              <m:sty m:val="p"/>
            </m:rPr>
            <w:rPr>
              <w:rFonts w:ascii="Cambria Math" w:hAnsi="Cambria Math"/>
            </w:rPr>
            <m:t xml:space="preserve">                                                                                                                              (7)</m:t>
          </m:r>
        </m:oMath>
      </m:oMathPara>
    </w:p>
    <w:p w14:paraId="6EE7BA82" w14:textId="53A84551" w:rsidR="00E60D2C" w:rsidRPr="00510341" w:rsidRDefault="00E60D2C" w:rsidP="00495CDA">
      <w:pPr>
        <w:pStyle w:val="CETEquation"/>
        <w:rPr>
          <w:lang w:val="es-CO"/>
        </w:rPr>
      </w:pPr>
      <m:oMathPara>
        <m:oMath>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losses</m:t>
              </m:r>
            </m:sub>
          </m:sSub>
          <m:r>
            <m:rPr>
              <m:sty m:val="p"/>
            </m:rPr>
            <w:rPr>
              <w:rFonts w:ascii="Cambria Math" w:hAnsi="Cambria Math"/>
              <w:lang w:val="es-CO"/>
            </w:rPr>
            <m:t xml:space="preserve"> = </m:t>
          </m:r>
          <m:nary>
            <m:naryPr>
              <m:chr m:val="∑"/>
              <m:limLoc m:val="undOvr"/>
              <m:subHide m:val="1"/>
              <m:supHide m:val="1"/>
              <m:ctrlPr>
                <w:rPr>
                  <w:rFonts w:ascii="Cambria Math" w:hAnsi="Cambria Math"/>
                  <w:lang w:val="es-CO"/>
                </w:rPr>
              </m:ctrlPr>
            </m:naryPr>
            <m:sub/>
            <m:sup/>
            <m:e>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in</m:t>
                  </m:r>
                </m:sub>
              </m:sSub>
            </m:e>
          </m:nary>
          <m:r>
            <m:rPr>
              <m:sty m:val="p"/>
            </m:rPr>
            <w:rPr>
              <w:rFonts w:ascii="Cambria Math" w:hAnsi="Cambria Math"/>
              <w:lang w:val="es-CO"/>
            </w:rPr>
            <m:t xml:space="preserve">- </m:t>
          </m:r>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total</m:t>
              </m:r>
              <m:r>
                <m:rPr>
                  <m:sty m:val="p"/>
                </m:rPr>
                <w:rPr>
                  <w:rFonts w:ascii="Cambria Math" w:hAnsi="Cambria Math"/>
                  <w:lang w:val="es-CO"/>
                </w:rPr>
                <m:t>-</m:t>
              </m:r>
              <m:r>
                <w:rPr>
                  <w:rFonts w:ascii="Cambria Math" w:hAnsi="Cambria Math"/>
                </w:rPr>
                <m:t>out</m:t>
              </m:r>
            </m:sub>
          </m:sSub>
          <m:r>
            <m:rPr>
              <m:sty m:val="p"/>
            </m:rPr>
            <w:rPr>
              <w:rFonts w:ascii="Cambria Math" w:hAnsi="Cambria Math"/>
            </w:rPr>
            <m:t xml:space="preserve">                                                                                                                                                    (8)</m:t>
          </m:r>
        </m:oMath>
      </m:oMathPara>
    </w:p>
    <w:p w14:paraId="43D00739" w14:textId="3484889A" w:rsidR="00E60D2C" w:rsidRPr="00510341" w:rsidRDefault="009E6013" w:rsidP="00495CDA">
      <w:pPr>
        <w:pStyle w:val="CETEquation"/>
        <w:rPr>
          <w:lang w:val="es-CO"/>
        </w:rPr>
      </w:pPr>
      <m:oMathPara>
        <m:oMath>
          <m:sSub>
            <m:sSubPr>
              <m:ctrlPr>
                <w:rPr>
                  <w:rFonts w:ascii="Cambria Math" w:hAnsi="Cambria Math"/>
                </w:rPr>
              </m:ctrlPr>
            </m:sSubPr>
            <m:e>
              <m:r>
                <w:rPr>
                  <w:rFonts w:ascii="Cambria Math" w:hAnsi="Cambria Math"/>
                </w:rPr>
                <m:t>Loss</m:t>
              </m:r>
            </m:e>
            <m:sub>
              <m:r>
                <w:rPr>
                  <w:rFonts w:ascii="Cambria Math" w:hAnsi="Cambria Math"/>
                </w:rPr>
                <m:t>ex</m:t>
              </m:r>
            </m:sub>
          </m:sSub>
          <m:r>
            <m:rPr>
              <m:sty m:val="p"/>
            </m:rPr>
            <w:rPr>
              <w:rFonts w:ascii="Cambria Math" w:hAnsi="Cambria Math"/>
              <w:lang w:val="es-CO"/>
            </w:rPr>
            <m:t xml:space="preserve"> = </m:t>
          </m:r>
          <m:nary>
            <m:naryPr>
              <m:chr m:val="∑"/>
              <m:limLoc m:val="undOvr"/>
              <m:subHide m:val="1"/>
              <m:supHide m:val="1"/>
              <m:ctrlPr>
                <w:rPr>
                  <w:rFonts w:ascii="Cambria Math" w:hAnsi="Cambria Math"/>
                  <w:lang w:val="es-CO"/>
                </w:rPr>
              </m:ctrlPr>
            </m:naryPr>
            <m:sub/>
            <m:sup/>
            <m:e>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in</m:t>
                  </m:r>
                </m:sub>
              </m:sSub>
              <m:r>
                <m:rPr>
                  <m:sty m:val="p"/>
                </m:rPr>
                <w:rPr>
                  <w:rFonts w:ascii="Cambria Math" w:hAnsi="Cambria Math"/>
                  <w:lang w:val="es-CO"/>
                </w:rPr>
                <m:t xml:space="preserve"> </m:t>
              </m:r>
            </m:e>
          </m:nary>
          <m:r>
            <m:rPr>
              <m:sty m:val="p"/>
            </m:rPr>
            <w:rPr>
              <w:rFonts w:ascii="Cambria Math" w:hAnsi="Cambria Math"/>
              <w:lang w:val="es-CO"/>
            </w:rPr>
            <m:t xml:space="preserve">- </m:t>
          </m:r>
          <m:nary>
            <m:naryPr>
              <m:chr m:val="∑"/>
              <m:limLoc m:val="undOvr"/>
              <m:subHide m:val="1"/>
              <m:supHide m:val="1"/>
              <m:ctrlPr>
                <w:rPr>
                  <w:rFonts w:ascii="Cambria Math" w:hAnsi="Cambria Math"/>
                  <w:lang w:val="es-CO"/>
                </w:rPr>
              </m:ctrlPr>
            </m:naryPr>
            <m:sub/>
            <m:sup/>
            <m:e>
              <m:r>
                <w:rPr>
                  <w:rFonts w:ascii="Cambria Math" w:hAnsi="Cambria Math"/>
                </w:rPr>
                <m:t>E</m:t>
              </m:r>
              <m:sSub>
                <m:sSubPr>
                  <m:ctrlPr>
                    <w:rPr>
                      <w:rFonts w:ascii="Cambria Math" w:hAnsi="Cambria Math"/>
                    </w:rPr>
                  </m:ctrlPr>
                </m:sSubPr>
                <m:e>
                  <m:r>
                    <w:rPr>
                      <w:rFonts w:ascii="Cambria Math" w:hAnsi="Cambria Math"/>
                    </w:rPr>
                    <m:t>x</m:t>
                  </m:r>
                </m:e>
                <m:sub>
                  <m:r>
                    <w:rPr>
                      <w:rFonts w:ascii="Cambria Math" w:hAnsi="Cambria Math"/>
                    </w:rPr>
                    <m:t>products</m:t>
                  </m:r>
                </m:sub>
              </m:sSub>
              <m:r>
                <m:rPr>
                  <m:sty m:val="p"/>
                </m:rPr>
                <w:rPr>
                  <w:rFonts w:ascii="Cambria Math" w:hAnsi="Cambria Math"/>
                  <w:lang w:val="es-CO"/>
                </w:rPr>
                <m:t xml:space="preserve">  </m:t>
              </m:r>
            </m:e>
          </m:nary>
          <m:r>
            <m:rPr>
              <m:sty m:val="p"/>
            </m:rPr>
            <w:rPr>
              <w:rFonts w:ascii="Cambria Math" w:hAnsi="Cambria Math"/>
              <w:lang w:val="es-CO"/>
            </w:rPr>
            <m:t xml:space="preserve">                                                                                                                                             (9)</m:t>
          </m:r>
        </m:oMath>
      </m:oMathPara>
    </w:p>
    <w:p w14:paraId="7433A383" w14:textId="4C093551" w:rsidR="00E60D2C" w:rsidRPr="00510341" w:rsidRDefault="009E6013" w:rsidP="00495CDA">
      <w:pPr>
        <w:pStyle w:val="CETEquation"/>
        <w:rPr>
          <w:vertAlign w:val="subscript"/>
          <w:lang w:val="es-CO"/>
        </w:rPr>
      </w:pPr>
      <m:oMath>
        <m:sSub>
          <m:sSubPr>
            <m:ctrlPr>
              <w:rPr>
                <w:rFonts w:ascii="Cambria Math" w:hAnsi="Cambria Math"/>
                <w:vertAlign w:val="subscript"/>
              </w:rPr>
            </m:ctrlPr>
          </m:sSubPr>
          <m:e>
            <m:r>
              <w:rPr>
                <w:rFonts w:ascii="Cambria Math" w:hAnsi="Cambria Math"/>
              </w:rPr>
              <m:t>Ex</m:t>
            </m:r>
            <m:ctrlPr>
              <w:rPr>
                <w:rFonts w:ascii="Cambria Math" w:hAnsi="Cambria Math"/>
              </w:rPr>
            </m:ctrlPr>
          </m:e>
          <m:sub>
            <m:r>
              <w:rPr>
                <w:rFonts w:ascii="Cambria Math" w:hAnsi="Cambria Math"/>
              </w:rPr>
              <m:t>destroyed</m:t>
            </m:r>
          </m:sub>
        </m:sSub>
        <m:r>
          <m:rPr>
            <m:sty m:val="p"/>
          </m:rPr>
          <w:rPr>
            <w:rFonts w:ascii="Cambria Math" w:hAnsi="Cambria Math"/>
            <w:vertAlign w:val="subscript"/>
            <w:lang w:val="es-CO"/>
          </w:rPr>
          <m:t>=</m:t>
        </m:r>
        <m:d>
          <m:dPr>
            <m:ctrlPr>
              <w:rPr>
                <w:rFonts w:ascii="Cambria Math" w:hAnsi="Cambria Math"/>
                <w:vertAlign w:val="subscript"/>
              </w:rPr>
            </m:ctrlPr>
          </m:dPr>
          <m:e>
            <m:f>
              <m:fPr>
                <m:ctrlPr>
                  <w:rPr>
                    <w:rFonts w:ascii="Cambria Math" w:hAnsi="Cambria Math"/>
                    <w:vertAlign w:val="subscript"/>
                  </w:rPr>
                </m:ctrlPr>
              </m:fPr>
              <m:num>
                <m:r>
                  <w:rPr>
                    <w:rFonts w:ascii="Cambria Math" w:hAnsi="Cambria Math"/>
                    <w:vertAlign w:val="subscript"/>
                  </w:rPr>
                  <m:t>Los</m:t>
                </m:r>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ex</m:t>
                    </m:r>
                  </m:sub>
                </m:sSub>
              </m:num>
              <m:den>
                <m:sSub>
                  <m:sSubPr>
                    <m:ctrlPr>
                      <w:rPr>
                        <w:rFonts w:ascii="Cambria Math" w:hAnsi="Cambria Math"/>
                        <w:vertAlign w:val="subscript"/>
                      </w:rPr>
                    </m:ctrlPr>
                  </m:sSubPr>
                  <m:e>
                    <m:r>
                      <w:rPr>
                        <w:rFonts w:ascii="Cambria Math" w:hAnsi="Cambria Math"/>
                        <w:vertAlign w:val="subscript"/>
                      </w:rPr>
                      <m:t>Loss</m:t>
                    </m:r>
                  </m:e>
                  <m:sub>
                    <m:r>
                      <w:rPr>
                        <w:rFonts w:ascii="Cambria Math" w:hAnsi="Cambria Math"/>
                        <w:vertAlign w:val="subscript"/>
                      </w:rPr>
                      <m:t>total</m:t>
                    </m:r>
                    <m:r>
                      <m:rPr>
                        <m:sty m:val="p"/>
                      </m:rPr>
                      <w:rPr>
                        <w:rFonts w:ascii="Cambria Math" w:hAnsi="Cambria Math"/>
                        <w:vertAlign w:val="subscript"/>
                        <w:lang w:val="es-CO"/>
                      </w:rPr>
                      <m:t>-</m:t>
                    </m:r>
                    <m:r>
                      <w:rPr>
                        <w:rFonts w:ascii="Cambria Math" w:hAnsi="Cambria Math"/>
                        <w:vertAlign w:val="subscript"/>
                      </w:rPr>
                      <m:t>ex</m:t>
                    </m:r>
                  </m:sub>
                </m:sSub>
              </m:den>
            </m:f>
          </m:e>
        </m:d>
        <m:r>
          <m:rPr>
            <m:sty m:val="p"/>
          </m:rPr>
          <w:rPr>
            <w:rFonts w:ascii="Cambria Math" w:hAnsi="Cambria Math"/>
            <w:vertAlign w:val="subscript"/>
            <w:lang w:val="es-CO"/>
          </w:rPr>
          <m:t>*100%                                                                                                                                                  (10)</m:t>
        </m:r>
      </m:oMath>
      <w:r w:rsidR="00DE642C" w:rsidRPr="00510341">
        <w:rPr>
          <w:vertAlign w:val="subscript"/>
          <w:lang w:val="es-CO"/>
        </w:rPr>
        <w:t xml:space="preserve">  </w:t>
      </w:r>
    </w:p>
    <w:p w14:paraId="4F01D42A" w14:textId="06710042" w:rsidR="00E60D2C" w:rsidRPr="00510341" w:rsidRDefault="009E6013" w:rsidP="00495CDA">
      <w:pPr>
        <w:pStyle w:val="CETEquation"/>
      </w:pPr>
      <m:oMathPara>
        <m:oMath>
          <m:sSub>
            <m:sSubPr>
              <m:ctrlPr>
                <w:rPr>
                  <w:rFonts w:ascii="Cambria Math" w:hAnsi="Cambria Math"/>
                  <w:vertAlign w:val="subscript"/>
                </w:rPr>
              </m:ctrlPr>
            </m:sSubPr>
            <m:e>
              <m:r>
                <m:rPr>
                  <m:sty m:val="p"/>
                </m:rPr>
                <w:rPr>
                  <w:rFonts w:ascii="Cambria Math" w:hAnsi="Cambria Math"/>
                </w:rPr>
                <m:t>η</m:t>
              </m:r>
              <m:ctrlPr>
                <w:rPr>
                  <w:rFonts w:ascii="Cambria Math" w:hAnsi="Cambria Math"/>
                </w:rPr>
              </m:ctrlPr>
            </m:e>
            <m:sub>
              <m:r>
                <w:rPr>
                  <w:rFonts w:ascii="Cambria Math" w:hAnsi="Cambria Math"/>
                </w:rPr>
                <m:t>exergy</m:t>
              </m:r>
            </m:sub>
          </m:sSub>
          <m:r>
            <m:rPr>
              <m:sty m:val="p"/>
            </m:rPr>
            <w:rPr>
              <w:rFonts w:ascii="Cambria Math" w:hAnsi="Cambria Math"/>
              <w:vertAlign w:val="subscript"/>
            </w:rPr>
            <m:t>=1-</m:t>
          </m:r>
          <m:d>
            <m:dPr>
              <m:ctrlPr>
                <w:rPr>
                  <w:rFonts w:ascii="Cambria Math" w:hAnsi="Cambria Math"/>
                  <w:vertAlign w:val="subscript"/>
                </w:rPr>
              </m:ctrlPr>
            </m:dPr>
            <m:e>
              <m:f>
                <m:fPr>
                  <m:ctrlPr>
                    <w:rPr>
                      <w:rFonts w:ascii="Cambria Math" w:hAnsi="Cambria Math"/>
                      <w:vertAlign w:val="subscript"/>
                    </w:rPr>
                  </m:ctrlPr>
                </m:fPr>
                <m:num>
                  <m:r>
                    <w:rPr>
                      <w:rFonts w:ascii="Cambria Math" w:hAnsi="Cambria Math"/>
                      <w:vertAlign w:val="subscript"/>
                    </w:rPr>
                    <m:t>Los</m:t>
                  </m:r>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total</m:t>
                      </m:r>
                      <m:r>
                        <m:rPr>
                          <m:sty m:val="p"/>
                        </m:rPr>
                        <w:rPr>
                          <w:rFonts w:ascii="Cambria Math" w:hAnsi="Cambria Math"/>
                          <w:vertAlign w:val="subscript"/>
                        </w:rPr>
                        <m:t>-</m:t>
                      </m:r>
                      <m:r>
                        <w:rPr>
                          <w:rFonts w:ascii="Cambria Math" w:hAnsi="Cambria Math"/>
                          <w:vertAlign w:val="subscript"/>
                        </w:rPr>
                        <m:t>ex</m:t>
                      </m:r>
                    </m:sub>
                  </m:sSub>
                </m:num>
                <m:den>
                  <m:r>
                    <w:rPr>
                      <w:rFonts w:ascii="Cambria Math" w:hAnsi="Cambria Math"/>
                      <w:vertAlign w:val="subscript"/>
                    </w:rPr>
                    <m:t>E</m:t>
                  </m:r>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total</m:t>
                      </m:r>
                      <m:r>
                        <m:rPr>
                          <m:sty m:val="p"/>
                        </m:rPr>
                        <w:rPr>
                          <w:rFonts w:ascii="Cambria Math" w:hAnsi="Cambria Math"/>
                          <w:vertAlign w:val="subscript"/>
                        </w:rPr>
                        <m:t>-</m:t>
                      </m:r>
                      <m:r>
                        <w:rPr>
                          <w:rFonts w:ascii="Cambria Math" w:hAnsi="Cambria Math"/>
                          <w:vertAlign w:val="subscript"/>
                        </w:rPr>
                        <m:t>in</m:t>
                      </m:r>
                    </m:sub>
                  </m:sSub>
                </m:den>
              </m:f>
            </m:e>
          </m:d>
          <m:r>
            <m:rPr>
              <m:sty m:val="p"/>
            </m:rPr>
            <w:rPr>
              <w:rFonts w:ascii="Cambria Math" w:hAnsi="Cambria Math"/>
              <w:vertAlign w:val="subscript"/>
            </w:rPr>
            <m:t xml:space="preserve">                                                                                                                                                            (11)</m:t>
          </m:r>
        </m:oMath>
      </m:oMathPara>
    </w:p>
    <w:p w14:paraId="7014B287" w14:textId="5A340925" w:rsidR="00495CDA" w:rsidRPr="00510341" w:rsidRDefault="00495CDA" w:rsidP="003320AE">
      <w:pPr>
        <w:pStyle w:val="CETBodytext"/>
      </w:pPr>
      <w:r w:rsidRPr="00510341">
        <w:t>Exergetic sensitivity refers to the analysis that evaluates changes in process parameters that affect the exergetic indicators of a system (e.g., exergy efficiency, exergy destruction, among others), allowing the identification of variables or stages that generate the highest irreversibilities and thereby facilitating opportunities for process improvement and optimization (</w:t>
      </w:r>
      <w:proofErr w:type="spellStart"/>
      <w:r w:rsidRPr="00510341">
        <w:t>Dincer</w:t>
      </w:r>
      <w:proofErr w:type="spellEnd"/>
      <w:r w:rsidRPr="00510341">
        <w:t xml:space="preserve"> &amp; Rosen, 2013; </w:t>
      </w:r>
      <w:proofErr w:type="spellStart"/>
      <w:r w:rsidRPr="00510341">
        <w:t>Kotas</w:t>
      </w:r>
      <w:proofErr w:type="spellEnd"/>
      <w:r w:rsidRPr="00510341">
        <w:t>, 2013). Recent studies have developed exergetic sensitivity analyses to evaluate the performance of complex energy systems in petrochemical processes and biorefineries, enabling the quantification of critical parameters related to exergy and sustainability metrics (Herrera et al., 2025</w:t>
      </w:r>
      <w:r w:rsidR="00E1622E" w:rsidRPr="00510341">
        <w:t>a</w:t>
      </w:r>
      <w:r w:rsidR="0032041D" w:rsidRPr="00510341">
        <w:t>)</w:t>
      </w:r>
    </w:p>
    <w:p w14:paraId="065E38B0" w14:textId="25BBA60E" w:rsidR="00D8071B" w:rsidRPr="00510341" w:rsidRDefault="00051DAE" w:rsidP="003320AE">
      <w:pPr>
        <w:pStyle w:val="CETHeading1"/>
      </w:pPr>
      <w:r w:rsidRPr="00510341">
        <w:t xml:space="preserve">3. Results and </w:t>
      </w:r>
      <w:r w:rsidR="00495CDA" w:rsidRPr="00510341">
        <w:t>discussion</w:t>
      </w:r>
    </w:p>
    <w:p w14:paraId="67D9708A" w14:textId="42E8B90B" w:rsidR="00895F80" w:rsidRPr="00510341" w:rsidRDefault="0089782E" w:rsidP="00895F80">
      <w:pPr>
        <w:pStyle w:val="CETBodytext"/>
        <w:rPr>
          <w:rStyle w:val="CETCaptionCarattere"/>
          <w:i w:val="0"/>
          <w:lang w:val="en-US"/>
        </w:rPr>
      </w:pPr>
      <w:r w:rsidRPr="00510341">
        <w:t>The overall exergy performance of the biorefinery is presented below, with respect to irreversibilities and the most critical process stages. Table 1 summarizes the process stages along with their corresponding irreversibilities and exergetic efficiencies. The total irreversibilities for the biorefinery were 5453.56 MJ/h, the overall exergetic efficiency was 68.66 %, and the exergy associated with the waste streams was 1169.51 MJ/h. The reference state was taken as 25 °C and 1 atm.</w:t>
      </w:r>
      <w:r w:rsidR="00895F80" w:rsidRPr="00510341">
        <w:t xml:space="preserve"> </w:t>
      </w:r>
      <w:r w:rsidR="00895F80" w:rsidRPr="00510341">
        <w:rPr>
          <w:rStyle w:val="CETCaptionCarattere"/>
          <w:i w:val="0"/>
          <w:lang w:val="en-US"/>
        </w:rPr>
        <w:t xml:space="preserve">Table 1 presents the names of the stages considered in the exergetic </w:t>
      </w:r>
      <w:r w:rsidR="001233A4" w:rsidRPr="00510341">
        <w:rPr>
          <w:rStyle w:val="CETCaptionCarattere"/>
          <w:i w:val="0"/>
          <w:lang w:val="en-US"/>
        </w:rPr>
        <w:t>sensitivity</w:t>
      </w:r>
      <w:r w:rsidR="00895F80" w:rsidRPr="00510341">
        <w:rPr>
          <w:rStyle w:val="CETCaptionCarattere"/>
          <w:i w:val="0"/>
          <w:lang w:val="en-US"/>
        </w:rPr>
        <w:t xml:space="preserve"> analysis.</w:t>
      </w:r>
    </w:p>
    <w:p w14:paraId="566B88D2" w14:textId="5D5C560C" w:rsidR="00D24642" w:rsidRPr="00510341" w:rsidRDefault="00D24642" w:rsidP="00495CDA">
      <w:pPr>
        <w:pStyle w:val="CETTabletitle"/>
      </w:pPr>
      <w:r w:rsidRPr="00510341">
        <w:t xml:space="preserve">Table </w:t>
      </w:r>
      <w:r w:rsidR="00C264DC" w:rsidRPr="00510341">
        <w:t>1</w:t>
      </w:r>
      <w:r w:rsidR="003320AE" w:rsidRPr="00510341">
        <w:t>: Exergy of waste streams, irreversibilities, and exergetic efficiency by stage for the biorefinery</w:t>
      </w:r>
    </w:p>
    <w:tbl>
      <w:tblPr>
        <w:tblW w:w="8931" w:type="dxa"/>
        <w:tblLayout w:type="fixed"/>
        <w:tblCellMar>
          <w:left w:w="0" w:type="dxa"/>
          <w:right w:w="0" w:type="dxa"/>
        </w:tblCellMar>
        <w:tblLook w:val="01E0" w:firstRow="1" w:lastRow="1" w:firstColumn="1" w:lastColumn="1" w:noHBand="0" w:noVBand="0"/>
      </w:tblPr>
      <w:tblGrid>
        <w:gridCol w:w="709"/>
        <w:gridCol w:w="1843"/>
        <w:gridCol w:w="2268"/>
        <w:gridCol w:w="2126"/>
        <w:gridCol w:w="1985"/>
      </w:tblGrid>
      <w:tr w:rsidR="00510341" w:rsidRPr="00510341" w14:paraId="70FD4007" w14:textId="77777777" w:rsidTr="00510341">
        <w:trPr>
          <w:trHeight w:val="306"/>
        </w:trPr>
        <w:tc>
          <w:tcPr>
            <w:tcW w:w="709" w:type="dxa"/>
            <w:tcBorders>
              <w:top w:val="single" w:sz="12" w:space="0" w:color="008000"/>
              <w:bottom w:val="single" w:sz="6" w:space="0" w:color="008000"/>
            </w:tcBorders>
          </w:tcPr>
          <w:p w14:paraId="482CA79F" w14:textId="77777777" w:rsidR="00F2643A" w:rsidRPr="00510341" w:rsidRDefault="00F2643A" w:rsidP="005906C8">
            <w:pPr>
              <w:pStyle w:val="TableParagraph"/>
              <w:spacing w:before="0" w:line="206" w:lineRule="exact"/>
              <w:ind w:left="14"/>
              <w:rPr>
                <w:rFonts w:ascii="Arial" w:hAnsi="Arial" w:cs="Arial"/>
                <w:spacing w:val="-4"/>
                <w:sz w:val="18"/>
                <w:szCs w:val="18"/>
              </w:rPr>
            </w:pPr>
            <w:r w:rsidRPr="00510341">
              <w:rPr>
                <w:rFonts w:ascii="Arial" w:hAnsi="Arial" w:cs="Arial"/>
                <w:spacing w:val="-4"/>
                <w:sz w:val="18"/>
                <w:szCs w:val="18"/>
              </w:rPr>
              <w:t>No.</w:t>
            </w:r>
          </w:p>
        </w:tc>
        <w:tc>
          <w:tcPr>
            <w:tcW w:w="1843" w:type="dxa"/>
            <w:tcBorders>
              <w:top w:val="single" w:sz="12" w:space="0" w:color="008000"/>
              <w:bottom w:val="single" w:sz="6" w:space="0" w:color="008000"/>
            </w:tcBorders>
          </w:tcPr>
          <w:p w14:paraId="74274F02" w14:textId="77777777" w:rsidR="00F2643A" w:rsidRPr="00510341" w:rsidRDefault="00F2643A" w:rsidP="005906C8">
            <w:pPr>
              <w:pStyle w:val="TableParagraph"/>
              <w:spacing w:before="0" w:line="206" w:lineRule="exact"/>
              <w:ind w:left="14"/>
              <w:rPr>
                <w:rFonts w:ascii="Arial" w:hAnsi="Arial" w:cs="Arial"/>
                <w:sz w:val="18"/>
                <w:szCs w:val="18"/>
              </w:rPr>
            </w:pPr>
            <w:r w:rsidRPr="00510341">
              <w:rPr>
                <w:rFonts w:ascii="Arial" w:hAnsi="Arial" w:cs="Arial"/>
                <w:spacing w:val="-4"/>
                <w:sz w:val="18"/>
                <w:szCs w:val="18"/>
              </w:rPr>
              <w:t>Stage</w:t>
            </w:r>
          </w:p>
        </w:tc>
        <w:tc>
          <w:tcPr>
            <w:tcW w:w="2268" w:type="dxa"/>
            <w:tcBorders>
              <w:top w:val="single" w:sz="12" w:space="0" w:color="008000"/>
              <w:bottom w:val="single" w:sz="6" w:space="0" w:color="008000"/>
            </w:tcBorders>
          </w:tcPr>
          <w:p w14:paraId="340D287E" w14:textId="25DC8109" w:rsidR="00F2643A" w:rsidRPr="00510341" w:rsidRDefault="00F2643A" w:rsidP="00CD65BB">
            <w:pPr>
              <w:pStyle w:val="TableParagraph"/>
              <w:tabs>
                <w:tab w:val="left" w:pos="955"/>
                <w:tab w:val="left" w:pos="1341"/>
              </w:tabs>
              <w:spacing w:before="0" w:line="206" w:lineRule="exact"/>
              <w:ind w:left="0"/>
              <w:rPr>
                <w:rFonts w:ascii="Arial" w:hAnsi="Arial" w:cs="Arial"/>
                <w:spacing w:val="-2"/>
                <w:sz w:val="18"/>
                <w:szCs w:val="18"/>
              </w:rPr>
            </w:pPr>
            <w:r w:rsidRPr="00510341">
              <w:rPr>
                <w:rFonts w:ascii="Arial" w:hAnsi="Arial" w:cs="Arial"/>
                <w:spacing w:val="-2"/>
                <w:sz w:val="18"/>
                <w:szCs w:val="18"/>
              </w:rPr>
              <w:t>Exergy from waste (MJ/h)</w:t>
            </w:r>
          </w:p>
        </w:tc>
        <w:tc>
          <w:tcPr>
            <w:tcW w:w="2126" w:type="dxa"/>
            <w:tcBorders>
              <w:top w:val="single" w:sz="12" w:space="0" w:color="008000"/>
              <w:bottom w:val="single" w:sz="6" w:space="0" w:color="008000"/>
            </w:tcBorders>
          </w:tcPr>
          <w:p w14:paraId="70F5EC64" w14:textId="6389AF0B" w:rsidR="00F2643A" w:rsidRPr="00510341" w:rsidRDefault="00F2643A" w:rsidP="00CD65BB">
            <w:pPr>
              <w:pStyle w:val="TableParagraph"/>
              <w:tabs>
                <w:tab w:val="left" w:pos="955"/>
                <w:tab w:val="left" w:pos="1341"/>
              </w:tabs>
              <w:spacing w:before="0" w:line="206" w:lineRule="exact"/>
              <w:ind w:left="0"/>
              <w:rPr>
                <w:rFonts w:ascii="Arial" w:hAnsi="Arial" w:cs="Arial"/>
                <w:sz w:val="18"/>
                <w:szCs w:val="18"/>
              </w:rPr>
            </w:pPr>
            <w:r w:rsidRPr="00510341">
              <w:rPr>
                <w:rFonts w:ascii="Arial" w:hAnsi="Arial" w:cs="Arial"/>
                <w:spacing w:val="-2"/>
                <w:sz w:val="18"/>
                <w:szCs w:val="18"/>
              </w:rPr>
              <w:t>Irreversibilities (MJ/h)</w:t>
            </w:r>
          </w:p>
        </w:tc>
        <w:tc>
          <w:tcPr>
            <w:tcW w:w="1985" w:type="dxa"/>
            <w:tcBorders>
              <w:top w:val="single" w:sz="12" w:space="0" w:color="008000"/>
              <w:bottom w:val="single" w:sz="6" w:space="0" w:color="008000"/>
            </w:tcBorders>
          </w:tcPr>
          <w:p w14:paraId="257ABEFA" w14:textId="0BBF537D" w:rsidR="00F2643A" w:rsidRPr="00510341" w:rsidRDefault="00F2643A" w:rsidP="005906C8">
            <w:pPr>
              <w:pStyle w:val="TableParagraph"/>
              <w:tabs>
                <w:tab w:val="left" w:pos="955"/>
                <w:tab w:val="left" w:pos="1341"/>
              </w:tabs>
              <w:spacing w:before="0" w:line="206" w:lineRule="exact"/>
              <w:ind w:left="0"/>
              <w:rPr>
                <w:rFonts w:ascii="Arial" w:hAnsi="Arial" w:cs="Arial"/>
                <w:spacing w:val="-2"/>
                <w:sz w:val="18"/>
                <w:szCs w:val="18"/>
              </w:rPr>
            </w:pPr>
            <w:r w:rsidRPr="00510341">
              <w:rPr>
                <w:rFonts w:ascii="Arial" w:hAnsi="Arial" w:cs="Arial"/>
                <w:spacing w:val="-2"/>
                <w:sz w:val="18"/>
                <w:szCs w:val="18"/>
              </w:rPr>
              <w:t>Exergetic Efficiency (%)</w:t>
            </w:r>
          </w:p>
        </w:tc>
      </w:tr>
      <w:tr w:rsidR="00510341" w:rsidRPr="00510341" w14:paraId="66DBD3D4" w14:textId="77777777" w:rsidTr="00510341">
        <w:trPr>
          <w:trHeight w:val="237"/>
        </w:trPr>
        <w:tc>
          <w:tcPr>
            <w:tcW w:w="709" w:type="dxa"/>
            <w:tcBorders>
              <w:top w:val="single" w:sz="6" w:space="0" w:color="008000"/>
            </w:tcBorders>
            <w:shd w:val="clear" w:color="auto" w:fill="D6E3BC" w:themeFill="accent3" w:themeFillTint="66"/>
          </w:tcPr>
          <w:p w14:paraId="3E8E4A20" w14:textId="77777777" w:rsidR="00F2643A" w:rsidRPr="00510341" w:rsidRDefault="00F2643A" w:rsidP="005906C8">
            <w:pPr>
              <w:pStyle w:val="TableParagraph"/>
              <w:spacing w:before="11" w:line="206" w:lineRule="exact"/>
              <w:ind w:left="14"/>
              <w:rPr>
                <w:rFonts w:ascii="Arial" w:hAnsi="Arial" w:cs="Arial"/>
                <w:sz w:val="18"/>
                <w:szCs w:val="18"/>
              </w:rPr>
            </w:pPr>
            <w:r w:rsidRPr="00510341">
              <w:rPr>
                <w:rFonts w:ascii="Arial" w:hAnsi="Arial" w:cs="Arial"/>
                <w:sz w:val="18"/>
                <w:szCs w:val="18"/>
              </w:rPr>
              <w:t>1</w:t>
            </w:r>
          </w:p>
        </w:tc>
        <w:tc>
          <w:tcPr>
            <w:tcW w:w="1843" w:type="dxa"/>
            <w:tcBorders>
              <w:top w:val="single" w:sz="6" w:space="0" w:color="008000"/>
            </w:tcBorders>
            <w:shd w:val="clear" w:color="auto" w:fill="D6E3BC" w:themeFill="accent3" w:themeFillTint="66"/>
          </w:tcPr>
          <w:p w14:paraId="73BE7195" w14:textId="77777777" w:rsidR="00F2643A" w:rsidRPr="00510341" w:rsidRDefault="00F2643A" w:rsidP="005906C8">
            <w:pPr>
              <w:pStyle w:val="TableParagraph"/>
              <w:spacing w:before="11" w:line="206" w:lineRule="exact"/>
              <w:ind w:left="14"/>
              <w:rPr>
                <w:rFonts w:ascii="Arial" w:hAnsi="Arial" w:cs="Arial"/>
                <w:sz w:val="18"/>
                <w:szCs w:val="18"/>
              </w:rPr>
            </w:pPr>
            <w:r w:rsidRPr="00510341">
              <w:rPr>
                <w:rFonts w:ascii="Arial" w:hAnsi="Arial" w:cs="Arial"/>
                <w:sz w:val="18"/>
                <w:szCs w:val="18"/>
              </w:rPr>
              <w:t>Washing</w:t>
            </w:r>
          </w:p>
        </w:tc>
        <w:tc>
          <w:tcPr>
            <w:tcW w:w="2268" w:type="dxa"/>
            <w:tcBorders>
              <w:top w:val="single" w:sz="6" w:space="0" w:color="008000"/>
            </w:tcBorders>
            <w:shd w:val="clear" w:color="auto" w:fill="D6E3BC" w:themeFill="accent3" w:themeFillTint="66"/>
          </w:tcPr>
          <w:p w14:paraId="1427DF4D" w14:textId="4CB5BEC4" w:rsidR="00F2643A" w:rsidRPr="00510341" w:rsidRDefault="00F2643A" w:rsidP="00F2643A">
            <w:pPr>
              <w:pStyle w:val="TableParagraph"/>
              <w:spacing w:before="0" w:line="206" w:lineRule="exact"/>
              <w:ind w:left="0"/>
              <w:jc w:val="both"/>
              <w:rPr>
                <w:rFonts w:ascii="Arial" w:hAnsi="Arial" w:cs="Arial"/>
                <w:spacing w:val="-4"/>
                <w:sz w:val="18"/>
                <w:szCs w:val="18"/>
              </w:rPr>
            </w:pPr>
            <w:r w:rsidRPr="00510341">
              <w:rPr>
                <w:rFonts w:ascii="Arial" w:hAnsi="Arial" w:cs="Arial"/>
                <w:spacing w:val="-4"/>
                <w:sz w:val="18"/>
                <w:szCs w:val="18"/>
              </w:rPr>
              <w:t>3.59</w:t>
            </w:r>
          </w:p>
        </w:tc>
        <w:tc>
          <w:tcPr>
            <w:tcW w:w="2126" w:type="dxa"/>
            <w:tcBorders>
              <w:top w:val="single" w:sz="6" w:space="0" w:color="008000"/>
            </w:tcBorders>
            <w:shd w:val="clear" w:color="auto" w:fill="D6E3BC" w:themeFill="accent3" w:themeFillTint="66"/>
          </w:tcPr>
          <w:p w14:paraId="7CE7FC61" w14:textId="77D72809" w:rsidR="00F2643A" w:rsidRPr="00510341" w:rsidRDefault="00F2643A" w:rsidP="005906C8">
            <w:pPr>
              <w:pStyle w:val="TableParagraph"/>
              <w:spacing w:before="0" w:line="206" w:lineRule="exact"/>
              <w:ind w:left="-2"/>
              <w:rPr>
                <w:rFonts w:ascii="Arial" w:hAnsi="Arial" w:cs="Arial"/>
                <w:spacing w:val="-4"/>
                <w:sz w:val="18"/>
                <w:szCs w:val="18"/>
              </w:rPr>
            </w:pPr>
            <w:r w:rsidRPr="00510341">
              <w:rPr>
                <w:rFonts w:ascii="Arial" w:hAnsi="Arial" w:cs="Arial"/>
                <w:spacing w:val="-4"/>
                <w:sz w:val="18"/>
                <w:szCs w:val="18"/>
              </w:rPr>
              <w:t>18.80</w:t>
            </w:r>
          </w:p>
        </w:tc>
        <w:tc>
          <w:tcPr>
            <w:tcW w:w="1985" w:type="dxa"/>
            <w:tcBorders>
              <w:top w:val="single" w:sz="6" w:space="0" w:color="008000"/>
            </w:tcBorders>
            <w:shd w:val="clear" w:color="auto" w:fill="D6E3BC" w:themeFill="accent3" w:themeFillTint="66"/>
          </w:tcPr>
          <w:p w14:paraId="6ACA1D88" w14:textId="3BABF370" w:rsidR="00F2643A" w:rsidRPr="00510341" w:rsidRDefault="00F2643A" w:rsidP="00C264DC">
            <w:pPr>
              <w:pStyle w:val="TableParagraph"/>
              <w:spacing w:line="206" w:lineRule="exact"/>
              <w:ind w:left="-2"/>
              <w:rPr>
                <w:rFonts w:ascii="Arial" w:hAnsi="Arial" w:cs="Arial"/>
                <w:spacing w:val="-4"/>
                <w:sz w:val="18"/>
                <w:szCs w:val="18"/>
              </w:rPr>
            </w:pPr>
            <w:r w:rsidRPr="00510341">
              <w:rPr>
                <w:rFonts w:ascii="Arial" w:hAnsi="Arial" w:cs="Arial"/>
                <w:spacing w:val="-4"/>
                <w:sz w:val="18"/>
                <w:szCs w:val="18"/>
              </w:rPr>
              <w:t>96,26%</w:t>
            </w:r>
          </w:p>
        </w:tc>
      </w:tr>
      <w:tr w:rsidR="00510341" w:rsidRPr="00510341" w14:paraId="38B9C582" w14:textId="77777777" w:rsidTr="00510341">
        <w:trPr>
          <w:trHeight w:val="249"/>
        </w:trPr>
        <w:tc>
          <w:tcPr>
            <w:tcW w:w="709" w:type="dxa"/>
          </w:tcPr>
          <w:p w14:paraId="1A5A5BBD" w14:textId="77777777" w:rsidR="00F2643A" w:rsidRPr="00510341" w:rsidRDefault="00F2643A" w:rsidP="005906C8">
            <w:pPr>
              <w:pStyle w:val="TableParagraph"/>
              <w:spacing w:before="23" w:line="207" w:lineRule="exact"/>
              <w:ind w:left="14"/>
              <w:rPr>
                <w:rFonts w:ascii="Arial" w:hAnsi="Arial" w:cs="Arial"/>
                <w:sz w:val="18"/>
                <w:szCs w:val="18"/>
              </w:rPr>
            </w:pPr>
            <w:r w:rsidRPr="00510341">
              <w:rPr>
                <w:rFonts w:ascii="Arial" w:hAnsi="Arial" w:cs="Arial"/>
                <w:sz w:val="18"/>
                <w:szCs w:val="18"/>
              </w:rPr>
              <w:t>2</w:t>
            </w:r>
          </w:p>
        </w:tc>
        <w:tc>
          <w:tcPr>
            <w:tcW w:w="1843" w:type="dxa"/>
          </w:tcPr>
          <w:p w14:paraId="177E0E78" w14:textId="77777777" w:rsidR="00F2643A" w:rsidRPr="00510341" w:rsidRDefault="00F2643A" w:rsidP="005906C8">
            <w:pPr>
              <w:pStyle w:val="TableParagraph"/>
              <w:spacing w:before="23" w:line="207" w:lineRule="exact"/>
              <w:ind w:left="14"/>
              <w:rPr>
                <w:rFonts w:ascii="Arial" w:hAnsi="Arial" w:cs="Arial"/>
                <w:sz w:val="18"/>
                <w:szCs w:val="18"/>
              </w:rPr>
            </w:pPr>
            <w:r w:rsidRPr="00510341">
              <w:rPr>
                <w:rFonts w:ascii="Arial" w:hAnsi="Arial" w:cs="Arial"/>
                <w:sz w:val="18"/>
                <w:szCs w:val="18"/>
              </w:rPr>
              <w:t xml:space="preserve">Seed drying </w:t>
            </w:r>
          </w:p>
        </w:tc>
        <w:tc>
          <w:tcPr>
            <w:tcW w:w="2268" w:type="dxa"/>
          </w:tcPr>
          <w:p w14:paraId="32EDAACA" w14:textId="595A8EC7" w:rsidR="00F2643A" w:rsidRPr="00510341" w:rsidRDefault="00F2643A" w:rsidP="00F2643A">
            <w:pPr>
              <w:pStyle w:val="TableParagraph"/>
              <w:spacing w:before="13"/>
              <w:ind w:left="-2"/>
              <w:jc w:val="both"/>
              <w:rPr>
                <w:rFonts w:ascii="Arial" w:hAnsi="Arial" w:cs="Arial"/>
                <w:sz w:val="18"/>
                <w:szCs w:val="18"/>
              </w:rPr>
            </w:pPr>
            <w:r w:rsidRPr="00510341">
              <w:rPr>
                <w:rFonts w:ascii="Arial" w:hAnsi="Arial" w:cs="Arial"/>
                <w:sz w:val="18"/>
                <w:szCs w:val="18"/>
              </w:rPr>
              <w:t>8.53</w:t>
            </w:r>
          </w:p>
        </w:tc>
        <w:tc>
          <w:tcPr>
            <w:tcW w:w="2126" w:type="dxa"/>
          </w:tcPr>
          <w:p w14:paraId="7B102C15" w14:textId="58AE5487" w:rsidR="00F2643A" w:rsidRPr="00510341" w:rsidRDefault="00F2643A" w:rsidP="005906C8">
            <w:pPr>
              <w:pStyle w:val="TableParagraph"/>
              <w:spacing w:before="13"/>
              <w:ind w:left="-2"/>
              <w:rPr>
                <w:rFonts w:ascii="Arial" w:hAnsi="Arial" w:cs="Arial"/>
                <w:sz w:val="18"/>
                <w:szCs w:val="18"/>
              </w:rPr>
            </w:pPr>
            <w:r w:rsidRPr="00510341">
              <w:rPr>
                <w:rFonts w:ascii="Arial" w:hAnsi="Arial" w:cs="Arial"/>
                <w:sz w:val="18"/>
                <w:szCs w:val="18"/>
              </w:rPr>
              <w:t>284.43</w:t>
            </w:r>
          </w:p>
        </w:tc>
        <w:tc>
          <w:tcPr>
            <w:tcW w:w="1985" w:type="dxa"/>
          </w:tcPr>
          <w:p w14:paraId="36781B3D" w14:textId="4EA6DB97" w:rsidR="00F2643A" w:rsidRPr="00510341" w:rsidRDefault="00F2643A" w:rsidP="005906C8">
            <w:pPr>
              <w:pStyle w:val="TableParagraph"/>
              <w:spacing w:before="13"/>
              <w:ind w:left="-2"/>
              <w:rPr>
                <w:rFonts w:ascii="Arial" w:hAnsi="Arial" w:cs="Arial"/>
                <w:sz w:val="18"/>
                <w:szCs w:val="18"/>
              </w:rPr>
            </w:pPr>
            <w:r w:rsidRPr="00510341">
              <w:rPr>
                <w:rFonts w:ascii="Arial" w:hAnsi="Arial" w:cs="Arial"/>
                <w:spacing w:val="-4"/>
                <w:sz w:val="18"/>
                <w:szCs w:val="18"/>
              </w:rPr>
              <w:t>62,99%</w:t>
            </w:r>
          </w:p>
        </w:tc>
      </w:tr>
      <w:tr w:rsidR="00510341" w:rsidRPr="00510341" w14:paraId="196CFDCD" w14:textId="77777777" w:rsidTr="00510341">
        <w:trPr>
          <w:trHeight w:val="249"/>
        </w:trPr>
        <w:tc>
          <w:tcPr>
            <w:tcW w:w="709" w:type="dxa"/>
            <w:shd w:val="clear" w:color="auto" w:fill="D6E3BC" w:themeFill="accent3" w:themeFillTint="66"/>
          </w:tcPr>
          <w:p w14:paraId="49DAD79B" w14:textId="77777777" w:rsidR="00F2643A" w:rsidRPr="00510341" w:rsidRDefault="00F2643A" w:rsidP="005906C8">
            <w:pPr>
              <w:pStyle w:val="TableParagraph"/>
              <w:spacing w:before="23" w:line="206" w:lineRule="exact"/>
              <w:ind w:left="0"/>
              <w:rPr>
                <w:rFonts w:ascii="Arial" w:hAnsi="Arial" w:cs="Arial"/>
                <w:sz w:val="18"/>
                <w:szCs w:val="18"/>
              </w:rPr>
            </w:pPr>
            <w:r w:rsidRPr="00510341">
              <w:rPr>
                <w:rFonts w:ascii="Arial" w:hAnsi="Arial" w:cs="Arial"/>
                <w:sz w:val="18"/>
                <w:szCs w:val="18"/>
              </w:rPr>
              <w:t>3</w:t>
            </w:r>
          </w:p>
        </w:tc>
        <w:tc>
          <w:tcPr>
            <w:tcW w:w="1843" w:type="dxa"/>
            <w:shd w:val="clear" w:color="auto" w:fill="D6E3BC" w:themeFill="accent3" w:themeFillTint="66"/>
          </w:tcPr>
          <w:p w14:paraId="6B8E24CE" w14:textId="77777777" w:rsidR="00F2643A" w:rsidRPr="00510341" w:rsidRDefault="00F2643A" w:rsidP="005906C8">
            <w:pPr>
              <w:pStyle w:val="TableParagraph"/>
              <w:spacing w:before="23" w:line="206" w:lineRule="exact"/>
              <w:ind w:left="0"/>
              <w:rPr>
                <w:rFonts w:ascii="Arial" w:hAnsi="Arial" w:cs="Arial"/>
                <w:sz w:val="18"/>
                <w:szCs w:val="18"/>
              </w:rPr>
            </w:pPr>
            <w:r w:rsidRPr="00510341">
              <w:rPr>
                <w:rFonts w:ascii="Arial" w:hAnsi="Arial" w:cs="Arial"/>
                <w:sz w:val="18"/>
                <w:szCs w:val="18"/>
              </w:rPr>
              <w:t>Cutting</w:t>
            </w:r>
          </w:p>
        </w:tc>
        <w:tc>
          <w:tcPr>
            <w:tcW w:w="2268" w:type="dxa"/>
            <w:shd w:val="clear" w:color="auto" w:fill="D6E3BC" w:themeFill="accent3" w:themeFillTint="66"/>
          </w:tcPr>
          <w:p w14:paraId="2A9B4C30" w14:textId="36C9F74C" w:rsidR="00F2643A" w:rsidRPr="00510341" w:rsidRDefault="00F2643A" w:rsidP="00F2643A">
            <w:pPr>
              <w:pStyle w:val="TableParagraph"/>
              <w:spacing w:before="14"/>
              <w:ind w:left="-2"/>
              <w:jc w:val="both"/>
              <w:rPr>
                <w:rFonts w:ascii="Arial" w:hAnsi="Arial" w:cs="Arial"/>
                <w:sz w:val="18"/>
                <w:szCs w:val="18"/>
              </w:rPr>
            </w:pPr>
            <w:r w:rsidRPr="00510341">
              <w:rPr>
                <w:rFonts w:ascii="Arial" w:hAnsi="Arial" w:cs="Arial"/>
                <w:sz w:val="18"/>
                <w:szCs w:val="18"/>
              </w:rPr>
              <w:t>0.00</w:t>
            </w:r>
          </w:p>
        </w:tc>
        <w:tc>
          <w:tcPr>
            <w:tcW w:w="2126" w:type="dxa"/>
            <w:shd w:val="clear" w:color="auto" w:fill="D6E3BC" w:themeFill="accent3" w:themeFillTint="66"/>
          </w:tcPr>
          <w:p w14:paraId="3AAB8ACD" w14:textId="62BDE8DD" w:rsidR="00F2643A" w:rsidRPr="00510341" w:rsidRDefault="00F2643A" w:rsidP="005906C8">
            <w:pPr>
              <w:pStyle w:val="TableParagraph"/>
              <w:spacing w:before="14"/>
              <w:ind w:left="-2"/>
              <w:rPr>
                <w:rFonts w:ascii="Arial" w:hAnsi="Arial" w:cs="Arial"/>
                <w:sz w:val="18"/>
                <w:szCs w:val="18"/>
              </w:rPr>
            </w:pPr>
            <w:r w:rsidRPr="00510341">
              <w:rPr>
                <w:rFonts w:ascii="Arial" w:hAnsi="Arial" w:cs="Arial"/>
                <w:sz w:val="18"/>
                <w:szCs w:val="18"/>
              </w:rPr>
              <w:t>3.60</w:t>
            </w:r>
          </w:p>
        </w:tc>
        <w:tc>
          <w:tcPr>
            <w:tcW w:w="1985" w:type="dxa"/>
            <w:shd w:val="clear" w:color="auto" w:fill="D6E3BC" w:themeFill="accent3" w:themeFillTint="66"/>
          </w:tcPr>
          <w:p w14:paraId="61F89B5C" w14:textId="43921CD2" w:rsidR="00F2643A" w:rsidRPr="00510341" w:rsidRDefault="00F2643A" w:rsidP="00CD65BB">
            <w:pPr>
              <w:pStyle w:val="TableParagraph"/>
              <w:spacing w:before="14"/>
              <w:ind w:left="-2"/>
              <w:rPr>
                <w:rFonts w:ascii="Arial" w:hAnsi="Arial" w:cs="Arial"/>
                <w:sz w:val="18"/>
                <w:szCs w:val="18"/>
              </w:rPr>
            </w:pPr>
            <w:r w:rsidRPr="00510341">
              <w:rPr>
                <w:rFonts w:ascii="Arial" w:hAnsi="Arial" w:cs="Arial"/>
                <w:sz w:val="18"/>
                <w:szCs w:val="18"/>
              </w:rPr>
              <w:t>99.26%</w:t>
            </w:r>
          </w:p>
        </w:tc>
      </w:tr>
      <w:tr w:rsidR="00510341" w:rsidRPr="00510341" w14:paraId="7797B892" w14:textId="77777777" w:rsidTr="00510341">
        <w:trPr>
          <w:trHeight w:val="249"/>
        </w:trPr>
        <w:tc>
          <w:tcPr>
            <w:tcW w:w="709" w:type="dxa"/>
          </w:tcPr>
          <w:p w14:paraId="05517219" w14:textId="606116FC" w:rsidR="00F2643A" w:rsidRPr="00510341" w:rsidRDefault="00F2643A" w:rsidP="008E7BE3">
            <w:pPr>
              <w:pStyle w:val="TableParagraph"/>
              <w:spacing w:before="23" w:line="206" w:lineRule="exact"/>
              <w:ind w:left="0"/>
              <w:rPr>
                <w:rFonts w:ascii="Arial" w:hAnsi="Arial" w:cs="Arial"/>
                <w:sz w:val="18"/>
                <w:szCs w:val="18"/>
              </w:rPr>
            </w:pPr>
            <w:r w:rsidRPr="00510341">
              <w:rPr>
                <w:rFonts w:ascii="Arial" w:hAnsi="Arial" w:cs="Arial"/>
                <w:sz w:val="18"/>
                <w:szCs w:val="18"/>
              </w:rPr>
              <w:t>4</w:t>
            </w:r>
          </w:p>
        </w:tc>
        <w:tc>
          <w:tcPr>
            <w:tcW w:w="1843" w:type="dxa"/>
          </w:tcPr>
          <w:p w14:paraId="2092EDA5" w14:textId="07BBBC5C" w:rsidR="00F2643A" w:rsidRPr="00510341" w:rsidRDefault="00F2643A" w:rsidP="008E7BE3">
            <w:pPr>
              <w:pStyle w:val="TableParagraph"/>
              <w:spacing w:before="23" w:line="206" w:lineRule="exact"/>
              <w:ind w:left="0"/>
              <w:rPr>
                <w:rFonts w:ascii="Arial" w:hAnsi="Arial" w:cs="Arial"/>
                <w:sz w:val="18"/>
                <w:szCs w:val="18"/>
              </w:rPr>
            </w:pPr>
            <w:r w:rsidRPr="00510341">
              <w:rPr>
                <w:rFonts w:ascii="Arial" w:hAnsi="Arial" w:cs="Arial"/>
                <w:sz w:val="18"/>
                <w:szCs w:val="18"/>
              </w:rPr>
              <w:t>Starch Extraction</w:t>
            </w:r>
          </w:p>
        </w:tc>
        <w:tc>
          <w:tcPr>
            <w:tcW w:w="2268" w:type="dxa"/>
          </w:tcPr>
          <w:p w14:paraId="3A3A1E65" w14:textId="2A2FC568" w:rsidR="00F2643A" w:rsidRPr="00510341" w:rsidRDefault="00F2643A" w:rsidP="00F2643A">
            <w:pPr>
              <w:pStyle w:val="TableParagraph"/>
              <w:spacing w:before="13"/>
              <w:ind w:left="-2"/>
              <w:jc w:val="both"/>
              <w:rPr>
                <w:rFonts w:ascii="Arial" w:hAnsi="Arial" w:cs="Arial"/>
                <w:sz w:val="18"/>
                <w:szCs w:val="18"/>
              </w:rPr>
            </w:pPr>
            <w:r w:rsidRPr="00510341">
              <w:rPr>
                <w:rFonts w:ascii="Arial" w:hAnsi="Arial" w:cs="Arial"/>
                <w:sz w:val="18"/>
                <w:szCs w:val="18"/>
              </w:rPr>
              <w:t>0.00</w:t>
            </w:r>
          </w:p>
        </w:tc>
        <w:tc>
          <w:tcPr>
            <w:tcW w:w="2126" w:type="dxa"/>
          </w:tcPr>
          <w:p w14:paraId="66609B38" w14:textId="22C6A87A" w:rsidR="00F2643A" w:rsidRPr="00510341" w:rsidRDefault="00F2643A" w:rsidP="008E7BE3">
            <w:pPr>
              <w:pStyle w:val="TableParagraph"/>
              <w:spacing w:before="13"/>
              <w:ind w:left="-2"/>
              <w:rPr>
                <w:rFonts w:ascii="Arial" w:hAnsi="Arial" w:cs="Arial"/>
                <w:sz w:val="18"/>
                <w:szCs w:val="18"/>
              </w:rPr>
            </w:pPr>
            <w:r w:rsidRPr="00510341">
              <w:rPr>
                <w:rFonts w:ascii="Arial" w:hAnsi="Arial" w:cs="Arial"/>
                <w:sz w:val="18"/>
                <w:szCs w:val="18"/>
              </w:rPr>
              <w:t>1.50</w:t>
            </w:r>
          </w:p>
        </w:tc>
        <w:tc>
          <w:tcPr>
            <w:tcW w:w="1985" w:type="dxa"/>
          </w:tcPr>
          <w:p w14:paraId="232FB0A0" w14:textId="50BCA47F" w:rsidR="00F2643A" w:rsidRPr="00510341" w:rsidRDefault="00F2643A" w:rsidP="008E7BE3">
            <w:pPr>
              <w:pStyle w:val="TableParagraph"/>
              <w:spacing w:before="13"/>
              <w:ind w:left="-2"/>
              <w:rPr>
                <w:rFonts w:ascii="Arial" w:hAnsi="Arial" w:cs="Arial"/>
                <w:sz w:val="18"/>
                <w:szCs w:val="18"/>
              </w:rPr>
            </w:pPr>
            <w:r w:rsidRPr="00510341">
              <w:rPr>
                <w:rFonts w:ascii="Arial" w:hAnsi="Arial" w:cs="Arial"/>
                <w:sz w:val="18"/>
                <w:szCs w:val="18"/>
              </w:rPr>
              <w:t>99.49%</w:t>
            </w:r>
          </w:p>
        </w:tc>
      </w:tr>
      <w:tr w:rsidR="00510341" w:rsidRPr="00510341" w14:paraId="452072A1" w14:textId="77777777" w:rsidTr="00510341">
        <w:trPr>
          <w:trHeight w:val="240"/>
        </w:trPr>
        <w:tc>
          <w:tcPr>
            <w:tcW w:w="709" w:type="dxa"/>
            <w:shd w:val="clear" w:color="auto" w:fill="D6E3BC" w:themeFill="accent3" w:themeFillTint="66"/>
          </w:tcPr>
          <w:p w14:paraId="1290C010" w14:textId="6FFF75C0" w:rsidR="00F2643A" w:rsidRPr="00510341" w:rsidRDefault="00F2643A" w:rsidP="008E7BE3">
            <w:pPr>
              <w:pStyle w:val="TableParagraph"/>
              <w:spacing w:line="202" w:lineRule="exact"/>
              <w:ind w:left="14"/>
              <w:rPr>
                <w:rFonts w:ascii="Arial" w:hAnsi="Arial" w:cs="Arial"/>
                <w:sz w:val="18"/>
                <w:szCs w:val="18"/>
              </w:rPr>
            </w:pPr>
            <w:r w:rsidRPr="00510341">
              <w:rPr>
                <w:rFonts w:ascii="Arial" w:hAnsi="Arial" w:cs="Arial"/>
                <w:sz w:val="18"/>
                <w:szCs w:val="18"/>
              </w:rPr>
              <w:t>5</w:t>
            </w:r>
          </w:p>
        </w:tc>
        <w:tc>
          <w:tcPr>
            <w:tcW w:w="1843" w:type="dxa"/>
            <w:shd w:val="clear" w:color="auto" w:fill="D6E3BC" w:themeFill="accent3" w:themeFillTint="66"/>
          </w:tcPr>
          <w:p w14:paraId="5624E593" w14:textId="365529E2" w:rsidR="00F2643A" w:rsidRPr="00510341" w:rsidRDefault="00F2643A" w:rsidP="008E7BE3">
            <w:pPr>
              <w:pStyle w:val="TableParagraph"/>
              <w:spacing w:line="202" w:lineRule="exact"/>
              <w:ind w:left="14"/>
              <w:rPr>
                <w:rFonts w:ascii="Arial" w:hAnsi="Arial" w:cs="Arial"/>
                <w:sz w:val="18"/>
                <w:szCs w:val="18"/>
              </w:rPr>
            </w:pPr>
            <w:r w:rsidRPr="00510341">
              <w:rPr>
                <w:rFonts w:ascii="Arial" w:hAnsi="Arial" w:cs="Arial"/>
                <w:sz w:val="18"/>
                <w:szCs w:val="18"/>
              </w:rPr>
              <w:t>Liquefied</w:t>
            </w:r>
          </w:p>
        </w:tc>
        <w:tc>
          <w:tcPr>
            <w:tcW w:w="2268" w:type="dxa"/>
            <w:shd w:val="clear" w:color="auto" w:fill="D6E3BC" w:themeFill="accent3" w:themeFillTint="66"/>
          </w:tcPr>
          <w:p w14:paraId="1F07FB3C" w14:textId="05B4F409" w:rsidR="00F2643A" w:rsidRPr="00510341" w:rsidRDefault="00F2643A" w:rsidP="00F2643A">
            <w:pPr>
              <w:pStyle w:val="TableParagraph"/>
              <w:spacing w:before="13" w:line="206" w:lineRule="exact"/>
              <w:ind w:left="-2"/>
              <w:jc w:val="both"/>
              <w:rPr>
                <w:rFonts w:ascii="Arial" w:hAnsi="Arial" w:cs="Arial"/>
                <w:sz w:val="18"/>
                <w:szCs w:val="18"/>
              </w:rPr>
            </w:pPr>
            <w:r w:rsidRPr="00510341">
              <w:rPr>
                <w:rFonts w:ascii="Arial" w:hAnsi="Arial" w:cs="Arial"/>
                <w:sz w:val="18"/>
                <w:szCs w:val="18"/>
              </w:rPr>
              <w:t>0.00</w:t>
            </w:r>
          </w:p>
        </w:tc>
        <w:tc>
          <w:tcPr>
            <w:tcW w:w="2126" w:type="dxa"/>
            <w:shd w:val="clear" w:color="auto" w:fill="D6E3BC" w:themeFill="accent3" w:themeFillTint="66"/>
          </w:tcPr>
          <w:p w14:paraId="6280A00B" w14:textId="62ACECDE" w:rsidR="00F2643A" w:rsidRPr="00510341" w:rsidRDefault="00F2643A" w:rsidP="008E7BE3">
            <w:pPr>
              <w:pStyle w:val="TableParagraph"/>
              <w:spacing w:before="13" w:line="206" w:lineRule="exact"/>
              <w:ind w:left="-2"/>
              <w:rPr>
                <w:rFonts w:ascii="Arial" w:hAnsi="Arial" w:cs="Arial"/>
                <w:sz w:val="18"/>
                <w:szCs w:val="18"/>
              </w:rPr>
            </w:pPr>
            <w:r w:rsidRPr="00510341">
              <w:rPr>
                <w:rFonts w:ascii="Arial" w:hAnsi="Arial" w:cs="Arial"/>
                <w:sz w:val="18"/>
                <w:szCs w:val="18"/>
              </w:rPr>
              <w:t>28.65</w:t>
            </w:r>
          </w:p>
        </w:tc>
        <w:tc>
          <w:tcPr>
            <w:tcW w:w="1985" w:type="dxa"/>
            <w:shd w:val="clear" w:color="auto" w:fill="D6E3BC" w:themeFill="accent3" w:themeFillTint="66"/>
          </w:tcPr>
          <w:p w14:paraId="7B88AB4C" w14:textId="0581C8C0" w:rsidR="00F2643A" w:rsidRPr="00510341" w:rsidRDefault="00F2643A" w:rsidP="008E7BE3">
            <w:pPr>
              <w:pStyle w:val="TableParagraph"/>
              <w:spacing w:before="13" w:line="206" w:lineRule="exact"/>
              <w:ind w:left="-2"/>
              <w:rPr>
                <w:rFonts w:ascii="Arial" w:hAnsi="Arial" w:cs="Arial"/>
                <w:sz w:val="18"/>
                <w:szCs w:val="18"/>
              </w:rPr>
            </w:pPr>
            <w:r w:rsidRPr="00510341">
              <w:rPr>
                <w:rFonts w:ascii="Arial" w:hAnsi="Arial" w:cs="Arial"/>
                <w:sz w:val="18"/>
                <w:szCs w:val="18"/>
              </w:rPr>
              <w:t>91.05%</w:t>
            </w:r>
          </w:p>
        </w:tc>
      </w:tr>
      <w:tr w:rsidR="00510341" w:rsidRPr="00510341" w14:paraId="7B3CF019" w14:textId="77777777" w:rsidTr="00510341">
        <w:trPr>
          <w:trHeight w:val="246"/>
        </w:trPr>
        <w:tc>
          <w:tcPr>
            <w:tcW w:w="709" w:type="dxa"/>
          </w:tcPr>
          <w:p w14:paraId="08DA533F" w14:textId="5EFF19BB" w:rsidR="00F2643A" w:rsidRPr="00510341" w:rsidRDefault="00F2643A" w:rsidP="008E7BE3">
            <w:pPr>
              <w:pStyle w:val="TableParagraph"/>
              <w:spacing w:before="20" w:line="205" w:lineRule="exact"/>
              <w:ind w:left="0"/>
              <w:rPr>
                <w:rFonts w:ascii="Arial" w:hAnsi="Arial" w:cs="Arial"/>
                <w:sz w:val="18"/>
                <w:szCs w:val="18"/>
              </w:rPr>
            </w:pPr>
            <w:r w:rsidRPr="00510341">
              <w:rPr>
                <w:rFonts w:ascii="Arial" w:hAnsi="Arial" w:cs="Arial"/>
                <w:sz w:val="18"/>
                <w:szCs w:val="18"/>
              </w:rPr>
              <w:t>6</w:t>
            </w:r>
          </w:p>
        </w:tc>
        <w:tc>
          <w:tcPr>
            <w:tcW w:w="1843" w:type="dxa"/>
          </w:tcPr>
          <w:p w14:paraId="3AB859AD" w14:textId="7B8B0CAC" w:rsidR="00F2643A" w:rsidRPr="00510341" w:rsidRDefault="00F2643A" w:rsidP="008E7BE3">
            <w:pPr>
              <w:pStyle w:val="TableParagraph"/>
              <w:spacing w:before="20" w:line="205" w:lineRule="exact"/>
              <w:ind w:left="0"/>
              <w:rPr>
                <w:rFonts w:ascii="Arial" w:hAnsi="Arial" w:cs="Arial"/>
                <w:sz w:val="18"/>
                <w:szCs w:val="18"/>
              </w:rPr>
            </w:pPr>
            <w:r w:rsidRPr="00510341">
              <w:rPr>
                <w:rFonts w:ascii="Arial" w:hAnsi="Arial" w:cs="Arial"/>
                <w:sz w:val="18"/>
                <w:szCs w:val="18"/>
              </w:rPr>
              <w:t>Filtration</w:t>
            </w:r>
          </w:p>
        </w:tc>
        <w:tc>
          <w:tcPr>
            <w:tcW w:w="2268" w:type="dxa"/>
          </w:tcPr>
          <w:p w14:paraId="31C3243D" w14:textId="0BFE2DD4" w:rsidR="00F2643A" w:rsidRPr="00510341" w:rsidRDefault="00F2643A" w:rsidP="00F2643A">
            <w:pPr>
              <w:pStyle w:val="TableParagraph"/>
              <w:spacing w:before="8"/>
              <w:ind w:left="-2"/>
              <w:jc w:val="both"/>
              <w:rPr>
                <w:rFonts w:ascii="Arial" w:hAnsi="Arial" w:cs="Arial"/>
                <w:sz w:val="18"/>
                <w:szCs w:val="18"/>
              </w:rPr>
            </w:pPr>
            <w:r w:rsidRPr="00510341">
              <w:rPr>
                <w:rFonts w:ascii="Arial" w:hAnsi="Arial" w:cs="Arial"/>
                <w:sz w:val="18"/>
                <w:szCs w:val="18"/>
              </w:rPr>
              <w:t>0.00</w:t>
            </w:r>
          </w:p>
        </w:tc>
        <w:tc>
          <w:tcPr>
            <w:tcW w:w="2126" w:type="dxa"/>
          </w:tcPr>
          <w:p w14:paraId="52176302" w14:textId="103DE692" w:rsidR="00F2643A" w:rsidRPr="00510341" w:rsidRDefault="00F2643A" w:rsidP="008E7BE3">
            <w:pPr>
              <w:pStyle w:val="TableParagraph"/>
              <w:spacing w:before="8"/>
              <w:ind w:left="-2"/>
              <w:rPr>
                <w:rFonts w:ascii="Arial" w:hAnsi="Arial" w:cs="Arial"/>
                <w:sz w:val="18"/>
                <w:szCs w:val="18"/>
              </w:rPr>
            </w:pPr>
            <w:r w:rsidRPr="00510341">
              <w:rPr>
                <w:rFonts w:ascii="Arial" w:hAnsi="Arial" w:cs="Arial"/>
                <w:sz w:val="18"/>
                <w:szCs w:val="18"/>
              </w:rPr>
              <w:t>0.00</w:t>
            </w:r>
          </w:p>
        </w:tc>
        <w:tc>
          <w:tcPr>
            <w:tcW w:w="1985" w:type="dxa"/>
          </w:tcPr>
          <w:p w14:paraId="663E3325" w14:textId="541CDD88" w:rsidR="00F2643A" w:rsidRPr="00510341" w:rsidRDefault="00F2643A" w:rsidP="008E7BE3">
            <w:pPr>
              <w:pStyle w:val="TableParagraph"/>
              <w:spacing w:before="8"/>
              <w:ind w:left="-2"/>
              <w:rPr>
                <w:rFonts w:ascii="Arial" w:hAnsi="Arial" w:cs="Arial"/>
                <w:sz w:val="18"/>
                <w:szCs w:val="18"/>
              </w:rPr>
            </w:pPr>
            <w:r w:rsidRPr="00510341">
              <w:rPr>
                <w:rFonts w:ascii="Arial" w:hAnsi="Arial" w:cs="Arial"/>
                <w:sz w:val="18"/>
                <w:szCs w:val="18"/>
              </w:rPr>
              <w:t>100.00%</w:t>
            </w:r>
          </w:p>
        </w:tc>
      </w:tr>
      <w:tr w:rsidR="00510341" w:rsidRPr="00510341" w14:paraId="65380ACD" w14:textId="77777777" w:rsidTr="00510341">
        <w:trPr>
          <w:trHeight w:val="249"/>
        </w:trPr>
        <w:tc>
          <w:tcPr>
            <w:tcW w:w="709" w:type="dxa"/>
            <w:shd w:val="clear" w:color="auto" w:fill="D6E3BC" w:themeFill="accent3" w:themeFillTint="66"/>
          </w:tcPr>
          <w:p w14:paraId="6BD3F13B" w14:textId="726B8405" w:rsidR="00F2643A" w:rsidRPr="00510341" w:rsidRDefault="00F2643A" w:rsidP="008E7BE3">
            <w:pPr>
              <w:pStyle w:val="TableParagraph"/>
              <w:spacing w:before="24" w:line="205" w:lineRule="exact"/>
              <w:ind w:left="14"/>
              <w:rPr>
                <w:rFonts w:ascii="Arial" w:hAnsi="Arial" w:cs="Arial"/>
                <w:sz w:val="18"/>
                <w:szCs w:val="18"/>
              </w:rPr>
            </w:pPr>
            <w:r w:rsidRPr="00510341">
              <w:rPr>
                <w:rFonts w:ascii="Arial" w:hAnsi="Arial" w:cs="Arial"/>
                <w:sz w:val="18"/>
                <w:szCs w:val="18"/>
              </w:rPr>
              <w:lastRenderedPageBreak/>
              <w:t>7</w:t>
            </w:r>
          </w:p>
        </w:tc>
        <w:tc>
          <w:tcPr>
            <w:tcW w:w="1843" w:type="dxa"/>
            <w:shd w:val="clear" w:color="auto" w:fill="D6E3BC" w:themeFill="accent3" w:themeFillTint="66"/>
          </w:tcPr>
          <w:p w14:paraId="3CDA51E8" w14:textId="21B496F3" w:rsidR="00F2643A" w:rsidRPr="00510341" w:rsidRDefault="00F2643A" w:rsidP="008E7BE3">
            <w:pPr>
              <w:pStyle w:val="TableParagraph"/>
              <w:spacing w:before="24" w:line="205" w:lineRule="exact"/>
              <w:ind w:left="14"/>
              <w:rPr>
                <w:rFonts w:ascii="Arial" w:hAnsi="Arial" w:cs="Arial"/>
                <w:sz w:val="18"/>
                <w:szCs w:val="18"/>
              </w:rPr>
            </w:pPr>
            <w:r w:rsidRPr="00510341">
              <w:rPr>
                <w:rFonts w:ascii="Arial" w:hAnsi="Arial" w:cs="Arial"/>
                <w:sz w:val="18"/>
                <w:szCs w:val="18"/>
              </w:rPr>
              <w:t>Decantation</w:t>
            </w:r>
          </w:p>
        </w:tc>
        <w:tc>
          <w:tcPr>
            <w:tcW w:w="2268" w:type="dxa"/>
            <w:shd w:val="clear" w:color="auto" w:fill="D6E3BC" w:themeFill="accent3" w:themeFillTint="66"/>
          </w:tcPr>
          <w:p w14:paraId="35559E00" w14:textId="512D1005" w:rsidR="00F2643A" w:rsidRPr="00510341" w:rsidRDefault="00F2643A" w:rsidP="00F2643A">
            <w:pPr>
              <w:pStyle w:val="TableParagraph"/>
              <w:spacing w:before="12"/>
              <w:ind w:left="-2"/>
              <w:jc w:val="both"/>
              <w:rPr>
                <w:rFonts w:ascii="Arial" w:hAnsi="Arial" w:cs="Arial"/>
                <w:sz w:val="18"/>
                <w:szCs w:val="18"/>
              </w:rPr>
            </w:pPr>
            <w:r w:rsidRPr="00510341">
              <w:rPr>
                <w:rFonts w:ascii="Arial" w:hAnsi="Arial" w:cs="Arial"/>
                <w:sz w:val="18"/>
                <w:szCs w:val="18"/>
              </w:rPr>
              <w:t>0.47</w:t>
            </w:r>
          </w:p>
        </w:tc>
        <w:tc>
          <w:tcPr>
            <w:tcW w:w="2126" w:type="dxa"/>
            <w:shd w:val="clear" w:color="auto" w:fill="D6E3BC" w:themeFill="accent3" w:themeFillTint="66"/>
          </w:tcPr>
          <w:p w14:paraId="6D765F0F" w14:textId="265210A7"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0.07</w:t>
            </w:r>
          </w:p>
        </w:tc>
        <w:tc>
          <w:tcPr>
            <w:tcW w:w="1985" w:type="dxa"/>
            <w:shd w:val="clear" w:color="auto" w:fill="D6E3BC" w:themeFill="accent3" w:themeFillTint="66"/>
          </w:tcPr>
          <w:p w14:paraId="7129A1FB" w14:textId="7BA2F817"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99.92%</w:t>
            </w:r>
          </w:p>
        </w:tc>
      </w:tr>
      <w:tr w:rsidR="00510341" w:rsidRPr="00510341" w14:paraId="04B72EB2" w14:textId="77777777" w:rsidTr="00510341">
        <w:trPr>
          <w:trHeight w:val="249"/>
        </w:trPr>
        <w:tc>
          <w:tcPr>
            <w:tcW w:w="709" w:type="dxa"/>
          </w:tcPr>
          <w:p w14:paraId="3203349D" w14:textId="361482EB" w:rsidR="00F2643A" w:rsidRPr="00510341" w:rsidRDefault="00F2643A" w:rsidP="008E7BE3">
            <w:pPr>
              <w:pStyle w:val="TableParagraph"/>
              <w:spacing w:before="24" w:line="205" w:lineRule="exact"/>
              <w:ind w:left="14"/>
              <w:rPr>
                <w:rFonts w:ascii="Arial" w:hAnsi="Arial" w:cs="Arial"/>
                <w:sz w:val="18"/>
                <w:szCs w:val="18"/>
              </w:rPr>
            </w:pPr>
            <w:r w:rsidRPr="00510341">
              <w:rPr>
                <w:rFonts w:ascii="Arial" w:hAnsi="Arial" w:cs="Arial"/>
                <w:sz w:val="18"/>
                <w:szCs w:val="18"/>
              </w:rPr>
              <w:t>8</w:t>
            </w:r>
          </w:p>
        </w:tc>
        <w:tc>
          <w:tcPr>
            <w:tcW w:w="1843" w:type="dxa"/>
          </w:tcPr>
          <w:p w14:paraId="40063238" w14:textId="4BEF2EE3" w:rsidR="00F2643A" w:rsidRPr="00510341" w:rsidRDefault="00F2643A" w:rsidP="008E7BE3">
            <w:pPr>
              <w:pStyle w:val="TableParagraph"/>
              <w:spacing w:before="24" w:line="205" w:lineRule="exact"/>
              <w:ind w:left="14"/>
              <w:rPr>
                <w:rFonts w:ascii="Arial" w:hAnsi="Arial" w:cs="Arial"/>
                <w:sz w:val="18"/>
                <w:szCs w:val="18"/>
              </w:rPr>
            </w:pPr>
            <w:r w:rsidRPr="00510341">
              <w:rPr>
                <w:rFonts w:ascii="Arial" w:hAnsi="Arial" w:cs="Arial"/>
                <w:sz w:val="18"/>
                <w:szCs w:val="18"/>
              </w:rPr>
              <w:t>Starch washing</w:t>
            </w:r>
          </w:p>
        </w:tc>
        <w:tc>
          <w:tcPr>
            <w:tcW w:w="2268" w:type="dxa"/>
          </w:tcPr>
          <w:p w14:paraId="4E79F1F3" w14:textId="7AAC1CE4"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1.32</w:t>
            </w:r>
          </w:p>
        </w:tc>
        <w:tc>
          <w:tcPr>
            <w:tcW w:w="2126" w:type="dxa"/>
          </w:tcPr>
          <w:p w14:paraId="3C3D01F9" w14:textId="309B3CD8"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16.00</w:t>
            </w:r>
          </w:p>
        </w:tc>
        <w:tc>
          <w:tcPr>
            <w:tcW w:w="1985" w:type="dxa"/>
          </w:tcPr>
          <w:p w14:paraId="0B81917D" w14:textId="768F1D99"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84.02%</w:t>
            </w:r>
          </w:p>
        </w:tc>
      </w:tr>
      <w:tr w:rsidR="00510341" w:rsidRPr="00510341" w14:paraId="3515949E" w14:textId="77777777" w:rsidTr="00510341">
        <w:trPr>
          <w:trHeight w:val="189"/>
        </w:trPr>
        <w:tc>
          <w:tcPr>
            <w:tcW w:w="709" w:type="dxa"/>
            <w:shd w:val="clear" w:color="auto" w:fill="D6E3BC" w:themeFill="accent3" w:themeFillTint="66"/>
          </w:tcPr>
          <w:p w14:paraId="028724AE" w14:textId="6B6F7702" w:rsidR="00F2643A" w:rsidRPr="00510341" w:rsidRDefault="00F2643A" w:rsidP="008E7BE3">
            <w:pPr>
              <w:pStyle w:val="TableParagraph"/>
              <w:spacing w:before="12"/>
              <w:ind w:left="14"/>
              <w:rPr>
                <w:rFonts w:ascii="Arial" w:hAnsi="Arial" w:cs="Arial"/>
                <w:sz w:val="18"/>
                <w:szCs w:val="18"/>
              </w:rPr>
            </w:pPr>
            <w:r w:rsidRPr="00510341">
              <w:rPr>
                <w:rFonts w:ascii="Arial" w:hAnsi="Arial" w:cs="Arial"/>
                <w:sz w:val="18"/>
                <w:szCs w:val="18"/>
              </w:rPr>
              <w:t>9</w:t>
            </w:r>
          </w:p>
        </w:tc>
        <w:tc>
          <w:tcPr>
            <w:tcW w:w="1843" w:type="dxa"/>
            <w:shd w:val="clear" w:color="auto" w:fill="D6E3BC" w:themeFill="accent3" w:themeFillTint="66"/>
          </w:tcPr>
          <w:p w14:paraId="1596DBAA" w14:textId="2E356E74" w:rsidR="00F2643A" w:rsidRPr="00510341" w:rsidRDefault="00F2643A" w:rsidP="008E7BE3">
            <w:pPr>
              <w:pStyle w:val="TableParagraph"/>
              <w:spacing w:before="12"/>
              <w:ind w:left="14"/>
              <w:rPr>
                <w:rFonts w:ascii="Arial" w:hAnsi="Arial" w:cs="Arial"/>
                <w:sz w:val="18"/>
                <w:szCs w:val="18"/>
              </w:rPr>
            </w:pPr>
            <w:r w:rsidRPr="00510341">
              <w:rPr>
                <w:rFonts w:ascii="Arial" w:hAnsi="Arial" w:cs="Arial"/>
                <w:sz w:val="18"/>
                <w:szCs w:val="18"/>
              </w:rPr>
              <w:t>Starch drying 1</w:t>
            </w:r>
          </w:p>
        </w:tc>
        <w:tc>
          <w:tcPr>
            <w:tcW w:w="2268" w:type="dxa"/>
            <w:shd w:val="clear" w:color="auto" w:fill="D6E3BC" w:themeFill="accent3" w:themeFillTint="66"/>
          </w:tcPr>
          <w:p w14:paraId="415DEAB0" w14:textId="3CF77412"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11.77</w:t>
            </w:r>
          </w:p>
        </w:tc>
        <w:tc>
          <w:tcPr>
            <w:tcW w:w="2126" w:type="dxa"/>
            <w:shd w:val="clear" w:color="auto" w:fill="D6E3BC" w:themeFill="accent3" w:themeFillTint="66"/>
          </w:tcPr>
          <w:p w14:paraId="5B9DA8A4" w14:textId="3743DC0F"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392.10</w:t>
            </w:r>
          </w:p>
        </w:tc>
        <w:tc>
          <w:tcPr>
            <w:tcW w:w="1985" w:type="dxa"/>
            <w:shd w:val="clear" w:color="auto" w:fill="D6E3BC" w:themeFill="accent3" w:themeFillTint="66"/>
          </w:tcPr>
          <w:p w14:paraId="4A5B8BF8" w14:textId="3E4739C9" w:rsidR="00F2643A" w:rsidRPr="00510341" w:rsidRDefault="00F2643A" w:rsidP="008E7BE3">
            <w:pPr>
              <w:pStyle w:val="TableParagraph"/>
              <w:spacing w:before="12"/>
              <w:ind w:left="-2"/>
              <w:rPr>
                <w:rFonts w:ascii="Arial" w:hAnsi="Arial" w:cs="Arial"/>
                <w:sz w:val="18"/>
                <w:szCs w:val="18"/>
              </w:rPr>
            </w:pPr>
            <w:r w:rsidRPr="00510341">
              <w:rPr>
                <w:rFonts w:ascii="Arial" w:hAnsi="Arial" w:cs="Arial"/>
                <w:sz w:val="18"/>
                <w:szCs w:val="18"/>
              </w:rPr>
              <w:t>17.67%</w:t>
            </w:r>
          </w:p>
        </w:tc>
      </w:tr>
      <w:tr w:rsidR="00510341" w:rsidRPr="00510341" w14:paraId="469B2630" w14:textId="77777777" w:rsidTr="00510341">
        <w:trPr>
          <w:trHeight w:val="250"/>
        </w:trPr>
        <w:tc>
          <w:tcPr>
            <w:tcW w:w="709" w:type="dxa"/>
          </w:tcPr>
          <w:p w14:paraId="17F33DFA" w14:textId="756D3258" w:rsidR="005D5CDE" w:rsidRPr="00510341" w:rsidRDefault="005D5CDE" w:rsidP="005D5CDE">
            <w:pPr>
              <w:pStyle w:val="TableParagraph"/>
              <w:spacing w:before="19"/>
              <w:ind w:left="0"/>
              <w:rPr>
                <w:rFonts w:ascii="Arial" w:hAnsi="Arial" w:cs="Arial"/>
                <w:sz w:val="18"/>
                <w:szCs w:val="18"/>
              </w:rPr>
            </w:pPr>
            <w:r w:rsidRPr="00510341">
              <w:rPr>
                <w:rFonts w:ascii="Arial" w:hAnsi="Arial" w:cs="Arial"/>
                <w:sz w:val="18"/>
                <w:szCs w:val="18"/>
              </w:rPr>
              <w:t>10</w:t>
            </w:r>
          </w:p>
        </w:tc>
        <w:tc>
          <w:tcPr>
            <w:tcW w:w="1843" w:type="dxa"/>
          </w:tcPr>
          <w:p w14:paraId="699D6BB8" w14:textId="793158D2" w:rsidR="005D5CDE" w:rsidRPr="00510341" w:rsidRDefault="005D5CDE" w:rsidP="005D5CDE">
            <w:pPr>
              <w:pStyle w:val="TableParagraph"/>
              <w:spacing w:before="19"/>
              <w:ind w:left="0"/>
              <w:rPr>
                <w:rFonts w:ascii="Arial" w:hAnsi="Arial" w:cs="Arial"/>
                <w:sz w:val="18"/>
                <w:szCs w:val="18"/>
              </w:rPr>
            </w:pPr>
            <w:r w:rsidRPr="00510341">
              <w:rPr>
                <w:rFonts w:ascii="Arial" w:hAnsi="Arial" w:cs="Arial"/>
                <w:sz w:val="18"/>
                <w:szCs w:val="18"/>
              </w:rPr>
              <w:t>Starch drying 2</w:t>
            </w:r>
          </w:p>
        </w:tc>
        <w:tc>
          <w:tcPr>
            <w:tcW w:w="2268" w:type="dxa"/>
          </w:tcPr>
          <w:p w14:paraId="0B1F7ECB" w14:textId="75295E0E" w:rsidR="005D5CDE" w:rsidRPr="00510341" w:rsidRDefault="005D5CDE" w:rsidP="005D5CDE">
            <w:pPr>
              <w:pStyle w:val="TableParagraph"/>
              <w:spacing w:before="19"/>
              <w:ind w:left="-2"/>
              <w:rPr>
                <w:rFonts w:ascii="Arial" w:hAnsi="Arial" w:cs="Arial"/>
                <w:sz w:val="18"/>
                <w:szCs w:val="18"/>
              </w:rPr>
            </w:pPr>
            <w:r w:rsidRPr="00510341">
              <w:rPr>
                <w:rFonts w:ascii="Arial" w:hAnsi="Arial" w:cs="Arial"/>
                <w:sz w:val="18"/>
                <w:szCs w:val="18"/>
              </w:rPr>
              <w:t>13.57</w:t>
            </w:r>
          </w:p>
        </w:tc>
        <w:tc>
          <w:tcPr>
            <w:tcW w:w="2126" w:type="dxa"/>
          </w:tcPr>
          <w:p w14:paraId="7838E7E6" w14:textId="4F0A4355" w:rsidR="005D5CDE" w:rsidRPr="00510341" w:rsidRDefault="005D5CDE" w:rsidP="005D5CDE">
            <w:pPr>
              <w:pStyle w:val="TableParagraph"/>
              <w:spacing w:before="19"/>
              <w:ind w:left="-2"/>
              <w:rPr>
                <w:rFonts w:ascii="Arial" w:hAnsi="Arial" w:cs="Arial"/>
                <w:sz w:val="18"/>
                <w:szCs w:val="18"/>
              </w:rPr>
            </w:pPr>
            <w:r w:rsidRPr="00510341">
              <w:rPr>
                <w:rFonts w:ascii="Arial" w:hAnsi="Arial" w:cs="Arial"/>
                <w:sz w:val="18"/>
                <w:szCs w:val="18"/>
              </w:rPr>
              <w:t>393.42</w:t>
            </w:r>
          </w:p>
        </w:tc>
        <w:tc>
          <w:tcPr>
            <w:tcW w:w="1985" w:type="dxa"/>
          </w:tcPr>
          <w:p w14:paraId="3A255E30" w14:textId="57C604A5" w:rsidR="005D5CDE" w:rsidRPr="00510341" w:rsidRDefault="005D5CDE" w:rsidP="005D5CDE">
            <w:pPr>
              <w:pStyle w:val="TableParagraph"/>
              <w:spacing w:before="19"/>
              <w:ind w:left="-2"/>
              <w:rPr>
                <w:rFonts w:ascii="Arial" w:hAnsi="Arial" w:cs="Arial"/>
                <w:sz w:val="18"/>
                <w:szCs w:val="18"/>
              </w:rPr>
            </w:pPr>
            <w:r w:rsidRPr="00510341">
              <w:rPr>
                <w:rFonts w:ascii="Arial" w:hAnsi="Arial" w:cs="Arial"/>
                <w:sz w:val="18"/>
                <w:szCs w:val="18"/>
              </w:rPr>
              <w:t>8.80%</w:t>
            </w:r>
          </w:p>
        </w:tc>
      </w:tr>
      <w:tr w:rsidR="00510341" w:rsidRPr="00510341" w14:paraId="2EEB5131" w14:textId="77777777" w:rsidTr="00510341">
        <w:trPr>
          <w:trHeight w:val="249"/>
        </w:trPr>
        <w:tc>
          <w:tcPr>
            <w:tcW w:w="709" w:type="dxa"/>
            <w:shd w:val="clear" w:color="auto" w:fill="D6E3BC" w:themeFill="accent3" w:themeFillTint="66"/>
          </w:tcPr>
          <w:p w14:paraId="4914D59B" w14:textId="62AD15F1"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11</w:t>
            </w:r>
          </w:p>
        </w:tc>
        <w:tc>
          <w:tcPr>
            <w:tcW w:w="1843" w:type="dxa"/>
            <w:shd w:val="clear" w:color="auto" w:fill="D6E3BC" w:themeFill="accent3" w:themeFillTint="66"/>
          </w:tcPr>
          <w:p w14:paraId="3F5370CD" w14:textId="252F9CE3"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Gelatinization</w:t>
            </w:r>
          </w:p>
        </w:tc>
        <w:tc>
          <w:tcPr>
            <w:tcW w:w="2268" w:type="dxa"/>
            <w:shd w:val="clear" w:color="auto" w:fill="D6E3BC" w:themeFill="accent3" w:themeFillTint="66"/>
          </w:tcPr>
          <w:p w14:paraId="5F6CBE1E" w14:textId="2EA27E3E"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0.00</w:t>
            </w:r>
          </w:p>
        </w:tc>
        <w:tc>
          <w:tcPr>
            <w:tcW w:w="2126" w:type="dxa"/>
            <w:shd w:val="clear" w:color="auto" w:fill="D6E3BC" w:themeFill="accent3" w:themeFillTint="66"/>
          </w:tcPr>
          <w:p w14:paraId="553E980D" w14:textId="2AD1D8D5"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3.07</w:t>
            </w:r>
          </w:p>
        </w:tc>
        <w:tc>
          <w:tcPr>
            <w:tcW w:w="1985" w:type="dxa"/>
            <w:shd w:val="clear" w:color="auto" w:fill="D6E3BC" w:themeFill="accent3" w:themeFillTint="66"/>
          </w:tcPr>
          <w:p w14:paraId="5D5C09A8" w14:textId="4F7821B8"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95.92%</w:t>
            </w:r>
          </w:p>
        </w:tc>
      </w:tr>
      <w:tr w:rsidR="00510341" w:rsidRPr="00510341" w14:paraId="1E5835C1" w14:textId="77777777" w:rsidTr="00510341">
        <w:trPr>
          <w:trHeight w:val="249"/>
        </w:trPr>
        <w:tc>
          <w:tcPr>
            <w:tcW w:w="709" w:type="dxa"/>
          </w:tcPr>
          <w:p w14:paraId="14969281" w14:textId="4EB26E7A"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12</w:t>
            </w:r>
          </w:p>
        </w:tc>
        <w:tc>
          <w:tcPr>
            <w:tcW w:w="1843" w:type="dxa"/>
          </w:tcPr>
          <w:p w14:paraId="6F7F2033" w14:textId="2E4527F8"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Biofilm drying</w:t>
            </w:r>
          </w:p>
        </w:tc>
        <w:tc>
          <w:tcPr>
            <w:tcW w:w="2268" w:type="dxa"/>
          </w:tcPr>
          <w:p w14:paraId="7BF935A3" w14:textId="2E1B3348"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6.52</w:t>
            </w:r>
          </w:p>
        </w:tc>
        <w:tc>
          <w:tcPr>
            <w:tcW w:w="2126" w:type="dxa"/>
          </w:tcPr>
          <w:p w14:paraId="43EFB408" w14:textId="648B10FE"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352.14</w:t>
            </w:r>
          </w:p>
        </w:tc>
        <w:tc>
          <w:tcPr>
            <w:tcW w:w="1985" w:type="dxa"/>
          </w:tcPr>
          <w:p w14:paraId="5DDA64C1" w14:textId="4617D72F"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3.45%</w:t>
            </w:r>
          </w:p>
        </w:tc>
      </w:tr>
      <w:tr w:rsidR="00510341" w:rsidRPr="00510341" w14:paraId="025A4A62" w14:textId="77777777" w:rsidTr="00510341">
        <w:trPr>
          <w:trHeight w:val="249"/>
        </w:trPr>
        <w:tc>
          <w:tcPr>
            <w:tcW w:w="709" w:type="dxa"/>
            <w:shd w:val="clear" w:color="auto" w:fill="D6E3BC" w:themeFill="accent3" w:themeFillTint="66"/>
          </w:tcPr>
          <w:p w14:paraId="3912E755" w14:textId="1BA70A08"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13</w:t>
            </w:r>
          </w:p>
        </w:tc>
        <w:tc>
          <w:tcPr>
            <w:tcW w:w="1843" w:type="dxa"/>
            <w:shd w:val="clear" w:color="auto" w:fill="D6E3BC" w:themeFill="accent3" w:themeFillTint="66"/>
          </w:tcPr>
          <w:p w14:paraId="254186E4" w14:textId="72389438"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 xml:space="preserve">Hydrolysis </w:t>
            </w:r>
          </w:p>
        </w:tc>
        <w:tc>
          <w:tcPr>
            <w:tcW w:w="2268" w:type="dxa"/>
            <w:shd w:val="clear" w:color="auto" w:fill="D6E3BC" w:themeFill="accent3" w:themeFillTint="66"/>
          </w:tcPr>
          <w:p w14:paraId="6289DDCF" w14:textId="7F9B14D6"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0.00</w:t>
            </w:r>
          </w:p>
        </w:tc>
        <w:tc>
          <w:tcPr>
            <w:tcW w:w="2126" w:type="dxa"/>
            <w:shd w:val="clear" w:color="auto" w:fill="D6E3BC" w:themeFill="accent3" w:themeFillTint="66"/>
          </w:tcPr>
          <w:p w14:paraId="0C4AC8CD" w14:textId="7B7B568A"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0.00</w:t>
            </w:r>
          </w:p>
        </w:tc>
        <w:tc>
          <w:tcPr>
            <w:tcW w:w="1985" w:type="dxa"/>
            <w:shd w:val="clear" w:color="auto" w:fill="D6E3BC" w:themeFill="accent3" w:themeFillTint="66"/>
          </w:tcPr>
          <w:p w14:paraId="2C062230" w14:textId="45B3F5A0"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100.00%</w:t>
            </w:r>
          </w:p>
        </w:tc>
      </w:tr>
      <w:tr w:rsidR="00510341" w:rsidRPr="00510341" w14:paraId="653E52FA" w14:textId="77777777" w:rsidTr="00510341">
        <w:trPr>
          <w:trHeight w:val="249"/>
        </w:trPr>
        <w:tc>
          <w:tcPr>
            <w:tcW w:w="709" w:type="dxa"/>
          </w:tcPr>
          <w:p w14:paraId="5CE434E4" w14:textId="23E2E0F4" w:rsidR="005D5CDE" w:rsidRPr="00510341" w:rsidRDefault="005D5CDE" w:rsidP="005D5CDE">
            <w:pPr>
              <w:pStyle w:val="TableParagraph"/>
              <w:ind w:left="0"/>
              <w:rPr>
                <w:rFonts w:ascii="Arial" w:hAnsi="Arial" w:cs="Arial"/>
                <w:sz w:val="18"/>
                <w:szCs w:val="18"/>
              </w:rPr>
            </w:pPr>
            <w:r w:rsidRPr="00510341">
              <w:rPr>
                <w:rFonts w:ascii="Arial" w:hAnsi="Arial" w:cs="Arial"/>
                <w:sz w:val="18"/>
                <w:szCs w:val="18"/>
              </w:rPr>
              <w:t>14</w:t>
            </w:r>
          </w:p>
        </w:tc>
        <w:tc>
          <w:tcPr>
            <w:tcW w:w="1843" w:type="dxa"/>
          </w:tcPr>
          <w:p w14:paraId="39CDFDE0" w14:textId="51DCC4B6" w:rsidR="005D5CDE" w:rsidRPr="00510341" w:rsidRDefault="005D5CDE" w:rsidP="005D5CDE">
            <w:pPr>
              <w:pStyle w:val="TableParagraph"/>
              <w:ind w:left="0"/>
              <w:rPr>
                <w:rFonts w:ascii="Arial" w:hAnsi="Arial" w:cs="Arial"/>
                <w:sz w:val="18"/>
                <w:szCs w:val="18"/>
              </w:rPr>
            </w:pPr>
            <w:r w:rsidRPr="00510341">
              <w:rPr>
                <w:rFonts w:ascii="Arial" w:hAnsi="Arial" w:cs="Arial"/>
                <w:sz w:val="18"/>
                <w:szCs w:val="18"/>
              </w:rPr>
              <w:t>Fermentation</w:t>
            </w:r>
          </w:p>
        </w:tc>
        <w:tc>
          <w:tcPr>
            <w:tcW w:w="2268" w:type="dxa"/>
          </w:tcPr>
          <w:p w14:paraId="073AB0E7" w14:textId="1D734C51"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0.00</w:t>
            </w:r>
          </w:p>
        </w:tc>
        <w:tc>
          <w:tcPr>
            <w:tcW w:w="2126" w:type="dxa"/>
          </w:tcPr>
          <w:p w14:paraId="1725017E" w14:textId="6B437CDD"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328.31</w:t>
            </w:r>
          </w:p>
        </w:tc>
        <w:tc>
          <w:tcPr>
            <w:tcW w:w="1985" w:type="dxa"/>
          </w:tcPr>
          <w:p w14:paraId="01B704C3" w14:textId="171A2864" w:rsidR="005D5CDE" w:rsidRPr="00510341" w:rsidRDefault="005D5CDE" w:rsidP="005D5CDE">
            <w:pPr>
              <w:pStyle w:val="TableParagraph"/>
              <w:ind w:left="-2"/>
              <w:rPr>
                <w:rFonts w:ascii="Arial" w:hAnsi="Arial" w:cs="Arial"/>
                <w:sz w:val="18"/>
                <w:szCs w:val="18"/>
              </w:rPr>
            </w:pPr>
            <w:r w:rsidRPr="00510341">
              <w:rPr>
                <w:rFonts w:ascii="Arial" w:hAnsi="Arial" w:cs="Arial"/>
                <w:sz w:val="18"/>
                <w:szCs w:val="18"/>
              </w:rPr>
              <w:t>38.20%</w:t>
            </w:r>
          </w:p>
        </w:tc>
      </w:tr>
      <w:tr w:rsidR="00510341" w:rsidRPr="00510341" w14:paraId="31B5EAF2" w14:textId="77777777" w:rsidTr="00510341">
        <w:trPr>
          <w:trHeight w:val="251"/>
        </w:trPr>
        <w:tc>
          <w:tcPr>
            <w:tcW w:w="709" w:type="dxa"/>
            <w:shd w:val="clear" w:color="auto" w:fill="D6E3BC" w:themeFill="accent3" w:themeFillTint="66"/>
          </w:tcPr>
          <w:p w14:paraId="23022C1F" w14:textId="618C52C7"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15</w:t>
            </w:r>
          </w:p>
        </w:tc>
        <w:tc>
          <w:tcPr>
            <w:tcW w:w="1843" w:type="dxa"/>
            <w:shd w:val="clear" w:color="auto" w:fill="D6E3BC" w:themeFill="accent3" w:themeFillTint="66"/>
          </w:tcPr>
          <w:p w14:paraId="25636FF0" w14:textId="5F507CF3" w:rsidR="005D5CDE" w:rsidRPr="00510341" w:rsidRDefault="005D5CDE" w:rsidP="005D5CDE">
            <w:pPr>
              <w:pStyle w:val="TableParagraph"/>
              <w:ind w:left="14"/>
              <w:rPr>
                <w:rFonts w:ascii="Arial" w:hAnsi="Arial" w:cs="Arial"/>
                <w:sz w:val="18"/>
                <w:szCs w:val="18"/>
              </w:rPr>
            </w:pPr>
            <w:r w:rsidRPr="00510341">
              <w:rPr>
                <w:rFonts w:ascii="Arial" w:hAnsi="Arial" w:cs="Arial"/>
                <w:sz w:val="18"/>
                <w:szCs w:val="18"/>
              </w:rPr>
              <w:t>Purification</w:t>
            </w:r>
          </w:p>
        </w:tc>
        <w:tc>
          <w:tcPr>
            <w:tcW w:w="2268" w:type="dxa"/>
            <w:shd w:val="clear" w:color="auto" w:fill="D6E3BC" w:themeFill="accent3" w:themeFillTint="66"/>
          </w:tcPr>
          <w:p w14:paraId="525F30F9" w14:textId="2DD65C42"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89.79</w:t>
            </w:r>
          </w:p>
        </w:tc>
        <w:tc>
          <w:tcPr>
            <w:tcW w:w="2126" w:type="dxa"/>
            <w:shd w:val="clear" w:color="auto" w:fill="D6E3BC" w:themeFill="accent3" w:themeFillTint="66"/>
          </w:tcPr>
          <w:p w14:paraId="4E3CC494" w14:textId="139E0B9F"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195.93</w:t>
            </w:r>
          </w:p>
        </w:tc>
        <w:tc>
          <w:tcPr>
            <w:tcW w:w="1985" w:type="dxa"/>
            <w:shd w:val="clear" w:color="auto" w:fill="D6E3BC" w:themeFill="accent3" w:themeFillTint="66"/>
          </w:tcPr>
          <w:p w14:paraId="0C4E44E6" w14:textId="31309CB8" w:rsidR="005D5CDE" w:rsidRPr="00510341" w:rsidRDefault="005D5CDE" w:rsidP="005D5CDE">
            <w:pPr>
              <w:pStyle w:val="TableParagraph"/>
              <w:ind w:left="-2"/>
              <w:rPr>
                <w:rFonts w:ascii="Arial" w:hAnsi="Arial" w:cs="Arial"/>
                <w:sz w:val="18"/>
                <w:szCs w:val="18"/>
              </w:rPr>
            </w:pPr>
            <w:r w:rsidRPr="00510341">
              <w:rPr>
                <w:rFonts w:ascii="Arial" w:hAnsi="Arial" w:cs="Arial"/>
                <w:spacing w:val="-2"/>
                <w:sz w:val="18"/>
                <w:szCs w:val="18"/>
              </w:rPr>
              <w:t>40.46%</w:t>
            </w:r>
          </w:p>
        </w:tc>
      </w:tr>
      <w:tr w:rsidR="00510341" w:rsidRPr="00510341" w14:paraId="7CD7A895" w14:textId="77777777" w:rsidTr="00510341">
        <w:trPr>
          <w:trHeight w:val="269"/>
        </w:trPr>
        <w:tc>
          <w:tcPr>
            <w:tcW w:w="709" w:type="dxa"/>
          </w:tcPr>
          <w:p w14:paraId="2B031304" w14:textId="30F8FD09"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16</w:t>
            </w:r>
          </w:p>
        </w:tc>
        <w:tc>
          <w:tcPr>
            <w:tcW w:w="1843" w:type="dxa"/>
          </w:tcPr>
          <w:p w14:paraId="2FFD56C6" w14:textId="5B1012F7"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Mixing 1</w:t>
            </w:r>
          </w:p>
        </w:tc>
        <w:tc>
          <w:tcPr>
            <w:tcW w:w="2268" w:type="dxa"/>
          </w:tcPr>
          <w:p w14:paraId="35913B0D" w14:textId="12B47FA0"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2126" w:type="dxa"/>
          </w:tcPr>
          <w:p w14:paraId="25715FE7" w14:textId="3190D433" w:rsidR="005D5CDE" w:rsidRPr="00510341" w:rsidRDefault="005D5CDE" w:rsidP="005D5CDE">
            <w:pPr>
              <w:pStyle w:val="TableParagraph"/>
              <w:spacing w:before="19"/>
              <w:ind w:left="-2"/>
              <w:rPr>
                <w:rFonts w:ascii="Arial" w:hAnsi="Arial" w:cs="Arial"/>
                <w:sz w:val="18"/>
                <w:szCs w:val="18"/>
              </w:rPr>
            </w:pPr>
            <w:r w:rsidRPr="00510341">
              <w:rPr>
                <w:rFonts w:ascii="Arial" w:hAnsi="Arial" w:cs="Arial"/>
                <w:spacing w:val="-2"/>
                <w:sz w:val="18"/>
                <w:szCs w:val="18"/>
              </w:rPr>
              <w:t>0.25</w:t>
            </w:r>
          </w:p>
        </w:tc>
        <w:tc>
          <w:tcPr>
            <w:tcW w:w="1985" w:type="dxa"/>
          </w:tcPr>
          <w:p w14:paraId="0978DD8A" w14:textId="1C296F69" w:rsidR="005D5CDE" w:rsidRPr="00510341" w:rsidRDefault="005D5CDE" w:rsidP="005D5CDE">
            <w:pPr>
              <w:pStyle w:val="TableParagraph"/>
              <w:spacing w:before="19"/>
              <w:ind w:left="-2"/>
              <w:rPr>
                <w:rFonts w:ascii="Arial" w:hAnsi="Arial" w:cs="Arial"/>
                <w:sz w:val="18"/>
                <w:szCs w:val="18"/>
              </w:rPr>
            </w:pPr>
            <w:r w:rsidRPr="00510341">
              <w:rPr>
                <w:rFonts w:ascii="Arial" w:hAnsi="Arial" w:cs="Arial"/>
                <w:spacing w:val="-2"/>
                <w:sz w:val="18"/>
                <w:szCs w:val="18"/>
              </w:rPr>
              <w:t>99.64%</w:t>
            </w:r>
          </w:p>
        </w:tc>
      </w:tr>
      <w:tr w:rsidR="00510341" w:rsidRPr="00510341" w14:paraId="194A54E2" w14:textId="77777777" w:rsidTr="00510341">
        <w:trPr>
          <w:trHeight w:val="269"/>
        </w:trPr>
        <w:tc>
          <w:tcPr>
            <w:tcW w:w="709" w:type="dxa"/>
            <w:shd w:val="clear" w:color="auto" w:fill="D6E3BC" w:themeFill="accent3" w:themeFillTint="66"/>
          </w:tcPr>
          <w:p w14:paraId="786B57D5" w14:textId="7CA3E289"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17</w:t>
            </w:r>
          </w:p>
        </w:tc>
        <w:tc>
          <w:tcPr>
            <w:tcW w:w="1843" w:type="dxa"/>
            <w:shd w:val="clear" w:color="auto" w:fill="D6E3BC" w:themeFill="accent3" w:themeFillTint="66"/>
          </w:tcPr>
          <w:p w14:paraId="49158263" w14:textId="3636A857"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Pre-polymerization</w:t>
            </w:r>
          </w:p>
        </w:tc>
        <w:tc>
          <w:tcPr>
            <w:tcW w:w="2268" w:type="dxa"/>
            <w:shd w:val="clear" w:color="auto" w:fill="D6E3BC" w:themeFill="accent3" w:themeFillTint="66"/>
          </w:tcPr>
          <w:p w14:paraId="6FD0C46E" w14:textId="69E4F422"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2126" w:type="dxa"/>
            <w:shd w:val="clear" w:color="auto" w:fill="D6E3BC" w:themeFill="accent3" w:themeFillTint="66"/>
          </w:tcPr>
          <w:p w14:paraId="4EDDEEDB" w14:textId="0F76B716"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1985" w:type="dxa"/>
            <w:shd w:val="clear" w:color="auto" w:fill="D6E3BC" w:themeFill="accent3" w:themeFillTint="66"/>
          </w:tcPr>
          <w:p w14:paraId="3321230C" w14:textId="585A8EB3"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z w:val="18"/>
                <w:szCs w:val="18"/>
              </w:rPr>
              <w:t>100.00%</w:t>
            </w:r>
          </w:p>
        </w:tc>
      </w:tr>
      <w:tr w:rsidR="00510341" w:rsidRPr="00510341" w14:paraId="414F4115" w14:textId="77777777" w:rsidTr="00510341">
        <w:trPr>
          <w:trHeight w:val="269"/>
        </w:trPr>
        <w:tc>
          <w:tcPr>
            <w:tcW w:w="709" w:type="dxa"/>
          </w:tcPr>
          <w:p w14:paraId="53A72D8E" w14:textId="25213C59"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18</w:t>
            </w:r>
          </w:p>
        </w:tc>
        <w:tc>
          <w:tcPr>
            <w:tcW w:w="1843" w:type="dxa"/>
          </w:tcPr>
          <w:p w14:paraId="4F8B770D" w14:textId="0714FB93"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Flash separation 1</w:t>
            </w:r>
          </w:p>
        </w:tc>
        <w:tc>
          <w:tcPr>
            <w:tcW w:w="2268" w:type="dxa"/>
          </w:tcPr>
          <w:p w14:paraId="786DFF70" w14:textId="4B03F6B1"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0.08</w:t>
            </w:r>
          </w:p>
        </w:tc>
        <w:tc>
          <w:tcPr>
            <w:tcW w:w="2126" w:type="dxa"/>
          </w:tcPr>
          <w:p w14:paraId="59AC8860" w14:textId="721BB84B"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22.41</w:t>
            </w:r>
          </w:p>
        </w:tc>
        <w:tc>
          <w:tcPr>
            <w:tcW w:w="1985" w:type="dxa"/>
          </w:tcPr>
          <w:p w14:paraId="4AF8AE9B" w14:textId="2C7A06D7"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76.43%</w:t>
            </w:r>
          </w:p>
        </w:tc>
      </w:tr>
      <w:tr w:rsidR="00510341" w:rsidRPr="00510341" w14:paraId="19BF5345" w14:textId="77777777" w:rsidTr="00510341">
        <w:trPr>
          <w:trHeight w:val="269"/>
        </w:trPr>
        <w:tc>
          <w:tcPr>
            <w:tcW w:w="709" w:type="dxa"/>
            <w:shd w:val="clear" w:color="auto" w:fill="D6E3BC" w:themeFill="accent3" w:themeFillTint="66"/>
          </w:tcPr>
          <w:p w14:paraId="18809521" w14:textId="606527AB"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19</w:t>
            </w:r>
          </w:p>
        </w:tc>
        <w:tc>
          <w:tcPr>
            <w:tcW w:w="1843" w:type="dxa"/>
            <w:shd w:val="clear" w:color="auto" w:fill="D6E3BC" w:themeFill="accent3" w:themeFillTint="66"/>
          </w:tcPr>
          <w:p w14:paraId="17E5C5F1" w14:textId="23AFA27D"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Flash separation 2</w:t>
            </w:r>
          </w:p>
        </w:tc>
        <w:tc>
          <w:tcPr>
            <w:tcW w:w="2268" w:type="dxa"/>
            <w:shd w:val="clear" w:color="auto" w:fill="D6E3BC" w:themeFill="accent3" w:themeFillTint="66"/>
          </w:tcPr>
          <w:p w14:paraId="65AFB73B" w14:textId="23F9674F"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0.66</w:t>
            </w:r>
          </w:p>
        </w:tc>
        <w:tc>
          <w:tcPr>
            <w:tcW w:w="2126" w:type="dxa"/>
            <w:shd w:val="clear" w:color="auto" w:fill="D6E3BC" w:themeFill="accent3" w:themeFillTint="66"/>
          </w:tcPr>
          <w:p w14:paraId="1E9F5613" w14:textId="31FD09A2"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20.82</w:t>
            </w:r>
          </w:p>
        </w:tc>
        <w:tc>
          <w:tcPr>
            <w:tcW w:w="1985" w:type="dxa"/>
            <w:shd w:val="clear" w:color="auto" w:fill="D6E3BC" w:themeFill="accent3" w:themeFillTint="66"/>
          </w:tcPr>
          <w:p w14:paraId="61B5E281" w14:textId="53674DB6"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0.06%</w:t>
            </w:r>
          </w:p>
        </w:tc>
      </w:tr>
      <w:tr w:rsidR="00510341" w:rsidRPr="00510341" w14:paraId="1A85379B" w14:textId="77777777" w:rsidTr="00510341">
        <w:trPr>
          <w:trHeight w:val="269"/>
        </w:trPr>
        <w:tc>
          <w:tcPr>
            <w:tcW w:w="709" w:type="dxa"/>
          </w:tcPr>
          <w:p w14:paraId="5BEA40D3" w14:textId="3D1D325B"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20</w:t>
            </w:r>
          </w:p>
        </w:tc>
        <w:tc>
          <w:tcPr>
            <w:tcW w:w="1843" w:type="dxa"/>
          </w:tcPr>
          <w:p w14:paraId="44C5D8C9" w14:textId="2421B4D6"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 xml:space="preserve">Distillation </w:t>
            </w:r>
          </w:p>
        </w:tc>
        <w:tc>
          <w:tcPr>
            <w:tcW w:w="2268" w:type="dxa"/>
          </w:tcPr>
          <w:p w14:paraId="46DCCDBF" w14:textId="3C233F2C"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2126" w:type="dxa"/>
          </w:tcPr>
          <w:p w14:paraId="12D5B4AF" w14:textId="2F3B5520"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19.20</w:t>
            </w:r>
          </w:p>
        </w:tc>
        <w:tc>
          <w:tcPr>
            <w:tcW w:w="1985" w:type="dxa"/>
          </w:tcPr>
          <w:p w14:paraId="2B814D74" w14:textId="123D73CF"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79.20%</w:t>
            </w:r>
          </w:p>
        </w:tc>
      </w:tr>
      <w:tr w:rsidR="00510341" w:rsidRPr="00510341" w14:paraId="5F90E275" w14:textId="77777777" w:rsidTr="00510341">
        <w:trPr>
          <w:trHeight w:val="269"/>
        </w:trPr>
        <w:tc>
          <w:tcPr>
            <w:tcW w:w="709" w:type="dxa"/>
            <w:shd w:val="clear" w:color="auto" w:fill="D6E3BC" w:themeFill="accent3" w:themeFillTint="66"/>
          </w:tcPr>
          <w:p w14:paraId="03B2EE55" w14:textId="5A90951A"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21</w:t>
            </w:r>
          </w:p>
        </w:tc>
        <w:tc>
          <w:tcPr>
            <w:tcW w:w="1843" w:type="dxa"/>
            <w:shd w:val="clear" w:color="auto" w:fill="D6E3BC" w:themeFill="accent3" w:themeFillTint="66"/>
          </w:tcPr>
          <w:p w14:paraId="026DEF20" w14:textId="77B4FC87"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Polymerization</w:t>
            </w:r>
          </w:p>
        </w:tc>
        <w:tc>
          <w:tcPr>
            <w:tcW w:w="2268" w:type="dxa"/>
            <w:shd w:val="clear" w:color="auto" w:fill="D6E3BC" w:themeFill="accent3" w:themeFillTint="66"/>
          </w:tcPr>
          <w:p w14:paraId="388AE6FF" w14:textId="7548D16F"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2126" w:type="dxa"/>
            <w:shd w:val="clear" w:color="auto" w:fill="D6E3BC" w:themeFill="accent3" w:themeFillTint="66"/>
          </w:tcPr>
          <w:p w14:paraId="6C42FE88" w14:textId="05977C0D"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6.32</w:t>
            </w:r>
          </w:p>
        </w:tc>
        <w:tc>
          <w:tcPr>
            <w:tcW w:w="1985" w:type="dxa"/>
            <w:shd w:val="clear" w:color="auto" w:fill="D6E3BC" w:themeFill="accent3" w:themeFillTint="66"/>
          </w:tcPr>
          <w:p w14:paraId="612B921A" w14:textId="1F7EA16B"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91.28%</w:t>
            </w:r>
          </w:p>
        </w:tc>
      </w:tr>
      <w:tr w:rsidR="00510341" w:rsidRPr="00510341" w14:paraId="6EAE1424" w14:textId="77777777" w:rsidTr="00510341">
        <w:trPr>
          <w:trHeight w:val="269"/>
        </w:trPr>
        <w:tc>
          <w:tcPr>
            <w:tcW w:w="709" w:type="dxa"/>
            <w:tcBorders>
              <w:bottom w:val="single" w:sz="12" w:space="0" w:color="4F6228"/>
            </w:tcBorders>
          </w:tcPr>
          <w:p w14:paraId="544C9BBD" w14:textId="58033D2B"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22</w:t>
            </w:r>
          </w:p>
        </w:tc>
        <w:tc>
          <w:tcPr>
            <w:tcW w:w="1843" w:type="dxa"/>
            <w:tcBorders>
              <w:bottom w:val="single" w:sz="12" w:space="0" w:color="4F6228"/>
            </w:tcBorders>
          </w:tcPr>
          <w:p w14:paraId="19FF7775" w14:textId="0F4E7669" w:rsidR="005D5CDE" w:rsidRPr="00510341" w:rsidRDefault="005D5CDE" w:rsidP="005D5CDE">
            <w:pPr>
              <w:pStyle w:val="TableParagraph"/>
              <w:spacing w:before="19"/>
              <w:ind w:left="14"/>
              <w:rPr>
                <w:rFonts w:ascii="Arial" w:hAnsi="Arial" w:cs="Arial"/>
                <w:sz w:val="18"/>
                <w:szCs w:val="18"/>
              </w:rPr>
            </w:pPr>
            <w:r w:rsidRPr="00510341">
              <w:rPr>
                <w:rFonts w:ascii="Arial" w:hAnsi="Arial" w:cs="Arial"/>
                <w:sz w:val="18"/>
                <w:szCs w:val="18"/>
              </w:rPr>
              <w:t>Mixing 2</w:t>
            </w:r>
          </w:p>
        </w:tc>
        <w:tc>
          <w:tcPr>
            <w:tcW w:w="2268" w:type="dxa"/>
            <w:tcBorders>
              <w:bottom w:val="single" w:sz="12" w:space="0" w:color="4F6228"/>
            </w:tcBorders>
          </w:tcPr>
          <w:p w14:paraId="1ABAAD93" w14:textId="5021612D"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0.00</w:t>
            </w:r>
          </w:p>
        </w:tc>
        <w:tc>
          <w:tcPr>
            <w:tcW w:w="2126" w:type="dxa"/>
            <w:tcBorders>
              <w:bottom w:val="single" w:sz="12" w:space="0" w:color="4F6228"/>
            </w:tcBorders>
          </w:tcPr>
          <w:p w14:paraId="3F3FAE47" w14:textId="2B99DCAE"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0.04</w:t>
            </w:r>
          </w:p>
        </w:tc>
        <w:tc>
          <w:tcPr>
            <w:tcW w:w="1985" w:type="dxa"/>
            <w:tcBorders>
              <w:bottom w:val="single" w:sz="12" w:space="0" w:color="4F6228"/>
            </w:tcBorders>
          </w:tcPr>
          <w:p w14:paraId="090DBA3B" w14:textId="48B3D72D" w:rsidR="005D5CDE" w:rsidRPr="00510341" w:rsidRDefault="005D5CDE" w:rsidP="005D5CDE">
            <w:pPr>
              <w:pStyle w:val="TableParagraph"/>
              <w:spacing w:before="19"/>
              <w:ind w:left="-2"/>
              <w:rPr>
                <w:rFonts w:ascii="Arial" w:hAnsi="Arial" w:cs="Arial"/>
                <w:spacing w:val="-2"/>
                <w:sz w:val="18"/>
                <w:szCs w:val="18"/>
              </w:rPr>
            </w:pPr>
            <w:r w:rsidRPr="00510341">
              <w:rPr>
                <w:rFonts w:ascii="Arial" w:hAnsi="Arial" w:cs="Arial"/>
                <w:spacing w:val="-2"/>
                <w:sz w:val="18"/>
                <w:szCs w:val="18"/>
              </w:rPr>
              <w:t>99.94%</w:t>
            </w:r>
          </w:p>
        </w:tc>
      </w:tr>
    </w:tbl>
    <w:p w14:paraId="2FF0FC4E" w14:textId="77777777" w:rsidR="0063763B" w:rsidRPr="00510341" w:rsidRDefault="0063763B" w:rsidP="002614C4">
      <w:pPr>
        <w:pStyle w:val="CETBodytext"/>
        <w:rPr>
          <w:lang w:val="es-CO" w:eastAsia="es-CO"/>
        </w:rPr>
      </w:pPr>
    </w:p>
    <w:p w14:paraId="592FFEBC" w14:textId="4361B37F" w:rsidR="00D8071B" w:rsidRPr="00510341" w:rsidRDefault="00051DAE">
      <w:pPr>
        <w:pBdr>
          <w:top w:val="nil"/>
          <w:left w:val="nil"/>
          <w:bottom w:val="nil"/>
          <w:right w:val="nil"/>
          <w:between w:val="nil"/>
        </w:pBdr>
        <w:rPr>
          <w:b/>
        </w:rPr>
      </w:pPr>
      <w:r w:rsidRPr="00510341">
        <w:rPr>
          <w:b/>
        </w:rPr>
        <w:t xml:space="preserve">3.1 </w:t>
      </w:r>
      <w:r w:rsidR="008E7BE3" w:rsidRPr="00510341">
        <w:rPr>
          <w:b/>
        </w:rPr>
        <w:t xml:space="preserve">Exergy </w:t>
      </w:r>
      <w:r w:rsidRPr="00510341">
        <w:rPr>
          <w:b/>
        </w:rPr>
        <w:t>S</w:t>
      </w:r>
      <w:r w:rsidR="002614C4" w:rsidRPr="00510341">
        <w:rPr>
          <w:b/>
        </w:rPr>
        <w:t>en</w:t>
      </w:r>
      <w:r w:rsidR="008E7BE3" w:rsidRPr="00510341">
        <w:rPr>
          <w:b/>
        </w:rPr>
        <w:t>sitivity</w:t>
      </w:r>
    </w:p>
    <w:p w14:paraId="1BB69371" w14:textId="54A08B2E" w:rsidR="002F50B2" w:rsidRPr="00510341" w:rsidRDefault="002F50B2" w:rsidP="002F50B2">
      <w:pPr>
        <w:pStyle w:val="CETBodytext"/>
        <w:rPr>
          <w:rStyle w:val="CETCaptionCarattere"/>
          <w:i w:val="0"/>
          <w:lang w:val="en-US"/>
        </w:rPr>
      </w:pPr>
      <w:bookmarkStart w:id="5" w:name="_Hlk224165205"/>
      <w:r w:rsidRPr="00510341">
        <w:rPr>
          <w:rStyle w:val="CETCaptionCarattere"/>
          <w:i w:val="0"/>
          <w:lang w:val="en-US"/>
        </w:rPr>
        <w:t>Figure 2 shows the influence of the process stages on the total irreversibilities and the overall exergetic efficiency of the cascade biorefinery. The bars represent the total irreversibilities, while the lines indicate the overall exergetic efficiency obtained for each evaluated stage.</w:t>
      </w:r>
      <w:r w:rsidR="00895F80" w:rsidRPr="00510341">
        <w:rPr>
          <w:rStyle w:val="CETCaptionCarattere"/>
          <w:i w:val="0"/>
          <w:lang w:val="en-US"/>
        </w:rPr>
        <w:t xml:space="preserve"> The stages considered correspond to those in which exergy from waste streams is generated. Irreversibilities show relatively small variations for stages 1, 2, 7, 8, 9, and 10, with values ranging between 5440 and 5449 MJ/h. A similar trend is observed for the overall exergetic efficiency, which fluctuates between 68.68–68.74%. These results indicate that the modifications applied to the selected stages produce limited changes in the thermodynamic performance of the system.</w:t>
      </w:r>
    </w:p>
    <w:p w14:paraId="5511C59C" w14:textId="25D6D986" w:rsidR="00AE103E" w:rsidRPr="00510341" w:rsidRDefault="00AE103E" w:rsidP="002F50B2">
      <w:pPr>
        <w:pStyle w:val="CETBodytext"/>
        <w:rPr>
          <w:rStyle w:val="CETCaptionCarattere"/>
          <w:i w:val="0"/>
          <w:lang w:val="en-US"/>
        </w:rPr>
      </w:pPr>
    </w:p>
    <w:p w14:paraId="417B4116" w14:textId="245CD2F5" w:rsidR="00D27906" w:rsidRPr="00510341" w:rsidRDefault="00AE103E" w:rsidP="00AE103E">
      <w:pPr>
        <w:pStyle w:val="CETBodytext"/>
      </w:pPr>
      <w:r w:rsidRPr="00510341">
        <w:rPr>
          <w:rStyle w:val="CETCaptionCarattere"/>
          <w:i w:val="0"/>
          <w:noProof/>
          <w:lang w:val="en-US"/>
        </w:rPr>
        <w:drawing>
          <wp:inline distT="0" distB="0" distL="0" distR="0" wp14:anchorId="04D7EC9E" wp14:editId="47998F2A">
            <wp:extent cx="2742565" cy="17526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80665" cy="1776947"/>
                    </a:xfrm>
                    <a:prstGeom prst="rect">
                      <a:avLst/>
                    </a:prstGeom>
                    <a:noFill/>
                  </pic:spPr>
                </pic:pic>
              </a:graphicData>
            </a:graphic>
          </wp:inline>
        </w:drawing>
      </w:r>
      <w:r w:rsidRPr="00510341">
        <w:rPr>
          <w:rStyle w:val="CETCaptionCarattere"/>
          <w:i w:val="0"/>
          <w:noProof/>
          <w:lang w:val="en-US"/>
        </w:rPr>
        <w:t xml:space="preserve"> </w:t>
      </w:r>
      <w:r w:rsidRPr="00510341">
        <w:rPr>
          <w:rStyle w:val="CETCaptionCarattere"/>
          <w:i w:val="0"/>
          <w:noProof/>
          <w:lang w:val="en-US"/>
        </w:rPr>
        <w:drawing>
          <wp:inline distT="0" distB="0" distL="0" distR="0" wp14:anchorId="274E9FED" wp14:editId="3B5718F5">
            <wp:extent cx="2748280" cy="1752286"/>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26443" cy="1802122"/>
                    </a:xfrm>
                    <a:prstGeom prst="rect">
                      <a:avLst/>
                    </a:prstGeom>
                    <a:noFill/>
                  </pic:spPr>
                </pic:pic>
              </a:graphicData>
            </a:graphic>
          </wp:inline>
        </w:drawing>
      </w:r>
      <w:bookmarkEnd w:id="5"/>
      <w:r w:rsidR="00E826C8" w:rsidRPr="00510341">
        <w:rPr>
          <w:b/>
          <w:noProof/>
        </w:rPr>
        <w:t xml:space="preserve"> </w:t>
      </w:r>
    </w:p>
    <w:p w14:paraId="5CE21B19" w14:textId="251AEBF3" w:rsidR="00D8071B" w:rsidRPr="00510341" w:rsidRDefault="00051DAE" w:rsidP="00D27906">
      <w:pPr>
        <w:pStyle w:val="CETCaption"/>
        <w:rPr>
          <w:rStyle w:val="CETCaptionCarattere"/>
          <w:i/>
          <w:lang w:val="en-US"/>
        </w:rPr>
      </w:pPr>
      <w:r w:rsidRPr="00510341">
        <w:rPr>
          <w:rStyle w:val="CETCaptionCarattere"/>
          <w:i/>
          <w:lang w:val="en-US"/>
        </w:rPr>
        <w:t xml:space="preserve">Figure 2: </w:t>
      </w:r>
      <w:r w:rsidR="00786D63" w:rsidRPr="00510341">
        <w:rPr>
          <w:rStyle w:val="CETCaptionCarattere"/>
          <w:i/>
          <w:lang w:val="en-US"/>
        </w:rPr>
        <w:t>Influence of the biorefinery stages on irreversibilities and overall exergetic efficiency</w:t>
      </w:r>
    </w:p>
    <w:p w14:paraId="3745EF29" w14:textId="7AD2965F" w:rsidR="00E1622E" w:rsidRPr="00510341" w:rsidRDefault="00E1622E" w:rsidP="00895F80">
      <w:pPr>
        <w:pStyle w:val="CETBodytext"/>
      </w:pPr>
      <w:r w:rsidRPr="00510341">
        <w:t>Stages 9 and 10, corresponding to starch drying steps 1 and 2, show a slight increase in overall exergetic efficiency, likely due to more efficient energy use within the biorefinery. In contrast, stages 12, 15, 18, and 19 exhibit more pronounced variations, with irreversibilities ranging from 5363 to 5453 MJ/h; stage 15 shows the largest reduction, contributing to the increase in overall efficiency. The near 70 % overall exergetic efficiency of the Hass avocado seed-based biorefinery, compared with 46.26 % reported for a whole avocado biorefinery (Herrera et al., 2025b), can be primarily attributed to the use of thermodynamically favorable processes, such as fermentation and polymerization, to produce starch and biofilms. In contrast, seed pyrolysis and oil extraction require high temperatures, resulting in greater exergy losses. These results highlight the competitiveness of the system relative to other biomass conversion processes, such as bioethanol production from macroalgae (15.3 %) (</w:t>
      </w:r>
      <w:proofErr w:type="spellStart"/>
      <w:r w:rsidRPr="00510341">
        <w:t>Loh</w:t>
      </w:r>
      <w:proofErr w:type="spellEnd"/>
      <w:r w:rsidRPr="00510341">
        <w:t xml:space="preserve"> et al., 2023) or lactic acid and electricity biorefineries (up to 22 %), where fermentation and purification stages have a significant influence on exergy destruction.</w:t>
      </w:r>
    </w:p>
    <w:p w14:paraId="44309189" w14:textId="77777777" w:rsidR="00895F80" w:rsidRPr="00510341" w:rsidRDefault="00895F80" w:rsidP="00933C8B">
      <w:pPr>
        <w:pStyle w:val="CETBodytext"/>
        <w:rPr>
          <w:rStyle w:val="CETCaptionCarattere"/>
          <w:i w:val="0"/>
          <w:lang w:val="en-US"/>
        </w:rPr>
      </w:pPr>
    </w:p>
    <w:p w14:paraId="74B0A9B1" w14:textId="00A3A87B" w:rsidR="009714B9" w:rsidRPr="00510341" w:rsidRDefault="00AE103E" w:rsidP="00AE103E">
      <w:pPr>
        <w:pStyle w:val="CETBodytext"/>
        <w:rPr>
          <w:noProof/>
          <w:lang w:val="en-GB"/>
        </w:rPr>
      </w:pPr>
      <w:r w:rsidRPr="00510341">
        <w:rPr>
          <w:rStyle w:val="CETCaptionCarattere"/>
          <w:i w:val="0"/>
          <w:noProof/>
          <w:lang w:val="en-US"/>
        </w:rPr>
        <w:lastRenderedPageBreak/>
        <w:drawing>
          <wp:inline distT="0" distB="0" distL="0" distR="0" wp14:anchorId="3894CBDF" wp14:editId="10541CD1">
            <wp:extent cx="2738125" cy="1918854"/>
            <wp:effectExtent l="0" t="0" r="508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80904" cy="1948833"/>
                    </a:xfrm>
                    <a:prstGeom prst="rect">
                      <a:avLst/>
                    </a:prstGeom>
                    <a:noFill/>
                  </pic:spPr>
                </pic:pic>
              </a:graphicData>
            </a:graphic>
          </wp:inline>
        </w:drawing>
      </w:r>
      <w:r w:rsidR="002804F6" w:rsidRPr="00510341">
        <w:rPr>
          <w:noProof/>
          <w:lang w:val="en-GB"/>
        </w:rPr>
        <w:t xml:space="preserve"> </w:t>
      </w:r>
      <w:r w:rsidR="002804F6" w:rsidRPr="00510341">
        <w:rPr>
          <w:noProof/>
          <w:lang w:val="en-GB"/>
        </w:rPr>
        <w:drawing>
          <wp:inline distT="0" distB="0" distL="0" distR="0" wp14:anchorId="3BA3DAA0" wp14:editId="12C19BED">
            <wp:extent cx="2752253" cy="1925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80735" cy="1945886"/>
                    </a:xfrm>
                    <a:prstGeom prst="rect">
                      <a:avLst/>
                    </a:prstGeom>
                    <a:noFill/>
                  </pic:spPr>
                </pic:pic>
              </a:graphicData>
            </a:graphic>
          </wp:inline>
        </w:drawing>
      </w:r>
    </w:p>
    <w:p w14:paraId="3A32DE1C" w14:textId="5178F756" w:rsidR="00ED563D" w:rsidRPr="00510341" w:rsidRDefault="00ED563D" w:rsidP="00930E79">
      <w:pPr>
        <w:pStyle w:val="CETCaption"/>
        <w:rPr>
          <w:rStyle w:val="CETCaptionCarattere"/>
          <w:i/>
          <w:lang w:val="en-US"/>
        </w:rPr>
      </w:pPr>
      <w:r w:rsidRPr="00510341">
        <w:rPr>
          <w:rStyle w:val="CETCaptionCarattere"/>
          <w:i/>
          <w:lang w:val="en-US"/>
        </w:rPr>
        <w:t xml:space="preserve">Figure </w:t>
      </w:r>
      <w:r w:rsidR="00AB2A87" w:rsidRPr="00510341">
        <w:rPr>
          <w:rStyle w:val="CETCaptionCarattere"/>
          <w:i/>
          <w:lang w:val="en-US"/>
        </w:rPr>
        <w:t>3</w:t>
      </w:r>
      <w:r w:rsidRPr="00510341">
        <w:rPr>
          <w:rStyle w:val="CETCaptionCarattere"/>
          <w:i/>
          <w:lang w:val="en-US"/>
        </w:rPr>
        <w:t xml:space="preserve">: </w:t>
      </w:r>
      <w:r w:rsidR="00786D63" w:rsidRPr="00510341">
        <w:rPr>
          <w:rStyle w:val="CETCaptionCarattere"/>
          <w:i/>
          <w:lang w:val="en-US"/>
        </w:rPr>
        <w:t>Effect of cumulative output exergy on Overall exergetic efficiency and exergy destruction</w:t>
      </w:r>
    </w:p>
    <w:p w14:paraId="38189156" w14:textId="221A7DB5" w:rsidR="00ED563D" w:rsidRPr="00510341" w:rsidRDefault="001F3B9C" w:rsidP="00933C8B">
      <w:pPr>
        <w:pStyle w:val="CETBodytext"/>
      </w:pPr>
      <w:r w:rsidRPr="00510341">
        <w:t>Figure 3 illustrates the biorefinery’s ability to maintain performance under possible variations. As cumulative output exergy increases from 13,352 to 17,690 MJ/h, the overall exergetic efficiency rises from 68.6 % to 69.97%, reflecting improved resource utilization. Concurrently, exergy destruction decreases from 100 % to 95.84% due to reduced irreversibilities. This confirms that considering the output streams enhances the thermodynamic performance of the cascade biorefinery. Comparable biomass conversion processes, such as biodiesel and bioethanol production from safflower, have reported exergetic efficiencies of 72.7 % (</w:t>
      </w:r>
      <w:proofErr w:type="spellStart"/>
      <w:r w:rsidRPr="00510341">
        <w:t>Khounani</w:t>
      </w:r>
      <w:proofErr w:type="spellEnd"/>
      <w:r w:rsidRPr="00510341">
        <w:t xml:space="preserve"> et al., 2021), </w:t>
      </w:r>
      <w:proofErr w:type="gramStart"/>
      <w:r w:rsidRPr="00510341">
        <w:t>similar to</w:t>
      </w:r>
      <w:proofErr w:type="gramEnd"/>
      <w:r w:rsidRPr="00510341">
        <w:t xml:space="preserve"> the present study.</w:t>
      </w:r>
    </w:p>
    <w:p w14:paraId="28FB3450" w14:textId="4812A805" w:rsidR="00786D63" w:rsidRPr="00510341" w:rsidRDefault="00786D63" w:rsidP="00933C8B">
      <w:pPr>
        <w:pStyle w:val="CETBodytext"/>
      </w:pPr>
    </w:p>
    <w:p w14:paraId="315F0AA7" w14:textId="6F01E0EF" w:rsidR="00B53580" w:rsidRPr="00510341" w:rsidRDefault="00786D63" w:rsidP="00AE103E">
      <w:pPr>
        <w:pStyle w:val="CETBodytext"/>
        <w:rPr>
          <w:rStyle w:val="CETCaptionCarattere"/>
          <w:i w:val="0"/>
          <w:lang w:val="en-US"/>
        </w:rPr>
      </w:pPr>
      <w:r w:rsidRPr="00510341">
        <w:rPr>
          <w:noProof/>
        </w:rPr>
        <w:t xml:space="preserve"> </w:t>
      </w:r>
      <w:r w:rsidR="00AE103E" w:rsidRPr="00510341">
        <w:rPr>
          <w:noProof/>
        </w:rPr>
        <w:drawing>
          <wp:inline distT="0" distB="0" distL="0" distR="0" wp14:anchorId="4C22690B" wp14:editId="0516007B">
            <wp:extent cx="2692800" cy="18695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2800" cy="1869523"/>
                    </a:xfrm>
                    <a:prstGeom prst="rect">
                      <a:avLst/>
                    </a:prstGeom>
                    <a:noFill/>
                  </pic:spPr>
                </pic:pic>
              </a:graphicData>
            </a:graphic>
          </wp:inline>
        </w:drawing>
      </w:r>
      <w:r w:rsidR="00AE103E" w:rsidRPr="00510341">
        <w:rPr>
          <w:noProof/>
        </w:rPr>
        <w:t xml:space="preserve"> </w:t>
      </w:r>
      <w:r w:rsidR="00AE103E" w:rsidRPr="00510341">
        <w:rPr>
          <w:noProof/>
        </w:rPr>
        <w:drawing>
          <wp:inline distT="0" distB="0" distL="0" distR="0" wp14:anchorId="40C6F777" wp14:editId="652EF5D1">
            <wp:extent cx="2725232" cy="18744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301" cy="1878637"/>
                    </a:xfrm>
                    <a:prstGeom prst="rect">
                      <a:avLst/>
                    </a:prstGeom>
                    <a:noFill/>
                  </pic:spPr>
                </pic:pic>
              </a:graphicData>
            </a:graphic>
          </wp:inline>
        </w:drawing>
      </w:r>
      <w:r w:rsidR="005A5215" w:rsidRPr="00510341">
        <w:rPr>
          <w:rStyle w:val="CETCaptionCarattere"/>
          <w:noProof/>
        </w:rPr>
        <w:t xml:space="preserve"> </w:t>
      </w:r>
    </w:p>
    <w:p w14:paraId="5975736B" w14:textId="3F36CB4F" w:rsidR="00ED563D" w:rsidRPr="00510341" w:rsidRDefault="00ED563D" w:rsidP="00B53580">
      <w:pPr>
        <w:pStyle w:val="CETCaption"/>
        <w:rPr>
          <w:rStyle w:val="CETCaptionCarattere"/>
          <w:i/>
          <w:highlight w:val="yellow"/>
          <w:lang w:val="en-US"/>
        </w:rPr>
      </w:pPr>
      <w:r w:rsidRPr="00510341">
        <w:rPr>
          <w:rStyle w:val="CETCaptionCarattere"/>
          <w:i/>
          <w:lang w:val="en-US"/>
        </w:rPr>
        <w:t xml:space="preserve">Figure </w:t>
      </w:r>
      <w:r w:rsidR="00B53580" w:rsidRPr="00510341">
        <w:rPr>
          <w:rStyle w:val="CETCaptionCarattere"/>
          <w:i/>
          <w:lang w:val="en-US"/>
        </w:rPr>
        <w:t>4</w:t>
      </w:r>
      <w:r w:rsidRPr="00510341">
        <w:rPr>
          <w:rStyle w:val="CETCaptionCarattere"/>
          <w:i/>
          <w:lang w:val="en-US"/>
        </w:rPr>
        <w:t xml:space="preserve">: </w:t>
      </w:r>
      <w:r w:rsidR="00786D63" w:rsidRPr="00510341">
        <w:rPr>
          <w:rStyle w:val="CETCaptionCarattere"/>
          <w:i/>
          <w:lang w:val="en-US"/>
        </w:rPr>
        <w:t>Effect of biofilm drying efficiency and flash separation 2 efficiency on overall exergetic efficiency</w:t>
      </w:r>
    </w:p>
    <w:p w14:paraId="74F62760" w14:textId="42067410" w:rsidR="00A02B07" w:rsidRPr="00510341" w:rsidRDefault="001F3B9C" w:rsidP="004A01AD">
      <w:pPr>
        <w:pStyle w:val="CETBodytext"/>
      </w:pPr>
      <w:r w:rsidRPr="00510341">
        <w:t>Figure 4 illustrates the relationship between overall exergetic efficiency and the performance of the lowest-efficiency stages. A directly proportional trend is observed: improving the biofilm drying stage (currently 3.45 %) could raise the overall efficiency from 68.66 % to nearly 99 %. Similarly, increasing the efficiency of flash separation 2 from 0.06 % toward 100 % significantly improves system performance. Drying and separation stages often contribute heavily to irreversibilities due to high energy demands and gradients in temperature, pressure, and composition (</w:t>
      </w:r>
      <w:proofErr w:type="spellStart"/>
      <w:r w:rsidRPr="00510341">
        <w:t>Dincer</w:t>
      </w:r>
      <w:proofErr w:type="spellEnd"/>
      <w:r w:rsidRPr="00510341">
        <w:t xml:space="preserve"> &amp; Rosen, 2013; </w:t>
      </w:r>
      <w:proofErr w:type="spellStart"/>
      <w:r w:rsidRPr="00510341">
        <w:t>Szargut</w:t>
      </w:r>
      <w:proofErr w:type="spellEnd"/>
      <w:r w:rsidRPr="00510341">
        <w:t xml:space="preserve"> et al., 1988). Incorporating heat exchangers could reduce these losses and energy consumption, further increasing the overall exergetic efficiency of the biorefinery.</w:t>
      </w:r>
    </w:p>
    <w:p w14:paraId="7E129CFE" w14:textId="77777777" w:rsidR="004A01AD" w:rsidRPr="00510341" w:rsidRDefault="004A01AD" w:rsidP="004A01AD">
      <w:pPr>
        <w:pStyle w:val="CETBodytext"/>
        <w:rPr>
          <w:rFonts w:eastAsia="Arial"/>
          <w:b/>
        </w:rPr>
      </w:pPr>
    </w:p>
    <w:p w14:paraId="296A20C0" w14:textId="6D553D93" w:rsidR="003320AE" w:rsidRPr="00510341" w:rsidRDefault="00051DAE" w:rsidP="004A01AD">
      <w:pPr>
        <w:pStyle w:val="CETBodytext"/>
        <w:rPr>
          <w:rFonts w:eastAsia="Arial"/>
          <w:b/>
        </w:rPr>
      </w:pPr>
      <w:r w:rsidRPr="00510341">
        <w:rPr>
          <w:rFonts w:eastAsia="Arial"/>
          <w:b/>
        </w:rPr>
        <w:t xml:space="preserve">4. Conclusions </w:t>
      </w:r>
    </w:p>
    <w:p w14:paraId="3C2CC802" w14:textId="77777777" w:rsidR="00A86F8B" w:rsidRPr="00510341" w:rsidRDefault="00A86F8B" w:rsidP="00A86F8B">
      <w:pPr>
        <w:pStyle w:val="CETBodytext"/>
        <w:rPr>
          <w:lang w:eastAsia="es-CO"/>
        </w:rPr>
      </w:pPr>
      <w:r w:rsidRPr="00510341">
        <w:rPr>
          <w:lang w:eastAsia="es-CO"/>
        </w:rPr>
        <w:t xml:space="preserve">The exergetic sensitivity analysis applied to the cascade biorefinery based on Hass avocado seed enabled the identification of the operational variables with the greatest influence on the overall exergetic efficiency and exergy destruction of the system. The results demonstrate a favorable exergetic performance, with overall efficiencies of up to 70%, confirming the potential of proper resource management to enhance process efficiency. It was found that an increase in cumulative output exergy simultaneously contributes to improving the overall exergetic efficiency and reducing exergy destruction, indicating greater system stability under variations in operating conditions. Furthermore, the starch drying and biofilm drying stages, together with flash separation stage 3, were identified as the main sources of irreversibility, representing key opportunities for </w:t>
      </w:r>
      <w:r w:rsidRPr="00510341">
        <w:rPr>
          <w:lang w:eastAsia="es-CO"/>
        </w:rPr>
        <w:lastRenderedPageBreak/>
        <w:t xml:space="preserve">process optimization. In this context, the cascade configuration proved to be an effective strategy for the progressive utilization of the chemical exergy of biomass, reducing losses associated with waste streams compared to conventional single-valorization schemes. </w:t>
      </w:r>
    </w:p>
    <w:p w14:paraId="2E08158C" w14:textId="0CABACE4" w:rsidR="00933C8B" w:rsidRPr="00510341" w:rsidRDefault="00A86F8B" w:rsidP="00A86F8B">
      <w:pPr>
        <w:pStyle w:val="CETBodytext"/>
        <w:rPr>
          <w:lang w:eastAsia="es-CO"/>
        </w:rPr>
      </w:pPr>
      <w:r w:rsidRPr="00510341">
        <w:rPr>
          <w:lang w:eastAsia="es-CO"/>
        </w:rPr>
        <w:t xml:space="preserve">Finally, exergetic sensitivity analysis is established as a robust tool not only for identifying critical stages but also for improving the design, efficiency, and thermodynamic </w:t>
      </w:r>
      <w:r w:rsidR="001233A4" w:rsidRPr="00510341">
        <w:rPr>
          <w:lang w:eastAsia="es-CO"/>
        </w:rPr>
        <w:t>sensitivity</w:t>
      </w:r>
      <w:r w:rsidRPr="00510341">
        <w:rPr>
          <w:lang w:eastAsia="es-CO"/>
        </w:rPr>
        <w:t xml:space="preserve"> of biomass-based biorefineries, particularly under scenarios of operational uncertainty.</w:t>
      </w:r>
      <w:r w:rsidRPr="00510341">
        <w:t xml:space="preserve"> </w:t>
      </w:r>
      <w:r w:rsidRPr="00510341">
        <w:rPr>
          <w:lang w:eastAsia="es-CO"/>
        </w:rPr>
        <w:t>From an environmental perspective, the improvement of exergetic efficiency and the reduction of irreversibilities are associated with lower energy requirements, which may contribute to a decrease in greenhouse gas emissions. Therefore, the proposed approach supports the development of more sustainable and low-carbon biorefinery systems.</w:t>
      </w:r>
    </w:p>
    <w:p w14:paraId="25AF16F1" w14:textId="51F0C4EB" w:rsidR="00D8071B" w:rsidRPr="00510341" w:rsidRDefault="00051DAE">
      <w:pPr>
        <w:pBdr>
          <w:top w:val="nil"/>
          <w:left w:val="nil"/>
          <w:bottom w:val="nil"/>
          <w:right w:val="nil"/>
          <w:between w:val="nil"/>
        </w:pBdr>
        <w:spacing w:before="200" w:after="120"/>
        <w:rPr>
          <w:rFonts w:eastAsia="Arial" w:cs="Arial"/>
          <w:b/>
          <w:szCs w:val="18"/>
        </w:rPr>
      </w:pPr>
      <w:r w:rsidRPr="00510341">
        <w:rPr>
          <w:rFonts w:eastAsia="Arial" w:cs="Arial"/>
          <w:b/>
          <w:szCs w:val="18"/>
        </w:rPr>
        <w:t>Acknowledgments</w:t>
      </w:r>
    </w:p>
    <w:p w14:paraId="0DBBB789" w14:textId="37C9B350" w:rsidR="00A02EA3" w:rsidRPr="00510341" w:rsidRDefault="00051DAE" w:rsidP="00403160">
      <w:pPr>
        <w:pStyle w:val="CETBodytext"/>
        <w:rPr>
          <w:lang w:val="es-CO"/>
        </w:rPr>
      </w:pPr>
      <w:r w:rsidRPr="00510341">
        <w:rPr>
          <w:rStyle w:val="CETBodytextCarattere"/>
          <w:rFonts w:eastAsia="Arial"/>
        </w:rPr>
        <w:t xml:space="preserve">The authors gratefully acknowledge the financial support provided by the Universidad de Cartagena and the Colombian Ministry of Science, Technology, and Innovation (MINCIENCIAS) for this research. </w:t>
      </w:r>
      <w:proofErr w:type="spellStart"/>
      <w:r w:rsidRPr="00510341">
        <w:rPr>
          <w:rStyle w:val="CETBodytextCarattere"/>
          <w:rFonts w:eastAsia="Arial"/>
          <w:lang w:val="es-CO"/>
        </w:rPr>
        <w:t>This</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work</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was</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funded</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under</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the</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project</w:t>
      </w:r>
      <w:proofErr w:type="spellEnd"/>
      <w:r w:rsidRPr="00510341">
        <w:rPr>
          <w:rStyle w:val="CETBodytextCarattere"/>
          <w:rFonts w:eastAsia="Arial"/>
          <w:lang w:val="es-CO"/>
        </w:rPr>
        <w:t xml:space="preserve"> </w:t>
      </w:r>
      <w:r w:rsidR="003C743B" w:rsidRPr="00510341">
        <w:rPr>
          <w:rStyle w:val="CETBodytextCarattere"/>
          <w:rFonts w:eastAsia="Arial"/>
          <w:lang w:val="es-CO"/>
        </w:rPr>
        <w:t>“Desarrollo de un modelo de bioeconomía para la obtención de productos derivados de la semilla de aguacate Hass con aplicabilidad en el sector agrícola y alimentario en el departamento del Putumayo</w:t>
      </w:r>
      <w:r w:rsidRPr="00510341">
        <w:rPr>
          <w:rStyle w:val="CETBodytextCarattere"/>
          <w:rFonts w:eastAsia="Arial"/>
          <w:lang w:val="es-CO"/>
        </w:rPr>
        <w:t xml:space="preserve">” </w:t>
      </w:r>
      <w:proofErr w:type="spellStart"/>
      <w:r w:rsidRPr="00510341">
        <w:rPr>
          <w:rStyle w:val="CETBodytextCarattere"/>
          <w:rFonts w:eastAsia="Arial"/>
          <w:lang w:val="es-CO"/>
        </w:rPr>
        <w:t>with</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project</w:t>
      </w:r>
      <w:proofErr w:type="spellEnd"/>
      <w:r w:rsidRPr="00510341">
        <w:rPr>
          <w:rStyle w:val="CETBodytextCarattere"/>
          <w:rFonts w:eastAsia="Arial"/>
          <w:lang w:val="es-CO"/>
        </w:rPr>
        <w:t xml:space="preserve"> </w:t>
      </w:r>
      <w:proofErr w:type="spellStart"/>
      <w:r w:rsidRPr="00510341">
        <w:rPr>
          <w:rStyle w:val="CETBodytextCarattere"/>
          <w:rFonts w:eastAsia="Arial"/>
          <w:lang w:val="es-CO"/>
        </w:rPr>
        <w:t>code</w:t>
      </w:r>
      <w:proofErr w:type="spellEnd"/>
      <w:r w:rsidRPr="00510341">
        <w:rPr>
          <w:rStyle w:val="CETBodytextCarattere"/>
          <w:rFonts w:eastAsia="Arial"/>
          <w:lang w:val="es-CO"/>
        </w:rPr>
        <w:t xml:space="preserve"> SIGP 100</w:t>
      </w:r>
      <w:r w:rsidR="00A02EA3" w:rsidRPr="00510341">
        <w:rPr>
          <w:rStyle w:val="CETBodytextCarattere"/>
          <w:rFonts w:eastAsia="Arial"/>
          <w:lang w:val="es-CO"/>
        </w:rPr>
        <w:t xml:space="preserve">307, </w:t>
      </w:r>
      <w:proofErr w:type="spellStart"/>
      <w:r w:rsidR="00A02EA3" w:rsidRPr="00510341">
        <w:rPr>
          <w:rStyle w:val="CETBodytextCarattere"/>
          <w:rFonts w:eastAsia="Arial"/>
          <w:lang w:val="es-CO"/>
        </w:rPr>
        <w:t>contract</w:t>
      </w:r>
      <w:proofErr w:type="spellEnd"/>
      <w:r w:rsidR="00A02EA3" w:rsidRPr="00510341">
        <w:rPr>
          <w:rStyle w:val="CETBodytextCarattere"/>
          <w:rFonts w:eastAsia="Arial"/>
          <w:lang w:val="es-CO"/>
        </w:rPr>
        <w:t xml:space="preserve"> 442-2023</w:t>
      </w:r>
      <w:r w:rsidRPr="00510341">
        <w:rPr>
          <w:rFonts w:eastAsia="Arial" w:cs="Arial"/>
          <w:szCs w:val="18"/>
          <w:lang w:val="es-CO"/>
        </w:rPr>
        <w:t>.</w:t>
      </w:r>
      <w:r w:rsidR="00A02EA3" w:rsidRPr="00510341">
        <w:rPr>
          <w:lang w:val="es-CO"/>
        </w:rPr>
        <w:t xml:space="preserve"> </w:t>
      </w:r>
    </w:p>
    <w:p w14:paraId="7FB9A360" w14:textId="77777777" w:rsidR="00D8071B" w:rsidRPr="00510341" w:rsidRDefault="00051DAE" w:rsidP="004A01AD">
      <w:pPr>
        <w:pStyle w:val="CETReference"/>
        <w:rPr>
          <w:rFonts w:eastAsia="Arial"/>
        </w:rPr>
      </w:pPr>
      <w:r w:rsidRPr="00510341">
        <w:rPr>
          <w:rFonts w:eastAsia="Arial"/>
        </w:rPr>
        <w:t>References</w:t>
      </w:r>
    </w:p>
    <w:bookmarkEnd w:id="0"/>
    <w:p w14:paraId="0174FD3C" w14:textId="44432D15" w:rsidR="004A01AD" w:rsidRPr="00510341" w:rsidRDefault="004A01AD" w:rsidP="00403160">
      <w:pPr>
        <w:pStyle w:val="CETReferencetext"/>
      </w:pPr>
      <w:proofErr w:type="spellStart"/>
      <w:r w:rsidRPr="00510341">
        <w:t>Alviz</w:t>
      </w:r>
      <w:proofErr w:type="spellEnd"/>
      <w:r w:rsidR="003320AE" w:rsidRPr="00510341">
        <w:t xml:space="preserve">-Meza </w:t>
      </w:r>
      <w:r w:rsidRPr="00510341">
        <w:t>A., Valdez</w:t>
      </w:r>
      <w:r w:rsidR="003320AE" w:rsidRPr="00510341">
        <w:t>-Valdes</w:t>
      </w:r>
      <w:r w:rsidRPr="00510341">
        <w:t xml:space="preserve"> S.A., Gonzalez</w:t>
      </w:r>
      <w:r w:rsidR="003320AE" w:rsidRPr="00510341">
        <w:t xml:space="preserve">-Delgado </w:t>
      </w:r>
      <w:r w:rsidRPr="00510341">
        <w:t>A.D., 2025, Computer-aided simulation of a cascade biorefinery: Case study of the Colombian Amazon’s Hass avocado waste, Chemical Engineering Transactions, 117, 67–72.</w:t>
      </w:r>
    </w:p>
    <w:p w14:paraId="71359D59" w14:textId="512CF724" w:rsidR="004A01AD" w:rsidRPr="00510341" w:rsidRDefault="004A01AD" w:rsidP="00403160">
      <w:pPr>
        <w:pStyle w:val="CETReferencetext"/>
      </w:pPr>
      <w:proofErr w:type="spellStart"/>
      <w:r w:rsidRPr="00510341">
        <w:t>Bejan</w:t>
      </w:r>
      <w:proofErr w:type="spellEnd"/>
      <w:r w:rsidRPr="00510341">
        <w:t xml:space="preserve"> A., 2016, Advanced Engineering Thermodynamics, Wiley.</w:t>
      </w:r>
    </w:p>
    <w:p w14:paraId="78762CF3" w14:textId="4CA34888" w:rsidR="004A01AD" w:rsidRPr="00510341" w:rsidRDefault="004A01AD" w:rsidP="00403160">
      <w:pPr>
        <w:pStyle w:val="CETReferencetext"/>
      </w:pPr>
      <w:r w:rsidRPr="00510341">
        <w:t xml:space="preserve">Chung M.R.W.Y., Tan I.S., Foo H.C.Y., Lam M.K., 2022, Exergy analysis of a biorefinery process for co-production of third-generation L-lactic acid and electricity from Eucheuma </w:t>
      </w:r>
      <w:proofErr w:type="spellStart"/>
      <w:r w:rsidRPr="00510341">
        <w:t>denticulatum</w:t>
      </w:r>
      <w:proofErr w:type="spellEnd"/>
      <w:r w:rsidRPr="00510341">
        <w:t xml:space="preserve"> residues, Energy, 242, 122968.</w:t>
      </w:r>
    </w:p>
    <w:p w14:paraId="68A7625B" w14:textId="77777777" w:rsidR="004A01AD" w:rsidRPr="00510341" w:rsidRDefault="004A01AD" w:rsidP="00403160">
      <w:pPr>
        <w:pStyle w:val="CETReferencetext"/>
      </w:pPr>
      <w:proofErr w:type="spellStart"/>
      <w:r w:rsidRPr="00510341">
        <w:t>Dincer</w:t>
      </w:r>
      <w:proofErr w:type="spellEnd"/>
      <w:r w:rsidRPr="00510341">
        <w:t xml:space="preserve"> I., Rosen M.A., 2013, Exergy: Energy, Environment and Sustainable Development, 2nd ed., Elsevier.</w:t>
      </w:r>
    </w:p>
    <w:p w14:paraId="082209B2" w14:textId="77777777" w:rsidR="001F3B9C" w:rsidRPr="00510341" w:rsidRDefault="001F3B9C" w:rsidP="001F3B9C">
      <w:pPr>
        <w:pStyle w:val="CETReferencetext"/>
      </w:pPr>
      <w:r w:rsidRPr="00510341">
        <w:t xml:space="preserve">Hashemi M., </w:t>
      </w:r>
      <w:proofErr w:type="spellStart"/>
      <w:r w:rsidRPr="00510341">
        <w:t>Pourfayaz</w:t>
      </w:r>
      <w:proofErr w:type="spellEnd"/>
      <w:r w:rsidRPr="00510341">
        <w:t xml:space="preserve"> F., </w:t>
      </w:r>
      <w:proofErr w:type="spellStart"/>
      <w:r w:rsidRPr="00510341">
        <w:t>Mehrpooya</w:t>
      </w:r>
      <w:proofErr w:type="spellEnd"/>
      <w:r w:rsidRPr="00510341">
        <w:t xml:space="preserve"> M., 2019, Energy, exergy, </w:t>
      </w:r>
      <w:proofErr w:type="spellStart"/>
      <w:r w:rsidRPr="00510341">
        <w:t>exergoeconomic</w:t>
      </w:r>
      <w:proofErr w:type="spellEnd"/>
      <w:r w:rsidRPr="00510341">
        <w:t xml:space="preserve"> and sensitivity analyses of modified Claus process in a gas refinery sulfur recovery unit, Journal of Cleaner Production, 220, 1071–1087.</w:t>
      </w:r>
    </w:p>
    <w:p w14:paraId="60C69CCD" w14:textId="78D7C15D" w:rsidR="004A01AD" w:rsidRPr="00510341" w:rsidRDefault="004A01AD" w:rsidP="001F3B9C">
      <w:pPr>
        <w:pStyle w:val="CETReferencetext"/>
        <w:rPr>
          <w:lang w:val="es-CO"/>
        </w:rPr>
      </w:pPr>
      <w:r w:rsidRPr="00510341">
        <w:rPr>
          <w:lang w:val="es-CO"/>
        </w:rPr>
        <w:t>Hernández J., 2023, Aprovechamiento de residuos de aguacate, Universidad de Antioquia, Colombia.</w:t>
      </w:r>
    </w:p>
    <w:p w14:paraId="6B99C9DB" w14:textId="03BB2CE0" w:rsidR="004A01AD" w:rsidRPr="00510341" w:rsidRDefault="004A01AD" w:rsidP="00403160">
      <w:pPr>
        <w:pStyle w:val="CETReferencetext"/>
        <w:rPr>
          <w:lang w:val="es-CO"/>
        </w:rPr>
      </w:pPr>
      <w:r w:rsidRPr="00510341">
        <w:rPr>
          <w:lang w:val="es-CO"/>
        </w:rPr>
        <w:t xml:space="preserve">Herrera-Rodriguez T.C., Parejo-Palacio V., </w:t>
      </w:r>
      <w:r w:rsidR="00003306" w:rsidRPr="00510341">
        <w:rPr>
          <w:lang w:val="es-CO"/>
        </w:rPr>
        <w:t>González</w:t>
      </w:r>
      <w:r w:rsidRPr="00510341">
        <w:rPr>
          <w:lang w:val="es-CO"/>
        </w:rPr>
        <w:t>-Delgado A.D., 2025</w:t>
      </w:r>
      <w:r w:rsidR="00E1622E" w:rsidRPr="00510341">
        <w:rPr>
          <w:lang w:val="es-CO"/>
        </w:rPr>
        <w:t>a</w:t>
      </w:r>
      <w:r w:rsidRPr="00510341">
        <w:rPr>
          <w:lang w:val="es-CO"/>
        </w:rPr>
        <w:t xml:space="preserve">, Evaluación exergética y de sensibilidad del proceso de producción de microperlas de quitosano modificadas con nanopartículas verdes de </w:t>
      </w:r>
      <w:proofErr w:type="spellStart"/>
      <w:r w:rsidRPr="00510341">
        <w:rPr>
          <w:lang w:val="es-CO"/>
        </w:rPr>
        <w:t>TiO</w:t>
      </w:r>
      <w:proofErr w:type="spellEnd"/>
      <w:r w:rsidRPr="00510341">
        <w:rPr>
          <w:rFonts w:ascii="Cambria Math" w:hAnsi="Cambria Math" w:cs="Cambria Math"/>
          <w:lang w:val="es-CO"/>
        </w:rPr>
        <w:t>₂</w:t>
      </w:r>
      <w:r w:rsidRPr="00510341">
        <w:rPr>
          <w:lang w:val="es-CO"/>
        </w:rPr>
        <w:t xml:space="preserve">, Revista </w:t>
      </w:r>
      <w:proofErr w:type="spellStart"/>
      <w:r w:rsidRPr="00510341">
        <w:rPr>
          <w:lang w:val="es-CO"/>
        </w:rPr>
        <w:t>Ontare</w:t>
      </w:r>
      <w:proofErr w:type="spellEnd"/>
      <w:r w:rsidRPr="00510341">
        <w:rPr>
          <w:lang w:val="es-CO"/>
        </w:rPr>
        <w:t>, 12(1).</w:t>
      </w:r>
    </w:p>
    <w:p w14:paraId="2D79A3DF" w14:textId="3EB53384" w:rsidR="004A01AD" w:rsidRPr="00510341" w:rsidRDefault="004A01AD" w:rsidP="00403160">
      <w:pPr>
        <w:pStyle w:val="CETReferencetext"/>
        <w:rPr>
          <w:lang w:val="es-CO"/>
        </w:rPr>
      </w:pPr>
      <w:r w:rsidRPr="00510341">
        <w:rPr>
          <w:lang w:val="es-CO"/>
        </w:rPr>
        <w:t xml:space="preserve">Herrera-Rodriguez T.C., Parejo-Palacio V., </w:t>
      </w:r>
      <w:r w:rsidR="004971DE" w:rsidRPr="00510341">
        <w:rPr>
          <w:lang w:val="es-CO"/>
        </w:rPr>
        <w:t>González</w:t>
      </w:r>
      <w:r w:rsidRPr="00510341">
        <w:rPr>
          <w:lang w:val="es-CO"/>
        </w:rPr>
        <w:t>-Delgado A.D., 2025</w:t>
      </w:r>
      <w:r w:rsidR="00E1622E" w:rsidRPr="00510341">
        <w:rPr>
          <w:lang w:val="es-CO"/>
        </w:rPr>
        <w:t>b</w:t>
      </w:r>
      <w:r w:rsidRPr="00510341">
        <w:rPr>
          <w:lang w:val="es-CO"/>
        </w:rPr>
        <w:t xml:space="preserve">, Exergetic </w:t>
      </w:r>
      <w:proofErr w:type="spellStart"/>
      <w:r w:rsidRPr="00510341">
        <w:rPr>
          <w:lang w:val="es-CO"/>
        </w:rPr>
        <w:t>evaluation</w:t>
      </w:r>
      <w:proofErr w:type="spellEnd"/>
      <w:r w:rsidRPr="00510341">
        <w:rPr>
          <w:lang w:val="es-CO"/>
        </w:rPr>
        <w:t xml:space="preserve"> </w:t>
      </w:r>
      <w:proofErr w:type="spellStart"/>
      <w:r w:rsidRPr="00510341">
        <w:rPr>
          <w:lang w:val="es-CO"/>
        </w:rPr>
        <w:t>of</w:t>
      </w:r>
      <w:proofErr w:type="spellEnd"/>
      <w:r w:rsidRPr="00510341">
        <w:rPr>
          <w:lang w:val="es-CO"/>
        </w:rPr>
        <w:t xml:space="preserve"> </w:t>
      </w:r>
      <w:proofErr w:type="spellStart"/>
      <w:r w:rsidRPr="00510341">
        <w:rPr>
          <w:lang w:val="es-CO"/>
        </w:rPr>
        <w:t>an</w:t>
      </w:r>
      <w:proofErr w:type="spellEnd"/>
      <w:r w:rsidRPr="00510341">
        <w:rPr>
          <w:lang w:val="es-CO"/>
        </w:rPr>
        <w:t xml:space="preserve"> avocado (Persea L.) </w:t>
      </w:r>
      <w:proofErr w:type="spellStart"/>
      <w:r w:rsidRPr="00510341">
        <w:rPr>
          <w:lang w:val="es-CO"/>
        </w:rPr>
        <w:t>biorefinery</w:t>
      </w:r>
      <w:proofErr w:type="spellEnd"/>
      <w:r w:rsidRPr="00510341">
        <w:rPr>
          <w:lang w:val="es-CO"/>
        </w:rPr>
        <w:t xml:space="preserve"> in </w:t>
      </w:r>
      <w:proofErr w:type="spellStart"/>
      <w:r w:rsidRPr="00510341">
        <w:rPr>
          <w:lang w:val="es-CO"/>
        </w:rPr>
        <w:t>northern</w:t>
      </w:r>
      <w:proofErr w:type="spellEnd"/>
      <w:r w:rsidRPr="00510341">
        <w:rPr>
          <w:lang w:val="es-CO"/>
        </w:rPr>
        <w:t xml:space="preserve"> Colombia, Chemical </w:t>
      </w:r>
      <w:proofErr w:type="spellStart"/>
      <w:r w:rsidRPr="00510341">
        <w:rPr>
          <w:lang w:val="es-CO"/>
        </w:rPr>
        <w:t>Engineering</w:t>
      </w:r>
      <w:proofErr w:type="spellEnd"/>
      <w:r w:rsidRPr="00510341">
        <w:rPr>
          <w:lang w:val="es-CO"/>
        </w:rPr>
        <w:t xml:space="preserve"> </w:t>
      </w:r>
      <w:proofErr w:type="spellStart"/>
      <w:r w:rsidRPr="00510341">
        <w:rPr>
          <w:lang w:val="es-CO"/>
        </w:rPr>
        <w:t>Transactions</w:t>
      </w:r>
      <w:proofErr w:type="spellEnd"/>
      <w:r w:rsidRPr="00510341">
        <w:rPr>
          <w:lang w:val="es-CO"/>
        </w:rPr>
        <w:t>, 117.</w:t>
      </w:r>
    </w:p>
    <w:p w14:paraId="73127B0D" w14:textId="7BE22385" w:rsidR="004A01AD" w:rsidRPr="00510341" w:rsidRDefault="004A01AD" w:rsidP="00403160">
      <w:pPr>
        <w:pStyle w:val="CETReferencetext"/>
      </w:pPr>
      <w:proofErr w:type="spellStart"/>
      <w:r w:rsidRPr="00510341">
        <w:t>Khounani</w:t>
      </w:r>
      <w:proofErr w:type="spellEnd"/>
      <w:r w:rsidRPr="00510341">
        <w:t xml:space="preserve"> Z., </w:t>
      </w:r>
      <w:proofErr w:type="spellStart"/>
      <w:r w:rsidRPr="00510341">
        <w:t>Hosseinzadeh-Bandbafha</w:t>
      </w:r>
      <w:proofErr w:type="spellEnd"/>
      <w:r w:rsidRPr="00510341">
        <w:t xml:space="preserve"> H., </w:t>
      </w:r>
      <w:proofErr w:type="spellStart"/>
      <w:r w:rsidRPr="00510341">
        <w:t>Nazemi</w:t>
      </w:r>
      <w:proofErr w:type="spellEnd"/>
      <w:r w:rsidRPr="00510341">
        <w:t xml:space="preserve"> F., </w:t>
      </w:r>
      <w:proofErr w:type="spellStart"/>
      <w:r w:rsidRPr="00510341">
        <w:t>Shaeifi</w:t>
      </w:r>
      <w:proofErr w:type="spellEnd"/>
      <w:r w:rsidRPr="00510341">
        <w:t xml:space="preserve"> M., Karimi K., </w:t>
      </w:r>
      <w:proofErr w:type="spellStart"/>
      <w:r w:rsidRPr="00510341">
        <w:t>Tabatabaei</w:t>
      </w:r>
      <w:proofErr w:type="spellEnd"/>
      <w:r w:rsidRPr="00510341">
        <w:t xml:space="preserve"> M., </w:t>
      </w:r>
      <w:proofErr w:type="spellStart"/>
      <w:r w:rsidRPr="00510341">
        <w:t>Aghbashlo</w:t>
      </w:r>
      <w:proofErr w:type="spellEnd"/>
      <w:r w:rsidRPr="00510341">
        <w:t xml:space="preserve"> M., Lam S.S., 2021, Exergy analysis of a whole-crop safflower biorefinery: A step towards reducing agricultural wastes in a sustainable manner, Journal of Environmental Management, 279, 111822.</w:t>
      </w:r>
    </w:p>
    <w:p w14:paraId="6BADA954" w14:textId="573B089D" w:rsidR="004A01AD" w:rsidRPr="00510341" w:rsidRDefault="004A01AD" w:rsidP="00403160">
      <w:pPr>
        <w:pStyle w:val="CETReferencetext"/>
      </w:pPr>
      <w:proofErr w:type="spellStart"/>
      <w:r w:rsidRPr="00510341">
        <w:t>Kotas</w:t>
      </w:r>
      <w:proofErr w:type="spellEnd"/>
      <w:r w:rsidRPr="00510341">
        <w:t xml:space="preserve"> T.J., 2013, The Exergy Method of Thermal Plant Analysis, 2nd ed., Butterworth-Heinemann.</w:t>
      </w:r>
    </w:p>
    <w:p w14:paraId="5E50B5B5" w14:textId="77777777" w:rsidR="001F3B9C" w:rsidRPr="00510341" w:rsidRDefault="004A01AD" w:rsidP="00403160">
      <w:pPr>
        <w:pStyle w:val="CETReferencetext"/>
      </w:pPr>
      <w:proofErr w:type="spellStart"/>
      <w:r w:rsidRPr="00510341">
        <w:t>Loh</w:t>
      </w:r>
      <w:proofErr w:type="spellEnd"/>
      <w:r w:rsidRPr="00510341">
        <w:t xml:space="preserve"> S.R., Tan I.S., Foo H.C.Y., Tan Y.H., Lam M.K., Lim S., 2023, Exergy analysis of a holistic zero waste macroalgae-based third-generation bioethanol biorefinery approach: Biowaste to bioenergy, Environmental Technology &amp; Innovation, 30, 103089.</w:t>
      </w:r>
      <w:r w:rsidR="001F3B9C" w:rsidRPr="00510341">
        <w:t xml:space="preserve"> </w:t>
      </w:r>
    </w:p>
    <w:p w14:paraId="58DBA310" w14:textId="77777777" w:rsidR="001F3B9C" w:rsidRPr="00510341" w:rsidRDefault="001F3B9C" w:rsidP="001F3B9C">
      <w:pPr>
        <w:pStyle w:val="CETReferencetext"/>
      </w:pPr>
      <w:r w:rsidRPr="00510341">
        <w:t xml:space="preserve">Meramo-Hurtado S., </w:t>
      </w:r>
      <w:proofErr w:type="spellStart"/>
      <w:r w:rsidRPr="00510341">
        <w:t>Alarcón-Suesca</w:t>
      </w:r>
      <w:proofErr w:type="spellEnd"/>
      <w:r w:rsidRPr="00510341">
        <w:t xml:space="preserve"> C., González-Delgado Á.D., 2020, Exergetic sensibility analysis and environmental evaluation of chitosan production from shrimp exoskeleton in Colombia, Journal of Cleaner Production, 248, 119285.</w:t>
      </w:r>
    </w:p>
    <w:p w14:paraId="5B562656" w14:textId="77777777" w:rsidR="001F3B9C" w:rsidRPr="00510341" w:rsidRDefault="004A01AD" w:rsidP="001F3B9C">
      <w:pPr>
        <w:pStyle w:val="CETReferencetext"/>
      </w:pPr>
      <w:r w:rsidRPr="00510341">
        <w:t>Perez D., Galan A., Contreras M.M., Castro E., 2023, Integrated techno-economic and environmental assessment of biorefineries: Review and future research directions, Sustainable Energy &amp; Fuels, 7, 4031–4050.</w:t>
      </w:r>
      <w:r w:rsidR="001F3B9C" w:rsidRPr="00510341">
        <w:t xml:space="preserve"> </w:t>
      </w:r>
    </w:p>
    <w:p w14:paraId="3B4F8636" w14:textId="3DC22019" w:rsidR="001F3B9C" w:rsidRPr="00510341" w:rsidRDefault="001F3B9C" w:rsidP="001F3B9C">
      <w:pPr>
        <w:pStyle w:val="CETReferencetext"/>
      </w:pPr>
      <w:r w:rsidRPr="00510341">
        <w:t>Qureshi B.A., Zubair S.M., 2016, Exergy and sensitivity analysis of reverse electrodialysis desalination plants, Desalination, 394, 195–203.</w:t>
      </w:r>
    </w:p>
    <w:p w14:paraId="5F1A025E" w14:textId="42C716DB" w:rsidR="004A01AD" w:rsidRPr="00510341" w:rsidRDefault="004A01AD" w:rsidP="00403160">
      <w:pPr>
        <w:pStyle w:val="CETReferencetext"/>
      </w:pPr>
      <w:r w:rsidRPr="00510341">
        <w:t xml:space="preserve">Silva P., Oliveira Jr. S., Pinto Mariano A., </w:t>
      </w:r>
      <w:proofErr w:type="spellStart"/>
      <w:r w:rsidRPr="00510341">
        <w:t>Jocher</w:t>
      </w:r>
      <w:proofErr w:type="spellEnd"/>
      <w:r w:rsidRPr="00510341">
        <w:t xml:space="preserve"> A., Posada J., 2024, Exergy-based improvements of sustainable aviation fuels: Comparing biorefinery pathways, Processes, 12(3), 510.</w:t>
      </w:r>
    </w:p>
    <w:p w14:paraId="326A4B30" w14:textId="77777777" w:rsidR="004A01AD" w:rsidRPr="00510341" w:rsidRDefault="004A01AD" w:rsidP="00403160">
      <w:pPr>
        <w:pStyle w:val="CETReferencetext"/>
      </w:pPr>
      <w:r w:rsidRPr="00510341">
        <w:t xml:space="preserve">Swetha T.A., </w:t>
      </w:r>
      <w:proofErr w:type="spellStart"/>
      <w:r w:rsidRPr="00510341">
        <w:t>Ananthi</w:t>
      </w:r>
      <w:proofErr w:type="spellEnd"/>
      <w:r w:rsidRPr="00510341">
        <w:t xml:space="preserve"> V., Bora A., </w:t>
      </w:r>
      <w:proofErr w:type="spellStart"/>
      <w:r w:rsidRPr="00510341">
        <w:t>Sengottuvelan</w:t>
      </w:r>
      <w:proofErr w:type="spellEnd"/>
      <w:r w:rsidRPr="00510341">
        <w:t xml:space="preserve"> N., </w:t>
      </w:r>
      <w:proofErr w:type="spellStart"/>
      <w:r w:rsidRPr="00510341">
        <w:t>Ponnuchamy</w:t>
      </w:r>
      <w:proofErr w:type="spellEnd"/>
      <w:r w:rsidRPr="00510341">
        <w:t xml:space="preserve"> K., Muthusamy G., Arun A., 2023, A review on biodegradable polylactic acid (PLA) production from fermentative food waste: Its applications and degradation, International Journal of Biological Macromolecules, 234, 123703.</w:t>
      </w:r>
    </w:p>
    <w:p w14:paraId="57CCFD16" w14:textId="50AA9136" w:rsidR="000D743E" w:rsidRPr="00510341" w:rsidRDefault="004A01AD" w:rsidP="00403160">
      <w:pPr>
        <w:pStyle w:val="CETReferencetext"/>
      </w:pPr>
      <w:proofErr w:type="spellStart"/>
      <w:r w:rsidRPr="00510341">
        <w:t>Szargut</w:t>
      </w:r>
      <w:proofErr w:type="spellEnd"/>
      <w:r w:rsidRPr="00510341">
        <w:t xml:space="preserve"> J., Morris D.R., Steward F.R., 1988, Exergy Analysis of Thermal, Chemical and Metallurgical Processes, Hemisphere Publishing, New York, USA.</w:t>
      </w:r>
    </w:p>
    <w:p w14:paraId="5F57F225" w14:textId="4BF1586C" w:rsidR="000D743E" w:rsidRPr="00510341" w:rsidRDefault="000D743E" w:rsidP="00403160">
      <w:pPr>
        <w:pStyle w:val="CETReferencetext"/>
      </w:pPr>
    </w:p>
    <w:sectPr w:rsidR="000D743E" w:rsidRPr="00510341">
      <w:type w:val="continuous"/>
      <w:pgSz w:w="11906" w:h="16838"/>
      <w:pgMar w:top="1701" w:right="1418" w:bottom="1701" w:left="1701" w:header="17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26F93" w14:textId="77777777" w:rsidR="009E6013" w:rsidRDefault="009E6013" w:rsidP="00AF7E94">
      <w:pPr>
        <w:spacing w:line="240" w:lineRule="auto"/>
      </w:pPr>
      <w:r>
        <w:separator/>
      </w:r>
    </w:p>
  </w:endnote>
  <w:endnote w:type="continuationSeparator" w:id="0">
    <w:p w14:paraId="66EB66BB" w14:textId="77777777" w:rsidR="009E6013" w:rsidRDefault="009E6013" w:rsidP="00AF7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6DD6278-0169-4257-9585-3663FDE8718B}"/>
    <w:embedBold r:id="rId2" w:fontKey="{42748285-FB50-4ECC-9343-026DFB2C9C21}"/>
    <w:embedItalic r:id="rId3" w:fontKey="{CE3CF37D-CD5E-489C-8CE4-471478FE91EC}"/>
    <w:embedBoldItalic r:id="rId4" w:fontKey="{B75D245D-0C59-4683-B673-5BF47DF677CE}"/>
  </w:font>
  <w:font w:name="Tahoma">
    <w:panose1 w:val="020B0604030504040204"/>
    <w:charset w:val="00"/>
    <w:family w:val="swiss"/>
    <w:pitch w:val="variable"/>
    <w:sig w:usb0="E1002EFF" w:usb1="C000605B" w:usb2="00000029" w:usb3="00000000" w:csb0="000101FF" w:csb1="00000000"/>
    <w:embedRegular r:id="rId5" w:fontKey="{6E202B67-757C-4738-8D78-739AFFFB67E8}"/>
    <w:embedBold r:id="rId6" w:fontKey="{C0C28B94-6A23-42E1-B2BC-01190D83E0C6}"/>
  </w:font>
  <w:font w:name="Consolas">
    <w:panose1 w:val="020B0609020204030204"/>
    <w:charset w:val="00"/>
    <w:family w:val="modern"/>
    <w:pitch w:val="fixed"/>
    <w:sig w:usb0="E00006FF" w:usb1="0000FCFF" w:usb2="00000001" w:usb3="00000000" w:csb0="0000019F" w:csb1="00000000"/>
    <w:embedRegular r:id="rId7" w:fontKey="{FD6DE5A1-D89B-4909-A1F9-DAF4593C437D}"/>
  </w:font>
  <w:font w:name="Georgia">
    <w:panose1 w:val="02040502050405020303"/>
    <w:charset w:val="00"/>
    <w:family w:val="roman"/>
    <w:pitch w:val="variable"/>
    <w:sig w:usb0="00000287" w:usb1="00000000" w:usb2="00000000" w:usb3="00000000" w:csb0="0000009F" w:csb1="00000000"/>
    <w:embedRegular r:id="rId8" w:fontKey="{A2709945-BD5A-46CB-B0DC-8676CCDF28F0}"/>
    <w:embedItalic r:id="rId9" w:fontKey="{F4DF3672-8C31-4D05-A6F6-48E1C9380DD4}"/>
  </w:font>
  <w:font w:name="Arial MT">
    <w:altName w:val="Arial"/>
    <w:charset w:val="01"/>
    <w:family w:val="swiss"/>
    <w:pitch w:val="variable"/>
  </w:font>
  <w:font w:name="AdvP696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EEB79474-0CBC-4A26-ACE3-E25A022D4AE1}"/>
    <w:embedItalic r:id="rId11" w:fontKey="{2A91AD6D-0971-49E4-86C9-49FB523B0F28}"/>
  </w:font>
  <w:font w:name="GyrePagellaMathJax_Normal">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2" w:fontKey="{015EFAC8-D89D-4B51-B85E-F27D7A39CE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1EF75" w14:textId="77777777" w:rsidR="009E6013" w:rsidRDefault="009E6013" w:rsidP="00AF7E94">
      <w:pPr>
        <w:spacing w:line="240" w:lineRule="auto"/>
      </w:pPr>
      <w:r>
        <w:separator/>
      </w:r>
    </w:p>
  </w:footnote>
  <w:footnote w:type="continuationSeparator" w:id="0">
    <w:p w14:paraId="0B7F2590" w14:textId="77777777" w:rsidR="009E6013" w:rsidRDefault="009E6013" w:rsidP="00AF7E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F4D3C"/>
    <w:multiLevelType w:val="multilevel"/>
    <w:tmpl w:val="83E2DD74"/>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DA42CCC"/>
    <w:multiLevelType w:val="multilevel"/>
    <w:tmpl w:val="77AA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1B"/>
    <w:rsid w:val="00003306"/>
    <w:rsid w:val="000409D1"/>
    <w:rsid w:val="00051DAE"/>
    <w:rsid w:val="00082E02"/>
    <w:rsid w:val="000A41E9"/>
    <w:rsid w:val="000B52B5"/>
    <w:rsid w:val="000B6198"/>
    <w:rsid w:val="000C77FC"/>
    <w:rsid w:val="000D69EA"/>
    <w:rsid w:val="000D743E"/>
    <w:rsid w:val="000E2CD7"/>
    <w:rsid w:val="000E5E75"/>
    <w:rsid w:val="0011548C"/>
    <w:rsid w:val="00117E7B"/>
    <w:rsid w:val="001233A4"/>
    <w:rsid w:val="0012480C"/>
    <w:rsid w:val="00187926"/>
    <w:rsid w:val="001C29BB"/>
    <w:rsid w:val="001F3B9C"/>
    <w:rsid w:val="00200C71"/>
    <w:rsid w:val="0021210F"/>
    <w:rsid w:val="00231133"/>
    <w:rsid w:val="00243CE4"/>
    <w:rsid w:val="002614C4"/>
    <w:rsid w:val="002804F6"/>
    <w:rsid w:val="00294FA5"/>
    <w:rsid w:val="002A4BCB"/>
    <w:rsid w:val="002E0FA2"/>
    <w:rsid w:val="002F50B2"/>
    <w:rsid w:val="0031491E"/>
    <w:rsid w:val="003165F6"/>
    <w:rsid w:val="0032041D"/>
    <w:rsid w:val="003320AE"/>
    <w:rsid w:val="0034431D"/>
    <w:rsid w:val="00352DCD"/>
    <w:rsid w:val="003718E0"/>
    <w:rsid w:val="003C1D3B"/>
    <w:rsid w:val="003C743B"/>
    <w:rsid w:val="00403160"/>
    <w:rsid w:val="004179C4"/>
    <w:rsid w:val="004923FA"/>
    <w:rsid w:val="00495CDA"/>
    <w:rsid w:val="004971DE"/>
    <w:rsid w:val="004A01AD"/>
    <w:rsid w:val="004C2437"/>
    <w:rsid w:val="004C2647"/>
    <w:rsid w:val="004C39EE"/>
    <w:rsid w:val="00510341"/>
    <w:rsid w:val="0053223C"/>
    <w:rsid w:val="005906C8"/>
    <w:rsid w:val="005A5215"/>
    <w:rsid w:val="005A60FD"/>
    <w:rsid w:val="005C2677"/>
    <w:rsid w:val="005D5CDE"/>
    <w:rsid w:val="00625F63"/>
    <w:rsid w:val="0063763B"/>
    <w:rsid w:val="00680588"/>
    <w:rsid w:val="006A0A91"/>
    <w:rsid w:val="006C2FDF"/>
    <w:rsid w:val="006F022A"/>
    <w:rsid w:val="006F2101"/>
    <w:rsid w:val="0070030C"/>
    <w:rsid w:val="007039EF"/>
    <w:rsid w:val="0071251D"/>
    <w:rsid w:val="00716AA4"/>
    <w:rsid w:val="00720153"/>
    <w:rsid w:val="0073783F"/>
    <w:rsid w:val="00764CC9"/>
    <w:rsid w:val="00781727"/>
    <w:rsid w:val="00786D63"/>
    <w:rsid w:val="007B0129"/>
    <w:rsid w:val="007B218E"/>
    <w:rsid w:val="007C0F1A"/>
    <w:rsid w:val="007E1E63"/>
    <w:rsid w:val="008028F9"/>
    <w:rsid w:val="00810E52"/>
    <w:rsid w:val="008275DD"/>
    <w:rsid w:val="00847D6A"/>
    <w:rsid w:val="00857F0F"/>
    <w:rsid w:val="00864202"/>
    <w:rsid w:val="00876263"/>
    <w:rsid w:val="008936CB"/>
    <w:rsid w:val="00895F80"/>
    <w:rsid w:val="0089782E"/>
    <w:rsid w:val="008A0865"/>
    <w:rsid w:val="008D1B64"/>
    <w:rsid w:val="008E7BE3"/>
    <w:rsid w:val="008F1B9D"/>
    <w:rsid w:val="00924EFF"/>
    <w:rsid w:val="00930E79"/>
    <w:rsid w:val="0093111B"/>
    <w:rsid w:val="00933C8B"/>
    <w:rsid w:val="0093675E"/>
    <w:rsid w:val="0095136D"/>
    <w:rsid w:val="00951A58"/>
    <w:rsid w:val="00961FF9"/>
    <w:rsid w:val="009714B9"/>
    <w:rsid w:val="009725C4"/>
    <w:rsid w:val="009B1359"/>
    <w:rsid w:val="009B23D8"/>
    <w:rsid w:val="009C1356"/>
    <w:rsid w:val="009E22FF"/>
    <w:rsid w:val="009E6013"/>
    <w:rsid w:val="00A02B07"/>
    <w:rsid w:val="00A02EA3"/>
    <w:rsid w:val="00A22BE6"/>
    <w:rsid w:val="00A32836"/>
    <w:rsid w:val="00A77DA4"/>
    <w:rsid w:val="00A86F8B"/>
    <w:rsid w:val="00AB2A87"/>
    <w:rsid w:val="00AC0A15"/>
    <w:rsid w:val="00AE103E"/>
    <w:rsid w:val="00AE4F90"/>
    <w:rsid w:val="00AF4819"/>
    <w:rsid w:val="00AF7E94"/>
    <w:rsid w:val="00B0608D"/>
    <w:rsid w:val="00B317BE"/>
    <w:rsid w:val="00B36026"/>
    <w:rsid w:val="00B362E1"/>
    <w:rsid w:val="00B401DB"/>
    <w:rsid w:val="00B53580"/>
    <w:rsid w:val="00BE783F"/>
    <w:rsid w:val="00BF2313"/>
    <w:rsid w:val="00C1447A"/>
    <w:rsid w:val="00C264DC"/>
    <w:rsid w:val="00C61FB7"/>
    <w:rsid w:val="00C90FF0"/>
    <w:rsid w:val="00C95F8D"/>
    <w:rsid w:val="00CC60D9"/>
    <w:rsid w:val="00CD0465"/>
    <w:rsid w:val="00CD65BB"/>
    <w:rsid w:val="00CF582D"/>
    <w:rsid w:val="00D0139F"/>
    <w:rsid w:val="00D112BE"/>
    <w:rsid w:val="00D13A61"/>
    <w:rsid w:val="00D14768"/>
    <w:rsid w:val="00D20BD9"/>
    <w:rsid w:val="00D24383"/>
    <w:rsid w:val="00D24642"/>
    <w:rsid w:val="00D27906"/>
    <w:rsid w:val="00D45A9F"/>
    <w:rsid w:val="00D76D9A"/>
    <w:rsid w:val="00D8071B"/>
    <w:rsid w:val="00D968C9"/>
    <w:rsid w:val="00DE0692"/>
    <w:rsid w:val="00DE642C"/>
    <w:rsid w:val="00DF59D0"/>
    <w:rsid w:val="00DF7346"/>
    <w:rsid w:val="00E03215"/>
    <w:rsid w:val="00E1622E"/>
    <w:rsid w:val="00E3170F"/>
    <w:rsid w:val="00E32331"/>
    <w:rsid w:val="00E4224E"/>
    <w:rsid w:val="00E461BA"/>
    <w:rsid w:val="00E60D2C"/>
    <w:rsid w:val="00E65102"/>
    <w:rsid w:val="00E826C8"/>
    <w:rsid w:val="00ED563D"/>
    <w:rsid w:val="00F071C4"/>
    <w:rsid w:val="00F2643A"/>
    <w:rsid w:val="00F33B2B"/>
    <w:rsid w:val="00F41BD6"/>
    <w:rsid w:val="00F53528"/>
    <w:rsid w:val="00F72111"/>
    <w:rsid w:val="00FC4505"/>
    <w:rsid w:val="00FC4B55"/>
    <w:rsid w:val="00FE4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E078"/>
  <w15:docId w15:val="{00180487-90EF-42F2-AEB2-4A551896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qFormat/>
    <w:rsid w:val="00620DEE"/>
    <w:rPr>
      <w:rFonts w:eastAsia="Times New Roman" w:cs="Times New Roman"/>
      <w:szCs w:val="20"/>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Pr>
  </w:style>
  <w:style w:type="table" w:customStyle="1" w:styleId="a4">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xtodelmarcadordeposicin">
    <w:name w:val="Placeholder Text"/>
    <w:basedOn w:val="Fuentedeprrafopredeter"/>
    <w:uiPriority w:val="99"/>
    <w:semiHidden/>
    <w:rsid w:val="007140A6"/>
    <w:rPr>
      <w:color w:val="666666"/>
    </w:rPr>
  </w:style>
  <w:style w:type="character" w:styleId="Mencinsinresolver">
    <w:name w:val="Unresolved Mention"/>
    <w:basedOn w:val="Fuentedeprrafopredeter"/>
    <w:uiPriority w:val="99"/>
    <w:semiHidden/>
    <w:unhideWhenUsed/>
    <w:rsid w:val="00DD599B"/>
    <w:rPr>
      <w:color w:val="605E5C"/>
      <w:shd w:val="clear" w:color="auto" w:fill="E1DFDD"/>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Pr>
  </w:style>
  <w:style w:type="character" w:customStyle="1" w:styleId="anchor-text">
    <w:name w:val="anchor-text"/>
    <w:basedOn w:val="Fuentedeprrafopredeter"/>
    <w:rsid w:val="002C4AB7"/>
  </w:style>
  <w:style w:type="character" w:styleId="Textoennegrita">
    <w:name w:val="Strong"/>
    <w:basedOn w:val="Fuentedeprrafopredeter"/>
    <w:uiPriority w:val="22"/>
    <w:qFormat/>
    <w:rsid w:val="0006632A"/>
    <w:rPr>
      <w:b/>
      <w:bC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character" w:customStyle="1" w:styleId="katex-mathml">
    <w:name w:val="katex-mathml"/>
    <w:basedOn w:val="Fuentedeprrafopredeter"/>
    <w:rsid w:val="002614C4"/>
  </w:style>
  <w:style w:type="character" w:customStyle="1" w:styleId="mopen">
    <w:name w:val="mopen"/>
    <w:basedOn w:val="Fuentedeprrafopredeter"/>
    <w:rsid w:val="002614C4"/>
  </w:style>
  <w:style w:type="character" w:customStyle="1" w:styleId="mord">
    <w:name w:val="mord"/>
    <w:basedOn w:val="Fuentedeprrafopredeter"/>
    <w:rsid w:val="002614C4"/>
  </w:style>
  <w:style w:type="character" w:customStyle="1" w:styleId="vlist-s">
    <w:name w:val="vlist-s"/>
    <w:basedOn w:val="Fuentedeprrafopredeter"/>
    <w:rsid w:val="002614C4"/>
  </w:style>
  <w:style w:type="character" w:customStyle="1" w:styleId="mpunct">
    <w:name w:val="mpunct"/>
    <w:basedOn w:val="Fuentedeprrafopredeter"/>
    <w:rsid w:val="002614C4"/>
  </w:style>
  <w:style w:type="character" w:customStyle="1" w:styleId="mclose">
    <w:name w:val="mclose"/>
    <w:basedOn w:val="Fuentedeprrafopredeter"/>
    <w:rsid w:val="002614C4"/>
  </w:style>
  <w:style w:type="paragraph" w:customStyle="1" w:styleId="TableParagraph">
    <w:name w:val="Table Paragraph"/>
    <w:basedOn w:val="Normal"/>
    <w:uiPriority w:val="1"/>
    <w:qFormat/>
    <w:rsid w:val="0063763B"/>
    <w:pPr>
      <w:widowControl w:val="0"/>
      <w:tabs>
        <w:tab w:val="clear" w:pos="7100"/>
      </w:tabs>
      <w:autoSpaceDE w:val="0"/>
      <w:autoSpaceDN w:val="0"/>
      <w:spacing w:before="18" w:line="240" w:lineRule="auto"/>
      <w:ind w:left="-3"/>
      <w:jc w:val="left"/>
    </w:pPr>
    <w:rPr>
      <w:rFonts w:ascii="Arial MT" w:eastAsia="Arial MT" w:hAnsi="Arial MT" w:cs="Arial MT"/>
      <w:sz w:val="22"/>
      <w:szCs w:val="22"/>
    </w:rPr>
  </w:style>
  <w:style w:type="character" w:styleId="nfasis">
    <w:name w:val="Emphasis"/>
    <w:basedOn w:val="Fuentedeprrafopredeter"/>
    <w:uiPriority w:val="20"/>
    <w:qFormat/>
    <w:rsid w:val="00CD0465"/>
    <w:rPr>
      <w:i/>
      <w:iCs/>
    </w:rPr>
  </w:style>
  <w:style w:type="character" w:customStyle="1" w:styleId="mi">
    <w:name w:val="mi"/>
    <w:basedOn w:val="Fuentedeprrafopredeter"/>
    <w:rsid w:val="00E60D2C"/>
  </w:style>
  <w:style w:type="character" w:customStyle="1" w:styleId="mo">
    <w:name w:val="mo"/>
    <w:basedOn w:val="Fuentedeprrafopredeter"/>
    <w:rsid w:val="00E60D2C"/>
  </w:style>
  <w:style w:type="character" w:customStyle="1" w:styleId="mtext">
    <w:name w:val="mtext"/>
    <w:basedOn w:val="Fuentedeprrafopredeter"/>
    <w:rsid w:val="00A22BE6"/>
  </w:style>
  <w:style w:type="character" w:customStyle="1" w:styleId="mbin">
    <w:name w:val="mbin"/>
    <w:basedOn w:val="Fuentedeprrafopredeter"/>
    <w:rsid w:val="00B40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3009">
      <w:bodyDiv w:val="1"/>
      <w:marLeft w:val="0"/>
      <w:marRight w:val="0"/>
      <w:marTop w:val="0"/>
      <w:marBottom w:val="0"/>
      <w:divBdr>
        <w:top w:val="none" w:sz="0" w:space="0" w:color="auto"/>
        <w:left w:val="none" w:sz="0" w:space="0" w:color="auto"/>
        <w:bottom w:val="none" w:sz="0" w:space="0" w:color="auto"/>
        <w:right w:val="none" w:sz="0" w:space="0" w:color="auto"/>
      </w:divBdr>
    </w:div>
    <w:div w:id="95298844">
      <w:bodyDiv w:val="1"/>
      <w:marLeft w:val="0"/>
      <w:marRight w:val="0"/>
      <w:marTop w:val="0"/>
      <w:marBottom w:val="0"/>
      <w:divBdr>
        <w:top w:val="none" w:sz="0" w:space="0" w:color="auto"/>
        <w:left w:val="none" w:sz="0" w:space="0" w:color="auto"/>
        <w:bottom w:val="none" w:sz="0" w:space="0" w:color="auto"/>
        <w:right w:val="none" w:sz="0" w:space="0" w:color="auto"/>
      </w:divBdr>
    </w:div>
    <w:div w:id="127361633">
      <w:bodyDiv w:val="1"/>
      <w:marLeft w:val="0"/>
      <w:marRight w:val="0"/>
      <w:marTop w:val="0"/>
      <w:marBottom w:val="0"/>
      <w:divBdr>
        <w:top w:val="none" w:sz="0" w:space="0" w:color="auto"/>
        <w:left w:val="none" w:sz="0" w:space="0" w:color="auto"/>
        <w:bottom w:val="none" w:sz="0" w:space="0" w:color="auto"/>
        <w:right w:val="none" w:sz="0" w:space="0" w:color="auto"/>
      </w:divBdr>
    </w:div>
    <w:div w:id="217281138">
      <w:bodyDiv w:val="1"/>
      <w:marLeft w:val="0"/>
      <w:marRight w:val="0"/>
      <w:marTop w:val="0"/>
      <w:marBottom w:val="0"/>
      <w:divBdr>
        <w:top w:val="none" w:sz="0" w:space="0" w:color="auto"/>
        <w:left w:val="none" w:sz="0" w:space="0" w:color="auto"/>
        <w:bottom w:val="none" w:sz="0" w:space="0" w:color="auto"/>
        <w:right w:val="none" w:sz="0" w:space="0" w:color="auto"/>
      </w:divBdr>
      <w:divsChild>
        <w:div w:id="136000121">
          <w:marLeft w:val="0"/>
          <w:marRight w:val="0"/>
          <w:marTop w:val="15"/>
          <w:marBottom w:val="0"/>
          <w:divBdr>
            <w:top w:val="single" w:sz="48" w:space="0" w:color="auto"/>
            <w:left w:val="single" w:sz="48" w:space="0" w:color="auto"/>
            <w:bottom w:val="single" w:sz="48" w:space="0" w:color="auto"/>
            <w:right w:val="single" w:sz="48" w:space="0" w:color="auto"/>
          </w:divBdr>
          <w:divsChild>
            <w:div w:id="12136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8038">
      <w:bodyDiv w:val="1"/>
      <w:marLeft w:val="0"/>
      <w:marRight w:val="0"/>
      <w:marTop w:val="0"/>
      <w:marBottom w:val="0"/>
      <w:divBdr>
        <w:top w:val="none" w:sz="0" w:space="0" w:color="auto"/>
        <w:left w:val="none" w:sz="0" w:space="0" w:color="auto"/>
        <w:bottom w:val="none" w:sz="0" w:space="0" w:color="auto"/>
        <w:right w:val="none" w:sz="0" w:space="0" w:color="auto"/>
      </w:divBdr>
    </w:div>
    <w:div w:id="470907764">
      <w:bodyDiv w:val="1"/>
      <w:marLeft w:val="0"/>
      <w:marRight w:val="0"/>
      <w:marTop w:val="0"/>
      <w:marBottom w:val="0"/>
      <w:divBdr>
        <w:top w:val="none" w:sz="0" w:space="0" w:color="auto"/>
        <w:left w:val="none" w:sz="0" w:space="0" w:color="auto"/>
        <w:bottom w:val="none" w:sz="0" w:space="0" w:color="auto"/>
        <w:right w:val="none" w:sz="0" w:space="0" w:color="auto"/>
      </w:divBdr>
    </w:div>
    <w:div w:id="676662450">
      <w:bodyDiv w:val="1"/>
      <w:marLeft w:val="0"/>
      <w:marRight w:val="0"/>
      <w:marTop w:val="0"/>
      <w:marBottom w:val="0"/>
      <w:divBdr>
        <w:top w:val="none" w:sz="0" w:space="0" w:color="auto"/>
        <w:left w:val="none" w:sz="0" w:space="0" w:color="auto"/>
        <w:bottom w:val="none" w:sz="0" w:space="0" w:color="auto"/>
        <w:right w:val="none" w:sz="0" w:space="0" w:color="auto"/>
      </w:divBdr>
    </w:div>
    <w:div w:id="687024210">
      <w:bodyDiv w:val="1"/>
      <w:marLeft w:val="0"/>
      <w:marRight w:val="0"/>
      <w:marTop w:val="0"/>
      <w:marBottom w:val="0"/>
      <w:divBdr>
        <w:top w:val="none" w:sz="0" w:space="0" w:color="auto"/>
        <w:left w:val="none" w:sz="0" w:space="0" w:color="auto"/>
        <w:bottom w:val="none" w:sz="0" w:space="0" w:color="auto"/>
        <w:right w:val="none" w:sz="0" w:space="0" w:color="auto"/>
      </w:divBdr>
    </w:div>
    <w:div w:id="721175939">
      <w:bodyDiv w:val="1"/>
      <w:marLeft w:val="0"/>
      <w:marRight w:val="0"/>
      <w:marTop w:val="0"/>
      <w:marBottom w:val="0"/>
      <w:divBdr>
        <w:top w:val="none" w:sz="0" w:space="0" w:color="auto"/>
        <w:left w:val="none" w:sz="0" w:space="0" w:color="auto"/>
        <w:bottom w:val="none" w:sz="0" w:space="0" w:color="auto"/>
        <w:right w:val="none" w:sz="0" w:space="0" w:color="auto"/>
      </w:divBdr>
    </w:div>
    <w:div w:id="822283839">
      <w:bodyDiv w:val="1"/>
      <w:marLeft w:val="0"/>
      <w:marRight w:val="0"/>
      <w:marTop w:val="0"/>
      <w:marBottom w:val="0"/>
      <w:divBdr>
        <w:top w:val="none" w:sz="0" w:space="0" w:color="auto"/>
        <w:left w:val="none" w:sz="0" w:space="0" w:color="auto"/>
        <w:bottom w:val="none" w:sz="0" w:space="0" w:color="auto"/>
        <w:right w:val="none" w:sz="0" w:space="0" w:color="auto"/>
      </w:divBdr>
    </w:div>
    <w:div w:id="984821648">
      <w:bodyDiv w:val="1"/>
      <w:marLeft w:val="0"/>
      <w:marRight w:val="0"/>
      <w:marTop w:val="0"/>
      <w:marBottom w:val="0"/>
      <w:divBdr>
        <w:top w:val="none" w:sz="0" w:space="0" w:color="auto"/>
        <w:left w:val="none" w:sz="0" w:space="0" w:color="auto"/>
        <w:bottom w:val="none" w:sz="0" w:space="0" w:color="auto"/>
        <w:right w:val="none" w:sz="0" w:space="0" w:color="auto"/>
      </w:divBdr>
    </w:div>
    <w:div w:id="1003553892">
      <w:bodyDiv w:val="1"/>
      <w:marLeft w:val="0"/>
      <w:marRight w:val="0"/>
      <w:marTop w:val="0"/>
      <w:marBottom w:val="0"/>
      <w:divBdr>
        <w:top w:val="none" w:sz="0" w:space="0" w:color="auto"/>
        <w:left w:val="none" w:sz="0" w:space="0" w:color="auto"/>
        <w:bottom w:val="none" w:sz="0" w:space="0" w:color="auto"/>
        <w:right w:val="none" w:sz="0" w:space="0" w:color="auto"/>
      </w:divBdr>
    </w:div>
    <w:div w:id="1273702998">
      <w:bodyDiv w:val="1"/>
      <w:marLeft w:val="0"/>
      <w:marRight w:val="0"/>
      <w:marTop w:val="0"/>
      <w:marBottom w:val="0"/>
      <w:divBdr>
        <w:top w:val="none" w:sz="0" w:space="0" w:color="auto"/>
        <w:left w:val="none" w:sz="0" w:space="0" w:color="auto"/>
        <w:bottom w:val="none" w:sz="0" w:space="0" w:color="auto"/>
        <w:right w:val="none" w:sz="0" w:space="0" w:color="auto"/>
      </w:divBdr>
    </w:div>
    <w:div w:id="1289044504">
      <w:bodyDiv w:val="1"/>
      <w:marLeft w:val="0"/>
      <w:marRight w:val="0"/>
      <w:marTop w:val="0"/>
      <w:marBottom w:val="0"/>
      <w:divBdr>
        <w:top w:val="none" w:sz="0" w:space="0" w:color="auto"/>
        <w:left w:val="none" w:sz="0" w:space="0" w:color="auto"/>
        <w:bottom w:val="none" w:sz="0" w:space="0" w:color="auto"/>
        <w:right w:val="none" w:sz="0" w:space="0" w:color="auto"/>
      </w:divBdr>
    </w:div>
    <w:div w:id="1314525567">
      <w:bodyDiv w:val="1"/>
      <w:marLeft w:val="0"/>
      <w:marRight w:val="0"/>
      <w:marTop w:val="0"/>
      <w:marBottom w:val="0"/>
      <w:divBdr>
        <w:top w:val="none" w:sz="0" w:space="0" w:color="auto"/>
        <w:left w:val="none" w:sz="0" w:space="0" w:color="auto"/>
        <w:bottom w:val="none" w:sz="0" w:space="0" w:color="auto"/>
        <w:right w:val="none" w:sz="0" w:space="0" w:color="auto"/>
      </w:divBdr>
    </w:div>
    <w:div w:id="1405032454">
      <w:bodyDiv w:val="1"/>
      <w:marLeft w:val="0"/>
      <w:marRight w:val="0"/>
      <w:marTop w:val="0"/>
      <w:marBottom w:val="0"/>
      <w:divBdr>
        <w:top w:val="none" w:sz="0" w:space="0" w:color="auto"/>
        <w:left w:val="none" w:sz="0" w:space="0" w:color="auto"/>
        <w:bottom w:val="none" w:sz="0" w:space="0" w:color="auto"/>
        <w:right w:val="none" w:sz="0" w:space="0" w:color="auto"/>
      </w:divBdr>
    </w:div>
    <w:div w:id="1697192275">
      <w:bodyDiv w:val="1"/>
      <w:marLeft w:val="0"/>
      <w:marRight w:val="0"/>
      <w:marTop w:val="0"/>
      <w:marBottom w:val="0"/>
      <w:divBdr>
        <w:top w:val="none" w:sz="0" w:space="0" w:color="auto"/>
        <w:left w:val="none" w:sz="0" w:space="0" w:color="auto"/>
        <w:bottom w:val="none" w:sz="0" w:space="0" w:color="auto"/>
        <w:right w:val="none" w:sz="0" w:space="0" w:color="auto"/>
      </w:divBdr>
    </w:div>
    <w:div w:id="1802503584">
      <w:bodyDiv w:val="1"/>
      <w:marLeft w:val="0"/>
      <w:marRight w:val="0"/>
      <w:marTop w:val="0"/>
      <w:marBottom w:val="0"/>
      <w:divBdr>
        <w:top w:val="none" w:sz="0" w:space="0" w:color="auto"/>
        <w:left w:val="none" w:sz="0" w:space="0" w:color="auto"/>
        <w:bottom w:val="none" w:sz="0" w:space="0" w:color="auto"/>
        <w:right w:val="none" w:sz="0" w:space="0" w:color="auto"/>
      </w:divBdr>
    </w:div>
    <w:div w:id="1808084607">
      <w:bodyDiv w:val="1"/>
      <w:marLeft w:val="0"/>
      <w:marRight w:val="0"/>
      <w:marTop w:val="0"/>
      <w:marBottom w:val="0"/>
      <w:divBdr>
        <w:top w:val="none" w:sz="0" w:space="0" w:color="auto"/>
        <w:left w:val="none" w:sz="0" w:space="0" w:color="auto"/>
        <w:bottom w:val="none" w:sz="0" w:space="0" w:color="auto"/>
        <w:right w:val="none" w:sz="0" w:space="0" w:color="auto"/>
      </w:divBdr>
      <w:divsChild>
        <w:div w:id="2025741369">
          <w:marLeft w:val="0"/>
          <w:marRight w:val="0"/>
          <w:marTop w:val="15"/>
          <w:marBottom w:val="0"/>
          <w:divBdr>
            <w:top w:val="single" w:sz="48" w:space="0" w:color="auto"/>
            <w:left w:val="single" w:sz="48" w:space="0" w:color="auto"/>
            <w:bottom w:val="single" w:sz="48" w:space="0" w:color="auto"/>
            <w:right w:val="single" w:sz="48"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084">
      <w:bodyDiv w:val="1"/>
      <w:marLeft w:val="0"/>
      <w:marRight w:val="0"/>
      <w:marTop w:val="0"/>
      <w:marBottom w:val="0"/>
      <w:divBdr>
        <w:top w:val="none" w:sz="0" w:space="0" w:color="auto"/>
        <w:left w:val="none" w:sz="0" w:space="0" w:color="auto"/>
        <w:bottom w:val="none" w:sz="0" w:space="0" w:color="auto"/>
        <w:right w:val="none" w:sz="0" w:space="0" w:color="auto"/>
      </w:divBdr>
    </w:div>
    <w:div w:id="2002074552">
      <w:bodyDiv w:val="1"/>
      <w:marLeft w:val="0"/>
      <w:marRight w:val="0"/>
      <w:marTop w:val="0"/>
      <w:marBottom w:val="0"/>
      <w:divBdr>
        <w:top w:val="none" w:sz="0" w:space="0" w:color="auto"/>
        <w:left w:val="none" w:sz="0" w:space="0" w:color="auto"/>
        <w:bottom w:val="none" w:sz="0" w:space="0" w:color="auto"/>
        <w:right w:val="none" w:sz="0" w:space="0" w:color="auto"/>
      </w:divBdr>
    </w:div>
    <w:div w:id="2021856718">
      <w:bodyDiv w:val="1"/>
      <w:marLeft w:val="0"/>
      <w:marRight w:val="0"/>
      <w:marTop w:val="0"/>
      <w:marBottom w:val="0"/>
      <w:divBdr>
        <w:top w:val="none" w:sz="0" w:space="0" w:color="auto"/>
        <w:left w:val="none" w:sz="0" w:space="0" w:color="auto"/>
        <w:bottom w:val="none" w:sz="0" w:space="0" w:color="auto"/>
        <w:right w:val="none" w:sz="0" w:space="0" w:color="auto"/>
      </w:divBdr>
    </w:div>
    <w:div w:id="2133018611">
      <w:bodyDiv w:val="1"/>
      <w:marLeft w:val="0"/>
      <w:marRight w:val="0"/>
      <w:marTop w:val="0"/>
      <w:marBottom w:val="0"/>
      <w:divBdr>
        <w:top w:val="none" w:sz="0" w:space="0" w:color="auto"/>
        <w:left w:val="none" w:sz="0" w:space="0" w:color="auto"/>
        <w:bottom w:val="none" w:sz="0" w:space="0" w:color="auto"/>
        <w:right w:val="none" w:sz="0" w:space="0" w:color="auto"/>
      </w:divBdr>
    </w:div>
    <w:div w:id="2139764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WOoPE/vEnmMBZIAOPX6Cpwpvw==">CgMxLjAyDmguYzR1M2ZjcWs1eWpmMg5oLmM0dTNmY3FrNXlqZjIOaC40eTZ4YXo2a3BnMHA4AHIhMTEzWVNWSlRtZTlSQlVvcDNNaTc2dGpwVlhYNEpmcmpa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3478</Words>
  <Characters>19129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cp:lastModifiedBy>
  <cp:revision>34</cp:revision>
  <dcterms:created xsi:type="dcterms:W3CDTF">2025-02-05T22:29:00Z</dcterms:created>
  <dcterms:modified xsi:type="dcterms:W3CDTF">2026-03-21T02:06:00Z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