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4"/>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5DAE12D"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843EAC">
              <w:rPr>
                <w:rFonts w:cs="Arial"/>
                <w:b/>
                <w:bCs/>
                <w:i/>
                <w:iCs/>
                <w:color w:val="000066"/>
                <w:sz w:val="22"/>
                <w:szCs w:val="22"/>
                <w:lang w:eastAsia="it-IT"/>
              </w:rPr>
              <w:t xml:space="preserve">    </w:t>
            </w:r>
            <w:r w:rsidR="004761E9">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DB3233">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n-U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475D992A" w:rsidR="00AA7D26" w:rsidRPr="006A23E9" w:rsidRDefault="00AA7D26" w:rsidP="00AA7D26">
            <w:pPr>
              <w:ind w:left="-107"/>
              <w:outlineLvl w:val="2"/>
              <w:rPr>
                <w:rFonts w:ascii="Tahoma" w:hAnsi="Tahoma" w:cs="Tahoma"/>
                <w:bCs/>
                <w:color w:val="000000"/>
                <w:sz w:val="14"/>
                <w:szCs w:val="14"/>
                <w:lang w:eastAsia="it-IT"/>
              </w:rPr>
            </w:pPr>
            <w:r w:rsidRPr="006A23E9">
              <w:rPr>
                <w:rFonts w:ascii="Tahoma" w:hAnsi="Tahoma" w:cs="Tahoma"/>
                <w:iCs/>
                <w:color w:val="333333"/>
                <w:sz w:val="14"/>
                <w:szCs w:val="14"/>
                <w:lang w:eastAsia="it-IT"/>
              </w:rPr>
              <w:t>Guest Editors:</w:t>
            </w:r>
            <w:r w:rsidRPr="006A23E9">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shd w:val="clear" w:color="auto" w:fill="FFFFFF"/>
              </w:rPr>
              <w:t xml:space="preserve">Leonardo Tognotti, </w:t>
            </w:r>
            <w:r w:rsidR="006A23E9" w:rsidRPr="00946B70">
              <w:rPr>
                <w:rFonts w:ascii="Tahoma" w:hAnsi="Tahoma" w:cs="Tahoma"/>
                <w:color w:val="000000"/>
                <w:sz w:val="14"/>
                <w:szCs w:val="14"/>
              </w:rPr>
              <w:t>Rubens Maciel Filho</w:t>
            </w:r>
            <w:r w:rsidR="006A23E9" w:rsidRPr="00946B70">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rPr>
              <w:t>Viatcheslav Kafarov</w:t>
            </w:r>
          </w:p>
          <w:p w14:paraId="1B0F1814" w14:textId="3AD74145"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DB3233">
              <w:rPr>
                <w:rFonts w:ascii="Tahoma" w:hAnsi="Tahoma" w:cs="Tahoma"/>
                <w:sz w:val="14"/>
                <w:szCs w:val="14"/>
              </w:rPr>
              <w:t>09</w:t>
            </w:r>
            <w:r>
              <w:rPr>
                <w:rFonts w:ascii="Tahoma" w:hAnsi="Tahoma" w:cs="Tahoma"/>
                <w:sz w:val="14"/>
                <w:szCs w:val="14"/>
              </w:rPr>
              <w:t>-</w:t>
            </w:r>
            <w:r w:rsidR="00DB3233">
              <w:rPr>
                <w:rFonts w:ascii="Tahoma" w:hAnsi="Tahoma" w:cs="Tahoma"/>
                <w:sz w:val="14"/>
                <w:szCs w:val="14"/>
              </w:rPr>
              <w:t>0</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09353DAF" w14:textId="1B877554" w:rsidR="00DD6E61" w:rsidRPr="003F44AD" w:rsidRDefault="00DD6E61" w:rsidP="00DD6E61">
      <w:pPr>
        <w:pStyle w:val="CETTitle"/>
        <w:rPr>
          <w:i/>
        </w:rPr>
      </w:pPr>
      <w:r w:rsidRPr="003F44AD">
        <w:t>Anaerobic digestion assisted by composting to deodorize and eliminate pathogenic microorganisms in sludge from a municipal WWTP</w:t>
      </w:r>
    </w:p>
    <w:p w14:paraId="619E1916" w14:textId="77777777" w:rsidR="00DD6E61" w:rsidRPr="003F44AD" w:rsidRDefault="00DD6E61" w:rsidP="00DD6E61">
      <w:pPr>
        <w:pStyle w:val="CETAuthors"/>
      </w:pPr>
    </w:p>
    <w:p w14:paraId="7F221C5D" w14:textId="367A8A8A" w:rsidR="00A64F26" w:rsidRPr="00E228F4" w:rsidRDefault="00A64F26" w:rsidP="00A64F26">
      <w:pPr>
        <w:pStyle w:val="CETAuthors"/>
        <w:rPr>
          <w:lang w:val="es-PE"/>
        </w:rPr>
      </w:pPr>
      <w:r w:rsidRPr="00E228F4">
        <w:rPr>
          <w:lang w:val="es-PE"/>
        </w:rPr>
        <w:t>Anabel Altamirano Guerreros</w:t>
      </w:r>
      <w:r w:rsidRPr="00E228F4">
        <w:rPr>
          <w:vertAlign w:val="superscript"/>
          <w:lang w:val="es-PE"/>
        </w:rPr>
        <w:t>a</w:t>
      </w:r>
      <w:r w:rsidRPr="00E228F4">
        <w:rPr>
          <w:lang w:val="es-PE"/>
        </w:rPr>
        <w:t>, Edison A. Romero-Cabello</w:t>
      </w:r>
      <w:r w:rsidRPr="00E228F4">
        <w:rPr>
          <w:vertAlign w:val="superscript"/>
          <w:lang w:val="es-PE"/>
        </w:rPr>
        <w:t>b</w:t>
      </w:r>
      <w:r w:rsidRPr="00E228F4">
        <w:rPr>
          <w:lang w:val="es-PE"/>
        </w:rPr>
        <w:t xml:space="preserve"> , Daniel Neciosup Gonzales</w:t>
      </w:r>
      <w:r w:rsidRPr="00E228F4">
        <w:rPr>
          <w:vertAlign w:val="superscript"/>
          <w:lang w:val="es-PE"/>
        </w:rPr>
        <w:t>a</w:t>
      </w:r>
      <w:r w:rsidRPr="00E228F4">
        <w:rPr>
          <w:lang w:val="es-PE"/>
        </w:rPr>
        <w:t xml:space="preserve"> , Maribel Rodríguez Rodríguez</w:t>
      </w:r>
      <w:r w:rsidRPr="00E228F4">
        <w:rPr>
          <w:vertAlign w:val="superscript"/>
          <w:lang w:val="es-PE"/>
        </w:rPr>
        <w:t>a</w:t>
      </w:r>
      <w:r w:rsidRPr="00E228F4">
        <w:rPr>
          <w:lang w:val="es-PE"/>
        </w:rPr>
        <w:t>, Eduardo Espinoza Farfán</w:t>
      </w:r>
      <w:r w:rsidRPr="00E228F4">
        <w:rPr>
          <w:vertAlign w:val="superscript"/>
          <w:lang w:val="es-PE"/>
        </w:rPr>
        <w:t>a</w:t>
      </w:r>
      <w:r w:rsidRPr="00E228F4">
        <w:rPr>
          <w:lang w:val="es-PE"/>
        </w:rPr>
        <w:t>, Rita Cabello Torres</w:t>
      </w:r>
      <w:r w:rsidRPr="00E228F4">
        <w:rPr>
          <w:vertAlign w:val="superscript"/>
          <w:lang w:val="es-PE"/>
        </w:rPr>
        <w:t>a*</w:t>
      </w:r>
    </w:p>
    <w:p w14:paraId="7C738D2D" w14:textId="7CCFCCC6" w:rsidR="00662507" w:rsidRPr="008D65E3" w:rsidRDefault="00662507" w:rsidP="00662507">
      <w:pPr>
        <w:pStyle w:val="CETAddress"/>
        <w:rPr>
          <w:lang w:val="es-PE"/>
        </w:rPr>
      </w:pPr>
      <w:r w:rsidRPr="008D65E3">
        <w:rPr>
          <w:vertAlign w:val="superscript"/>
          <w:lang w:val="es-PE"/>
        </w:rPr>
        <w:t>a</w:t>
      </w:r>
      <w:r w:rsidRPr="008D65E3">
        <w:rPr>
          <w:lang w:val="es-PE"/>
        </w:rPr>
        <w:t xml:space="preserve">Universidad César Vallejo, </w:t>
      </w:r>
      <w:r w:rsidR="008D65E3" w:rsidRPr="008D65E3">
        <w:rPr>
          <w:lang w:val="es-PE"/>
        </w:rPr>
        <w:t>Re</w:t>
      </w:r>
      <w:r w:rsidR="008D65E3">
        <w:rPr>
          <w:lang w:val="es-PE"/>
        </w:rPr>
        <w:t xml:space="preserve">search </w:t>
      </w:r>
      <w:r w:rsidRPr="008D65E3">
        <w:rPr>
          <w:lang w:val="es-PE"/>
        </w:rPr>
        <w:t>Gr</w:t>
      </w:r>
      <w:r w:rsidR="008D65E3">
        <w:rPr>
          <w:lang w:val="es-PE"/>
        </w:rPr>
        <w:t>oup</w:t>
      </w:r>
      <w:r w:rsidRPr="008D65E3">
        <w:rPr>
          <w:lang w:val="es-PE"/>
        </w:rPr>
        <w:t xml:space="preserve"> ICAMB, San Juan de Lurigancho, Lima, Perú </w:t>
      </w:r>
    </w:p>
    <w:p w14:paraId="1751F99D" w14:textId="77777777" w:rsidR="00662507" w:rsidRPr="00E228F4" w:rsidRDefault="00662507" w:rsidP="00662507">
      <w:pPr>
        <w:pStyle w:val="CETAddress"/>
        <w:rPr>
          <w:lang w:val="es-PE"/>
        </w:rPr>
      </w:pPr>
      <w:r w:rsidRPr="00E228F4">
        <w:rPr>
          <w:vertAlign w:val="superscript"/>
          <w:lang w:val="es-PE"/>
        </w:rPr>
        <w:t>c</w:t>
      </w:r>
      <w:r w:rsidRPr="00E228F4">
        <w:rPr>
          <w:lang w:val="es-PE"/>
        </w:rPr>
        <w:t>Universidad Nacional Agraria la Molina, Av. La Molina,La Molina Lima Peru</w:t>
      </w:r>
    </w:p>
    <w:p w14:paraId="3EE1A95E" w14:textId="77777777" w:rsidR="00662507" w:rsidRPr="003F44AD" w:rsidRDefault="00662507" w:rsidP="00662507">
      <w:pPr>
        <w:pStyle w:val="CETemail"/>
        <w:spacing w:line="240" w:lineRule="auto"/>
        <w:jc w:val="both"/>
      </w:pPr>
      <w:r w:rsidRPr="003F44AD">
        <w:t>rcabello@ucv.edu.pe</w:t>
      </w:r>
    </w:p>
    <w:p w14:paraId="6DBE62BC" w14:textId="48B6CAAC" w:rsidR="000459B2" w:rsidRPr="003F44AD" w:rsidRDefault="00103FD2" w:rsidP="00600535">
      <w:pPr>
        <w:pStyle w:val="CETBodytext"/>
        <w:rPr>
          <w:lang w:val="en-GB"/>
        </w:rPr>
      </w:pPr>
      <w:r w:rsidRPr="003F44AD">
        <w:rPr>
          <w:lang w:val="en-GB"/>
        </w:rPr>
        <w:t>The</w:t>
      </w:r>
      <w:r w:rsidR="000459B2" w:rsidRPr="003F44AD">
        <w:rPr>
          <w:lang w:val="en-GB"/>
        </w:rPr>
        <w:t xml:space="preserve"> use of wastewater sludge has potential for application as soil quality improvers, but not without first removing bad </w:t>
      </w:r>
      <w:r w:rsidR="00963E13" w:rsidRPr="003F44AD">
        <w:rPr>
          <w:lang w:val="en-GB"/>
        </w:rPr>
        <w:t>odours</w:t>
      </w:r>
      <w:r w:rsidR="000459B2" w:rsidRPr="003F44AD">
        <w:rPr>
          <w:lang w:val="en-GB"/>
        </w:rPr>
        <w:t xml:space="preserve"> (H</w:t>
      </w:r>
      <w:r w:rsidR="000459B2" w:rsidRPr="003F44AD">
        <w:rPr>
          <w:vertAlign w:val="subscript"/>
          <w:lang w:val="en-GB"/>
        </w:rPr>
        <w:t>2</w:t>
      </w:r>
      <w:r w:rsidR="000459B2" w:rsidRPr="003F44AD">
        <w:rPr>
          <w:lang w:val="en-GB"/>
        </w:rPr>
        <w:t>S) and sanitizing to avoid the presence of pathogens. This research aimed to eliminate H</w:t>
      </w:r>
      <w:r w:rsidR="000459B2" w:rsidRPr="003F44AD">
        <w:rPr>
          <w:vertAlign w:val="subscript"/>
          <w:lang w:val="en-GB"/>
        </w:rPr>
        <w:t>2</w:t>
      </w:r>
      <w:r w:rsidR="000459B2" w:rsidRPr="003F44AD">
        <w:rPr>
          <w:lang w:val="en-GB"/>
        </w:rPr>
        <w:t xml:space="preserve">S and sanitize wastewater sludge through two defined stages of anaerobic digestion and pre-composting. For this, </w:t>
      </w:r>
      <w:r w:rsidR="00675EBB" w:rsidRPr="003F44AD">
        <w:rPr>
          <w:lang w:val="en-GB"/>
        </w:rPr>
        <w:t>four</w:t>
      </w:r>
      <w:r w:rsidR="000459B2" w:rsidRPr="003F44AD">
        <w:rPr>
          <w:lang w:val="en-GB"/>
        </w:rPr>
        <w:t xml:space="preserve"> treatments applied in two stages were proposed. In the first stage, doses of beneficial microorganisms were applied as inoculum (T0= BMOs; T1=5 ml BMOs; T2= 10 ml BMOs; T3= 15 ml BMOs) to the sludge load in the anaerobic digestion. The second stage consisted of the formation of pre-compost piles to eliminate pathogenic microorganisms. The results showed a significant difference between the treatments, especially T2 which achieved almost 100% removal of H</w:t>
      </w:r>
      <w:r w:rsidR="000459B2" w:rsidRPr="003F44AD">
        <w:rPr>
          <w:vertAlign w:val="subscript"/>
          <w:lang w:val="en-GB"/>
        </w:rPr>
        <w:t>2</w:t>
      </w:r>
      <w:r w:rsidR="000459B2" w:rsidRPr="003F44AD">
        <w:rPr>
          <w:lang w:val="en-GB"/>
        </w:rPr>
        <w:t xml:space="preserve">S and pathogens. The anaerobic digestion conditions showed greater efficiency for a more stable pH close to 7.5 </w:t>
      </w:r>
      <w:r w:rsidR="00675EBB" w:rsidRPr="003F44AD">
        <w:rPr>
          <w:lang w:val="en-GB"/>
        </w:rPr>
        <w:t xml:space="preserve">and </w:t>
      </w:r>
      <w:r w:rsidR="000459B2" w:rsidRPr="003F44AD">
        <w:rPr>
          <w:lang w:val="en-GB"/>
        </w:rPr>
        <w:t>for a mesophilic temperature of 30</w:t>
      </w:r>
      <w:r w:rsidR="000459B2" w:rsidRPr="003F44AD">
        <w:rPr>
          <w:vertAlign w:val="superscript"/>
          <w:lang w:val="en-GB"/>
        </w:rPr>
        <w:t>o</w:t>
      </w:r>
      <w:r w:rsidR="000459B2" w:rsidRPr="003F44AD">
        <w:rPr>
          <w:lang w:val="en-GB"/>
        </w:rPr>
        <w:t>C, while the pre-compost temperature was a critical factor that reached 66</w:t>
      </w:r>
      <w:r w:rsidR="000459B2" w:rsidRPr="003F44AD">
        <w:rPr>
          <w:vertAlign w:val="superscript"/>
          <w:lang w:val="en-GB"/>
        </w:rPr>
        <w:t>o</w:t>
      </w:r>
      <w:r w:rsidR="000459B2" w:rsidRPr="003F44AD">
        <w:rPr>
          <w:lang w:val="en-GB"/>
        </w:rPr>
        <w:t xml:space="preserve">C in T2, sufficient to eliminate a significant load of </w:t>
      </w:r>
      <w:r w:rsidR="000459B2" w:rsidRPr="003F44AD">
        <w:rPr>
          <w:i/>
          <w:iCs/>
          <w:lang w:val="en-GB"/>
        </w:rPr>
        <w:t>Salmonella</w:t>
      </w:r>
      <w:r w:rsidR="00675EBB" w:rsidRPr="003F44AD">
        <w:rPr>
          <w:i/>
          <w:iCs/>
          <w:lang w:val="en-GB"/>
        </w:rPr>
        <w:t xml:space="preserve"> spp</w:t>
      </w:r>
      <w:r w:rsidR="00675EBB" w:rsidRPr="003F44AD">
        <w:rPr>
          <w:lang w:val="en-GB"/>
        </w:rPr>
        <w:t>.</w:t>
      </w:r>
      <w:r w:rsidR="000459B2" w:rsidRPr="003F44AD">
        <w:rPr>
          <w:lang w:val="en-GB"/>
        </w:rPr>
        <w:t xml:space="preserve">, </w:t>
      </w:r>
      <w:r w:rsidR="000459B2" w:rsidRPr="003F44AD">
        <w:rPr>
          <w:i/>
          <w:iCs/>
          <w:lang w:val="en-GB"/>
        </w:rPr>
        <w:t>E. coli</w:t>
      </w:r>
      <w:r w:rsidR="000459B2" w:rsidRPr="003F44AD">
        <w:rPr>
          <w:lang w:val="en-GB"/>
        </w:rPr>
        <w:t xml:space="preserve"> and helminth eggs. It was demonstrated that the application of integrated anaerobic digestion and pre-compost methods can be efficiently applied to remove H</w:t>
      </w:r>
      <w:r w:rsidR="000459B2" w:rsidRPr="003F44AD">
        <w:rPr>
          <w:vertAlign w:val="subscript"/>
          <w:lang w:val="en-GB"/>
        </w:rPr>
        <w:t>2</w:t>
      </w:r>
      <w:r w:rsidR="000459B2" w:rsidRPr="003F44AD">
        <w:rPr>
          <w:lang w:val="en-GB"/>
        </w:rPr>
        <w:t>S and eliminate pathogens from waste sludge.</w:t>
      </w:r>
    </w:p>
    <w:p w14:paraId="476B2F2E" w14:textId="77777777" w:rsidR="00600535" w:rsidRPr="003F44AD" w:rsidRDefault="00600535" w:rsidP="00600535">
      <w:pPr>
        <w:pStyle w:val="CETHeading1"/>
        <w:rPr>
          <w:lang w:val="en-GB"/>
        </w:rPr>
      </w:pPr>
      <w:r w:rsidRPr="003F44AD">
        <w:rPr>
          <w:lang w:val="en-GB"/>
        </w:rPr>
        <w:t>Introduction</w:t>
      </w:r>
    </w:p>
    <w:p w14:paraId="11DD0B81" w14:textId="6F206BE1" w:rsidR="00017507" w:rsidRPr="003F44AD" w:rsidRDefault="00F517F4" w:rsidP="00017507">
      <w:pPr>
        <w:pStyle w:val="CETBodytext"/>
        <w:rPr>
          <w:lang w:val="en-GB"/>
        </w:rPr>
      </w:pPr>
      <w:r w:rsidRPr="003F44AD">
        <w:rPr>
          <w:lang w:val="en-GB"/>
        </w:rPr>
        <w:t>The inadequate stabilization of the residual sludge in the Municipal Wastewater Treatment Plant (</w:t>
      </w:r>
      <w:r w:rsidR="003F44AD">
        <w:rPr>
          <w:lang w:val="en-GB"/>
        </w:rPr>
        <w:t>WWTP</w:t>
      </w:r>
      <w:r w:rsidRPr="003F44AD">
        <w:rPr>
          <w:lang w:val="en-GB"/>
        </w:rPr>
        <w:t>) can generate an environmental and health contamination problem; a viable alternative is anaerobic digestion assisted by pre</w:t>
      </w:r>
      <w:r w:rsidR="00DB7416" w:rsidRPr="003F44AD">
        <w:rPr>
          <w:lang w:val="en-GB"/>
        </w:rPr>
        <w:t>-</w:t>
      </w:r>
      <w:r w:rsidRPr="003F44AD">
        <w:rPr>
          <w:lang w:val="en-GB"/>
        </w:rPr>
        <w:t xml:space="preserve">composting, </w:t>
      </w:r>
      <w:r w:rsidR="00017507" w:rsidRPr="003F44AD">
        <w:rPr>
          <w:lang w:val="en-GB"/>
        </w:rPr>
        <w:t>favouring</w:t>
      </w:r>
      <w:r w:rsidRPr="003F44AD">
        <w:rPr>
          <w:lang w:val="en-GB"/>
        </w:rPr>
        <w:t xml:space="preserve"> the economic use of waste (</w:t>
      </w:r>
      <w:r w:rsidR="008555EA">
        <w:rPr>
          <w:lang w:val="en-GB"/>
        </w:rPr>
        <w:t>Jacobo et al., 2023</w:t>
      </w:r>
      <w:r w:rsidRPr="003F44AD">
        <w:rPr>
          <w:lang w:val="en-GB"/>
        </w:rPr>
        <w:t xml:space="preserve">). </w:t>
      </w:r>
      <w:r w:rsidR="00D81842" w:rsidRPr="003F44AD">
        <w:rPr>
          <w:lang w:val="en-GB"/>
        </w:rPr>
        <w:t xml:space="preserve">A simple technology with a lower investment cost is the use of beneficial microorganisms to accelerate the process of transformation of organic material and elimination of bad </w:t>
      </w:r>
      <w:r w:rsidR="003F44AD" w:rsidRPr="003F44AD">
        <w:rPr>
          <w:lang w:val="en-GB"/>
        </w:rPr>
        <w:t>odours</w:t>
      </w:r>
      <w:r w:rsidR="00D81842" w:rsidRPr="003F44AD">
        <w:rPr>
          <w:lang w:val="en-GB"/>
        </w:rPr>
        <w:t xml:space="preserve"> from waste sludge to restrict </w:t>
      </w:r>
      <w:r w:rsidR="003F44AD" w:rsidRPr="003F44AD">
        <w:rPr>
          <w:lang w:val="en-GB"/>
        </w:rPr>
        <w:t>sulphate</w:t>
      </w:r>
      <w:r w:rsidR="00D81842" w:rsidRPr="003F44AD">
        <w:rPr>
          <w:lang w:val="en-GB"/>
        </w:rPr>
        <w:t>-reducing bacteria and eliminate the formation of H</w:t>
      </w:r>
      <w:r w:rsidR="00D81842" w:rsidRPr="003F44AD">
        <w:rPr>
          <w:vertAlign w:val="subscript"/>
          <w:lang w:val="en-GB"/>
        </w:rPr>
        <w:t>2</w:t>
      </w:r>
      <w:r w:rsidR="00D81842" w:rsidRPr="003F44AD">
        <w:rPr>
          <w:lang w:val="en-GB"/>
        </w:rPr>
        <w:t xml:space="preserve">S (Rathnayake et al., 2021). The application of these microorganisms in the development of anaerobic digestion eliminates hydrogen </w:t>
      </w:r>
      <w:r w:rsidR="003F44AD" w:rsidRPr="003F44AD">
        <w:rPr>
          <w:lang w:val="en-GB"/>
        </w:rPr>
        <w:t>sulphide</w:t>
      </w:r>
      <w:r w:rsidR="00D81842" w:rsidRPr="003F44AD">
        <w:rPr>
          <w:lang w:val="en-GB"/>
        </w:rPr>
        <w:t xml:space="preserve">. This technology can be assisted by the composting process until the </w:t>
      </w:r>
      <w:r w:rsidR="00632628" w:rsidRPr="003F44AD">
        <w:rPr>
          <w:lang w:val="en-GB"/>
        </w:rPr>
        <w:t>thermophile</w:t>
      </w:r>
      <w:r w:rsidR="00D81842" w:rsidRPr="003F44AD">
        <w:rPr>
          <w:lang w:val="en-GB"/>
        </w:rPr>
        <w:t xml:space="preserve"> stage, allowing in turn the elimination of pathogens from the sludge (Chen, et al. 2022). </w:t>
      </w:r>
      <w:r w:rsidR="00017507" w:rsidRPr="003F44AD">
        <w:rPr>
          <w:lang w:val="en-GB"/>
        </w:rPr>
        <w:t>The objective of the research was to stabilize the residual sludge of a municipal WWTP, through the application of beneficial microorganisms (BM) for the elimination of H</w:t>
      </w:r>
      <w:r w:rsidR="00017507" w:rsidRPr="003F44AD">
        <w:rPr>
          <w:vertAlign w:val="subscript"/>
          <w:lang w:val="en-GB"/>
        </w:rPr>
        <w:t>2</w:t>
      </w:r>
      <w:r w:rsidR="00017507" w:rsidRPr="003F44AD">
        <w:rPr>
          <w:lang w:val="en-GB"/>
        </w:rPr>
        <w:t xml:space="preserve">S in an anaerobic digestion process assisted by a subsequent pre-compost to eliminate pathogenic microorganisms. </w:t>
      </w:r>
    </w:p>
    <w:p w14:paraId="49D2DFA0" w14:textId="77777777" w:rsidR="00DB7416" w:rsidRPr="003F44AD" w:rsidRDefault="00DB7416" w:rsidP="00DB7416">
      <w:pPr>
        <w:pStyle w:val="CETHeading1"/>
        <w:rPr>
          <w:lang w:val="en-GB"/>
        </w:rPr>
      </w:pPr>
      <w:r w:rsidRPr="003F44AD">
        <w:rPr>
          <w:lang w:val="en-GB"/>
        </w:rPr>
        <w:t>Methods</w:t>
      </w:r>
    </w:p>
    <w:p w14:paraId="51E4045A" w14:textId="4B619AEE" w:rsidR="00F517F4" w:rsidRPr="003F44AD" w:rsidRDefault="00DB7416" w:rsidP="00F517F4">
      <w:pPr>
        <w:pStyle w:val="CETBodytext"/>
        <w:rPr>
          <w:b/>
          <w:lang w:val="en-GB"/>
        </w:rPr>
      </w:pPr>
      <w:r w:rsidRPr="003F44AD">
        <w:rPr>
          <w:b/>
          <w:lang w:val="en-GB"/>
        </w:rPr>
        <w:t xml:space="preserve">2.1 </w:t>
      </w:r>
      <w:r w:rsidR="00F517F4" w:rsidRPr="003F44AD">
        <w:rPr>
          <w:b/>
          <w:lang w:val="en-GB"/>
        </w:rPr>
        <w:t xml:space="preserve">Raw material collection: </w:t>
      </w:r>
    </w:p>
    <w:p w14:paraId="570572B7" w14:textId="77777777" w:rsidR="00DB7416" w:rsidRPr="003F44AD" w:rsidRDefault="00DB7416" w:rsidP="00F517F4">
      <w:pPr>
        <w:pStyle w:val="CETBodytext"/>
        <w:rPr>
          <w:lang w:val="en-GB"/>
        </w:rPr>
      </w:pPr>
    </w:p>
    <w:p w14:paraId="725C1669" w14:textId="7A818CDA" w:rsidR="00F517F4" w:rsidRPr="003F44AD" w:rsidRDefault="00F517F4" w:rsidP="00F517F4">
      <w:pPr>
        <w:pStyle w:val="CETBodytext"/>
        <w:rPr>
          <w:lang w:val="en-GB"/>
        </w:rPr>
      </w:pPr>
      <w:r w:rsidRPr="003F44AD">
        <w:rPr>
          <w:lang w:val="en-GB"/>
        </w:rPr>
        <w:lastRenderedPageBreak/>
        <w:t xml:space="preserve">500 L of residual sludge were collected from the municipal WWTP of Cieneguilla (Lima) and stored for 2 days, separating the solid part for the deodorization process. Likewise, 1 ton of green floral waste was collected at collection points in the “Padre Eterno cemetery” (Lima) for its composting process. </w:t>
      </w:r>
    </w:p>
    <w:p w14:paraId="5D54E002" w14:textId="77777777" w:rsidR="00DB7416" w:rsidRPr="003F44AD" w:rsidRDefault="00DB7416" w:rsidP="00F517F4">
      <w:pPr>
        <w:pStyle w:val="CETBodytext"/>
        <w:rPr>
          <w:lang w:val="en-GB"/>
        </w:rPr>
      </w:pPr>
    </w:p>
    <w:p w14:paraId="59542C57" w14:textId="4B588622" w:rsidR="00DB7416" w:rsidRPr="003F44AD" w:rsidRDefault="00DB7416" w:rsidP="00F517F4">
      <w:pPr>
        <w:pStyle w:val="CETBodytext"/>
        <w:rPr>
          <w:b/>
          <w:lang w:val="en-GB"/>
        </w:rPr>
      </w:pPr>
      <w:r w:rsidRPr="003F44AD">
        <w:rPr>
          <w:b/>
          <w:lang w:val="en-GB"/>
        </w:rPr>
        <w:t xml:space="preserve">2.2 </w:t>
      </w:r>
      <w:r w:rsidR="00F517F4" w:rsidRPr="003F44AD">
        <w:rPr>
          <w:b/>
          <w:lang w:val="en-GB"/>
        </w:rPr>
        <w:t>Physicochemical and microbiological characterization</w:t>
      </w:r>
    </w:p>
    <w:p w14:paraId="52EAAA31" w14:textId="2D9DB87B" w:rsidR="00F517F4" w:rsidRPr="00E228F4" w:rsidRDefault="00F517F4" w:rsidP="00F517F4">
      <w:pPr>
        <w:pStyle w:val="CETBodytext"/>
        <w:rPr>
          <w:color w:val="FF0000"/>
          <w:lang w:val="en-GB"/>
        </w:rPr>
      </w:pPr>
      <w:r w:rsidRPr="003F44AD">
        <w:rPr>
          <w:lang w:val="en-GB"/>
        </w:rPr>
        <w:t>Physicochemical and microbiological parameters were measured at the beginning and at the end of the treatments. Moisture (M%), organic matter (OM%), pH in the mud mixtures were measured and H</w:t>
      </w:r>
      <w:r w:rsidRPr="003F44AD">
        <w:rPr>
          <w:vertAlign w:val="subscript"/>
          <w:lang w:val="en-GB"/>
        </w:rPr>
        <w:t>2</w:t>
      </w:r>
      <w:r w:rsidRPr="003F44AD">
        <w:rPr>
          <w:lang w:val="en-GB"/>
        </w:rPr>
        <w:t>S was also measured using a multigas detector (4500-S 2-s method). Similarly, in the pre-composting process, H%, pH and T(</w:t>
      </w:r>
      <w:r w:rsidRPr="003F44AD">
        <w:rPr>
          <w:vertAlign w:val="superscript"/>
          <w:lang w:val="en-GB"/>
        </w:rPr>
        <w:t>o</w:t>
      </w:r>
      <w:r w:rsidRPr="003F44AD">
        <w:rPr>
          <w:lang w:val="en-GB"/>
        </w:rPr>
        <w:t xml:space="preserve">C) were measured, in addition to pathogenic microorganisms: </w:t>
      </w:r>
      <w:r w:rsidRPr="003F44AD">
        <w:rPr>
          <w:i/>
          <w:iCs/>
          <w:lang w:val="en-GB"/>
        </w:rPr>
        <w:t>Eschearia coli</w:t>
      </w:r>
      <w:r w:rsidRPr="003F44AD">
        <w:rPr>
          <w:lang w:val="en-GB"/>
        </w:rPr>
        <w:t xml:space="preserve"> MP</w:t>
      </w:r>
      <w:r w:rsidR="003F44AD">
        <w:rPr>
          <w:lang w:val="en-GB"/>
        </w:rPr>
        <w:t>N</w:t>
      </w:r>
      <w:r w:rsidRPr="003F44AD">
        <w:rPr>
          <w:lang w:val="en-GB"/>
        </w:rPr>
        <w:t xml:space="preserve">, </w:t>
      </w:r>
      <w:r w:rsidRPr="003F44AD">
        <w:rPr>
          <w:i/>
          <w:iCs/>
          <w:lang w:val="en-GB"/>
        </w:rPr>
        <w:t>Salmonella spp</w:t>
      </w:r>
      <w:r w:rsidRPr="003F44AD">
        <w:rPr>
          <w:lang w:val="en-GB"/>
        </w:rPr>
        <w:t>. MP</w:t>
      </w:r>
      <w:r w:rsidR="00156029" w:rsidRPr="003F44AD">
        <w:rPr>
          <w:lang w:val="en-GB"/>
        </w:rPr>
        <w:t>N</w:t>
      </w:r>
      <w:r w:rsidRPr="003F44AD">
        <w:rPr>
          <w:lang w:val="en-GB"/>
        </w:rPr>
        <w:t xml:space="preserve"> and viable eggs of HH helminths. The Viable Mesophilic Aerobic Count (VMAC) (</w:t>
      </w:r>
      <w:r w:rsidR="00156029" w:rsidRPr="003F44AD">
        <w:rPr>
          <w:lang w:val="en-GB"/>
        </w:rPr>
        <w:t>CFU</w:t>
      </w:r>
      <w:r w:rsidRPr="003F44AD">
        <w:rPr>
          <w:lang w:val="en-GB"/>
        </w:rPr>
        <w:t xml:space="preserve">/ml) was also performed; </w:t>
      </w:r>
      <w:r w:rsidR="003F44AD">
        <w:rPr>
          <w:lang w:val="en-GB"/>
        </w:rPr>
        <w:t>m</w:t>
      </w:r>
      <w:r w:rsidR="003F44AD" w:rsidRPr="003F44AD">
        <w:rPr>
          <w:lang w:val="en-GB"/>
        </w:rPr>
        <w:t>ould</w:t>
      </w:r>
      <w:r w:rsidRPr="003F44AD">
        <w:rPr>
          <w:lang w:val="en-GB"/>
        </w:rPr>
        <w:t xml:space="preserve"> and yeast count (MYC) (CFU/ml); Actinomycetes (UFC/ml) present in the B</w:t>
      </w:r>
      <w:r w:rsidR="003F44AD">
        <w:rPr>
          <w:lang w:val="en-GB"/>
        </w:rPr>
        <w:t>MOs</w:t>
      </w:r>
      <w:r w:rsidRPr="003F44AD">
        <w:rPr>
          <w:lang w:val="en-GB"/>
        </w:rPr>
        <w:t xml:space="preserve"> inoculum to determine its influence on the elimination of H</w:t>
      </w:r>
      <w:r w:rsidRPr="003F44AD">
        <w:rPr>
          <w:vertAlign w:val="subscript"/>
          <w:lang w:val="en-GB"/>
        </w:rPr>
        <w:t>2</w:t>
      </w:r>
      <w:r w:rsidRPr="003F44AD">
        <w:rPr>
          <w:lang w:val="en-GB"/>
        </w:rPr>
        <w:t xml:space="preserve">S. </w:t>
      </w:r>
      <w:r w:rsidR="00E228F4" w:rsidRPr="00E228F4">
        <w:rPr>
          <w:color w:val="FF0000"/>
          <w:lang w:val="en-GB"/>
        </w:rPr>
        <w:t>Wang et al. (2022) defines beneficial microorganisms as useful inocula for soil and crop management, bio-controls, and used in bioremediation. However, the authors prefer to define MOBs as microorganisms that can be used to accelerate or improve biochemical processes in eco-friendly technologies, this includes their application in anaerobic digestion, compost, remediation processes, etc. for the benefit of human beings and the environment.</w:t>
      </w:r>
    </w:p>
    <w:p w14:paraId="72F60154" w14:textId="77777777" w:rsidR="00DB7416" w:rsidRPr="003F44AD" w:rsidRDefault="00DB7416" w:rsidP="00F517F4">
      <w:pPr>
        <w:pStyle w:val="CETBodytext"/>
        <w:rPr>
          <w:lang w:val="en-GB"/>
        </w:rPr>
      </w:pPr>
    </w:p>
    <w:p w14:paraId="235B281E" w14:textId="2BCB179F" w:rsidR="00F517F4" w:rsidRPr="003F44AD" w:rsidRDefault="00DB7416" w:rsidP="0097228E">
      <w:pPr>
        <w:pStyle w:val="CETBodytext"/>
        <w:spacing w:line="240" w:lineRule="auto"/>
        <w:rPr>
          <w:b/>
          <w:lang w:val="en-GB"/>
        </w:rPr>
      </w:pPr>
      <w:r w:rsidRPr="003F44AD">
        <w:rPr>
          <w:b/>
          <w:lang w:val="en-GB"/>
        </w:rPr>
        <w:t xml:space="preserve">2.3 </w:t>
      </w:r>
      <w:r w:rsidR="00F517F4" w:rsidRPr="003F44AD">
        <w:rPr>
          <w:b/>
          <w:lang w:val="en-GB"/>
        </w:rPr>
        <w:t xml:space="preserve">Deodorization Process </w:t>
      </w:r>
    </w:p>
    <w:p w14:paraId="2E3003B7" w14:textId="1B83E523" w:rsidR="00F517F4" w:rsidRPr="003F44AD" w:rsidRDefault="00F517F4" w:rsidP="0097228E">
      <w:pPr>
        <w:pStyle w:val="CETBodytext"/>
        <w:spacing w:line="240" w:lineRule="auto"/>
        <w:rPr>
          <w:lang w:val="en-GB"/>
        </w:rPr>
      </w:pPr>
      <w:r w:rsidRPr="003F44AD">
        <w:rPr>
          <w:lang w:val="en-GB"/>
        </w:rPr>
        <w:t>Cultivation and activation of BM</w:t>
      </w:r>
      <w:r w:rsidR="003F44AD">
        <w:rPr>
          <w:lang w:val="en-GB"/>
        </w:rPr>
        <w:t>Os</w:t>
      </w:r>
      <w:r w:rsidRPr="003F44AD">
        <w:rPr>
          <w:lang w:val="en-GB"/>
        </w:rPr>
        <w:t>. Cabbage pieces, cooked chicken liver, molasses and salt were added to 1L of distilled water. This mixture was grown at room temperature in airtight bags for 7 days, until a whitish appearance (like cotton) and a fermentation smell were observed. The supernatant was decanted and filtered to be used as inoculum (Meza, 2019). The inoculum was activated at a ratio of 100 ml/30 L of diluted molasses before use.</w:t>
      </w:r>
    </w:p>
    <w:p w14:paraId="7AC8C444" w14:textId="77777777" w:rsidR="00DB7416" w:rsidRPr="003F44AD" w:rsidRDefault="00DB7416" w:rsidP="00F517F4">
      <w:pPr>
        <w:pStyle w:val="CETBodytext"/>
        <w:rPr>
          <w:lang w:val="en-GB"/>
        </w:rPr>
      </w:pPr>
    </w:p>
    <w:p w14:paraId="56CB4A41" w14:textId="04F9D491" w:rsidR="00F517F4" w:rsidRPr="003F44AD" w:rsidRDefault="00DB7416" w:rsidP="00F517F4">
      <w:pPr>
        <w:pStyle w:val="CETBodytext"/>
        <w:rPr>
          <w:b/>
          <w:lang w:val="en-GB"/>
        </w:rPr>
      </w:pPr>
      <w:r w:rsidRPr="003F44AD">
        <w:rPr>
          <w:b/>
          <w:lang w:val="en-GB"/>
        </w:rPr>
        <w:t xml:space="preserve">2.4 </w:t>
      </w:r>
      <w:r w:rsidR="00F517F4" w:rsidRPr="003F44AD">
        <w:rPr>
          <w:b/>
          <w:lang w:val="en-GB"/>
        </w:rPr>
        <w:t>Anaerobic Reactor</w:t>
      </w:r>
    </w:p>
    <w:p w14:paraId="043EEF92" w14:textId="35F69BEF" w:rsidR="00F517F4" w:rsidRPr="003F44AD" w:rsidRDefault="00F517F4" w:rsidP="00F517F4">
      <w:pPr>
        <w:pStyle w:val="CETBodytext"/>
        <w:rPr>
          <w:lang w:val="en-GB"/>
        </w:rPr>
      </w:pPr>
      <w:r w:rsidRPr="003F44AD">
        <w:rPr>
          <w:lang w:val="en-GB"/>
        </w:rPr>
        <w:t xml:space="preserve">The anaerobic digestion reactor had the following dimensions: 200 cm long x 50 cm wide x 50 cm high and 1 cm thick. The reactor had </w:t>
      </w:r>
      <w:r w:rsidR="005869EF" w:rsidRPr="003F44AD">
        <w:rPr>
          <w:lang w:val="en-GB"/>
        </w:rPr>
        <w:t>four</w:t>
      </w:r>
      <w:r w:rsidRPr="003F44AD">
        <w:rPr>
          <w:lang w:val="en-GB"/>
        </w:rPr>
        <w:t xml:space="preserve"> divisions, where each mixture or treatment was arranged (T0, T1, T2 and T3), each division had an orifice connected by pipes to containers containing 1N sulfuric acid to capture ammonia gas.</w:t>
      </w:r>
    </w:p>
    <w:p w14:paraId="53959FD5" w14:textId="77777777" w:rsidR="00DB7416" w:rsidRPr="003F44AD" w:rsidRDefault="00DB7416" w:rsidP="00F517F4">
      <w:pPr>
        <w:pStyle w:val="CETBodytext"/>
        <w:rPr>
          <w:lang w:val="en-GB"/>
        </w:rPr>
      </w:pPr>
    </w:p>
    <w:p w14:paraId="41E912E0" w14:textId="293629C1" w:rsidR="00F517F4" w:rsidRPr="003F44AD" w:rsidRDefault="00DB7416" w:rsidP="00F517F4">
      <w:pPr>
        <w:pStyle w:val="CETBodytext"/>
        <w:rPr>
          <w:b/>
          <w:lang w:val="en-GB"/>
        </w:rPr>
      </w:pPr>
      <w:r w:rsidRPr="003F44AD">
        <w:rPr>
          <w:b/>
          <w:lang w:val="en-GB"/>
        </w:rPr>
        <w:t xml:space="preserve">2.5 </w:t>
      </w:r>
      <w:r w:rsidR="00F517F4" w:rsidRPr="003F44AD">
        <w:rPr>
          <w:b/>
          <w:lang w:val="en-GB"/>
        </w:rPr>
        <w:t>Residual sludge deodorization:</w:t>
      </w:r>
    </w:p>
    <w:p w14:paraId="6DCABE72" w14:textId="0393C906" w:rsidR="00F517F4" w:rsidRPr="003F44AD" w:rsidRDefault="00F517F4" w:rsidP="00F517F4">
      <w:pPr>
        <w:pStyle w:val="CETBodytext"/>
        <w:rPr>
          <w:lang w:val="en-GB"/>
        </w:rPr>
      </w:pPr>
      <w:r w:rsidRPr="003F44AD">
        <w:rPr>
          <w:lang w:val="en-GB"/>
        </w:rPr>
        <w:t>The operating capacity of each compartment was 100L, for which the residual sludge and B</w:t>
      </w:r>
      <w:r w:rsidR="003F44AD">
        <w:rPr>
          <w:lang w:val="en-GB"/>
        </w:rPr>
        <w:t>MOs</w:t>
      </w:r>
      <w:r w:rsidRPr="003F44AD">
        <w:rPr>
          <w:lang w:val="en-GB"/>
        </w:rPr>
        <w:t xml:space="preserve"> inoculum were added in proportions (v/v) of 5%(T1), 10%(T2), 15% (T3) and a control without </w:t>
      </w:r>
      <w:r w:rsidR="003F44AD">
        <w:rPr>
          <w:lang w:val="en-GB"/>
        </w:rPr>
        <w:t>BMOs</w:t>
      </w:r>
      <w:r w:rsidRPr="003F44AD">
        <w:rPr>
          <w:lang w:val="en-GB"/>
        </w:rPr>
        <w:t xml:space="preserve"> (T0), for 15 days at 30 </w:t>
      </w:r>
      <w:r w:rsidRPr="003F44AD">
        <w:rPr>
          <w:vertAlign w:val="superscript"/>
          <w:lang w:val="en-GB"/>
        </w:rPr>
        <w:t>o</w:t>
      </w:r>
      <w:r w:rsidRPr="003F44AD">
        <w:rPr>
          <w:lang w:val="en-GB"/>
        </w:rPr>
        <w:t>C.</w:t>
      </w:r>
      <w:r w:rsidR="00F02A14">
        <w:rPr>
          <w:lang w:val="en-GB"/>
        </w:rPr>
        <w:t xml:space="preserve"> </w:t>
      </w:r>
      <w:r w:rsidR="00F02A14" w:rsidRPr="00F02A14">
        <w:rPr>
          <w:color w:val="FF0000"/>
          <w:lang w:val="en-GB"/>
        </w:rPr>
        <w:t>The reason is that in 15 days the bad smell of rotten eggs disappeared</w:t>
      </w:r>
      <w:r w:rsidR="00F02A14" w:rsidRPr="00F02A14">
        <w:rPr>
          <w:lang w:val="en-GB"/>
        </w:rPr>
        <w:t>.</w:t>
      </w:r>
    </w:p>
    <w:p w14:paraId="573D0079" w14:textId="77777777" w:rsidR="00DB7416" w:rsidRPr="003F44AD" w:rsidRDefault="00DB7416" w:rsidP="00F517F4">
      <w:pPr>
        <w:pStyle w:val="CETBodytext"/>
        <w:rPr>
          <w:lang w:val="en-GB"/>
        </w:rPr>
      </w:pPr>
    </w:p>
    <w:p w14:paraId="75F1A7A6" w14:textId="0FE799B7" w:rsidR="00F517F4" w:rsidRPr="003F44AD" w:rsidRDefault="00DB7416" w:rsidP="00F517F4">
      <w:pPr>
        <w:pStyle w:val="CETBodytext"/>
        <w:rPr>
          <w:b/>
          <w:lang w:val="en-GB"/>
        </w:rPr>
      </w:pPr>
      <w:r w:rsidRPr="003F44AD">
        <w:rPr>
          <w:b/>
          <w:lang w:val="en-GB"/>
        </w:rPr>
        <w:t xml:space="preserve">2.6 </w:t>
      </w:r>
      <w:r w:rsidR="00F517F4" w:rsidRPr="003F44AD">
        <w:rPr>
          <w:b/>
          <w:lang w:val="en-GB"/>
        </w:rPr>
        <w:t>Pre-composting:</w:t>
      </w:r>
    </w:p>
    <w:p w14:paraId="624D1260" w14:textId="396FBA53" w:rsidR="00F517F4" w:rsidRPr="003F44AD" w:rsidRDefault="00F517F4" w:rsidP="00F517F4">
      <w:pPr>
        <w:pStyle w:val="CETBodytext"/>
        <w:rPr>
          <w:lang w:val="en-GB"/>
        </w:rPr>
      </w:pPr>
      <w:r w:rsidRPr="003F44AD">
        <w:rPr>
          <w:lang w:val="en-GB"/>
        </w:rPr>
        <w:t>Each biosolid obtained in the anaerobic digestion process was mixed with 250 kg of green waste in composting piles of 1.5 m long x 0.5 m wide x 1 m high for the elimination of pathogens. This process lasted 15 days, involving the mesophilic and thermophilic or sanitization phase.</w:t>
      </w:r>
    </w:p>
    <w:p w14:paraId="3396AB7A" w14:textId="0E4BE031" w:rsidR="00DE1BFE" w:rsidRPr="003F44AD" w:rsidRDefault="00902645" w:rsidP="00F517F4">
      <w:pPr>
        <w:pStyle w:val="CETBodytext"/>
        <w:rPr>
          <w:lang w:val="en-GB"/>
        </w:rPr>
      </w:pPr>
      <w:r w:rsidRPr="003F44AD">
        <w:rPr>
          <w:noProof/>
        </w:rPr>
        <w:drawing>
          <wp:anchor distT="0" distB="0" distL="114300" distR="114300" simplePos="0" relativeHeight="251658240" behindDoc="0" locked="0" layoutInCell="1" allowOverlap="1" wp14:anchorId="12674747" wp14:editId="2A04E629">
            <wp:simplePos x="0" y="0"/>
            <wp:positionH relativeFrom="margin">
              <wp:posOffset>186690</wp:posOffset>
            </wp:positionH>
            <wp:positionV relativeFrom="paragraph">
              <wp:posOffset>37465</wp:posOffset>
            </wp:positionV>
            <wp:extent cx="4743450" cy="2300605"/>
            <wp:effectExtent l="0" t="0" r="0" b="444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3450" cy="2300605"/>
                    </a:xfrm>
                    <a:prstGeom prst="rect">
                      <a:avLst/>
                    </a:prstGeom>
                    <a:noFill/>
                  </pic:spPr>
                </pic:pic>
              </a:graphicData>
            </a:graphic>
            <wp14:sizeRelH relativeFrom="margin">
              <wp14:pctWidth>0</wp14:pctWidth>
            </wp14:sizeRelH>
            <wp14:sizeRelV relativeFrom="margin">
              <wp14:pctHeight>0</wp14:pctHeight>
            </wp14:sizeRelV>
          </wp:anchor>
        </w:drawing>
      </w:r>
    </w:p>
    <w:p w14:paraId="18FE744F" w14:textId="77777777" w:rsidR="00902645" w:rsidRDefault="00902645" w:rsidP="00F517F4">
      <w:pPr>
        <w:pStyle w:val="CETBodytext"/>
        <w:rPr>
          <w:lang w:val="en-GB"/>
        </w:rPr>
      </w:pPr>
    </w:p>
    <w:p w14:paraId="74C0C420" w14:textId="77777777" w:rsidR="00902645" w:rsidRDefault="00902645" w:rsidP="00F517F4">
      <w:pPr>
        <w:pStyle w:val="CETBodytext"/>
        <w:rPr>
          <w:lang w:val="en-GB"/>
        </w:rPr>
      </w:pPr>
    </w:p>
    <w:p w14:paraId="22310021" w14:textId="77777777" w:rsidR="00902645" w:rsidRDefault="00902645" w:rsidP="00F517F4">
      <w:pPr>
        <w:pStyle w:val="CETBodytext"/>
        <w:rPr>
          <w:lang w:val="en-GB"/>
        </w:rPr>
      </w:pPr>
    </w:p>
    <w:p w14:paraId="4CDEB93F" w14:textId="77777777" w:rsidR="00902645" w:rsidRDefault="00902645" w:rsidP="00F517F4">
      <w:pPr>
        <w:pStyle w:val="CETBodytext"/>
        <w:rPr>
          <w:lang w:val="en-GB"/>
        </w:rPr>
      </w:pPr>
    </w:p>
    <w:p w14:paraId="177575C3" w14:textId="77777777" w:rsidR="00902645" w:rsidRDefault="00902645" w:rsidP="00F517F4">
      <w:pPr>
        <w:pStyle w:val="CETBodytext"/>
        <w:rPr>
          <w:lang w:val="en-GB"/>
        </w:rPr>
      </w:pPr>
    </w:p>
    <w:p w14:paraId="10338572" w14:textId="77777777" w:rsidR="00902645" w:rsidRDefault="00902645" w:rsidP="00F517F4">
      <w:pPr>
        <w:pStyle w:val="CETBodytext"/>
        <w:rPr>
          <w:lang w:val="en-GB"/>
        </w:rPr>
      </w:pPr>
    </w:p>
    <w:p w14:paraId="23932475" w14:textId="77777777" w:rsidR="00902645" w:rsidRDefault="00902645" w:rsidP="00F517F4">
      <w:pPr>
        <w:pStyle w:val="CETBodytext"/>
        <w:rPr>
          <w:lang w:val="en-GB"/>
        </w:rPr>
      </w:pPr>
    </w:p>
    <w:p w14:paraId="5EEA5F43" w14:textId="77777777" w:rsidR="00902645" w:rsidRDefault="00902645" w:rsidP="00F517F4">
      <w:pPr>
        <w:pStyle w:val="CETBodytext"/>
        <w:rPr>
          <w:lang w:val="en-GB"/>
        </w:rPr>
      </w:pPr>
    </w:p>
    <w:p w14:paraId="60558779" w14:textId="77777777" w:rsidR="00902645" w:rsidRDefault="00902645" w:rsidP="00F517F4">
      <w:pPr>
        <w:pStyle w:val="CETBodytext"/>
        <w:rPr>
          <w:lang w:val="en-GB"/>
        </w:rPr>
      </w:pPr>
    </w:p>
    <w:p w14:paraId="4C3B09A5" w14:textId="77777777" w:rsidR="00902645" w:rsidRDefault="00902645" w:rsidP="00F517F4">
      <w:pPr>
        <w:pStyle w:val="CETBodytext"/>
        <w:rPr>
          <w:lang w:val="en-GB"/>
        </w:rPr>
      </w:pPr>
    </w:p>
    <w:p w14:paraId="0FEDCCDF" w14:textId="77777777" w:rsidR="00902645" w:rsidRDefault="00902645" w:rsidP="00F517F4">
      <w:pPr>
        <w:pStyle w:val="CETBodytext"/>
        <w:rPr>
          <w:lang w:val="en-GB"/>
        </w:rPr>
      </w:pPr>
    </w:p>
    <w:p w14:paraId="30D936E4" w14:textId="77777777" w:rsidR="00902645" w:rsidRDefault="00902645" w:rsidP="00F517F4">
      <w:pPr>
        <w:pStyle w:val="CETBodytext"/>
        <w:rPr>
          <w:lang w:val="en-GB"/>
        </w:rPr>
      </w:pPr>
    </w:p>
    <w:p w14:paraId="181BA54B" w14:textId="77777777" w:rsidR="00902645" w:rsidRDefault="00902645" w:rsidP="00F517F4">
      <w:pPr>
        <w:pStyle w:val="CETBodytext"/>
        <w:rPr>
          <w:lang w:val="en-GB"/>
        </w:rPr>
      </w:pPr>
    </w:p>
    <w:p w14:paraId="77A0E743" w14:textId="77777777" w:rsidR="00902645" w:rsidRDefault="00902645" w:rsidP="00F517F4">
      <w:pPr>
        <w:pStyle w:val="CETBodytext"/>
        <w:rPr>
          <w:lang w:val="en-GB"/>
        </w:rPr>
      </w:pPr>
    </w:p>
    <w:p w14:paraId="72D4FE4E" w14:textId="77777777" w:rsidR="00902645" w:rsidRDefault="00902645" w:rsidP="00F517F4">
      <w:pPr>
        <w:pStyle w:val="CETBodytext"/>
        <w:rPr>
          <w:lang w:val="en-GB"/>
        </w:rPr>
      </w:pPr>
    </w:p>
    <w:p w14:paraId="702CF809" w14:textId="77777777" w:rsidR="00902645" w:rsidRDefault="00902645" w:rsidP="00F517F4">
      <w:pPr>
        <w:pStyle w:val="CETBodytext"/>
        <w:rPr>
          <w:lang w:val="en-GB"/>
        </w:rPr>
      </w:pPr>
    </w:p>
    <w:p w14:paraId="3C5617ED" w14:textId="302C5DC8" w:rsidR="00DE1BFE" w:rsidRPr="003F44AD" w:rsidRDefault="00DE1BFE" w:rsidP="00F517F4">
      <w:pPr>
        <w:pStyle w:val="CETBodytext"/>
        <w:rPr>
          <w:lang w:val="en-GB"/>
        </w:rPr>
      </w:pPr>
      <w:r w:rsidRPr="003F44AD">
        <w:rPr>
          <w:lang w:val="en-GB"/>
        </w:rPr>
        <w:t>Figure 1. H2S elimination process and sludge sanitation applied in the research</w:t>
      </w:r>
    </w:p>
    <w:p w14:paraId="08345B4C" w14:textId="77777777" w:rsidR="00902645" w:rsidRDefault="00902645" w:rsidP="00F517F4">
      <w:pPr>
        <w:pStyle w:val="CETBodytext"/>
        <w:rPr>
          <w:b/>
          <w:lang w:val="en-GB"/>
        </w:rPr>
      </w:pPr>
    </w:p>
    <w:p w14:paraId="7D8FCC75" w14:textId="009FAED7" w:rsidR="00DB7416" w:rsidRPr="003F44AD" w:rsidRDefault="00DB7416" w:rsidP="00F517F4">
      <w:pPr>
        <w:pStyle w:val="CETBodytext"/>
        <w:rPr>
          <w:b/>
          <w:lang w:val="en-GB"/>
        </w:rPr>
      </w:pPr>
      <w:r w:rsidRPr="003F44AD">
        <w:rPr>
          <w:b/>
          <w:lang w:val="en-GB"/>
        </w:rPr>
        <w:t xml:space="preserve">2.7 </w:t>
      </w:r>
      <w:r w:rsidR="00F517F4" w:rsidRPr="003F44AD">
        <w:rPr>
          <w:b/>
          <w:lang w:val="en-GB"/>
        </w:rPr>
        <w:t>Data analysis</w:t>
      </w:r>
    </w:p>
    <w:p w14:paraId="31881DF3" w14:textId="2E5492C8" w:rsidR="00F517F4" w:rsidRPr="003F44AD" w:rsidRDefault="00F517F4" w:rsidP="00F517F4">
      <w:pPr>
        <w:pStyle w:val="CETBodytext"/>
        <w:rPr>
          <w:lang w:val="en-GB"/>
        </w:rPr>
      </w:pPr>
      <w:r w:rsidRPr="003F44AD">
        <w:rPr>
          <w:lang w:val="en-GB"/>
        </w:rPr>
        <w:lastRenderedPageBreak/>
        <w:t>Microsoft Excel was used to prepare graphs and tables, the Shapiro-Wilk test was applied to verify the normality of the data; Analysis of variance (ANOVA) was used to distinguish significant differences between treatments. The Tukey Test was applied to compare the standard errors using the number of treatments as the numerator and the degrees of freedom of the error as the denominator.</w:t>
      </w:r>
    </w:p>
    <w:p w14:paraId="6263DCE9" w14:textId="34D38CDB" w:rsidR="00C21AA8" w:rsidRPr="003F44AD" w:rsidRDefault="00C21AA8" w:rsidP="00C21AA8">
      <w:pPr>
        <w:pStyle w:val="CETHeading1"/>
        <w:rPr>
          <w:lang w:val="en-GB"/>
        </w:rPr>
      </w:pPr>
      <w:r w:rsidRPr="003F44AD">
        <w:rPr>
          <w:lang w:val="en-GB"/>
        </w:rPr>
        <w:t>Results and discussion</w:t>
      </w:r>
    </w:p>
    <w:p w14:paraId="741EB61B" w14:textId="3CAB7061" w:rsidR="00A270A5" w:rsidRPr="003F44AD" w:rsidRDefault="00A270A5" w:rsidP="00017507">
      <w:pPr>
        <w:pStyle w:val="CETheadingx"/>
        <w:spacing w:before="0" w:after="0"/>
        <w:contextualSpacing/>
        <w:rPr>
          <w:lang w:val="en-GB"/>
        </w:rPr>
      </w:pPr>
      <w:r w:rsidRPr="003F44AD">
        <w:rPr>
          <w:lang w:val="en-GB"/>
        </w:rPr>
        <w:t xml:space="preserve">Removal of hydrogen </w:t>
      </w:r>
      <w:r w:rsidR="004013FA" w:rsidRPr="003F44AD">
        <w:rPr>
          <w:lang w:val="en-GB"/>
        </w:rPr>
        <w:t>sulphide</w:t>
      </w:r>
      <w:r w:rsidRPr="003F44AD">
        <w:rPr>
          <w:lang w:val="en-GB"/>
        </w:rPr>
        <w:t xml:space="preserve"> from waste sludge</w:t>
      </w:r>
    </w:p>
    <w:p w14:paraId="50AE21DD" w14:textId="63DE6131" w:rsidR="00C74EEE" w:rsidRPr="005F18F4" w:rsidRDefault="00C74EEE" w:rsidP="00925E84">
      <w:pPr>
        <w:pStyle w:val="CETBodytext"/>
        <w:spacing w:line="240" w:lineRule="auto"/>
        <w:contextualSpacing/>
      </w:pPr>
      <w:r w:rsidRPr="003F44AD">
        <w:rPr>
          <w:lang w:val="en-GB"/>
        </w:rPr>
        <w:t>Table 1 shows the analytical results of the physicochemical parameters of the original residual sludge sample, of the inoculum of beneficial microorganisms</w:t>
      </w:r>
      <w:r w:rsidR="003F09F5" w:rsidRPr="003F44AD">
        <w:rPr>
          <w:lang w:val="en-GB"/>
        </w:rPr>
        <w:t xml:space="preserve"> (BMOs)</w:t>
      </w:r>
      <w:r w:rsidRPr="003F44AD">
        <w:rPr>
          <w:lang w:val="en-GB"/>
        </w:rPr>
        <w:t>, the values of pH, organic matter (O.M.), moisture and H</w:t>
      </w:r>
      <w:r w:rsidRPr="003F44AD">
        <w:rPr>
          <w:vertAlign w:val="subscript"/>
          <w:lang w:val="en-GB"/>
        </w:rPr>
        <w:t>2</w:t>
      </w:r>
      <w:r w:rsidRPr="003F44AD">
        <w:rPr>
          <w:lang w:val="en-GB"/>
        </w:rPr>
        <w:t>S content of day 1 and day 15 for each treatment applied in the removal of H</w:t>
      </w:r>
      <w:r w:rsidRPr="003F44AD">
        <w:rPr>
          <w:vertAlign w:val="subscript"/>
          <w:lang w:val="en-GB"/>
        </w:rPr>
        <w:t>2</w:t>
      </w:r>
      <w:r w:rsidRPr="003F44AD">
        <w:rPr>
          <w:lang w:val="en-GB"/>
        </w:rPr>
        <w:t>S from the sludge through anaerobic digestion (T0, T1, T2, T3).</w:t>
      </w:r>
      <w:r w:rsidR="00001CFD">
        <w:rPr>
          <w:lang w:val="en-GB"/>
        </w:rPr>
        <w:t xml:space="preserve"> </w:t>
      </w:r>
      <w:r w:rsidR="005F18F4" w:rsidRPr="00D93BB2">
        <w:rPr>
          <w:color w:val="FF0000"/>
        </w:rPr>
        <w:t xml:space="preserve">The absence of BMO at T0 did not favor alkaline </w:t>
      </w:r>
      <w:r w:rsidR="00836197" w:rsidRPr="00D93BB2">
        <w:rPr>
          <w:color w:val="FF0000"/>
        </w:rPr>
        <w:t>conditions;</w:t>
      </w:r>
      <w:r w:rsidR="005F18F4" w:rsidRPr="00D93BB2">
        <w:rPr>
          <w:color w:val="FF0000"/>
        </w:rPr>
        <w:t xml:space="preserve"> on the other hand, the original microorganisms required more time to assimilate the organic matter and generated a higher content of fatty acids, decreasing the pH of the medium.</w:t>
      </w:r>
    </w:p>
    <w:p w14:paraId="6137FF99" w14:textId="77777777" w:rsidR="00483444" w:rsidRPr="005F18F4" w:rsidRDefault="00483444" w:rsidP="00925E84">
      <w:pPr>
        <w:pStyle w:val="CETBodytext"/>
        <w:spacing w:line="240" w:lineRule="auto"/>
        <w:contextualSpacing/>
      </w:pPr>
    </w:p>
    <w:p w14:paraId="51127747" w14:textId="2928407E" w:rsidR="00F03B19" w:rsidRPr="003F44AD" w:rsidRDefault="00F03B19" w:rsidP="00925E84">
      <w:pPr>
        <w:pStyle w:val="CETBodytext"/>
        <w:spacing w:line="240" w:lineRule="auto"/>
        <w:contextualSpacing/>
        <w:rPr>
          <w:lang w:val="en-GB"/>
        </w:rPr>
      </w:pPr>
      <w:r w:rsidRPr="003F44AD">
        <w:rPr>
          <w:lang w:val="en-GB"/>
        </w:rPr>
        <w:t>Table 1. Physicochemical parameters of waste sludge, BMOs, and treatments applied by anaerobic digestion to eliminate H2S</w:t>
      </w:r>
    </w:p>
    <w:tbl>
      <w:tblPr>
        <w:tblW w:w="0" w:type="auto"/>
        <w:tblCellMar>
          <w:top w:w="15" w:type="dxa"/>
          <w:left w:w="15" w:type="dxa"/>
          <w:bottom w:w="15" w:type="dxa"/>
          <w:right w:w="15" w:type="dxa"/>
        </w:tblCellMar>
        <w:tblLook w:val="04A0" w:firstRow="1" w:lastRow="0" w:firstColumn="1" w:lastColumn="0" w:noHBand="0" w:noVBand="1"/>
      </w:tblPr>
      <w:tblGrid>
        <w:gridCol w:w="1019"/>
        <w:gridCol w:w="691"/>
        <w:gridCol w:w="645"/>
        <w:gridCol w:w="791"/>
        <w:gridCol w:w="811"/>
        <w:gridCol w:w="791"/>
        <w:gridCol w:w="811"/>
        <w:gridCol w:w="791"/>
        <w:gridCol w:w="811"/>
        <w:gridCol w:w="815"/>
        <w:gridCol w:w="811"/>
      </w:tblGrid>
      <w:tr w:rsidR="009C6492" w:rsidRPr="003F44AD" w14:paraId="451E502B" w14:textId="77777777" w:rsidTr="00017507">
        <w:trPr>
          <w:trHeight w:val="77"/>
        </w:trPr>
        <w:tc>
          <w:tcPr>
            <w:tcW w:w="0" w:type="auto"/>
            <w:tcBorders>
              <w:top w:val="single" w:sz="8" w:space="0" w:color="538135"/>
              <w:bottom w:val="single" w:sz="4" w:space="0" w:color="008000"/>
            </w:tcBorders>
            <w:tcMar>
              <w:top w:w="0" w:type="dxa"/>
              <w:left w:w="70" w:type="dxa"/>
              <w:bottom w:w="0" w:type="dxa"/>
              <w:right w:w="70" w:type="dxa"/>
            </w:tcMar>
            <w:hideMark/>
          </w:tcPr>
          <w:p w14:paraId="7A8C6CB1"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Parameter</w:t>
            </w:r>
          </w:p>
        </w:tc>
        <w:tc>
          <w:tcPr>
            <w:tcW w:w="0" w:type="auto"/>
            <w:tcBorders>
              <w:top w:val="single" w:sz="8" w:space="0" w:color="538135"/>
              <w:bottom w:val="single" w:sz="4" w:space="0" w:color="008000"/>
            </w:tcBorders>
            <w:tcMar>
              <w:top w:w="0" w:type="dxa"/>
              <w:left w:w="70" w:type="dxa"/>
              <w:bottom w:w="0" w:type="dxa"/>
              <w:right w:w="70" w:type="dxa"/>
            </w:tcMar>
            <w:hideMark/>
          </w:tcPr>
          <w:p w14:paraId="7832C679"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Sludge</w:t>
            </w:r>
            <w:r w:rsidRPr="003F44AD">
              <w:rPr>
                <w:rFonts w:ascii="Calibri" w:hAnsi="Calibri" w:cs="Calibri"/>
                <w:color w:val="000000"/>
                <w:szCs w:val="18"/>
                <w:vertAlign w:val="subscript"/>
              </w:rPr>
              <w:t>o</w:t>
            </w:r>
          </w:p>
        </w:tc>
        <w:tc>
          <w:tcPr>
            <w:tcW w:w="0" w:type="auto"/>
            <w:tcBorders>
              <w:top w:val="single" w:sz="8" w:space="0" w:color="538135"/>
              <w:bottom w:val="single" w:sz="4" w:space="0" w:color="008000"/>
            </w:tcBorders>
            <w:tcMar>
              <w:top w:w="0" w:type="dxa"/>
              <w:left w:w="70" w:type="dxa"/>
              <w:bottom w:w="0" w:type="dxa"/>
              <w:right w:w="70" w:type="dxa"/>
            </w:tcMar>
            <w:hideMark/>
          </w:tcPr>
          <w:p w14:paraId="4EF4F9AE"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BMOs</w:t>
            </w:r>
            <w:r w:rsidRPr="003F44AD">
              <w:rPr>
                <w:rFonts w:ascii="Calibri" w:hAnsi="Calibri" w:cs="Calibri"/>
                <w:color w:val="000000"/>
                <w:szCs w:val="18"/>
                <w:vertAlign w:val="subscript"/>
              </w:rPr>
              <w:t>o</w:t>
            </w:r>
          </w:p>
        </w:tc>
        <w:tc>
          <w:tcPr>
            <w:tcW w:w="0" w:type="auto"/>
            <w:tcBorders>
              <w:top w:val="single" w:sz="8" w:space="0" w:color="538135"/>
              <w:bottom w:val="single" w:sz="4" w:space="0" w:color="008000"/>
            </w:tcBorders>
            <w:tcMar>
              <w:top w:w="0" w:type="dxa"/>
              <w:left w:w="70" w:type="dxa"/>
              <w:bottom w:w="0" w:type="dxa"/>
              <w:right w:w="70" w:type="dxa"/>
            </w:tcMar>
            <w:hideMark/>
          </w:tcPr>
          <w:p w14:paraId="271B6D71"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To Day1</w:t>
            </w:r>
          </w:p>
        </w:tc>
        <w:tc>
          <w:tcPr>
            <w:tcW w:w="0" w:type="auto"/>
            <w:tcBorders>
              <w:top w:val="single" w:sz="8" w:space="0" w:color="538135"/>
              <w:bottom w:val="single" w:sz="4" w:space="0" w:color="008000"/>
            </w:tcBorders>
            <w:tcMar>
              <w:top w:w="0" w:type="dxa"/>
              <w:left w:w="70" w:type="dxa"/>
              <w:bottom w:w="0" w:type="dxa"/>
              <w:right w:w="70" w:type="dxa"/>
            </w:tcMar>
            <w:hideMark/>
          </w:tcPr>
          <w:p w14:paraId="62424ABC"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To Day15</w:t>
            </w:r>
          </w:p>
        </w:tc>
        <w:tc>
          <w:tcPr>
            <w:tcW w:w="0" w:type="auto"/>
            <w:tcBorders>
              <w:top w:val="single" w:sz="8" w:space="0" w:color="538135"/>
              <w:bottom w:val="single" w:sz="4" w:space="0" w:color="008000"/>
            </w:tcBorders>
            <w:tcMar>
              <w:top w:w="0" w:type="dxa"/>
              <w:left w:w="70" w:type="dxa"/>
              <w:bottom w:w="0" w:type="dxa"/>
              <w:right w:w="70" w:type="dxa"/>
            </w:tcMar>
            <w:hideMark/>
          </w:tcPr>
          <w:p w14:paraId="243A0177"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T1 Day1</w:t>
            </w:r>
          </w:p>
        </w:tc>
        <w:tc>
          <w:tcPr>
            <w:tcW w:w="0" w:type="auto"/>
            <w:tcBorders>
              <w:top w:val="single" w:sz="8" w:space="0" w:color="538135"/>
              <w:bottom w:val="single" w:sz="4" w:space="0" w:color="008000"/>
            </w:tcBorders>
            <w:tcMar>
              <w:top w:w="0" w:type="dxa"/>
              <w:left w:w="70" w:type="dxa"/>
              <w:bottom w:w="0" w:type="dxa"/>
              <w:right w:w="70" w:type="dxa"/>
            </w:tcMar>
            <w:hideMark/>
          </w:tcPr>
          <w:p w14:paraId="6056ECAC"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T1 Day15</w:t>
            </w:r>
          </w:p>
        </w:tc>
        <w:tc>
          <w:tcPr>
            <w:tcW w:w="0" w:type="auto"/>
            <w:tcBorders>
              <w:top w:val="single" w:sz="8" w:space="0" w:color="538135"/>
              <w:bottom w:val="single" w:sz="4" w:space="0" w:color="008000"/>
            </w:tcBorders>
            <w:tcMar>
              <w:top w:w="0" w:type="dxa"/>
              <w:left w:w="70" w:type="dxa"/>
              <w:bottom w:w="0" w:type="dxa"/>
              <w:right w:w="70" w:type="dxa"/>
            </w:tcMar>
            <w:hideMark/>
          </w:tcPr>
          <w:p w14:paraId="01C27667"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T2 Day1</w:t>
            </w:r>
          </w:p>
        </w:tc>
        <w:tc>
          <w:tcPr>
            <w:tcW w:w="0" w:type="auto"/>
            <w:tcBorders>
              <w:top w:val="single" w:sz="8" w:space="0" w:color="538135"/>
              <w:bottom w:val="single" w:sz="4" w:space="0" w:color="008000"/>
            </w:tcBorders>
            <w:tcMar>
              <w:top w:w="0" w:type="dxa"/>
              <w:left w:w="70" w:type="dxa"/>
              <w:bottom w:w="0" w:type="dxa"/>
              <w:right w:w="70" w:type="dxa"/>
            </w:tcMar>
            <w:hideMark/>
          </w:tcPr>
          <w:p w14:paraId="1C4500D2"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T2 Day15</w:t>
            </w:r>
          </w:p>
        </w:tc>
        <w:tc>
          <w:tcPr>
            <w:tcW w:w="0" w:type="auto"/>
            <w:tcBorders>
              <w:top w:val="single" w:sz="8" w:space="0" w:color="538135"/>
              <w:bottom w:val="single" w:sz="4" w:space="0" w:color="008000"/>
            </w:tcBorders>
            <w:tcMar>
              <w:top w:w="0" w:type="dxa"/>
              <w:left w:w="70" w:type="dxa"/>
              <w:bottom w:w="0" w:type="dxa"/>
              <w:right w:w="70" w:type="dxa"/>
            </w:tcMar>
            <w:hideMark/>
          </w:tcPr>
          <w:p w14:paraId="1E3D42FF"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T3 Day1</w:t>
            </w:r>
          </w:p>
        </w:tc>
        <w:tc>
          <w:tcPr>
            <w:tcW w:w="0" w:type="auto"/>
            <w:tcBorders>
              <w:top w:val="single" w:sz="8" w:space="0" w:color="538135"/>
              <w:bottom w:val="single" w:sz="4" w:space="0" w:color="008000"/>
            </w:tcBorders>
            <w:tcMar>
              <w:top w:w="0" w:type="dxa"/>
              <w:left w:w="70" w:type="dxa"/>
              <w:bottom w:w="0" w:type="dxa"/>
              <w:right w:w="70" w:type="dxa"/>
            </w:tcMar>
            <w:hideMark/>
          </w:tcPr>
          <w:p w14:paraId="2F3FFECA"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T3 Day15</w:t>
            </w:r>
          </w:p>
        </w:tc>
      </w:tr>
      <w:tr w:rsidR="009C6492" w:rsidRPr="003F44AD" w14:paraId="47B0A229" w14:textId="77777777" w:rsidTr="00017507">
        <w:trPr>
          <w:trHeight w:val="77"/>
        </w:trPr>
        <w:tc>
          <w:tcPr>
            <w:tcW w:w="0" w:type="auto"/>
            <w:tcBorders>
              <w:top w:val="single" w:sz="4" w:space="0" w:color="008000"/>
            </w:tcBorders>
            <w:tcMar>
              <w:top w:w="0" w:type="dxa"/>
              <w:left w:w="70" w:type="dxa"/>
              <w:bottom w:w="0" w:type="dxa"/>
              <w:right w:w="70" w:type="dxa"/>
            </w:tcMar>
            <w:hideMark/>
          </w:tcPr>
          <w:p w14:paraId="36F651B8"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pH</w:t>
            </w:r>
          </w:p>
        </w:tc>
        <w:tc>
          <w:tcPr>
            <w:tcW w:w="0" w:type="auto"/>
            <w:tcBorders>
              <w:top w:val="single" w:sz="4" w:space="0" w:color="008000"/>
            </w:tcBorders>
            <w:tcMar>
              <w:top w:w="0" w:type="dxa"/>
              <w:left w:w="70" w:type="dxa"/>
              <w:bottom w:w="0" w:type="dxa"/>
              <w:right w:w="70" w:type="dxa"/>
            </w:tcMar>
            <w:hideMark/>
          </w:tcPr>
          <w:p w14:paraId="22A9E05A"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6.81</w:t>
            </w:r>
          </w:p>
        </w:tc>
        <w:tc>
          <w:tcPr>
            <w:tcW w:w="0" w:type="auto"/>
            <w:tcBorders>
              <w:top w:val="single" w:sz="4" w:space="0" w:color="008000"/>
            </w:tcBorders>
            <w:tcMar>
              <w:top w:w="0" w:type="dxa"/>
              <w:left w:w="70" w:type="dxa"/>
              <w:bottom w:w="0" w:type="dxa"/>
              <w:right w:w="70" w:type="dxa"/>
            </w:tcMar>
            <w:hideMark/>
          </w:tcPr>
          <w:p w14:paraId="6A10B4BC"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3.45</w:t>
            </w:r>
          </w:p>
        </w:tc>
        <w:tc>
          <w:tcPr>
            <w:tcW w:w="0" w:type="auto"/>
            <w:tcBorders>
              <w:top w:val="single" w:sz="4" w:space="0" w:color="008000"/>
            </w:tcBorders>
            <w:tcMar>
              <w:top w:w="0" w:type="dxa"/>
              <w:left w:w="70" w:type="dxa"/>
              <w:bottom w:w="0" w:type="dxa"/>
              <w:right w:w="70" w:type="dxa"/>
            </w:tcMar>
            <w:hideMark/>
          </w:tcPr>
          <w:p w14:paraId="1DF27A8C"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7.16 ± 0.01</w:t>
            </w:r>
          </w:p>
        </w:tc>
        <w:tc>
          <w:tcPr>
            <w:tcW w:w="0" w:type="auto"/>
            <w:tcBorders>
              <w:top w:val="single" w:sz="4" w:space="0" w:color="008000"/>
            </w:tcBorders>
            <w:tcMar>
              <w:top w:w="0" w:type="dxa"/>
              <w:left w:w="70" w:type="dxa"/>
              <w:bottom w:w="0" w:type="dxa"/>
              <w:right w:w="70" w:type="dxa"/>
            </w:tcMar>
            <w:hideMark/>
          </w:tcPr>
          <w:p w14:paraId="7A541610"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6.37 ± 0.02</w:t>
            </w:r>
          </w:p>
        </w:tc>
        <w:tc>
          <w:tcPr>
            <w:tcW w:w="0" w:type="auto"/>
            <w:tcBorders>
              <w:top w:val="single" w:sz="4" w:space="0" w:color="008000"/>
            </w:tcBorders>
            <w:tcMar>
              <w:top w:w="0" w:type="dxa"/>
              <w:left w:w="70" w:type="dxa"/>
              <w:bottom w:w="0" w:type="dxa"/>
              <w:right w:w="70" w:type="dxa"/>
            </w:tcMar>
            <w:hideMark/>
          </w:tcPr>
          <w:p w14:paraId="06DF4F6A"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7.13 ± 0.01</w:t>
            </w:r>
          </w:p>
        </w:tc>
        <w:tc>
          <w:tcPr>
            <w:tcW w:w="0" w:type="auto"/>
            <w:tcBorders>
              <w:top w:val="single" w:sz="4" w:space="0" w:color="008000"/>
            </w:tcBorders>
            <w:tcMar>
              <w:top w:w="0" w:type="dxa"/>
              <w:left w:w="70" w:type="dxa"/>
              <w:bottom w:w="0" w:type="dxa"/>
              <w:right w:w="70" w:type="dxa"/>
            </w:tcMar>
            <w:hideMark/>
          </w:tcPr>
          <w:p w14:paraId="3FF642B1"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7.71 ± 0.01</w:t>
            </w:r>
          </w:p>
        </w:tc>
        <w:tc>
          <w:tcPr>
            <w:tcW w:w="0" w:type="auto"/>
            <w:tcBorders>
              <w:top w:val="single" w:sz="4" w:space="0" w:color="008000"/>
            </w:tcBorders>
            <w:tcMar>
              <w:top w:w="0" w:type="dxa"/>
              <w:left w:w="70" w:type="dxa"/>
              <w:bottom w:w="0" w:type="dxa"/>
              <w:right w:w="70" w:type="dxa"/>
            </w:tcMar>
            <w:hideMark/>
          </w:tcPr>
          <w:p w14:paraId="65694815"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7.42 ± 0.02</w:t>
            </w:r>
          </w:p>
        </w:tc>
        <w:tc>
          <w:tcPr>
            <w:tcW w:w="0" w:type="auto"/>
            <w:tcBorders>
              <w:top w:val="single" w:sz="4" w:space="0" w:color="008000"/>
            </w:tcBorders>
            <w:tcMar>
              <w:top w:w="0" w:type="dxa"/>
              <w:left w:w="70" w:type="dxa"/>
              <w:bottom w:w="0" w:type="dxa"/>
              <w:right w:w="70" w:type="dxa"/>
            </w:tcMar>
            <w:hideMark/>
          </w:tcPr>
          <w:p w14:paraId="12FF27EC"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7.48 ± 0.01</w:t>
            </w:r>
          </w:p>
        </w:tc>
        <w:tc>
          <w:tcPr>
            <w:tcW w:w="0" w:type="auto"/>
            <w:tcBorders>
              <w:top w:val="single" w:sz="4" w:space="0" w:color="008000"/>
            </w:tcBorders>
            <w:tcMar>
              <w:top w:w="0" w:type="dxa"/>
              <w:left w:w="70" w:type="dxa"/>
              <w:bottom w:w="0" w:type="dxa"/>
              <w:right w:w="70" w:type="dxa"/>
            </w:tcMar>
            <w:hideMark/>
          </w:tcPr>
          <w:p w14:paraId="61AB377D"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7.37 ± 0.02</w:t>
            </w:r>
          </w:p>
        </w:tc>
        <w:tc>
          <w:tcPr>
            <w:tcW w:w="0" w:type="auto"/>
            <w:tcBorders>
              <w:top w:val="single" w:sz="4" w:space="0" w:color="008000"/>
            </w:tcBorders>
            <w:tcMar>
              <w:top w:w="0" w:type="dxa"/>
              <w:left w:w="70" w:type="dxa"/>
              <w:bottom w:w="0" w:type="dxa"/>
              <w:right w:w="70" w:type="dxa"/>
            </w:tcMar>
            <w:hideMark/>
          </w:tcPr>
          <w:p w14:paraId="007C9D71"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7.46 ± 0.01</w:t>
            </w:r>
          </w:p>
        </w:tc>
      </w:tr>
      <w:tr w:rsidR="009C6492" w:rsidRPr="003F44AD" w14:paraId="0ADF6670" w14:textId="77777777" w:rsidTr="00017507">
        <w:trPr>
          <w:trHeight w:val="77"/>
        </w:trPr>
        <w:tc>
          <w:tcPr>
            <w:tcW w:w="0" w:type="auto"/>
            <w:tcMar>
              <w:top w:w="0" w:type="dxa"/>
              <w:left w:w="70" w:type="dxa"/>
              <w:bottom w:w="0" w:type="dxa"/>
              <w:right w:w="70" w:type="dxa"/>
            </w:tcMar>
            <w:hideMark/>
          </w:tcPr>
          <w:p w14:paraId="5E49DBE1"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E.C. (dS/cm)</w:t>
            </w:r>
          </w:p>
        </w:tc>
        <w:tc>
          <w:tcPr>
            <w:tcW w:w="0" w:type="auto"/>
            <w:tcMar>
              <w:top w:w="0" w:type="dxa"/>
              <w:left w:w="70" w:type="dxa"/>
              <w:bottom w:w="0" w:type="dxa"/>
              <w:right w:w="70" w:type="dxa"/>
            </w:tcMar>
            <w:hideMark/>
          </w:tcPr>
          <w:p w14:paraId="52853C00"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3.06</w:t>
            </w:r>
          </w:p>
        </w:tc>
        <w:tc>
          <w:tcPr>
            <w:tcW w:w="0" w:type="auto"/>
            <w:tcMar>
              <w:top w:w="0" w:type="dxa"/>
              <w:left w:w="70" w:type="dxa"/>
              <w:bottom w:w="0" w:type="dxa"/>
              <w:right w:w="70" w:type="dxa"/>
            </w:tcMar>
            <w:hideMark/>
          </w:tcPr>
          <w:p w14:paraId="5C5BB01A"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8</w:t>
            </w:r>
          </w:p>
        </w:tc>
        <w:tc>
          <w:tcPr>
            <w:tcW w:w="0" w:type="auto"/>
            <w:tcMar>
              <w:top w:w="0" w:type="dxa"/>
              <w:left w:w="70" w:type="dxa"/>
              <w:bottom w:w="0" w:type="dxa"/>
              <w:right w:w="70" w:type="dxa"/>
            </w:tcMar>
            <w:hideMark/>
          </w:tcPr>
          <w:p w14:paraId="447FC90F"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755128B3"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45935C94"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415375DA"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39DD0F1A"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7099294A"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3ED1FBB6"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18B24A77"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r>
      <w:tr w:rsidR="009C6492" w:rsidRPr="003F44AD" w14:paraId="13B24DDC" w14:textId="77777777" w:rsidTr="00017507">
        <w:trPr>
          <w:trHeight w:val="77"/>
        </w:trPr>
        <w:tc>
          <w:tcPr>
            <w:tcW w:w="0" w:type="auto"/>
            <w:tcMar>
              <w:top w:w="0" w:type="dxa"/>
              <w:left w:w="70" w:type="dxa"/>
              <w:bottom w:w="0" w:type="dxa"/>
              <w:right w:w="70" w:type="dxa"/>
            </w:tcMar>
            <w:hideMark/>
          </w:tcPr>
          <w:p w14:paraId="37699ACC"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O.M. (%)</w:t>
            </w:r>
          </w:p>
        </w:tc>
        <w:tc>
          <w:tcPr>
            <w:tcW w:w="0" w:type="auto"/>
            <w:tcMar>
              <w:top w:w="0" w:type="dxa"/>
              <w:left w:w="70" w:type="dxa"/>
              <w:bottom w:w="0" w:type="dxa"/>
              <w:right w:w="70" w:type="dxa"/>
            </w:tcMar>
            <w:hideMark/>
          </w:tcPr>
          <w:p w14:paraId="69646238"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54.17</w:t>
            </w:r>
          </w:p>
        </w:tc>
        <w:tc>
          <w:tcPr>
            <w:tcW w:w="0" w:type="auto"/>
            <w:tcMar>
              <w:top w:w="0" w:type="dxa"/>
              <w:left w:w="70" w:type="dxa"/>
              <w:bottom w:w="0" w:type="dxa"/>
              <w:right w:w="70" w:type="dxa"/>
            </w:tcMar>
            <w:hideMark/>
          </w:tcPr>
          <w:p w14:paraId="4B18DD94"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81.45</w:t>
            </w:r>
          </w:p>
        </w:tc>
        <w:tc>
          <w:tcPr>
            <w:tcW w:w="0" w:type="auto"/>
            <w:tcMar>
              <w:top w:w="0" w:type="dxa"/>
              <w:left w:w="70" w:type="dxa"/>
              <w:bottom w:w="0" w:type="dxa"/>
              <w:right w:w="70" w:type="dxa"/>
            </w:tcMar>
            <w:hideMark/>
          </w:tcPr>
          <w:p w14:paraId="13F94B70"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53 ± 0.01</w:t>
            </w:r>
          </w:p>
        </w:tc>
        <w:tc>
          <w:tcPr>
            <w:tcW w:w="0" w:type="auto"/>
            <w:tcMar>
              <w:top w:w="0" w:type="dxa"/>
              <w:left w:w="70" w:type="dxa"/>
              <w:bottom w:w="0" w:type="dxa"/>
              <w:right w:w="70" w:type="dxa"/>
            </w:tcMar>
            <w:hideMark/>
          </w:tcPr>
          <w:p w14:paraId="5DCFC4E7"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36 ± 0.01</w:t>
            </w:r>
          </w:p>
        </w:tc>
        <w:tc>
          <w:tcPr>
            <w:tcW w:w="0" w:type="auto"/>
            <w:tcMar>
              <w:top w:w="0" w:type="dxa"/>
              <w:left w:w="70" w:type="dxa"/>
              <w:bottom w:w="0" w:type="dxa"/>
              <w:right w:w="70" w:type="dxa"/>
            </w:tcMar>
            <w:hideMark/>
          </w:tcPr>
          <w:p w14:paraId="06C1BB1F"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53 ± 0.01</w:t>
            </w:r>
          </w:p>
        </w:tc>
        <w:tc>
          <w:tcPr>
            <w:tcW w:w="0" w:type="auto"/>
            <w:tcMar>
              <w:top w:w="0" w:type="dxa"/>
              <w:left w:w="70" w:type="dxa"/>
              <w:bottom w:w="0" w:type="dxa"/>
              <w:right w:w="70" w:type="dxa"/>
            </w:tcMar>
            <w:hideMark/>
          </w:tcPr>
          <w:p w14:paraId="513448A3"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24 ± 0.02</w:t>
            </w:r>
          </w:p>
        </w:tc>
        <w:tc>
          <w:tcPr>
            <w:tcW w:w="0" w:type="auto"/>
            <w:tcMar>
              <w:top w:w="0" w:type="dxa"/>
              <w:left w:w="70" w:type="dxa"/>
              <w:bottom w:w="0" w:type="dxa"/>
              <w:right w:w="70" w:type="dxa"/>
            </w:tcMar>
            <w:hideMark/>
          </w:tcPr>
          <w:p w14:paraId="5DD36DC7"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54 ± 0.004</w:t>
            </w:r>
          </w:p>
        </w:tc>
        <w:tc>
          <w:tcPr>
            <w:tcW w:w="0" w:type="auto"/>
            <w:tcMar>
              <w:top w:w="0" w:type="dxa"/>
              <w:left w:w="70" w:type="dxa"/>
              <w:bottom w:w="0" w:type="dxa"/>
              <w:right w:w="70" w:type="dxa"/>
            </w:tcMar>
            <w:hideMark/>
          </w:tcPr>
          <w:p w14:paraId="13275FF6"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9 ± 0.02</w:t>
            </w:r>
          </w:p>
        </w:tc>
        <w:tc>
          <w:tcPr>
            <w:tcW w:w="0" w:type="auto"/>
            <w:tcMar>
              <w:top w:w="0" w:type="dxa"/>
              <w:left w:w="70" w:type="dxa"/>
              <w:bottom w:w="0" w:type="dxa"/>
              <w:right w:w="70" w:type="dxa"/>
            </w:tcMar>
            <w:hideMark/>
          </w:tcPr>
          <w:p w14:paraId="68990CB9"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54 ± 0.01</w:t>
            </w:r>
          </w:p>
        </w:tc>
        <w:tc>
          <w:tcPr>
            <w:tcW w:w="0" w:type="auto"/>
            <w:tcMar>
              <w:top w:w="0" w:type="dxa"/>
              <w:left w:w="70" w:type="dxa"/>
              <w:bottom w:w="0" w:type="dxa"/>
              <w:right w:w="70" w:type="dxa"/>
            </w:tcMar>
            <w:hideMark/>
          </w:tcPr>
          <w:p w14:paraId="528A036D"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15 ± 0.01</w:t>
            </w:r>
          </w:p>
        </w:tc>
      </w:tr>
      <w:tr w:rsidR="009C6492" w:rsidRPr="003F44AD" w14:paraId="394FCCA8" w14:textId="77777777" w:rsidTr="00017507">
        <w:trPr>
          <w:trHeight w:val="77"/>
        </w:trPr>
        <w:tc>
          <w:tcPr>
            <w:tcW w:w="0" w:type="auto"/>
            <w:tcMar>
              <w:top w:w="0" w:type="dxa"/>
              <w:left w:w="70" w:type="dxa"/>
              <w:bottom w:w="0" w:type="dxa"/>
              <w:right w:w="70" w:type="dxa"/>
            </w:tcMar>
            <w:hideMark/>
          </w:tcPr>
          <w:p w14:paraId="3A619B8F"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Moisture (%)</w:t>
            </w:r>
          </w:p>
        </w:tc>
        <w:tc>
          <w:tcPr>
            <w:tcW w:w="0" w:type="auto"/>
            <w:tcMar>
              <w:top w:w="0" w:type="dxa"/>
              <w:left w:w="70" w:type="dxa"/>
              <w:bottom w:w="0" w:type="dxa"/>
              <w:right w:w="70" w:type="dxa"/>
            </w:tcMar>
            <w:hideMark/>
          </w:tcPr>
          <w:p w14:paraId="4D997DFD"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55.75</w:t>
            </w:r>
          </w:p>
        </w:tc>
        <w:tc>
          <w:tcPr>
            <w:tcW w:w="0" w:type="auto"/>
            <w:tcMar>
              <w:top w:w="0" w:type="dxa"/>
              <w:left w:w="70" w:type="dxa"/>
              <w:bottom w:w="0" w:type="dxa"/>
              <w:right w:w="70" w:type="dxa"/>
            </w:tcMar>
            <w:hideMark/>
          </w:tcPr>
          <w:p w14:paraId="14831FDD"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056A29AB"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65 ± 0.01</w:t>
            </w:r>
          </w:p>
        </w:tc>
        <w:tc>
          <w:tcPr>
            <w:tcW w:w="0" w:type="auto"/>
            <w:tcMar>
              <w:top w:w="0" w:type="dxa"/>
              <w:left w:w="70" w:type="dxa"/>
              <w:bottom w:w="0" w:type="dxa"/>
              <w:right w:w="70" w:type="dxa"/>
            </w:tcMar>
            <w:hideMark/>
          </w:tcPr>
          <w:p w14:paraId="54CD4A6E"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26 ± 0.01</w:t>
            </w:r>
          </w:p>
        </w:tc>
        <w:tc>
          <w:tcPr>
            <w:tcW w:w="0" w:type="auto"/>
            <w:tcMar>
              <w:top w:w="0" w:type="dxa"/>
              <w:left w:w="70" w:type="dxa"/>
              <w:bottom w:w="0" w:type="dxa"/>
              <w:right w:w="70" w:type="dxa"/>
            </w:tcMar>
            <w:hideMark/>
          </w:tcPr>
          <w:p w14:paraId="62AD3879"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62 ± 0.02</w:t>
            </w:r>
          </w:p>
        </w:tc>
        <w:tc>
          <w:tcPr>
            <w:tcW w:w="0" w:type="auto"/>
            <w:tcMar>
              <w:top w:w="0" w:type="dxa"/>
              <w:left w:w="70" w:type="dxa"/>
              <w:bottom w:w="0" w:type="dxa"/>
              <w:right w:w="70" w:type="dxa"/>
            </w:tcMar>
            <w:hideMark/>
          </w:tcPr>
          <w:p w14:paraId="2A5C63FB"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56 ± 0.02</w:t>
            </w:r>
          </w:p>
        </w:tc>
        <w:tc>
          <w:tcPr>
            <w:tcW w:w="0" w:type="auto"/>
            <w:tcMar>
              <w:top w:w="0" w:type="dxa"/>
              <w:left w:w="70" w:type="dxa"/>
              <w:bottom w:w="0" w:type="dxa"/>
              <w:right w:w="70" w:type="dxa"/>
            </w:tcMar>
            <w:hideMark/>
          </w:tcPr>
          <w:p w14:paraId="35746ED9"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66 ± 0.01</w:t>
            </w:r>
          </w:p>
        </w:tc>
        <w:tc>
          <w:tcPr>
            <w:tcW w:w="0" w:type="auto"/>
            <w:tcMar>
              <w:top w:w="0" w:type="dxa"/>
              <w:left w:w="70" w:type="dxa"/>
              <w:bottom w:w="0" w:type="dxa"/>
              <w:right w:w="70" w:type="dxa"/>
            </w:tcMar>
            <w:hideMark/>
          </w:tcPr>
          <w:p w14:paraId="4ECD4C6E"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51 ± 0.02</w:t>
            </w:r>
          </w:p>
        </w:tc>
        <w:tc>
          <w:tcPr>
            <w:tcW w:w="0" w:type="auto"/>
            <w:tcMar>
              <w:top w:w="0" w:type="dxa"/>
              <w:left w:w="70" w:type="dxa"/>
              <w:bottom w:w="0" w:type="dxa"/>
              <w:right w:w="70" w:type="dxa"/>
            </w:tcMar>
            <w:hideMark/>
          </w:tcPr>
          <w:p w14:paraId="34F9EA62"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68 ± 0.02</w:t>
            </w:r>
          </w:p>
        </w:tc>
        <w:tc>
          <w:tcPr>
            <w:tcW w:w="0" w:type="auto"/>
            <w:tcMar>
              <w:top w:w="0" w:type="dxa"/>
              <w:left w:w="70" w:type="dxa"/>
              <w:bottom w:w="0" w:type="dxa"/>
              <w:right w:w="70" w:type="dxa"/>
            </w:tcMar>
            <w:hideMark/>
          </w:tcPr>
          <w:p w14:paraId="72A183F2"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57 ± 0.01</w:t>
            </w:r>
          </w:p>
        </w:tc>
      </w:tr>
      <w:tr w:rsidR="009C6492" w:rsidRPr="003F44AD" w14:paraId="0CB84783" w14:textId="77777777" w:rsidTr="00017507">
        <w:trPr>
          <w:trHeight w:val="77"/>
        </w:trPr>
        <w:tc>
          <w:tcPr>
            <w:tcW w:w="0" w:type="auto"/>
            <w:tcMar>
              <w:top w:w="0" w:type="dxa"/>
              <w:left w:w="70" w:type="dxa"/>
              <w:bottom w:w="0" w:type="dxa"/>
              <w:right w:w="70" w:type="dxa"/>
            </w:tcMar>
            <w:hideMark/>
          </w:tcPr>
          <w:p w14:paraId="456B18AE"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N(%)</w:t>
            </w:r>
          </w:p>
        </w:tc>
        <w:tc>
          <w:tcPr>
            <w:tcW w:w="0" w:type="auto"/>
            <w:tcMar>
              <w:top w:w="0" w:type="dxa"/>
              <w:left w:w="70" w:type="dxa"/>
              <w:bottom w:w="0" w:type="dxa"/>
              <w:right w:w="70" w:type="dxa"/>
            </w:tcMar>
            <w:hideMark/>
          </w:tcPr>
          <w:p w14:paraId="389EA846"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2.87</w:t>
            </w:r>
          </w:p>
        </w:tc>
        <w:tc>
          <w:tcPr>
            <w:tcW w:w="0" w:type="auto"/>
            <w:tcMar>
              <w:top w:w="0" w:type="dxa"/>
              <w:left w:w="70" w:type="dxa"/>
              <w:bottom w:w="0" w:type="dxa"/>
              <w:right w:w="70" w:type="dxa"/>
            </w:tcMar>
            <w:hideMark/>
          </w:tcPr>
          <w:p w14:paraId="39AA4FD6"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1208</w:t>
            </w:r>
          </w:p>
        </w:tc>
        <w:tc>
          <w:tcPr>
            <w:tcW w:w="0" w:type="auto"/>
            <w:tcMar>
              <w:top w:w="0" w:type="dxa"/>
              <w:left w:w="70" w:type="dxa"/>
              <w:bottom w:w="0" w:type="dxa"/>
              <w:right w:w="70" w:type="dxa"/>
            </w:tcMar>
            <w:hideMark/>
          </w:tcPr>
          <w:p w14:paraId="55C58661"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15C11593"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2B65762E"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6E738B04"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61A8FD28"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2B04C62B"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713322E7"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51CEFC77"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r>
      <w:tr w:rsidR="009C6492" w:rsidRPr="003F44AD" w14:paraId="2EAABEB6" w14:textId="77777777" w:rsidTr="00017507">
        <w:trPr>
          <w:trHeight w:val="81"/>
        </w:trPr>
        <w:tc>
          <w:tcPr>
            <w:tcW w:w="0" w:type="auto"/>
            <w:tcMar>
              <w:top w:w="0" w:type="dxa"/>
              <w:left w:w="70" w:type="dxa"/>
              <w:bottom w:w="0" w:type="dxa"/>
              <w:right w:w="70" w:type="dxa"/>
            </w:tcMar>
            <w:hideMark/>
          </w:tcPr>
          <w:p w14:paraId="149C1DBF"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P(%)</w:t>
            </w:r>
          </w:p>
        </w:tc>
        <w:tc>
          <w:tcPr>
            <w:tcW w:w="0" w:type="auto"/>
            <w:tcMar>
              <w:top w:w="0" w:type="dxa"/>
              <w:left w:w="70" w:type="dxa"/>
              <w:bottom w:w="0" w:type="dxa"/>
              <w:right w:w="70" w:type="dxa"/>
            </w:tcMar>
            <w:hideMark/>
          </w:tcPr>
          <w:p w14:paraId="442DE1DB"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0.94</w:t>
            </w:r>
          </w:p>
        </w:tc>
        <w:tc>
          <w:tcPr>
            <w:tcW w:w="0" w:type="auto"/>
            <w:tcMar>
              <w:top w:w="0" w:type="dxa"/>
              <w:left w:w="70" w:type="dxa"/>
              <w:bottom w:w="0" w:type="dxa"/>
              <w:right w:w="70" w:type="dxa"/>
            </w:tcMar>
            <w:hideMark/>
          </w:tcPr>
          <w:p w14:paraId="2F3E749D"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32.63</w:t>
            </w:r>
          </w:p>
        </w:tc>
        <w:tc>
          <w:tcPr>
            <w:tcW w:w="0" w:type="auto"/>
            <w:tcMar>
              <w:top w:w="0" w:type="dxa"/>
              <w:left w:w="70" w:type="dxa"/>
              <w:bottom w:w="0" w:type="dxa"/>
              <w:right w:w="70" w:type="dxa"/>
            </w:tcMar>
            <w:hideMark/>
          </w:tcPr>
          <w:p w14:paraId="0A0C6DA6"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19D73F24"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719E06A4"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5671B51E"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633E1D55"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60F8331F"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2CCE2606"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7B956E05"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r>
      <w:tr w:rsidR="009C6492" w:rsidRPr="003F44AD" w14:paraId="7E4A4FEA" w14:textId="77777777" w:rsidTr="00017507">
        <w:trPr>
          <w:trHeight w:val="77"/>
        </w:trPr>
        <w:tc>
          <w:tcPr>
            <w:tcW w:w="0" w:type="auto"/>
            <w:tcMar>
              <w:top w:w="0" w:type="dxa"/>
              <w:left w:w="70" w:type="dxa"/>
              <w:bottom w:w="0" w:type="dxa"/>
              <w:right w:w="70" w:type="dxa"/>
            </w:tcMar>
            <w:hideMark/>
          </w:tcPr>
          <w:p w14:paraId="6763208F"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K(%)</w:t>
            </w:r>
          </w:p>
        </w:tc>
        <w:tc>
          <w:tcPr>
            <w:tcW w:w="0" w:type="auto"/>
            <w:tcMar>
              <w:top w:w="0" w:type="dxa"/>
              <w:left w:w="70" w:type="dxa"/>
              <w:bottom w:w="0" w:type="dxa"/>
              <w:right w:w="70" w:type="dxa"/>
            </w:tcMar>
            <w:hideMark/>
          </w:tcPr>
          <w:p w14:paraId="60E502FC"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0.199</w:t>
            </w:r>
          </w:p>
        </w:tc>
        <w:tc>
          <w:tcPr>
            <w:tcW w:w="0" w:type="auto"/>
            <w:tcMar>
              <w:top w:w="0" w:type="dxa"/>
              <w:left w:w="70" w:type="dxa"/>
              <w:bottom w:w="0" w:type="dxa"/>
              <w:right w:w="70" w:type="dxa"/>
            </w:tcMar>
            <w:hideMark/>
          </w:tcPr>
          <w:p w14:paraId="4CB0731C"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700</w:t>
            </w:r>
          </w:p>
        </w:tc>
        <w:tc>
          <w:tcPr>
            <w:tcW w:w="0" w:type="auto"/>
            <w:tcMar>
              <w:top w:w="0" w:type="dxa"/>
              <w:left w:w="70" w:type="dxa"/>
              <w:bottom w:w="0" w:type="dxa"/>
              <w:right w:w="70" w:type="dxa"/>
            </w:tcMar>
            <w:hideMark/>
          </w:tcPr>
          <w:p w14:paraId="283CD2CA"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406F4C26"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08C93390"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29CBC20D"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08E0430B"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1E78BA11"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1886D314"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075C62E3"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r>
      <w:tr w:rsidR="009C6492" w:rsidRPr="003F44AD" w14:paraId="1F3D1B21" w14:textId="77777777" w:rsidTr="00017507">
        <w:trPr>
          <w:trHeight w:val="77"/>
        </w:trPr>
        <w:tc>
          <w:tcPr>
            <w:tcW w:w="0" w:type="auto"/>
            <w:tcMar>
              <w:top w:w="0" w:type="dxa"/>
              <w:left w:w="70" w:type="dxa"/>
              <w:bottom w:w="0" w:type="dxa"/>
              <w:right w:w="70" w:type="dxa"/>
            </w:tcMar>
            <w:hideMark/>
          </w:tcPr>
          <w:p w14:paraId="03E8BFB8"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Ca(%)</w:t>
            </w:r>
          </w:p>
        </w:tc>
        <w:tc>
          <w:tcPr>
            <w:tcW w:w="0" w:type="auto"/>
            <w:tcMar>
              <w:top w:w="0" w:type="dxa"/>
              <w:left w:w="70" w:type="dxa"/>
              <w:bottom w:w="0" w:type="dxa"/>
              <w:right w:w="70" w:type="dxa"/>
            </w:tcMar>
            <w:hideMark/>
          </w:tcPr>
          <w:p w14:paraId="130FA520"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10.06</w:t>
            </w:r>
          </w:p>
        </w:tc>
        <w:tc>
          <w:tcPr>
            <w:tcW w:w="0" w:type="auto"/>
            <w:tcMar>
              <w:top w:w="0" w:type="dxa"/>
              <w:left w:w="70" w:type="dxa"/>
              <w:bottom w:w="0" w:type="dxa"/>
              <w:right w:w="70" w:type="dxa"/>
            </w:tcMar>
            <w:hideMark/>
          </w:tcPr>
          <w:p w14:paraId="5A3E87B4"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81</w:t>
            </w:r>
          </w:p>
        </w:tc>
        <w:tc>
          <w:tcPr>
            <w:tcW w:w="0" w:type="auto"/>
            <w:tcMar>
              <w:top w:w="0" w:type="dxa"/>
              <w:left w:w="70" w:type="dxa"/>
              <w:bottom w:w="0" w:type="dxa"/>
              <w:right w:w="70" w:type="dxa"/>
            </w:tcMar>
            <w:hideMark/>
          </w:tcPr>
          <w:p w14:paraId="2BE8DE62"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1FA80ED9"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0D4E6BFC"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14914B29"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24FD289B"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1F0B8B71"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18F12C52"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773DF717"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r>
      <w:tr w:rsidR="009C6492" w:rsidRPr="003F44AD" w14:paraId="3681B4C2" w14:textId="77777777" w:rsidTr="00017507">
        <w:trPr>
          <w:trHeight w:val="77"/>
        </w:trPr>
        <w:tc>
          <w:tcPr>
            <w:tcW w:w="0" w:type="auto"/>
            <w:tcMar>
              <w:top w:w="0" w:type="dxa"/>
              <w:left w:w="70" w:type="dxa"/>
              <w:bottom w:w="0" w:type="dxa"/>
              <w:right w:w="70" w:type="dxa"/>
            </w:tcMar>
            <w:hideMark/>
          </w:tcPr>
          <w:p w14:paraId="06467884"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Mg(%)</w:t>
            </w:r>
          </w:p>
        </w:tc>
        <w:tc>
          <w:tcPr>
            <w:tcW w:w="0" w:type="auto"/>
            <w:tcMar>
              <w:top w:w="0" w:type="dxa"/>
              <w:left w:w="70" w:type="dxa"/>
              <w:bottom w:w="0" w:type="dxa"/>
              <w:right w:w="70" w:type="dxa"/>
            </w:tcMar>
            <w:hideMark/>
          </w:tcPr>
          <w:p w14:paraId="588A03EB"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0.82</w:t>
            </w:r>
          </w:p>
        </w:tc>
        <w:tc>
          <w:tcPr>
            <w:tcW w:w="0" w:type="auto"/>
            <w:tcMar>
              <w:top w:w="0" w:type="dxa"/>
              <w:left w:w="70" w:type="dxa"/>
              <w:bottom w:w="0" w:type="dxa"/>
              <w:right w:w="70" w:type="dxa"/>
            </w:tcMar>
            <w:hideMark/>
          </w:tcPr>
          <w:p w14:paraId="41C52F67"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44B864E0"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7102B2C6"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0F914820"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5388A035"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3B76EE04"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5C95E458"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7D65FC73"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4C92CAFA"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r>
      <w:tr w:rsidR="009C6492" w:rsidRPr="003F44AD" w14:paraId="7AD3CCA3" w14:textId="77777777" w:rsidTr="00017507">
        <w:trPr>
          <w:trHeight w:val="77"/>
        </w:trPr>
        <w:tc>
          <w:tcPr>
            <w:tcW w:w="0" w:type="auto"/>
            <w:tcMar>
              <w:top w:w="0" w:type="dxa"/>
              <w:left w:w="70" w:type="dxa"/>
              <w:bottom w:w="0" w:type="dxa"/>
              <w:right w:w="70" w:type="dxa"/>
            </w:tcMar>
            <w:hideMark/>
          </w:tcPr>
          <w:p w14:paraId="29004B72"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Na(%)</w:t>
            </w:r>
          </w:p>
        </w:tc>
        <w:tc>
          <w:tcPr>
            <w:tcW w:w="0" w:type="auto"/>
            <w:tcMar>
              <w:top w:w="0" w:type="dxa"/>
              <w:left w:w="70" w:type="dxa"/>
              <w:bottom w:w="0" w:type="dxa"/>
              <w:right w:w="70" w:type="dxa"/>
            </w:tcMar>
            <w:hideMark/>
          </w:tcPr>
          <w:p w14:paraId="0B5B2D82"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0.11</w:t>
            </w:r>
          </w:p>
        </w:tc>
        <w:tc>
          <w:tcPr>
            <w:tcW w:w="0" w:type="auto"/>
            <w:tcMar>
              <w:top w:w="0" w:type="dxa"/>
              <w:left w:w="70" w:type="dxa"/>
              <w:bottom w:w="0" w:type="dxa"/>
              <w:right w:w="70" w:type="dxa"/>
            </w:tcMar>
            <w:hideMark/>
          </w:tcPr>
          <w:p w14:paraId="43ED8694"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6.1</w:t>
            </w:r>
          </w:p>
        </w:tc>
        <w:tc>
          <w:tcPr>
            <w:tcW w:w="0" w:type="auto"/>
            <w:tcMar>
              <w:top w:w="0" w:type="dxa"/>
              <w:left w:w="70" w:type="dxa"/>
              <w:bottom w:w="0" w:type="dxa"/>
              <w:right w:w="70" w:type="dxa"/>
            </w:tcMar>
            <w:hideMark/>
          </w:tcPr>
          <w:p w14:paraId="0A50B802"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55AFC8D7"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53B8CF13"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73ECE61D"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6244DB0C"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06944696"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01649933"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0B55EF8E"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r>
      <w:tr w:rsidR="009C6492" w:rsidRPr="003F44AD" w14:paraId="3C8998A8" w14:textId="77777777" w:rsidTr="00017507">
        <w:trPr>
          <w:trHeight w:val="77"/>
        </w:trPr>
        <w:tc>
          <w:tcPr>
            <w:tcW w:w="0" w:type="auto"/>
            <w:tcMar>
              <w:top w:w="0" w:type="dxa"/>
              <w:left w:w="70" w:type="dxa"/>
              <w:bottom w:w="0" w:type="dxa"/>
              <w:right w:w="70" w:type="dxa"/>
            </w:tcMar>
            <w:hideMark/>
          </w:tcPr>
          <w:p w14:paraId="2A5E7B72"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BOD (mg/L)</w:t>
            </w:r>
          </w:p>
        </w:tc>
        <w:tc>
          <w:tcPr>
            <w:tcW w:w="0" w:type="auto"/>
            <w:tcMar>
              <w:top w:w="0" w:type="dxa"/>
              <w:left w:w="70" w:type="dxa"/>
              <w:bottom w:w="0" w:type="dxa"/>
              <w:right w:w="70" w:type="dxa"/>
            </w:tcMar>
            <w:hideMark/>
          </w:tcPr>
          <w:p w14:paraId="05B287C7"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116</w:t>
            </w:r>
          </w:p>
        </w:tc>
        <w:tc>
          <w:tcPr>
            <w:tcW w:w="0" w:type="auto"/>
            <w:tcMar>
              <w:top w:w="0" w:type="dxa"/>
              <w:left w:w="70" w:type="dxa"/>
              <w:bottom w:w="0" w:type="dxa"/>
              <w:right w:w="70" w:type="dxa"/>
            </w:tcMar>
            <w:hideMark/>
          </w:tcPr>
          <w:p w14:paraId="2D0F9C16"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4AE3B3B6"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1C721E0B"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60F74610"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0947CB40"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224D1E42"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038E92D0"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0FA2D7F5"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754393CA"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r>
      <w:tr w:rsidR="009C6492" w:rsidRPr="003F44AD" w14:paraId="036E0314" w14:textId="77777777" w:rsidTr="00017507">
        <w:trPr>
          <w:trHeight w:val="77"/>
        </w:trPr>
        <w:tc>
          <w:tcPr>
            <w:tcW w:w="0" w:type="auto"/>
            <w:tcMar>
              <w:top w:w="0" w:type="dxa"/>
              <w:left w:w="70" w:type="dxa"/>
              <w:bottom w:w="0" w:type="dxa"/>
              <w:right w:w="70" w:type="dxa"/>
            </w:tcMar>
            <w:hideMark/>
          </w:tcPr>
          <w:p w14:paraId="05B22AA5"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TSS (mg/L)</w:t>
            </w:r>
          </w:p>
        </w:tc>
        <w:tc>
          <w:tcPr>
            <w:tcW w:w="0" w:type="auto"/>
            <w:tcMar>
              <w:top w:w="0" w:type="dxa"/>
              <w:left w:w="70" w:type="dxa"/>
              <w:bottom w:w="0" w:type="dxa"/>
              <w:right w:w="70" w:type="dxa"/>
            </w:tcMar>
            <w:hideMark/>
          </w:tcPr>
          <w:p w14:paraId="1F1AA59B"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220</w:t>
            </w:r>
          </w:p>
        </w:tc>
        <w:tc>
          <w:tcPr>
            <w:tcW w:w="0" w:type="auto"/>
            <w:tcMar>
              <w:top w:w="0" w:type="dxa"/>
              <w:left w:w="70" w:type="dxa"/>
              <w:bottom w:w="0" w:type="dxa"/>
              <w:right w:w="70" w:type="dxa"/>
            </w:tcMar>
            <w:hideMark/>
          </w:tcPr>
          <w:p w14:paraId="5C4FDE7C"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7F171735"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33E23621"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08435CCB"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1B4B9231"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3D342F5A"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16096976"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021F9E93"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1213248D"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r>
      <w:tr w:rsidR="009C6492" w:rsidRPr="003F44AD" w14:paraId="619BD695" w14:textId="77777777" w:rsidTr="00017507">
        <w:trPr>
          <w:trHeight w:val="77"/>
        </w:trPr>
        <w:tc>
          <w:tcPr>
            <w:tcW w:w="0" w:type="auto"/>
            <w:tcMar>
              <w:top w:w="0" w:type="dxa"/>
              <w:left w:w="70" w:type="dxa"/>
              <w:bottom w:w="0" w:type="dxa"/>
              <w:right w:w="70" w:type="dxa"/>
            </w:tcMar>
            <w:hideMark/>
          </w:tcPr>
          <w:p w14:paraId="2E78D62E"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VSS (mg/L)</w:t>
            </w:r>
          </w:p>
        </w:tc>
        <w:tc>
          <w:tcPr>
            <w:tcW w:w="0" w:type="auto"/>
            <w:tcMar>
              <w:top w:w="0" w:type="dxa"/>
              <w:left w:w="70" w:type="dxa"/>
              <w:bottom w:w="0" w:type="dxa"/>
              <w:right w:w="70" w:type="dxa"/>
            </w:tcMar>
            <w:hideMark/>
          </w:tcPr>
          <w:p w14:paraId="6CBD7A3A"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3000</w:t>
            </w:r>
          </w:p>
        </w:tc>
        <w:tc>
          <w:tcPr>
            <w:tcW w:w="0" w:type="auto"/>
            <w:tcMar>
              <w:top w:w="0" w:type="dxa"/>
              <w:left w:w="70" w:type="dxa"/>
              <w:bottom w:w="0" w:type="dxa"/>
              <w:right w:w="70" w:type="dxa"/>
            </w:tcMar>
            <w:hideMark/>
          </w:tcPr>
          <w:p w14:paraId="3C06E2E7"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6F3B9E0B"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5D2AFBF0"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55100E69"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6405C562"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4C722860"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5283DAAB"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2768AC43"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c>
          <w:tcPr>
            <w:tcW w:w="0" w:type="auto"/>
            <w:tcMar>
              <w:top w:w="0" w:type="dxa"/>
              <w:left w:w="70" w:type="dxa"/>
              <w:bottom w:w="0" w:type="dxa"/>
              <w:right w:w="70" w:type="dxa"/>
            </w:tcMar>
            <w:hideMark/>
          </w:tcPr>
          <w:p w14:paraId="75A54D85"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w:t>
            </w:r>
          </w:p>
        </w:tc>
      </w:tr>
      <w:tr w:rsidR="009C6492" w:rsidRPr="003F44AD" w14:paraId="59E86832" w14:textId="77777777" w:rsidTr="00017507">
        <w:trPr>
          <w:trHeight w:val="81"/>
        </w:trPr>
        <w:tc>
          <w:tcPr>
            <w:tcW w:w="0" w:type="auto"/>
            <w:tcBorders>
              <w:bottom w:val="single" w:sz="8" w:space="0" w:color="008000"/>
            </w:tcBorders>
            <w:tcMar>
              <w:top w:w="0" w:type="dxa"/>
              <w:left w:w="70" w:type="dxa"/>
              <w:bottom w:w="0" w:type="dxa"/>
              <w:right w:w="70" w:type="dxa"/>
            </w:tcMar>
            <w:hideMark/>
          </w:tcPr>
          <w:p w14:paraId="3284084B"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H</w:t>
            </w:r>
            <w:r w:rsidRPr="003F44AD">
              <w:rPr>
                <w:rFonts w:ascii="Calibri" w:hAnsi="Calibri" w:cs="Calibri"/>
                <w:color w:val="000000"/>
                <w:szCs w:val="18"/>
                <w:vertAlign w:val="subscript"/>
              </w:rPr>
              <w:t>2</w:t>
            </w:r>
            <w:r w:rsidRPr="003F44AD">
              <w:rPr>
                <w:rFonts w:ascii="Calibri" w:hAnsi="Calibri" w:cs="Calibri"/>
                <w:color w:val="000000"/>
                <w:szCs w:val="18"/>
              </w:rPr>
              <w:t>S (ppm)</w:t>
            </w:r>
          </w:p>
        </w:tc>
        <w:tc>
          <w:tcPr>
            <w:tcW w:w="0" w:type="auto"/>
            <w:tcBorders>
              <w:bottom w:val="single" w:sz="8" w:space="0" w:color="008000"/>
            </w:tcBorders>
            <w:tcMar>
              <w:top w:w="0" w:type="dxa"/>
              <w:left w:w="70" w:type="dxa"/>
              <w:bottom w:w="0" w:type="dxa"/>
              <w:right w:w="70" w:type="dxa"/>
            </w:tcMar>
            <w:hideMark/>
          </w:tcPr>
          <w:p w14:paraId="0E3EE9E2"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 </w:t>
            </w:r>
          </w:p>
        </w:tc>
        <w:tc>
          <w:tcPr>
            <w:tcW w:w="0" w:type="auto"/>
            <w:tcBorders>
              <w:bottom w:val="single" w:sz="8" w:space="0" w:color="008000"/>
            </w:tcBorders>
            <w:tcMar>
              <w:top w:w="0" w:type="dxa"/>
              <w:left w:w="70" w:type="dxa"/>
              <w:bottom w:w="0" w:type="dxa"/>
              <w:right w:w="70" w:type="dxa"/>
            </w:tcMar>
            <w:hideMark/>
          </w:tcPr>
          <w:p w14:paraId="1E9F4544"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 </w:t>
            </w:r>
          </w:p>
        </w:tc>
        <w:tc>
          <w:tcPr>
            <w:tcW w:w="0" w:type="auto"/>
            <w:tcBorders>
              <w:bottom w:val="single" w:sz="8" w:space="0" w:color="008000"/>
            </w:tcBorders>
            <w:tcMar>
              <w:top w:w="0" w:type="dxa"/>
              <w:left w:w="70" w:type="dxa"/>
              <w:bottom w:w="0" w:type="dxa"/>
              <w:right w:w="70" w:type="dxa"/>
            </w:tcMar>
            <w:hideMark/>
          </w:tcPr>
          <w:p w14:paraId="5F310417"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140.3 ± 0.6</w:t>
            </w:r>
          </w:p>
        </w:tc>
        <w:tc>
          <w:tcPr>
            <w:tcW w:w="0" w:type="auto"/>
            <w:tcBorders>
              <w:bottom w:val="single" w:sz="8" w:space="0" w:color="008000"/>
            </w:tcBorders>
            <w:tcMar>
              <w:top w:w="0" w:type="dxa"/>
              <w:left w:w="70" w:type="dxa"/>
              <w:bottom w:w="0" w:type="dxa"/>
              <w:right w:w="70" w:type="dxa"/>
            </w:tcMar>
            <w:hideMark/>
          </w:tcPr>
          <w:p w14:paraId="7676BDA5"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68 ± 1.5</w:t>
            </w:r>
          </w:p>
        </w:tc>
        <w:tc>
          <w:tcPr>
            <w:tcW w:w="0" w:type="auto"/>
            <w:tcBorders>
              <w:bottom w:val="single" w:sz="8" w:space="0" w:color="008000"/>
            </w:tcBorders>
            <w:tcMar>
              <w:top w:w="0" w:type="dxa"/>
              <w:left w:w="70" w:type="dxa"/>
              <w:bottom w:w="0" w:type="dxa"/>
              <w:right w:w="70" w:type="dxa"/>
            </w:tcMar>
            <w:hideMark/>
          </w:tcPr>
          <w:p w14:paraId="4456543C"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137.7 ± 2.5</w:t>
            </w:r>
          </w:p>
        </w:tc>
        <w:tc>
          <w:tcPr>
            <w:tcW w:w="0" w:type="auto"/>
            <w:tcBorders>
              <w:bottom w:val="single" w:sz="8" w:space="0" w:color="008000"/>
            </w:tcBorders>
            <w:tcMar>
              <w:top w:w="0" w:type="dxa"/>
              <w:left w:w="70" w:type="dxa"/>
              <w:bottom w:w="0" w:type="dxa"/>
              <w:right w:w="70" w:type="dxa"/>
            </w:tcMar>
            <w:hideMark/>
          </w:tcPr>
          <w:p w14:paraId="3EEA4DD9"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54 ± 1</w:t>
            </w:r>
          </w:p>
        </w:tc>
        <w:tc>
          <w:tcPr>
            <w:tcW w:w="0" w:type="auto"/>
            <w:tcBorders>
              <w:bottom w:val="single" w:sz="8" w:space="0" w:color="008000"/>
            </w:tcBorders>
            <w:tcMar>
              <w:top w:w="0" w:type="dxa"/>
              <w:left w:w="70" w:type="dxa"/>
              <w:bottom w:w="0" w:type="dxa"/>
              <w:right w:w="70" w:type="dxa"/>
            </w:tcMar>
            <w:hideMark/>
          </w:tcPr>
          <w:p w14:paraId="3DB965AF"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139 ± 1</w:t>
            </w:r>
          </w:p>
        </w:tc>
        <w:tc>
          <w:tcPr>
            <w:tcW w:w="0" w:type="auto"/>
            <w:tcBorders>
              <w:bottom w:val="single" w:sz="8" w:space="0" w:color="008000"/>
            </w:tcBorders>
            <w:tcMar>
              <w:top w:w="0" w:type="dxa"/>
              <w:left w:w="70" w:type="dxa"/>
              <w:bottom w:w="0" w:type="dxa"/>
              <w:right w:w="70" w:type="dxa"/>
            </w:tcMar>
            <w:hideMark/>
          </w:tcPr>
          <w:p w14:paraId="0C7EBAFA"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1 ± 1</w:t>
            </w:r>
          </w:p>
        </w:tc>
        <w:tc>
          <w:tcPr>
            <w:tcW w:w="0" w:type="auto"/>
            <w:tcBorders>
              <w:bottom w:val="single" w:sz="8" w:space="0" w:color="008000"/>
            </w:tcBorders>
            <w:tcMar>
              <w:top w:w="0" w:type="dxa"/>
              <w:left w:w="70" w:type="dxa"/>
              <w:bottom w:w="0" w:type="dxa"/>
              <w:right w:w="70" w:type="dxa"/>
            </w:tcMar>
            <w:hideMark/>
          </w:tcPr>
          <w:p w14:paraId="74D7B879"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140.3 ± 1.5 </w:t>
            </w:r>
          </w:p>
        </w:tc>
        <w:tc>
          <w:tcPr>
            <w:tcW w:w="0" w:type="auto"/>
            <w:tcBorders>
              <w:bottom w:val="single" w:sz="8" w:space="0" w:color="008000"/>
            </w:tcBorders>
            <w:tcMar>
              <w:top w:w="0" w:type="dxa"/>
              <w:left w:w="70" w:type="dxa"/>
              <w:bottom w:w="0" w:type="dxa"/>
              <w:right w:w="70" w:type="dxa"/>
            </w:tcMar>
            <w:hideMark/>
          </w:tcPr>
          <w:p w14:paraId="12CCE7E1" w14:textId="77777777" w:rsidR="009C6492" w:rsidRPr="003F44AD" w:rsidRDefault="009C6492" w:rsidP="00017507">
            <w:pPr>
              <w:spacing w:line="240" w:lineRule="auto"/>
              <w:rPr>
                <w:rFonts w:ascii="Times New Roman" w:hAnsi="Times New Roman"/>
                <w:szCs w:val="18"/>
              </w:rPr>
            </w:pPr>
            <w:r w:rsidRPr="003F44AD">
              <w:rPr>
                <w:rFonts w:ascii="Calibri" w:hAnsi="Calibri" w:cs="Calibri"/>
                <w:color w:val="000000"/>
                <w:szCs w:val="18"/>
              </w:rPr>
              <w:t>47 ± 1</w:t>
            </w:r>
          </w:p>
        </w:tc>
      </w:tr>
    </w:tbl>
    <w:p w14:paraId="083EEA75" w14:textId="70B54552" w:rsidR="003F09F5" w:rsidRPr="003F44AD" w:rsidRDefault="003F09F5" w:rsidP="00925E84">
      <w:pPr>
        <w:pStyle w:val="CETBodytext"/>
        <w:spacing w:line="240" w:lineRule="auto"/>
        <w:contextualSpacing/>
        <w:rPr>
          <w:lang w:val="en-GB"/>
        </w:rPr>
      </w:pPr>
    </w:p>
    <w:p w14:paraId="5B58A325" w14:textId="6F6A6641" w:rsidR="000042F3" w:rsidRPr="003F44AD" w:rsidRDefault="00DA1011" w:rsidP="00925E84">
      <w:pPr>
        <w:pStyle w:val="CETBodytext"/>
        <w:spacing w:line="240" w:lineRule="auto"/>
        <w:contextualSpacing/>
        <w:rPr>
          <w:lang w:val="en-GB"/>
        </w:rPr>
      </w:pPr>
      <w:r w:rsidRPr="003F44AD">
        <w:rPr>
          <w:lang w:val="en-GB"/>
        </w:rPr>
        <w:t xml:space="preserve">According to the results, a decrease in the initial pH is observed for T0 (-0.79 units), unlike the other treatments, where the pH increased in the following order: T1 (+0.58) &gt;T3 (+0.09) &gt;T2 (+0.06), this means that T2 has maintained almost stable pH, which allowed favourable conditions for microbial development. </w:t>
      </w:r>
      <w:r w:rsidR="00921E3B" w:rsidRPr="00D2693F">
        <w:rPr>
          <w:color w:val="FF0000"/>
          <w:lang w:val="en-GB"/>
        </w:rPr>
        <w:t>The reason behind this is that the buffer system of volatile fatty acids and CO</w:t>
      </w:r>
      <w:r w:rsidR="00921E3B" w:rsidRPr="00D2693F">
        <w:rPr>
          <w:color w:val="FF0000"/>
          <w:vertAlign w:val="subscript"/>
          <w:lang w:val="en-GB"/>
        </w:rPr>
        <w:t>2</w:t>
      </w:r>
      <w:r w:rsidR="00921E3B" w:rsidRPr="00D2693F">
        <w:rPr>
          <w:color w:val="FF0000"/>
          <w:lang w:val="en-GB"/>
        </w:rPr>
        <w:t xml:space="preserve"> dissolved in N</w:t>
      </w:r>
      <w:r w:rsidR="00921E3B" w:rsidRPr="00D2693F">
        <w:rPr>
          <w:color w:val="FF0000"/>
          <w:vertAlign w:val="subscript"/>
          <w:lang w:val="en-GB"/>
        </w:rPr>
        <w:t>2</w:t>
      </w:r>
      <w:r w:rsidR="00921E3B" w:rsidRPr="00D2693F">
        <w:rPr>
          <w:color w:val="FF0000"/>
          <w:lang w:val="en-GB"/>
        </w:rPr>
        <w:t xml:space="preserve"> and endogenous free NH</w:t>
      </w:r>
      <w:r w:rsidR="00921E3B" w:rsidRPr="00D2693F">
        <w:rPr>
          <w:color w:val="FF0000"/>
          <w:vertAlign w:val="subscript"/>
          <w:lang w:val="en-GB"/>
        </w:rPr>
        <w:t xml:space="preserve">3 </w:t>
      </w:r>
      <w:r w:rsidR="00921E3B" w:rsidRPr="00D2693F">
        <w:rPr>
          <w:color w:val="FF0000"/>
          <w:lang w:val="en-GB"/>
        </w:rPr>
        <w:t xml:space="preserve">regulates the pH and alkalinity in the mixture (Zhao et al., 2020). </w:t>
      </w:r>
      <w:r w:rsidRPr="003F44AD">
        <w:rPr>
          <w:lang w:val="en-GB"/>
        </w:rPr>
        <w:t>In this case, a greater buffer capacity was produced, which favoured the absorption of H</w:t>
      </w:r>
      <w:r w:rsidRPr="003F44AD">
        <w:rPr>
          <w:vertAlign w:val="subscript"/>
          <w:lang w:val="en-GB"/>
        </w:rPr>
        <w:t>2</w:t>
      </w:r>
      <w:r w:rsidRPr="003F44AD">
        <w:rPr>
          <w:lang w:val="en-GB"/>
        </w:rPr>
        <w:t>S by the sulfoxidizing bacteria and greater development of these microorganisms. That is, the pH of the organic load has had a determining effect on the process, T2 was closer to a system in almost steady state, similar to other desulfurization studies, which reached pH =</w:t>
      </w:r>
      <w:r w:rsidR="006C70F1" w:rsidRPr="003F44AD">
        <w:rPr>
          <w:lang w:val="en-GB"/>
        </w:rPr>
        <w:t xml:space="preserve"> </w:t>
      </w:r>
      <w:r w:rsidRPr="003F44AD">
        <w:rPr>
          <w:lang w:val="en-GB"/>
        </w:rPr>
        <w:t>8, eliminating 99% of H</w:t>
      </w:r>
      <w:r w:rsidRPr="003F44AD">
        <w:rPr>
          <w:vertAlign w:val="subscript"/>
          <w:lang w:val="en-GB"/>
        </w:rPr>
        <w:t>2</w:t>
      </w:r>
      <w:r w:rsidRPr="003F44AD">
        <w:rPr>
          <w:lang w:val="en-GB"/>
        </w:rPr>
        <w:t>S (Ou et al., 2020). Greater stationary stability favoured greater consumption of organic matter and water that followed the following order: T2&gt;T3&gt;T1&gt;T0. The decrease in organic matter is part of the mineralization in the process (López-González et al. 2021). In addition, the reactor design included 4 divisions, each division with a small hole of 0.5 cm in diameter to discharge ammonia gas and limited entry of oxygen. It is important to highlight those traces of oxygen in the system, in turn, allowed O</w:t>
      </w:r>
      <w:r w:rsidRPr="003F44AD">
        <w:rPr>
          <w:vertAlign w:val="subscript"/>
          <w:lang w:val="en-GB"/>
        </w:rPr>
        <w:t>2</w:t>
      </w:r>
      <w:r w:rsidRPr="003F44AD">
        <w:rPr>
          <w:lang w:val="en-GB"/>
        </w:rPr>
        <w:t xml:space="preserve"> to act as an electron acceptor from the available donor H</w:t>
      </w:r>
      <w:r w:rsidRPr="003F44AD">
        <w:rPr>
          <w:vertAlign w:val="subscript"/>
          <w:lang w:val="en-GB"/>
        </w:rPr>
        <w:t>2</w:t>
      </w:r>
      <w:r w:rsidRPr="003F44AD">
        <w:rPr>
          <w:lang w:val="en-GB"/>
        </w:rPr>
        <w:t>S (Andreides et al. 2020), which favoured the biological oxidation of T2 sulphides. A minimal amount of oxygen favours the oxidation of HS</w:t>
      </w:r>
      <w:r w:rsidRPr="003F44AD">
        <w:rPr>
          <w:szCs w:val="18"/>
          <w:vertAlign w:val="superscript"/>
          <w:lang w:val="en-GB"/>
        </w:rPr>
        <w:t>-</w:t>
      </w:r>
      <w:r w:rsidRPr="003F44AD">
        <w:rPr>
          <w:lang w:val="en-GB"/>
        </w:rPr>
        <w:t xml:space="preserve"> to elemental sulphur; while for T0, unfavourable secondary reactions would have occurred that transformed the HS</w:t>
      </w:r>
      <w:r w:rsidRPr="003F44AD">
        <w:rPr>
          <w:vertAlign w:val="superscript"/>
          <w:lang w:val="en-GB"/>
        </w:rPr>
        <w:t>-</w:t>
      </w:r>
      <w:r w:rsidRPr="003F44AD">
        <w:rPr>
          <w:lang w:val="en-GB"/>
        </w:rPr>
        <w:t xml:space="preserve"> ion into less alkaline forms (Chen et al. 202</w:t>
      </w:r>
      <w:r w:rsidR="00666A25" w:rsidRPr="003F44AD">
        <w:rPr>
          <w:lang w:val="en-GB"/>
        </w:rPr>
        <w:t>2</w:t>
      </w:r>
      <w:r w:rsidRPr="003F44AD">
        <w:rPr>
          <w:lang w:val="en-GB"/>
        </w:rPr>
        <w:t>). Likewise, Table 1 consequently demonstrates the decrease in H</w:t>
      </w:r>
      <w:r w:rsidRPr="003F44AD">
        <w:rPr>
          <w:vertAlign w:val="subscript"/>
          <w:lang w:val="en-GB"/>
        </w:rPr>
        <w:t>2</w:t>
      </w:r>
      <w:r w:rsidRPr="003F44AD">
        <w:rPr>
          <w:lang w:val="en-GB"/>
        </w:rPr>
        <w:t>S load in the following order: T2&gt;T3&gt;T1&gt;T0, produced by the following general equation:</w:t>
      </w:r>
    </w:p>
    <w:tbl>
      <w:tblPr>
        <w:tblW w:w="5000" w:type="pct"/>
        <w:tblLook w:val="04A0" w:firstRow="1" w:lastRow="0" w:firstColumn="1" w:lastColumn="0" w:noHBand="0" w:noVBand="1"/>
      </w:tblPr>
      <w:tblGrid>
        <w:gridCol w:w="7986"/>
        <w:gridCol w:w="801"/>
      </w:tblGrid>
      <w:tr w:rsidR="000042F3" w:rsidRPr="003F44AD" w14:paraId="1C8ACB13" w14:textId="77777777" w:rsidTr="00017507">
        <w:tc>
          <w:tcPr>
            <w:tcW w:w="7986" w:type="dxa"/>
            <w:shd w:val="clear" w:color="auto" w:fill="auto"/>
            <w:vAlign w:val="center"/>
          </w:tcPr>
          <w:p w14:paraId="7D620D79" w14:textId="138EE99A" w:rsidR="000042F3" w:rsidRPr="003F44AD" w:rsidRDefault="000042F3" w:rsidP="000042F3">
            <w:pPr>
              <w:spacing w:line="240" w:lineRule="auto"/>
              <w:ind w:left="-567" w:right="-569"/>
              <w:rPr>
                <w:rFonts w:ascii="Times New Roman" w:hAnsi="Times New Roman"/>
                <w:szCs w:val="18"/>
              </w:rPr>
            </w:pPr>
            <w:r w:rsidRPr="003F44AD">
              <w:rPr>
                <w:rFonts w:cs="Arial"/>
                <w:color w:val="000000"/>
                <w:szCs w:val="18"/>
              </w:rPr>
              <w:t>2H       2HS</w:t>
            </w:r>
            <w:r w:rsidRPr="003F44AD">
              <w:rPr>
                <w:rFonts w:cs="Arial"/>
                <w:color w:val="000000"/>
                <w:szCs w:val="18"/>
                <w:vertAlign w:val="superscript"/>
              </w:rPr>
              <w:t>-</w:t>
            </w:r>
            <w:r w:rsidRPr="003F44AD">
              <w:rPr>
                <w:rFonts w:cs="Arial"/>
                <w:color w:val="000000"/>
                <w:szCs w:val="18"/>
              </w:rPr>
              <w:t xml:space="preserve"> + O</w:t>
            </w:r>
            <w:r w:rsidRPr="003F44AD">
              <w:rPr>
                <w:rFonts w:cs="Arial"/>
                <w:color w:val="000000"/>
                <w:szCs w:val="18"/>
                <w:vertAlign w:val="subscript"/>
              </w:rPr>
              <w:t>2</w:t>
            </w:r>
            <w:r w:rsidRPr="003F44AD">
              <w:rPr>
                <w:rFonts w:cs="Arial"/>
                <w:color w:val="000000"/>
                <w:szCs w:val="18"/>
              </w:rPr>
              <w:t xml:space="preserve">   →  2S</w:t>
            </w:r>
            <w:r w:rsidRPr="003F44AD">
              <w:rPr>
                <w:rFonts w:cs="Arial"/>
                <w:color w:val="000000"/>
                <w:szCs w:val="18"/>
                <w:vertAlign w:val="superscript"/>
              </w:rPr>
              <w:t>o</w:t>
            </w:r>
            <w:r w:rsidRPr="003F44AD">
              <w:rPr>
                <w:rFonts w:cs="Arial"/>
                <w:color w:val="000000"/>
                <w:szCs w:val="18"/>
              </w:rPr>
              <w:t xml:space="preserve"> + 2OH</w:t>
            </w:r>
            <w:r w:rsidRPr="003F44AD">
              <w:rPr>
                <w:rFonts w:cs="Arial"/>
                <w:color w:val="000000"/>
                <w:szCs w:val="18"/>
                <w:vertAlign w:val="superscript"/>
              </w:rPr>
              <w:t>-</w:t>
            </w:r>
          </w:p>
        </w:tc>
        <w:tc>
          <w:tcPr>
            <w:tcW w:w="801" w:type="dxa"/>
            <w:shd w:val="clear" w:color="auto" w:fill="auto"/>
            <w:vAlign w:val="center"/>
          </w:tcPr>
          <w:p w14:paraId="35ABD803" w14:textId="7CD74645" w:rsidR="000042F3" w:rsidRPr="003F44AD" w:rsidRDefault="000042F3" w:rsidP="00017507">
            <w:pPr>
              <w:pStyle w:val="CETEquation"/>
              <w:jc w:val="right"/>
              <w:rPr>
                <w:szCs w:val="18"/>
              </w:rPr>
            </w:pPr>
            <w:r w:rsidRPr="003F44AD">
              <w:rPr>
                <w:szCs w:val="18"/>
              </w:rPr>
              <w:t>(1)</w:t>
            </w:r>
          </w:p>
        </w:tc>
      </w:tr>
    </w:tbl>
    <w:p w14:paraId="75313F9B" w14:textId="501A597F" w:rsidR="000042F3" w:rsidRPr="003F44AD" w:rsidRDefault="0050157A" w:rsidP="00925E84">
      <w:pPr>
        <w:pStyle w:val="CETBodytext"/>
        <w:spacing w:line="240" w:lineRule="auto"/>
        <w:contextualSpacing/>
        <w:rPr>
          <w:lang w:val="en-GB"/>
        </w:rPr>
      </w:pPr>
      <w:r w:rsidRPr="003F44AD">
        <w:rPr>
          <w:lang w:val="en-GB"/>
        </w:rPr>
        <w:t>On the other hand, table 2 shows the results of the microbiological analysis on day 1 and day 15 of anaerobic digestion.</w:t>
      </w:r>
    </w:p>
    <w:p w14:paraId="10360072" w14:textId="26DEB9FD" w:rsidR="000042F3" w:rsidRPr="003F44AD" w:rsidRDefault="000042F3" w:rsidP="00925E84">
      <w:pPr>
        <w:pStyle w:val="CETBodytext"/>
        <w:spacing w:line="240" w:lineRule="auto"/>
        <w:contextualSpacing/>
        <w:rPr>
          <w:lang w:val="en-GB"/>
        </w:rPr>
      </w:pPr>
    </w:p>
    <w:p w14:paraId="4991E544" w14:textId="35D3100D" w:rsidR="00A8430F" w:rsidRPr="003F44AD" w:rsidRDefault="00A8430F" w:rsidP="00925E84">
      <w:pPr>
        <w:pStyle w:val="CETBodytext"/>
        <w:spacing w:line="240" w:lineRule="auto"/>
        <w:contextualSpacing/>
        <w:rPr>
          <w:lang w:val="en-GB"/>
        </w:rPr>
      </w:pPr>
      <w:r w:rsidRPr="003F44AD">
        <w:rPr>
          <w:lang w:val="en-GB"/>
        </w:rPr>
        <w:lastRenderedPageBreak/>
        <w:t>Table 2. Microbiological parameters resulting from Anaerobic Digestion</w:t>
      </w:r>
    </w:p>
    <w:p w14:paraId="7B7DC8D2" w14:textId="1D9FAD1D" w:rsidR="000042F3" w:rsidRPr="003F44AD" w:rsidRDefault="000042F3" w:rsidP="00925E84">
      <w:pPr>
        <w:pStyle w:val="CETBodytext"/>
        <w:spacing w:line="240" w:lineRule="auto"/>
        <w:contextualSpacing/>
        <w:rPr>
          <w:lang w:val="en-GB"/>
        </w:rPr>
      </w:pPr>
    </w:p>
    <w:tbl>
      <w:tblPr>
        <w:tblW w:w="0" w:type="auto"/>
        <w:tblCellMar>
          <w:top w:w="15" w:type="dxa"/>
          <w:left w:w="15" w:type="dxa"/>
          <w:bottom w:w="15" w:type="dxa"/>
          <w:right w:w="15" w:type="dxa"/>
        </w:tblCellMar>
        <w:tblLook w:val="04A0" w:firstRow="1" w:lastRow="0" w:firstColumn="1" w:lastColumn="0" w:noHBand="0" w:noVBand="1"/>
      </w:tblPr>
      <w:tblGrid>
        <w:gridCol w:w="3125"/>
        <w:gridCol w:w="1104"/>
        <w:gridCol w:w="1046"/>
        <w:gridCol w:w="878"/>
        <w:gridCol w:w="878"/>
        <w:gridCol w:w="878"/>
        <w:gridCol w:w="878"/>
      </w:tblGrid>
      <w:tr w:rsidR="00591A73" w:rsidRPr="003F44AD" w14:paraId="2BB7C2CB" w14:textId="77777777" w:rsidTr="00535F8F">
        <w:trPr>
          <w:trHeight w:val="253"/>
        </w:trPr>
        <w:tc>
          <w:tcPr>
            <w:tcW w:w="0" w:type="auto"/>
            <w:tcBorders>
              <w:top w:val="single" w:sz="8" w:space="0" w:color="008000"/>
              <w:bottom w:val="single" w:sz="4" w:space="0" w:color="008000"/>
            </w:tcBorders>
            <w:tcMar>
              <w:top w:w="0" w:type="dxa"/>
              <w:left w:w="70" w:type="dxa"/>
              <w:bottom w:w="0" w:type="dxa"/>
              <w:right w:w="70" w:type="dxa"/>
            </w:tcMar>
            <w:hideMark/>
          </w:tcPr>
          <w:p w14:paraId="32D056B9" w14:textId="77777777" w:rsidR="00535F8F" w:rsidRPr="003F44AD" w:rsidRDefault="00535F8F" w:rsidP="00017507">
            <w:pPr>
              <w:spacing w:line="240" w:lineRule="auto"/>
              <w:jc w:val="center"/>
              <w:rPr>
                <w:rFonts w:cs="Arial"/>
                <w:szCs w:val="18"/>
              </w:rPr>
            </w:pPr>
            <w:r w:rsidRPr="003F44AD">
              <w:rPr>
                <w:rFonts w:cs="Arial"/>
                <w:color w:val="000000"/>
                <w:szCs w:val="18"/>
              </w:rPr>
              <w:t>Parameter</w:t>
            </w:r>
          </w:p>
        </w:tc>
        <w:tc>
          <w:tcPr>
            <w:tcW w:w="0" w:type="auto"/>
            <w:tcBorders>
              <w:top w:val="single" w:sz="8" w:space="0" w:color="008000"/>
              <w:bottom w:val="single" w:sz="4" w:space="0" w:color="008000"/>
            </w:tcBorders>
            <w:tcMar>
              <w:top w:w="0" w:type="dxa"/>
              <w:left w:w="70" w:type="dxa"/>
              <w:bottom w:w="0" w:type="dxa"/>
              <w:right w:w="70" w:type="dxa"/>
            </w:tcMar>
            <w:hideMark/>
          </w:tcPr>
          <w:p w14:paraId="7D9BD8FC" w14:textId="77777777" w:rsidR="00535F8F" w:rsidRPr="003F44AD" w:rsidRDefault="00535F8F" w:rsidP="00017507">
            <w:pPr>
              <w:spacing w:line="240" w:lineRule="auto"/>
              <w:rPr>
                <w:rFonts w:cs="Arial"/>
                <w:szCs w:val="18"/>
              </w:rPr>
            </w:pPr>
            <w:r w:rsidRPr="003F44AD">
              <w:rPr>
                <w:rFonts w:cs="Arial"/>
                <w:color w:val="000000"/>
                <w:szCs w:val="18"/>
              </w:rPr>
              <w:t>Sludge Day1</w:t>
            </w:r>
          </w:p>
        </w:tc>
        <w:tc>
          <w:tcPr>
            <w:tcW w:w="0" w:type="auto"/>
            <w:tcBorders>
              <w:top w:val="single" w:sz="8" w:space="0" w:color="008000"/>
              <w:bottom w:val="single" w:sz="4" w:space="0" w:color="008000"/>
            </w:tcBorders>
            <w:tcMar>
              <w:top w:w="0" w:type="dxa"/>
              <w:left w:w="70" w:type="dxa"/>
              <w:bottom w:w="0" w:type="dxa"/>
              <w:right w:w="70" w:type="dxa"/>
            </w:tcMar>
            <w:hideMark/>
          </w:tcPr>
          <w:p w14:paraId="5EE03D52" w14:textId="77777777" w:rsidR="00535F8F" w:rsidRPr="003F44AD" w:rsidRDefault="00535F8F" w:rsidP="00017507">
            <w:pPr>
              <w:spacing w:line="240" w:lineRule="auto"/>
              <w:rPr>
                <w:rFonts w:cs="Arial"/>
                <w:szCs w:val="18"/>
              </w:rPr>
            </w:pPr>
            <w:r w:rsidRPr="003F44AD">
              <w:rPr>
                <w:rFonts w:cs="Arial"/>
                <w:color w:val="000000"/>
                <w:szCs w:val="18"/>
              </w:rPr>
              <w:t>BMOs Day1</w:t>
            </w:r>
          </w:p>
        </w:tc>
        <w:tc>
          <w:tcPr>
            <w:tcW w:w="0" w:type="auto"/>
            <w:tcBorders>
              <w:top w:val="single" w:sz="8" w:space="0" w:color="008000"/>
              <w:bottom w:val="single" w:sz="4" w:space="0" w:color="008000"/>
            </w:tcBorders>
            <w:tcMar>
              <w:top w:w="0" w:type="dxa"/>
              <w:left w:w="70" w:type="dxa"/>
              <w:bottom w:w="0" w:type="dxa"/>
              <w:right w:w="70" w:type="dxa"/>
            </w:tcMar>
            <w:hideMark/>
          </w:tcPr>
          <w:p w14:paraId="5B9D63B4" w14:textId="77777777" w:rsidR="00535F8F" w:rsidRPr="003F44AD" w:rsidRDefault="00535F8F" w:rsidP="00017507">
            <w:pPr>
              <w:spacing w:line="240" w:lineRule="auto"/>
              <w:rPr>
                <w:rFonts w:cs="Arial"/>
                <w:szCs w:val="18"/>
              </w:rPr>
            </w:pPr>
            <w:r w:rsidRPr="003F44AD">
              <w:rPr>
                <w:rFonts w:cs="Arial"/>
                <w:color w:val="000000"/>
                <w:szCs w:val="18"/>
              </w:rPr>
              <w:t>T0 Day15</w:t>
            </w:r>
          </w:p>
        </w:tc>
        <w:tc>
          <w:tcPr>
            <w:tcW w:w="0" w:type="auto"/>
            <w:tcBorders>
              <w:top w:val="single" w:sz="8" w:space="0" w:color="008000"/>
              <w:bottom w:val="single" w:sz="4" w:space="0" w:color="008000"/>
            </w:tcBorders>
            <w:tcMar>
              <w:top w:w="0" w:type="dxa"/>
              <w:left w:w="70" w:type="dxa"/>
              <w:bottom w:w="0" w:type="dxa"/>
              <w:right w:w="70" w:type="dxa"/>
            </w:tcMar>
            <w:hideMark/>
          </w:tcPr>
          <w:p w14:paraId="4006E654" w14:textId="77777777" w:rsidR="00535F8F" w:rsidRPr="003F44AD" w:rsidRDefault="00535F8F" w:rsidP="00017507">
            <w:pPr>
              <w:spacing w:line="240" w:lineRule="auto"/>
              <w:rPr>
                <w:rFonts w:cs="Arial"/>
                <w:szCs w:val="18"/>
              </w:rPr>
            </w:pPr>
            <w:r w:rsidRPr="003F44AD">
              <w:rPr>
                <w:rFonts w:cs="Arial"/>
                <w:color w:val="000000"/>
                <w:szCs w:val="18"/>
              </w:rPr>
              <w:t>T1 Day15</w:t>
            </w:r>
          </w:p>
        </w:tc>
        <w:tc>
          <w:tcPr>
            <w:tcW w:w="0" w:type="auto"/>
            <w:tcBorders>
              <w:top w:val="single" w:sz="8" w:space="0" w:color="008000"/>
              <w:bottom w:val="single" w:sz="4" w:space="0" w:color="008000"/>
            </w:tcBorders>
            <w:tcMar>
              <w:top w:w="0" w:type="dxa"/>
              <w:left w:w="70" w:type="dxa"/>
              <w:bottom w:w="0" w:type="dxa"/>
              <w:right w:w="70" w:type="dxa"/>
            </w:tcMar>
            <w:hideMark/>
          </w:tcPr>
          <w:p w14:paraId="63BEFA9B" w14:textId="77777777" w:rsidR="00535F8F" w:rsidRPr="003F44AD" w:rsidRDefault="00535F8F" w:rsidP="00017507">
            <w:pPr>
              <w:spacing w:line="240" w:lineRule="auto"/>
              <w:rPr>
                <w:rFonts w:cs="Arial"/>
                <w:szCs w:val="18"/>
              </w:rPr>
            </w:pPr>
            <w:r w:rsidRPr="003F44AD">
              <w:rPr>
                <w:rFonts w:cs="Arial"/>
                <w:color w:val="000000"/>
                <w:szCs w:val="18"/>
              </w:rPr>
              <w:t>T2 Day15</w:t>
            </w:r>
          </w:p>
        </w:tc>
        <w:tc>
          <w:tcPr>
            <w:tcW w:w="0" w:type="auto"/>
            <w:tcBorders>
              <w:top w:val="single" w:sz="8" w:space="0" w:color="008000"/>
              <w:bottom w:val="single" w:sz="4" w:space="0" w:color="008000"/>
            </w:tcBorders>
            <w:tcMar>
              <w:top w:w="0" w:type="dxa"/>
              <w:left w:w="70" w:type="dxa"/>
              <w:bottom w:w="0" w:type="dxa"/>
              <w:right w:w="70" w:type="dxa"/>
            </w:tcMar>
            <w:hideMark/>
          </w:tcPr>
          <w:p w14:paraId="30A10133" w14:textId="77777777" w:rsidR="00535F8F" w:rsidRPr="003F44AD" w:rsidRDefault="00535F8F" w:rsidP="00017507">
            <w:pPr>
              <w:spacing w:line="240" w:lineRule="auto"/>
              <w:rPr>
                <w:rFonts w:cs="Arial"/>
                <w:szCs w:val="18"/>
              </w:rPr>
            </w:pPr>
            <w:r w:rsidRPr="003F44AD">
              <w:rPr>
                <w:rFonts w:cs="Arial"/>
                <w:color w:val="000000"/>
                <w:szCs w:val="18"/>
              </w:rPr>
              <w:t>T3 Day15</w:t>
            </w:r>
          </w:p>
        </w:tc>
      </w:tr>
      <w:tr w:rsidR="00591A73" w:rsidRPr="003F44AD" w14:paraId="7C6A9CDA" w14:textId="77777777" w:rsidTr="00535F8F">
        <w:trPr>
          <w:trHeight w:val="95"/>
        </w:trPr>
        <w:tc>
          <w:tcPr>
            <w:tcW w:w="0" w:type="auto"/>
            <w:tcBorders>
              <w:top w:val="single" w:sz="4" w:space="0" w:color="008000"/>
            </w:tcBorders>
            <w:tcMar>
              <w:top w:w="0" w:type="dxa"/>
              <w:left w:w="70" w:type="dxa"/>
              <w:bottom w:w="0" w:type="dxa"/>
              <w:right w:w="70" w:type="dxa"/>
            </w:tcMar>
            <w:hideMark/>
          </w:tcPr>
          <w:p w14:paraId="43B8A13D" w14:textId="77777777" w:rsidR="00535F8F" w:rsidRPr="003F44AD" w:rsidRDefault="00535F8F" w:rsidP="00017507">
            <w:pPr>
              <w:spacing w:line="240" w:lineRule="auto"/>
              <w:rPr>
                <w:rFonts w:cs="Arial"/>
                <w:szCs w:val="18"/>
              </w:rPr>
            </w:pPr>
            <w:r w:rsidRPr="003F44AD">
              <w:rPr>
                <w:rFonts w:cs="Arial"/>
                <w:color w:val="000000"/>
                <w:szCs w:val="18"/>
              </w:rPr>
              <w:t>Count of viable mesophilic aerobes (CFU/ml)</w:t>
            </w:r>
          </w:p>
        </w:tc>
        <w:tc>
          <w:tcPr>
            <w:tcW w:w="0" w:type="auto"/>
            <w:tcBorders>
              <w:top w:val="single" w:sz="4" w:space="0" w:color="008000"/>
            </w:tcBorders>
            <w:tcMar>
              <w:top w:w="0" w:type="dxa"/>
              <w:left w:w="70" w:type="dxa"/>
              <w:bottom w:w="0" w:type="dxa"/>
              <w:right w:w="70" w:type="dxa"/>
            </w:tcMar>
            <w:hideMark/>
          </w:tcPr>
          <w:p w14:paraId="1D0E838B" w14:textId="0889E3B6" w:rsidR="00535F8F" w:rsidRPr="003F44AD" w:rsidRDefault="00535F8F" w:rsidP="00017507">
            <w:pPr>
              <w:spacing w:line="240" w:lineRule="auto"/>
              <w:rPr>
                <w:rFonts w:cs="Arial"/>
                <w:szCs w:val="18"/>
              </w:rPr>
            </w:pPr>
            <w:r w:rsidRPr="003F44AD">
              <w:rPr>
                <w:rFonts w:cs="Arial"/>
                <w:color w:val="000000"/>
                <w:szCs w:val="18"/>
              </w:rPr>
              <w:t>5.4</w:t>
            </w:r>
            <w:r w:rsidR="00515B79" w:rsidRPr="003F44AD">
              <w:rPr>
                <w:rFonts w:cs="Arial"/>
                <w:color w:val="000000"/>
                <w:szCs w:val="18"/>
              </w:rPr>
              <w:t>x10</w:t>
            </w:r>
            <w:r w:rsidRPr="003F44AD">
              <w:rPr>
                <w:rFonts w:cs="Arial"/>
                <w:color w:val="000000"/>
                <w:szCs w:val="18"/>
                <w:vertAlign w:val="superscript"/>
              </w:rPr>
              <w:t>3</w:t>
            </w:r>
          </w:p>
        </w:tc>
        <w:tc>
          <w:tcPr>
            <w:tcW w:w="0" w:type="auto"/>
            <w:tcBorders>
              <w:top w:val="single" w:sz="4" w:space="0" w:color="008000"/>
            </w:tcBorders>
            <w:tcMar>
              <w:top w:w="0" w:type="dxa"/>
              <w:left w:w="70" w:type="dxa"/>
              <w:bottom w:w="0" w:type="dxa"/>
              <w:right w:w="70" w:type="dxa"/>
            </w:tcMar>
            <w:hideMark/>
          </w:tcPr>
          <w:p w14:paraId="50D931EE" w14:textId="71C7A5BD" w:rsidR="00535F8F" w:rsidRPr="003F44AD" w:rsidRDefault="00535F8F" w:rsidP="00017507">
            <w:pPr>
              <w:spacing w:line="240" w:lineRule="auto"/>
              <w:rPr>
                <w:rFonts w:cs="Arial"/>
                <w:szCs w:val="18"/>
              </w:rPr>
            </w:pPr>
            <w:r w:rsidRPr="003F44AD">
              <w:rPr>
                <w:rFonts w:cs="Arial"/>
                <w:color w:val="000000"/>
                <w:szCs w:val="18"/>
              </w:rPr>
              <w:t>2.0</w:t>
            </w:r>
            <w:r w:rsidR="00515B79" w:rsidRPr="003F44AD">
              <w:rPr>
                <w:rFonts w:cs="Arial"/>
                <w:color w:val="000000"/>
                <w:szCs w:val="18"/>
              </w:rPr>
              <w:t>x10</w:t>
            </w:r>
            <w:r w:rsidRPr="003F44AD">
              <w:rPr>
                <w:rFonts w:cs="Arial"/>
                <w:color w:val="000000"/>
                <w:szCs w:val="18"/>
                <w:vertAlign w:val="superscript"/>
              </w:rPr>
              <w:t>5</w:t>
            </w:r>
          </w:p>
        </w:tc>
        <w:tc>
          <w:tcPr>
            <w:tcW w:w="0" w:type="auto"/>
            <w:tcBorders>
              <w:top w:val="single" w:sz="4" w:space="0" w:color="008000"/>
            </w:tcBorders>
            <w:tcMar>
              <w:top w:w="0" w:type="dxa"/>
              <w:left w:w="70" w:type="dxa"/>
              <w:bottom w:w="0" w:type="dxa"/>
              <w:right w:w="70" w:type="dxa"/>
            </w:tcMar>
            <w:hideMark/>
          </w:tcPr>
          <w:p w14:paraId="375D4769" w14:textId="57A7D70A" w:rsidR="00535F8F" w:rsidRPr="003F44AD" w:rsidRDefault="00535F8F" w:rsidP="00017507">
            <w:pPr>
              <w:spacing w:line="240" w:lineRule="auto"/>
              <w:rPr>
                <w:rFonts w:cs="Arial"/>
                <w:szCs w:val="18"/>
              </w:rPr>
            </w:pPr>
            <w:r w:rsidRPr="003F44AD">
              <w:rPr>
                <w:rFonts w:cs="Arial"/>
                <w:color w:val="000000"/>
                <w:szCs w:val="18"/>
              </w:rPr>
              <w:t>9.2</w:t>
            </w:r>
            <w:r w:rsidR="00515B79" w:rsidRPr="003F44AD">
              <w:rPr>
                <w:rFonts w:cs="Arial"/>
                <w:color w:val="000000"/>
                <w:szCs w:val="18"/>
              </w:rPr>
              <w:t>x10</w:t>
            </w:r>
            <w:r w:rsidRPr="003F44AD">
              <w:rPr>
                <w:rFonts w:cs="Arial"/>
                <w:color w:val="000000"/>
                <w:szCs w:val="18"/>
                <w:vertAlign w:val="superscript"/>
              </w:rPr>
              <w:t>3</w:t>
            </w:r>
          </w:p>
        </w:tc>
        <w:tc>
          <w:tcPr>
            <w:tcW w:w="0" w:type="auto"/>
            <w:tcBorders>
              <w:top w:val="single" w:sz="4" w:space="0" w:color="008000"/>
            </w:tcBorders>
            <w:tcMar>
              <w:top w:w="0" w:type="dxa"/>
              <w:left w:w="70" w:type="dxa"/>
              <w:bottom w:w="0" w:type="dxa"/>
              <w:right w:w="70" w:type="dxa"/>
            </w:tcMar>
            <w:hideMark/>
          </w:tcPr>
          <w:p w14:paraId="108959B8" w14:textId="25B3F6A4" w:rsidR="00535F8F" w:rsidRPr="003F44AD" w:rsidRDefault="00535F8F" w:rsidP="00017507">
            <w:pPr>
              <w:spacing w:line="240" w:lineRule="auto"/>
              <w:rPr>
                <w:rFonts w:cs="Arial"/>
                <w:szCs w:val="18"/>
              </w:rPr>
            </w:pPr>
            <w:r w:rsidRPr="003F44AD">
              <w:rPr>
                <w:rFonts w:cs="Arial"/>
                <w:color w:val="000000"/>
                <w:szCs w:val="18"/>
              </w:rPr>
              <w:t>2.5</w:t>
            </w:r>
            <w:r w:rsidR="00515B79" w:rsidRPr="003F44AD">
              <w:rPr>
                <w:rFonts w:cs="Arial"/>
                <w:color w:val="000000"/>
                <w:szCs w:val="18"/>
              </w:rPr>
              <w:t>x10</w:t>
            </w:r>
            <w:r w:rsidRPr="003F44AD">
              <w:rPr>
                <w:rFonts w:cs="Arial"/>
                <w:color w:val="000000"/>
                <w:szCs w:val="18"/>
                <w:vertAlign w:val="superscript"/>
              </w:rPr>
              <w:t>4</w:t>
            </w:r>
          </w:p>
        </w:tc>
        <w:tc>
          <w:tcPr>
            <w:tcW w:w="0" w:type="auto"/>
            <w:tcBorders>
              <w:top w:val="single" w:sz="4" w:space="0" w:color="008000"/>
            </w:tcBorders>
            <w:tcMar>
              <w:top w:w="0" w:type="dxa"/>
              <w:left w:w="70" w:type="dxa"/>
              <w:bottom w:w="0" w:type="dxa"/>
              <w:right w:w="70" w:type="dxa"/>
            </w:tcMar>
            <w:hideMark/>
          </w:tcPr>
          <w:p w14:paraId="0043A1C4" w14:textId="34642117" w:rsidR="00535F8F" w:rsidRPr="003F44AD" w:rsidRDefault="00535F8F" w:rsidP="00017507">
            <w:pPr>
              <w:spacing w:line="240" w:lineRule="auto"/>
              <w:rPr>
                <w:rFonts w:cs="Arial"/>
                <w:szCs w:val="18"/>
              </w:rPr>
            </w:pPr>
            <w:r w:rsidRPr="003F44AD">
              <w:rPr>
                <w:rFonts w:cs="Arial"/>
                <w:color w:val="000000"/>
                <w:szCs w:val="18"/>
              </w:rPr>
              <w:t>65</w:t>
            </w:r>
            <w:r w:rsidR="00515B79" w:rsidRPr="003F44AD">
              <w:rPr>
                <w:rFonts w:cs="Arial"/>
                <w:color w:val="000000"/>
                <w:szCs w:val="18"/>
              </w:rPr>
              <w:t>x10</w:t>
            </w:r>
            <w:r w:rsidRPr="003F44AD">
              <w:rPr>
                <w:rFonts w:cs="Arial"/>
                <w:color w:val="000000"/>
                <w:szCs w:val="18"/>
                <w:vertAlign w:val="superscript"/>
              </w:rPr>
              <w:t>7</w:t>
            </w:r>
          </w:p>
        </w:tc>
        <w:tc>
          <w:tcPr>
            <w:tcW w:w="0" w:type="auto"/>
            <w:tcBorders>
              <w:top w:val="single" w:sz="4" w:space="0" w:color="008000"/>
            </w:tcBorders>
            <w:tcMar>
              <w:top w:w="0" w:type="dxa"/>
              <w:left w:w="70" w:type="dxa"/>
              <w:bottom w:w="0" w:type="dxa"/>
              <w:right w:w="70" w:type="dxa"/>
            </w:tcMar>
            <w:hideMark/>
          </w:tcPr>
          <w:p w14:paraId="3DA19F57" w14:textId="6E734E7F" w:rsidR="00535F8F" w:rsidRPr="003F44AD" w:rsidRDefault="00535F8F" w:rsidP="00017507">
            <w:pPr>
              <w:spacing w:line="240" w:lineRule="auto"/>
              <w:rPr>
                <w:rFonts w:cs="Arial"/>
                <w:szCs w:val="18"/>
              </w:rPr>
            </w:pPr>
            <w:r w:rsidRPr="003F44AD">
              <w:rPr>
                <w:rFonts w:cs="Arial"/>
                <w:color w:val="000000"/>
                <w:szCs w:val="18"/>
              </w:rPr>
              <w:t>1.3</w:t>
            </w:r>
            <w:r w:rsidR="00515B79" w:rsidRPr="003F44AD">
              <w:rPr>
                <w:rFonts w:cs="Arial"/>
                <w:color w:val="000000"/>
                <w:szCs w:val="18"/>
              </w:rPr>
              <w:t>x10</w:t>
            </w:r>
            <w:r w:rsidRPr="003F44AD">
              <w:rPr>
                <w:rFonts w:cs="Arial"/>
                <w:color w:val="000000"/>
                <w:szCs w:val="18"/>
                <w:vertAlign w:val="superscript"/>
              </w:rPr>
              <w:t>6</w:t>
            </w:r>
          </w:p>
        </w:tc>
      </w:tr>
      <w:tr w:rsidR="00591A73" w:rsidRPr="003F44AD" w14:paraId="68A7ED8A" w14:textId="77777777" w:rsidTr="00535F8F">
        <w:trPr>
          <w:trHeight w:val="180"/>
        </w:trPr>
        <w:tc>
          <w:tcPr>
            <w:tcW w:w="0" w:type="auto"/>
            <w:tcMar>
              <w:top w:w="0" w:type="dxa"/>
              <w:left w:w="70" w:type="dxa"/>
              <w:bottom w:w="0" w:type="dxa"/>
              <w:right w:w="70" w:type="dxa"/>
            </w:tcMar>
            <w:hideMark/>
          </w:tcPr>
          <w:p w14:paraId="21105407" w14:textId="612DCD08" w:rsidR="00535F8F" w:rsidRPr="003F44AD" w:rsidRDefault="00535F8F" w:rsidP="00017507">
            <w:pPr>
              <w:spacing w:line="240" w:lineRule="auto"/>
              <w:rPr>
                <w:rFonts w:cs="Arial"/>
                <w:szCs w:val="18"/>
              </w:rPr>
            </w:pPr>
            <w:r w:rsidRPr="003F44AD">
              <w:rPr>
                <w:rFonts w:cs="Arial"/>
                <w:color w:val="000000"/>
                <w:szCs w:val="18"/>
              </w:rPr>
              <w:t>Mould and yeast count (CFU/ml)</w:t>
            </w:r>
          </w:p>
        </w:tc>
        <w:tc>
          <w:tcPr>
            <w:tcW w:w="0" w:type="auto"/>
            <w:tcMar>
              <w:top w:w="0" w:type="dxa"/>
              <w:left w:w="70" w:type="dxa"/>
              <w:bottom w:w="0" w:type="dxa"/>
              <w:right w:w="70" w:type="dxa"/>
            </w:tcMar>
            <w:hideMark/>
          </w:tcPr>
          <w:p w14:paraId="0A745BB3" w14:textId="2267CF71" w:rsidR="00535F8F" w:rsidRPr="003F44AD" w:rsidRDefault="00535F8F" w:rsidP="00017507">
            <w:pPr>
              <w:spacing w:line="240" w:lineRule="auto"/>
              <w:rPr>
                <w:rFonts w:cs="Arial"/>
                <w:szCs w:val="18"/>
              </w:rPr>
            </w:pPr>
            <w:r w:rsidRPr="003F44AD">
              <w:rPr>
                <w:rFonts w:cs="Arial"/>
                <w:color w:val="000000"/>
                <w:szCs w:val="18"/>
              </w:rPr>
              <w:t>2.0</w:t>
            </w:r>
            <w:r w:rsidR="00515B79" w:rsidRPr="003F44AD">
              <w:rPr>
                <w:rFonts w:cs="Arial"/>
                <w:color w:val="000000"/>
                <w:szCs w:val="18"/>
              </w:rPr>
              <w:t>x 10</w:t>
            </w:r>
            <w:r w:rsidRPr="003F44AD">
              <w:rPr>
                <w:rFonts w:cs="Arial"/>
                <w:color w:val="000000"/>
                <w:szCs w:val="18"/>
                <w:vertAlign w:val="superscript"/>
              </w:rPr>
              <w:t>3</w:t>
            </w:r>
          </w:p>
        </w:tc>
        <w:tc>
          <w:tcPr>
            <w:tcW w:w="0" w:type="auto"/>
            <w:tcMar>
              <w:top w:w="0" w:type="dxa"/>
              <w:left w:w="70" w:type="dxa"/>
              <w:bottom w:w="0" w:type="dxa"/>
              <w:right w:w="70" w:type="dxa"/>
            </w:tcMar>
            <w:hideMark/>
          </w:tcPr>
          <w:p w14:paraId="2CEE9C9F" w14:textId="229C9B9D" w:rsidR="00535F8F" w:rsidRPr="003F44AD" w:rsidRDefault="00535F8F" w:rsidP="00017507">
            <w:pPr>
              <w:spacing w:line="240" w:lineRule="auto"/>
              <w:rPr>
                <w:rFonts w:cs="Arial"/>
                <w:szCs w:val="18"/>
              </w:rPr>
            </w:pPr>
            <w:r w:rsidRPr="003F44AD">
              <w:rPr>
                <w:rFonts w:cs="Arial"/>
                <w:color w:val="000000"/>
                <w:szCs w:val="18"/>
              </w:rPr>
              <w:t>5.30</w:t>
            </w:r>
            <w:r w:rsidR="00515B79" w:rsidRPr="003F44AD">
              <w:rPr>
                <w:rFonts w:cs="Arial"/>
                <w:color w:val="000000"/>
                <w:szCs w:val="18"/>
              </w:rPr>
              <w:t>x10</w:t>
            </w:r>
            <w:r w:rsidRPr="003F44AD">
              <w:rPr>
                <w:rFonts w:cs="Arial"/>
                <w:color w:val="000000"/>
                <w:szCs w:val="18"/>
                <w:vertAlign w:val="superscript"/>
              </w:rPr>
              <w:t>5</w:t>
            </w:r>
          </w:p>
        </w:tc>
        <w:tc>
          <w:tcPr>
            <w:tcW w:w="0" w:type="auto"/>
            <w:tcMar>
              <w:top w:w="0" w:type="dxa"/>
              <w:left w:w="70" w:type="dxa"/>
              <w:bottom w:w="0" w:type="dxa"/>
              <w:right w:w="70" w:type="dxa"/>
            </w:tcMar>
            <w:hideMark/>
          </w:tcPr>
          <w:p w14:paraId="58FB5B3F" w14:textId="5E9FF7E7" w:rsidR="00535F8F" w:rsidRPr="003F44AD" w:rsidRDefault="00535F8F" w:rsidP="00017507">
            <w:pPr>
              <w:spacing w:line="240" w:lineRule="auto"/>
              <w:rPr>
                <w:rFonts w:cs="Arial"/>
                <w:szCs w:val="18"/>
              </w:rPr>
            </w:pPr>
            <w:r w:rsidRPr="003F44AD">
              <w:rPr>
                <w:rFonts w:cs="Arial"/>
                <w:color w:val="000000"/>
                <w:szCs w:val="18"/>
              </w:rPr>
              <w:t>7.4</w:t>
            </w:r>
            <w:r w:rsidR="00515B79" w:rsidRPr="003F44AD">
              <w:rPr>
                <w:rFonts w:cs="Arial"/>
                <w:color w:val="000000"/>
                <w:szCs w:val="18"/>
              </w:rPr>
              <w:t>x10</w:t>
            </w:r>
            <w:r w:rsidRPr="003F44AD">
              <w:rPr>
                <w:rFonts w:cs="Arial"/>
                <w:color w:val="000000"/>
                <w:szCs w:val="18"/>
                <w:vertAlign w:val="superscript"/>
              </w:rPr>
              <w:t>3</w:t>
            </w:r>
          </w:p>
        </w:tc>
        <w:tc>
          <w:tcPr>
            <w:tcW w:w="0" w:type="auto"/>
            <w:tcMar>
              <w:top w:w="0" w:type="dxa"/>
              <w:left w:w="70" w:type="dxa"/>
              <w:bottom w:w="0" w:type="dxa"/>
              <w:right w:w="70" w:type="dxa"/>
            </w:tcMar>
            <w:hideMark/>
          </w:tcPr>
          <w:p w14:paraId="3DE877C6" w14:textId="2AF7FBE3" w:rsidR="00535F8F" w:rsidRPr="003F44AD" w:rsidRDefault="00535F8F" w:rsidP="00017507">
            <w:pPr>
              <w:spacing w:line="240" w:lineRule="auto"/>
              <w:rPr>
                <w:rFonts w:cs="Arial"/>
                <w:szCs w:val="18"/>
              </w:rPr>
            </w:pPr>
            <w:r w:rsidRPr="003F44AD">
              <w:rPr>
                <w:rFonts w:cs="Arial"/>
                <w:color w:val="000000"/>
                <w:szCs w:val="18"/>
              </w:rPr>
              <w:t>8.8</w:t>
            </w:r>
            <w:r w:rsidR="00515B79" w:rsidRPr="003F44AD">
              <w:rPr>
                <w:rFonts w:cs="Arial"/>
                <w:color w:val="000000"/>
                <w:szCs w:val="18"/>
              </w:rPr>
              <w:t>x10</w:t>
            </w:r>
            <w:r w:rsidRPr="003F44AD">
              <w:rPr>
                <w:rFonts w:cs="Arial"/>
                <w:color w:val="000000"/>
                <w:szCs w:val="18"/>
                <w:vertAlign w:val="superscript"/>
              </w:rPr>
              <w:t>7</w:t>
            </w:r>
          </w:p>
        </w:tc>
        <w:tc>
          <w:tcPr>
            <w:tcW w:w="0" w:type="auto"/>
            <w:tcMar>
              <w:top w:w="0" w:type="dxa"/>
              <w:left w:w="70" w:type="dxa"/>
              <w:bottom w:w="0" w:type="dxa"/>
              <w:right w:w="70" w:type="dxa"/>
            </w:tcMar>
            <w:hideMark/>
          </w:tcPr>
          <w:p w14:paraId="1A47B263" w14:textId="6DFC8B5D" w:rsidR="00535F8F" w:rsidRPr="003F44AD" w:rsidRDefault="00535F8F" w:rsidP="00017507">
            <w:pPr>
              <w:spacing w:line="240" w:lineRule="auto"/>
              <w:rPr>
                <w:rFonts w:cs="Arial"/>
                <w:szCs w:val="18"/>
              </w:rPr>
            </w:pPr>
            <w:r w:rsidRPr="003F44AD">
              <w:rPr>
                <w:rFonts w:cs="Arial"/>
                <w:color w:val="000000"/>
                <w:szCs w:val="18"/>
              </w:rPr>
              <w:t>7.0</w:t>
            </w:r>
            <w:r w:rsidR="00515B79" w:rsidRPr="003F44AD">
              <w:rPr>
                <w:rFonts w:cs="Arial"/>
                <w:color w:val="000000"/>
                <w:szCs w:val="18"/>
              </w:rPr>
              <w:t>x10</w:t>
            </w:r>
            <w:r w:rsidRPr="003F44AD">
              <w:rPr>
                <w:rFonts w:cs="Arial"/>
                <w:color w:val="000000"/>
                <w:szCs w:val="18"/>
                <w:vertAlign w:val="superscript"/>
              </w:rPr>
              <w:t>8</w:t>
            </w:r>
          </w:p>
        </w:tc>
        <w:tc>
          <w:tcPr>
            <w:tcW w:w="0" w:type="auto"/>
            <w:tcMar>
              <w:top w:w="0" w:type="dxa"/>
              <w:left w:w="70" w:type="dxa"/>
              <w:bottom w:w="0" w:type="dxa"/>
              <w:right w:w="70" w:type="dxa"/>
            </w:tcMar>
            <w:hideMark/>
          </w:tcPr>
          <w:p w14:paraId="4B933012" w14:textId="6C4A1DD8" w:rsidR="00535F8F" w:rsidRPr="003F44AD" w:rsidRDefault="00535F8F" w:rsidP="00017507">
            <w:pPr>
              <w:spacing w:line="240" w:lineRule="auto"/>
              <w:rPr>
                <w:rFonts w:cs="Arial"/>
                <w:szCs w:val="18"/>
              </w:rPr>
            </w:pPr>
            <w:r w:rsidRPr="003F44AD">
              <w:rPr>
                <w:rFonts w:cs="Arial"/>
                <w:color w:val="000000"/>
                <w:szCs w:val="18"/>
              </w:rPr>
              <w:t>8.1</w:t>
            </w:r>
            <w:r w:rsidR="00515B79" w:rsidRPr="003F44AD">
              <w:rPr>
                <w:rFonts w:cs="Arial"/>
                <w:color w:val="000000"/>
                <w:szCs w:val="18"/>
              </w:rPr>
              <w:t>x10</w:t>
            </w:r>
            <w:r w:rsidRPr="003F44AD">
              <w:rPr>
                <w:rFonts w:cs="Arial"/>
                <w:color w:val="000000"/>
                <w:szCs w:val="18"/>
                <w:vertAlign w:val="superscript"/>
              </w:rPr>
              <w:t>6</w:t>
            </w:r>
          </w:p>
        </w:tc>
      </w:tr>
      <w:tr w:rsidR="00591A73" w:rsidRPr="003F44AD" w14:paraId="2EC34833" w14:textId="77777777" w:rsidTr="00535F8F">
        <w:trPr>
          <w:trHeight w:val="70"/>
        </w:trPr>
        <w:tc>
          <w:tcPr>
            <w:tcW w:w="0" w:type="auto"/>
            <w:tcMar>
              <w:top w:w="0" w:type="dxa"/>
              <w:left w:w="70" w:type="dxa"/>
              <w:bottom w:w="0" w:type="dxa"/>
              <w:right w:w="70" w:type="dxa"/>
            </w:tcMar>
            <w:hideMark/>
          </w:tcPr>
          <w:p w14:paraId="0D50C085" w14:textId="77777777" w:rsidR="00535F8F" w:rsidRPr="003F44AD" w:rsidRDefault="00535F8F" w:rsidP="00017507">
            <w:pPr>
              <w:spacing w:line="240" w:lineRule="auto"/>
              <w:rPr>
                <w:rFonts w:cs="Arial"/>
                <w:szCs w:val="18"/>
              </w:rPr>
            </w:pPr>
            <w:r w:rsidRPr="003F44AD">
              <w:rPr>
                <w:rFonts w:cs="Arial"/>
                <w:color w:val="000000"/>
                <w:szCs w:val="18"/>
              </w:rPr>
              <w:t>Actinomycetes (CFU/ml)</w:t>
            </w:r>
          </w:p>
        </w:tc>
        <w:tc>
          <w:tcPr>
            <w:tcW w:w="0" w:type="auto"/>
            <w:tcMar>
              <w:top w:w="0" w:type="dxa"/>
              <w:left w:w="70" w:type="dxa"/>
              <w:bottom w:w="0" w:type="dxa"/>
              <w:right w:w="70" w:type="dxa"/>
            </w:tcMar>
            <w:hideMark/>
          </w:tcPr>
          <w:p w14:paraId="6DF66BAE" w14:textId="77777777" w:rsidR="00535F8F" w:rsidRPr="003F44AD" w:rsidRDefault="00535F8F" w:rsidP="00017507">
            <w:pPr>
              <w:spacing w:line="240" w:lineRule="auto"/>
              <w:rPr>
                <w:rFonts w:cs="Arial"/>
                <w:szCs w:val="18"/>
              </w:rPr>
            </w:pPr>
            <w:r w:rsidRPr="003F44AD">
              <w:rPr>
                <w:rFonts w:cs="Arial"/>
                <w:color w:val="000000"/>
                <w:szCs w:val="18"/>
              </w:rPr>
              <w:t>0</w:t>
            </w:r>
          </w:p>
        </w:tc>
        <w:tc>
          <w:tcPr>
            <w:tcW w:w="0" w:type="auto"/>
            <w:tcMar>
              <w:top w:w="0" w:type="dxa"/>
              <w:left w:w="70" w:type="dxa"/>
              <w:bottom w:w="0" w:type="dxa"/>
              <w:right w:w="70" w:type="dxa"/>
            </w:tcMar>
            <w:hideMark/>
          </w:tcPr>
          <w:p w14:paraId="218DE959" w14:textId="77777777" w:rsidR="00535F8F" w:rsidRPr="003F44AD" w:rsidRDefault="00535F8F" w:rsidP="00017507">
            <w:pPr>
              <w:spacing w:line="240" w:lineRule="auto"/>
              <w:rPr>
                <w:rFonts w:cs="Arial"/>
                <w:szCs w:val="18"/>
              </w:rPr>
            </w:pPr>
            <w:r w:rsidRPr="003F44AD">
              <w:rPr>
                <w:rFonts w:cs="Arial"/>
                <w:color w:val="000000"/>
                <w:szCs w:val="18"/>
              </w:rPr>
              <w:t>&lt;10</w:t>
            </w:r>
          </w:p>
        </w:tc>
        <w:tc>
          <w:tcPr>
            <w:tcW w:w="0" w:type="auto"/>
            <w:tcMar>
              <w:top w:w="0" w:type="dxa"/>
              <w:left w:w="70" w:type="dxa"/>
              <w:bottom w:w="0" w:type="dxa"/>
              <w:right w:w="70" w:type="dxa"/>
            </w:tcMar>
            <w:hideMark/>
          </w:tcPr>
          <w:p w14:paraId="5C3DCDFA" w14:textId="77777777" w:rsidR="00535F8F" w:rsidRPr="003F44AD" w:rsidRDefault="00535F8F" w:rsidP="00017507">
            <w:pPr>
              <w:spacing w:line="240" w:lineRule="auto"/>
              <w:rPr>
                <w:rFonts w:cs="Arial"/>
                <w:szCs w:val="18"/>
              </w:rPr>
            </w:pPr>
            <w:r w:rsidRPr="003F44AD">
              <w:rPr>
                <w:rFonts w:cs="Arial"/>
                <w:color w:val="000000"/>
                <w:szCs w:val="18"/>
              </w:rPr>
              <w:t>0</w:t>
            </w:r>
          </w:p>
        </w:tc>
        <w:tc>
          <w:tcPr>
            <w:tcW w:w="0" w:type="auto"/>
            <w:tcMar>
              <w:top w:w="0" w:type="dxa"/>
              <w:left w:w="70" w:type="dxa"/>
              <w:bottom w:w="0" w:type="dxa"/>
              <w:right w:w="70" w:type="dxa"/>
            </w:tcMar>
            <w:hideMark/>
          </w:tcPr>
          <w:p w14:paraId="4A13D712" w14:textId="7ACA3B8F" w:rsidR="00535F8F" w:rsidRPr="003F44AD" w:rsidRDefault="00535F8F" w:rsidP="00017507">
            <w:pPr>
              <w:spacing w:line="240" w:lineRule="auto"/>
              <w:rPr>
                <w:rFonts w:cs="Arial"/>
                <w:szCs w:val="18"/>
              </w:rPr>
            </w:pPr>
            <w:r w:rsidRPr="003F44AD">
              <w:rPr>
                <w:rFonts w:cs="Arial"/>
                <w:color w:val="000000"/>
                <w:szCs w:val="18"/>
              </w:rPr>
              <w:t>7.9</w:t>
            </w:r>
            <w:r w:rsidR="00515B79" w:rsidRPr="003F44AD">
              <w:rPr>
                <w:rFonts w:cs="Arial"/>
                <w:color w:val="000000"/>
                <w:szCs w:val="18"/>
              </w:rPr>
              <w:t>x10</w:t>
            </w:r>
            <w:r w:rsidRPr="003F44AD">
              <w:rPr>
                <w:rFonts w:cs="Arial"/>
                <w:color w:val="000000"/>
                <w:szCs w:val="18"/>
                <w:vertAlign w:val="superscript"/>
              </w:rPr>
              <w:t>3</w:t>
            </w:r>
          </w:p>
        </w:tc>
        <w:tc>
          <w:tcPr>
            <w:tcW w:w="0" w:type="auto"/>
            <w:tcMar>
              <w:top w:w="0" w:type="dxa"/>
              <w:left w:w="70" w:type="dxa"/>
              <w:bottom w:w="0" w:type="dxa"/>
              <w:right w:w="70" w:type="dxa"/>
            </w:tcMar>
            <w:hideMark/>
          </w:tcPr>
          <w:p w14:paraId="762EB2EA" w14:textId="25EAF5DE" w:rsidR="00535F8F" w:rsidRPr="003F44AD" w:rsidRDefault="00535F8F" w:rsidP="00017507">
            <w:pPr>
              <w:spacing w:line="240" w:lineRule="auto"/>
              <w:rPr>
                <w:rFonts w:cs="Arial"/>
                <w:szCs w:val="18"/>
              </w:rPr>
            </w:pPr>
            <w:r w:rsidRPr="003F44AD">
              <w:rPr>
                <w:rFonts w:cs="Arial"/>
                <w:color w:val="000000"/>
                <w:szCs w:val="18"/>
              </w:rPr>
              <w:t>2.2</w:t>
            </w:r>
            <w:r w:rsidR="00515B79" w:rsidRPr="003F44AD">
              <w:rPr>
                <w:rFonts w:cs="Arial"/>
                <w:color w:val="000000"/>
                <w:szCs w:val="18"/>
              </w:rPr>
              <w:t>x10</w:t>
            </w:r>
            <w:r w:rsidRPr="00CA0066">
              <w:rPr>
                <w:rFonts w:cs="Arial"/>
                <w:color w:val="000000"/>
                <w:szCs w:val="18"/>
                <w:vertAlign w:val="superscript"/>
              </w:rPr>
              <w:t>3</w:t>
            </w:r>
          </w:p>
        </w:tc>
        <w:tc>
          <w:tcPr>
            <w:tcW w:w="0" w:type="auto"/>
            <w:tcMar>
              <w:top w:w="0" w:type="dxa"/>
              <w:left w:w="70" w:type="dxa"/>
              <w:bottom w:w="0" w:type="dxa"/>
              <w:right w:w="70" w:type="dxa"/>
            </w:tcMar>
            <w:hideMark/>
          </w:tcPr>
          <w:p w14:paraId="7892B1FE" w14:textId="60D9F494" w:rsidR="00535F8F" w:rsidRPr="003F44AD" w:rsidRDefault="00535F8F" w:rsidP="00017507">
            <w:pPr>
              <w:spacing w:line="240" w:lineRule="auto"/>
              <w:rPr>
                <w:rFonts w:cs="Arial"/>
                <w:szCs w:val="18"/>
              </w:rPr>
            </w:pPr>
            <w:r w:rsidRPr="003F44AD">
              <w:rPr>
                <w:rFonts w:cs="Arial"/>
                <w:color w:val="000000"/>
                <w:szCs w:val="18"/>
              </w:rPr>
              <w:t>3.0</w:t>
            </w:r>
            <w:r w:rsidR="00515B79" w:rsidRPr="003F44AD">
              <w:rPr>
                <w:rFonts w:cs="Arial"/>
                <w:color w:val="000000"/>
                <w:szCs w:val="18"/>
              </w:rPr>
              <w:t>x10</w:t>
            </w:r>
            <w:r w:rsidRPr="003F44AD">
              <w:rPr>
                <w:rFonts w:cs="Arial"/>
                <w:color w:val="000000"/>
                <w:szCs w:val="18"/>
                <w:vertAlign w:val="superscript"/>
              </w:rPr>
              <w:t>3</w:t>
            </w:r>
          </w:p>
        </w:tc>
      </w:tr>
      <w:tr w:rsidR="00591A73" w:rsidRPr="003F44AD" w14:paraId="2578A688" w14:textId="77777777" w:rsidTr="00535F8F">
        <w:trPr>
          <w:trHeight w:val="213"/>
        </w:trPr>
        <w:tc>
          <w:tcPr>
            <w:tcW w:w="0" w:type="auto"/>
            <w:tcMar>
              <w:top w:w="0" w:type="dxa"/>
              <w:left w:w="70" w:type="dxa"/>
              <w:bottom w:w="0" w:type="dxa"/>
              <w:right w:w="70" w:type="dxa"/>
            </w:tcMar>
            <w:hideMark/>
          </w:tcPr>
          <w:p w14:paraId="14B587CC" w14:textId="77777777" w:rsidR="00535F8F" w:rsidRPr="003F44AD" w:rsidRDefault="00535F8F" w:rsidP="00017507">
            <w:pPr>
              <w:spacing w:line="240" w:lineRule="auto"/>
              <w:rPr>
                <w:rFonts w:cs="Arial"/>
                <w:szCs w:val="18"/>
              </w:rPr>
            </w:pPr>
            <w:r w:rsidRPr="003F44AD">
              <w:rPr>
                <w:rFonts w:cs="Arial"/>
                <w:color w:val="000000"/>
                <w:szCs w:val="18"/>
              </w:rPr>
              <w:t>Number of total coliforms (MPN/10 g)</w:t>
            </w:r>
          </w:p>
        </w:tc>
        <w:tc>
          <w:tcPr>
            <w:tcW w:w="0" w:type="auto"/>
            <w:tcMar>
              <w:top w:w="0" w:type="dxa"/>
              <w:left w:w="70" w:type="dxa"/>
              <w:bottom w:w="0" w:type="dxa"/>
              <w:right w:w="70" w:type="dxa"/>
            </w:tcMar>
            <w:hideMark/>
          </w:tcPr>
          <w:p w14:paraId="13276A97" w14:textId="3357A11B" w:rsidR="00535F8F" w:rsidRPr="003F44AD" w:rsidRDefault="00535F8F" w:rsidP="00017507">
            <w:pPr>
              <w:spacing w:line="240" w:lineRule="auto"/>
              <w:rPr>
                <w:rFonts w:cs="Arial"/>
                <w:szCs w:val="18"/>
              </w:rPr>
            </w:pPr>
            <w:r w:rsidRPr="003F44AD">
              <w:rPr>
                <w:rFonts w:cs="Arial"/>
                <w:color w:val="000000"/>
                <w:szCs w:val="18"/>
              </w:rPr>
              <w:t>&gt;11</w:t>
            </w:r>
            <w:r w:rsidR="00515B79" w:rsidRPr="003F44AD">
              <w:rPr>
                <w:rFonts w:cs="Arial"/>
                <w:color w:val="000000"/>
                <w:szCs w:val="18"/>
              </w:rPr>
              <w:t>x10</w:t>
            </w:r>
            <w:r w:rsidRPr="003F44AD">
              <w:rPr>
                <w:rFonts w:cs="Arial"/>
                <w:color w:val="000000"/>
                <w:szCs w:val="18"/>
                <w:vertAlign w:val="superscript"/>
              </w:rPr>
              <w:t>6</w:t>
            </w:r>
          </w:p>
        </w:tc>
        <w:tc>
          <w:tcPr>
            <w:tcW w:w="0" w:type="auto"/>
            <w:tcMar>
              <w:top w:w="0" w:type="dxa"/>
              <w:left w:w="70" w:type="dxa"/>
              <w:bottom w:w="0" w:type="dxa"/>
              <w:right w:w="70" w:type="dxa"/>
            </w:tcMar>
            <w:hideMark/>
          </w:tcPr>
          <w:p w14:paraId="6A30CF49" w14:textId="77777777" w:rsidR="00535F8F" w:rsidRPr="003F44AD" w:rsidRDefault="00535F8F" w:rsidP="00017507">
            <w:pPr>
              <w:spacing w:line="240" w:lineRule="auto"/>
              <w:rPr>
                <w:rFonts w:cs="Arial"/>
                <w:szCs w:val="18"/>
              </w:rPr>
            </w:pPr>
          </w:p>
        </w:tc>
        <w:tc>
          <w:tcPr>
            <w:tcW w:w="0" w:type="auto"/>
            <w:tcMar>
              <w:top w:w="0" w:type="dxa"/>
              <w:left w:w="70" w:type="dxa"/>
              <w:bottom w:w="0" w:type="dxa"/>
              <w:right w:w="70" w:type="dxa"/>
            </w:tcMar>
            <w:hideMark/>
          </w:tcPr>
          <w:p w14:paraId="6D8D18B4" w14:textId="77777777" w:rsidR="00535F8F" w:rsidRPr="003F44AD" w:rsidRDefault="00535F8F" w:rsidP="00017507">
            <w:pPr>
              <w:spacing w:line="240" w:lineRule="auto"/>
              <w:rPr>
                <w:rFonts w:cs="Arial"/>
                <w:szCs w:val="18"/>
              </w:rPr>
            </w:pPr>
          </w:p>
        </w:tc>
        <w:tc>
          <w:tcPr>
            <w:tcW w:w="0" w:type="auto"/>
            <w:tcMar>
              <w:top w:w="0" w:type="dxa"/>
              <w:left w:w="70" w:type="dxa"/>
              <w:bottom w:w="0" w:type="dxa"/>
              <w:right w:w="70" w:type="dxa"/>
            </w:tcMar>
            <w:hideMark/>
          </w:tcPr>
          <w:p w14:paraId="58F9B4E3" w14:textId="77777777" w:rsidR="00535F8F" w:rsidRPr="003F44AD" w:rsidRDefault="00535F8F" w:rsidP="00017507">
            <w:pPr>
              <w:spacing w:line="240" w:lineRule="auto"/>
              <w:rPr>
                <w:rFonts w:cs="Arial"/>
                <w:szCs w:val="18"/>
              </w:rPr>
            </w:pPr>
          </w:p>
        </w:tc>
        <w:tc>
          <w:tcPr>
            <w:tcW w:w="0" w:type="auto"/>
            <w:tcMar>
              <w:top w:w="0" w:type="dxa"/>
              <w:left w:w="70" w:type="dxa"/>
              <w:bottom w:w="0" w:type="dxa"/>
              <w:right w:w="70" w:type="dxa"/>
            </w:tcMar>
            <w:hideMark/>
          </w:tcPr>
          <w:p w14:paraId="7E9D6046" w14:textId="77777777" w:rsidR="00535F8F" w:rsidRPr="003F44AD" w:rsidRDefault="00535F8F" w:rsidP="00017507">
            <w:pPr>
              <w:spacing w:line="240" w:lineRule="auto"/>
              <w:rPr>
                <w:rFonts w:cs="Arial"/>
                <w:szCs w:val="18"/>
              </w:rPr>
            </w:pPr>
          </w:p>
        </w:tc>
        <w:tc>
          <w:tcPr>
            <w:tcW w:w="0" w:type="auto"/>
            <w:tcMar>
              <w:top w:w="0" w:type="dxa"/>
              <w:left w:w="70" w:type="dxa"/>
              <w:bottom w:w="0" w:type="dxa"/>
              <w:right w:w="70" w:type="dxa"/>
            </w:tcMar>
            <w:hideMark/>
          </w:tcPr>
          <w:p w14:paraId="76834846" w14:textId="77777777" w:rsidR="00535F8F" w:rsidRPr="003F44AD" w:rsidRDefault="00535F8F" w:rsidP="00017507">
            <w:pPr>
              <w:spacing w:line="240" w:lineRule="auto"/>
              <w:rPr>
                <w:rFonts w:cs="Arial"/>
                <w:szCs w:val="18"/>
              </w:rPr>
            </w:pPr>
          </w:p>
        </w:tc>
      </w:tr>
      <w:tr w:rsidR="00591A73" w:rsidRPr="003F44AD" w14:paraId="6D6811CD" w14:textId="77777777" w:rsidTr="00535F8F">
        <w:trPr>
          <w:trHeight w:val="146"/>
        </w:trPr>
        <w:tc>
          <w:tcPr>
            <w:tcW w:w="0" w:type="auto"/>
            <w:tcMar>
              <w:top w:w="0" w:type="dxa"/>
              <w:left w:w="70" w:type="dxa"/>
              <w:bottom w:w="0" w:type="dxa"/>
              <w:right w:w="70" w:type="dxa"/>
            </w:tcMar>
            <w:hideMark/>
          </w:tcPr>
          <w:p w14:paraId="2099880C" w14:textId="62C677F7" w:rsidR="00535F8F" w:rsidRPr="003F44AD" w:rsidRDefault="00535F8F" w:rsidP="00017507">
            <w:pPr>
              <w:spacing w:line="240" w:lineRule="auto"/>
              <w:rPr>
                <w:rFonts w:cs="Arial"/>
                <w:szCs w:val="18"/>
              </w:rPr>
            </w:pPr>
            <w:r w:rsidRPr="003F44AD">
              <w:rPr>
                <w:rFonts w:cs="Arial"/>
                <w:color w:val="000000"/>
                <w:szCs w:val="18"/>
              </w:rPr>
              <w:t>Number of faecal coliforms (MPN/10 g)</w:t>
            </w:r>
          </w:p>
        </w:tc>
        <w:tc>
          <w:tcPr>
            <w:tcW w:w="0" w:type="auto"/>
            <w:tcMar>
              <w:top w:w="0" w:type="dxa"/>
              <w:left w:w="70" w:type="dxa"/>
              <w:bottom w:w="0" w:type="dxa"/>
              <w:right w:w="70" w:type="dxa"/>
            </w:tcMar>
            <w:hideMark/>
          </w:tcPr>
          <w:p w14:paraId="3D0509A1" w14:textId="65C828D4" w:rsidR="00535F8F" w:rsidRPr="003F44AD" w:rsidRDefault="00535F8F" w:rsidP="00017507">
            <w:pPr>
              <w:spacing w:line="240" w:lineRule="auto"/>
              <w:rPr>
                <w:rFonts w:cs="Arial"/>
                <w:szCs w:val="18"/>
              </w:rPr>
            </w:pPr>
            <w:r w:rsidRPr="003F44AD">
              <w:rPr>
                <w:rFonts w:cs="Arial"/>
                <w:color w:val="000000"/>
                <w:szCs w:val="18"/>
              </w:rPr>
              <w:t>&gt;</w:t>
            </w:r>
            <w:r w:rsidR="00515B79" w:rsidRPr="003F44AD">
              <w:rPr>
                <w:rFonts w:cs="Arial"/>
                <w:color w:val="000000"/>
                <w:szCs w:val="18"/>
              </w:rPr>
              <w:t>11x10</w:t>
            </w:r>
            <w:r w:rsidR="00515B79" w:rsidRPr="003F44AD">
              <w:rPr>
                <w:rFonts w:cs="Arial"/>
                <w:color w:val="000000"/>
                <w:szCs w:val="18"/>
                <w:vertAlign w:val="superscript"/>
              </w:rPr>
              <w:t>6</w:t>
            </w:r>
          </w:p>
        </w:tc>
        <w:tc>
          <w:tcPr>
            <w:tcW w:w="0" w:type="auto"/>
            <w:tcMar>
              <w:top w:w="0" w:type="dxa"/>
              <w:left w:w="70" w:type="dxa"/>
              <w:bottom w:w="0" w:type="dxa"/>
              <w:right w:w="70" w:type="dxa"/>
            </w:tcMar>
            <w:hideMark/>
          </w:tcPr>
          <w:p w14:paraId="054F3418" w14:textId="77777777" w:rsidR="00535F8F" w:rsidRPr="003F44AD" w:rsidRDefault="00535F8F" w:rsidP="00017507">
            <w:pPr>
              <w:spacing w:line="240" w:lineRule="auto"/>
              <w:rPr>
                <w:rFonts w:cs="Arial"/>
                <w:szCs w:val="18"/>
              </w:rPr>
            </w:pPr>
          </w:p>
        </w:tc>
        <w:tc>
          <w:tcPr>
            <w:tcW w:w="0" w:type="auto"/>
            <w:tcMar>
              <w:top w:w="0" w:type="dxa"/>
              <w:left w:w="70" w:type="dxa"/>
              <w:bottom w:w="0" w:type="dxa"/>
              <w:right w:w="70" w:type="dxa"/>
            </w:tcMar>
            <w:hideMark/>
          </w:tcPr>
          <w:p w14:paraId="4A8E1E96" w14:textId="77777777" w:rsidR="00535F8F" w:rsidRPr="003F44AD" w:rsidRDefault="00535F8F" w:rsidP="00017507">
            <w:pPr>
              <w:spacing w:line="240" w:lineRule="auto"/>
              <w:rPr>
                <w:rFonts w:cs="Arial"/>
                <w:szCs w:val="18"/>
              </w:rPr>
            </w:pPr>
          </w:p>
        </w:tc>
        <w:tc>
          <w:tcPr>
            <w:tcW w:w="0" w:type="auto"/>
            <w:tcMar>
              <w:top w:w="0" w:type="dxa"/>
              <w:left w:w="70" w:type="dxa"/>
              <w:bottom w:w="0" w:type="dxa"/>
              <w:right w:w="70" w:type="dxa"/>
            </w:tcMar>
            <w:hideMark/>
          </w:tcPr>
          <w:p w14:paraId="49383E3A" w14:textId="77777777" w:rsidR="00535F8F" w:rsidRPr="003F44AD" w:rsidRDefault="00535F8F" w:rsidP="00017507">
            <w:pPr>
              <w:spacing w:line="240" w:lineRule="auto"/>
              <w:rPr>
                <w:rFonts w:cs="Arial"/>
                <w:szCs w:val="18"/>
              </w:rPr>
            </w:pPr>
          </w:p>
        </w:tc>
        <w:tc>
          <w:tcPr>
            <w:tcW w:w="0" w:type="auto"/>
            <w:tcMar>
              <w:top w:w="0" w:type="dxa"/>
              <w:left w:w="70" w:type="dxa"/>
              <w:bottom w:w="0" w:type="dxa"/>
              <w:right w:w="70" w:type="dxa"/>
            </w:tcMar>
            <w:hideMark/>
          </w:tcPr>
          <w:p w14:paraId="0DB819D4" w14:textId="77777777" w:rsidR="00535F8F" w:rsidRPr="003F44AD" w:rsidRDefault="00535F8F" w:rsidP="00017507">
            <w:pPr>
              <w:spacing w:line="240" w:lineRule="auto"/>
              <w:rPr>
                <w:rFonts w:cs="Arial"/>
                <w:szCs w:val="18"/>
              </w:rPr>
            </w:pPr>
          </w:p>
        </w:tc>
        <w:tc>
          <w:tcPr>
            <w:tcW w:w="0" w:type="auto"/>
            <w:tcMar>
              <w:top w:w="0" w:type="dxa"/>
              <w:left w:w="70" w:type="dxa"/>
              <w:bottom w:w="0" w:type="dxa"/>
              <w:right w:w="70" w:type="dxa"/>
            </w:tcMar>
            <w:hideMark/>
          </w:tcPr>
          <w:p w14:paraId="6AC39CED" w14:textId="77777777" w:rsidR="00535F8F" w:rsidRPr="003F44AD" w:rsidRDefault="00535F8F" w:rsidP="00017507">
            <w:pPr>
              <w:spacing w:line="240" w:lineRule="auto"/>
              <w:rPr>
                <w:rFonts w:cs="Arial"/>
                <w:szCs w:val="18"/>
              </w:rPr>
            </w:pPr>
          </w:p>
        </w:tc>
      </w:tr>
      <w:tr w:rsidR="00591A73" w:rsidRPr="003F44AD" w14:paraId="027D652A" w14:textId="77777777" w:rsidTr="00535F8F">
        <w:trPr>
          <w:trHeight w:val="92"/>
        </w:trPr>
        <w:tc>
          <w:tcPr>
            <w:tcW w:w="0" w:type="auto"/>
            <w:tcMar>
              <w:top w:w="0" w:type="dxa"/>
              <w:left w:w="70" w:type="dxa"/>
              <w:bottom w:w="0" w:type="dxa"/>
              <w:right w:w="70" w:type="dxa"/>
            </w:tcMar>
            <w:hideMark/>
          </w:tcPr>
          <w:p w14:paraId="4C7FE048" w14:textId="40186693" w:rsidR="00535F8F" w:rsidRPr="003F44AD" w:rsidRDefault="00535F8F" w:rsidP="00017507">
            <w:pPr>
              <w:spacing w:line="240" w:lineRule="auto"/>
              <w:rPr>
                <w:rFonts w:cs="Arial"/>
                <w:szCs w:val="18"/>
              </w:rPr>
            </w:pPr>
            <w:r w:rsidRPr="003F44AD">
              <w:rPr>
                <w:rFonts w:cs="Arial"/>
                <w:color w:val="000000"/>
                <w:szCs w:val="18"/>
              </w:rPr>
              <w:t xml:space="preserve">Number of </w:t>
            </w:r>
            <w:r w:rsidRPr="003F44AD">
              <w:rPr>
                <w:rFonts w:cs="Arial"/>
                <w:i/>
                <w:iCs/>
                <w:color w:val="000000"/>
                <w:szCs w:val="18"/>
              </w:rPr>
              <w:t>Escherichia coli</w:t>
            </w:r>
            <w:r w:rsidRPr="003F44AD">
              <w:rPr>
                <w:rFonts w:cs="Arial"/>
                <w:color w:val="000000"/>
                <w:szCs w:val="18"/>
              </w:rPr>
              <w:t xml:space="preserve"> (MPN/10 g)</w:t>
            </w:r>
          </w:p>
        </w:tc>
        <w:tc>
          <w:tcPr>
            <w:tcW w:w="0" w:type="auto"/>
            <w:tcMar>
              <w:top w:w="0" w:type="dxa"/>
              <w:left w:w="70" w:type="dxa"/>
              <w:bottom w:w="0" w:type="dxa"/>
              <w:right w:w="70" w:type="dxa"/>
            </w:tcMar>
            <w:hideMark/>
          </w:tcPr>
          <w:p w14:paraId="60CBF8E7" w14:textId="265799C0" w:rsidR="00535F8F" w:rsidRPr="003F44AD" w:rsidRDefault="00535F8F" w:rsidP="00017507">
            <w:pPr>
              <w:spacing w:line="240" w:lineRule="auto"/>
              <w:rPr>
                <w:rFonts w:cs="Arial"/>
                <w:szCs w:val="18"/>
              </w:rPr>
            </w:pPr>
            <w:r w:rsidRPr="003F44AD">
              <w:rPr>
                <w:rFonts w:cs="Arial"/>
                <w:color w:val="000000"/>
                <w:szCs w:val="18"/>
              </w:rPr>
              <w:t>&gt;</w:t>
            </w:r>
            <w:r w:rsidR="00515B79" w:rsidRPr="003F44AD">
              <w:rPr>
                <w:rFonts w:cs="Arial"/>
                <w:color w:val="000000"/>
                <w:szCs w:val="18"/>
              </w:rPr>
              <w:t>11x10</w:t>
            </w:r>
            <w:r w:rsidR="00515B79" w:rsidRPr="003F44AD">
              <w:rPr>
                <w:rFonts w:cs="Arial"/>
                <w:color w:val="000000"/>
                <w:szCs w:val="18"/>
                <w:vertAlign w:val="superscript"/>
              </w:rPr>
              <w:t>6</w:t>
            </w:r>
          </w:p>
        </w:tc>
        <w:tc>
          <w:tcPr>
            <w:tcW w:w="0" w:type="auto"/>
            <w:tcMar>
              <w:top w:w="0" w:type="dxa"/>
              <w:left w:w="70" w:type="dxa"/>
              <w:bottom w:w="0" w:type="dxa"/>
              <w:right w:w="70" w:type="dxa"/>
            </w:tcMar>
            <w:hideMark/>
          </w:tcPr>
          <w:p w14:paraId="0C18B274" w14:textId="77777777" w:rsidR="00535F8F" w:rsidRPr="003F44AD" w:rsidRDefault="00535F8F" w:rsidP="00017507">
            <w:pPr>
              <w:spacing w:line="240" w:lineRule="auto"/>
              <w:rPr>
                <w:rFonts w:cs="Arial"/>
                <w:szCs w:val="18"/>
              </w:rPr>
            </w:pPr>
          </w:p>
        </w:tc>
        <w:tc>
          <w:tcPr>
            <w:tcW w:w="0" w:type="auto"/>
            <w:tcMar>
              <w:top w:w="0" w:type="dxa"/>
              <w:left w:w="70" w:type="dxa"/>
              <w:bottom w:w="0" w:type="dxa"/>
              <w:right w:w="70" w:type="dxa"/>
            </w:tcMar>
            <w:hideMark/>
          </w:tcPr>
          <w:p w14:paraId="2A82BB46" w14:textId="77777777" w:rsidR="00535F8F" w:rsidRPr="003F44AD" w:rsidRDefault="00535F8F" w:rsidP="00017507">
            <w:pPr>
              <w:spacing w:line="240" w:lineRule="auto"/>
              <w:rPr>
                <w:rFonts w:cs="Arial"/>
                <w:szCs w:val="18"/>
              </w:rPr>
            </w:pPr>
          </w:p>
        </w:tc>
        <w:tc>
          <w:tcPr>
            <w:tcW w:w="0" w:type="auto"/>
            <w:tcMar>
              <w:top w:w="0" w:type="dxa"/>
              <w:left w:w="70" w:type="dxa"/>
              <w:bottom w:w="0" w:type="dxa"/>
              <w:right w:w="70" w:type="dxa"/>
            </w:tcMar>
            <w:hideMark/>
          </w:tcPr>
          <w:p w14:paraId="74572991" w14:textId="77777777" w:rsidR="00535F8F" w:rsidRPr="003F44AD" w:rsidRDefault="00535F8F" w:rsidP="00017507">
            <w:pPr>
              <w:spacing w:line="240" w:lineRule="auto"/>
              <w:rPr>
                <w:rFonts w:cs="Arial"/>
                <w:szCs w:val="18"/>
              </w:rPr>
            </w:pPr>
          </w:p>
        </w:tc>
        <w:tc>
          <w:tcPr>
            <w:tcW w:w="0" w:type="auto"/>
            <w:tcMar>
              <w:top w:w="0" w:type="dxa"/>
              <w:left w:w="70" w:type="dxa"/>
              <w:bottom w:w="0" w:type="dxa"/>
              <w:right w:w="70" w:type="dxa"/>
            </w:tcMar>
            <w:hideMark/>
          </w:tcPr>
          <w:p w14:paraId="4EE2A845" w14:textId="77777777" w:rsidR="00535F8F" w:rsidRPr="003F44AD" w:rsidRDefault="00535F8F" w:rsidP="00017507">
            <w:pPr>
              <w:spacing w:line="240" w:lineRule="auto"/>
              <w:rPr>
                <w:rFonts w:cs="Arial"/>
                <w:szCs w:val="18"/>
              </w:rPr>
            </w:pPr>
          </w:p>
        </w:tc>
        <w:tc>
          <w:tcPr>
            <w:tcW w:w="0" w:type="auto"/>
            <w:tcMar>
              <w:top w:w="0" w:type="dxa"/>
              <w:left w:w="70" w:type="dxa"/>
              <w:bottom w:w="0" w:type="dxa"/>
              <w:right w:w="70" w:type="dxa"/>
            </w:tcMar>
            <w:hideMark/>
          </w:tcPr>
          <w:p w14:paraId="685E3E00" w14:textId="77777777" w:rsidR="00535F8F" w:rsidRPr="003F44AD" w:rsidRDefault="00535F8F" w:rsidP="00017507">
            <w:pPr>
              <w:spacing w:line="240" w:lineRule="auto"/>
              <w:rPr>
                <w:rFonts w:cs="Arial"/>
                <w:szCs w:val="18"/>
              </w:rPr>
            </w:pPr>
          </w:p>
        </w:tc>
      </w:tr>
      <w:tr w:rsidR="00591A73" w:rsidRPr="003F44AD" w14:paraId="3A58E2EF" w14:textId="77777777" w:rsidTr="00535F8F">
        <w:trPr>
          <w:trHeight w:val="179"/>
        </w:trPr>
        <w:tc>
          <w:tcPr>
            <w:tcW w:w="0" w:type="auto"/>
            <w:tcMar>
              <w:top w:w="0" w:type="dxa"/>
              <w:left w:w="70" w:type="dxa"/>
              <w:bottom w:w="0" w:type="dxa"/>
              <w:right w:w="70" w:type="dxa"/>
            </w:tcMar>
            <w:hideMark/>
          </w:tcPr>
          <w:p w14:paraId="1F9EA399" w14:textId="5128C740" w:rsidR="00535F8F" w:rsidRPr="003F44AD" w:rsidRDefault="00535F8F" w:rsidP="00017507">
            <w:pPr>
              <w:spacing w:line="240" w:lineRule="auto"/>
              <w:rPr>
                <w:rFonts w:cs="Arial"/>
                <w:szCs w:val="18"/>
              </w:rPr>
            </w:pPr>
            <w:r w:rsidRPr="003F44AD">
              <w:rPr>
                <w:rFonts w:cs="Arial"/>
                <w:color w:val="000000"/>
                <w:szCs w:val="18"/>
              </w:rPr>
              <w:t xml:space="preserve">Detection of </w:t>
            </w:r>
            <w:r w:rsidRPr="003F44AD">
              <w:rPr>
                <w:rFonts w:cs="Arial"/>
                <w:i/>
                <w:iCs/>
                <w:color w:val="000000"/>
                <w:szCs w:val="18"/>
              </w:rPr>
              <w:t>Salmonella spp</w:t>
            </w:r>
            <w:r w:rsidR="003F44AD" w:rsidRPr="003F44AD">
              <w:rPr>
                <w:rFonts w:cs="Arial"/>
                <w:color w:val="000000"/>
                <w:szCs w:val="18"/>
              </w:rPr>
              <w:t>.</w:t>
            </w:r>
            <w:r w:rsidRPr="003F44AD">
              <w:rPr>
                <w:rFonts w:cs="Arial"/>
                <w:color w:val="000000"/>
                <w:szCs w:val="18"/>
              </w:rPr>
              <w:t xml:space="preserve"> in 10g</w:t>
            </w:r>
          </w:p>
        </w:tc>
        <w:tc>
          <w:tcPr>
            <w:tcW w:w="0" w:type="auto"/>
            <w:tcMar>
              <w:top w:w="0" w:type="dxa"/>
              <w:left w:w="70" w:type="dxa"/>
              <w:bottom w:w="0" w:type="dxa"/>
              <w:right w:w="70" w:type="dxa"/>
            </w:tcMar>
            <w:hideMark/>
          </w:tcPr>
          <w:p w14:paraId="23F6E5ED" w14:textId="120E8CAF" w:rsidR="00535F8F" w:rsidRPr="003F44AD" w:rsidRDefault="00535F8F" w:rsidP="00017507">
            <w:pPr>
              <w:spacing w:line="240" w:lineRule="auto"/>
              <w:rPr>
                <w:rFonts w:cs="Arial"/>
                <w:szCs w:val="18"/>
              </w:rPr>
            </w:pPr>
            <w:r w:rsidRPr="003F44AD">
              <w:rPr>
                <w:rFonts w:cs="Arial"/>
                <w:color w:val="000000"/>
                <w:szCs w:val="18"/>
              </w:rPr>
              <w:t>Presence</w:t>
            </w:r>
          </w:p>
        </w:tc>
        <w:tc>
          <w:tcPr>
            <w:tcW w:w="0" w:type="auto"/>
            <w:tcMar>
              <w:top w:w="0" w:type="dxa"/>
              <w:left w:w="70" w:type="dxa"/>
              <w:bottom w:w="0" w:type="dxa"/>
              <w:right w:w="70" w:type="dxa"/>
            </w:tcMar>
            <w:hideMark/>
          </w:tcPr>
          <w:p w14:paraId="51DF6833" w14:textId="77777777" w:rsidR="00535F8F" w:rsidRPr="003F44AD" w:rsidRDefault="00535F8F" w:rsidP="00017507">
            <w:pPr>
              <w:spacing w:line="240" w:lineRule="auto"/>
              <w:rPr>
                <w:rFonts w:cs="Arial"/>
                <w:szCs w:val="18"/>
              </w:rPr>
            </w:pPr>
          </w:p>
        </w:tc>
        <w:tc>
          <w:tcPr>
            <w:tcW w:w="0" w:type="auto"/>
            <w:tcMar>
              <w:top w:w="0" w:type="dxa"/>
              <w:left w:w="70" w:type="dxa"/>
              <w:bottom w:w="0" w:type="dxa"/>
              <w:right w:w="70" w:type="dxa"/>
            </w:tcMar>
            <w:hideMark/>
          </w:tcPr>
          <w:p w14:paraId="02AD41BA" w14:textId="77777777" w:rsidR="00535F8F" w:rsidRPr="003F44AD" w:rsidRDefault="00535F8F" w:rsidP="00017507">
            <w:pPr>
              <w:spacing w:line="240" w:lineRule="auto"/>
              <w:rPr>
                <w:rFonts w:cs="Arial"/>
                <w:szCs w:val="18"/>
              </w:rPr>
            </w:pPr>
          </w:p>
        </w:tc>
        <w:tc>
          <w:tcPr>
            <w:tcW w:w="0" w:type="auto"/>
            <w:tcMar>
              <w:top w:w="0" w:type="dxa"/>
              <w:left w:w="70" w:type="dxa"/>
              <w:bottom w:w="0" w:type="dxa"/>
              <w:right w:w="70" w:type="dxa"/>
            </w:tcMar>
            <w:hideMark/>
          </w:tcPr>
          <w:p w14:paraId="4BBF1DD7" w14:textId="77777777" w:rsidR="00535F8F" w:rsidRPr="003F44AD" w:rsidRDefault="00535F8F" w:rsidP="00017507">
            <w:pPr>
              <w:spacing w:line="240" w:lineRule="auto"/>
              <w:rPr>
                <w:rFonts w:cs="Arial"/>
                <w:szCs w:val="18"/>
              </w:rPr>
            </w:pPr>
          </w:p>
        </w:tc>
        <w:tc>
          <w:tcPr>
            <w:tcW w:w="0" w:type="auto"/>
            <w:tcMar>
              <w:top w:w="0" w:type="dxa"/>
              <w:left w:w="70" w:type="dxa"/>
              <w:bottom w:w="0" w:type="dxa"/>
              <w:right w:w="70" w:type="dxa"/>
            </w:tcMar>
            <w:hideMark/>
          </w:tcPr>
          <w:p w14:paraId="7DE88D75" w14:textId="77777777" w:rsidR="00535F8F" w:rsidRPr="003F44AD" w:rsidRDefault="00535F8F" w:rsidP="00017507">
            <w:pPr>
              <w:spacing w:line="240" w:lineRule="auto"/>
              <w:rPr>
                <w:rFonts w:cs="Arial"/>
                <w:szCs w:val="18"/>
              </w:rPr>
            </w:pPr>
          </w:p>
        </w:tc>
        <w:tc>
          <w:tcPr>
            <w:tcW w:w="0" w:type="auto"/>
            <w:tcMar>
              <w:top w:w="0" w:type="dxa"/>
              <w:left w:w="70" w:type="dxa"/>
              <w:bottom w:w="0" w:type="dxa"/>
              <w:right w:w="70" w:type="dxa"/>
            </w:tcMar>
            <w:hideMark/>
          </w:tcPr>
          <w:p w14:paraId="5D87B5DE" w14:textId="77777777" w:rsidR="00535F8F" w:rsidRPr="003F44AD" w:rsidRDefault="00535F8F" w:rsidP="00017507">
            <w:pPr>
              <w:spacing w:line="240" w:lineRule="auto"/>
              <w:rPr>
                <w:rFonts w:cs="Arial"/>
                <w:szCs w:val="18"/>
              </w:rPr>
            </w:pPr>
          </w:p>
        </w:tc>
      </w:tr>
      <w:tr w:rsidR="00591A73" w:rsidRPr="003F44AD" w14:paraId="1B0D57B9" w14:textId="77777777" w:rsidTr="00535F8F">
        <w:trPr>
          <w:trHeight w:val="126"/>
        </w:trPr>
        <w:tc>
          <w:tcPr>
            <w:tcW w:w="0" w:type="auto"/>
            <w:tcBorders>
              <w:bottom w:val="single" w:sz="8" w:space="0" w:color="008000"/>
            </w:tcBorders>
            <w:tcMar>
              <w:top w:w="0" w:type="dxa"/>
              <w:left w:w="70" w:type="dxa"/>
              <w:bottom w:w="0" w:type="dxa"/>
              <w:right w:w="70" w:type="dxa"/>
            </w:tcMar>
            <w:hideMark/>
          </w:tcPr>
          <w:p w14:paraId="7F06CA21" w14:textId="77777777" w:rsidR="00535F8F" w:rsidRPr="003F44AD" w:rsidRDefault="00535F8F" w:rsidP="00017507">
            <w:pPr>
              <w:spacing w:line="240" w:lineRule="auto"/>
              <w:rPr>
                <w:rFonts w:cs="Arial"/>
                <w:szCs w:val="18"/>
              </w:rPr>
            </w:pPr>
            <w:r w:rsidRPr="003F44AD">
              <w:rPr>
                <w:rFonts w:cs="Arial"/>
                <w:color w:val="000000"/>
                <w:szCs w:val="18"/>
              </w:rPr>
              <w:t>Counting helminth larvae and eggs (No/4g)</w:t>
            </w:r>
          </w:p>
        </w:tc>
        <w:tc>
          <w:tcPr>
            <w:tcW w:w="0" w:type="auto"/>
            <w:tcBorders>
              <w:bottom w:val="single" w:sz="8" w:space="0" w:color="008000"/>
            </w:tcBorders>
            <w:tcMar>
              <w:top w:w="0" w:type="dxa"/>
              <w:left w:w="70" w:type="dxa"/>
              <w:bottom w:w="0" w:type="dxa"/>
              <w:right w:w="70" w:type="dxa"/>
            </w:tcMar>
            <w:hideMark/>
          </w:tcPr>
          <w:p w14:paraId="428555FD" w14:textId="77777777" w:rsidR="00535F8F" w:rsidRPr="003F44AD" w:rsidRDefault="00535F8F" w:rsidP="00017507">
            <w:pPr>
              <w:spacing w:line="240" w:lineRule="auto"/>
              <w:rPr>
                <w:rFonts w:cs="Arial"/>
                <w:szCs w:val="18"/>
              </w:rPr>
            </w:pPr>
            <w:r w:rsidRPr="003F44AD">
              <w:rPr>
                <w:rFonts w:cs="Arial"/>
                <w:color w:val="000000"/>
                <w:szCs w:val="18"/>
              </w:rPr>
              <w:t>180</w:t>
            </w:r>
          </w:p>
        </w:tc>
        <w:tc>
          <w:tcPr>
            <w:tcW w:w="0" w:type="auto"/>
            <w:tcBorders>
              <w:bottom w:val="single" w:sz="8" w:space="0" w:color="008000"/>
            </w:tcBorders>
            <w:tcMar>
              <w:top w:w="0" w:type="dxa"/>
              <w:left w:w="70" w:type="dxa"/>
              <w:bottom w:w="0" w:type="dxa"/>
              <w:right w:w="70" w:type="dxa"/>
            </w:tcMar>
            <w:hideMark/>
          </w:tcPr>
          <w:p w14:paraId="1040AA72" w14:textId="77777777" w:rsidR="00535F8F" w:rsidRPr="003F44AD" w:rsidRDefault="00535F8F" w:rsidP="00017507">
            <w:pPr>
              <w:spacing w:line="240" w:lineRule="auto"/>
              <w:rPr>
                <w:rFonts w:cs="Arial"/>
                <w:szCs w:val="18"/>
              </w:rPr>
            </w:pPr>
            <w:r w:rsidRPr="003F44AD">
              <w:rPr>
                <w:rFonts w:cs="Arial"/>
                <w:color w:val="000000"/>
                <w:szCs w:val="18"/>
              </w:rPr>
              <w:t> </w:t>
            </w:r>
          </w:p>
        </w:tc>
        <w:tc>
          <w:tcPr>
            <w:tcW w:w="0" w:type="auto"/>
            <w:tcBorders>
              <w:bottom w:val="single" w:sz="8" w:space="0" w:color="008000"/>
            </w:tcBorders>
            <w:tcMar>
              <w:top w:w="0" w:type="dxa"/>
              <w:left w:w="70" w:type="dxa"/>
              <w:bottom w:w="0" w:type="dxa"/>
              <w:right w:w="70" w:type="dxa"/>
            </w:tcMar>
            <w:hideMark/>
          </w:tcPr>
          <w:p w14:paraId="1BD7A198" w14:textId="77777777" w:rsidR="00535F8F" w:rsidRPr="003F44AD" w:rsidRDefault="00535F8F" w:rsidP="00017507">
            <w:pPr>
              <w:spacing w:line="240" w:lineRule="auto"/>
              <w:rPr>
                <w:rFonts w:cs="Arial"/>
                <w:szCs w:val="18"/>
              </w:rPr>
            </w:pPr>
            <w:r w:rsidRPr="003F44AD">
              <w:rPr>
                <w:rFonts w:cs="Arial"/>
                <w:color w:val="000000"/>
                <w:szCs w:val="18"/>
              </w:rPr>
              <w:t> </w:t>
            </w:r>
          </w:p>
        </w:tc>
        <w:tc>
          <w:tcPr>
            <w:tcW w:w="0" w:type="auto"/>
            <w:tcBorders>
              <w:bottom w:val="single" w:sz="8" w:space="0" w:color="008000"/>
            </w:tcBorders>
            <w:tcMar>
              <w:top w:w="0" w:type="dxa"/>
              <w:left w:w="70" w:type="dxa"/>
              <w:bottom w:w="0" w:type="dxa"/>
              <w:right w:w="70" w:type="dxa"/>
            </w:tcMar>
            <w:hideMark/>
          </w:tcPr>
          <w:p w14:paraId="3A5F1751" w14:textId="77777777" w:rsidR="00535F8F" w:rsidRPr="003F44AD" w:rsidRDefault="00535F8F" w:rsidP="00017507">
            <w:pPr>
              <w:spacing w:line="240" w:lineRule="auto"/>
              <w:rPr>
                <w:rFonts w:cs="Arial"/>
                <w:szCs w:val="18"/>
              </w:rPr>
            </w:pPr>
            <w:r w:rsidRPr="003F44AD">
              <w:rPr>
                <w:rFonts w:cs="Arial"/>
                <w:color w:val="000000"/>
                <w:szCs w:val="18"/>
              </w:rPr>
              <w:t> </w:t>
            </w:r>
          </w:p>
        </w:tc>
        <w:tc>
          <w:tcPr>
            <w:tcW w:w="0" w:type="auto"/>
            <w:tcBorders>
              <w:bottom w:val="single" w:sz="8" w:space="0" w:color="008000"/>
            </w:tcBorders>
            <w:tcMar>
              <w:top w:w="0" w:type="dxa"/>
              <w:left w:w="70" w:type="dxa"/>
              <w:bottom w:w="0" w:type="dxa"/>
              <w:right w:w="70" w:type="dxa"/>
            </w:tcMar>
            <w:hideMark/>
          </w:tcPr>
          <w:p w14:paraId="6D0E42C2" w14:textId="77777777" w:rsidR="00535F8F" w:rsidRPr="003F44AD" w:rsidRDefault="00535F8F" w:rsidP="00017507">
            <w:pPr>
              <w:spacing w:line="240" w:lineRule="auto"/>
              <w:rPr>
                <w:rFonts w:cs="Arial"/>
                <w:szCs w:val="18"/>
              </w:rPr>
            </w:pPr>
            <w:r w:rsidRPr="003F44AD">
              <w:rPr>
                <w:rFonts w:cs="Arial"/>
                <w:color w:val="000000"/>
                <w:szCs w:val="18"/>
              </w:rPr>
              <w:t> </w:t>
            </w:r>
          </w:p>
        </w:tc>
        <w:tc>
          <w:tcPr>
            <w:tcW w:w="0" w:type="auto"/>
            <w:tcBorders>
              <w:bottom w:val="single" w:sz="8" w:space="0" w:color="008000"/>
            </w:tcBorders>
            <w:tcMar>
              <w:top w:w="0" w:type="dxa"/>
              <w:left w:w="70" w:type="dxa"/>
              <w:bottom w:w="0" w:type="dxa"/>
              <w:right w:w="70" w:type="dxa"/>
            </w:tcMar>
            <w:hideMark/>
          </w:tcPr>
          <w:p w14:paraId="5723FF7E" w14:textId="77777777" w:rsidR="00535F8F" w:rsidRPr="003F44AD" w:rsidRDefault="00535F8F" w:rsidP="00017507">
            <w:pPr>
              <w:spacing w:line="240" w:lineRule="auto"/>
              <w:rPr>
                <w:rFonts w:cs="Arial"/>
                <w:szCs w:val="18"/>
              </w:rPr>
            </w:pPr>
            <w:r w:rsidRPr="003F44AD">
              <w:rPr>
                <w:rFonts w:cs="Arial"/>
                <w:color w:val="000000"/>
                <w:szCs w:val="18"/>
              </w:rPr>
              <w:t> </w:t>
            </w:r>
          </w:p>
        </w:tc>
      </w:tr>
    </w:tbl>
    <w:p w14:paraId="11C0F6FF" w14:textId="77777777" w:rsidR="00535F8F" w:rsidRPr="003F44AD" w:rsidRDefault="00535F8F" w:rsidP="00925E84">
      <w:pPr>
        <w:pStyle w:val="CETBodytext"/>
        <w:spacing w:line="240" w:lineRule="auto"/>
        <w:contextualSpacing/>
        <w:rPr>
          <w:lang w:val="en-GB"/>
        </w:rPr>
      </w:pPr>
    </w:p>
    <w:p w14:paraId="7B08A3E4" w14:textId="7377A02C" w:rsidR="00586301" w:rsidRPr="003F44AD" w:rsidRDefault="00586301" w:rsidP="00925E84">
      <w:pPr>
        <w:pStyle w:val="CETBodytext"/>
        <w:spacing w:line="240" w:lineRule="auto"/>
        <w:contextualSpacing/>
        <w:rPr>
          <w:lang w:val="en-GB"/>
        </w:rPr>
      </w:pPr>
      <w:r w:rsidRPr="003F44AD">
        <w:rPr>
          <w:lang w:val="en-GB"/>
        </w:rPr>
        <w:t>The H</w:t>
      </w:r>
      <w:r w:rsidRPr="003F44AD">
        <w:rPr>
          <w:vertAlign w:val="subscript"/>
          <w:lang w:val="en-GB"/>
        </w:rPr>
        <w:t>2</w:t>
      </w:r>
      <w:r w:rsidRPr="003F44AD">
        <w:rPr>
          <w:lang w:val="en-GB"/>
        </w:rPr>
        <w:t>S removal calculation in each system followed the equation:</w:t>
      </w:r>
    </w:p>
    <w:tbl>
      <w:tblPr>
        <w:tblW w:w="5000" w:type="pct"/>
        <w:tblLook w:val="04A0" w:firstRow="1" w:lastRow="0" w:firstColumn="1" w:lastColumn="0" w:noHBand="0" w:noVBand="1"/>
      </w:tblPr>
      <w:tblGrid>
        <w:gridCol w:w="7986"/>
        <w:gridCol w:w="801"/>
      </w:tblGrid>
      <w:tr w:rsidR="00B2038C" w:rsidRPr="003F44AD" w14:paraId="701C93CB" w14:textId="77777777" w:rsidTr="00017507">
        <w:tc>
          <w:tcPr>
            <w:tcW w:w="7986" w:type="dxa"/>
            <w:shd w:val="clear" w:color="auto" w:fill="auto"/>
            <w:vAlign w:val="center"/>
          </w:tcPr>
          <w:p w14:paraId="7603785E" w14:textId="77777777" w:rsidR="00B2038C" w:rsidRPr="003F44AD" w:rsidRDefault="00B2038C" w:rsidP="00B2038C">
            <w:pPr>
              <w:spacing w:line="240" w:lineRule="auto"/>
              <w:ind w:left="-567" w:right="-569"/>
              <w:rPr>
                <w:rFonts w:ascii="Times New Roman" w:hAnsi="Times New Roman"/>
                <w:sz w:val="24"/>
                <w:szCs w:val="24"/>
              </w:rPr>
            </w:pPr>
            <w:r w:rsidRPr="003F44AD">
              <w:rPr>
                <w:rFonts w:cs="Arial"/>
                <w:color w:val="000000"/>
                <w:sz w:val="16"/>
                <w:szCs w:val="16"/>
              </w:rPr>
              <w:t>2H       Removal of H</w:t>
            </w:r>
            <w:r w:rsidRPr="003F44AD">
              <w:rPr>
                <w:rFonts w:cs="Arial"/>
                <w:color w:val="000000"/>
                <w:sz w:val="10"/>
                <w:szCs w:val="10"/>
                <w:vertAlign w:val="subscript"/>
              </w:rPr>
              <w:t>2</w:t>
            </w:r>
            <w:r w:rsidRPr="003F44AD">
              <w:rPr>
                <w:rFonts w:cs="Arial"/>
                <w:color w:val="000000"/>
                <w:sz w:val="16"/>
                <w:szCs w:val="16"/>
              </w:rPr>
              <w:t>S</w:t>
            </w:r>
            <w:r w:rsidRPr="003F44AD">
              <w:rPr>
                <w:rFonts w:cs="Arial"/>
                <w:color w:val="000000"/>
                <w:sz w:val="10"/>
                <w:szCs w:val="10"/>
              </w:rPr>
              <w:t xml:space="preserve">  </w:t>
            </w:r>
            <w:r w:rsidRPr="003F44AD">
              <w:rPr>
                <w:rFonts w:cs="Arial"/>
                <w:color w:val="000000"/>
                <w:sz w:val="16"/>
                <w:szCs w:val="16"/>
              </w:rPr>
              <w:t>= ([H</w:t>
            </w:r>
            <w:r w:rsidRPr="003F44AD">
              <w:rPr>
                <w:rFonts w:cs="Arial"/>
                <w:color w:val="000000"/>
                <w:sz w:val="10"/>
                <w:szCs w:val="10"/>
                <w:vertAlign w:val="subscript"/>
              </w:rPr>
              <w:t>2</w:t>
            </w:r>
            <w:r w:rsidRPr="003F44AD">
              <w:rPr>
                <w:rFonts w:cs="Arial"/>
                <w:color w:val="000000"/>
                <w:sz w:val="16"/>
                <w:szCs w:val="16"/>
              </w:rPr>
              <w:t>S]</w:t>
            </w:r>
            <w:r w:rsidRPr="003F44AD">
              <w:rPr>
                <w:rFonts w:cs="Arial"/>
                <w:color w:val="000000"/>
                <w:sz w:val="10"/>
                <w:szCs w:val="10"/>
                <w:vertAlign w:val="subscript"/>
              </w:rPr>
              <w:t>o</w:t>
            </w:r>
            <w:r w:rsidRPr="003F44AD">
              <w:rPr>
                <w:rFonts w:cs="Arial"/>
                <w:color w:val="000000"/>
                <w:sz w:val="16"/>
                <w:szCs w:val="16"/>
              </w:rPr>
              <w:t xml:space="preserve"> - [H</w:t>
            </w:r>
            <w:r w:rsidRPr="003F44AD">
              <w:rPr>
                <w:rFonts w:cs="Arial"/>
                <w:color w:val="000000"/>
                <w:sz w:val="10"/>
                <w:szCs w:val="10"/>
                <w:vertAlign w:val="subscript"/>
              </w:rPr>
              <w:t>2</w:t>
            </w:r>
            <w:r w:rsidRPr="003F44AD">
              <w:rPr>
                <w:rFonts w:cs="Arial"/>
                <w:color w:val="000000"/>
                <w:sz w:val="16"/>
                <w:szCs w:val="16"/>
              </w:rPr>
              <w:t>S]</w:t>
            </w:r>
            <w:r w:rsidRPr="003F44AD">
              <w:rPr>
                <w:rFonts w:cs="Arial"/>
                <w:color w:val="000000"/>
                <w:sz w:val="10"/>
                <w:szCs w:val="10"/>
                <w:vertAlign w:val="subscript"/>
              </w:rPr>
              <w:t>f</w:t>
            </w:r>
            <w:r w:rsidRPr="003F44AD">
              <w:rPr>
                <w:rFonts w:cs="Arial"/>
                <w:color w:val="000000"/>
                <w:sz w:val="16"/>
                <w:szCs w:val="16"/>
              </w:rPr>
              <w:t>/ [H</w:t>
            </w:r>
            <w:r w:rsidRPr="003F44AD">
              <w:rPr>
                <w:rFonts w:cs="Arial"/>
                <w:color w:val="000000"/>
                <w:sz w:val="10"/>
                <w:szCs w:val="10"/>
                <w:vertAlign w:val="subscript"/>
              </w:rPr>
              <w:t>2</w:t>
            </w:r>
            <w:r w:rsidRPr="003F44AD">
              <w:rPr>
                <w:rFonts w:cs="Arial"/>
                <w:color w:val="000000"/>
                <w:sz w:val="16"/>
                <w:szCs w:val="16"/>
              </w:rPr>
              <w:t>S]</w:t>
            </w:r>
            <w:r w:rsidRPr="003F44AD">
              <w:rPr>
                <w:rFonts w:cs="Arial"/>
                <w:color w:val="000000"/>
                <w:sz w:val="10"/>
                <w:szCs w:val="10"/>
                <w:vertAlign w:val="subscript"/>
              </w:rPr>
              <w:t>o</w:t>
            </w:r>
            <w:r w:rsidRPr="003F44AD">
              <w:rPr>
                <w:rFonts w:cs="Arial"/>
                <w:color w:val="000000"/>
                <w:sz w:val="16"/>
                <w:szCs w:val="16"/>
              </w:rPr>
              <w:t xml:space="preserve"> )*100%</w:t>
            </w:r>
          </w:p>
          <w:p w14:paraId="389D3F72" w14:textId="7E2D96F9" w:rsidR="00B2038C" w:rsidRPr="003F44AD" w:rsidRDefault="00B2038C" w:rsidP="00017507">
            <w:pPr>
              <w:spacing w:line="240" w:lineRule="auto"/>
              <w:ind w:left="-567" w:right="-569"/>
              <w:rPr>
                <w:rFonts w:ascii="Times New Roman" w:hAnsi="Times New Roman"/>
                <w:sz w:val="24"/>
                <w:szCs w:val="24"/>
              </w:rPr>
            </w:pPr>
            <w:r w:rsidRPr="003F44AD">
              <w:rPr>
                <w:rFonts w:cs="Arial"/>
                <w:color w:val="000000"/>
                <w:sz w:val="10"/>
                <w:szCs w:val="10"/>
              </w:rPr>
              <w:t xml:space="preserve">= </w:t>
            </w:r>
          </w:p>
        </w:tc>
        <w:tc>
          <w:tcPr>
            <w:tcW w:w="801" w:type="dxa"/>
            <w:shd w:val="clear" w:color="auto" w:fill="auto"/>
            <w:vAlign w:val="center"/>
          </w:tcPr>
          <w:p w14:paraId="0397C2E6" w14:textId="14EA9CC5" w:rsidR="00B2038C" w:rsidRPr="003F44AD" w:rsidRDefault="00B2038C" w:rsidP="00017507">
            <w:pPr>
              <w:pStyle w:val="CETEquation"/>
              <w:jc w:val="right"/>
            </w:pPr>
            <w:r w:rsidRPr="003F44AD">
              <w:t>(2)</w:t>
            </w:r>
          </w:p>
        </w:tc>
      </w:tr>
    </w:tbl>
    <w:p w14:paraId="10DFF39B" w14:textId="6E41129C" w:rsidR="00586301" w:rsidRPr="003F44AD" w:rsidRDefault="00DB0ECA" w:rsidP="00925E84">
      <w:pPr>
        <w:pStyle w:val="CETBodytext"/>
        <w:spacing w:line="240" w:lineRule="auto"/>
        <w:contextualSpacing/>
        <w:rPr>
          <w:lang w:val="en-GB"/>
        </w:rPr>
      </w:pPr>
      <w:r w:rsidRPr="003F44AD">
        <w:rPr>
          <w:lang w:val="en-GB"/>
        </w:rPr>
        <w:t>According to this, the order of H</w:t>
      </w:r>
      <w:r w:rsidRPr="003F44AD">
        <w:rPr>
          <w:vertAlign w:val="subscript"/>
          <w:lang w:val="en-GB"/>
        </w:rPr>
        <w:t>2</w:t>
      </w:r>
      <w:r w:rsidRPr="003F44AD">
        <w:rPr>
          <w:lang w:val="en-GB"/>
        </w:rPr>
        <w:t xml:space="preserve">S removal achieved was: T2 (99%)&gt;T3 (67%)&gt;T1 (61%)&gt;To (51%). For T2, the dose of beneficial microorganisms represented 10% of the reactor </w:t>
      </w:r>
      <w:r w:rsidR="0097228E" w:rsidRPr="003F44AD">
        <w:rPr>
          <w:lang w:val="en-GB"/>
        </w:rPr>
        <w:t>load;</w:t>
      </w:r>
      <w:r w:rsidRPr="003F44AD">
        <w:rPr>
          <w:lang w:val="en-GB"/>
        </w:rPr>
        <w:t xml:space="preserve"> the mixture was subjected to a mesophilic temperature of 30</w:t>
      </w:r>
      <w:r w:rsidRPr="003F44AD">
        <w:rPr>
          <w:vertAlign w:val="superscript"/>
          <w:lang w:val="en-GB"/>
        </w:rPr>
        <w:t>o</w:t>
      </w:r>
      <w:r w:rsidRPr="003F44AD">
        <w:rPr>
          <w:lang w:val="en-GB"/>
        </w:rPr>
        <w:t>C, which is recommended for the reduction of H</w:t>
      </w:r>
      <w:r w:rsidRPr="003F44AD">
        <w:rPr>
          <w:vertAlign w:val="subscript"/>
          <w:lang w:val="en-GB"/>
        </w:rPr>
        <w:t>2</w:t>
      </w:r>
      <w:r w:rsidRPr="003F44AD">
        <w:rPr>
          <w:lang w:val="en-GB"/>
        </w:rPr>
        <w:t xml:space="preserve">S in the anaerobic digestion process (Zhao and Liu, 2019). </w:t>
      </w:r>
      <w:r w:rsidR="00086A08" w:rsidRPr="00086A08">
        <w:rPr>
          <w:color w:val="FF0000"/>
          <w:lang w:val="en-GB"/>
        </w:rPr>
        <w:t>T2 showed an efficient performance in sulfoxidation, evidenced by a higher content of mesophilic aerobic microorganisms, molds and yeasts, which were related to a higher consumption of OM (83.2%) and a more stable pH increased only by 0.06 units throughout the period. process (final pH: 7.48). While T3, performance decreases with an increase in pH to 7.46 (Δ=0.09), lower MO consumption (72.2%) and a decrease in humidity. The sulfoxidizing bacteria present in anaerobic digestion need to degrade organic matter and use CO2 as a source of carbon and energy to oxidize H2S</w:t>
      </w:r>
      <w:r w:rsidR="00086A08" w:rsidRPr="00086A08">
        <w:rPr>
          <w:lang w:val="en-GB"/>
        </w:rPr>
        <w:t>.</w:t>
      </w:r>
      <w:r w:rsidR="00086A08">
        <w:rPr>
          <w:lang w:val="en-GB"/>
        </w:rPr>
        <w:t xml:space="preserve"> </w:t>
      </w:r>
      <w:r w:rsidRPr="003F44AD">
        <w:rPr>
          <w:lang w:val="en-GB"/>
        </w:rPr>
        <w:t xml:space="preserve">Obviously, the alkaline pH and the temperature maintained in the appropriate range (20–43 </w:t>
      </w:r>
      <w:r w:rsidRPr="003F44AD">
        <w:rPr>
          <w:vertAlign w:val="superscript"/>
          <w:lang w:val="en-GB"/>
        </w:rPr>
        <w:t>◦</w:t>
      </w:r>
      <w:r w:rsidRPr="003F44AD">
        <w:rPr>
          <w:lang w:val="en-GB"/>
        </w:rPr>
        <w:t>C) were convenient for mesophilic microbial development (Nie et al. 2021). This result was comparable to that reported by Oh et al. (2024), who applied a direct chemical component such as Fe powder to reduce the content of H</w:t>
      </w:r>
      <w:r w:rsidRPr="003F44AD">
        <w:rPr>
          <w:vertAlign w:val="subscript"/>
          <w:lang w:val="en-GB"/>
        </w:rPr>
        <w:t>2</w:t>
      </w:r>
      <w:r w:rsidRPr="003F44AD">
        <w:rPr>
          <w:lang w:val="en-GB"/>
        </w:rPr>
        <w:t>S formed in the biogas during anaerobic digestion for 10 to 20 days, thus managing to eliminate just over 98% of the H</w:t>
      </w:r>
      <w:r w:rsidRPr="003F44AD">
        <w:rPr>
          <w:vertAlign w:val="subscript"/>
          <w:lang w:val="en-GB"/>
        </w:rPr>
        <w:t>2</w:t>
      </w:r>
      <w:r w:rsidRPr="003F44AD">
        <w:rPr>
          <w:lang w:val="en-GB"/>
        </w:rPr>
        <w:t>S (Oh, et al. 2024). Furthermore, as seen in Table 2, the mesophilic microbial community of T2 increased notably from 5.4 x10</w:t>
      </w:r>
      <w:r w:rsidRPr="003F44AD">
        <w:rPr>
          <w:vertAlign w:val="superscript"/>
          <w:lang w:val="en-GB"/>
        </w:rPr>
        <w:t>3</w:t>
      </w:r>
      <w:r w:rsidRPr="003F44AD">
        <w:rPr>
          <w:lang w:val="en-GB"/>
        </w:rPr>
        <w:t xml:space="preserve"> to 65 x 10</w:t>
      </w:r>
      <w:r w:rsidRPr="003F44AD">
        <w:rPr>
          <w:vertAlign w:val="superscript"/>
          <w:lang w:val="en-GB"/>
        </w:rPr>
        <w:t>7</w:t>
      </w:r>
      <w:r w:rsidRPr="003F44AD">
        <w:rPr>
          <w:lang w:val="en-GB"/>
        </w:rPr>
        <w:t xml:space="preserve"> CFU/ml, this consumed 83% of the organic matter present in the reactor. Consequently, the content of </w:t>
      </w:r>
      <w:r w:rsidR="006F73BA" w:rsidRPr="003F44AD">
        <w:rPr>
          <w:lang w:val="en-GB"/>
        </w:rPr>
        <w:t>moulds</w:t>
      </w:r>
      <w:r w:rsidRPr="003F44AD">
        <w:rPr>
          <w:lang w:val="en-GB"/>
        </w:rPr>
        <w:t xml:space="preserve"> and yeasts increased from 2 x 10</w:t>
      </w:r>
      <w:r w:rsidRPr="003F44AD">
        <w:rPr>
          <w:vertAlign w:val="superscript"/>
          <w:lang w:val="en-GB"/>
        </w:rPr>
        <w:t>3</w:t>
      </w:r>
      <w:r w:rsidRPr="003F44AD">
        <w:rPr>
          <w:lang w:val="en-GB"/>
        </w:rPr>
        <w:t xml:space="preserve"> to 7x10</w:t>
      </w:r>
      <w:r w:rsidRPr="003F44AD">
        <w:rPr>
          <w:vertAlign w:val="superscript"/>
          <w:lang w:val="en-GB"/>
        </w:rPr>
        <w:t>8</w:t>
      </w:r>
      <w:r w:rsidRPr="003F44AD">
        <w:rPr>
          <w:lang w:val="en-GB"/>
        </w:rPr>
        <w:t xml:space="preserve"> CFU/ml and that of actinomycetes from 1.2 x 10</w:t>
      </w:r>
      <w:r w:rsidRPr="003F44AD">
        <w:rPr>
          <w:vertAlign w:val="superscript"/>
          <w:lang w:val="en-GB"/>
        </w:rPr>
        <w:t>2</w:t>
      </w:r>
      <w:r w:rsidRPr="003F44AD">
        <w:rPr>
          <w:lang w:val="en-GB"/>
        </w:rPr>
        <w:t xml:space="preserve"> to 2.2 x 10</w:t>
      </w:r>
      <w:r w:rsidRPr="003F44AD">
        <w:rPr>
          <w:vertAlign w:val="superscript"/>
          <w:lang w:val="en-GB"/>
        </w:rPr>
        <w:t>3</w:t>
      </w:r>
      <w:r w:rsidRPr="003F44AD">
        <w:rPr>
          <w:lang w:val="en-GB"/>
        </w:rPr>
        <w:t xml:space="preserve"> CFU/ml. Likewise, the significant presence of pathogenic microorganisms of the order of 10</w:t>
      </w:r>
      <w:r w:rsidRPr="003F44AD">
        <w:rPr>
          <w:vertAlign w:val="superscript"/>
          <w:lang w:val="en-GB"/>
        </w:rPr>
        <w:t>6</w:t>
      </w:r>
      <w:r w:rsidRPr="003F44AD">
        <w:rPr>
          <w:lang w:val="en-GB"/>
        </w:rPr>
        <w:t xml:space="preserve"> was observed.</w:t>
      </w:r>
    </w:p>
    <w:p w14:paraId="32ED0ECD" w14:textId="4B5D95BB" w:rsidR="00586301" w:rsidRPr="003F44AD" w:rsidRDefault="00586301" w:rsidP="00925E84">
      <w:pPr>
        <w:pStyle w:val="CETBodytext"/>
        <w:spacing w:line="240" w:lineRule="auto"/>
        <w:contextualSpacing/>
        <w:rPr>
          <w:lang w:val="en-GB"/>
        </w:rPr>
      </w:pPr>
    </w:p>
    <w:p w14:paraId="6845773C" w14:textId="41744022" w:rsidR="00AE14E3" w:rsidRPr="004228ED" w:rsidRDefault="00AE14E3" w:rsidP="007C706D">
      <w:pPr>
        <w:pStyle w:val="CETheadingx"/>
        <w:spacing w:before="0" w:after="0"/>
        <w:contextualSpacing/>
        <w:rPr>
          <w:lang w:val="en-GB"/>
        </w:rPr>
      </w:pPr>
      <w:r w:rsidRPr="004228ED">
        <w:rPr>
          <w:lang w:val="en-GB"/>
        </w:rPr>
        <w:t>Sanitation of sludge through pre-composting</w:t>
      </w:r>
    </w:p>
    <w:p w14:paraId="6045F6CE" w14:textId="10F6A647" w:rsidR="00586301" w:rsidRPr="003F44AD" w:rsidRDefault="002C427C" w:rsidP="00925E84">
      <w:pPr>
        <w:pStyle w:val="CETBodytext"/>
        <w:spacing w:line="240" w:lineRule="auto"/>
        <w:contextualSpacing/>
        <w:rPr>
          <w:lang w:val="en-GB"/>
        </w:rPr>
      </w:pPr>
      <w:r w:rsidRPr="003F44AD">
        <w:rPr>
          <w:lang w:val="en-GB"/>
        </w:rPr>
        <w:t>Table 3 shows the results of the pre-composting stage.</w:t>
      </w:r>
    </w:p>
    <w:p w14:paraId="6155A425" w14:textId="2D86FBAE" w:rsidR="00E9302A" w:rsidRPr="003F44AD" w:rsidRDefault="00E9302A" w:rsidP="00925E84">
      <w:pPr>
        <w:pStyle w:val="CETBodytext"/>
        <w:spacing w:line="240" w:lineRule="auto"/>
        <w:contextualSpacing/>
        <w:rPr>
          <w:lang w:val="en-GB"/>
        </w:rPr>
      </w:pPr>
    </w:p>
    <w:p w14:paraId="2E720CB1" w14:textId="6C72607E" w:rsidR="00E9302A" w:rsidRPr="003F44AD" w:rsidRDefault="00E9302A" w:rsidP="00925E84">
      <w:pPr>
        <w:pStyle w:val="CETBodytext"/>
        <w:spacing w:line="240" w:lineRule="auto"/>
        <w:contextualSpacing/>
        <w:rPr>
          <w:lang w:val="en-GB"/>
        </w:rPr>
      </w:pPr>
      <w:r w:rsidRPr="003F44AD">
        <w:rPr>
          <w:lang w:val="en-GB"/>
        </w:rPr>
        <w:t>Table 3. Physicochemical and microbiological results in the pathogen elimination stage in pre-composting</w:t>
      </w:r>
    </w:p>
    <w:tbl>
      <w:tblPr>
        <w:tblW w:w="0" w:type="auto"/>
        <w:tblCellMar>
          <w:top w:w="15" w:type="dxa"/>
          <w:left w:w="15" w:type="dxa"/>
          <w:bottom w:w="15" w:type="dxa"/>
          <w:right w:w="15" w:type="dxa"/>
        </w:tblCellMar>
        <w:tblLook w:val="04A0" w:firstRow="1" w:lastRow="0" w:firstColumn="1" w:lastColumn="0" w:noHBand="0" w:noVBand="1"/>
      </w:tblPr>
      <w:tblGrid>
        <w:gridCol w:w="1903"/>
        <w:gridCol w:w="913"/>
        <w:gridCol w:w="808"/>
        <w:gridCol w:w="913"/>
        <w:gridCol w:w="808"/>
        <w:gridCol w:w="913"/>
        <w:gridCol w:w="808"/>
        <w:gridCol w:w="913"/>
        <w:gridCol w:w="808"/>
      </w:tblGrid>
      <w:tr w:rsidR="00591A73" w:rsidRPr="003F44AD" w14:paraId="1A63115C" w14:textId="77777777" w:rsidTr="00017507">
        <w:trPr>
          <w:trHeight w:val="251"/>
        </w:trPr>
        <w:tc>
          <w:tcPr>
            <w:tcW w:w="0" w:type="auto"/>
            <w:tcBorders>
              <w:top w:val="single" w:sz="8" w:space="0" w:color="008000"/>
              <w:bottom w:val="single" w:sz="4" w:space="0" w:color="008000"/>
            </w:tcBorders>
            <w:tcMar>
              <w:top w:w="0" w:type="dxa"/>
              <w:left w:w="70" w:type="dxa"/>
              <w:bottom w:w="0" w:type="dxa"/>
              <w:right w:w="70" w:type="dxa"/>
            </w:tcMar>
            <w:hideMark/>
          </w:tcPr>
          <w:p w14:paraId="51522B3F" w14:textId="77777777" w:rsidR="00F674A9" w:rsidRPr="003F44AD" w:rsidRDefault="00F674A9" w:rsidP="00017507">
            <w:pPr>
              <w:spacing w:line="240" w:lineRule="auto"/>
              <w:contextualSpacing/>
              <w:rPr>
                <w:rFonts w:ascii="Times New Roman" w:hAnsi="Times New Roman"/>
                <w:szCs w:val="18"/>
              </w:rPr>
            </w:pPr>
            <w:r w:rsidRPr="003F44AD">
              <w:rPr>
                <w:rFonts w:ascii="Calibri" w:hAnsi="Calibri" w:cs="Calibri"/>
                <w:color w:val="000000"/>
                <w:szCs w:val="18"/>
              </w:rPr>
              <w:t>Parameter</w:t>
            </w:r>
          </w:p>
        </w:tc>
        <w:tc>
          <w:tcPr>
            <w:tcW w:w="0" w:type="auto"/>
            <w:tcBorders>
              <w:top w:val="single" w:sz="8" w:space="0" w:color="008000"/>
              <w:bottom w:val="single" w:sz="4" w:space="0" w:color="008000"/>
            </w:tcBorders>
            <w:tcMar>
              <w:top w:w="0" w:type="dxa"/>
              <w:left w:w="70" w:type="dxa"/>
              <w:bottom w:w="0" w:type="dxa"/>
              <w:right w:w="70" w:type="dxa"/>
            </w:tcMar>
            <w:hideMark/>
          </w:tcPr>
          <w:p w14:paraId="5851EDD8" w14:textId="77777777" w:rsidR="00F674A9" w:rsidRPr="003F44AD" w:rsidRDefault="00F674A9" w:rsidP="00017507">
            <w:pPr>
              <w:spacing w:line="240" w:lineRule="auto"/>
              <w:contextualSpacing/>
              <w:rPr>
                <w:rFonts w:ascii="Times New Roman" w:hAnsi="Times New Roman"/>
                <w:szCs w:val="18"/>
              </w:rPr>
            </w:pPr>
            <w:r w:rsidRPr="003F44AD">
              <w:rPr>
                <w:rFonts w:ascii="Calibri" w:hAnsi="Calibri" w:cs="Calibri"/>
                <w:color w:val="000000"/>
                <w:szCs w:val="18"/>
              </w:rPr>
              <w:t>To Day16</w:t>
            </w:r>
          </w:p>
        </w:tc>
        <w:tc>
          <w:tcPr>
            <w:tcW w:w="0" w:type="auto"/>
            <w:tcBorders>
              <w:top w:val="single" w:sz="8" w:space="0" w:color="008000"/>
              <w:bottom w:val="single" w:sz="4" w:space="0" w:color="008000"/>
            </w:tcBorders>
            <w:tcMar>
              <w:top w:w="0" w:type="dxa"/>
              <w:left w:w="70" w:type="dxa"/>
              <w:bottom w:w="0" w:type="dxa"/>
              <w:right w:w="70" w:type="dxa"/>
            </w:tcMar>
            <w:hideMark/>
          </w:tcPr>
          <w:p w14:paraId="5A1E6F21" w14:textId="77777777" w:rsidR="00F674A9" w:rsidRPr="003F44AD" w:rsidRDefault="00F674A9" w:rsidP="00017507">
            <w:pPr>
              <w:spacing w:line="240" w:lineRule="auto"/>
              <w:contextualSpacing/>
              <w:rPr>
                <w:rFonts w:ascii="Times New Roman" w:hAnsi="Times New Roman"/>
                <w:szCs w:val="18"/>
              </w:rPr>
            </w:pPr>
            <w:r w:rsidRPr="003F44AD">
              <w:rPr>
                <w:rFonts w:ascii="Calibri" w:hAnsi="Calibri" w:cs="Calibri"/>
                <w:color w:val="000000"/>
                <w:szCs w:val="18"/>
              </w:rPr>
              <w:t>To Day30</w:t>
            </w:r>
          </w:p>
        </w:tc>
        <w:tc>
          <w:tcPr>
            <w:tcW w:w="0" w:type="auto"/>
            <w:tcBorders>
              <w:top w:val="single" w:sz="8" w:space="0" w:color="008000"/>
              <w:bottom w:val="single" w:sz="4" w:space="0" w:color="008000"/>
            </w:tcBorders>
            <w:tcMar>
              <w:top w:w="0" w:type="dxa"/>
              <w:left w:w="70" w:type="dxa"/>
              <w:bottom w:w="0" w:type="dxa"/>
              <w:right w:w="70" w:type="dxa"/>
            </w:tcMar>
            <w:hideMark/>
          </w:tcPr>
          <w:p w14:paraId="5C9A21E6" w14:textId="77777777" w:rsidR="00F674A9" w:rsidRPr="003F44AD" w:rsidRDefault="00F674A9" w:rsidP="00017507">
            <w:pPr>
              <w:spacing w:line="240" w:lineRule="auto"/>
              <w:contextualSpacing/>
              <w:rPr>
                <w:rFonts w:ascii="Times New Roman" w:hAnsi="Times New Roman"/>
                <w:szCs w:val="18"/>
              </w:rPr>
            </w:pPr>
            <w:r w:rsidRPr="003F44AD">
              <w:rPr>
                <w:rFonts w:ascii="Calibri" w:hAnsi="Calibri" w:cs="Calibri"/>
                <w:color w:val="000000"/>
                <w:szCs w:val="18"/>
              </w:rPr>
              <w:t>T1 Day16</w:t>
            </w:r>
          </w:p>
        </w:tc>
        <w:tc>
          <w:tcPr>
            <w:tcW w:w="0" w:type="auto"/>
            <w:tcBorders>
              <w:top w:val="single" w:sz="8" w:space="0" w:color="008000"/>
              <w:bottom w:val="single" w:sz="4" w:space="0" w:color="008000"/>
            </w:tcBorders>
            <w:tcMar>
              <w:top w:w="0" w:type="dxa"/>
              <w:left w:w="70" w:type="dxa"/>
              <w:bottom w:w="0" w:type="dxa"/>
              <w:right w:w="70" w:type="dxa"/>
            </w:tcMar>
            <w:hideMark/>
          </w:tcPr>
          <w:p w14:paraId="20135763" w14:textId="77777777" w:rsidR="00F674A9" w:rsidRPr="003F44AD" w:rsidRDefault="00F674A9" w:rsidP="00017507">
            <w:pPr>
              <w:spacing w:line="240" w:lineRule="auto"/>
              <w:contextualSpacing/>
              <w:rPr>
                <w:rFonts w:ascii="Times New Roman" w:hAnsi="Times New Roman"/>
                <w:szCs w:val="18"/>
              </w:rPr>
            </w:pPr>
            <w:r w:rsidRPr="003F44AD">
              <w:rPr>
                <w:rFonts w:ascii="Calibri" w:hAnsi="Calibri" w:cs="Calibri"/>
                <w:color w:val="000000"/>
                <w:szCs w:val="18"/>
              </w:rPr>
              <w:t>T1 Day30</w:t>
            </w:r>
          </w:p>
        </w:tc>
        <w:tc>
          <w:tcPr>
            <w:tcW w:w="0" w:type="auto"/>
            <w:tcBorders>
              <w:top w:val="single" w:sz="8" w:space="0" w:color="008000"/>
              <w:bottom w:val="single" w:sz="4" w:space="0" w:color="008000"/>
            </w:tcBorders>
            <w:tcMar>
              <w:top w:w="0" w:type="dxa"/>
              <w:left w:w="70" w:type="dxa"/>
              <w:bottom w:w="0" w:type="dxa"/>
              <w:right w:w="70" w:type="dxa"/>
            </w:tcMar>
            <w:hideMark/>
          </w:tcPr>
          <w:p w14:paraId="210C3AD9" w14:textId="77777777" w:rsidR="00F674A9" w:rsidRPr="003F44AD" w:rsidRDefault="00F674A9" w:rsidP="00017507">
            <w:pPr>
              <w:spacing w:line="240" w:lineRule="auto"/>
              <w:contextualSpacing/>
              <w:rPr>
                <w:rFonts w:ascii="Times New Roman" w:hAnsi="Times New Roman"/>
                <w:szCs w:val="18"/>
              </w:rPr>
            </w:pPr>
            <w:r w:rsidRPr="003F44AD">
              <w:rPr>
                <w:rFonts w:ascii="Calibri" w:hAnsi="Calibri" w:cs="Calibri"/>
                <w:color w:val="000000"/>
                <w:szCs w:val="18"/>
              </w:rPr>
              <w:t>T2 Day16</w:t>
            </w:r>
          </w:p>
        </w:tc>
        <w:tc>
          <w:tcPr>
            <w:tcW w:w="0" w:type="auto"/>
            <w:tcBorders>
              <w:top w:val="single" w:sz="8" w:space="0" w:color="008000"/>
              <w:bottom w:val="single" w:sz="4" w:space="0" w:color="008000"/>
            </w:tcBorders>
            <w:tcMar>
              <w:top w:w="0" w:type="dxa"/>
              <w:left w:w="70" w:type="dxa"/>
              <w:bottom w:w="0" w:type="dxa"/>
              <w:right w:w="70" w:type="dxa"/>
            </w:tcMar>
            <w:hideMark/>
          </w:tcPr>
          <w:p w14:paraId="6D3A4E0D" w14:textId="77777777" w:rsidR="00F674A9" w:rsidRPr="003F44AD" w:rsidRDefault="00F674A9" w:rsidP="00017507">
            <w:pPr>
              <w:spacing w:line="240" w:lineRule="auto"/>
              <w:contextualSpacing/>
              <w:rPr>
                <w:rFonts w:ascii="Times New Roman" w:hAnsi="Times New Roman"/>
                <w:szCs w:val="18"/>
              </w:rPr>
            </w:pPr>
            <w:r w:rsidRPr="003F44AD">
              <w:rPr>
                <w:rFonts w:ascii="Calibri" w:hAnsi="Calibri" w:cs="Calibri"/>
                <w:color w:val="000000"/>
                <w:szCs w:val="18"/>
              </w:rPr>
              <w:t>T2 Day30</w:t>
            </w:r>
          </w:p>
        </w:tc>
        <w:tc>
          <w:tcPr>
            <w:tcW w:w="0" w:type="auto"/>
            <w:tcBorders>
              <w:top w:val="single" w:sz="8" w:space="0" w:color="008000"/>
              <w:bottom w:val="single" w:sz="4" w:space="0" w:color="008000"/>
            </w:tcBorders>
            <w:tcMar>
              <w:top w:w="0" w:type="dxa"/>
              <w:left w:w="70" w:type="dxa"/>
              <w:bottom w:w="0" w:type="dxa"/>
              <w:right w:w="70" w:type="dxa"/>
            </w:tcMar>
            <w:hideMark/>
          </w:tcPr>
          <w:p w14:paraId="70D143E7" w14:textId="77777777" w:rsidR="00F674A9" w:rsidRPr="003F44AD" w:rsidRDefault="00F674A9" w:rsidP="00017507">
            <w:pPr>
              <w:spacing w:line="240" w:lineRule="auto"/>
              <w:contextualSpacing/>
              <w:rPr>
                <w:rFonts w:ascii="Times New Roman" w:hAnsi="Times New Roman"/>
                <w:szCs w:val="18"/>
              </w:rPr>
            </w:pPr>
            <w:r w:rsidRPr="003F44AD">
              <w:rPr>
                <w:rFonts w:ascii="Calibri" w:hAnsi="Calibri" w:cs="Calibri"/>
                <w:color w:val="000000"/>
                <w:szCs w:val="18"/>
              </w:rPr>
              <w:t>T3 Day16</w:t>
            </w:r>
          </w:p>
        </w:tc>
        <w:tc>
          <w:tcPr>
            <w:tcW w:w="0" w:type="auto"/>
            <w:tcBorders>
              <w:top w:val="single" w:sz="8" w:space="0" w:color="008000"/>
              <w:bottom w:val="single" w:sz="4" w:space="0" w:color="008000"/>
            </w:tcBorders>
            <w:tcMar>
              <w:top w:w="0" w:type="dxa"/>
              <w:left w:w="70" w:type="dxa"/>
              <w:bottom w:w="0" w:type="dxa"/>
              <w:right w:w="70" w:type="dxa"/>
            </w:tcMar>
            <w:hideMark/>
          </w:tcPr>
          <w:p w14:paraId="2726E670" w14:textId="77777777" w:rsidR="00F674A9" w:rsidRPr="003F44AD" w:rsidRDefault="00F674A9" w:rsidP="00017507">
            <w:pPr>
              <w:spacing w:line="240" w:lineRule="auto"/>
              <w:contextualSpacing/>
              <w:rPr>
                <w:rFonts w:ascii="Times New Roman" w:hAnsi="Times New Roman"/>
                <w:szCs w:val="18"/>
              </w:rPr>
            </w:pPr>
            <w:r w:rsidRPr="003F44AD">
              <w:rPr>
                <w:rFonts w:ascii="Calibri" w:hAnsi="Calibri" w:cs="Calibri"/>
                <w:color w:val="000000"/>
                <w:szCs w:val="18"/>
              </w:rPr>
              <w:t>T3 Day30</w:t>
            </w:r>
          </w:p>
        </w:tc>
      </w:tr>
      <w:tr w:rsidR="00591A73" w:rsidRPr="003F44AD" w14:paraId="7419B4A6" w14:textId="77777777" w:rsidTr="00017507">
        <w:trPr>
          <w:trHeight w:val="251"/>
        </w:trPr>
        <w:tc>
          <w:tcPr>
            <w:tcW w:w="0" w:type="auto"/>
            <w:tcBorders>
              <w:top w:val="single" w:sz="4" w:space="0" w:color="008000"/>
            </w:tcBorders>
            <w:tcMar>
              <w:top w:w="0" w:type="dxa"/>
              <w:left w:w="70" w:type="dxa"/>
              <w:bottom w:w="0" w:type="dxa"/>
              <w:right w:w="70" w:type="dxa"/>
            </w:tcMar>
            <w:hideMark/>
          </w:tcPr>
          <w:p w14:paraId="659DB283"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pH</w:t>
            </w:r>
          </w:p>
        </w:tc>
        <w:tc>
          <w:tcPr>
            <w:tcW w:w="0" w:type="auto"/>
            <w:tcBorders>
              <w:top w:val="single" w:sz="4" w:space="0" w:color="008000"/>
            </w:tcBorders>
            <w:tcMar>
              <w:top w:w="0" w:type="dxa"/>
              <w:left w:w="70" w:type="dxa"/>
              <w:bottom w:w="0" w:type="dxa"/>
              <w:right w:w="70" w:type="dxa"/>
            </w:tcMar>
            <w:hideMark/>
          </w:tcPr>
          <w:p w14:paraId="6DD63F5A"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6.74 ± 0.01</w:t>
            </w:r>
          </w:p>
        </w:tc>
        <w:tc>
          <w:tcPr>
            <w:tcW w:w="0" w:type="auto"/>
            <w:tcBorders>
              <w:top w:val="single" w:sz="4" w:space="0" w:color="008000"/>
            </w:tcBorders>
            <w:tcMar>
              <w:top w:w="0" w:type="dxa"/>
              <w:left w:w="70" w:type="dxa"/>
              <w:bottom w:w="0" w:type="dxa"/>
              <w:right w:w="70" w:type="dxa"/>
            </w:tcMar>
            <w:hideMark/>
          </w:tcPr>
          <w:p w14:paraId="4F4951E3"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7.88 ± 0.02</w:t>
            </w:r>
          </w:p>
        </w:tc>
        <w:tc>
          <w:tcPr>
            <w:tcW w:w="0" w:type="auto"/>
            <w:tcBorders>
              <w:top w:val="single" w:sz="4" w:space="0" w:color="008000"/>
            </w:tcBorders>
            <w:tcMar>
              <w:top w:w="0" w:type="dxa"/>
              <w:left w:w="70" w:type="dxa"/>
              <w:bottom w:w="0" w:type="dxa"/>
              <w:right w:w="70" w:type="dxa"/>
            </w:tcMar>
            <w:hideMark/>
          </w:tcPr>
          <w:p w14:paraId="4AD74469"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6.95 ± 0.02</w:t>
            </w:r>
          </w:p>
        </w:tc>
        <w:tc>
          <w:tcPr>
            <w:tcW w:w="0" w:type="auto"/>
            <w:tcBorders>
              <w:top w:val="single" w:sz="4" w:space="0" w:color="008000"/>
            </w:tcBorders>
            <w:tcMar>
              <w:top w:w="0" w:type="dxa"/>
              <w:left w:w="70" w:type="dxa"/>
              <w:bottom w:w="0" w:type="dxa"/>
              <w:right w:w="70" w:type="dxa"/>
            </w:tcMar>
            <w:hideMark/>
          </w:tcPr>
          <w:p w14:paraId="3F684CE8"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7.86 ± 0.02</w:t>
            </w:r>
          </w:p>
        </w:tc>
        <w:tc>
          <w:tcPr>
            <w:tcW w:w="0" w:type="auto"/>
            <w:tcBorders>
              <w:top w:val="single" w:sz="4" w:space="0" w:color="008000"/>
            </w:tcBorders>
            <w:tcMar>
              <w:top w:w="0" w:type="dxa"/>
              <w:left w:w="70" w:type="dxa"/>
              <w:bottom w:w="0" w:type="dxa"/>
              <w:right w:w="70" w:type="dxa"/>
            </w:tcMar>
            <w:hideMark/>
          </w:tcPr>
          <w:p w14:paraId="1F5B352D"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7.18 ± 0.01</w:t>
            </w:r>
          </w:p>
        </w:tc>
        <w:tc>
          <w:tcPr>
            <w:tcW w:w="0" w:type="auto"/>
            <w:tcBorders>
              <w:top w:val="single" w:sz="4" w:space="0" w:color="008000"/>
            </w:tcBorders>
            <w:tcMar>
              <w:top w:w="0" w:type="dxa"/>
              <w:left w:w="70" w:type="dxa"/>
              <w:bottom w:w="0" w:type="dxa"/>
              <w:right w:w="70" w:type="dxa"/>
            </w:tcMar>
            <w:hideMark/>
          </w:tcPr>
          <w:p w14:paraId="0913D179"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7.78 ± 0.02</w:t>
            </w:r>
          </w:p>
        </w:tc>
        <w:tc>
          <w:tcPr>
            <w:tcW w:w="0" w:type="auto"/>
            <w:tcBorders>
              <w:top w:val="single" w:sz="4" w:space="0" w:color="008000"/>
            </w:tcBorders>
            <w:tcMar>
              <w:top w:w="0" w:type="dxa"/>
              <w:left w:w="70" w:type="dxa"/>
              <w:bottom w:w="0" w:type="dxa"/>
              <w:right w:w="70" w:type="dxa"/>
            </w:tcMar>
            <w:hideMark/>
          </w:tcPr>
          <w:p w14:paraId="5857C56E"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7.38 ± 0.02</w:t>
            </w:r>
          </w:p>
        </w:tc>
        <w:tc>
          <w:tcPr>
            <w:tcW w:w="0" w:type="auto"/>
            <w:tcBorders>
              <w:top w:val="single" w:sz="4" w:space="0" w:color="008000"/>
            </w:tcBorders>
            <w:tcMar>
              <w:top w:w="0" w:type="dxa"/>
              <w:left w:w="70" w:type="dxa"/>
              <w:bottom w:w="0" w:type="dxa"/>
              <w:right w:w="70" w:type="dxa"/>
            </w:tcMar>
            <w:hideMark/>
          </w:tcPr>
          <w:p w14:paraId="3A3DE8D3"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7.84 ± 0.01</w:t>
            </w:r>
          </w:p>
        </w:tc>
      </w:tr>
      <w:tr w:rsidR="00591A73" w:rsidRPr="003F44AD" w14:paraId="180CC96B" w14:textId="77777777" w:rsidTr="00017507">
        <w:trPr>
          <w:trHeight w:val="251"/>
        </w:trPr>
        <w:tc>
          <w:tcPr>
            <w:tcW w:w="0" w:type="auto"/>
            <w:tcMar>
              <w:top w:w="0" w:type="dxa"/>
              <w:left w:w="70" w:type="dxa"/>
              <w:bottom w:w="0" w:type="dxa"/>
              <w:right w:w="70" w:type="dxa"/>
            </w:tcMar>
            <w:hideMark/>
          </w:tcPr>
          <w:p w14:paraId="193447E2"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Temperature (</w:t>
            </w:r>
            <w:r w:rsidRPr="003F44AD">
              <w:rPr>
                <w:rFonts w:ascii="Calibri" w:hAnsi="Calibri" w:cs="Calibri"/>
                <w:color w:val="000000"/>
                <w:szCs w:val="18"/>
                <w:vertAlign w:val="superscript"/>
              </w:rPr>
              <w:t>o</w:t>
            </w:r>
            <w:r w:rsidRPr="003F44AD">
              <w:rPr>
                <w:rFonts w:ascii="Calibri" w:hAnsi="Calibri" w:cs="Calibri"/>
                <w:color w:val="000000"/>
                <w:szCs w:val="18"/>
              </w:rPr>
              <w:t>C)</w:t>
            </w:r>
          </w:p>
        </w:tc>
        <w:tc>
          <w:tcPr>
            <w:tcW w:w="0" w:type="auto"/>
            <w:tcMar>
              <w:top w:w="0" w:type="dxa"/>
              <w:left w:w="70" w:type="dxa"/>
              <w:bottom w:w="0" w:type="dxa"/>
              <w:right w:w="70" w:type="dxa"/>
            </w:tcMar>
            <w:hideMark/>
          </w:tcPr>
          <w:p w14:paraId="05B65B15"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27.03 ± 0.06</w:t>
            </w:r>
          </w:p>
        </w:tc>
        <w:tc>
          <w:tcPr>
            <w:tcW w:w="0" w:type="auto"/>
            <w:tcMar>
              <w:top w:w="0" w:type="dxa"/>
              <w:left w:w="70" w:type="dxa"/>
              <w:bottom w:w="0" w:type="dxa"/>
              <w:right w:w="70" w:type="dxa"/>
            </w:tcMar>
            <w:hideMark/>
          </w:tcPr>
          <w:p w14:paraId="3FD0EE06"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18 ±0.1</w:t>
            </w:r>
          </w:p>
        </w:tc>
        <w:tc>
          <w:tcPr>
            <w:tcW w:w="0" w:type="auto"/>
            <w:tcMar>
              <w:top w:w="0" w:type="dxa"/>
              <w:left w:w="70" w:type="dxa"/>
              <w:bottom w:w="0" w:type="dxa"/>
              <w:right w:w="70" w:type="dxa"/>
            </w:tcMar>
            <w:hideMark/>
          </w:tcPr>
          <w:p w14:paraId="4D483B43"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30.07 ± 0.12</w:t>
            </w:r>
          </w:p>
        </w:tc>
        <w:tc>
          <w:tcPr>
            <w:tcW w:w="0" w:type="auto"/>
            <w:tcMar>
              <w:top w:w="0" w:type="dxa"/>
              <w:left w:w="70" w:type="dxa"/>
              <w:bottom w:w="0" w:type="dxa"/>
              <w:right w:w="70" w:type="dxa"/>
            </w:tcMar>
            <w:hideMark/>
          </w:tcPr>
          <w:p w14:paraId="6716666F"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59 ± 0.1</w:t>
            </w:r>
          </w:p>
        </w:tc>
        <w:tc>
          <w:tcPr>
            <w:tcW w:w="0" w:type="auto"/>
            <w:tcMar>
              <w:top w:w="0" w:type="dxa"/>
              <w:left w:w="70" w:type="dxa"/>
              <w:bottom w:w="0" w:type="dxa"/>
              <w:right w:w="70" w:type="dxa"/>
            </w:tcMar>
            <w:hideMark/>
          </w:tcPr>
          <w:p w14:paraId="61649C25"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29.13 ± 0.06</w:t>
            </w:r>
          </w:p>
        </w:tc>
        <w:tc>
          <w:tcPr>
            <w:tcW w:w="0" w:type="auto"/>
            <w:tcMar>
              <w:top w:w="0" w:type="dxa"/>
              <w:left w:w="70" w:type="dxa"/>
              <w:bottom w:w="0" w:type="dxa"/>
              <w:right w:w="70" w:type="dxa"/>
            </w:tcMar>
            <w:hideMark/>
          </w:tcPr>
          <w:p w14:paraId="6BC71FE4"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66 ±0.25</w:t>
            </w:r>
          </w:p>
        </w:tc>
        <w:tc>
          <w:tcPr>
            <w:tcW w:w="0" w:type="auto"/>
            <w:tcMar>
              <w:top w:w="0" w:type="dxa"/>
              <w:left w:w="70" w:type="dxa"/>
              <w:bottom w:w="0" w:type="dxa"/>
              <w:right w:w="70" w:type="dxa"/>
            </w:tcMar>
            <w:hideMark/>
          </w:tcPr>
          <w:p w14:paraId="511F4F9C"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26.43 ± 0.12</w:t>
            </w:r>
          </w:p>
        </w:tc>
        <w:tc>
          <w:tcPr>
            <w:tcW w:w="0" w:type="auto"/>
            <w:tcMar>
              <w:top w:w="0" w:type="dxa"/>
              <w:left w:w="70" w:type="dxa"/>
              <w:bottom w:w="0" w:type="dxa"/>
              <w:right w:w="70" w:type="dxa"/>
            </w:tcMar>
            <w:hideMark/>
          </w:tcPr>
          <w:p w14:paraId="393DEF29"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62 ± 0.15</w:t>
            </w:r>
          </w:p>
        </w:tc>
      </w:tr>
      <w:tr w:rsidR="00591A73" w:rsidRPr="003F44AD" w14:paraId="57EFCDBE" w14:textId="77777777" w:rsidTr="00017507">
        <w:trPr>
          <w:trHeight w:val="251"/>
        </w:trPr>
        <w:tc>
          <w:tcPr>
            <w:tcW w:w="0" w:type="auto"/>
            <w:tcMar>
              <w:top w:w="0" w:type="dxa"/>
              <w:left w:w="70" w:type="dxa"/>
              <w:bottom w:w="0" w:type="dxa"/>
              <w:right w:w="70" w:type="dxa"/>
            </w:tcMar>
            <w:hideMark/>
          </w:tcPr>
          <w:p w14:paraId="3D97D953"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Moisture (%)</w:t>
            </w:r>
          </w:p>
        </w:tc>
        <w:tc>
          <w:tcPr>
            <w:tcW w:w="0" w:type="auto"/>
            <w:tcMar>
              <w:top w:w="0" w:type="dxa"/>
              <w:left w:w="70" w:type="dxa"/>
              <w:bottom w:w="0" w:type="dxa"/>
              <w:right w:w="70" w:type="dxa"/>
            </w:tcMar>
            <w:hideMark/>
          </w:tcPr>
          <w:p w14:paraId="05791BA0"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73 ± 0.02</w:t>
            </w:r>
          </w:p>
        </w:tc>
        <w:tc>
          <w:tcPr>
            <w:tcW w:w="0" w:type="auto"/>
            <w:tcMar>
              <w:top w:w="0" w:type="dxa"/>
              <w:left w:w="70" w:type="dxa"/>
              <w:bottom w:w="0" w:type="dxa"/>
              <w:right w:w="70" w:type="dxa"/>
            </w:tcMar>
            <w:hideMark/>
          </w:tcPr>
          <w:p w14:paraId="12256DC5"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41 ± 0.01</w:t>
            </w:r>
          </w:p>
        </w:tc>
        <w:tc>
          <w:tcPr>
            <w:tcW w:w="0" w:type="auto"/>
            <w:tcMar>
              <w:top w:w="0" w:type="dxa"/>
              <w:left w:w="70" w:type="dxa"/>
              <w:bottom w:w="0" w:type="dxa"/>
              <w:right w:w="70" w:type="dxa"/>
            </w:tcMar>
            <w:hideMark/>
          </w:tcPr>
          <w:p w14:paraId="40F0CB39"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63 ± 0.02</w:t>
            </w:r>
          </w:p>
        </w:tc>
        <w:tc>
          <w:tcPr>
            <w:tcW w:w="0" w:type="auto"/>
            <w:tcMar>
              <w:top w:w="0" w:type="dxa"/>
              <w:left w:w="70" w:type="dxa"/>
              <w:bottom w:w="0" w:type="dxa"/>
              <w:right w:w="70" w:type="dxa"/>
            </w:tcMar>
            <w:hideMark/>
          </w:tcPr>
          <w:p w14:paraId="70B12D6F"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47.7 ± 0.02</w:t>
            </w:r>
          </w:p>
        </w:tc>
        <w:tc>
          <w:tcPr>
            <w:tcW w:w="0" w:type="auto"/>
            <w:tcMar>
              <w:top w:w="0" w:type="dxa"/>
              <w:left w:w="70" w:type="dxa"/>
              <w:bottom w:w="0" w:type="dxa"/>
              <w:right w:w="70" w:type="dxa"/>
            </w:tcMar>
            <w:hideMark/>
          </w:tcPr>
          <w:p w14:paraId="5828F276"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56 ± 0.01</w:t>
            </w:r>
          </w:p>
        </w:tc>
        <w:tc>
          <w:tcPr>
            <w:tcW w:w="0" w:type="auto"/>
            <w:tcMar>
              <w:top w:w="0" w:type="dxa"/>
              <w:left w:w="70" w:type="dxa"/>
              <w:bottom w:w="0" w:type="dxa"/>
              <w:right w:w="70" w:type="dxa"/>
            </w:tcMar>
            <w:hideMark/>
          </w:tcPr>
          <w:p w14:paraId="35EA6B84"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64.7 ± 0.02</w:t>
            </w:r>
          </w:p>
        </w:tc>
        <w:tc>
          <w:tcPr>
            <w:tcW w:w="0" w:type="auto"/>
            <w:tcMar>
              <w:top w:w="0" w:type="dxa"/>
              <w:left w:w="70" w:type="dxa"/>
              <w:bottom w:w="0" w:type="dxa"/>
              <w:right w:w="70" w:type="dxa"/>
            </w:tcMar>
            <w:hideMark/>
          </w:tcPr>
          <w:p w14:paraId="7D2B67D6"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58 ± 0.02</w:t>
            </w:r>
          </w:p>
        </w:tc>
        <w:tc>
          <w:tcPr>
            <w:tcW w:w="0" w:type="auto"/>
            <w:tcMar>
              <w:top w:w="0" w:type="dxa"/>
              <w:left w:w="70" w:type="dxa"/>
              <w:bottom w:w="0" w:type="dxa"/>
              <w:right w:w="70" w:type="dxa"/>
            </w:tcMar>
            <w:hideMark/>
          </w:tcPr>
          <w:p w14:paraId="053B887D"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64 ± 0.01</w:t>
            </w:r>
          </w:p>
        </w:tc>
      </w:tr>
      <w:tr w:rsidR="00591A73" w:rsidRPr="003F44AD" w14:paraId="4604B857" w14:textId="77777777" w:rsidTr="00017507">
        <w:trPr>
          <w:trHeight w:val="251"/>
        </w:trPr>
        <w:tc>
          <w:tcPr>
            <w:tcW w:w="0" w:type="auto"/>
            <w:tcMar>
              <w:top w:w="0" w:type="dxa"/>
              <w:left w:w="70" w:type="dxa"/>
              <w:bottom w:w="0" w:type="dxa"/>
              <w:right w:w="70" w:type="dxa"/>
            </w:tcMar>
            <w:hideMark/>
          </w:tcPr>
          <w:p w14:paraId="25B4E3EB"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C/N</w:t>
            </w:r>
          </w:p>
        </w:tc>
        <w:tc>
          <w:tcPr>
            <w:tcW w:w="0" w:type="auto"/>
            <w:tcMar>
              <w:top w:w="0" w:type="dxa"/>
              <w:left w:w="70" w:type="dxa"/>
              <w:bottom w:w="0" w:type="dxa"/>
              <w:right w:w="70" w:type="dxa"/>
            </w:tcMar>
            <w:hideMark/>
          </w:tcPr>
          <w:p w14:paraId="27986572"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20</w:t>
            </w:r>
          </w:p>
        </w:tc>
        <w:tc>
          <w:tcPr>
            <w:tcW w:w="0" w:type="auto"/>
            <w:tcMar>
              <w:top w:w="0" w:type="dxa"/>
              <w:left w:w="70" w:type="dxa"/>
              <w:bottom w:w="0" w:type="dxa"/>
              <w:right w:w="70" w:type="dxa"/>
            </w:tcMar>
            <w:hideMark/>
          </w:tcPr>
          <w:p w14:paraId="1C788D4C"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16</w:t>
            </w:r>
          </w:p>
        </w:tc>
        <w:tc>
          <w:tcPr>
            <w:tcW w:w="0" w:type="auto"/>
            <w:tcMar>
              <w:top w:w="0" w:type="dxa"/>
              <w:left w:w="70" w:type="dxa"/>
              <w:bottom w:w="0" w:type="dxa"/>
              <w:right w:w="70" w:type="dxa"/>
            </w:tcMar>
            <w:hideMark/>
          </w:tcPr>
          <w:p w14:paraId="57D17001"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23</w:t>
            </w:r>
          </w:p>
        </w:tc>
        <w:tc>
          <w:tcPr>
            <w:tcW w:w="0" w:type="auto"/>
            <w:tcMar>
              <w:top w:w="0" w:type="dxa"/>
              <w:left w:w="70" w:type="dxa"/>
              <w:bottom w:w="0" w:type="dxa"/>
              <w:right w:w="70" w:type="dxa"/>
            </w:tcMar>
            <w:hideMark/>
          </w:tcPr>
          <w:p w14:paraId="18C2B693"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20</w:t>
            </w:r>
          </w:p>
        </w:tc>
        <w:tc>
          <w:tcPr>
            <w:tcW w:w="0" w:type="auto"/>
            <w:tcMar>
              <w:top w:w="0" w:type="dxa"/>
              <w:left w:w="70" w:type="dxa"/>
              <w:bottom w:w="0" w:type="dxa"/>
              <w:right w:w="70" w:type="dxa"/>
            </w:tcMar>
            <w:hideMark/>
          </w:tcPr>
          <w:p w14:paraId="00E2E193"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36</w:t>
            </w:r>
          </w:p>
        </w:tc>
        <w:tc>
          <w:tcPr>
            <w:tcW w:w="0" w:type="auto"/>
            <w:tcMar>
              <w:top w:w="0" w:type="dxa"/>
              <w:left w:w="70" w:type="dxa"/>
              <w:bottom w:w="0" w:type="dxa"/>
              <w:right w:w="70" w:type="dxa"/>
            </w:tcMar>
            <w:hideMark/>
          </w:tcPr>
          <w:p w14:paraId="1AF47269"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27</w:t>
            </w:r>
          </w:p>
        </w:tc>
        <w:tc>
          <w:tcPr>
            <w:tcW w:w="0" w:type="auto"/>
            <w:tcMar>
              <w:top w:w="0" w:type="dxa"/>
              <w:left w:w="70" w:type="dxa"/>
              <w:bottom w:w="0" w:type="dxa"/>
              <w:right w:w="70" w:type="dxa"/>
            </w:tcMar>
            <w:hideMark/>
          </w:tcPr>
          <w:p w14:paraId="2ED5EDDA"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46</w:t>
            </w:r>
          </w:p>
        </w:tc>
        <w:tc>
          <w:tcPr>
            <w:tcW w:w="0" w:type="auto"/>
            <w:tcMar>
              <w:top w:w="0" w:type="dxa"/>
              <w:left w:w="70" w:type="dxa"/>
              <w:bottom w:w="0" w:type="dxa"/>
              <w:right w:w="70" w:type="dxa"/>
            </w:tcMar>
            <w:hideMark/>
          </w:tcPr>
          <w:p w14:paraId="6012A304"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39</w:t>
            </w:r>
          </w:p>
        </w:tc>
      </w:tr>
      <w:tr w:rsidR="00591A73" w:rsidRPr="003F44AD" w14:paraId="47103BC4" w14:textId="77777777" w:rsidTr="00017507">
        <w:trPr>
          <w:trHeight w:val="251"/>
        </w:trPr>
        <w:tc>
          <w:tcPr>
            <w:tcW w:w="0" w:type="auto"/>
            <w:tcMar>
              <w:top w:w="0" w:type="dxa"/>
              <w:left w:w="70" w:type="dxa"/>
              <w:bottom w:w="0" w:type="dxa"/>
              <w:right w:w="70" w:type="dxa"/>
            </w:tcMar>
            <w:hideMark/>
          </w:tcPr>
          <w:p w14:paraId="3E20C8B5" w14:textId="13E100A6" w:rsidR="00F674A9" w:rsidRPr="003F44AD" w:rsidRDefault="00F674A9" w:rsidP="00017507">
            <w:pPr>
              <w:spacing w:line="240" w:lineRule="auto"/>
              <w:rPr>
                <w:rFonts w:ascii="Calibri" w:hAnsi="Calibri" w:cs="Calibri"/>
                <w:color w:val="000000"/>
                <w:szCs w:val="18"/>
              </w:rPr>
            </w:pPr>
            <w:r w:rsidRPr="003F44AD">
              <w:rPr>
                <w:rFonts w:ascii="Calibri" w:hAnsi="Calibri" w:cs="Calibri"/>
                <w:i/>
                <w:iCs/>
                <w:color w:val="000000"/>
                <w:szCs w:val="18"/>
              </w:rPr>
              <w:t>E. coli</w:t>
            </w:r>
            <w:r w:rsidRPr="003F44AD">
              <w:rPr>
                <w:rFonts w:ascii="Calibri" w:hAnsi="Calibri" w:cs="Calibri"/>
                <w:color w:val="000000"/>
                <w:szCs w:val="18"/>
              </w:rPr>
              <w:t xml:space="preserve"> (</w:t>
            </w:r>
            <w:r w:rsidR="00CF5A1A" w:rsidRPr="003F44AD">
              <w:rPr>
                <w:rFonts w:ascii="Calibri" w:hAnsi="Calibri" w:cs="Calibri"/>
                <w:color w:val="000000"/>
                <w:szCs w:val="18"/>
              </w:rPr>
              <w:t>MPN</w:t>
            </w:r>
            <w:r w:rsidRPr="003F44AD">
              <w:rPr>
                <w:rFonts w:ascii="Calibri" w:hAnsi="Calibri" w:cs="Calibri"/>
                <w:color w:val="000000"/>
                <w:szCs w:val="18"/>
              </w:rPr>
              <w:t>/10g TS)</w:t>
            </w:r>
          </w:p>
        </w:tc>
        <w:tc>
          <w:tcPr>
            <w:tcW w:w="0" w:type="auto"/>
            <w:tcMar>
              <w:top w:w="0" w:type="dxa"/>
              <w:left w:w="70" w:type="dxa"/>
              <w:bottom w:w="0" w:type="dxa"/>
              <w:right w:w="70" w:type="dxa"/>
            </w:tcMar>
            <w:hideMark/>
          </w:tcPr>
          <w:p w14:paraId="0AC09F33"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1.1E+07</w:t>
            </w:r>
          </w:p>
        </w:tc>
        <w:tc>
          <w:tcPr>
            <w:tcW w:w="0" w:type="auto"/>
            <w:tcMar>
              <w:top w:w="0" w:type="dxa"/>
              <w:left w:w="70" w:type="dxa"/>
              <w:bottom w:w="0" w:type="dxa"/>
              <w:right w:w="70" w:type="dxa"/>
            </w:tcMar>
            <w:hideMark/>
          </w:tcPr>
          <w:p w14:paraId="1AA81A08"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53 ± 15</w:t>
            </w:r>
          </w:p>
        </w:tc>
        <w:tc>
          <w:tcPr>
            <w:tcW w:w="0" w:type="auto"/>
            <w:tcMar>
              <w:top w:w="0" w:type="dxa"/>
              <w:left w:w="70" w:type="dxa"/>
              <w:bottom w:w="0" w:type="dxa"/>
              <w:right w:w="70" w:type="dxa"/>
            </w:tcMar>
            <w:hideMark/>
          </w:tcPr>
          <w:p w14:paraId="3DFB68B8"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1.1E+07</w:t>
            </w:r>
          </w:p>
        </w:tc>
        <w:tc>
          <w:tcPr>
            <w:tcW w:w="0" w:type="auto"/>
            <w:tcMar>
              <w:top w:w="0" w:type="dxa"/>
              <w:left w:w="70" w:type="dxa"/>
              <w:bottom w:w="0" w:type="dxa"/>
              <w:right w:w="70" w:type="dxa"/>
            </w:tcMar>
            <w:hideMark/>
          </w:tcPr>
          <w:p w14:paraId="70ED1D14"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20 ± 10</w:t>
            </w:r>
          </w:p>
        </w:tc>
        <w:tc>
          <w:tcPr>
            <w:tcW w:w="0" w:type="auto"/>
            <w:tcMar>
              <w:top w:w="0" w:type="dxa"/>
              <w:left w:w="70" w:type="dxa"/>
              <w:bottom w:w="0" w:type="dxa"/>
              <w:right w:w="70" w:type="dxa"/>
            </w:tcMar>
            <w:hideMark/>
          </w:tcPr>
          <w:p w14:paraId="538177FC"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1.1E+07</w:t>
            </w:r>
          </w:p>
        </w:tc>
        <w:tc>
          <w:tcPr>
            <w:tcW w:w="0" w:type="auto"/>
            <w:tcMar>
              <w:top w:w="0" w:type="dxa"/>
              <w:left w:w="70" w:type="dxa"/>
              <w:bottom w:w="0" w:type="dxa"/>
              <w:right w:w="70" w:type="dxa"/>
            </w:tcMar>
            <w:hideMark/>
          </w:tcPr>
          <w:p w14:paraId="28E4D1CB"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1 ± 1</w:t>
            </w:r>
          </w:p>
        </w:tc>
        <w:tc>
          <w:tcPr>
            <w:tcW w:w="0" w:type="auto"/>
            <w:tcMar>
              <w:top w:w="0" w:type="dxa"/>
              <w:left w:w="70" w:type="dxa"/>
              <w:bottom w:w="0" w:type="dxa"/>
              <w:right w:w="70" w:type="dxa"/>
            </w:tcMar>
            <w:hideMark/>
          </w:tcPr>
          <w:p w14:paraId="6D512B04"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1.1E+07</w:t>
            </w:r>
          </w:p>
        </w:tc>
        <w:tc>
          <w:tcPr>
            <w:tcW w:w="0" w:type="auto"/>
            <w:tcMar>
              <w:top w:w="0" w:type="dxa"/>
              <w:left w:w="70" w:type="dxa"/>
              <w:bottom w:w="0" w:type="dxa"/>
              <w:right w:w="70" w:type="dxa"/>
            </w:tcMar>
            <w:hideMark/>
          </w:tcPr>
          <w:p w14:paraId="5DEC2339"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33 ± 21</w:t>
            </w:r>
          </w:p>
        </w:tc>
      </w:tr>
      <w:tr w:rsidR="00591A73" w:rsidRPr="003F44AD" w14:paraId="13C6DBC6" w14:textId="77777777" w:rsidTr="00017507">
        <w:trPr>
          <w:trHeight w:val="251"/>
        </w:trPr>
        <w:tc>
          <w:tcPr>
            <w:tcW w:w="0" w:type="auto"/>
            <w:tcMar>
              <w:top w:w="0" w:type="dxa"/>
              <w:left w:w="70" w:type="dxa"/>
              <w:bottom w:w="0" w:type="dxa"/>
              <w:right w:w="70" w:type="dxa"/>
            </w:tcMar>
            <w:hideMark/>
          </w:tcPr>
          <w:p w14:paraId="54D1A3EC" w14:textId="3C133E14" w:rsidR="00F674A9" w:rsidRPr="003F44AD" w:rsidRDefault="00F674A9" w:rsidP="00017507">
            <w:pPr>
              <w:spacing w:line="240" w:lineRule="auto"/>
              <w:rPr>
                <w:rFonts w:ascii="Calibri" w:hAnsi="Calibri" w:cs="Calibri"/>
                <w:color w:val="000000"/>
                <w:szCs w:val="18"/>
              </w:rPr>
            </w:pPr>
            <w:r w:rsidRPr="003F44AD">
              <w:rPr>
                <w:rFonts w:ascii="Calibri" w:hAnsi="Calibri" w:cs="Calibri"/>
                <w:i/>
                <w:iCs/>
                <w:color w:val="000000"/>
                <w:szCs w:val="18"/>
              </w:rPr>
              <w:t>Salmonella spp</w:t>
            </w:r>
            <w:r w:rsidR="00CF5A1A" w:rsidRPr="003F44AD">
              <w:rPr>
                <w:rFonts w:ascii="Calibri" w:hAnsi="Calibri" w:cs="Calibri"/>
                <w:color w:val="000000"/>
                <w:szCs w:val="18"/>
              </w:rPr>
              <w:t>.</w:t>
            </w:r>
            <w:r w:rsidRPr="003F44AD">
              <w:rPr>
                <w:rFonts w:ascii="Calibri" w:hAnsi="Calibri" w:cs="Calibri"/>
                <w:color w:val="000000"/>
                <w:szCs w:val="18"/>
              </w:rPr>
              <w:t xml:space="preserve"> (</w:t>
            </w:r>
            <w:r w:rsidR="00CF5A1A" w:rsidRPr="003F44AD">
              <w:rPr>
                <w:rFonts w:ascii="Calibri" w:hAnsi="Calibri" w:cs="Calibri"/>
                <w:color w:val="000000"/>
                <w:szCs w:val="18"/>
              </w:rPr>
              <w:t>MPN</w:t>
            </w:r>
            <w:r w:rsidRPr="003F44AD">
              <w:rPr>
                <w:rFonts w:ascii="Calibri" w:hAnsi="Calibri" w:cs="Calibri"/>
                <w:color w:val="000000"/>
                <w:szCs w:val="18"/>
              </w:rPr>
              <w:t>/10 g TS)</w:t>
            </w:r>
          </w:p>
        </w:tc>
        <w:tc>
          <w:tcPr>
            <w:tcW w:w="0" w:type="auto"/>
            <w:tcMar>
              <w:top w:w="0" w:type="dxa"/>
              <w:left w:w="70" w:type="dxa"/>
              <w:bottom w:w="0" w:type="dxa"/>
              <w:right w:w="70" w:type="dxa"/>
            </w:tcMar>
            <w:hideMark/>
          </w:tcPr>
          <w:p w14:paraId="098A66C9"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4E+07</w:t>
            </w:r>
          </w:p>
        </w:tc>
        <w:tc>
          <w:tcPr>
            <w:tcW w:w="0" w:type="auto"/>
            <w:tcMar>
              <w:top w:w="0" w:type="dxa"/>
              <w:left w:w="70" w:type="dxa"/>
              <w:bottom w:w="0" w:type="dxa"/>
              <w:right w:w="70" w:type="dxa"/>
            </w:tcMar>
            <w:hideMark/>
          </w:tcPr>
          <w:p w14:paraId="1D95DC87"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42 ± 4</w:t>
            </w:r>
          </w:p>
        </w:tc>
        <w:tc>
          <w:tcPr>
            <w:tcW w:w="0" w:type="auto"/>
            <w:tcMar>
              <w:top w:w="0" w:type="dxa"/>
              <w:left w:w="70" w:type="dxa"/>
              <w:bottom w:w="0" w:type="dxa"/>
              <w:right w:w="70" w:type="dxa"/>
            </w:tcMar>
            <w:hideMark/>
          </w:tcPr>
          <w:p w14:paraId="1939E0AA"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4E+07</w:t>
            </w:r>
          </w:p>
        </w:tc>
        <w:tc>
          <w:tcPr>
            <w:tcW w:w="0" w:type="auto"/>
            <w:tcMar>
              <w:top w:w="0" w:type="dxa"/>
              <w:left w:w="70" w:type="dxa"/>
              <w:bottom w:w="0" w:type="dxa"/>
              <w:right w:w="70" w:type="dxa"/>
            </w:tcMar>
            <w:hideMark/>
          </w:tcPr>
          <w:p w14:paraId="5C6CA762"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8 ± 2</w:t>
            </w:r>
          </w:p>
        </w:tc>
        <w:tc>
          <w:tcPr>
            <w:tcW w:w="0" w:type="auto"/>
            <w:tcMar>
              <w:top w:w="0" w:type="dxa"/>
              <w:left w:w="70" w:type="dxa"/>
              <w:bottom w:w="0" w:type="dxa"/>
              <w:right w:w="70" w:type="dxa"/>
            </w:tcMar>
            <w:hideMark/>
          </w:tcPr>
          <w:p w14:paraId="4F5E3B55"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4E+07</w:t>
            </w:r>
          </w:p>
        </w:tc>
        <w:tc>
          <w:tcPr>
            <w:tcW w:w="0" w:type="auto"/>
            <w:tcMar>
              <w:top w:w="0" w:type="dxa"/>
              <w:left w:w="70" w:type="dxa"/>
              <w:bottom w:w="0" w:type="dxa"/>
              <w:right w:w="70" w:type="dxa"/>
            </w:tcMar>
            <w:hideMark/>
          </w:tcPr>
          <w:p w14:paraId="6D1718D2"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1 ± 1</w:t>
            </w:r>
          </w:p>
        </w:tc>
        <w:tc>
          <w:tcPr>
            <w:tcW w:w="0" w:type="auto"/>
            <w:tcMar>
              <w:top w:w="0" w:type="dxa"/>
              <w:left w:w="70" w:type="dxa"/>
              <w:bottom w:w="0" w:type="dxa"/>
              <w:right w:w="70" w:type="dxa"/>
            </w:tcMar>
            <w:hideMark/>
          </w:tcPr>
          <w:p w14:paraId="2A20348A"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4E+07</w:t>
            </w:r>
          </w:p>
        </w:tc>
        <w:tc>
          <w:tcPr>
            <w:tcW w:w="0" w:type="auto"/>
            <w:tcMar>
              <w:top w:w="0" w:type="dxa"/>
              <w:left w:w="70" w:type="dxa"/>
              <w:bottom w:w="0" w:type="dxa"/>
              <w:right w:w="70" w:type="dxa"/>
            </w:tcMar>
            <w:hideMark/>
          </w:tcPr>
          <w:p w14:paraId="308C5C8A"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13 ± 3</w:t>
            </w:r>
          </w:p>
        </w:tc>
      </w:tr>
      <w:tr w:rsidR="00591A73" w:rsidRPr="003F44AD" w14:paraId="309ABAB2" w14:textId="77777777" w:rsidTr="00017507">
        <w:trPr>
          <w:trHeight w:val="267"/>
        </w:trPr>
        <w:tc>
          <w:tcPr>
            <w:tcW w:w="0" w:type="auto"/>
            <w:tcBorders>
              <w:bottom w:val="single" w:sz="8" w:space="0" w:color="008000"/>
            </w:tcBorders>
            <w:tcMar>
              <w:top w:w="0" w:type="dxa"/>
              <w:left w:w="70" w:type="dxa"/>
              <w:bottom w:w="0" w:type="dxa"/>
              <w:right w:w="70" w:type="dxa"/>
            </w:tcMar>
            <w:hideMark/>
          </w:tcPr>
          <w:p w14:paraId="4EE9F2E7"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Viable helminth eggs (he/4g TS)</w:t>
            </w:r>
          </w:p>
        </w:tc>
        <w:tc>
          <w:tcPr>
            <w:tcW w:w="0" w:type="auto"/>
            <w:tcBorders>
              <w:bottom w:val="single" w:sz="8" w:space="0" w:color="008000"/>
            </w:tcBorders>
            <w:tcMar>
              <w:top w:w="0" w:type="dxa"/>
              <w:left w:w="70" w:type="dxa"/>
              <w:bottom w:w="0" w:type="dxa"/>
              <w:right w:w="70" w:type="dxa"/>
            </w:tcMar>
            <w:hideMark/>
          </w:tcPr>
          <w:p w14:paraId="001855B3"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160</w:t>
            </w:r>
          </w:p>
        </w:tc>
        <w:tc>
          <w:tcPr>
            <w:tcW w:w="0" w:type="auto"/>
            <w:tcBorders>
              <w:bottom w:val="single" w:sz="8" w:space="0" w:color="008000"/>
            </w:tcBorders>
            <w:tcMar>
              <w:top w:w="0" w:type="dxa"/>
              <w:left w:w="70" w:type="dxa"/>
              <w:bottom w:w="0" w:type="dxa"/>
              <w:right w:w="70" w:type="dxa"/>
            </w:tcMar>
            <w:hideMark/>
          </w:tcPr>
          <w:p w14:paraId="409C55F8"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86 ± 4</w:t>
            </w:r>
          </w:p>
        </w:tc>
        <w:tc>
          <w:tcPr>
            <w:tcW w:w="0" w:type="auto"/>
            <w:tcBorders>
              <w:bottom w:val="single" w:sz="8" w:space="0" w:color="008000"/>
            </w:tcBorders>
            <w:tcMar>
              <w:top w:w="0" w:type="dxa"/>
              <w:left w:w="70" w:type="dxa"/>
              <w:bottom w:w="0" w:type="dxa"/>
              <w:right w:w="70" w:type="dxa"/>
            </w:tcMar>
            <w:hideMark/>
          </w:tcPr>
          <w:p w14:paraId="489AEFCC"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150</w:t>
            </w:r>
          </w:p>
        </w:tc>
        <w:tc>
          <w:tcPr>
            <w:tcW w:w="0" w:type="auto"/>
            <w:tcBorders>
              <w:bottom w:val="single" w:sz="8" w:space="0" w:color="008000"/>
            </w:tcBorders>
            <w:tcMar>
              <w:top w:w="0" w:type="dxa"/>
              <w:left w:w="70" w:type="dxa"/>
              <w:bottom w:w="0" w:type="dxa"/>
              <w:right w:w="70" w:type="dxa"/>
            </w:tcMar>
            <w:hideMark/>
          </w:tcPr>
          <w:p w14:paraId="7AEE5161"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20 ± 2</w:t>
            </w:r>
          </w:p>
        </w:tc>
        <w:tc>
          <w:tcPr>
            <w:tcW w:w="0" w:type="auto"/>
            <w:tcBorders>
              <w:bottom w:val="single" w:sz="8" w:space="0" w:color="008000"/>
            </w:tcBorders>
            <w:tcMar>
              <w:top w:w="0" w:type="dxa"/>
              <w:left w:w="70" w:type="dxa"/>
              <w:bottom w:w="0" w:type="dxa"/>
              <w:right w:w="70" w:type="dxa"/>
            </w:tcMar>
            <w:hideMark/>
          </w:tcPr>
          <w:p w14:paraId="23B4E223"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120</w:t>
            </w:r>
          </w:p>
        </w:tc>
        <w:tc>
          <w:tcPr>
            <w:tcW w:w="0" w:type="auto"/>
            <w:tcBorders>
              <w:bottom w:val="single" w:sz="8" w:space="0" w:color="008000"/>
            </w:tcBorders>
            <w:tcMar>
              <w:top w:w="0" w:type="dxa"/>
              <w:left w:w="70" w:type="dxa"/>
              <w:bottom w:w="0" w:type="dxa"/>
              <w:right w:w="70" w:type="dxa"/>
            </w:tcMar>
            <w:hideMark/>
          </w:tcPr>
          <w:p w14:paraId="6D5421C4"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1 ± 1</w:t>
            </w:r>
          </w:p>
        </w:tc>
        <w:tc>
          <w:tcPr>
            <w:tcW w:w="0" w:type="auto"/>
            <w:tcBorders>
              <w:bottom w:val="single" w:sz="8" w:space="0" w:color="008000"/>
            </w:tcBorders>
            <w:tcMar>
              <w:top w:w="0" w:type="dxa"/>
              <w:left w:w="70" w:type="dxa"/>
              <w:bottom w:w="0" w:type="dxa"/>
              <w:right w:w="70" w:type="dxa"/>
            </w:tcMar>
            <w:hideMark/>
          </w:tcPr>
          <w:p w14:paraId="4FA0603A"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98</w:t>
            </w:r>
          </w:p>
        </w:tc>
        <w:tc>
          <w:tcPr>
            <w:tcW w:w="0" w:type="auto"/>
            <w:tcBorders>
              <w:bottom w:val="single" w:sz="8" w:space="0" w:color="008000"/>
            </w:tcBorders>
            <w:tcMar>
              <w:top w:w="0" w:type="dxa"/>
              <w:left w:w="70" w:type="dxa"/>
              <w:bottom w:w="0" w:type="dxa"/>
              <w:right w:w="70" w:type="dxa"/>
            </w:tcMar>
            <w:hideMark/>
          </w:tcPr>
          <w:p w14:paraId="56986D02" w14:textId="77777777" w:rsidR="00F674A9" w:rsidRPr="003F44AD" w:rsidRDefault="00F674A9" w:rsidP="00017507">
            <w:pPr>
              <w:spacing w:line="240" w:lineRule="auto"/>
              <w:rPr>
                <w:rFonts w:ascii="Times New Roman" w:hAnsi="Times New Roman"/>
                <w:szCs w:val="18"/>
              </w:rPr>
            </w:pPr>
            <w:r w:rsidRPr="003F44AD">
              <w:rPr>
                <w:rFonts w:ascii="Calibri" w:hAnsi="Calibri" w:cs="Calibri"/>
                <w:color w:val="000000"/>
                <w:szCs w:val="18"/>
              </w:rPr>
              <w:t>26 ± 2.6</w:t>
            </w:r>
          </w:p>
        </w:tc>
      </w:tr>
    </w:tbl>
    <w:p w14:paraId="71D4179C" w14:textId="709AA252" w:rsidR="002C427C" w:rsidRPr="003F44AD" w:rsidRDefault="002C427C" w:rsidP="00925E84">
      <w:pPr>
        <w:pStyle w:val="CETBodytext"/>
        <w:spacing w:line="240" w:lineRule="auto"/>
        <w:contextualSpacing/>
        <w:rPr>
          <w:lang w:val="en-GB"/>
        </w:rPr>
      </w:pPr>
    </w:p>
    <w:p w14:paraId="4796D92F" w14:textId="1E044C8D" w:rsidR="009D08D0" w:rsidRPr="003F44AD" w:rsidRDefault="00C36C5E" w:rsidP="00925E84">
      <w:pPr>
        <w:pStyle w:val="CETBodytext"/>
        <w:spacing w:line="240" w:lineRule="auto"/>
        <w:contextualSpacing/>
        <w:rPr>
          <w:lang w:val="en-GB"/>
        </w:rPr>
      </w:pPr>
      <w:r w:rsidRPr="003F44AD">
        <w:rPr>
          <w:lang w:val="en-GB"/>
        </w:rPr>
        <w:t>According to table 3, the following emerges:</w:t>
      </w:r>
    </w:p>
    <w:p w14:paraId="30FDF162" w14:textId="41E98CD7" w:rsidR="00DB5723" w:rsidRPr="003F44AD" w:rsidRDefault="009D08D0" w:rsidP="00902645">
      <w:pPr>
        <w:pStyle w:val="CETBodytext"/>
        <w:spacing w:line="240" w:lineRule="auto"/>
        <w:contextualSpacing/>
        <w:rPr>
          <w:lang w:val="en-GB"/>
        </w:rPr>
      </w:pPr>
      <w:r w:rsidRPr="003F44AD">
        <w:rPr>
          <w:lang w:val="en-GB"/>
        </w:rPr>
        <w:t>Pezzolla, et al. (2021) points out that sewage sludge has a C/N ratio lower than 25-35, this is due to the excess of N over degradable C, which is why it has been necessary to mix it with green waste or pruning to balance the ratio within the range 25-35 which is considered optimal for the initial mix. In this case we find two defined groups, the first group with initial values lower than the expected C/N range: T</w:t>
      </w:r>
      <w:r w:rsidR="007D3EF2">
        <w:rPr>
          <w:lang w:val="en-GB"/>
        </w:rPr>
        <w:t>0</w:t>
      </w:r>
      <w:r w:rsidRPr="003F44AD">
        <w:rPr>
          <w:lang w:val="en-GB"/>
        </w:rPr>
        <w:t xml:space="preserve"> (20) &lt; T1 (23), then T2 (36) </w:t>
      </w:r>
      <w:r w:rsidRPr="003F44AD">
        <w:rPr>
          <w:lang w:val="en-GB"/>
        </w:rPr>
        <w:lastRenderedPageBreak/>
        <w:t>which remained in a better situation, and T3 (46) which presented a value that exceeded what was expected. This C/N relationship is relevant because it delimited the availability of unconsumed nutrients in the piles formed (</w:t>
      </w:r>
      <w:r w:rsidR="008555EA">
        <w:rPr>
          <w:lang w:val="en-GB"/>
        </w:rPr>
        <w:t>Chen et al., 2022</w:t>
      </w:r>
      <w:r w:rsidRPr="003F44AD">
        <w:rPr>
          <w:lang w:val="en-GB"/>
        </w:rPr>
        <w:t>). Green waste served to especially provide the carbon source and improve the C/N ratio (Khadra, et al. 2021).</w:t>
      </w:r>
      <w:r w:rsidR="00902645">
        <w:rPr>
          <w:lang w:val="en-GB"/>
        </w:rPr>
        <w:t xml:space="preserve"> </w:t>
      </w:r>
      <w:r w:rsidR="0069609D" w:rsidRPr="003F44AD">
        <w:rPr>
          <w:lang w:val="en-GB"/>
        </w:rPr>
        <w:t>Likewise, one way to guarantee high performance in pre-composting is to have a humidity between 40 and 60%, with an initial temperature</w:t>
      </w:r>
      <w:r w:rsidR="005D7436" w:rsidRPr="003F44AD">
        <w:rPr>
          <w:lang w:val="en-GB"/>
        </w:rPr>
        <w:t xml:space="preserve"> from</w:t>
      </w:r>
      <w:r w:rsidR="0069609D" w:rsidRPr="003F44AD">
        <w:rPr>
          <w:lang w:val="en-GB"/>
        </w:rPr>
        <w:t xml:space="preserve"> 35 </w:t>
      </w:r>
      <w:r w:rsidR="005D7436" w:rsidRPr="003F44AD">
        <w:rPr>
          <w:lang w:val="en-GB"/>
        </w:rPr>
        <w:t>until</w:t>
      </w:r>
      <w:r w:rsidR="0069609D" w:rsidRPr="003F44AD">
        <w:rPr>
          <w:lang w:val="en-GB"/>
        </w:rPr>
        <w:t xml:space="preserve"> 40 °C, particle size </w:t>
      </w:r>
      <w:r w:rsidR="005D7436" w:rsidRPr="003F44AD">
        <w:rPr>
          <w:lang w:val="en-GB"/>
        </w:rPr>
        <w:t>of</w:t>
      </w:r>
      <w:r w:rsidR="0069609D" w:rsidRPr="003F44AD">
        <w:rPr>
          <w:lang w:val="en-GB"/>
        </w:rPr>
        <w:t xml:space="preserve"> 3.1 </w:t>
      </w:r>
      <w:r w:rsidR="005D7436" w:rsidRPr="003F44AD">
        <w:rPr>
          <w:lang w:val="en-GB"/>
        </w:rPr>
        <w:t>to</w:t>
      </w:r>
      <w:r w:rsidR="0069609D" w:rsidRPr="003F44AD">
        <w:rPr>
          <w:lang w:val="en-GB"/>
        </w:rPr>
        <w:t xml:space="preserve"> 12.7 mm and pHs in the range of 5.5 to 8 (Amuah et al. 2022). Furthermore, the pre-composted material must meet the NPK ratio from 1%-4%(N), 0.1-0.4%(P) and 1-4%(K).</w:t>
      </w:r>
      <w:r w:rsidR="005526E3">
        <w:rPr>
          <w:lang w:val="en-GB"/>
        </w:rPr>
        <w:t xml:space="preserve"> </w:t>
      </w:r>
      <w:r w:rsidR="0069609D" w:rsidRPr="003F44AD">
        <w:rPr>
          <w:lang w:val="en-GB"/>
        </w:rPr>
        <w:t>Regarding humidity, it can be seen that with the exception of T</w:t>
      </w:r>
      <w:r w:rsidR="003F44AD">
        <w:rPr>
          <w:lang w:val="en-GB"/>
        </w:rPr>
        <w:t>0</w:t>
      </w:r>
      <w:r w:rsidR="0069609D" w:rsidRPr="003F44AD">
        <w:rPr>
          <w:lang w:val="en-GB"/>
        </w:rPr>
        <w:t xml:space="preserve"> (73%), the other treatments maintained the necessary level: T2 (56%) &lt;T3 (58%) &lt;T1 (63%) and remained in the appropriate range.</w:t>
      </w:r>
      <w:r w:rsidR="005526E3">
        <w:rPr>
          <w:lang w:val="en-GB"/>
        </w:rPr>
        <w:t xml:space="preserve"> </w:t>
      </w:r>
      <w:r w:rsidR="00DB5723" w:rsidRPr="003F44AD">
        <w:rPr>
          <w:lang w:val="en-GB"/>
        </w:rPr>
        <w:t>Likewise, although the pH remained in the expected range for all treatments, however the first two treatments showed a greater gradient in the increase T</w:t>
      </w:r>
      <w:r w:rsidR="003F44AD">
        <w:rPr>
          <w:lang w:val="en-GB"/>
        </w:rPr>
        <w:t>0</w:t>
      </w:r>
      <w:r w:rsidR="00DB5723" w:rsidRPr="003F44AD">
        <w:rPr>
          <w:lang w:val="en-GB"/>
        </w:rPr>
        <w:t xml:space="preserve"> (+1.14) and T1 (+0.91) due to a greater presence of organic acids; as intermediate products of bacterial decomposition of easily degradable substrates (Chen et al. 2022). The highest but most stable pH values of T2 (+0.6) and T3 (+0.46) were associated with the decomposition of organic matter rich in nitrogen (Chen et al., 2020). T2 and T3 achieved slight increases as indicated by López-González et al. (2021).</w:t>
      </w:r>
    </w:p>
    <w:p w14:paraId="3D82C58F" w14:textId="23135A86" w:rsidR="002C427C" w:rsidRPr="004228ED" w:rsidRDefault="00DB5723" w:rsidP="00902645">
      <w:pPr>
        <w:pStyle w:val="CETBodytext"/>
        <w:spacing w:line="240" w:lineRule="auto"/>
        <w:contextualSpacing/>
        <w:rPr>
          <w:lang w:val="en-GB"/>
        </w:rPr>
      </w:pPr>
      <w:r w:rsidRPr="004228ED">
        <w:rPr>
          <w:lang w:val="en-GB"/>
        </w:rPr>
        <w:t>In relation to temperature, sanitization is achieved in thermophilic conditions above 65°C (stabilization) and can reach 67</w:t>
      </w:r>
      <w:r w:rsidR="002B506B" w:rsidRPr="004228ED">
        <w:rPr>
          <w:lang w:val="en-GB"/>
        </w:rPr>
        <w:t>°</w:t>
      </w:r>
      <w:r w:rsidRPr="004228ED">
        <w:rPr>
          <w:lang w:val="en-GB"/>
        </w:rPr>
        <w:t xml:space="preserve">C as a result of the intense microbial activity generated by the degradation of easily biodegradable molecules. This condition is capable of eliminating </w:t>
      </w:r>
      <w:r w:rsidRPr="004228ED">
        <w:rPr>
          <w:i/>
          <w:iCs/>
          <w:lang w:val="en-GB"/>
        </w:rPr>
        <w:t>Ascaris</w:t>
      </w:r>
      <w:r w:rsidRPr="004228ED">
        <w:rPr>
          <w:lang w:val="en-GB"/>
        </w:rPr>
        <w:t xml:space="preserve"> eggs (Khadra, et al 2021). In our case, during the 14 days of pre-composting, clearly T</w:t>
      </w:r>
      <w:r w:rsidR="007D3EF2" w:rsidRPr="004228ED">
        <w:rPr>
          <w:lang w:val="en-GB"/>
        </w:rPr>
        <w:t>0</w:t>
      </w:r>
      <w:r w:rsidRPr="004228ED">
        <w:rPr>
          <w:lang w:val="en-GB"/>
        </w:rPr>
        <w:t>, presented some instability in the process, since the temperature decreased to 18</w:t>
      </w:r>
      <w:r w:rsidR="002B506B" w:rsidRPr="004228ED">
        <w:rPr>
          <w:lang w:val="en-GB"/>
        </w:rPr>
        <w:t>°</w:t>
      </w:r>
      <w:r w:rsidRPr="004228ED">
        <w:rPr>
          <w:lang w:val="en-GB"/>
        </w:rPr>
        <w:t>C, while the others managed to reach higher values in the following order: T1 (59</w:t>
      </w:r>
      <w:r w:rsidR="002B506B" w:rsidRPr="004228ED">
        <w:rPr>
          <w:lang w:val="en-GB"/>
        </w:rPr>
        <w:t>°</w:t>
      </w:r>
      <w:r w:rsidRPr="004228ED">
        <w:rPr>
          <w:lang w:val="en-GB"/>
        </w:rPr>
        <w:t xml:space="preserve">C) &lt; T3 (62 </w:t>
      </w:r>
      <w:r w:rsidR="002B506B" w:rsidRPr="004228ED">
        <w:rPr>
          <w:lang w:val="en-GB"/>
        </w:rPr>
        <w:t>°</w:t>
      </w:r>
      <w:r w:rsidRPr="004228ED">
        <w:rPr>
          <w:lang w:val="en-GB"/>
        </w:rPr>
        <w:t>C) &lt; T2 (66</w:t>
      </w:r>
      <w:r w:rsidR="002B506B" w:rsidRPr="004228ED">
        <w:rPr>
          <w:lang w:val="en-GB"/>
        </w:rPr>
        <w:t>°</w:t>
      </w:r>
      <w:r w:rsidRPr="004228ED">
        <w:rPr>
          <w:lang w:val="en-GB"/>
        </w:rPr>
        <w:t>C). Temperatures greater than 44 °C were sufficient to inhibit the activity of most pathogenic microorganisms (Chen et al. 2022).</w:t>
      </w:r>
    </w:p>
    <w:p w14:paraId="5C4FFD2E" w14:textId="03B0C081" w:rsidR="008555EA" w:rsidRPr="003F44AD" w:rsidRDefault="000F0C8C" w:rsidP="008555EA">
      <w:pPr>
        <w:pStyle w:val="CETBodytext"/>
        <w:rPr>
          <w:lang w:val="en-GB"/>
        </w:rPr>
      </w:pPr>
      <w:r w:rsidRPr="000F0C8C">
        <w:rPr>
          <w:lang w:val="en-GB"/>
        </w:rPr>
        <w:t>On the contrary, Cardoso et al. (2021) recommends a minimum temperature of 71.1 °C for 10 s, to eliminate approximately 8 log of Salmonella cells, while Avidov et al. (2021) points out that temperature is the main factor that significantly influences the decomposition rates of Salmonella spp. However, the water content and the initial pH maintain a second place of influence with significant effects mainly at 30 and 40°C.</w:t>
      </w:r>
      <w:r>
        <w:rPr>
          <w:lang w:val="en-GB"/>
        </w:rPr>
        <w:t xml:space="preserve"> </w:t>
      </w:r>
      <w:r w:rsidR="00671D58" w:rsidRPr="003F44AD">
        <w:rPr>
          <w:lang w:val="en-GB"/>
        </w:rPr>
        <w:t xml:space="preserve">The temperatures reached in the experiments significantly eliminated these pathogens, recording a survival range of </w:t>
      </w:r>
      <w:r w:rsidR="00671D58" w:rsidRPr="003F44AD">
        <w:rPr>
          <w:i/>
          <w:iCs/>
          <w:lang w:val="en-GB"/>
        </w:rPr>
        <w:t>Salmonella</w:t>
      </w:r>
      <w:r w:rsidR="002F0E87" w:rsidRPr="003F44AD">
        <w:rPr>
          <w:lang w:val="en-GB"/>
        </w:rPr>
        <w:t xml:space="preserve"> spp.</w:t>
      </w:r>
      <w:r w:rsidR="00671D58" w:rsidRPr="003F44AD">
        <w:rPr>
          <w:lang w:val="en-GB"/>
        </w:rPr>
        <w:t xml:space="preserve"> between 1 to 42 MP</w:t>
      </w:r>
      <w:r w:rsidR="002F0E87" w:rsidRPr="003F44AD">
        <w:rPr>
          <w:lang w:val="en-GB"/>
        </w:rPr>
        <w:t>N</w:t>
      </w:r>
      <w:r w:rsidR="00671D58" w:rsidRPr="003F44AD">
        <w:rPr>
          <w:lang w:val="en-GB"/>
        </w:rPr>
        <w:t xml:space="preserve">/10 g TS. Likewise, Okada et al. (2024) verified that temperatures in the thermophilic phase of 45 </w:t>
      </w:r>
      <w:r w:rsidR="00671D58" w:rsidRPr="007D3EF2">
        <w:rPr>
          <w:vertAlign w:val="superscript"/>
          <w:lang w:val="en-GB"/>
        </w:rPr>
        <w:t>◦</w:t>
      </w:r>
      <w:r w:rsidR="00671D58" w:rsidRPr="003F44AD">
        <w:rPr>
          <w:lang w:val="en-GB"/>
        </w:rPr>
        <w:t xml:space="preserve">C to 55 </w:t>
      </w:r>
      <w:r w:rsidR="00671D58" w:rsidRPr="003F44AD">
        <w:rPr>
          <w:vertAlign w:val="superscript"/>
          <w:lang w:val="en-GB"/>
        </w:rPr>
        <w:t>o</w:t>
      </w:r>
      <w:r w:rsidR="00671D58" w:rsidRPr="003F44AD">
        <w:rPr>
          <w:lang w:val="en-GB"/>
        </w:rPr>
        <w:t xml:space="preserve">C during the composting process are capable of eliminating </w:t>
      </w:r>
      <w:r w:rsidR="00671D58" w:rsidRPr="003F44AD">
        <w:rPr>
          <w:i/>
          <w:iCs/>
          <w:lang w:val="en-GB"/>
        </w:rPr>
        <w:t>E. coli.</w:t>
      </w:r>
      <w:r w:rsidR="00671D58" w:rsidRPr="003F44AD">
        <w:rPr>
          <w:lang w:val="en-GB"/>
        </w:rPr>
        <w:t xml:space="preserve"> In the present investigation, the inactivation of these three microorganisms was achieved in 15 days with temperatures from 27°C to 65°C. It can be concluded that temperature and pre-composting time are factors that influence the inactivation of microorganisms.</w:t>
      </w:r>
      <w:r w:rsidR="008555EA" w:rsidRPr="008555EA">
        <w:rPr>
          <w:lang w:val="en-GB"/>
        </w:rPr>
        <w:t xml:space="preserve"> </w:t>
      </w:r>
      <w:bookmarkStart w:id="0" w:name="_GoBack"/>
      <w:r w:rsidR="008555EA" w:rsidRPr="00B53841">
        <w:rPr>
          <w:color w:val="FF0000"/>
          <w:lang w:val="en-GB"/>
        </w:rPr>
        <w:t>The implementation of this process on a full scale requires a gradual scaling up at a pilot level, which must be adjusted as the matter and MOB content increases before taking it to an industrial scale, especially due to the marked sulfoxidant microbial sensitivity</w:t>
      </w:r>
      <w:bookmarkEnd w:id="0"/>
      <w:r w:rsidR="008555EA" w:rsidRPr="008555EA">
        <w:rPr>
          <w:lang w:val="en-GB"/>
        </w:rPr>
        <w:t>.</w:t>
      </w:r>
    </w:p>
    <w:p w14:paraId="1FAB95E9" w14:textId="5090CDFC" w:rsidR="00CF5A1A" w:rsidRDefault="00857974" w:rsidP="00925E84">
      <w:pPr>
        <w:pStyle w:val="CETBodytext"/>
        <w:spacing w:line="240" w:lineRule="auto"/>
        <w:contextualSpacing/>
        <w:rPr>
          <w:lang w:val="en-GB"/>
        </w:rPr>
      </w:pPr>
      <w:r w:rsidRPr="003F44AD">
        <w:rPr>
          <w:lang w:val="en-GB"/>
        </w:rPr>
        <w:t xml:space="preserve">The Analysis of variance </w:t>
      </w:r>
      <w:r w:rsidR="00333F8B" w:rsidRPr="003F44AD">
        <w:rPr>
          <w:lang w:val="en-GB"/>
        </w:rPr>
        <w:t xml:space="preserve">(Table 4) </w:t>
      </w:r>
      <w:r w:rsidRPr="003F44AD">
        <w:rPr>
          <w:lang w:val="en-GB"/>
        </w:rPr>
        <w:t>has shown significant differences (p &lt; 0.05) between the treatments for the elimination of H</w:t>
      </w:r>
      <w:r w:rsidRPr="007D3EF2">
        <w:rPr>
          <w:vertAlign w:val="subscript"/>
          <w:lang w:val="en-GB"/>
        </w:rPr>
        <w:t>2</w:t>
      </w:r>
      <w:r w:rsidRPr="003F44AD">
        <w:rPr>
          <w:lang w:val="en-GB"/>
        </w:rPr>
        <w:t>S in anaerobic digestion applying beneficial microorganisms as inoculum providing sulfoxidizing bacteria. Of all the treatments, it was shown that the T2 conditions were effective for the removal of H</w:t>
      </w:r>
      <w:r w:rsidRPr="007D3EF2">
        <w:rPr>
          <w:vertAlign w:val="subscript"/>
          <w:lang w:val="en-GB"/>
        </w:rPr>
        <w:t>2</w:t>
      </w:r>
      <w:r w:rsidRPr="003F44AD">
        <w:rPr>
          <w:lang w:val="en-GB"/>
        </w:rPr>
        <w:t xml:space="preserve">S and the elimination of the pathogens </w:t>
      </w:r>
      <w:r w:rsidR="003F44AD" w:rsidRPr="003F44AD">
        <w:rPr>
          <w:i/>
          <w:iCs/>
          <w:lang w:val="en-GB"/>
        </w:rPr>
        <w:t>Salmonella</w:t>
      </w:r>
      <w:r w:rsidRPr="003F44AD">
        <w:rPr>
          <w:i/>
          <w:iCs/>
          <w:lang w:val="en-GB"/>
        </w:rPr>
        <w:t>, E. coli</w:t>
      </w:r>
      <w:r w:rsidRPr="003F44AD">
        <w:rPr>
          <w:lang w:val="en-GB"/>
        </w:rPr>
        <w:t xml:space="preserve">. </w:t>
      </w:r>
      <w:r w:rsidR="003F44AD">
        <w:rPr>
          <w:lang w:val="en-GB"/>
        </w:rPr>
        <w:t>a</w:t>
      </w:r>
      <w:r w:rsidRPr="003F44AD">
        <w:rPr>
          <w:lang w:val="en-GB"/>
        </w:rPr>
        <w:t>nd eggs and helminths, almost 100%.</w:t>
      </w:r>
    </w:p>
    <w:p w14:paraId="5E3B24EC" w14:textId="77777777" w:rsidR="004228ED" w:rsidRDefault="004228ED" w:rsidP="00925E84">
      <w:pPr>
        <w:pStyle w:val="CETBodytext"/>
        <w:spacing w:line="240" w:lineRule="auto"/>
        <w:contextualSpacing/>
        <w:rPr>
          <w:lang w:val="en-GB"/>
        </w:rPr>
      </w:pPr>
    </w:p>
    <w:p w14:paraId="46D3ABA5" w14:textId="5335C343" w:rsidR="004228ED" w:rsidRPr="004228ED" w:rsidRDefault="004228ED" w:rsidP="00925E84">
      <w:pPr>
        <w:pStyle w:val="CETBodytext"/>
        <w:spacing w:line="240" w:lineRule="auto"/>
        <w:contextualSpacing/>
        <w:rPr>
          <w:lang w:val="en-GB"/>
        </w:rPr>
      </w:pPr>
      <w:r w:rsidRPr="004228ED">
        <w:rPr>
          <w:lang w:val="es-PE"/>
        </w:rPr>
        <w:t xml:space="preserve">Tabla 4. </w:t>
      </w:r>
      <w:r w:rsidRPr="004228ED">
        <w:rPr>
          <w:lang w:val="en-GB"/>
        </w:rPr>
        <w:t xml:space="preserve">ANOVA: </w:t>
      </w:r>
      <w:r w:rsidRPr="004228ED">
        <w:rPr>
          <w:rFonts w:ascii="Calibri" w:hAnsi="Calibri" w:cs="Calibri"/>
          <w:color w:val="000000"/>
          <w:szCs w:val="18"/>
          <w:u w:val="single"/>
          <w:lang w:val="en-GB"/>
        </w:rPr>
        <w:t xml:space="preserve">Anaerobic digestion and </w:t>
      </w:r>
      <w:r w:rsidRPr="003F44AD">
        <w:rPr>
          <w:rFonts w:ascii="Calibri" w:hAnsi="Calibri" w:cs="Calibri"/>
          <w:color w:val="000000"/>
          <w:szCs w:val="18"/>
          <w:u w:val="single"/>
          <w:lang w:val="en-GB"/>
        </w:rPr>
        <w:t>Pre-composting</w:t>
      </w:r>
    </w:p>
    <w:tbl>
      <w:tblPr>
        <w:tblW w:w="8130" w:type="dxa"/>
        <w:tblCellMar>
          <w:top w:w="15" w:type="dxa"/>
          <w:left w:w="15" w:type="dxa"/>
          <w:bottom w:w="15" w:type="dxa"/>
          <w:right w:w="15" w:type="dxa"/>
        </w:tblCellMar>
        <w:tblLook w:val="04A0" w:firstRow="1" w:lastRow="0" w:firstColumn="1" w:lastColumn="0" w:noHBand="0" w:noVBand="1"/>
      </w:tblPr>
      <w:tblGrid>
        <w:gridCol w:w="1898"/>
        <w:gridCol w:w="1585"/>
        <w:gridCol w:w="1499"/>
        <w:gridCol w:w="397"/>
        <w:gridCol w:w="1410"/>
        <w:gridCol w:w="871"/>
        <w:gridCol w:w="470"/>
      </w:tblGrid>
      <w:tr w:rsidR="00AE7D72" w:rsidRPr="003F44AD" w14:paraId="7F951DAD" w14:textId="77777777" w:rsidTr="0097228E">
        <w:trPr>
          <w:trHeight w:val="69"/>
        </w:trPr>
        <w:tc>
          <w:tcPr>
            <w:tcW w:w="0" w:type="auto"/>
            <w:tcBorders>
              <w:top w:val="single" w:sz="8" w:space="0" w:color="538135"/>
              <w:bottom w:val="single" w:sz="4" w:space="0" w:color="008000"/>
            </w:tcBorders>
            <w:tcMar>
              <w:top w:w="0" w:type="dxa"/>
              <w:left w:w="70" w:type="dxa"/>
              <w:bottom w:w="0" w:type="dxa"/>
              <w:right w:w="70" w:type="dxa"/>
            </w:tcMar>
            <w:hideMark/>
          </w:tcPr>
          <w:p w14:paraId="79C607C9" w14:textId="77777777" w:rsidR="00AE7D72" w:rsidRPr="004228ED" w:rsidRDefault="00AE7D72" w:rsidP="00017507">
            <w:pPr>
              <w:spacing w:line="240" w:lineRule="auto"/>
              <w:rPr>
                <w:rFonts w:ascii="Times New Roman" w:hAnsi="Times New Roman"/>
                <w:szCs w:val="18"/>
              </w:rPr>
            </w:pPr>
            <w:r w:rsidRPr="004228ED">
              <w:rPr>
                <w:rFonts w:ascii="Calibri" w:hAnsi="Calibri" w:cs="Calibri"/>
                <w:color w:val="000000"/>
                <w:szCs w:val="18"/>
              </w:rPr>
              <w:t> </w:t>
            </w:r>
          </w:p>
        </w:tc>
        <w:tc>
          <w:tcPr>
            <w:tcW w:w="0" w:type="auto"/>
            <w:tcBorders>
              <w:top w:val="single" w:sz="8" w:space="0" w:color="538135"/>
              <w:bottom w:val="single" w:sz="4" w:space="0" w:color="008000"/>
            </w:tcBorders>
            <w:tcMar>
              <w:top w:w="0" w:type="dxa"/>
              <w:left w:w="70" w:type="dxa"/>
              <w:bottom w:w="0" w:type="dxa"/>
              <w:right w:w="70" w:type="dxa"/>
            </w:tcMar>
            <w:hideMark/>
          </w:tcPr>
          <w:p w14:paraId="3D259C23" w14:textId="77777777" w:rsidR="00AE7D72" w:rsidRPr="004228ED" w:rsidRDefault="00AE7D72" w:rsidP="00017507">
            <w:pPr>
              <w:spacing w:line="240" w:lineRule="auto"/>
              <w:rPr>
                <w:rFonts w:ascii="Times New Roman" w:hAnsi="Times New Roman"/>
                <w:szCs w:val="18"/>
              </w:rPr>
            </w:pPr>
            <w:r w:rsidRPr="004228ED">
              <w:rPr>
                <w:rFonts w:ascii="Calibri" w:hAnsi="Calibri" w:cs="Calibri"/>
                <w:color w:val="000000"/>
                <w:szCs w:val="18"/>
              </w:rPr>
              <w:t> </w:t>
            </w:r>
          </w:p>
        </w:tc>
        <w:tc>
          <w:tcPr>
            <w:tcW w:w="0" w:type="auto"/>
            <w:tcBorders>
              <w:top w:val="single" w:sz="8" w:space="0" w:color="538135"/>
              <w:bottom w:val="single" w:sz="4" w:space="0" w:color="008000"/>
            </w:tcBorders>
            <w:tcMar>
              <w:top w:w="0" w:type="dxa"/>
              <w:left w:w="70" w:type="dxa"/>
              <w:bottom w:w="0" w:type="dxa"/>
              <w:right w:w="70" w:type="dxa"/>
            </w:tcMar>
            <w:hideMark/>
          </w:tcPr>
          <w:p w14:paraId="66E3B6C4"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Sum of squares</w:t>
            </w:r>
          </w:p>
        </w:tc>
        <w:tc>
          <w:tcPr>
            <w:tcW w:w="0" w:type="auto"/>
            <w:tcBorders>
              <w:top w:val="single" w:sz="8" w:space="0" w:color="538135"/>
              <w:bottom w:val="single" w:sz="4" w:space="0" w:color="008000"/>
            </w:tcBorders>
            <w:tcMar>
              <w:top w:w="0" w:type="dxa"/>
              <w:left w:w="70" w:type="dxa"/>
              <w:bottom w:w="0" w:type="dxa"/>
              <w:right w:w="70" w:type="dxa"/>
            </w:tcMar>
            <w:hideMark/>
          </w:tcPr>
          <w:p w14:paraId="48E7650E"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DF</w:t>
            </w:r>
          </w:p>
        </w:tc>
        <w:tc>
          <w:tcPr>
            <w:tcW w:w="0" w:type="auto"/>
            <w:tcBorders>
              <w:top w:val="single" w:sz="8" w:space="0" w:color="538135"/>
              <w:bottom w:val="single" w:sz="4" w:space="0" w:color="008000"/>
            </w:tcBorders>
            <w:tcMar>
              <w:top w:w="0" w:type="dxa"/>
              <w:left w:w="70" w:type="dxa"/>
              <w:bottom w:w="0" w:type="dxa"/>
              <w:right w:w="70" w:type="dxa"/>
            </w:tcMar>
            <w:hideMark/>
          </w:tcPr>
          <w:p w14:paraId="701C9A7B"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Mean Squares</w:t>
            </w:r>
          </w:p>
        </w:tc>
        <w:tc>
          <w:tcPr>
            <w:tcW w:w="0" w:type="auto"/>
            <w:tcBorders>
              <w:top w:val="single" w:sz="8" w:space="0" w:color="538135"/>
              <w:bottom w:val="single" w:sz="4" w:space="0" w:color="008000"/>
            </w:tcBorders>
            <w:tcMar>
              <w:top w:w="0" w:type="dxa"/>
              <w:left w:w="70" w:type="dxa"/>
              <w:bottom w:w="0" w:type="dxa"/>
              <w:right w:w="70" w:type="dxa"/>
            </w:tcMar>
            <w:hideMark/>
          </w:tcPr>
          <w:p w14:paraId="145F5D11"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F</w:t>
            </w:r>
          </w:p>
        </w:tc>
        <w:tc>
          <w:tcPr>
            <w:tcW w:w="0" w:type="auto"/>
            <w:tcBorders>
              <w:top w:val="single" w:sz="8" w:space="0" w:color="538135"/>
              <w:bottom w:val="single" w:sz="4" w:space="0" w:color="008000"/>
            </w:tcBorders>
            <w:tcMar>
              <w:top w:w="0" w:type="dxa"/>
              <w:left w:w="70" w:type="dxa"/>
              <w:bottom w:w="0" w:type="dxa"/>
              <w:right w:w="70" w:type="dxa"/>
            </w:tcMar>
            <w:hideMark/>
          </w:tcPr>
          <w:p w14:paraId="29821CBC"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Sig.</w:t>
            </w:r>
          </w:p>
        </w:tc>
      </w:tr>
      <w:tr w:rsidR="00AE7D72" w:rsidRPr="003F44AD" w14:paraId="385B85C9" w14:textId="77777777" w:rsidTr="004228ED">
        <w:trPr>
          <w:trHeight w:val="239"/>
        </w:trPr>
        <w:tc>
          <w:tcPr>
            <w:tcW w:w="0" w:type="auto"/>
            <w:tcBorders>
              <w:top w:val="single" w:sz="4" w:space="0" w:color="008000"/>
            </w:tcBorders>
            <w:tcMar>
              <w:top w:w="0" w:type="dxa"/>
              <w:left w:w="70" w:type="dxa"/>
              <w:bottom w:w="0" w:type="dxa"/>
              <w:right w:w="70" w:type="dxa"/>
            </w:tcMar>
            <w:hideMark/>
          </w:tcPr>
          <w:p w14:paraId="16A07DB2"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u w:val="single"/>
              </w:rPr>
              <w:t>Anaerobic digestion</w:t>
            </w:r>
          </w:p>
        </w:tc>
        <w:tc>
          <w:tcPr>
            <w:tcW w:w="0" w:type="auto"/>
            <w:tcBorders>
              <w:top w:val="single" w:sz="4" w:space="0" w:color="008000"/>
            </w:tcBorders>
            <w:tcMar>
              <w:top w:w="0" w:type="dxa"/>
              <w:left w:w="70" w:type="dxa"/>
              <w:bottom w:w="0" w:type="dxa"/>
              <w:right w:w="70" w:type="dxa"/>
            </w:tcMar>
            <w:hideMark/>
          </w:tcPr>
          <w:p w14:paraId="2602D548" w14:textId="77777777" w:rsidR="00AE7D72" w:rsidRPr="003F44AD" w:rsidRDefault="00AE7D72" w:rsidP="00017507">
            <w:pPr>
              <w:spacing w:line="240" w:lineRule="auto"/>
              <w:rPr>
                <w:rFonts w:ascii="Times New Roman" w:hAnsi="Times New Roman"/>
                <w:szCs w:val="18"/>
              </w:rPr>
            </w:pPr>
          </w:p>
        </w:tc>
        <w:tc>
          <w:tcPr>
            <w:tcW w:w="0" w:type="auto"/>
            <w:tcBorders>
              <w:top w:val="single" w:sz="4" w:space="0" w:color="008000"/>
            </w:tcBorders>
            <w:tcMar>
              <w:top w:w="0" w:type="dxa"/>
              <w:left w:w="70" w:type="dxa"/>
              <w:bottom w:w="0" w:type="dxa"/>
              <w:right w:w="70" w:type="dxa"/>
            </w:tcMar>
            <w:hideMark/>
          </w:tcPr>
          <w:p w14:paraId="55BCE6CC" w14:textId="77777777" w:rsidR="00AE7D72" w:rsidRPr="003F44AD" w:rsidRDefault="00AE7D72" w:rsidP="00017507">
            <w:pPr>
              <w:spacing w:line="240" w:lineRule="auto"/>
              <w:rPr>
                <w:rFonts w:ascii="Times New Roman" w:hAnsi="Times New Roman"/>
                <w:szCs w:val="18"/>
              </w:rPr>
            </w:pPr>
          </w:p>
        </w:tc>
        <w:tc>
          <w:tcPr>
            <w:tcW w:w="0" w:type="auto"/>
            <w:tcBorders>
              <w:top w:val="single" w:sz="4" w:space="0" w:color="008000"/>
            </w:tcBorders>
            <w:tcMar>
              <w:top w:w="0" w:type="dxa"/>
              <w:left w:w="70" w:type="dxa"/>
              <w:bottom w:w="0" w:type="dxa"/>
              <w:right w:w="70" w:type="dxa"/>
            </w:tcMar>
            <w:hideMark/>
          </w:tcPr>
          <w:p w14:paraId="4AEF106D" w14:textId="77777777" w:rsidR="00AE7D72" w:rsidRPr="003F44AD" w:rsidRDefault="00AE7D72" w:rsidP="00017507">
            <w:pPr>
              <w:spacing w:line="240" w:lineRule="auto"/>
              <w:rPr>
                <w:rFonts w:ascii="Times New Roman" w:hAnsi="Times New Roman"/>
                <w:szCs w:val="18"/>
              </w:rPr>
            </w:pPr>
          </w:p>
        </w:tc>
        <w:tc>
          <w:tcPr>
            <w:tcW w:w="0" w:type="auto"/>
            <w:tcBorders>
              <w:top w:val="single" w:sz="4" w:space="0" w:color="008000"/>
            </w:tcBorders>
            <w:tcMar>
              <w:top w:w="0" w:type="dxa"/>
              <w:left w:w="70" w:type="dxa"/>
              <w:bottom w:w="0" w:type="dxa"/>
              <w:right w:w="70" w:type="dxa"/>
            </w:tcMar>
            <w:hideMark/>
          </w:tcPr>
          <w:p w14:paraId="50560A27" w14:textId="77777777" w:rsidR="00AE7D72" w:rsidRPr="003F44AD" w:rsidRDefault="00AE7D72" w:rsidP="00017507">
            <w:pPr>
              <w:spacing w:line="240" w:lineRule="auto"/>
              <w:rPr>
                <w:rFonts w:ascii="Times New Roman" w:hAnsi="Times New Roman"/>
                <w:szCs w:val="18"/>
              </w:rPr>
            </w:pPr>
          </w:p>
        </w:tc>
        <w:tc>
          <w:tcPr>
            <w:tcW w:w="0" w:type="auto"/>
            <w:tcBorders>
              <w:top w:val="single" w:sz="4" w:space="0" w:color="008000"/>
            </w:tcBorders>
            <w:tcMar>
              <w:top w:w="0" w:type="dxa"/>
              <w:left w:w="70" w:type="dxa"/>
              <w:bottom w:w="0" w:type="dxa"/>
              <w:right w:w="70" w:type="dxa"/>
            </w:tcMar>
            <w:hideMark/>
          </w:tcPr>
          <w:p w14:paraId="0FD04ADE" w14:textId="77777777" w:rsidR="00AE7D72" w:rsidRPr="003F44AD" w:rsidRDefault="00AE7D72" w:rsidP="00017507">
            <w:pPr>
              <w:spacing w:line="240" w:lineRule="auto"/>
              <w:rPr>
                <w:rFonts w:ascii="Times New Roman" w:hAnsi="Times New Roman"/>
                <w:szCs w:val="18"/>
              </w:rPr>
            </w:pPr>
          </w:p>
        </w:tc>
        <w:tc>
          <w:tcPr>
            <w:tcW w:w="0" w:type="auto"/>
            <w:tcBorders>
              <w:top w:val="single" w:sz="4" w:space="0" w:color="008000"/>
            </w:tcBorders>
            <w:tcMar>
              <w:top w:w="0" w:type="dxa"/>
              <w:left w:w="70" w:type="dxa"/>
              <w:bottom w:w="0" w:type="dxa"/>
              <w:right w:w="70" w:type="dxa"/>
            </w:tcMar>
            <w:hideMark/>
          </w:tcPr>
          <w:p w14:paraId="44D4F22D" w14:textId="77777777" w:rsidR="00AE7D72" w:rsidRPr="003F44AD" w:rsidRDefault="00AE7D72" w:rsidP="00017507">
            <w:pPr>
              <w:spacing w:line="240" w:lineRule="auto"/>
              <w:rPr>
                <w:rFonts w:ascii="Times New Roman" w:hAnsi="Times New Roman"/>
                <w:szCs w:val="18"/>
              </w:rPr>
            </w:pPr>
          </w:p>
        </w:tc>
      </w:tr>
      <w:tr w:rsidR="00AE7D72" w:rsidRPr="003F44AD" w14:paraId="398E1ADB" w14:textId="77777777" w:rsidTr="004228ED">
        <w:trPr>
          <w:trHeight w:val="239"/>
        </w:trPr>
        <w:tc>
          <w:tcPr>
            <w:tcW w:w="0" w:type="auto"/>
            <w:tcMar>
              <w:top w:w="0" w:type="dxa"/>
              <w:left w:w="70" w:type="dxa"/>
              <w:bottom w:w="0" w:type="dxa"/>
              <w:right w:w="70" w:type="dxa"/>
            </w:tcMar>
            <w:hideMark/>
          </w:tcPr>
          <w:p w14:paraId="2A2836E7"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H</w:t>
            </w:r>
            <w:r w:rsidRPr="007D3EF2">
              <w:rPr>
                <w:rFonts w:ascii="Calibri" w:hAnsi="Calibri" w:cs="Calibri"/>
                <w:color w:val="000000"/>
                <w:szCs w:val="18"/>
                <w:vertAlign w:val="subscript"/>
              </w:rPr>
              <w:t>2</w:t>
            </w:r>
            <w:r w:rsidRPr="003F44AD">
              <w:rPr>
                <w:rFonts w:ascii="Calibri" w:hAnsi="Calibri" w:cs="Calibri"/>
                <w:color w:val="000000"/>
                <w:szCs w:val="18"/>
              </w:rPr>
              <w:t>S measurements</w:t>
            </w:r>
          </w:p>
        </w:tc>
        <w:tc>
          <w:tcPr>
            <w:tcW w:w="0" w:type="auto"/>
            <w:tcMar>
              <w:top w:w="0" w:type="dxa"/>
              <w:left w:w="70" w:type="dxa"/>
              <w:bottom w:w="0" w:type="dxa"/>
              <w:right w:w="70" w:type="dxa"/>
            </w:tcMar>
            <w:hideMark/>
          </w:tcPr>
          <w:p w14:paraId="63CF0F50"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Between groups</w:t>
            </w:r>
          </w:p>
        </w:tc>
        <w:tc>
          <w:tcPr>
            <w:tcW w:w="0" w:type="auto"/>
            <w:tcMar>
              <w:top w:w="0" w:type="dxa"/>
              <w:left w:w="70" w:type="dxa"/>
              <w:bottom w:w="0" w:type="dxa"/>
              <w:right w:w="70" w:type="dxa"/>
            </w:tcMar>
            <w:hideMark/>
          </w:tcPr>
          <w:p w14:paraId="198B5046"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7626.25</w:t>
            </w:r>
          </w:p>
        </w:tc>
        <w:tc>
          <w:tcPr>
            <w:tcW w:w="0" w:type="auto"/>
            <w:tcMar>
              <w:top w:w="0" w:type="dxa"/>
              <w:left w:w="70" w:type="dxa"/>
              <w:bottom w:w="0" w:type="dxa"/>
              <w:right w:w="70" w:type="dxa"/>
            </w:tcMar>
            <w:hideMark/>
          </w:tcPr>
          <w:p w14:paraId="1093499A"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3</w:t>
            </w:r>
          </w:p>
        </w:tc>
        <w:tc>
          <w:tcPr>
            <w:tcW w:w="0" w:type="auto"/>
            <w:tcMar>
              <w:top w:w="0" w:type="dxa"/>
              <w:left w:w="70" w:type="dxa"/>
              <w:bottom w:w="0" w:type="dxa"/>
              <w:right w:w="70" w:type="dxa"/>
            </w:tcMar>
            <w:hideMark/>
          </w:tcPr>
          <w:p w14:paraId="7D7B46F3"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2542</w:t>
            </w:r>
          </w:p>
        </w:tc>
        <w:tc>
          <w:tcPr>
            <w:tcW w:w="0" w:type="auto"/>
            <w:tcMar>
              <w:top w:w="0" w:type="dxa"/>
              <w:left w:w="70" w:type="dxa"/>
              <w:bottom w:w="0" w:type="dxa"/>
              <w:right w:w="70" w:type="dxa"/>
            </w:tcMar>
            <w:hideMark/>
          </w:tcPr>
          <w:p w14:paraId="7D5DC658"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1906.56</w:t>
            </w:r>
          </w:p>
        </w:tc>
        <w:tc>
          <w:tcPr>
            <w:tcW w:w="0" w:type="auto"/>
            <w:tcMar>
              <w:top w:w="0" w:type="dxa"/>
              <w:left w:w="70" w:type="dxa"/>
              <w:bottom w:w="0" w:type="dxa"/>
              <w:right w:w="70" w:type="dxa"/>
            </w:tcMar>
            <w:hideMark/>
          </w:tcPr>
          <w:p w14:paraId="118F17BB"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0</w:t>
            </w:r>
          </w:p>
        </w:tc>
      </w:tr>
      <w:tr w:rsidR="00AE7D72" w:rsidRPr="003F44AD" w14:paraId="00546514" w14:textId="77777777" w:rsidTr="004228ED">
        <w:trPr>
          <w:trHeight w:val="239"/>
        </w:trPr>
        <w:tc>
          <w:tcPr>
            <w:tcW w:w="0" w:type="auto"/>
            <w:tcMar>
              <w:top w:w="0" w:type="dxa"/>
              <w:left w:w="70" w:type="dxa"/>
              <w:bottom w:w="0" w:type="dxa"/>
              <w:right w:w="70" w:type="dxa"/>
            </w:tcMar>
            <w:hideMark/>
          </w:tcPr>
          <w:p w14:paraId="1BA906B2"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Deodorization</w:t>
            </w:r>
          </w:p>
        </w:tc>
        <w:tc>
          <w:tcPr>
            <w:tcW w:w="0" w:type="auto"/>
            <w:tcMar>
              <w:top w:w="0" w:type="dxa"/>
              <w:left w:w="70" w:type="dxa"/>
              <w:bottom w:w="0" w:type="dxa"/>
              <w:right w:w="70" w:type="dxa"/>
            </w:tcMar>
            <w:hideMark/>
          </w:tcPr>
          <w:p w14:paraId="3E72AAEA"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Within groups</w:t>
            </w:r>
          </w:p>
        </w:tc>
        <w:tc>
          <w:tcPr>
            <w:tcW w:w="0" w:type="auto"/>
            <w:tcMar>
              <w:top w:w="0" w:type="dxa"/>
              <w:left w:w="70" w:type="dxa"/>
              <w:bottom w:w="0" w:type="dxa"/>
              <w:right w:w="70" w:type="dxa"/>
            </w:tcMar>
            <w:hideMark/>
          </w:tcPr>
          <w:p w14:paraId="50139B17"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10.667</w:t>
            </w:r>
          </w:p>
        </w:tc>
        <w:tc>
          <w:tcPr>
            <w:tcW w:w="0" w:type="auto"/>
            <w:tcMar>
              <w:top w:w="0" w:type="dxa"/>
              <w:left w:w="70" w:type="dxa"/>
              <w:bottom w:w="0" w:type="dxa"/>
              <w:right w:w="70" w:type="dxa"/>
            </w:tcMar>
            <w:hideMark/>
          </w:tcPr>
          <w:p w14:paraId="1B319128"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8</w:t>
            </w:r>
          </w:p>
        </w:tc>
        <w:tc>
          <w:tcPr>
            <w:tcW w:w="0" w:type="auto"/>
            <w:tcMar>
              <w:top w:w="0" w:type="dxa"/>
              <w:left w:w="70" w:type="dxa"/>
              <w:bottom w:w="0" w:type="dxa"/>
              <w:right w:w="70" w:type="dxa"/>
            </w:tcMar>
            <w:hideMark/>
          </w:tcPr>
          <w:p w14:paraId="579A702A"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1.333</w:t>
            </w:r>
          </w:p>
        </w:tc>
        <w:tc>
          <w:tcPr>
            <w:tcW w:w="0" w:type="auto"/>
            <w:tcMar>
              <w:top w:w="0" w:type="dxa"/>
              <w:left w:w="70" w:type="dxa"/>
              <w:bottom w:w="0" w:type="dxa"/>
              <w:right w:w="70" w:type="dxa"/>
            </w:tcMar>
            <w:hideMark/>
          </w:tcPr>
          <w:p w14:paraId="5ACDE3C8" w14:textId="77777777" w:rsidR="00AE7D72" w:rsidRPr="003F44AD" w:rsidRDefault="00AE7D72" w:rsidP="00017507">
            <w:pPr>
              <w:spacing w:line="240" w:lineRule="auto"/>
              <w:rPr>
                <w:rFonts w:ascii="Times New Roman" w:hAnsi="Times New Roman"/>
                <w:szCs w:val="18"/>
              </w:rPr>
            </w:pPr>
          </w:p>
        </w:tc>
        <w:tc>
          <w:tcPr>
            <w:tcW w:w="0" w:type="auto"/>
            <w:tcMar>
              <w:top w:w="0" w:type="dxa"/>
              <w:left w:w="70" w:type="dxa"/>
              <w:bottom w:w="0" w:type="dxa"/>
              <w:right w:w="70" w:type="dxa"/>
            </w:tcMar>
            <w:hideMark/>
          </w:tcPr>
          <w:p w14:paraId="27A85868" w14:textId="77777777" w:rsidR="00AE7D72" w:rsidRPr="003F44AD" w:rsidRDefault="00AE7D72" w:rsidP="00017507">
            <w:pPr>
              <w:spacing w:line="240" w:lineRule="auto"/>
              <w:rPr>
                <w:rFonts w:ascii="Times New Roman" w:hAnsi="Times New Roman"/>
                <w:szCs w:val="18"/>
              </w:rPr>
            </w:pPr>
          </w:p>
        </w:tc>
      </w:tr>
      <w:tr w:rsidR="00AE7D72" w:rsidRPr="003F44AD" w14:paraId="3230C07B" w14:textId="77777777" w:rsidTr="004228ED">
        <w:trPr>
          <w:trHeight w:val="239"/>
        </w:trPr>
        <w:tc>
          <w:tcPr>
            <w:tcW w:w="0" w:type="auto"/>
            <w:tcMar>
              <w:top w:w="0" w:type="dxa"/>
              <w:left w:w="70" w:type="dxa"/>
              <w:bottom w:w="0" w:type="dxa"/>
              <w:right w:w="70" w:type="dxa"/>
            </w:tcMar>
            <w:hideMark/>
          </w:tcPr>
          <w:p w14:paraId="40B654D5" w14:textId="77777777" w:rsidR="00AE7D72" w:rsidRPr="003F44AD" w:rsidRDefault="00AE7D72" w:rsidP="00017507">
            <w:pPr>
              <w:spacing w:line="240" w:lineRule="auto"/>
              <w:rPr>
                <w:rFonts w:ascii="Times New Roman" w:hAnsi="Times New Roman"/>
                <w:szCs w:val="18"/>
              </w:rPr>
            </w:pPr>
          </w:p>
        </w:tc>
        <w:tc>
          <w:tcPr>
            <w:tcW w:w="0" w:type="auto"/>
            <w:tcMar>
              <w:top w:w="0" w:type="dxa"/>
              <w:left w:w="70" w:type="dxa"/>
              <w:bottom w:w="0" w:type="dxa"/>
              <w:right w:w="70" w:type="dxa"/>
            </w:tcMar>
            <w:hideMark/>
          </w:tcPr>
          <w:p w14:paraId="2DE13B6F"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Total</w:t>
            </w:r>
          </w:p>
        </w:tc>
        <w:tc>
          <w:tcPr>
            <w:tcW w:w="0" w:type="auto"/>
            <w:tcMar>
              <w:top w:w="0" w:type="dxa"/>
              <w:left w:w="70" w:type="dxa"/>
              <w:bottom w:w="0" w:type="dxa"/>
              <w:right w:w="70" w:type="dxa"/>
            </w:tcMar>
            <w:hideMark/>
          </w:tcPr>
          <w:p w14:paraId="34B1E133"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7636.9</w:t>
            </w:r>
          </w:p>
        </w:tc>
        <w:tc>
          <w:tcPr>
            <w:tcW w:w="0" w:type="auto"/>
            <w:tcMar>
              <w:top w:w="0" w:type="dxa"/>
              <w:left w:w="70" w:type="dxa"/>
              <w:bottom w:w="0" w:type="dxa"/>
              <w:right w:w="70" w:type="dxa"/>
            </w:tcMar>
            <w:hideMark/>
          </w:tcPr>
          <w:p w14:paraId="27192D22"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11</w:t>
            </w:r>
          </w:p>
        </w:tc>
        <w:tc>
          <w:tcPr>
            <w:tcW w:w="0" w:type="auto"/>
            <w:tcMar>
              <w:top w:w="0" w:type="dxa"/>
              <w:left w:w="70" w:type="dxa"/>
              <w:bottom w:w="0" w:type="dxa"/>
              <w:right w:w="70" w:type="dxa"/>
            </w:tcMar>
            <w:hideMark/>
          </w:tcPr>
          <w:p w14:paraId="0BE52F65" w14:textId="77777777" w:rsidR="00AE7D72" w:rsidRPr="003F44AD" w:rsidRDefault="00AE7D72" w:rsidP="00017507">
            <w:pPr>
              <w:spacing w:line="240" w:lineRule="auto"/>
              <w:rPr>
                <w:rFonts w:ascii="Times New Roman" w:hAnsi="Times New Roman"/>
                <w:szCs w:val="18"/>
              </w:rPr>
            </w:pPr>
          </w:p>
        </w:tc>
        <w:tc>
          <w:tcPr>
            <w:tcW w:w="0" w:type="auto"/>
            <w:tcMar>
              <w:top w:w="0" w:type="dxa"/>
              <w:left w:w="70" w:type="dxa"/>
              <w:bottom w:w="0" w:type="dxa"/>
              <w:right w:w="70" w:type="dxa"/>
            </w:tcMar>
            <w:hideMark/>
          </w:tcPr>
          <w:p w14:paraId="7257F873" w14:textId="77777777" w:rsidR="00AE7D72" w:rsidRPr="003F44AD" w:rsidRDefault="00AE7D72" w:rsidP="00017507">
            <w:pPr>
              <w:spacing w:line="240" w:lineRule="auto"/>
              <w:rPr>
                <w:rFonts w:ascii="Times New Roman" w:hAnsi="Times New Roman"/>
                <w:szCs w:val="18"/>
              </w:rPr>
            </w:pPr>
          </w:p>
        </w:tc>
        <w:tc>
          <w:tcPr>
            <w:tcW w:w="0" w:type="auto"/>
            <w:tcMar>
              <w:top w:w="0" w:type="dxa"/>
              <w:left w:w="70" w:type="dxa"/>
              <w:bottom w:w="0" w:type="dxa"/>
              <w:right w:w="70" w:type="dxa"/>
            </w:tcMar>
            <w:hideMark/>
          </w:tcPr>
          <w:p w14:paraId="33E34DE9" w14:textId="77777777" w:rsidR="00AE7D72" w:rsidRPr="003F44AD" w:rsidRDefault="00AE7D72" w:rsidP="00017507">
            <w:pPr>
              <w:spacing w:line="240" w:lineRule="auto"/>
              <w:rPr>
                <w:rFonts w:ascii="Times New Roman" w:hAnsi="Times New Roman"/>
                <w:szCs w:val="18"/>
              </w:rPr>
            </w:pPr>
          </w:p>
        </w:tc>
      </w:tr>
      <w:tr w:rsidR="00AE7D72" w:rsidRPr="003F44AD" w14:paraId="51327752" w14:textId="77777777" w:rsidTr="004228ED">
        <w:trPr>
          <w:trHeight w:val="239"/>
        </w:trPr>
        <w:tc>
          <w:tcPr>
            <w:tcW w:w="0" w:type="auto"/>
            <w:tcMar>
              <w:top w:w="0" w:type="dxa"/>
              <w:left w:w="70" w:type="dxa"/>
              <w:bottom w:w="0" w:type="dxa"/>
              <w:right w:w="70" w:type="dxa"/>
            </w:tcMar>
            <w:hideMark/>
          </w:tcPr>
          <w:p w14:paraId="13550A8C"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u w:val="single"/>
              </w:rPr>
              <w:t>Pre-composting</w:t>
            </w:r>
          </w:p>
        </w:tc>
        <w:tc>
          <w:tcPr>
            <w:tcW w:w="0" w:type="auto"/>
            <w:tcMar>
              <w:top w:w="0" w:type="dxa"/>
              <w:left w:w="70" w:type="dxa"/>
              <w:bottom w:w="0" w:type="dxa"/>
              <w:right w:w="70" w:type="dxa"/>
            </w:tcMar>
            <w:hideMark/>
          </w:tcPr>
          <w:p w14:paraId="40826ADC" w14:textId="77777777" w:rsidR="00AE7D72" w:rsidRPr="003F44AD" w:rsidRDefault="00AE7D72" w:rsidP="00017507">
            <w:pPr>
              <w:spacing w:line="240" w:lineRule="auto"/>
              <w:rPr>
                <w:rFonts w:ascii="Times New Roman" w:hAnsi="Times New Roman"/>
                <w:szCs w:val="18"/>
              </w:rPr>
            </w:pPr>
          </w:p>
        </w:tc>
        <w:tc>
          <w:tcPr>
            <w:tcW w:w="0" w:type="auto"/>
            <w:tcMar>
              <w:top w:w="0" w:type="dxa"/>
              <w:left w:w="70" w:type="dxa"/>
              <w:bottom w:w="0" w:type="dxa"/>
              <w:right w:w="70" w:type="dxa"/>
            </w:tcMar>
            <w:hideMark/>
          </w:tcPr>
          <w:p w14:paraId="664A5721" w14:textId="77777777" w:rsidR="00AE7D72" w:rsidRPr="003F44AD" w:rsidRDefault="00AE7D72" w:rsidP="00017507">
            <w:pPr>
              <w:spacing w:line="240" w:lineRule="auto"/>
              <w:rPr>
                <w:rFonts w:ascii="Times New Roman" w:hAnsi="Times New Roman"/>
                <w:szCs w:val="18"/>
              </w:rPr>
            </w:pPr>
          </w:p>
        </w:tc>
        <w:tc>
          <w:tcPr>
            <w:tcW w:w="0" w:type="auto"/>
            <w:tcMar>
              <w:top w:w="0" w:type="dxa"/>
              <w:left w:w="70" w:type="dxa"/>
              <w:bottom w:w="0" w:type="dxa"/>
              <w:right w:w="70" w:type="dxa"/>
            </w:tcMar>
            <w:hideMark/>
          </w:tcPr>
          <w:p w14:paraId="4CFD8BB1" w14:textId="77777777" w:rsidR="00AE7D72" w:rsidRPr="003F44AD" w:rsidRDefault="00AE7D72" w:rsidP="00017507">
            <w:pPr>
              <w:spacing w:line="240" w:lineRule="auto"/>
              <w:rPr>
                <w:rFonts w:ascii="Times New Roman" w:hAnsi="Times New Roman"/>
                <w:szCs w:val="18"/>
              </w:rPr>
            </w:pPr>
          </w:p>
        </w:tc>
        <w:tc>
          <w:tcPr>
            <w:tcW w:w="0" w:type="auto"/>
            <w:tcMar>
              <w:top w:w="0" w:type="dxa"/>
              <w:left w:w="70" w:type="dxa"/>
              <w:bottom w:w="0" w:type="dxa"/>
              <w:right w:w="70" w:type="dxa"/>
            </w:tcMar>
            <w:hideMark/>
          </w:tcPr>
          <w:p w14:paraId="35E4E50F" w14:textId="77777777" w:rsidR="00AE7D72" w:rsidRPr="003F44AD" w:rsidRDefault="00AE7D72" w:rsidP="00017507">
            <w:pPr>
              <w:spacing w:line="240" w:lineRule="auto"/>
              <w:rPr>
                <w:rFonts w:ascii="Times New Roman" w:hAnsi="Times New Roman"/>
                <w:szCs w:val="18"/>
              </w:rPr>
            </w:pPr>
          </w:p>
        </w:tc>
        <w:tc>
          <w:tcPr>
            <w:tcW w:w="0" w:type="auto"/>
            <w:tcMar>
              <w:top w:w="0" w:type="dxa"/>
              <w:left w:w="70" w:type="dxa"/>
              <w:bottom w:w="0" w:type="dxa"/>
              <w:right w:w="70" w:type="dxa"/>
            </w:tcMar>
            <w:hideMark/>
          </w:tcPr>
          <w:p w14:paraId="29344F89" w14:textId="77777777" w:rsidR="00AE7D72" w:rsidRPr="003F44AD" w:rsidRDefault="00AE7D72" w:rsidP="00017507">
            <w:pPr>
              <w:spacing w:line="240" w:lineRule="auto"/>
              <w:rPr>
                <w:rFonts w:ascii="Times New Roman" w:hAnsi="Times New Roman"/>
                <w:szCs w:val="18"/>
              </w:rPr>
            </w:pPr>
          </w:p>
        </w:tc>
        <w:tc>
          <w:tcPr>
            <w:tcW w:w="0" w:type="auto"/>
            <w:tcMar>
              <w:top w:w="0" w:type="dxa"/>
              <w:left w:w="70" w:type="dxa"/>
              <w:bottom w:w="0" w:type="dxa"/>
              <w:right w:w="70" w:type="dxa"/>
            </w:tcMar>
            <w:hideMark/>
          </w:tcPr>
          <w:p w14:paraId="56DC0180" w14:textId="77777777" w:rsidR="00AE7D72" w:rsidRPr="003F44AD" w:rsidRDefault="00AE7D72" w:rsidP="00017507">
            <w:pPr>
              <w:spacing w:line="240" w:lineRule="auto"/>
              <w:rPr>
                <w:rFonts w:ascii="Times New Roman" w:hAnsi="Times New Roman"/>
                <w:szCs w:val="18"/>
              </w:rPr>
            </w:pPr>
          </w:p>
        </w:tc>
      </w:tr>
      <w:tr w:rsidR="00AE7D72" w:rsidRPr="003F44AD" w14:paraId="22E0A7D3" w14:textId="77777777" w:rsidTr="004228ED">
        <w:trPr>
          <w:trHeight w:val="239"/>
        </w:trPr>
        <w:tc>
          <w:tcPr>
            <w:tcW w:w="0" w:type="auto"/>
            <w:tcMar>
              <w:top w:w="0" w:type="dxa"/>
              <w:left w:w="70" w:type="dxa"/>
              <w:bottom w:w="0" w:type="dxa"/>
              <w:right w:w="70" w:type="dxa"/>
            </w:tcMar>
            <w:hideMark/>
          </w:tcPr>
          <w:p w14:paraId="18186D3E" w14:textId="77777777" w:rsidR="00AE7D72" w:rsidRPr="003F44AD" w:rsidRDefault="00AE7D72" w:rsidP="00017507">
            <w:pPr>
              <w:spacing w:line="240" w:lineRule="auto"/>
              <w:rPr>
                <w:rFonts w:ascii="Times New Roman" w:hAnsi="Times New Roman"/>
                <w:szCs w:val="18"/>
              </w:rPr>
            </w:pPr>
            <w:r w:rsidRPr="003F44AD">
              <w:rPr>
                <w:rFonts w:ascii="Calibri" w:hAnsi="Calibri" w:cs="Calibri"/>
                <w:i/>
                <w:iCs/>
                <w:color w:val="000000"/>
                <w:szCs w:val="18"/>
              </w:rPr>
              <w:t>Eschearichia coli</w:t>
            </w:r>
          </w:p>
        </w:tc>
        <w:tc>
          <w:tcPr>
            <w:tcW w:w="0" w:type="auto"/>
            <w:tcMar>
              <w:top w:w="0" w:type="dxa"/>
              <w:left w:w="70" w:type="dxa"/>
              <w:bottom w:w="0" w:type="dxa"/>
              <w:right w:w="70" w:type="dxa"/>
            </w:tcMar>
            <w:hideMark/>
          </w:tcPr>
          <w:p w14:paraId="7C239EF0"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Between groups</w:t>
            </w:r>
          </w:p>
        </w:tc>
        <w:tc>
          <w:tcPr>
            <w:tcW w:w="0" w:type="auto"/>
            <w:tcMar>
              <w:top w:w="0" w:type="dxa"/>
              <w:left w:w="70" w:type="dxa"/>
              <w:bottom w:w="0" w:type="dxa"/>
              <w:right w:w="70" w:type="dxa"/>
            </w:tcMar>
            <w:hideMark/>
          </w:tcPr>
          <w:p w14:paraId="7D955EF6"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4375.6</w:t>
            </w:r>
          </w:p>
        </w:tc>
        <w:tc>
          <w:tcPr>
            <w:tcW w:w="0" w:type="auto"/>
            <w:tcMar>
              <w:top w:w="0" w:type="dxa"/>
              <w:left w:w="70" w:type="dxa"/>
              <w:bottom w:w="0" w:type="dxa"/>
              <w:right w:w="70" w:type="dxa"/>
            </w:tcMar>
            <w:hideMark/>
          </w:tcPr>
          <w:p w14:paraId="6668F448"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3</w:t>
            </w:r>
          </w:p>
        </w:tc>
        <w:tc>
          <w:tcPr>
            <w:tcW w:w="0" w:type="auto"/>
            <w:tcMar>
              <w:top w:w="0" w:type="dxa"/>
              <w:left w:w="70" w:type="dxa"/>
              <w:bottom w:w="0" w:type="dxa"/>
              <w:right w:w="70" w:type="dxa"/>
            </w:tcMar>
            <w:hideMark/>
          </w:tcPr>
          <w:p w14:paraId="6370642B"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1458.5</w:t>
            </w:r>
          </w:p>
        </w:tc>
        <w:tc>
          <w:tcPr>
            <w:tcW w:w="0" w:type="auto"/>
            <w:tcMar>
              <w:top w:w="0" w:type="dxa"/>
              <w:left w:w="70" w:type="dxa"/>
              <w:bottom w:w="0" w:type="dxa"/>
              <w:right w:w="70" w:type="dxa"/>
            </w:tcMar>
            <w:hideMark/>
          </w:tcPr>
          <w:p w14:paraId="69BFA2AE"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7.6</w:t>
            </w:r>
          </w:p>
        </w:tc>
        <w:tc>
          <w:tcPr>
            <w:tcW w:w="0" w:type="auto"/>
            <w:tcMar>
              <w:top w:w="0" w:type="dxa"/>
              <w:left w:w="70" w:type="dxa"/>
              <w:bottom w:w="0" w:type="dxa"/>
              <w:right w:w="70" w:type="dxa"/>
            </w:tcMar>
            <w:hideMark/>
          </w:tcPr>
          <w:p w14:paraId="77D0DDFA"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0</w:t>
            </w:r>
          </w:p>
        </w:tc>
      </w:tr>
      <w:tr w:rsidR="00AE7D72" w:rsidRPr="003F44AD" w14:paraId="3E48A793" w14:textId="77777777" w:rsidTr="004228ED">
        <w:trPr>
          <w:trHeight w:val="239"/>
        </w:trPr>
        <w:tc>
          <w:tcPr>
            <w:tcW w:w="0" w:type="auto"/>
            <w:tcMar>
              <w:top w:w="0" w:type="dxa"/>
              <w:left w:w="70" w:type="dxa"/>
              <w:bottom w:w="0" w:type="dxa"/>
              <w:right w:w="70" w:type="dxa"/>
            </w:tcMar>
            <w:hideMark/>
          </w:tcPr>
          <w:p w14:paraId="1F9301A0" w14:textId="77777777" w:rsidR="00AE7D72" w:rsidRPr="003F44AD" w:rsidRDefault="00AE7D72" w:rsidP="00017507">
            <w:pPr>
              <w:spacing w:line="240" w:lineRule="auto"/>
              <w:rPr>
                <w:rFonts w:ascii="Times New Roman" w:hAnsi="Times New Roman"/>
                <w:szCs w:val="18"/>
              </w:rPr>
            </w:pPr>
          </w:p>
        </w:tc>
        <w:tc>
          <w:tcPr>
            <w:tcW w:w="0" w:type="auto"/>
            <w:tcMar>
              <w:top w:w="0" w:type="dxa"/>
              <w:left w:w="70" w:type="dxa"/>
              <w:bottom w:w="0" w:type="dxa"/>
              <w:right w:w="70" w:type="dxa"/>
            </w:tcMar>
            <w:hideMark/>
          </w:tcPr>
          <w:p w14:paraId="65B224E6"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Within groups</w:t>
            </w:r>
          </w:p>
        </w:tc>
        <w:tc>
          <w:tcPr>
            <w:tcW w:w="0" w:type="auto"/>
            <w:tcMar>
              <w:top w:w="0" w:type="dxa"/>
              <w:left w:w="70" w:type="dxa"/>
              <w:bottom w:w="0" w:type="dxa"/>
              <w:right w:w="70" w:type="dxa"/>
            </w:tcMar>
            <w:hideMark/>
          </w:tcPr>
          <w:p w14:paraId="7E3E7A38"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1535.3</w:t>
            </w:r>
          </w:p>
        </w:tc>
        <w:tc>
          <w:tcPr>
            <w:tcW w:w="0" w:type="auto"/>
            <w:tcMar>
              <w:top w:w="0" w:type="dxa"/>
              <w:left w:w="70" w:type="dxa"/>
              <w:bottom w:w="0" w:type="dxa"/>
              <w:right w:w="70" w:type="dxa"/>
            </w:tcMar>
            <w:hideMark/>
          </w:tcPr>
          <w:p w14:paraId="3DE3C169"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8</w:t>
            </w:r>
          </w:p>
        </w:tc>
        <w:tc>
          <w:tcPr>
            <w:tcW w:w="0" w:type="auto"/>
            <w:tcMar>
              <w:top w:w="0" w:type="dxa"/>
              <w:left w:w="70" w:type="dxa"/>
              <w:bottom w:w="0" w:type="dxa"/>
              <w:right w:w="70" w:type="dxa"/>
            </w:tcMar>
            <w:hideMark/>
          </w:tcPr>
          <w:p w14:paraId="657FB7C7"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191.9</w:t>
            </w:r>
          </w:p>
        </w:tc>
        <w:tc>
          <w:tcPr>
            <w:tcW w:w="0" w:type="auto"/>
            <w:tcMar>
              <w:top w:w="0" w:type="dxa"/>
              <w:left w:w="70" w:type="dxa"/>
              <w:bottom w:w="0" w:type="dxa"/>
              <w:right w:w="70" w:type="dxa"/>
            </w:tcMar>
            <w:hideMark/>
          </w:tcPr>
          <w:p w14:paraId="6FBA36F0" w14:textId="77777777" w:rsidR="00AE7D72" w:rsidRPr="003F44AD" w:rsidRDefault="00AE7D72" w:rsidP="00017507">
            <w:pPr>
              <w:spacing w:line="240" w:lineRule="auto"/>
              <w:rPr>
                <w:rFonts w:ascii="Times New Roman" w:hAnsi="Times New Roman"/>
                <w:szCs w:val="18"/>
              </w:rPr>
            </w:pPr>
          </w:p>
        </w:tc>
        <w:tc>
          <w:tcPr>
            <w:tcW w:w="0" w:type="auto"/>
            <w:tcMar>
              <w:top w:w="0" w:type="dxa"/>
              <w:left w:w="70" w:type="dxa"/>
              <w:bottom w:w="0" w:type="dxa"/>
              <w:right w:w="70" w:type="dxa"/>
            </w:tcMar>
            <w:hideMark/>
          </w:tcPr>
          <w:p w14:paraId="55DA99BC" w14:textId="77777777" w:rsidR="00AE7D72" w:rsidRPr="003F44AD" w:rsidRDefault="00AE7D72" w:rsidP="00017507">
            <w:pPr>
              <w:spacing w:line="240" w:lineRule="auto"/>
              <w:rPr>
                <w:rFonts w:ascii="Times New Roman" w:hAnsi="Times New Roman"/>
                <w:szCs w:val="18"/>
              </w:rPr>
            </w:pPr>
          </w:p>
        </w:tc>
      </w:tr>
      <w:tr w:rsidR="00AE7D72" w:rsidRPr="003F44AD" w14:paraId="584E3014" w14:textId="77777777" w:rsidTr="004228ED">
        <w:trPr>
          <w:trHeight w:val="239"/>
        </w:trPr>
        <w:tc>
          <w:tcPr>
            <w:tcW w:w="0" w:type="auto"/>
            <w:tcMar>
              <w:top w:w="0" w:type="dxa"/>
              <w:left w:w="70" w:type="dxa"/>
              <w:bottom w:w="0" w:type="dxa"/>
              <w:right w:w="70" w:type="dxa"/>
            </w:tcMar>
            <w:hideMark/>
          </w:tcPr>
          <w:p w14:paraId="045189EC" w14:textId="77777777" w:rsidR="00AE7D72" w:rsidRPr="003F44AD" w:rsidRDefault="00AE7D72" w:rsidP="00017507">
            <w:pPr>
              <w:spacing w:line="240" w:lineRule="auto"/>
              <w:rPr>
                <w:rFonts w:ascii="Times New Roman" w:hAnsi="Times New Roman"/>
                <w:szCs w:val="18"/>
              </w:rPr>
            </w:pPr>
          </w:p>
        </w:tc>
        <w:tc>
          <w:tcPr>
            <w:tcW w:w="0" w:type="auto"/>
            <w:tcMar>
              <w:top w:w="0" w:type="dxa"/>
              <w:left w:w="70" w:type="dxa"/>
              <w:bottom w:w="0" w:type="dxa"/>
              <w:right w:w="70" w:type="dxa"/>
            </w:tcMar>
            <w:hideMark/>
          </w:tcPr>
          <w:p w14:paraId="4724DC34"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Total</w:t>
            </w:r>
          </w:p>
        </w:tc>
        <w:tc>
          <w:tcPr>
            <w:tcW w:w="0" w:type="auto"/>
            <w:tcMar>
              <w:top w:w="0" w:type="dxa"/>
              <w:left w:w="70" w:type="dxa"/>
              <w:bottom w:w="0" w:type="dxa"/>
              <w:right w:w="70" w:type="dxa"/>
            </w:tcMar>
            <w:hideMark/>
          </w:tcPr>
          <w:p w14:paraId="6C209CF1"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5910.9</w:t>
            </w:r>
          </w:p>
        </w:tc>
        <w:tc>
          <w:tcPr>
            <w:tcW w:w="0" w:type="auto"/>
            <w:tcMar>
              <w:top w:w="0" w:type="dxa"/>
              <w:left w:w="70" w:type="dxa"/>
              <w:bottom w:w="0" w:type="dxa"/>
              <w:right w:w="70" w:type="dxa"/>
            </w:tcMar>
            <w:hideMark/>
          </w:tcPr>
          <w:p w14:paraId="3A31B287"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11</w:t>
            </w:r>
          </w:p>
        </w:tc>
        <w:tc>
          <w:tcPr>
            <w:tcW w:w="0" w:type="auto"/>
            <w:tcMar>
              <w:top w:w="0" w:type="dxa"/>
              <w:left w:w="70" w:type="dxa"/>
              <w:bottom w:w="0" w:type="dxa"/>
              <w:right w:w="70" w:type="dxa"/>
            </w:tcMar>
            <w:hideMark/>
          </w:tcPr>
          <w:p w14:paraId="1F9AAAF4" w14:textId="77777777" w:rsidR="00AE7D72" w:rsidRPr="003F44AD" w:rsidRDefault="00AE7D72" w:rsidP="00017507">
            <w:pPr>
              <w:spacing w:line="240" w:lineRule="auto"/>
              <w:rPr>
                <w:rFonts w:ascii="Times New Roman" w:hAnsi="Times New Roman"/>
                <w:szCs w:val="18"/>
              </w:rPr>
            </w:pPr>
          </w:p>
        </w:tc>
        <w:tc>
          <w:tcPr>
            <w:tcW w:w="0" w:type="auto"/>
            <w:tcMar>
              <w:top w:w="0" w:type="dxa"/>
              <w:left w:w="70" w:type="dxa"/>
              <w:bottom w:w="0" w:type="dxa"/>
              <w:right w:w="70" w:type="dxa"/>
            </w:tcMar>
            <w:hideMark/>
          </w:tcPr>
          <w:p w14:paraId="0B9D182D" w14:textId="77777777" w:rsidR="00AE7D72" w:rsidRPr="003F44AD" w:rsidRDefault="00AE7D72" w:rsidP="00017507">
            <w:pPr>
              <w:spacing w:line="240" w:lineRule="auto"/>
              <w:rPr>
                <w:rFonts w:ascii="Times New Roman" w:hAnsi="Times New Roman"/>
                <w:szCs w:val="18"/>
              </w:rPr>
            </w:pPr>
          </w:p>
        </w:tc>
        <w:tc>
          <w:tcPr>
            <w:tcW w:w="0" w:type="auto"/>
            <w:tcMar>
              <w:top w:w="0" w:type="dxa"/>
              <w:left w:w="70" w:type="dxa"/>
              <w:bottom w:w="0" w:type="dxa"/>
              <w:right w:w="70" w:type="dxa"/>
            </w:tcMar>
            <w:hideMark/>
          </w:tcPr>
          <w:p w14:paraId="24B53F68" w14:textId="77777777" w:rsidR="00AE7D72" w:rsidRPr="003F44AD" w:rsidRDefault="00AE7D72" w:rsidP="00017507">
            <w:pPr>
              <w:spacing w:line="240" w:lineRule="auto"/>
              <w:rPr>
                <w:rFonts w:ascii="Times New Roman" w:hAnsi="Times New Roman"/>
                <w:szCs w:val="18"/>
              </w:rPr>
            </w:pPr>
          </w:p>
        </w:tc>
      </w:tr>
      <w:tr w:rsidR="00AE7D72" w:rsidRPr="003F44AD" w14:paraId="280011B3" w14:textId="77777777" w:rsidTr="004228ED">
        <w:trPr>
          <w:trHeight w:val="239"/>
        </w:trPr>
        <w:tc>
          <w:tcPr>
            <w:tcW w:w="0" w:type="auto"/>
            <w:tcMar>
              <w:top w:w="0" w:type="dxa"/>
              <w:left w:w="70" w:type="dxa"/>
              <w:bottom w:w="0" w:type="dxa"/>
              <w:right w:w="70" w:type="dxa"/>
            </w:tcMar>
            <w:hideMark/>
          </w:tcPr>
          <w:p w14:paraId="4A974B0D" w14:textId="77777777" w:rsidR="00AE7D72" w:rsidRPr="003F44AD" w:rsidRDefault="00AE7D72" w:rsidP="00017507">
            <w:pPr>
              <w:spacing w:line="240" w:lineRule="auto"/>
              <w:rPr>
                <w:rFonts w:ascii="Times New Roman" w:hAnsi="Times New Roman"/>
                <w:szCs w:val="18"/>
              </w:rPr>
            </w:pPr>
            <w:r w:rsidRPr="003F44AD">
              <w:rPr>
                <w:rFonts w:ascii="Calibri" w:hAnsi="Calibri" w:cs="Calibri"/>
                <w:i/>
                <w:iCs/>
                <w:color w:val="000000"/>
                <w:szCs w:val="18"/>
              </w:rPr>
              <w:t>Salmonella spp</w:t>
            </w:r>
          </w:p>
        </w:tc>
        <w:tc>
          <w:tcPr>
            <w:tcW w:w="0" w:type="auto"/>
            <w:tcMar>
              <w:top w:w="0" w:type="dxa"/>
              <w:left w:w="70" w:type="dxa"/>
              <w:bottom w:w="0" w:type="dxa"/>
              <w:right w:w="70" w:type="dxa"/>
            </w:tcMar>
            <w:hideMark/>
          </w:tcPr>
          <w:p w14:paraId="29271F1F"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Between groups</w:t>
            </w:r>
          </w:p>
        </w:tc>
        <w:tc>
          <w:tcPr>
            <w:tcW w:w="0" w:type="auto"/>
            <w:tcMar>
              <w:top w:w="0" w:type="dxa"/>
              <w:left w:w="70" w:type="dxa"/>
              <w:bottom w:w="0" w:type="dxa"/>
              <w:right w:w="70" w:type="dxa"/>
            </w:tcMar>
            <w:hideMark/>
          </w:tcPr>
          <w:p w14:paraId="5CE1A33B"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2900.3</w:t>
            </w:r>
          </w:p>
        </w:tc>
        <w:tc>
          <w:tcPr>
            <w:tcW w:w="0" w:type="auto"/>
            <w:tcMar>
              <w:top w:w="0" w:type="dxa"/>
              <w:left w:w="70" w:type="dxa"/>
              <w:bottom w:w="0" w:type="dxa"/>
              <w:right w:w="70" w:type="dxa"/>
            </w:tcMar>
            <w:hideMark/>
          </w:tcPr>
          <w:p w14:paraId="573FE666"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3</w:t>
            </w:r>
          </w:p>
        </w:tc>
        <w:tc>
          <w:tcPr>
            <w:tcW w:w="0" w:type="auto"/>
            <w:tcMar>
              <w:top w:w="0" w:type="dxa"/>
              <w:left w:w="70" w:type="dxa"/>
              <w:bottom w:w="0" w:type="dxa"/>
              <w:right w:w="70" w:type="dxa"/>
            </w:tcMar>
            <w:hideMark/>
          </w:tcPr>
          <w:p w14:paraId="4976BA56"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966.7</w:t>
            </w:r>
          </w:p>
        </w:tc>
        <w:tc>
          <w:tcPr>
            <w:tcW w:w="0" w:type="auto"/>
            <w:tcMar>
              <w:top w:w="0" w:type="dxa"/>
              <w:left w:w="70" w:type="dxa"/>
              <w:bottom w:w="0" w:type="dxa"/>
              <w:right w:w="70" w:type="dxa"/>
            </w:tcMar>
            <w:hideMark/>
          </w:tcPr>
          <w:p w14:paraId="6AD74291"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111.5</w:t>
            </w:r>
          </w:p>
        </w:tc>
        <w:tc>
          <w:tcPr>
            <w:tcW w:w="0" w:type="auto"/>
            <w:tcMar>
              <w:top w:w="0" w:type="dxa"/>
              <w:left w:w="70" w:type="dxa"/>
              <w:bottom w:w="0" w:type="dxa"/>
              <w:right w:w="70" w:type="dxa"/>
            </w:tcMar>
            <w:hideMark/>
          </w:tcPr>
          <w:p w14:paraId="5F219FE6"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0</w:t>
            </w:r>
          </w:p>
        </w:tc>
      </w:tr>
      <w:tr w:rsidR="00AE7D72" w:rsidRPr="003F44AD" w14:paraId="0C597F3A" w14:textId="77777777" w:rsidTr="004228ED">
        <w:trPr>
          <w:trHeight w:val="239"/>
        </w:trPr>
        <w:tc>
          <w:tcPr>
            <w:tcW w:w="0" w:type="auto"/>
            <w:tcMar>
              <w:top w:w="0" w:type="dxa"/>
              <w:left w:w="70" w:type="dxa"/>
              <w:bottom w:w="0" w:type="dxa"/>
              <w:right w:w="70" w:type="dxa"/>
            </w:tcMar>
            <w:hideMark/>
          </w:tcPr>
          <w:p w14:paraId="25B3BD05" w14:textId="77777777" w:rsidR="00AE7D72" w:rsidRPr="003F44AD" w:rsidRDefault="00AE7D72" w:rsidP="00017507">
            <w:pPr>
              <w:spacing w:line="240" w:lineRule="auto"/>
              <w:rPr>
                <w:rFonts w:ascii="Times New Roman" w:hAnsi="Times New Roman"/>
                <w:szCs w:val="18"/>
              </w:rPr>
            </w:pPr>
          </w:p>
        </w:tc>
        <w:tc>
          <w:tcPr>
            <w:tcW w:w="0" w:type="auto"/>
            <w:tcMar>
              <w:top w:w="0" w:type="dxa"/>
              <w:left w:w="70" w:type="dxa"/>
              <w:bottom w:w="0" w:type="dxa"/>
              <w:right w:w="70" w:type="dxa"/>
            </w:tcMar>
            <w:hideMark/>
          </w:tcPr>
          <w:p w14:paraId="7B673D1C"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Within groups</w:t>
            </w:r>
          </w:p>
        </w:tc>
        <w:tc>
          <w:tcPr>
            <w:tcW w:w="0" w:type="auto"/>
            <w:tcMar>
              <w:top w:w="0" w:type="dxa"/>
              <w:left w:w="70" w:type="dxa"/>
              <w:bottom w:w="0" w:type="dxa"/>
              <w:right w:w="70" w:type="dxa"/>
            </w:tcMar>
            <w:hideMark/>
          </w:tcPr>
          <w:p w14:paraId="42A04246"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69.333</w:t>
            </w:r>
          </w:p>
        </w:tc>
        <w:tc>
          <w:tcPr>
            <w:tcW w:w="0" w:type="auto"/>
            <w:tcMar>
              <w:top w:w="0" w:type="dxa"/>
              <w:left w:w="70" w:type="dxa"/>
              <w:bottom w:w="0" w:type="dxa"/>
              <w:right w:w="70" w:type="dxa"/>
            </w:tcMar>
            <w:hideMark/>
          </w:tcPr>
          <w:p w14:paraId="191B4EE0"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8</w:t>
            </w:r>
          </w:p>
        </w:tc>
        <w:tc>
          <w:tcPr>
            <w:tcW w:w="0" w:type="auto"/>
            <w:tcMar>
              <w:top w:w="0" w:type="dxa"/>
              <w:left w:w="70" w:type="dxa"/>
              <w:bottom w:w="0" w:type="dxa"/>
              <w:right w:w="70" w:type="dxa"/>
            </w:tcMar>
            <w:hideMark/>
          </w:tcPr>
          <w:p w14:paraId="47AD99E0"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8.667</w:t>
            </w:r>
          </w:p>
        </w:tc>
        <w:tc>
          <w:tcPr>
            <w:tcW w:w="0" w:type="auto"/>
            <w:tcMar>
              <w:top w:w="0" w:type="dxa"/>
              <w:left w:w="70" w:type="dxa"/>
              <w:bottom w:w="0" w:type="dxa"/>
              <w:right w:w="70" w:type="dxa"/>
            </w:tcMar>
            <w:hideMark/>
          </w:tcPr>
          <w:p w14:paraId="69F5108C" w14:textId="77777777" w:rsidR="00AE7D72" w:rsidRPr="003F44AD" w:rsidRDefault="00AE7D72" w:rsidP="00017507">
            <w:pPr>
              <w:spacing w:line="240" w:lineRule="auto"/>
              <w:rPr>
                <w:rFonts w:ascii="Times New Roman" w:hAnsi="Times New Roman"/>
                <w:szCs w:val="18"/>
              </w:rPr>
            </w:pPr>
          </w:p>
        </w:tc>
        <w:tc>
          <w:tcPr>
            <w:tcW w:w="0" w:type="auto"/>
            <w:tcMar>
              <w:top w:w="0" w:type="dxa"/>
              <w:left w:w="70" w:type="dxa"/>
              <w:bottom w:w="0" w:type="dxa"/>
              <w:right w:w="70" w:type="dxa"/>
            </w:tcMar>
            <w:hideMark/>
          </w:tcPr>
          <w:p w14:paraId="7988B375" w14:textId="77777777" w:rsidR="00AE7D72" w:rsidRPr="003F44AD" w:rsidRDefault="00AE7D72" w:rsidP="00017507">
            <w:pPr>
              <w:spacing w:line="240" w:lineRule="auto"/>
              <w:rPr>
                <w:rFonts w:ascii="Times New Roman" w:hAnsi="Times New Roman"/>
                <w:szCs w:val="18"/>
              </w:rPr>
            </w:pPr>
          </w:p>
        </w:tc>
      </w:tr>
      <w:tr w:rsidR="00AE7D72" w:rsidRPr="003F44AD" w14:paraId="7FC625A6" w14:textId="77777777" w:rsidTr="004228ED">
        <w:trPr>
          <w:trHeight w:val="239"/>
        </w:trPr>
        <w:tc>
          <w:tcPr>
            <w:tcW w:w="0" w:type="auto"/>
            <w:tcMar>
              <w:top w:w="0" w:type="dxa"/>
              <w:left w:w="70" w:type="dxa"/>
              <w:bottom w:w="0" w:type="dxa"/>
              <w:right w:w="70" w:type="dxa"/>
            </w:tcMar>
            <w:hideMark/>
          </w:tcPr>
          <w:p w14:paraId="607280F3" w14:textId="77777777" w:rsidR="00AE7D72" w:rsidRPr="003F44AD" w:rsidRDefault="00AE7D72" w:rsidP="00017507">
            <w:pPr>
              <w:spacing w:line="240" w:lineRule="auto"/>
              <w:rPr>
                <w:rFonts w:ascii="Times New Roman" w:hAnsi="Times New Roman"/>
                <w:szCs w:val="18"/>
              </w:rPr>
            </w:pPr>
          </w:p>
        </w:tc>
        <w:tc>
          <w:tcPr>
            <w:tcW w:w="0" w:type="auto"/>
            <w:tcMar>
              <w:top w:w="0" w:type="dxa"/>
              <w:left w:w="70" w:type="dxa"/>
              <w:bottom w:w="0" w:type="dxa"/>
              <w:right w:w="70" w:type="dxa"/>
            </w:tcMar>
            <w:hideMark/>
          </w:tcPr>
          <w:p w14:paraId="23C9E2EA"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Total</w:t>
            </w:r>
          </w:p>
        </w:tc>
        <w:tc>
          <w:tcPr>
            <w:tcW w:w="0" w:type="auto"/>
            <w:tcMar>
              <w:top w:w="0" w:type="dxa"/>
              <w:left w:w="70" w:type="dxa"/>
              <w:bottom w:w="0" w:type="dxa"/>
              <w:right w:w="70" w:type="dxa"/>
            </w:tcMar>
            <w:hideMark/>
          </w:tcPr>
          <w:p w14:paraId="1312EF6C"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2969.6</w:t>
            </w:r>
          </w:p>
        </w:tc>
        <w:tc>
          <w:tcPr>
            <w:tcW w:w="0" w:type="auto"/>
            <w:tcMar>
              <w:top w:w="0" w:type="dxa"/>
              <w:left w:w="70" w:type="dxa"/>
              <w:bottom w:w="0" w:type="dxa"/>
              <w:right w:w="70" w:type="dxa"/>
            </w:tcMar>
            <w:hideMark/>
          </w:tcPr>
          <w:p w14:paraId="5877AF7D"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11</w:t>
            </w:r>
          </w:p>
        </w:tc>
        <w:tc>
          <w:tcPr>
            <w:tcW w:w="0" w:type="auto"/>
            <w:tcMar>
              <w:top w:w="0" w:type="dxa"/>
              <w:left w:w="70" w:type="dxa"/>
              <w:bottom w:w="0" w:type="dxa"/>
              <w:right w:w="70" w:type="dxa"/>
            </w:tcMar>
            <w:hideMark/>
          </w:tcPr>
          <w:p w14:paraId="02944387" w14:textId="77777777" w:rsidR="00AE7D72" w:rsidRPr="003F44AD" w:rsidRDefault="00AE7D72" w:rsidP="00017507">
            <w:pPr>
              <w:spacing w:line="240" w:lineRule="auto"/>
              <w:rPr>
                <w:rFonts w:ascii="Times New Roman" w:hAnsi="Times New Roman"/>
                <w:szCs w:val="18"/>
              </w:rPr>
            </w:pPr>
          </w:p>
        </w:tc>
        <w:tc>
          <w:tcPr>
            <w:tcW w:w="0" w:type="auto"/>
            <w:tcMar>
              <w:top w:w="0" w:type="dxa"/>
              <w:left w:w="70" w:type="dxa"/>
              <w:bottom w:w="0" w:type="dxa"/>
              <w:right w:w="70" w:type="dxa"/>
            </w:tcMar>
            <w:hideMark/>
          </w:tcPr>
          <w:p w14:paraId="0CEF41DA" w14:textId="77777777" w:rsidR="00AE7D72" w:rsidRPr="003F44AD" w:rsidRDefault="00AE7D72" w:rsidP="00017507">
            <w:pPr>
              <w:spacing w:line="240" w:lineRule="auto"/>
              <w:rPr>
                <w:rFonts w:ascii="Times New Roman" w:hAnsi="Times New Roman"/>
                <w:szCs w:val="18"/>
              </w:rPr>
            </w:pPr>
          </w:p>
        </w:tc>
        <w:tc>
          <w:tcPr>
            <w:tcW w:w="0" w:type="auto"/>
            <w:tcMar>
              <w:top w:w="0" w:type="dxa"/>
              <w:left w:w="70" w:type="dxa"/>
              <w:bottom w:w="0" w:type="dxa"/>
              <w:right w:w="70" w:type="dxa"/>
            </w:tcMar>
            <w:hideMark/>
          </w:tcPr>
          <w:p w14:paraId="51BDF754" w14:textId="77777777" w:rsidR="00AE7D72" w:rsidRPr="003F44AD" w:rsidRDefault="00AE7D72" w:rsidP="00017507">
            <w:pPr>
              <w:spacing w:line="240" w:lineRule="auto"/>
              <w:rPr>
                <w:rFonts w:ascii="Times New Roman" w:hAnsi="Times New Roman"/>
                <w:szCs w:val="18"/>
              </w:rPr>
            </w:pPr>
          </w:p>
        </w:tc>
      </w:tr>
      <w:tr w:rsidR="00AE7D72" w:rsidRPr="003F44AD" w14:paraId="09ADDDBE" w14:textId="77777777" w:rsidTr="004228ED">
        <w:trPr>
          <w:trHeight w:val="239"/>
        </w:trPr>
        <w:tc>
          <w:tcPr>
            <w:tcW w:w="0" w:type="auto"/>
            <w:tcMar>
              <w:top w:w="0" w:type="dxa"/>
              <w:left w:w="70" w:type="dxa"/>
              <w:bottom w:w="0" w:type="dxa"/>
              <w:right w:w="70" w:type="dxa"/>
            </w:tcMar>
            <w:hideMark/>
          </w:tcPr>
          <w:p w14:paraId="6F9F418B" w14:textId="6CB5AFB9" w:rsidR="00AE7D72" w:rsidRPr="003F44AD" w:rsidRDefault="007D3EF2" w:rsidP="00017507">
            <w:pPr>
              <w:spacing w:line="240" w:lineRule="auto"/>
              <w:rPr>
                <w:rFonts w:ascii="Times New Roman" w:hAnsi="Times New Roman"/>
                <w:szCs w:val="18"/>
              </w:rPr>
            </w:pPr>
            <w:r w:rsidRPr="007D3EF2">
              <w:rPr>
                <w:rFonts w:ascii="Calibri" w:hAnsi="Calibri" w:cs="Calibri"/>
                <w:i/>
                <w:iCs/>
                <w:color w:val="000000"/>
                <w:szCs w:val="18"/>
              </w:rPr>
              <w:t>Helminth eggs</w:t>
            </w:r>
          </w:p>
        </w:tc>
        <w:tc>
          <w:tcPr>
            <w:tcW w:w="0" w:type="auto"/>
            <w:tcMar>
              <w:top w:w="0" w:type="dxa"/>
              <w:left w:w="70" w:type="dxa"/>
              <w:bottom w:w="0" w:type="dxa"/>
              <w:right w:w="70" w:type="dxa"/>
            </w:tcMar>
            <w:hideMark/>
          </w:tcPr>
          <w:p w14:paraId="4BA27598"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Between groups</w:t>
            </w:r>
          </w:p>
        </w:tc>
        <w:tc>
          <w:tcPr>
            <w:tcW w:w="0" w:type="auto"/>
            <w:tcMar>
              <w:top w:w="0" w:type="dxa"/>
              <w:left w:w="70" w:type="dxa"/>
              <w:bottom w:w="0" w:type="dxa"/>
              <w:right w:w="70" w:type="dxa"/>
            </w:tcMar>
            <w:hideMark/>
          </w:tcPr>
          <w:p w14:paraId="32862B0D"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12073.5</w:t>
            </w:r>
          </w:p>
        </w:tc>
        <w:tc>
          <w:tcPr>
            <w:tcW w:w="0" w:type="auto"/>
            <w:tcMar>
              <w:top w:w="0" w:type="dxa"/>
              <w:left w:w="70" w:type="dxa"/>
              <w:bottom w:w="0" w:type="dxa"/>
              <w:right w:w="70" w:type="dxa"/>
            </w:tcMar>
            <w:hideMark/>
          </w:tcPr>
          <w:p w14:paraId="602E5B9A"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3</w:t>
            </w:r>
          </w:p>
        </w:tc>
        <w:tc>
          <w:tcPr>
            <w:tcW w:w="0" w:type="auto"/>
            <w:tcMar>
              <w:top w:w="0" w:type="dxa"/>
              <w:left w:w="70" w:type="dxa"/>
              <w:bottom w:w="0" w:type="dxa"/>
              <w:right w:w="70" w:type="dxa"/>
            </w:tcMar>
            <w:hideMark/>
          </w:tcPr>
          <w:p w14:paraId="6D7D0087"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4024.5</w:t>
            </w:r>
          </w:p>
        </w:tc>
        <w:tc>
          <w:tcPr>
            <w:tcW w:w="0" w:type="auto"/>
            <w:tcMar>
              <w:top w:w="0" w:type="dxa"/>
              <w:left w:w="70" w:type="dxa"/>
              <w:bottom w:w="0" w:type="dxa"/>
              <w:right w:w="70" w:type="dxa"/>
            </w:tcMar>
            <w:hideMark/>
          </w:tcPr>
          <w:p w14:paraId="6F8A3639"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862.4</w:t>
            </w:r>
          </w:p>
        </w:tc>
        <w:tc>
          <w:tcPr>
            <w:tcW w:w="0" w:type="auto"/>
            <w:tcMar>
              <w:top w:w="0" w:type="dxa"/>
              <w:left w:w="70" w:type="dxa"/>
              <w:bottom w:w="0" w:type="dxa"/>
              <w:right w:w="70" w:type="dxa"/>
            </w:tcMar>
            <w:hideMark/>
          </w:tcPr>
          <w:p w14:paraId="244F1A3A"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0</w:t>
            </w:r>
          </w:p>
        </w:tc>
      </w:tr>
      <w:tr w:rsidR="00AE7D72" w:rsidRPr="003F44AD" w14:paraId="313A699E" w14:textId="77777777" w:rsidTr="004228ED">
        <w:trPr>
          <w:trHeight w:val="239"/>
        </w:trPr>
        <w:tc>
          <w:tcPr>
            <w:tcW w:w="0" w:type="auto"/>
            <w:tcMar>
              <w:top w:w="0" w:type="dxa"/>
              <w:left w:w="70" w:type="dxa"/>
              <w:bottom w:w="0" w:type="dxa"/>
              <w:right w:w="70" w:type="dxa"/>
            </w:tcMar>
            <w:hideMark/>
          </w:tcPr>
          <w:p w14:paraId="6E207E1D" w14:textId="77777777" w:rsidR="00AE7D72" w:rsidRPr="003F44AD" w:rsidRDefault="00AE7D72" w:rsidP="00017507">
            <w:pPr>
              <w:spacing w:line="240" w:lineRule="auto"/>
              <w:rPr>
                <w:rFonts w:ascii="Times New Roman" w:hAnsi="Times New Roman"/>
                <w:szCs w:val="18"/>
              </w:rPr>
            </w:pPr>
          </w:p>
        </w:tc>
        <w:tc>
          <w:tcPr>
            <w:tcW w:w="0" w:type="auto"/>
            <w:tcMar>
              <w:top w:w="0" w:type="dxa"/>
              <w:left w:w="70" w:type="dxa"/>
              <w:bottom w:w="0" w:type="dxa"/>
              <w:right w:w="70" w:type="dxa"/>
            </w:tcMar>
            <w:hideMark/>
          </w:tcPr>
          <w:p w14:paraId="6F93124C"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Within groups</w:t>
            </w:r>
          </w:p>
        </w:tc>
        <w:tc>
          <w:tcPr>
            <w:tcW w:w="0" w:type="auto"/>
            <w:tcMar>
              <w:top w:w="0" w:type="dxa"/>
              <w:left w:w="70" w:type="dxa"/>
              <w:bottom w:w="0" w:type="dxa"/>
              <w:right w:w="70" w:type="dxa"/>
            </w:tcMar>
            <w:hideMark/>
          </w:tcPr>
          <w:p w14:paraId="7831DFDF"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37.3</w:t>
            </w:r>
          </w:p>
        </w:tc>
        <w:tc>
          <w:tcPr>
            <w:tcW w:w="0" w:type="auto"/>
            <w:tcMar>
              <w:top w:w="0" w:type="dxa"/>
              <w:left w:w="70" w:type="dxa"/>
              <w:bottom w:w="0" w:type="dxa"/>
              <w:right w:w="70" w:type="dxa"/>
            </w:tcMar>
            <w:hideMark/>
          </w:tcPr>
          <w:p w14:paraId="2C666E5E"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8</w:t>
            </w:r>
          </w:p>
        </w:tc>
        <w:tc>
          <w:tcPr>
            <w:tcW w:w="0" w:type="auto"/>
            <w:tcMar>
              <w:top w:w="0" w:type="dxa"/>
              <w:left w:w="70" w:type="dxa"/>
              <w:bottom w:w="0" w:type="dxa"/>
              <w:right w:w="70" w:type="dxa"/>
            </w:tcMar>
            <w:hideMark/>
          </w:tcPr>
          <w:p w14:paraId="70A4C577"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4.667</w:t>
            </w:r>
          </w:p>
        </w:tc>
        <w:tc>
          <w:tcPr>
            <w:tcW w:w="0" w:type="auto"/>
            <w:tcMar>
              <w:top w:w="0" w:type="dxa"/>
              <w:left w:w="70" w:type="dxa"/>
              <w:bottom w:w="0" w:type="dxa"/>
              <w:right w:w="70" w:type="dxa"/>
            </w:tcMar>
            <w:hideMark/>
          </w:tcPr>
          <w:p w14:paraId="7C3864B5" w14:textId="77777777" w:rsidR="00AE7D72" w:rsidRPr="003F44AD" w:rsidRDefault="00AE7D72" w:rsidP="00017507">
            <w:pPr>
              <w:spacing w:line="240" w:lineRule="auto"/>
              <w:rPr>
                <w:rFonts w:ascii="Times New Roman" w:hAnsi="Times New Roman"/>
                <w:szCs w:val="18"/>
              </w:rPr>
            </w:pPr>
          </w:p>
        </w:tc>
        <w:tc>
          <w:tcPr>
            <w:tcW w:w="0" w:type="auto"/>
            <w:tcMar>
              <w:top w:w="0" w:type="dxa"/>
              <w:left w:w="70" w:type="dxa"/>
              <w:bottom w:w="0" w:type="dxa"/>
              <w:right w:w="70" w:type="dxa"/>
            </w:tcMar>
            <w:hideMark/>
          </w:tcPr>
          <w:p w14:paraId="1A7C64F9" w14:textId="77777777" w:rsidR="00AE7D72" w:rsidRPr="003F44AD" w:rsidRDefault="00AE7D72" w:rsidP="00017507">
            <w:pPr>
              <w:spacing w:line="240" w:lineRule="auto"/>
              <w:rPr>
                <w:rFonts w:ascii="Times New Roman" w:hAnsi="Times New Roman"/>
                <w:szCs w:val="18"/>
              </w:rPr>
            </w:pPr>
          </w:p>
        </w:tc>
      </w:tr>
      <w:tr w:rsidR="00AE7D72" w:rsidRPr="003F44AD" w14:paraId="16AB71F8" w14:textId="77777777" w:rsidTr="004228ED">
        <w:trPr>
          <w:trHeight w:val="253"/>
        </w:trPr>
        <w:tc>
          <w:tcPr>
            <w:tcW w:w="0" w:type="auto"/>
            <w:tcBorders>
              <w:bottom w:val="single" w:sz="8" w:space="0" w:color="008000"/>
            </w:tcBorders>
            <w:tcMar>
              <w:top w:w="0" w:type="dxa"/>
              <w:left w:w="70" w:type="dxa"/>
              <w:bottom w:w="0" w:type="dxa"/>
              <w:right w:w="70" w:type="dxa"/>
            </w:tcMar>
            <w:hideMark/>
          </w:tcPr>
          <w:p w14:paraId="28F29EFA"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 </w:t>
            </w:r>
          </w:p>
        </w:tc>
        <w:tc>
          <w:tcPr>
            <w:tcW w:w="0" w:type="auto"/>
            <w:tcBorders>
              <w:bottom w:val="single" w:sz="8" w:space="0" w:color="008000"/>
            </w:tcBorders>
            <w:tcMar>
              <w:top w:w="0" w:type="dxa"/>
              <w:left w:w="70" w:type="dxa"/>
              <w:bottom w:w="0" w:type="dxa"/>
              <w:right w:w="70" w:type="dxa"/>
            </w:tcMar>
            <w:hideMark/>
          </w:tcPr>
          <w:p w14:paraId="7EC9A8B8"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Total</w:t>
            </w:r>
          </w:p>
        </w:tc>
        <w:tc>
          <w:tcPr>
            <w:tcW w:w="0" w:type="auto"/>
            <w:tcBorders>
              <w:bottom w:val="single" w:sz="8" w:space="0" w:color="008000"/>
            </w:tcBorders>
            <w:tcMar>
              <w:top w:w="0" w:type="dxa"/>
              <w:left w:w="70" w:type="dxa"/>
              <w:bottom w:w="0" w:type="dxa"/>
              <w:right w:w="70" w:type="dxa"/>
            </w:tcMar>
            <w:hideMark/>
          </w:tcPr>
          <w:p w14:paraId="195A9B20"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12110.9</w:t>
            </w:r>
          </w:p>
        </w:tc>
        <w:tc>
          <w:tcPr>
            <w:tcW w:w="0" w:type="auto"/>
            <w:tcBorders>
              <w:bottom w:val="single" w:sz="8" w:space="0" w:color="008000"/>
            </w:tcBorders>
            <w:tcMar>
              <w:top w:w="0" w:type="dxa"/>
              <w:left w:w="70" w:type="dxa"/>
              <w:bottom w:w="0" w:type="dxa"/>
              <w:right w:w="70" w:type="dxa"/>
            </w:tcMar>
            <w:hideMark/>
          </w:tcPr>
          <w:p w14:paraId="43FDCCE7"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11</w:t>
            </w:r>
          </w:p>
        </w:tc>
        <w:tc>
          <w:tcPr>
            <w:tcW w:w="0" w:type="auto"/>
            <w:tcBorders>
              <w:bottom w:val="single" w:sz="8" w:space="0" w:color="008000"/>
            </w:tcBorders>
            <w:tcMar>
              <w:top w:w="0" w:type="dxa"/>
              <w:left w:w="70" w:type="dxa"/>
              <w:bottom w:w="0" w:type="dxa"/>
              <w:right w:w="70" w:type="dxa"/>
            </w:tcMar>
            <w:hideMark/>
          </w:tcPr>
          <w:p w14:paraId="7AAA8F2F"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 </w:t>
            </w:r>
          </w:p>
        </w:tc>
        <w:tc>
          <w:tcPr>
            <w:tcW w:w="0" w:type="auto"/>
            <w:tcBorders>
              <w:bottom w:val="single" w:sz="8" w:space="0" w:color="008000"/>
            </w:tcBorders>
            <w:tcMar>
              <w:top w:w="0" w:type="dxa"/>
              <w:left w:w="70" w:type="dxa"/>
              <w:bottom w:w="0" w:type="dxa"/>
              <w:right w:w="70" w:type="dxa"/>
            </w:tcMar>
            <w:hideMark/>
          </w:tcPr>
          <w:p w14:paraId="7C43F309"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 </w:t>
            </w:r>
          </w:p>
        </w:tc>
        <w:tc>
          <w:tcPr>
            <w:tcW w:w="0" w:type="auto"/>
            <w:tcBorders>
              <w:bottom w:val="single" w:sz="8" w:space="0" w:color="008000"/>
            </w:tcBorders>
            <w:tcMar>
              <w:top w:w="0" w:type="dxa"/>
              <w:left w:w="70" w:type="dxa"/>
              <w:bottom w:w="0" w:type="dxa"/>
              <w:right w:w="70" w:type="dxa"/>
            </w:tcMar>
            <w:hideMark/>
          </w:tcPr>
          <w:p w14:paraId="55CF8EF0" w14:textId="77777777" w:rsidR="00AE7D72" w:rsidRPr="003F44AD" w:rsidRDefault="00AE7D72" w:rsidP="00017507">
            <w:pPr>
              <w:spacing w:line="240" w:lineRule="auto"/>
              <w:rPr>
                <w:rFonts w:ascii="Times New Roman" w:hAnsi="Times New Roman"/>
                <w:szCs w:val="18"/>
              </w:rPr>
            </w:pPr>
            <w:r w:rsidRPr="003F44AD">
              <w:rPr>
                <w:rFonts w:ascii="Calibri" w:hAnsi="Calibri" w:cs="Calibri"/>
                <w:color w:val="000000"/>
                <w:szCs w:val="18"/>
              </w:rPr>
              <w:t> </w:t>
            </w:r>
          </w:p>
        </w:tc>
      </w:tr>
    </w:tbl>
    <w:p w14:paraId="2D4CC85A" w14:textId="75AEDD43" w:rsidR="00333F8B" w:rsidRPr="003F44AD" w:rsidRDefault="00333F8B" w:rsidP="00925E84">
      <w:pPr>
        <w:pStyle w:val="CETBodytext"/>
        <w:spacing w:line="240" w:lineRule="auto"/>
        <w:contextualSpacing/>
        <w:rPr>
          <w:lang w:val="en-GB"/>
        </w:rPr>
      </w:pPr>
    </w:p>
    <w:p w14:paraId="2E578779" w14:textId="77777777" w:rsidR="004228ED" w:rsidRDefault="00941DCB" w:rsidP="004228ED">
      <w:pPr>
        <w:pStyle w:val="CETnumberingbullets"/>
        <w:numPr>
          <w:ilvl w:val="0"/>
          <w:numId w:val="0"/>
        </w:numPr>
        <w:jc w:val="both"/>
        <w:rPr>
          <w:b/>
        </w:rPr>
      </w:pPr>
      <w:r w:rsidRPr="003F44AD">
        <w:rPr>
          <w:b/>
        </w:rPr>
        <w:t>Conclusion</w:t>
      </w:r>
    </w:p>
    <w:p w14:paraId="4E842C43" w14:textId="6CAC7027" w:rsidR="005E623A" w:rsidRPr="003F44AD" w:rsidRDefault="005E623A" w:rsidP="004228ED">
      <w:pPr>
        <w:pStyle w:val="CETnumberingbullets"/>
        <w:numPr>
          <w:ilvl w:val="0"/>
          <w:numId w:val="0"/>
        </w:numPr>
        <w:jc w:val="both"/>
        <w:rPr>
          <w:b/>
        </w:rPr>
      </w:pPr>
      <w:r w:rsidRPr="003F44AD">
        <w:t xml:space="preserve">Waste sludge from the local wastewater treatment plant has been stabilized through the application of beneficial microorganisms that mitigated the activity of </w:t>
      </w:r>
      <w:r w:rsidR="003F44AD" w:rsidRPr="003F44AD">
        <w:rPr>
          <w:b/>
        </w:rPr>
        <w:t>sulphate</w:t>
      </w:r>
      <w:r w:rsidRPr="003F44AD">
        <w:t xml:space="preserve">-reducing bacteria through the anaerobic digestion process. The optimal dose of BMOs used as inoculum was established at 10% volume with respect to the volume of the organic load in the anaerobic reactor. This reactor operated over a period of 15 days, under almost </w:t>
      </w:r>
      <w:r w:rsidRPr="003F44AD">
        <w:lastRenderedPageBreak/>
        <w:t xml:space="preserve">stationary conditions where the alkaline pH remained close to 7.5 and the temperature remained stable at 30 </w:t>
      </w:r>
      <w:r w:rsidRPr="004B43BA">
        <w:rPr>
          <w:vertAlign w:val="superscript"/>
        </w:rPr>
        <w:t>o</w:t>
      </w:r>
      <w:r w:rsidRPr="003F44AD">
        <w:t>C, eliminating 99% of H</w:t>
      </w:r>
      <w:r w:rsidRPr="00B6475A">
        <w:rPr>
          <w:vertAlign w:val="subscript"/>
        </w:rPr>
        <w:t>2</w:t>
      </w:r>
      <w:r w:rsidRPr="003F44AD">
        <w:t xml:space="preserve">S, thus demonstrating the efficiency of the technique. Subsequently, the assisted application of precomposting eliminated almost 100% of the pathogenic microorganisms such as </w:t>
      </w:r>
      <w:r w:rsidRPr="00B6475A">
        <w:rPr>
          <w:i/>
          <w:iCs/>
        </w:rPr>
        <w:t>Salmonella, E. coli</w:t>
      </w:r>
      <w:r w:rsidRPr="003F44AD">
        <w:t xml:space="preserve"> and helminth eggs. In this case, temperature was the determining parameter, which reached 66ºC, ideally suited to sanitize the sludge.</w:t>
      </w:r>
    </w:p>
    <w:p w14:paraId="4C435150" w14:textId="76132F67" w:rsidR="00BE5DB6" w:rsidRDefault="00600535" w:rsidP="0097228E">
      <w:pPr>
        <w:pStyle w:val="CETAcknowledgementstitle"/>
        <w:spacing w:after="40" w:line="240" w:lineRule="auto"/>
        <w:contextualSpacing/>
        <w:rPr>
          <w:b w:val="0"/>
          <w:noProof/>
          <w:lang w:val="en-US"/>
        </w:rPr>
      </w:pPr>
      <w:r w:rsidRPr="003F44AD">
        <w:t>Acknowledgments</w:t>
      </w:r>
      <w:r w:rsidR="0097228E">
        <w:t xml:space="preserve">. </w:t>
      </w:r>
      <w:r w:rsidR="00F9430B" w:rsidRPr="00561F2A">
        <w:rPr>
          <w:b w:val="0"/>
          <w:noProof/>
          <w:lang w:val="en-US"/>
        </w:rPr>
        <w:t xml:space="preserve">The authors would like to thank "Investiga UCV" of the </w:t>
      </w:r>
      <w:r w:rsidR="00B6475A">
        <w:rPr>
          <w:b w:val="0"/>
          <w:noProof/>
          <w:lang w:val="en-US"/>
        </w:rPr>
        <w:t>“</w:t>
      </w:r>
      <w:r w:rsidR="00F9430B" w:rsidRPr="00561F2A">
        <w:rPr>
          <w:b w:val="0"/>
          <w:noProof/>
          <w:lang w:val="en-US"/>
        </w:rPr>
        <w:t>Universidad César Vallejo</w:t>
      </w:r>
      <w:r w:rsidR="00B6475A">
        <w:rPr>
          <w:b w:val="0"/>
          <w:noProof/>
          <w:lang w:val="en-US"/>
        </w:rPr>
        <w:t>”</w:t>
      </w:r>
      <w:r w:rsidR="00F9430B" w:rsidRPr="00561F2A">
        <w:rPr>
          <w:b w:val="0"/>
          <w:noProof/>
          <w:lang w:val="en-US"/>
        </w:rPr>
        <w:t xml:space="preserve"> for financial support for these p</w:t>
      </w:r>
      <w:r w:rsidR="000F7A38">
        <w:rPr>
          <w:b w:val="0"/>
          <w:noProof/>
          <w:lang w:val="en-US"/>
        </w:rPr>
        <w:t>ublicatio</w:t>
      </w:r>
      <w:r w:rsidR="00B6475A">
        <w:rPr>
          <w:b w:val="0"/>
          <w:noProof/>
          <w:lang w:val="en-US"/>
        </w:rPr>
        <w:t>n</w:t>
      </w:r>
      <w:r w:rsidR="000F7A38">
        <w:rPr>
          <w:b w:val="0"/>
          <w:noProof/>
          <w:lang w:val="en-US"/>
        </w:rPr>
        <w:t xml:space="preserve"> and</w:t>
      </w:r>
      <w:r w:rsidR="00B6475A">
        <w:rPr>
          <w:b w:val="0"/>
          <w:noProof/>
          <w:lang w:val="en-US"/>
        </w:rPr>
        <w:t xml:space="preserve"> the</w:t>
      </w:r>
      <w:r w:rsidR="000F7A38">
        <w:rPr>
          <w:b w:val="0"/>
          <w:noProof/>
          <w:lang w:val="en-US"/>
        </w:rPr>
        <w:t xml:space="preserve"> “</w:t>
      </w:r>
      <w:r w:rsidR="00B6475A">
        <w:rPr>
          <w:b w:val="0"/>
          <w:noProof/>
          <w:lang w:val="en-US"/>
        </w:rPr>
        <w:t>Reseacrh Group</w:t>
      </w:r>
      <w:r w:rsidR="000F7A38">
        <w:rPr>
          <w:b w:val="0"/>
          <w:noProof/>
          <w:lang w:val="en-US"/>
        </w:rPr>
        <w:t xml:space="preserve"> ICAMB –UCV” </w:t>
      </w:r>
      <w:r w:rsidR="00BE5DB6" w:rsidRPr="00BE5DB6">
        <w:rPr>
          <w:b w:val="0"/>
          <w:noProof/>
          <w:lang w:val="en-US"/>
        </w:rPr>
        <w:t>for the support in the development of this research</w:t>
      </w:r>
      <w:r w:rsidR="00BE5DB6">
        <w:rPr>
          <w:b w:val="0"/>
          <w:noProof/>
          <w:lang w:val="en-US"/>
        </w:rPr>
        <w:t>.</w:t>
      </w:r>
    </w:p>
    <w:p w14:paraId="27A62F50" w14:textId="77777777" w:rsidR="00BE5DB6" w:rsidRDefault="00BE5DB6" w:rsidP="00BE5DB6">
      <w:pPr>
        <w:pStyle w:val="CETAcknowledgementstitle"/>
        <w:spacing w:before="100" w:after="40" w:line="240" w:lineRule="auto"/>
        <w:contextualSpacing/>
        <w:jc w:val="both"/>
        <w:rPr>
          <w:b w:val="0"/>
          <w:noProof/>
          <w:lang w:val="en-US"/>
        </w:rPr>
      </w:pPr>
    </w:p>
    <w:p w14:paraId="4F1327F8" w14:textId="4D935163" w:rsidR="00600535" w:rsidRPr="00561F2A" w:rsidRDefault="00600535" w:rsidP="00BE5DB6">
      <w:pPr>
        <w:pStyle w:val="CETAcknowledgementstitle"/>
        <w:spacing w:before="100" w:after="40" w:line="240" w:lineRule="auto"/>
        <w:contextualSpacing/>
        <w:jc w:val="both"/>
      </w:pPr>
      <w:r w:rsidRPr="00561F2A">
        <w:t>References</w:t>
      </w:r>
    </w:p>
    <w:p w14:paraId="42338B24" w14:textId="4273966A" w:rsidR="004F7AAB" w:rsidRDefault="004F7AAB" w:rsidP="00C94F92">
      <w:pPr>
        <w:pStyle w:val="CETReferencetext"/>
      </w:pPr>
      <w:r w:rsidRPr="004F7AAB">
        <w:t>Amuah E.E.Y., Fei-Baffoe B., Sackey L.N.A., Douti N.B., &amp; Kazapoe R.W.</w:t>
      </w:r>
      <w:r w:rsidR="00AA3A90">
        <w:t>,</w:t>
      </w:r>
      <w:r w:rsidRPr="004F7AAB">
        <w:t xml:space="preserve"> 2022</w:t>
      </w:r>
      <w:r w:rsidR="00AA3A90">
        <w:t>,</w:t>
      </w:r>
      <w:r w:rsidRPr="004F7AAB">
        <w:t xml:space="preserve"> A review of the principles of composting: understanding the processes, methods, merits, and demerits</w:t>
      </w:r>
      <w:r w:rsidR="00AA3A90">
        <w:t>,</w:t>
      </w:r>
      <w:r w:rsidRPr="004F7AAB">
        <w:t> Organic Agriculture, 12(4), 547-562.</w:t>
      </w:r>
    </w:p>
    <w:p w14:paraId="3714A9A2" w14:textId="562279E7" w:rsidR="004F7AAB" w:rsidRDefault="004F7AAB" w:rsidP="00C94F92">
      <w:pPr>
        <w:pStyle w:val="CETReferencetext"/>
      </w:pPr>
      <w:r w:rsidRPr="004F7AAB">
        <w:t>Andreides M., Pokorná-Krayzelová L., Bartáček J., &amp; Jeníč P.</w:t>
      </w:r>
      <w:r w:rsidR="006461A9">
        <w:t>,</w:t>
      </w:r>
      <w:r w:rsidRPr="004F7AAB">
        <w:t xml:space="preserve"> 2020</w:t>
      </w:r>
      <w:r w:rsidR="006461A9">
        <w:t>,</w:t>
      </w:r>
      <w:r w:rsidRPr="004F7AAB">
        <w:t xml:space="preserve"> Biological H2S removal from gases</w:t>
      </w:r>
      <w:r w:rsidR="006461A9">
        <w:t>,</w:t>
      </w:r>
      <w:r w:rsidRPr="004F7AAB">
        <w:t xml:space="preserve"> Environmental Technologies to Treat Sulphur Pollution: Principles and Engineering</w:t>
      </w:r>
      <w:r w:rsidR="006461A9">
        <w:t>,</w:t>
      </w:r>
      <w:r w:rsidRPr="004F7AAB">
        <w:t xml:space="preserve"> IWA Publishing, 345-375.</w:t>
      </w:r>
    </w:p>
    <w:p w14:paraId="28D85A62" w14:textId="487AED53" w:rsidR="004F7AAB" w:rsidRDefault="004F7AAB" w:rsidP="00C94F92">
      <w:pPr>
        <w:pStyle w:val="CETReferencetext"/>
      </w:pPr>
      <w:r w:rsidRPr="006461A9">
        <w:t>Avidov R., Varma</w:t>
      </w:r>
      <w:r w:rsidR="006461A9" w:rsidRPr="006461A9">
        <w:t>,</w:t>
      </w:r>
      <w:r w:rsidRPr="006461A9">
        <w:t xml:space="preserve"> V.S., Saadi</w:t>
      </w:r>
      <w:r w:rsidR="006461A9" w:rsidRPr="006461A9">
        <w:t>,</w:t>
      </w:r>
      <w:r w:rsidRPr="006461A9">
        <w:t xml:space="preserve"> I., Hanan A., Lublin A., Saldinger S.S., ... </w:t>
      </w:r>
      <w:r w:rsidRPr="004F7AAB">
        <w:t>&amp; Laor Y.</w:t>
      </w:r>
      <w:r w:rsidR="006461A9">
        <w:t xml:space="preserve">, </w:t>
      </w:r>
      <w:r w:rsidRPr="004F7AAB">
        <w:t>2021</w:t>
      </w:r>
      <w:r w:rsidR="006461A9">
        <w:t>,</w:t>
      </w:r>
      <w:r w:rsidRPr="004F7AAB">
        <w:t xml:space="preserve"> Factors influencing the persistence of Salmonella infantis in broiler litter during composting and stabilization processes and following soil incorporation</w:t>
      </w:r>
      <w:r w:rsidR="006461A9">
        <w:t>,</w:t>
      </w:r>
      <w:r w:rsidRPr="004F7AAB">
        <w:t> Frontiers in Sustainable Food Systems, 5, 645721.</w:t>
      </w:r>
    </w:p>
    <w:p w14:paraId="22CAEE59" w14:textId="0FFFC9FC" w:rsidR="004F7AAB" w:rsidRDefault="004F7AAB" w:rsidP="00C94F92">
      <w:pPr>
        <w:pStyle w:val="CETReferencetext"/>
      </w:pPr>
      <w:r w:rsidRPr="006461A9">
        <w:rPr>
          <w:lang w:val="es-PE"/>
        </w:rPr>
        <w:t xml:space="preserve">Cardoso M.J., Nicolau A.I., Borda D., Nielsen L., Maia R.L., Møretrø T., ... </w:t>
      </w:r>
      <w:r w:rsidRPr="006461A9">
        <w:t>&amp; Teixeira P.</w:t>
      </w:r>
      <w:r w:rsidR="006461A9" w:rsidRPr="006461A9">
        <w:t>,</w:t>
      </w:r>
      <w:r w:rsidRPr="006461A9">
        <w:t xml:space="preserve"> 2021</w:t>
      </w:r>
      <w:r w:rsidR="006461A9" w:rsidRPr="006461A9">
        <w:t>,</w:t>
      </w:r>
      <w:r w:rsidRPr="006461A9">
        <w:t xml:space="preserve"> </w:t>
      </w:r>
      <w:r w:rsidRPr="004F7AAB">
        <w:t>Salmonella in eggs: From shopping to consumption—A review providing an evidence</w:t>
      </w:r>
      <w:r w:rsidRPr="004F7AAB">
        <w:rPr>
          <w:rFonts w:ascii="Cambria Math" w:hAnsi="Cambria Math" w:cs="Cambria Math"/>
        </w:rPr>
        <w:t>‐</w:t>
      </w:r>
      <w:r w:rsidRPr="004F7AAB">
        <w:t>based analysis of risk factors</w:t>
      </w:r>
      <w:r w:rsidR="006461A9">
        <w:t>,</w:t>
      </w:r>
      <w:r w:rsidRPr="004F7AAB">
        <w:t xml:space="preserve"> Comprehensive Reviews in Food Science and Food Safety, 20(3), 2716-2741.</w:t>
      </w:r>
    </w:p>
    <w:p w14:paraId="27DFCF47" w14:textId="704C9918" w:rsidR="004F7AAB" w:rsidRPr="004F7AAB" w:rsidRDefault="004F7AAB" w:rsidP="004F7AAB">
      <w:pPr>
        <w:pStyle w:val="CETReferencetext"/>
      </w:pPr>
      <w:r w:rsidRPr="004F7AAB">
        <w:t>Chen Z., Li Y., Peng Y., Mironov V., Chen J., Jin H., &amp; Zhang S.</w:t>
      </w:r>
      <w:r w:rsidR="006461A9">
        <w:t>,</w:t>
      </w:r>
      <w:r w:rsidRPr="004F7AAB">
        <w:t xml:space="preserve"> 2022</w:t>
      </w:r>
      <w:r w:rsidR="006461A9">
        <w:t>,</w:t>
      </w:r>
      <w:r w:rsidRPr="004F7AAB">
        <w:t xml:space="preserve"> Feasibility of sewage sludge and food waste aerobic co-composting: Physicochemical properties, microbial community structures, and contradiction between microbial metabolic activity and safety risks</w:t>
      </w:r>
      <w:r w:rsidR="006461A9">
        <w:t>,</w:t>
      </w:r>
      <w:r w:rsidRPr="004F7AAB">
        <w:t> Science of the Total Environment, 825, 154047.</w:t>
      </w:r>
    </w:p>
    <w:p w14:paraId="2926B082" w14:textId="0A35ED27" w:rsidR="004F7AAB" w:rsidRDefault="004F7AAB" w:rsidP="004F7AAB">
      <w:pPr>
        <w:pStyle w:val="CETReferencetext"/>
      </w:pPr>
      <w:r w:rsidRPr="004F7AAB">
        <w:t>Chen Z., Li</w:t>
      </w:r>
      <w:r w:rsidR="00545057">
        <w:t>,</w:t>
      </w:r>
      <w:r w:rsidRPr="004F7AAB">
        <w:t xml:space="preserve"> Y.Z., Peng</w:t>
      </w:r>
      <w:r w:rsidR="00545057">
        <w:t>,</w:t>
      </w:r>
      <w:r w:rsidRPr="004F7AAB">
        <w:t xml:space="preserve"> Y.Y., Ye C.S., Zhang S.H., 2020</w:t>
      </w:r>
      <w:r w:rsidR="00545057">
        <w:t>,</w:t>
      </w:r>
      <w:r w:rsidRPr="004F7AAB">
        <w:t xml:space="preserve"> Effects of antibiotics on hydrolase</w:t>
      </w:r>
      <w:r>
        <w:t xml:space="preserve"> </w:t>
      </w:r>
      <w:r w:rsidRPr="004F7AAB">
        <w:t>activity and structure of microbial community during aerobic co-composting of food</w:t>
      </w:r>
      <w:r>
        <w:t xml:space="preserve"> </w:t>
      </w:r>
      <w:r w:rsidRPr="004F7AAB">
        <w:t>waste with sewage sludge</w:t>
      </w:r>
      <w:r w:rsidR="00545057">
        <w:t>,</w:t>
      </w:r>
      <w:r w:rsidRPr="004F7AAB">
        <w:t xml:space="preserve"> Bioresour</w:t>
      </w:r>
      <w:r w:rsidR="00545057">
        <w:t>,</w:t>
      </w:r>
      <w:r w:rsidRPr="004F7AAB">
        <w:t xml:space="preserve"> Technol. 321, 124506</w:t>
      </w:r>
    </w:p>
    <w:p w14:paraId="736CF4F9" w14:textId="26A2B0D3" w:rsidR="008555EA" w:rsidRDefault="008555EA" w:rsidP="004F7AAB">
      <w:pPr>
        <w:pStyle w:val="CETReferencetext"/>
      </w:pPr>
      <w:r w:rsidRPr="008555EA">
        <w:rPr>
          <w:lang w:val="en-US"/>
        </w:rPr>
        <w:t>Jacobo U</w:t>
      </w:r>
      <w:r w:rsidRPr="008555EA">
        <w:rPr>
          <w:lang w:val="en-US"/>
        </w:rPr>
        <w:t>.</w:t>
      </w:r>
      <w:r w:rsidRPr="008555EA">
        <w:rPr>
          <w:lang w:val="en-US"/>
        </w:rPr>
        <w:t>E.R., Cabello-Torres R.J., Romero-Cabello</w:t>
      </w:r>
      <w:r w:rsidRPr="008555EA">
        <w:rPr>
          <w:lang w:val="en-US"/>
        </w:rPr>
        <w:t xml:space="preserve"> E.</w:t>
      </w:r>
      <w:r w:rsidRPr="008555EA">
        <w:rPr>
          <w:lang w:val="en-US"/>
        </w:rPr>
        <w:t>A.</w:t>
      </w:r>
      <w:r w:rsidRPr="008555EA">
        <w:rPr>
          <w:lang w:val="en-US"/>
        </w:rPr>
        <w:t>,</w:t>
      </w:r>
      <w:r w:rsidRPr="008555EA">
        <w:rPr>
          <w:lang w:val="en-US"/>
        </w:rPr>
        <w:t xml:space="preserve"> 2023</w:t>
      </w:r>
      <w:r>
        <w:rPr>
          <w:lang w:val="en-US"/>
        </w:rPr>
        <w:t>,</w:t>
      </w:r>
      <w:r w:rsidRPr="008555EA">
        <w:rPr>
          <w:lang w:val="en-US"/>
        </w:rPr>
        <w:t xml:space="preserve"> </w:t>
      </w:r>
      <w:r w:rsidRPr="008555EA">
        <w:t>Use of Agricultural Residues of Rice Straw and Sheep Manure as Substrates for Biogas Production by Anaerobic Co-Digestion. CET Journal-Chemical Engineering Transactions, 100.</w:t>
      </w:r>
    </w:p>
    <w:p w14:paraId="4ACCF501" w14:textId="449D6360" w:rsidR="004F7AAB" w:rsidRPr="00545057" w:rsidRDefault="00112B3C" w:rsidP="004F7AAB">
      <w:pPr>
        <w:pStyle w:val="CETReferencetext"/>
      </w:pPr>
      <w:r w:rsidRPr="00545057">
        <w:t>Khadra A., Ezzariai</w:t>
      </w:r>
      <w:r w:rsidR="00545057" w:rsidRPr="00545057">
        <w:t>,</w:t>
      </w:r>
      <w:r w:rsidRPr="00545057">
        <w:t xml:space="preserve"> A., Kouisni</w:t>
      </w:r>
      <w:r w:rsidR="00545057" w:rsidRPr="00545057">
        <w:t>,</w:t>
      </w:r>
      <w:r w:rsidRPr="00545057">
        <w:t xml:space="preserve"> L., &amp; Hafidi</w:t>
      </w:r>
      <w:r w:rsidR="00545057" w:rsidRPr="00545057">
        <w:t>,</w:t>
      </w:r>
      <w:r w:rsidRPr="00545057">
        <w:t xml:space="preserve"> M.</w:t>
      </w:r>
      <w:r w:rsidR="00545057" w:rsidRPr="00545057">
        <w:t xml:space="preserve">, </w:t>
      </w:r>
      <w:r w:rsidRPr="00545057">
        <w:t>2021</w:t>
      </w:r>
      <w:r w:rsidR="00545057" w:rsidRPr="00545057">
        <w:t>,</w:t>
      </w:r>
      <w:r w:rsidRPr="00545057">
        <w:t xml:space="preserve"> </w:t>
      </w:r>
      <w:r w:rsidRPr="00112B3C">
        <w:t>Helminth eggs inactivation efficiency by sludge co-composting under arid climates</w:t>
      </w:r>
      <w:r w:rsidR="00545057">
        <w:t>,</w:t>
      </w:r>
      <w:r w:rsidRPr="00112B3C">
        <w:t> </w:t>
      </w:r>
      <w:r w:rsidRPr="00545057">
        <w:t>International Journal of Environmental Health Research, 31(5), 530-537.</w:t>
      </w:r>
    </w:p>
    <w:p w14:paraId="09D357FD" w14:textId="77C88738" w:rsidR="00112B3C" w:rsidRPr="00545057" w:rsidRDefault="00112B3C" w:rsidP="004F7AAB">
      <w:pPr>
        <w:pStyle w:val="CETReferencetext"/>
      </w:pPr>
      <w:r w:rsidRPr="00545057">
        <w:t>López-González J.A., Estrella-González M.J., Lerma-Moliz R., Jurado M.M., Suárez-Estrella F., &amp; López M.J.</w:t>
      </w:r>
      <w:r w:rsidR="00545057" w:rsidRPr="00545057">
        <w:t>,</w:t>
      </w:r>
      <w:r w:rsidRPr="00545057">
        <w:t xml:space="preserve"> 2021</w:t>
      </w:r>
      <w:r w:rsidR="00545057" w:rsidRPr="00545057">
        <w:t>,</w:t>
      </w:r>
      <w:r w:rsidRPr="00545057">
        <w:t xml:space="preserve"> </w:t>
      </w:r>
      <w:r w:rsidRPr="00112B3C">
        <w:t>Industrial composting of sewage sludge: study of the bacteriome, sanitation, and antibiotic-resistant strains</w:t>
      </w:r>
      <w:r w:rsidR="00545057">
        <w:t>,</w:t>
      </w:r>
      <w:r w:rsidRPr="00112B3C">
        <w:t> </w:t>
      </w:r>
      <w:r w:rsidRPr="00545057">
        <w:t>Frontiers in Microbiology, 12, 784071.</w:t>
      </w:r>
    </w:p>
    <w:p w14:paraId="575617FC" w14:textId="1338C250" w:rsidR="00112B3C" w:rsidRDefault="00112B3C" w:rsidP="00112B3C">
      <w:pPr>
        <w:pStyle w:val="CETReferencetext"/>
        <w:rPr>
          <w:lang w:val="es-PE"/>
        </w:rPr>
      </w:pPr>
      <w:r w:rsidRPr="00112B3C">
        <w:rPr>
          <w:lang w:val="es-PE"/>
        </w:rPr>
        <w:t>M</w:t>
      </w:r>
      <w:r w:rsidR="00545057">
        <w:rPr>
          <w:lang w:val="es-PE"/>
        </w:rPr>
        <w:t>eza</w:t>
      </w:r>
      <w:r w:rsidRPr="00112B3C">
        <w:rPr>
          <w:lang w:val="es-PE"/>
        </w:rPr>
        <w:t xml:space="preserve"> </w:t>
      </w:r>
      <w:r w:rsidR="00967457" w:rsidRPr="00112B3C">
        <w:rPr>
          <w:lang w:val="es-PE"/>
        </w:rPr>
        <w:t>Víctor</w:t>
      </w:r>
      <w:r w:rsidRPr="00112B3C">
        <w:rPr>
          <w:lang w:val="es-PE"/>
        </w:rPr>
        <w:t>. Informe de produc</w:t>
      </w:r>
      <w:r w:rsidR="00545057">
        <w:rPr>
          <w:lang w:val="es-PE"/>
        </w:rPr>
        <w:t>ción</w:t>
      </w:r>
      <w:r w:rsidRPr="00112B3C">
        <w:rPr>
          <w:lang w:val="es-PE"/>
        </w:rPr>
        <w:t xml:space="preserve"> de </w:t>
      </w:r>
      <w:r w:rsidR="00545057">
        <w:rPr>
          <w:lang w:val="es-PE"/>
        </w:rPr>
        <w:t>MOB</w:t>
      </w:r>
      <w:r w:rsidRPr="00112B3C">
        <w:rPr>
          <w:lang w:val="es-PE"/>
        </w:rPr>
        <w:t xml:space="preserve">s, ensilados y genkydamas. Programa de doctorado en </w:t>
      </w:r>
      <w:r w:rsidR="00545057" w:rsidRPr="00112B3C">
        <w:rPr>
          <w:lang w:val="es-PE"/>
        </w:rPr>
        <w:t>Ingeniería</w:t>
      </w:r>
      <w:r w:rsidRPr="00112B3C">
        <w:rPr>
          <w:lang w:val="es-PE"/>
        </w:rPr>
        <w:t xml:space="preserve"> y Ciencias ambientales (DICA), 2017.</w:t>
      </w:r>
    </w:p>
    <w:p w14:paraId="6D39B7BD" w14:textId="2CCDDBCA" w:rsidR="00112B3C" w:rsidRPr="00E228F4" w:rsidRDefault="00112B3C" w:rsidP="00112B3C">
      <w:pPr>
        <w:pStyle w:val="CETReferencetext"/>
        <w:rPr>
          <w:lang w:val="es-PE"/>
        </w:rPr>
      </w:pPr>
      <w:r w:rsidRPr="00E228F4">
        <w:rPr>
          <w:lang w:val="es-PE"/>
        </w:rPr>
        <w:t>Nie</w:t>
      </w:r>
      <w:r w:rsidR="00967457" w:rsidRPr="00E228F4">
        <w:rPr>
          <w:lang w:val="es-PE"/>
        </w:rPr>
        <w:t>,</w:t>
      </w:r>
      <w:r w:rsidRPr="00E228F4">
        <w:rPr>
          <w:lang w:val="es-PE"/>
        </w:rPr>
        <w:t xml:space="preserve"> E., He</w:t>
      </w:r>
      <w:r w:rsidR="00967457" w:rsidRPr="00E228F4">
        <w:rPr>
          <w:lang w:val="es-PE"/>
        </w:rPr>
        <w:t>,</w:t>
      </w:r>
      <w:r w:rsidRPr="00E228F4">
        <w:rPr>
          <w:lang w:val="es-PE"/>
        </w:rPr>
        <w:t xml:space="preserve"> P., Zhang H., Hao</w:t>
      </w:r>
      <w:r w:rsidR="00967457" w:rsidRPr="00E228F4">
        <w:rPr>
          <w:lang w:val="es-PE"/>
        </w:rPr>
        <w:t>,</w:t>
      </w:r>
      <w:r w:rsidRPr="00E228F4">
        <w:rPr>
          <w:lang w:val="es-PE"/>
        </w:rPr>
        <w:t xml:space="preserve"> L., Shao L., &amp; Lü F.</w:t>
      </w:r>
      <w:r w:rsidR="00967457" w:rsidRPr="00E228F4">
        <w:rPr>
          <w:lang w:val="es-PE"/>
        </w:rPr>
        <w:t>,</w:t>
      </w:r>
      <w:r w:rsidRPr="00E228F4">
        <w:rPr>
          <w:lang w:val="es-PE"/>
        </w:rPr>
        <w:t xml:space="preserve"> 2021</w:t>
      </w:r>
      <w:r w:rsidR="00967457" w:rsidRPr="00E228F4">
        <w:rPr>
          <w:lang w:val="es-PE"/>
        </w:rPr>
        <w:t xml:space="preserve">, </w:t>
      </w:r>
      <w:r w:rsidRPr="00E228F4">
        <w:rPr>
          <w:lang w:val="es-PE"/>
        </w:rPr>
        <w:t xml:space="preserve">How does temperature regulate anaerobic </w:t>
      </w:r>
      <w:r w:rsidR="004B43BA" w:rsidRPr="00E228F4">
        <w:rPr>
          <w:lang w:val="es-PE"/>
        </w:rPr>
        <w:t>digestion?,</w:t>
      </w:r>
      <w:r w:rsidRPr="00E228F4">
        <w:rPr>
          <w:lang w:val="es-PE"/>
        </w:rPr>
        <w:t> Renewable and Sustainable Energy Reviews, 150, 111453.</w:t>
      </w:r>
    </w:p>
    <w:p w14:paraId="41B5936E" w14:textId="3A8D6D1A" w:rsidR="00112B3C" w:rsidRPr="003F44AD" w:rsidRDefault="00112B3C" w:rsidP="00112B3C">
      <w:pPr>
        <w:pStyle w:val="CETReferencetext"/>
      </w:pPr>
      <w:r w:rsidRPr="00112B3C">
        <w:rPr>
          <w:lang w:val="en-US"/>
        </w:rPr>
        <w:t>Oh S. J., Ha S.H.</w:t>
      </w:r>
      <w:r w:rsidR="00967457">
        <w:rPr>
          <w:lang w:val="en-US"/>
        </w:rPr>
        <w:t>,</w:t>
      </w:r>
      <w:r w:rsidRPr="00112B3C">
        <w:rPr>
          <w:lang w:val="en-US"/>
        </w:rPr>
        <w:t xml:space="preserve"> Noh E.J., Shin S.G., &amp; Ahn J.</w:t>
      </w:r>
      <w:r w:rsidR="00967457">
        <w:rPr>
          <w:lang w:val="en-US"/>
        </w:rPr>
        <w:t>,</w:t>
      </w:r>
      <w:r w:rsidRPr="00112B3C">
        <w:rPr>
          <w:lang w:val="en-US"/>
        </w:rPr>
        <w:t xml:space="preserve"> H.</w:t>
      </w:r>
      <w:r w:rsidR="00967457">
        <w:rPr>
          <w:lang w:val="en-US"/>
        </w:rPr>
        <w:t>,</w:t>
      </w:r>
      <w:r w:rsidRPr="00112B3C">
        <w:rPr>
          <w:lang w:val="en-US"/>
        </w:rPr>
        <w:t xml:space="preserve"> 2024</w:t>
      </w:r>
      <w:r w:rsidR="00967457">
        <w:rPr>
          <w:lang w:val="en-US"/>
        </w:rPr>
        <w:t>,</w:t>
      </w:r>
      <w:r w:rsidRPr="00112B3C">
        <w:rPr>
          <w:lang w:val="en-US"/>
        </w:rPr>
        <w:t xml:space="preserve"> Effect of iron powder on hydrogen sulfide reduction and phosphate removal in semi</w:t>
      </w:r>
      <w:r w:rsidRPr="00112B3C">
        <w:rPr>
          <w:rFonts w:ascii="Cambria Math" w:hAnsi="Cambria Math" w:cs="Cambria Math"/>
          <w:lang w:val="en-US"/>
        </w:rPr>
        <w:t>‐</w:t>
      </w:r>
      <w:r w:rsidRPr="00112B3C">
        <w:rPr>
          <w:lang w:val="en-US"/>
        </w:rPr>
        <w:t>continuous anaerobic digestion treating primary sludge</w:t>
      </w:r>
      <w:r w:rsidR="00967457">
        <w:rPr>
          <w:lang w:val="en-US"/>
        </w:rPr>
        <w:t>,</w:t>
      </w:r>
      <w:r w:rsidRPr="00112B3C">
        <w:rPr>
          <w:lang w:val="en-US"/>
        </w:rPr>
        <w:t xml:space="preserve"> </w:t>
      </w:r>
      <w:r w:rsidRPr="003F44AD">
        <w:t>Journal of Chemical Technology &amp; Biotechnology.</w:t>
      </w:r>
    </w:p>
    <w:p w14:paraId="60876F5D" w14:textId="7C10AEE5" w:rsidR="00112B3C" w:rsidRPr="003F44AD" w:rsidRDefault="00112B3C" w:rsidP="00112B3C">
      <w:pPr>
        <w:pStyle w:val="CETReferencetext"/>
      </w:pPr>
      <w:r w:rsidRPr="00967457">
        <w:t xml:space="preserve">Okada E., Young B.J., Pérez D.J., Pellegrini M.C., Carciochi W.D., Lavallén C.M., ... </w:t>
      </w:r>
      <w:r w:rsidRPr="004B43BA">
        <w:t>&amp; Rizzo P.F.</w:t>
      </w:r>
      <w:r w:rsidR="00967457" w:rsidRPr="004B43BA">
        <w:t>,</w:t>
      </w:r>
      <w:r w:rsidRPr="004B43BA">
        <w:t xml:space="preserve"> 2024</w:t>
      </w:r>
      <w:r w:rsidR="00967457" w:rsidRPr="004B43BA">
        <w:t>,</w:t>
      </w:r>
      <w:r w:rsidRPr="004B43BA">
        <w:t xml:space="preserve"> </w:t>
      </w:r>
      <w:r w:rsidRPr="00112B3C">
        <w:rPr>
          <w:lang w:val="en-US"/>
        </w:rPr>
        <w:t>Effect of on-farm poultry litter composting processes on physicochemical, biological, and toxicological parameters and reduction of antibiotics and antibiotic-resistant Escherichia coli</w:t>
      </w:r>
      <w:r w:rsidR="004B43BA">
        <w:rPr>
          <w:lang w:val="en-US"/>
        </w:rPr>
        <w:t>,</w:t>
      </w:r>
      <w:r w:rsidRPr="00112B3C">
        <w:rPr>
          <w:lang w:val="en-US"/>
        </w:rPr>
        <w:t> </w:t>
      </w:r>
      <w:r w:rsidRPr="003F44AD">
        <w:t>Waste Management, 174, 310-319.</w:t>
      </w:r>
    </w:p>
    <w:p w14:paraId="5EEA8776" w14:textId="14E1A1CC" w:rsidR="00112B3C" w:rsidRPr="004B43BA" w:rsidRDefault="00112B3C" w:rsidP="004B43BA">
      <w:pPr>
        <w:pStyle w:val="CETReferencetext"/>
        <w:rPr>
          <w:lang w:val="en-US"/>
        </w:rPr>
      </w:pPr>
      <w:r w:rsidRPr="00112B3C">
        <w:rPr>
          <w:lang w:val="en-US"/>
        </w:rPr>
        <w:t>Ou H.W., Chou M.S., &amp; Chang H.Y.</w:t>
      </w:r>
      <w:r w:rsidR="004B43BA">
        <w:rPr>
          <w:lang w:val="en-US"/>
        </w:rPr>
        <w:t>,</w:t>
      </w:r>
      <w:r w:rsidRPr="00112B3C">
        <w:rPr>
          <w:lang w:val="en-US"/>
        </w:rPr>
        <w:t xml:space="preserve"> 2020</w:t>
      </w:r>
      <w:r w:rsidR="004B43BA">
        <w:rPr>
          <w:lang w:val="en-US"/>
        </w:rPr>
        <w:t>,</w:t>
      </w:r>
      <w:r w:rsidRPr="00112B3C">
        <w:rPr>
          <w:lang w:val="en-US"/>
        </w:rPr>
        <w:t xml:space="preserve"> Removal of hydrogen sulfide from biogas using a bubbling tank fed with aerated wastewater</w:t>
      </w:r>
      <w:r w:rsidR="004B43BA">
        <w:rPr>
          <w:lang w:val="en-US"/>
        </w:rPr>
        <w:t>,</w:t>
      </w:r>
      <w:r w:rsidRPr="00112B3C">
        <w:rPr>
          <w:lang w:val="en-US"/>
        </w:rPr>
        <w:t xml:space="preserve"> </w:t>
      </w:r>
      <w:r w:rsidRPr="003F44AD">
        <w:t>Aerosol and Air Quality Research, 20(3), 643-653.</w:t>
      </w:r>
    </w:p>
    <w:p w14:paraId="56BDF11F" w14:textId="53513E9F" w:rsidR="00112B3C" w:rsidRPr="003F44AD" w:rsidRDefault="00112B3C" w:rsidP="00112B3C">
      <w:pPr>
        <w:pStyle w:val="CETReferencetext"/>
      </w:pPr>
      <w:r w:rsidRPr="004B43BA">
        <w:t>Pezzolla D., Cucina M., Proietti P., Calisti R., Regni L., &amp; Gigliotti G.</w:t>
      </w:r>
      <w:r w:rsidR="004B43BA" w:rsidRPr="004B43BA">
        <w:t>,</w:t>
      </w:r>
      <w:r w:rsidRPr="004B43BA">
        <w:t xml:space="preserve"> 2021</w:t>
      </w:r>
      <w:r w:rsidR="004B43BA" w:rsidRPr="004B43BA">
        <w:t>,</w:t>
      </w:r>
      <w:r w:rsidRPr="004B43BA">
        <w:t xml:space="preserve"> </w:t>
      </w:r>
      <w:r w:rsidRPr="00112B3C">
        <w:rPr>
          <w:lang w:val="en-US"/>
        </w:rPr>
        <w:t>The use of new parameters to optimize the composting process of different organic wastes</w:t>
      </w:r>
      <w:r w:rsidR="004B43BA">
        <w:rPr>
          <w:lang w:val="en-US"/>
        </w:rPr>
        <w:t>,</w:t>
      </w:r>
      <w:r w:rsidRPr="00112B3C">
        <w:rPr>
          <w:lang w:val="en-US"/>
        </w:rPr>
        <w:t> </w:t>
      </w:r>
      <w:r w:rsidRPr="003F44AD">
        <w:t>Agronomy, 11(10), 2090.</w:t>
      </w:r>
    </w:p>
    <w:p w14:paraId="77977557" w14:textId="6802A890" w:rsidR="00012CE1" w:rsidRPr="004B43BA" w:rsidRDefault="00012CE1" w:rsidP="00112B3C">
      <w:pPr>
        <w:pStyle w:val="CETReferencetext"/>
      </w:pPr>
      <w:r w:rsidRPr="00012CE1">
        <w:rPr>
          <w:lang w:val="en-US"/>
        </w:rPr>
        <w:t>Rathnayake D., Krishna K.B., Kastl G., &amp; Sathasivan A.</w:t>
      </w:r>
      <w:r w:rsidR="004B43BA">
        <w:rPr>
          <w:lang w:val="en-US"/>
        </w:rPr>
        <w:t>,</w:t>
      </w:r>
      <w:r w:rsidRPr="00012CE1">
        <w:rPr>
          <w:lang w:val="en-US"/>
        </w:rPr>
        <w:t xml:space="preserve"> 2021</w:t>
      </w:r>
      <w:r w:rsidR="004B43BA">
        <w:rPr>
          <w:lang w:val="en-US"/>
        </w:rPr>
        <w:t>,</w:t>
      </w:r>
      <w:r w:rsidRPr="00012CE1">
        <w:rPr>
          <w:lang w:val="en-US"/>
        </w:rPr>
        <w:t xml:space="preserve"> The role of pH on sewer corrosion processes and control methods: A review</w:t>
      </w:r>
      <w:r w:rsidR="004B43BA">
        <w:rPr>
          <w:lang w:val="en-US"/>
        </w:rPr>
        <w:t>,</w:t>
      </w:r>
      <w:r w:rsidRPr="00012CE1">
        <w:rPr>
          <w:lang w:val="en-US"/>
        </w:rPr>
        <w:t xml:space="preserve"> </w:t>
      </w:r>
      <w:r w:rsidRPr="004B43BA">
        <w:t>Science of the Total Environment, 782, 146616.</w:t>
      </w:r>
    </w:p>
    <w:p w14:paraId="61FA1C87" w14:textId="4520FD45" w:rsidR="004F7AAB" w:rsidRPr="008555EA" w:rsidRDefault="00C00D09" w:rsidP="004F7AAB">
      <w:pPr>
        <w:pStyle w:val="CETReferencetext"/>
        <w:rPr>
          <w:lang w:val="en-US"/>
        </w:rPr>
      </w:pPr>
      <w:r w:rsidRPr="008555EA">
        <w:rPr>
          <w:lang w:val="en-US"/>
        </w:rPr>
        <w:t>Zhao Q., &amp; Liu Y.</w:t>
      </w:r>
      <w:r w:rsidR="004B43BA" w:rsidRPr="008555EA">
        <w:rPr>
          <w:lang w:val="en-US"/>
        </w:rPr>
        <w:t>,</w:t>
      </w:r>
      <w:r w:rsidRPr="008555EA">
        <w:rPr>
          <w:lang w:val="en-US"/>
        </w:rPr>
        <w:t xml:space="preserve"> 2019</w:t>
      </w:r>
      <w:r w:rsidR="004B43BA" w:rsidRPr="008555EA">
        <w:rPr>
          <w:lang w:val="en-US"/>
        </w:rPr>
        <w:t>,</w:t>
      </w:r>
      <w:r w:rsidRPr="008555EA">
        <w:rPr>
          <w:lang w:val="en-US"/>
        </w:rPr>
        <w:t xml:space="preserve"> Is anaerobic digestion a reliable barrier for deactivation of pathogens in biosludge?</w:t>
      </w:r>
      <w:r w:rsidR="004B43BA" w:rsidRPr="008555EA">
        <w:rPr>
          <w:lang w:val="en-US"/>
        </w:rPr>
        <w:t>,</w:t>
      </w:r>
      <w:r w:rsidRPr="008555EA">
        <w:rPr>
          <w:lang w:val="en-US"/>
        </w:rPr>
        <w:t> Science of the Total Environment, 668, 893-902.</w:t>
      </w:r>
    </w:p>
    <w:p w14:paraId="26D939E7" w14:textId="4974D9D7" w:rsidR="00921E3B" w:rsidRPr="00921E3B" w:rsidRDefault="00921E3B" w:rsidP="004F7AAB">
      <w:pPr>
        <w:pStyle w:val="CETReferencetext"/>
        <w:rPr>
          <w:lang w:val="es-PE"/>
        </w:rPr>
      </w:pPr>
      <w:r w:rsidRPr="00921E3B">
        <w:rPr>
          <w:lang w:val="es-PE"/>
        </w:rPr>
        <w:t>Zhao, J., Hou, T., Lei, Z., Shimizu, K., &amp; Zhang, Z. (2020). Effect of biogas recirculation strategy on biogas upgrading and process stability of anaerobic digestion of sewage sludge under slightly alkaline condition. Bioresource technology, 308, 123293.</w:t>
      </w:r>
    </w:p>
    <w:sectPr w:rsidR="00921E3B" w:rsidRPr="00921E3B" w:rsidSect="00EF06D9">
      <w:type w:val="continuous"/>
      <w:pgSz w:w="11906" w:h="16838" w:code="9"/>
      <w:pgMar w:top="1701" w:right="1418" w:bottom="1701" w:left="1701" w:header="1701" w:footer="0" w:gutter="0"/>
      <w:cols w:space="708"/>
      <w:formProt w:val="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005684" w16cid:durableId="29B22CA8"/>
  <w16cid:commentId w16cid:paraId="218E9149" w16cid:durableId="29B23029"/>
  <w16cid:commentId w16cid:paraId="66229E25" w16cid:durableId="29B22F43"/>
  <w16cid:commentId w16cid:paraId="48556364" w16cid:durableId="29B22F20"/>
  <w16cid:commentId w16cid:paraId="161FE081" w16cid:durableId="29B22F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CC6DA" w14:textId="77777777" w:rsidR="000D5729" w:rsidRDefault="000D5729" w:rsidP="004F5E36">
      <w:r>
        <w:separator/>
      </w:r>
    </w:p>
  </w:endnote>
  <w:endnote w:type="continuationSeparator" w:id="0">
    <w:p w14:paraId="7B54AB6A" w14:textId="77777777" w:rsidR="000D5729" w:rsidRDefault="000D572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haris SIL">
    <w:altName w:val="Charis SIL"/>
    <w:panose1 w:val="00000000000000000000"/>
    <w:charset w:val="00"/>
    <w:family w:val="swiss"/>
    <w:notTrueType/>
    <w:pitch w:val="default"/>
    <w:sig w:usb0="00000003" w:usb1="00000000" w:usb2="00000000" w:usb3="00000000" w:csb0="00000001"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24290" w14:textId="77777777" w:rsidR="000D5729" w:rsidRDefault="000D5729" w:rsidP="004F5E36">
      <w:r>
        <w:separator/>
      </w:r>
    </w:p>
  </w:footnote>
  <w:footnote w:type="continuationSeparator" w:id="0">
    <w:p w14:paraId="6214A9C3" w14:textId="77777777" w:rsidR="000D5729" w:rsidRDefault="000D5729"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1EB658F"/>
    <w:multiLevelType w:val="hybridMultilevel"/>
    <w:tmpl w:val="B5DC55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2"/>
  </w:num>
  <w:num w:numId="14">
    <w:abstractNumId w:val="19"/>
  </w:num>
  <w:num w:numId="15">
    <w:abstractNumId w:val="21"/>
  </w:num>
  <w:num w:numId="16">
    <w:abstractNumId w:val="20"/>
  </w:num>
  <w:num w:numId="17">
    <w:abstractNumId w:val="11"/>
  </w:num>
  <w:num w:numId="18">
    <w:abstractNumId w:val="12"/>
    <w:lvlOverride w:ilvl="0">
      <w:startOverride w:val="1"/>
    </w:lvlOverride>
  </w:num>
  <w:num w:numId="19">
    <w:abstractNumId w:val="17"/>
  </w:num>
  <w:num w:numId="20">
    <w:abstractNumId w:val="15"/>
  </w:num>
  <w:num w:numId="21">
    <w:abstractNumId w:val="14"/>
  </w:num>
  <w:num w:numId="22">
    <w:abstractNumId w:val="13"/>
  </w:num>
  <w:num w:numId="23">
    <w:abstractNumId w:val="10"/>
  </w:num>
  <w:num w:numId="24">
    <w:abstractNumId w:val="10"/>
  </w:num>
  <w:num w:numId="25">
    <w:abstractNumId w:val="10"/>
  </w:num>
  <w:num w:numId="26">
    <w:abstractNumId w:val="1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CFD"/>
    <w:rsid w:val="000027C0"/>
    <w:rsid w:val="000042F3"/>
    <w:rsid w:val="000052FB"/>
    <w:rsid w:val="000117CB"/>
    <w:rsid w:val="00012CE1"/>
    <w:rsid w:val="00017507"/>
    <w:rsid w:val="000206BD"/>
    <w:rsid w:val="00020AA5"/>
    <w:rsid w:val="0003148D"/>
    <w:rsid w:val="000317D3"/>
    <w:rsid w:val="00031EEC"/>
    <w:rsid w:val="000368FD"/>
    <w:rsid w:val="000459B2"/>
    <w:rsid w:val="00051566"/>
    <w:rsid w:val="000562A9"/>
    <w:rsid w:val="00062A9A"/>
    <w:rsid w:val="00065058"/>
    <w:rsid w:val="00086A08"/>
    <w:rsid w:val="00086C39"/>
    <w:rsid w:val="000A03B2"/>
    <w:rsid w:val="000A16ED"/>
    <w:rsid w:val="000A4F26"/>
    <w:rsid w:val="000A5772"/>
    <w:rsid w:val="000D0268"/>
    <w:rsid w:val="000D34BE"/>
    <w:rsid w:val="000D5729"/>
    <w:rsid w:val="000E102F"/>
    <w:rsid w:val="000E36F1"/>
    <w:rsid w:val="000E3A73"/>
    <w:rsid w:val="000E414A"/>
    <w:rsid w:val="000F093C"/>
    <w:rsid w:val="000F0C8C"/>
    <w:rsid w:val="000F787B"/>
    <w:rsid w:val="000F7A38"/>
    <w:rsid w:val="00103FD2"/>
    <w:rsid w:val="00112B3C"/>
    <w:rsid w:val="0011708D"/>
    <w:rsid w:val="0012091F"/>
    <w:rsid w:val="00126BC2"/>
    <w:rsid w:val="001308B6"/>
    <w:rsid w:val="0013121F"/>
    <w:rsid w:val="00131FE6"/>
    <w:rsid w:val="0013263F"/>
    <w:rsid w:val="001331DF"/>
    <w:rsid w:val="00134779"/>
    <w:rsid w:val="00134DE4"/>
    <w:rsid w:val="0013559A"/>
    <w:rsid w:val="0014034D"/>
    <w:rsid w:val="00140BAA"/>
    <w:rsid w:val="00144999"/>
    <w:rsid w:val="00144D16"/>
    <w:rsid w:val="00150E59"/>
    <w:rsid w:val="00152DE3"/>
    <w:rsid w:val="0015384C"/>
    <w:rsid w:val="0015406E"/>
    <w:rsid w:val="00156029"/>
    <w:rsid w:val="00156F74"/>
    <w:rsid w:val="00164CF9"/>
    <w:rsid w:val="001667A6"/>
    <w:rsid w:val="001678F2"/>
    <w:rsid w:val="001763F4"/>
    <w:rsid w:val="00184AD6"/>
    <w:rsid w:val="001A4AF7"/>
    <w:rsid w:val="001B0349"/>
    <w:rsid w:val="001B1E93"/>
    <w:rsid w:val="001B65C1"/>
    <w:rsid w:val="001C684B"/>
    <w:rsid w:val="001D0CFB"/>
    <w:rsid w:val="001D21AF"/>
    <w:rsid w:val="001D53FC"/>
    <w:rsid w:val="001F2767"/>
    <w:rsid w:val="001F3217"/>
    <w:rsid w:val="001F42A5"/>
    <w:rsid w:val="001F5628"/>
    <w:rsid w:val="001F7B9D"/>
    <w:rsid w:val="00201C93"/>
    <w:rsid w:val="0020255D"/>
    <w:rsid w:val="002026CB"/>
    <w:rsid w:val="0020393F"/>
    <w:rsid w:val="002224B4"/>
    <w:rsid w:val="00223206"/>
    <w:rsid w:val="0023773C"/>
    <w:rsid w:val="00241E60"/>
    <w:rsid w:val="002447EF"/>
    <w:rsid w:val="002463B6"/>
    <w:rsid w:val="00251550"/>
    <w:rsid w:val="00263B05"/>
    <w:rsid w:val="00263F59"/>
    <w:rsid w:val="0027221A"/>
    <w:rsid w:val="0027345A"/>
    <w:rsid w:val="00275B61"/>
    <w:rsid w:val="002760CB"/>
    <w:rsid w:val="00280FAF"/>
    <w:rsid w:val="00282656"/>
    <w:rsid w:val="00296B83"/>
    <w:rsid w:val="00297AF3"/>
    <w:rsid w:val="002B4015"/>
    <w:rsid w:val="002B506B"/>
    <w:rsid w:val="002B78CE"/>
    <w:rsid w:val="002C2FB6"/>
    <w:rsid w:val="002C427C"/>
    <w:rsid w:val="002D2D0D"/>
    <w:rsid w:val="002E55F7"/>
    <w:rsid w:val="002E5FA7"/>
    <w:rsid w:val="002F0E87"/>
    <w:rsid w:val="002F3309"/>
    <w:rsid w:val="003008CE"/>
    <w:rsid w:val="003009B7"/>
    <w:rsid w:val="00300E56"/>
    <w:rsid w:val="0030152C"/>
    <w:rsid w:val="00303111"/>
    <w:rsid w:val="0030469C"/>
    <w:rsid w:val="00321CA6"/>
    <w:rsid w:val="003226CF"/>
    <w:rsid w:val="00323763"/>
    <w:rsid w:val="00323C5F"/>
    <w:rsid w:val="003257A9"/>
    <w:rsid w:val="00333F8B"/>
    <w:rsid w:val="00334C09"/>
    <w:rsid w:val="00334C78"/>
    <w:rsid w:val="00350F67"/>
    <w:rsid w:val="003723D4"/>
    <w:rsid w:val="00381905"/>
    <w:rsid w:val="00384CC8"/>
    <w:rsid w:val="003871FD"/>
    <w:rsid w:val="003A1E30"/>
    <w:rsid w:val="003A2829"/>
    <w:rsid w:val="003A55C2"/>
    <w:rsid w:val="003A6FC6"/>
    <w:rsid w:val="003A7D1C"/>
    <w:rsid w:val="003B304B"/>
    <w:rsid w:val="003B3146"/>
    <w:rsid w:val="003C2ACA"/>
    <w:rsid w:val="003D6CA4"/>
    <w:rsid w:val="003E6F6D"/>
    <w:rsid w:val="003F015E"/>
    <w:rsid w:val="003F09F5"/>
    <w:rsid w:val="003F44AD"/>
    <w:rsid w:val="00400414"/>
    <w:rsid w:val="004013FA"/>
    <w:rsid w:val="00401DB4"/>
    <w:rsid w:val="0041446B"/>
    <w:rsid w:val="004228ED"/>
    <w:rsid w:val="00432ED3"/>
    <w:rsid w:val="0044071E"/>
    <w:rsid w:val="0044329C"/>
    <w:rsid w:val="0045337F"/>
    <w:rsid w:val="00453E24"/>
    <w:rsid w:val="00457456"/>
    <w:rsid w:val="004577FE"/>
    <w:rsid w:val="00457B9C"/>
    <w:rsid w:val="0046164A"/>
    <w:rsid w:val="004628D2"/>
    <w:rsid w:val="00462DCD"/>
    <w:rsid w:val="004648AD"/>
    <w:rsid w:val="004703A9"/>
    <w:rsid w:val="004760DE"/>
    <w:rsid w:val="004761E9"/>
    <w:rsid w:val="004763D7"/>
    <w:rsid w:val="00483444"/>
    <w:rsid w:val="00483DA1"/>
    <w:rsid w:val="00485EBA"/>
    <w:rsid w:val="004A004E"/>
    <w:rsid w:val="004A149C"/>
    <w:rsid w:val="004A24CF"/>
    <w:rsid w:val="004A7191"/>
    <w:rsid w:val="004B43BA"/>
    <w:rsid w:val="004C3D1D"/>
    <w:rsid w:val="004C3D84"/>
    <w:rsid w:val="004C7913"/>
    <w:rsid w:val="004E4DD6"/>
    <w:rsid w:val="004F5E36"/>
    <w:rsid w:val="004F7AAB"/>
    <w:rsid w:val="0050157A"/>
    <w:rsid w:val="00507B47"/>
    <w:rsid w:val="00507BEF"/>
    <w:rsid w:val="00507CC9"/>
    <w:rsid w:val="00511042"/>
    <w:rsid w:val="005119A5"/>
    <w:rsid w:val="00515B79"/>
    <w:rsid w:val="00516AAC"/>
    <w:rsid w:val="005278B7"/>
    <w:rsid w:val="00532016"/>
    <w:rsid w:val="00532F8D"/>
    <w:rsid w:val="005346C8"/>
    <w:rsid w:val="00535F8F"/>
    <w:rsid w:val="00543116"/>
    <w:rsid w:val="00543E7D"/>
    <w:rsid w:val="00545057"/>
    <w:rsid w:val="00547A68"/>
    <w:rsid w:val="005520FB"/>
    <w:rsid w:val="005526E3"/>
    <w:rsid w:val="005531C9"/>
    <w:rsid w:val="00560084"/>
    <w:rsid w:val="00561F2A"/>
    <w:rsid w:val="00570C43"/>
    <w:rsid w:val="00577E79"/>
    <w:rsid w:val="0058161C"/>
    <w:rsid w:val="00586301"/>
    <w:rsid w:val="005869EF"/>
    <w:rsid w:val="0059014F"/>
    <w:rsid w:val="00591A73"/>
    <w:rsid w:val="005B2110"/>
    <w:rsid w:val="005B43A7"/>
    <w:rsid w:val="005B61E6"/>
    <w:rsid w:val="005B76B5"/>
    <w:rsid w:val="005C77E1"/>
    <w:rsid w:val="005D668A"/>
    <w:rsid w:val="005D6A2F"/>
    <w:rsid w:val="005D7436"/>
    <w:rsid w:val="005E1A82"/>
    <w:rsid w:val="005E623A"/>
    <w:rsid w:val="005E794C"/>
    <w:rsid w:val="005F0A28"/>
    <w:rsid w:val="005F0E5E"/>
    <w:rsid w:val="005F18F4"/>
    <w:rsid w:val="005F542B"/>
    <w:rsid w:val="00600535"/>
    <w:rsid w:val="00602F0D"/>
    <w:rsid w:val="00610CD6"/>
    <w:rsid w:val="00620DEE"/>
    <w:rsid w:val="00621F92"/>
    <w:rsid w:val="0062280A"/>
    <w:rsid w:val="00625639"/>
    <w:rsid w:val="00631B33"/>
    <w:rsid w:val="00632628"/>
    <w:rsid w:val="0064184D"/>
    <w:rsid w:val="006422CC"/>
    <w:rsid w:val="006461A9"/>
    <w:rsid w:val="00660E3E"/>
    <w:rsid w:val="00662507"/>
    <w:rsid w:val="00662E74"/>
    <w:rsid w:val="00665564"/>
    <w:rsid w:val="00666A25"/>
    <w:rsid w:val="00671D58"/>
    <w:rsid w:val="00675EBB"/>
    <w:rsid w:val="00677BBA"/>
    <w:rsid w:val="00680C23"/>
    <w:rsid w:val="00693766"/>
    <w:rsid w:val="0069609D"/>
    <w:rsid w:val="006A23E9"/>
    <w:rsid w:val="006A3281"/>
    <w:rsid w:val="006A6403"/>
    <w:rsid w:val="006B3234"/>
    <w:rsid w:val="006B4888"/>
    <w:rsid w:val="006B6908"/>
    <w:rsid w:val="006C2E45"/>
    <w:rsid w:val="006C359C"/>
    <w:rsid w:val="006C5579"/>
    <w:rsid w:val="006C70F1"/>
    <w:rsid w:val="006D0CC9"/>
    <w:rsid w:val="006D0E5C"/>
    <w:rsid w:val="006D20BF"/>
    <w:rsid w:val="006D3007"/>
    <w:rsid w:val="006D6E8B"/>
    <w:rsid w:val="006E53A6"/>
    <w:rsid w:val="006E737D"/>
    <w:rsid w:val="006F73BA"/>
    <w:rsid w:val="00713973"/>
    <w:rsid w:val="00720A24"/>
    <w:rsid w:val="00732386"/>
    <w:rsid w:val="00732D20"/>
    <w:rsid w:val="0073514D"/>
    <w:rsid w:val="007447F3"/>
    <w:rsid w:val="0075499F"/>
    <w:rsid w:val="007661C8"/>
    <w:rsid w:val="0077098D"/>
    <w:rsid w:val="00781841"/>
    <w:rsid w:val="007931FA"/>
    <w:rsid w:val="0079481E"/>
    <w:rsid w:val="00794F96"/>
    <w:rsid w:val="00796EE0"/>
    <w:rsid w:val="00797C5E"/>
    <w:rsid w:val="007A4861"/>
    <w:rsid w:val="007A5D30"/>
    <w:rsid w:val="007A7BBA"/>
    <w:rsid w:val="007B0C50"/>
    <w:rsid w:val="007B48F9"/>
    <w:rsid w:val="007C1A43"/>
    <w:rsid w:val="007C3818"/>
    <w:rsid w:val="007C3855"/>
    <w:rsid w:val="007C706D"/>
    <w:rsid w:val="007D0951"/>
    <w:rsid w:val="007D3EF2"/>
    <w:rsid w:val="007F5A4C"/>
    <w:rsid w:val="0080013E"/>
    <w:rsid w:val="008024CB"/>
    <w:rsid w:val="00813288"/>
    <w:rsid w:val="008168FC"/>
    <w:rsid w:val="0082054D"/>
    <w:rsid w:val="00830996"/>
    <w:rsid w:val="008345F1"/>
    <w:rsid w:val="00836197"/>
    <w:rsid w:val="00843EAC"/>
    <w:rsid w:val="008555EA"/>
    <w:rsid w:val="00857974"/>
    <w:rsid w:val="00865B07"/>
    <w:rsid w:val="008667EA"/>
    <w:rsid w:val="00870F6C"/>
    <w:rsid w:val="0087637F"/>
    <w:rsid w:val="00881007"/>
    <w:rsid w:val="00892AD5"/>
    <w:rsid w:val="008A1512"/>
    <w:rsid w:val="008B7C03"/>
    <w:rsid w:val="008C491D"/>
    <w:rsid w:val="008D32B9"/>
    <w:rsid w:val="008D433B"/>
    <w:rsid w:val="008D4A16"/>
    <w:rsid w:val="008D65E3"/>
    <w:rsid w:val="008E566E"/>
    <w:rsid w:val="0090161A"/>
    <w:rsid w:val="00901EB6"/>
    <w:rsid w:val="00902645"/>
    <w:rsid w:val="00902EDA"/>
    <w:rsid w:val="00903BD0"/>
    <w:rsid w:val="00904C62"/>
    <w:rsid w:val="00913F91"/>
    <w:rsid w:val="00921E3B"/>
    <w:rsid w:val="00922BA8"/>
    <w:rsid w:val="00924DAC"/>
    <w:rsid w:val="009253C3"/>
    <w:rsid w:val="00925E84"/>
    <w:rsid w:val="00927058"/>
    <w:rsid w:val="009304C1"/>
    <w:rsid w:val="00941DCB"/>
    <w:rsid w:val="00942750"/>
    <w:rsid w:val="00942915"/>
    <w:rsid w:val="009450CE"/>
    <w:rsid w:val="009459BB"/>
    <w:rsid w:val="00947179"/>
    <w:rsid w:val="0095164B"/>
    <w:rsid w:val="00954090"/>
    <w:rsid w:val="009573E7"/>
    <w:rsid w:val="0096178A"/>
    <w:rsid w:val="00963E05"/>
    <w:rsid w:val="00963E13"/>
    <w:rsid w:val="00964A45"/>
    <w:rsid w:val="00967457"/>
    <w:rsid w:val="00967843"/>
    <w:rsid w:val="00967D54"/>
    <w:rsid w:val="00971028"/>
    <w:rsid w:val="0097228E"/>
    <w:rsid w:val="00990146"/>
    <w:rsid w:val="00993B84"/>
    <w:rsid w:val="00996483"/>
    <w:rsid w:val="00996F5A"/>
    <w:rsid w:val="009B041A"/>
    <w:rsid w:val="009C37C3"/>
    <w:rsid w:val="009C6492"/>
    <w:rsid w:val="009C7C86"/>
    <w:rsid w:val="009D08D0"/>
    <w:rsid w:val="009D2FF7"/>
    <w:rsid w:val="009D5312"/>
    <w:rsid w:val="009E7884"/>
    <w:rsid w:val="009E788A"/>
    <w:rsid w:val="009F0E08"/>
    <w:rsid w:val="009F4118"/>
    <w:rsid w:val="00A1763D"/>
    <w:rsid w:val="00A17CEC"/>
    <w:rsid w:val="00A270A5"/>
    <w:rsid w:val="00A27EF0"/>
    <w:rsid w:val="00A42361"/>
    <w:rsid w:val="00A50B20"/>
    <w:rsid w:val="00A51390"/>
    <w:rsid w:val="00A60D13"/>
    <w:rsid w:val="00A64F26"/>
    <w:rsid w:val="00A7223D"/>
    <w:rsid w:val="00A72745"/>
    <w:rsid w:val="00A76EFC"/>
    <w:rsid w:val="00A82C6B"/>
    <w:rsid w:val="00A83353"/>
    <w:rsid w:val="00A8430F"/>
    <w:rsid w:val="00A87D50"/>
    <w:rsid w:val="00A91010"/>
    <w:rsid w:val="00A920EB"/>
    <w:rsid w:val="00A97F29"/>
    <w:rsid w:val="00AA3A90"/>
    <w:rsid w:val="00AA702E"/>
    <w:rsid w:val="00AA7D26"/>
    <w:rsid w:val="00AB0964"/>
    <w:rsid w:val="00AB5011"/>
    <w:rsid w:val="00AC7368"/>
    <w:rsid w:val="00AD16B9"/>
    <w:rsid w:val="00AD5097"/>
    <w:rsid w:val="00AE14E3"/>
    <w:rsid w:val="00AE2419"/>
    <w:rsid w:val="00AE377D"/>
    <w:rsid w:val="00AE7A29"/>
    <w:rsid w:val="00AE7D72"/>
    <w:rsid w:val="00AF0EBA"/>
    <w:rsid w:val="00AF4838"/>
    <w:rsid w:val="00B00CAE"/>
    <w:rsid w:val="00B02C8A"/>
    <w:rsid w:val="00B0496F"/>
    <w:rsid w:val="00B15EBF"/>
    <w:rsid w:val="00B17FBD"/>
    <w:rsid w:val="00B2038C"/>
    <w:rsid w:val="00B22480"/>
    <w:rsid w:val="00B25399"/>
    <w:rsid w:val="00B315A6"/>
    <w:rsid w:val="00B31813"/>
    <w:rsid w:val="00B33365"/>
    <w:rsid w:val="00B53841"/>
    <w:rsid w:val="00B57B36"/>
    <w:rsid w:val="00B57E6F"/>
    <w:rsid w:val="00B6475A"/>
    <w:rsid w:val="00B65241"/>
    <w:rsid w:val="00B8686D"/>
    <w:rsid w:val="00B93F69"/>
    <w:rsid w:val="00BB1DDC"/>
    <w:rsid w:val="00BC2611"/>
    <w:rsid w:val="00BC30C9"/>
    <w:rsid w:val="00BD077D"/>
    <w:rsid w:val="00BE3E58"/>
    <w:rsid w:val="00BE5DB6"/>
    <w:rsid w:val="00C00D09"/>
    <w:rsid w:val="00C01616"/>
    <w:rsid w:val="00C0162B"/>
    <w:rsid w:val="00C037B3"/>
    <w:rsid w:val="00C068ED"/>
    <w:rsid w:val="00C21AA8"/>
    <w:rsid w:val="00C22E0C"/>
    <w:rsid w:val="00C345B1"/>
    <w:rsid w:val="00C36C5E"/>
    <w:rsid w:val="00C40142"/>
    <w:rsid w:val="00C4165A"/>
    <w:rsid w:val="00C455CA"/>
    <w:rsid w:val="00C52C3C"/>
    <w:rsid w:val="00C57182"/>
    <w:rsid w:val="00C57863"/>
    <w:rsid w:val="00C640AF"/>
    <w:rsid w:val="00C655FD"/>
    <w:rsid w:val="00C74EEE"/>
    <w:rsid w:val="00C75407"/>
    <w:rsid w:val="00C870A8"/>
    <w:rsid w:val="00C94434"/>
    <w:rsid w:val="00C94F92"/>
    <w:rsid w:val="00CA0066"/>
    <w:rsid w:val="00CA0D4A"/>
    <w:rsid w:val="00CA0D75"/>
    <w:rsid w:val="00CA1C95"/>
    <w:rsid w:val="00CA5A9C"/>
    <w:rsid w:val="00CC0F84"/>
    <w:rsid w:val="00CC2E3F"/>
    <w:rsid w:val="00CC4C20"/>
    <w:rsid w:val="00CD1E24"/>
    <w:rsid w:val="00CD3517"/>
    <w:rsid w:val="00CD5050"/>
    <w:rsid w:val="00CD5FE2"/>
    <w:rsid w:val="00CE4A03"/>
    <w:rsid w:val="00CE7C68"/>
    <w:rsid w:val="00CF5A1A"/>
    <w:rsid w:val="00D02B4C"/>
    <w:rsid w:val="00D03461"/>
    <w:rsid w:val="00D040C4"/>
    <w:rsid w:val="00D105BD"/>
    <w:rsid w:val="00D10AD6"/>
    <w:rsid w:val="00D20AD1"/>
    <w:rsid w:val="00D22420"/>
    <w:rsid w:val="00D2693F"/>
    <w:rsid w:val="00D44D92"/>
    <w:rsid w:val="00D46B7E"/>
    <w:rsid w:val="00D52DD5"/>
    <w:rsid w:val="00D57C84"/>
    <w:rsid w:val="00D6057D"/>
    <w:rsid w:val="00D62AC8"/>
    <w:rsid w:val="00D648EC"/>
    <w:rsid w:val="00D71640"/>
    <w:rsid w:val="00D81842"/>
    <w:rsid w:val="00D836C5"/>
    <w:rsid w:val="00D84576"/>
    <w:rsid w:val="00D90B85"/>
    <w:rsid w:val="00D93BB2"/>
    <w:rsid w:val="00D96415"/>
    <w:rsid w:val="00DA1011"/>
    <w:rsid w:val="00DA1399"/>
    <w:rsid w:val="00DA24C6"/>
    <w:rsid w:val="00DA4D7B"/>
    <w:rsid w:val="00DA69E5"/>
    <w:rsid w:val="00DB0ECA"/>
    <w:rsid w:val="00DB3233"/>
    <w:rsid w:val="00DB5723"/>
    <w:rsid w:val="00DB7416"/>
    <w:rsid w:val="00DD271C"/>
    <w:rsid w:val="00DD6E61"/>
    <w:rsid w:val="00DE1BFE"/>
    <w:rsid w:val="00DE264A"/>
    <w:rsid w:val="00DF5072"/>
    <w:rsid w:val="00DF7A77"/>
    <w:rsid w:val="00E02D18"/>
    <w:rsid w:val="00E041E7"/>
    <w:rsid w:val="00E228F4"/>
    <w:rsid w:val="00E23CA1"/>
    <w:rsid w:val="00E33DD7"/>
    <w:rsid w:val="00E409A8"/>
    <w:rsid w:val="00E423EF"/>
    <w:rsid w:val="00E50C12"/>
    <w:rsid w:val="00E50C8B"/>
    <w:rsid w:val="00E577CC"/>
    <w:rsid w:val="00E65B91"/>
    <w:rsid w:val="00E7209D"/>
    <w:rsid w:val="00E72EAD"/>
    <w:rsid w:val="00E77223"/>
    <w:rsid w:val="00E8528B"/>
    <w:rsid w:val="00E85B94"/>
    <w:rsid w:val="00E87CA7"/>
    <w:rsid w:val="00E9302A"/>
    <w:rsid w:val="00E978D0"/>
    <w:rsid w:val="00EA0E63"/>
    <w:rsid w:val="00EA4613"/>
    <w:rsid w:val="00EA7B98"/>
    <w:rsid w:val="00EA7F91"/>
    <w:rsid w:val="00EB1523"/>
    <w:rsid w:val="00EB3E80"/>
    <w:rsid w:val="00EB5896"/>
    <w:rsid w:val="00EB5EC7"/>
    <w:rsid w:val="00EC0E49"/>
    <w:rsid w:val="00EC101F"/>
    <w:rsid w:val="00EC1D9F"/>
    <w:rsid w:val="00ED5A16"/>
    <w:rsid w:val="00EE0131"/>
    <w:rsid w:val="00EE076B"/>
    <w:rsid w:val="00EE0E20"/>
    <w:rsid w:val="00EE17B0"/>
    <w:rsid w:val="00EE7729"/>
    <w:rsid w:val="00EF06D9"/>
    <w:rsid w:val="00F02A14"/>
    <w:rsid w:val="00F03B19"/>
    <w:rsid w:val="00F04556"/>
    <w:rsid w:val="00F3049E"/>
    <w:rsid w:val="00F30C64"/>
    <w:rsid w:val="00F32BA2"/>
    <w:rsid w:val="00F32CDB"/>
    <w:rsid w:val="00F517F4"/>
    <w:rsid w:val="00F565FE"/>
    <w:rsid w:val="00F63967"/>
    <w:rsid w:val="00F63A70"/>
    <w:rsid w:val="00F63D8C"/>
    <w:rsid w:val="00F674A9"/>
    <w:rsid w:val="00F73CF8"/>
    <w:rsid w:val="00F7534E"/>
    <w:rsid w:val="00F8342B"/>
    <w:rsid w:val="00F93EDF"/>
    <w:rsid w:val="00F9430B"/>
    <w:rsid w:val="00FA1802"/>
    <w:rsid w:val="00FA21D0"/>
    <w:rsid w:val="00FA5F5F"/>
    <w:rsid w:val="00FB730C"/>
    <w:rsid w:val="00FC2695"/>
    <w:rsid w:val="00FC3E03"/>
    <w:rsid w:val="00FC3FC1"/>
    <w:rsid w:val="00FE17B8"/>
    <w:rsid w:val="00FF7C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de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paragraph" w:customStyle="1" w:styleId="Default">
    <w:name w:val="Default"/>
    <w:rsid w:val="00F517F4"/>
    <w:pPr>
      <w:autoSpaceDE w:val="0"/>
      <w:autoSpaceDN w:val="0"/>
      <w:adjustRightInd w:val="0"/>
      <w:spacing w:after="0" w:line="240" w:lineRule="auto"/>
    </w:pPr>
    <w:rPr>
      <w:rFonts w:ascii="Charis SIL" w:hAnsi="Charis SIL" w:cs="Charis SI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2093">
      <w:bodyDiv w:val="1"/>
      <w:marLeft w:val="0"/>
      <w:marRight w:val="0"/>
      <w:marTop w:val="0"/>
      <w:marBottom w:val="0"/>
      <w:divBdr>
        <w:top w:val="none" w:sz="0" w:space="0" w:color="auto"/>
        <w:left w:val="none" w:sz="0" w:space="0" w:color="auto"/>
        <w:bottom w:val="none" w:sz="0" w:space="0" w:color="auto"/>
        <w:right w:val="none" w:sz="0" w:space="0" w:color="auto"/>
      </w:divBdr>
    </w:div>
    <w:div w:id="2000189866">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D4E50-F510-4292-89D0-E3E5A1479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6</Pages>
  <Words>3599</Words>
  <Characters>20519</Characters>
  <Application>Microsoft Office Word</Application>
  <DocSecurity>0</DocSecurity>
  <Lines>170</Lines>
  <Paragraphs>48</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24070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Cuenta Microsoft</cp:lastModifiedBy>
  <cp:revision>16</cp:revision>
  <cp:lastPrinted>2015-05-12T18:31:00Z</cp:lastPrinted>
  <dcterms:created xsi:type="dcterms:W3CDTF">2024-04-14T02:58:00Z</dcterms:created>
  <dcterms:modified xsi:type="dcterms:W3CDTF">2024-04-15T04:47:00Z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