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57B00F2" w14:textId="4CEF38C7" w:rsidR="00600579" w:rsidRPr="001F7A51" w:rsidRDefault="00600579" w:rsidP="00600579">
      <w:pPr>
        <w:pStyle w:val="CETTitle"/>
      </w:pPr>
      <w:r w:rsidRPr="001F7A51">
        <w:t>Improvement of biogas production by anaerobic co-digestion of lignocellulose waste using iron oxide nanoparticles</w:t>
      </w:r>
    </w:p>
    <w:p w14:paraId="2E951F13" w14:textId="14982F29" w:rsidR="00131E68" w:rsidRPr="00131E68" w:rsidRDefault="00131E68" w:rsidP="00131E68">
      <w:pPr>
        <w:pStyle w:val="CETAuthors"/>
        <w:rPr>
          <w:lang w:val="es-PE"/>
        </w:rPr>
      </w:pPr>
      <w:r w:rsidRPr="00131E68">
        <w:rPr>
          <w:lang w:val="es-PE"/>
        </w:rPr>
        <w:t>Jhoselyn Castillo Oré</w:t>
      </w:r>
      <w:r w:rsidRPr="00131E68">
        <w:rPr>
          <w:vertAlign w:val="superscript"/>
          <w:lang w:val="es-PE"/>
        </w:rPr>
        <w:t>a</w:t>
      </w:r>
      <w:r w:rsidRPr="00131E68">
        <w:rPr>
          <w:lang w:val="es-PE"/>
        </w:rPr>
        <w:t>,  Jherson Daniel Santos</w:t>
      </w:r>
      <w:r w:rsidRPr="00131E68">
        <w:rPr>
          <w:vertAlign w:val="superscript"/>
          <w:lang w:val="es-PE"/>
        </w:rPr>
        <w:t>a</w:t>
      </w:r>
      <w:r w:rsidRPr="00131E68">
        <w:rPr>
          <w:lang w:val="es-PE"/>
        </w:rPr>
        <w:t>, Daniel Neciosup Gonzales</w:t>
      </w:r>
      <w:r w:rsidRPr="00131E68">
        <w:rPr>
          <w:vertAlign w:val="superscript"/>
          <w:lang w:val="es-PE"/>
        </w:rPr>
        <w:t>a</w:t>
      </w:r>
      <w:r w:rsidRPr="00131E68">
        <w:rPr>
          <w:lang w:val="es-PE"/>
        </w:rPr>
        <w:t>, Eduardo Espinoza Farfán</w:t>
      </w:r>
      <w:r w:rsidRPr="00131E68">
        <w:rPr>
          <w:vertAlign w:val="superscript"/>
          <w:lang w:val="es-PE"/>
        </w:rPr>
        <w:t>a</w:t>
      </w:r>
      <w:r w:rsidRPr="00131E68">
        <w:rPr>
          <w:lang w:val="es-PE"/>
        </w:rPr>
        <w:t>, Edison A. Romero-Cabello</w:t>
      </w:r>
      <w:r w:rsidRPr="00131E68">
        <w:rPr>
          <w:vertAlign w:val="superscript"/>
          <w:lang w:val="es-PE"/>
        </w:rPr>
        <w:t>b</w:t>
      </w:r>
      <w:r w:rsidRPr="00131E68">
        <w:rPr>
          <w:lang w:val="es-PE"/>
        </w:rPr>
        <w:t>, Rita J. Cabello-Torres</w:t>
      </w:r>
      <w:r w:rsidRPr="00131E68">
        <w:rPr>
          <w:vertAlign w:val="superscript"/>
          <w:lang w:val="es-PE"/>
        </w:rPr>
        <w:t>a</w:t>
      </w:r>
      <w:r w:rsidRPr="00131E68">
        <w:rPr>
          <w:lang w:val="es-PE"/>
        </w:rPr>
        <w:t>*</w:t>
      </w:r>
    </w:p>
    <w:p w14:paraId="396F31CB" w14:textId="601AF646" w:rsidR="00B21147" w:rsidRPr="00B21147" w:rsidRDefault="00B21147" w:rsidP="00B21147">
      <w:pPr>
        <w:pStyle w:val="CETAddress"/>
        <w:rPr>
          <w:lang w:val="es-PE"/>
        </w:rPr>
      </w:pPr>
      <w:r w:rsidRPr="00B21147">
        <w:rPr>
          <w:vertAlign w:val="superscript"/>
          <w:lang w:val="es-PE"/>
        </w:rPr>
        <w:t>a</w:t>
      </w:r>
      <w:r w:rsidRPr="00B21147">
        <w:rPr>
          <w:lang w:val="es-PE"/>
        </w:rPr>
        <w:t>Universidad César</w:t>
      </w:r>
      <w:r w:rsidRPr="005F7773">
        <w:rPr>
          <w:lang w:val="es-PE"/>
        </w:rPr>
        <w:t xml:space="preserve"> Vallejo, </w:t>
      </w:r>
      <w:r w:rsidR="008B1AD1">
        <w:rPr>
          <w:lang w:val="es-PE"/>
        </w:rPr>
        <w:t xml:space="preserve">Grupo de Investigación ICAMB. </w:t>
      </w:r>
      <w:r w:rsidRPr="005F7773">
        <w:rPr>
          <w:lang w:val="es-PE"/>
        </w:rPr>
        <w:t xml:space="preserve">Campus San Juan de Lurigancho, Lima, Perú </w:t>
      </w:r>
    </w:p>
    <w:p w14:paraId="79D604CC" w14:textId="77777777" w:rsidR="00B21147" w:rsidRPr="005F7773" w:rsidRDefault="00B21147" w:rsidP="00B21147">
      <w:pPr>
        <w:pStyle w:val="CETAddress"/>
        <w:spacing w:line="240" w:lineRule="auto"/>
        <w:rPr>
          <w:lang w:val="es-PE"/>
        </w:rPr>
      </w:pPr>
      <w:r w:rsidRPr="005F7773">
        <w:rPr>
          <w:vertAlign w:val="superscript"/>
          <w:lang w:val="es-PE"/>
        </w:rPr>
        <w:t>b</w:t>
      </w:r>
      <w:r w:rsidRPr="005F7773">
        <w:rPr>
          <w:lang w:val="es-PE"/>
        </w:rPr>
        <w:t xml:space="preserve">Universidad Nacional Agraria la Molina, Av. La Molina,La Molina Lima Peru </w:t>
      </w:r>
    </w:p>
    <w:p w14:paraId="148B0BE5" w14:textId="13EFC6EB" w:rsidR="00B21147" w:rsidRDefault="008A1EA1" w:rsidP="00B21147">
      <w:pPr>
        <w:pStyle w:val="CETBodytext"/>
        <w:rPr>
          <w:noProof/>
          <w:sz w:val="16"/>
          <w:lang w:val="en-GB"/>
        </w:rPr>
      </w:pPr>
      <w:hyperlink r:id="rId10" w:history="1">
        <w:r w:rsidR="00B21147" w:rsidRPr="00B21147">
          <w:rPr>
            <w:noProof/>
            <w:sz w:val="16"/>
            <w:lang w:val="en-GB"/>
          </w:rPr>
          <w:t>rcabello@ucv.edu.pe</w:t>
        </w:r>
      </w:hyperlink>
    </w:p>
    <w:p w14:paraId="6014F58B" w14:textId="77777777" w:rsidR="00B21147" w:rsidRPr="00B21147" w:rsidRDefault="00B21147" w:rsidP="00B21147">
      <w:pPr>
        <w:pStyle w:val="CETBodytext"/>
        <w:rPr>
          <w:noProof/>
          <w:sz w:val="16"/>
          <w:lang w:val="en-GB"/>
        </w:rPr>
      </w:pPr>
    </w:p>
    <w:p w14:paraId="5DE28250" w14:textId="12E5CE15" w:rsidR="00857884" w:rsidRPr="00857884" w:rsidRDefault="00857884" w:rsidP="00857884">
      <w:pPr>
        <w:pStyle w:val="CETHeading1"/>
        <w:numPr>
          <w:ilvl w:val="0"/>
          <w:numId w:val="0"/>
        </w:numPr>
        <w:jc w:val="both"/>
        <w:rPr>
          <w:b w:val="0"/>
          <w:sz w:val="18"/>
        </w:rPr>
      </w:pPr>
      <w:r w:rsidRPr="00857884">
        <w:rPr>
          <w:b w:val="0"/>
          <w:sz w:val="18"/>
        </w:rPr>
        <w:t>Lignocellulosic agricultural waste and manure from livestock are useful for transforming them into energy through anaerobic digestion. When this technique uses alkaline hydrolysis to release carbohydrates or break lignocellulose chains, the digestion process is accelerated, although the application of nanomaterials has also proven to be useful because it catalyzes microbial interaction and optimizes the production of biogas and methane. The objective of the research was to optimize the production of biogas with higher methane content through the anaerobic digestion of coffee and banana waste. To this end, part of the lignocellulose waste was pretreated by alkaline hydrolysis, while digestion was assisted with the application of iron nanoparticles. The experimental design consisted of comparing the production of CH</w:t>
      </w:r>
      <w:r w:rsidRPr="00935AA1">
        <w:rPr>
          <w:b w:val="0"/>
          <w:sz w:val="18"/>
          <w:vertAlign w:val="subscript"/>
        </w:rPr>
        <w:t>4</w:t>
      </w:r>
      <w:r w:rsidRPr="00857884">
        <w:rPr>
          <w:b w:val="0"/>
          <w:sz w:val="18"/>
        </w:rPr>
        <w:t xml:space="preserve"> in three random blocks, the first, treated the anaerobic digestion of each substrate without any treatment, as well as the digestion of the mixture of both substrates. The second random block applied the substrates pretreated with a NaOH solution to break down the lignocellulose molecules and optimize the proportion of biogas and methane and a third block that also added FeNPS (0.1 g) at the beginning of the digestion process. The results showed that monodigestion developed a lower volume of CH</w:t>
      </w:r>
      <w:r w:rsidRPr="00935AA1">
        <w:rPr>
          <w:b w:val="0"/>
          <w:sz w:val="18"/>
          <w:vertAlign w:val="subscript"/>
        </w:rPr>
        <w:t>4</w:t>
      </w:r>
      <w:r w:rsidRPr="00857884">
        <w:rPr>
          <w:b w:val="0"/>
          <w:sz w:val="18"/>
        </w:rPr>
        <w:t xml:space="preserve"> (1561.5 -2280.75ml CH</w:t>
      </w:r>
      <w:r w:rsidRPr="00935AA1">
        <w:rPr>
          <w:b w:val="0"/>
          <w:sz w:val="18"/>
          <w:vertAlign w:val="subscript"/>
        </w:rPr>
        <w:t>4</w:t>
      </w:r>
      <w:r w:rsidRPr="00857884">
        <w:rPr>
          <w:b w:val="0"/>
          <w:sz w:val="18"/>
        </w:rPr>
        <w:t>), the anaerobic codigestion of both substrates pretreated with NaOH and assisted with Fe</w:t>
      </w:r>
      <w:r w:rsidR="00F605A6">
        <w:rPr>
          <w:b w:val="0"/>
          <w:sz w:val="18"/>
        </w:rPr>
        <w:t>NP</w:t>
      </w:r>
      <w:r w:rsidRPr="00857884">
        <w:rPr>
          <w:b w:val="0"/>
          <w:sz w:val="18"/>
        </w:rPr>
        <w:t xml:space="preserve"> reached the highest cumulative production of CH</w:t>
      </w:r>
      <w:r w:rsidRPr="00935AA1">
        <w:rPr>
          <w:b w:val="0"/>
          <w:sz w:val="18"/>
          <w:vertAlign w:val="subscript"/>
        </w:rPr>
        <w:t>4</w:t>
      </w:r>
      <w:r w:rsidRPr="00857884">
        <w:rPr>
          <w:b w:val="0"/>
          <w:sz w:val="18"/>
        </w:rPr>
        <w:t xml:space="preserve"> with 8341ml CH</w:t>
      </w:r>
      <w:r w:rsidRPr="00935AA1">
        <w:rPr>
          <w:b w:val="0"/>
          <w:sz w:val="18"/>
          <w:vertAlign w:val="subscript"/>
        </w:rPr>
        <w:t>4</w:t>
      </w:r>
      <w:r w:rsidRPr="00857884">
        <w:rPr>
          <w:b w:val="0"/>
          <w:sz w:val="18"/>
        </w:rPr>
        <w:t xml:space="preserve"> in 7 days. However, more research is still required on the doses and combination of FeNPs to improve methane production as an ecological alternative for the valorization of biomass and its conversion into energy.</w:t>
      </w:r>
    </w:p>
    <w:p w14:paraId="476B2F2E" w14:textId="55AE30E5" w:rsidR="00600535" w:rsidRPr="00B57B36" w:rsidRDefault="00857884" w:rsidP="00857884">
      <w:pPr>
        <w:pStyle w:val="CETHeading1"/>
        <w:rPr>
          <w:lang w:val="en-GB"/>
        </w:rPr>
      </w:pPr>
      <w:r w:rsidRPr="00857884">
        <w:rPr>
          <w:b w:val="0"/>
          <w:sz w:val="18"/>
          <w:lang w:val="es-PE"/>
        </w:rPr>
        <w:t>​</w:t>
      </w:r>
      <w:r w:rsidR="00600535" w:rsidRPr="00B57B36">
        <w:rPr>
          <w:lang w:val="en-GB"/>
        </w:rPr>
        <w:t>Introduction</w:t>
      </w:r>
    </w:p>
    <w:p w14:paraId="19EE7E20" w14:textId="5672FB8B" w:rsidR="00F40994" w:rsidRDefault="007574F3" w:rsidP="00600535">
      <w:pPr>
        <w:pStyle w:val="CETBodytext"/>
        <w:rPr>
          <w:lang w:val="en-GB"/>
        </w:rPr>
      </w:pPr>
      <w:r w:rsidRPr="00173A66">
        <w:t>Agricultural waste is not yet used as part of a sustainable economy, its use as biomass and conversion to energy is increasing, however, it is urgent to evaluate the capacity to treat it adequately; achieve the conversion of biomass to renewable bioenergy (Yana et al.</w:t>
      </w:r>
      <w:r w:rsidR="00935AA1">
        <w:t>,</w:t>
      </w:r>
      <w:r w:rsidRPr="00173A66">
        <w:t xml:space="preserve"> 2022) and contribute to the reduction of GHG emissions.</w:t>
      </w:r>
      <w:r w:rsidR="00FE1D35" w:rsidRPr="00173A66">
        <w:t xml:space="preserve"> </w:t>
      </w:r>
      <w:r w:rsidR="00281E5B" w:rsidRPr="00173A66">
        <w:t>The coffee industry produces more than 23 million tons of waste per year, which is why its transformation is important to better guide a circular economy (Durán-Aranguren et al.</w:t>
      </w:r>
      <w:r w:rsidR="00935AA1">
        <w:t>,</w:t>
      </w:r>
      <w:r w:rsidR="00281E5B" w:rsidRPr="00173A66">
        <w:t xml:space="preserve"> 2021). The poorly controlled discharge of coffee husks causes serious environmental pollution and is a waste of resources (Du et al.</w:t>
      </w:r>
      <w:r w:rsidR="00935AA1">
        <w:t>,</w:t>
      </w:r>
      <w:r w:rsidR="00281E5B" w:rsidRPr="00173A66">
        <w:t xml:space="preserve"> 2021), these are agroindustrial lignocellulosic waste useful for generating biofuels without detriment to food security (Dias et al.</w:t>
      </w:r>
      <w:r w:rsidR="00935AA1">
        <w:t>,</w:t>
      </w:r>
      <w:r w:rsidR="00281E5B" w:rsidRPr="00173A66">
        <w:t xml:space="preserve"> 2021). Likewise, one of the most influential crops is banana, whose agricultural waste can be transformed into biofuels (Guerrero et al., 2018). These lignocellulosic wastes require treatment to release carbohydrates. Else,</w:t>
      </w:r>
      <w:r w:rsidR="00281E5B" w:rsidRPr="00281E5B">
        <w:rPr>
          <w:lang w:val="en-GB"/>
        </w:rPr>
        <w:t xml:space="preserve"> chemical pre-treatment through NaOH improves the quality of the biogas and increases the reaction rate and anaerobic degradability (Jacobo et al.</w:t>
      </w:r>
      <w:r w:rsidR="00935AA1">
        <w:rPr>
          <w:lang w:val="en-GB"/>
        </w:rPr>
        <w:t>,</w:t>
      </w:r>
      <w:r w:rsidR="00281E5B" w:rsidRPr="00281E5B">
        <w:rPr>
          <w:lang w:val="en-GB"/>
        </w:rPr>
        <w:t xml:space="preserve"> 2023).</w:t>
      </w:r>
      <w:r w:rsidR="00487378">
        <w:rPr>
          <w:lang w:val="en-GB"/>
        </w:rPr>
        <w:t xml:space="preserve"> </w:t>
      </w:r>
      <w:r w:rsidR="00487378" w:rsidRPr="00487378">
        <w:rPr>
          <w:lang w:val="en-GB"/>
        </w:rPr>
        <w:t xml:space="preserve">Finally, livestock farming also generates waste, manure, especially from cattle, increases with livestock farming, causing problems for the environment, especially due to the presence of significant loads of nitrogen, phosphorus and methane emissions that </w:t>
      </w:r>
      <w:r w:rsidR="00935AA1" w:rsidRPr="00487378">
        <w:rPr>
          <w:lang w:val="en-GB"/>
        </w:rPr>
        <w:t>affect</w:t>
      </w:r>
      <w:r w:rsidR="00487378" w:rsidRPr="00487378">
        <w:rPr>
          <w:lang w:val="en-GB"/>
        </w:rPr>
        <w:t xml:space="preserve"> the environment (Xin et al., 2018). These wastes can also act as biocatalysts due to the significant microbial load that acts in each of the anaerobic digestion processes (Ahlberg-Eliasson et al.</w:t>
      </w:r>
      <w:r w:rsidR="00935AA1">
        <w:rPr>
          <w:lang w:val="en-GB"/>
        </w:rPr>
        <w:t>,</w:t>
      </w:r>
      <w:r w:rsidR="00487378" w:rsidRPr="00487378">
        <w:rPr>
          <w:lang w:val="en-GB"/>
        </w:rPr>
        <w:t xml:space="preserve"> 2021).</w:t>
      </w:r>
    </w:p>
    <w:p w14:paraId="5AEE74DE" w14:textId="2242EA2A" w:rsidR="00D038F0" w:rsidRDefault="00D038F0" w:rsidP="00600535">
      <w:pPr>
        <w:pStyle w:val="CETBodytext"/>
        <w:rPr>
          <w:lang w:val="en-GB"/>
        </w:rPr>
      </w:pPr>
      <w:r w:rsidRPr="00D038F0">
        <w:rPr>
          <w:lang w:val="en-GB"/>
        </w:rPr>
        <w:t>Anaerobic digestion is a technology that allows waste to be treated, controlling pollution in exchange for recovering energy (Nie, et al.</w:t>
      </w:r>
      <w:r w:rsidR="00935AA1">
        <w:rPr>
          <w:lang w:val="en-GB"/>
        </w:rPr>
        <w:t>,</w:t>
      </w:r>
      <w:r w:rsidRPr="00D038F0">
        <w:rPr>
          <w:lang w:val="en-GB"/>
        </w:rPr>
        <w:t xml:space="preserve"> 2021). This biochemical process takes place in the absence of oxygen and it is the microorganisms that transform and promote the conversion of various organic compounds such as carbohydrates, proteins and lipids into simpler chain products. Under special conditions it can produce methane </w:t>
      </w:r>
      <w:r w:rsidRPr="00D038F0">
        <w:rPr>
          <w:lang w:val="en-GB"/>
        </w:rPr>
        <w:lastRenderedPageBreak/>
        <w:t xml:space="preserve">gas; carbon dioxide; hydrogen </w:t>
      </w:r>
      <w:r w:rsidR="00C20C3E">
        <w:rPr>
          <w:lang w:val="en-GB"/>
        </w:rPr>
        <w:t xml:space="preserve">sulphur </w:t>
      </w:r>
      <w:r w:rsidRPr="00D038F0">
        <w:rPr>
          <w:lang w:val="en-GB"/>
        </w:rPr>
        <w:t>and ammonium; through processes such as: hydrolysis, acidogenesis, acetogenesis and methanogenesis (Torres and Pérez 2010). The use of nanoparticles has even begun, which are opening new fields of action for their very promising application in the production of biogas, methane, etc. because they improve microbial interactions (Singh, et al 2022). Bayisa, et al. (2023) produced methane using iron nanocatalysts by green synthesis and improved the methane yield by 89.5%.</w:t>
      </w:r>
    </w:p>
    <w:p w14:paraId="285E973E" w14:textId="63E406F9" w:rsidR="00BB39AD" w:rsidRDefault="00BB39AD" w:rsidP="00600535">
      <w:pPr>
        <w:pStyle w:val="CETBodytext"/>
        <w:rPr>
          <w:lang w:val="en-GB"/>
        </w:rPr>
      </w:pPr>
      <w:r w:rsidRPr="00BB39AD">
        <w:rPr>
          <w:lang w:val="en-GB"/>
        </w:rPr>
        <w:t>This research aimed to improve biogas production by applying anaerobic digestion using coffee and banana peel waste rich in lignocellulose components using iron oxide nanoparticles.</w:t>
      </w:r>
      <w:r w:rsidR="00154B1E" w:rsidRPr="00154B1E">
        <w:t xml:space="preserve"> </w:t>
      </w:r>
      <w:r w:rsidR="00154B1E" w:rsidRPr="00154B1E">
        <w:rPr>
          <w:lang w:val="en-GB"/>
        </w:rPr>
        <w:t>This research was part of an initiative of the ICAMB Research Group of the Cesar Vallejo University.</w:t>
      </w:r>
    </w:p>
    <w:p w14:paraId="23BCE6A7" w14:textId="059F27CB" w:rsidR="00C66E2F" w:rsidRDefault="00C66E2F" w:rsidP="00C66E2F">
      <w:pPr>
        <w:pStyle w:val="CETHeading1"/>
      </w:pPr>
      <w:r w:rsidRPr="00C66E2F">
        <w:t>Materials and methods</w:t>
      </w:r>
    </w:p>
    <w:p w14:paraId="383498D3" w14:textId="6BBA2F41" w:rsidR="002432FD" w:rsidRPr="004D56C2" w:rsidRDefault="004D56C2" w:rsidP="00B77422">
      <w:pPr>
        <w:pStyle w:val="CETheadingx"/>
      </w:pPr>
      <w:r>
        <w:t xml:space="preserve">2.1 </w:t>
      </w:r>
      <w:r w:rsidR="002432FD" w:rsidRPr="004D56C2">
        <w:t>Collection of precursor material</w:t>
      </w:r>
    </w:p>
    <w:p w14:paraId="1ADD724C" w14:textId="2310F0F0" w:rsidR="000423E4" w:rsidRPr="00B77422" w:rsidRDefault="000423E4" w:rsidP="00B77422">
      <w:pPr>
        <w:pStyle w:val="CETheadingx"/>
        <w:rPr>
          <w:b w:val="0"/>
        </w:rPr>
      </w:pPr>
      <w:r w:rsidRPr="00B77422">
        <w:rPr>
          <w:b w:val="0"/>
        </w:rPr>
        <w:t xml:space="preserve">The coffee husk was collected in the urban area of Alto Penedo (Chanchamayo, Peru), to be used as a substrate, this place has more than 50 hectares of coffee cultivation. Banana peels were also collected at a local market in the area. Likewise, chicken, pig and cow manure was collected from several farms in the area, to test the methanogenic activity and select its use as inoculum. The </w:t>
      </w:r>
      <w:r w:rsidR="00A563CB" w:rsidRPr="00B77422">
        <w:rPr>
          <w:b w:val="0"/>
        </w:rPr>
        <w:t>Minthostachys mollis (</w:t>
      </w:r>
      <w:r w:rsidRPr="00B77422">
        <w:rPr>
          <w:b w:val="0"/>
        </w:rPr>
        <w:t>muña</w:t>
      </w:r>
      <w:r w:rsidR="00A563CB" w:rsidRPr="00B77422">
        <w:rPr>
          <w:b w:val="0"/>
        </w:rPr>
        <w:t>)</w:t>
      </w:r>
      <w:r w:rsidRPr="00B77422">
        <w:rPr>
          <w:b w:val="0"/>
        </w:rPr>
        <w:t>-stabilized iron oxide NPs were obtained from the ICAMB Research Group of the César Vallejo University, San Juan de Lurigancho Campus.</w:t>
      </w:r>
    </w:p>
    <w:p w14:paraId="34C328B6" w14:textId="77777777" w:rsidR="00590252" w:rsidRPr="00590252" w:rsidRDefault="00590252" w:rsidP="00B77422">
      <w:pPr>
        <w:pStyle w:val="CETBodytext"/>
        <w:spacing w:line="240" w:lineRule="auto"/>
        <w:contextualSpacing/>
      </w:pPr>
    </w:p>
    <w:p w14:paraId="491CFF20" w14:textId="16E3160C" w:rsidR="005E15F5" w:rsidRPr="00B77422" w:rsidRDefault="004D56C2" w:rsidP="00B77422">
      <w:pPr>
        <w:pStyle w:val="CETheadingx"/>
      </w:pPr>
      <w:r w:rsidRPr="00B77422">
        <w:t xml:space="preserve">2.2 </w:t>
      </w:r>
      <w:r w:rsidR="005E15F5" w:rsidRPr="00B77422">
        <w:t>Substrate pre-treatment</w:t>
      </w:r>
      <w:r w:rsidR="00B909C8" w:rsidRPr="00B77422">
        <w:t xml:space="preserve"> </w:t>
      </w:r>
      <w:r w:rsidR="00F605A6">
        <w:t xml:space="preserve">and </w:t>
      </w:r>
      <w:r w:rsidR="00B909C8" w:rsidRPr="00B77422">
        <w:t>Fe</w:t>
      </w:r>
      <w:r w:rsidR="00F605A6">
        <w:t>NPs</w:t>
      </w:r>
      <w:r w:rsidR="00B909C8" w:rsidRPr="00B77422">
        <w:t xml:space="preserve"> production</w:t>
      </w:r>
    </w:p>
    <w:p w14:paraId="14A2554D" w14:textId="77777777" w:rsidR="00B909C8" w:rsidRDefault="00B909C8" w:rsidP="00B77422">
      <w:pPr>
        <w:spacing w:line="240" w:lineRule="auto"/>
        <w:contextualSpacing/>
      </w:pPr>
      <w:r>
        <w:t>The substrates were air dried for 4 days and then ground (2 mm) for use. These lignocellulosic substrates (coffee peel: 28.9% and banana peel: 13% on a dry basis) were treated with a solution of 1.5 g NaOH/25 g substrate/325 ml water, according to the methodology applied by Li et al. to the. (2020), in a water bath (100° C) for 1 hour. Initially, the banana peel had a pH of 6.52 and the coffee peel a pH of 4.39. After treatment with the NaOH solution, there was an increase in pH to 12 and 10 respectively. Subsequently, the solution was neutralized to pH =7, because it adjusts to the optimal range (6.5 to 7.5), to produce the maximum biogas yield (Syaichurrozi et al. 2020). The ANOVA demonstrated the significant action of NaOH on the residues (p&lt;0.05).</w:t>
      </w:r>
    </w:p>
    <w:p w14:paraId="32AF2591" w14:textId="77777777" w:rsidR="00B909C8" w:rsidRDefault="00B909C8" w:rsidP="00590252">
      <w:pPr>
        <w:spacing w:line="240" w:lineRule="auto"/>
        <w:contextualSpacing/>
      </w:pPr>
      <w:r>
        <w:t>To prepare the FeNPs, ten grams of muña leaf powder were weighed, added to 150 ml of deionized water and mixed at 100oC for one hour. It was then filtered to separate the extract. 3.8 g of FeCl3.6H2O was dissolved in 100 ml of distilled water. Both solutions were mixed in 1:1 ratios for 120 min at 100 °C at 250 rpm, the final suspension was centrifuged at 6000 rpm for 30 min, and the pellet was dried at 100 °C for 24 h. The iron nanoparticles were analyzed in a UV – Visible spectrophotometer (GENESYS 10S UV) using a reading path of 200 -700 nm; to confirm the presence of the nanoparticles.</w:t>
      </w:r>
    </w:p>
    <w:p w14:paraId="3DFDAD80" w14:textId="77777777" w:rsidR="00590252" w:rsidRDefault="00590252" w:rsidP="00590252">
      <w:pPr>
        <w:spacing w:line="240" w:lineRule="auto"/>
        <w:contextualSpacing/>
        <w:rPr>
          <w:rFonts w:cs="Arial"/>
          <w:color w:val="222222"/>
          <w:sz w:val="20"/>
          <w:shd w:val="clear" w:color="auto" w:fill="FFFFFF"/>
        </w:rPr>
      </w:pPr>
    </w:p>
    <w:p w14:paraId="2D67F9E0" w14:textId="60B3C0A1" w:rsidR="003628A1" w:rsidRPr="003628A1" w:rsidRDefault="004D56C2" w:rsidP="00B77422">
      <w:pPr>
        <w:pStyle w:val="CETheadingx"/>
      </w:pPr>
      <w:r>
        <w:t xml:space="preserve">2.3 </w:t>
      </w:r>
      <w:r w:rsidR="003628A1" w:rsidRPr="003628A1">
        <w:t>Specific methanogenic activity (SMA) test</w:t>
      </w:r>
    </w:p>
    <w:p w14:paraId="161CDA88" w14:textId="00BE0FBB" w:rsidR="007B03D3" w:rsidRDefault="003628A1" w:rsidP="00590252">
      <w:pPr>
        <w:pStyle w:val="CETBodytext"/>
        <w:spacing w:line="240" w:lineRule="auto"/>
        <w:contextualSpacing/>
        <w:rPr>
          <w:lang w:val="en-GB"/>
        </w:rPr>
      </w:pPr>
      <w:r w:rsidRPr="003628A1">
        <w:rPr>
          <w:lang w:val="en-GB"/>
        </w:rPr>
        <w:t>For the specific methanogenic activity (SMA) test, the procedure of Soto (1992) was followed. 625 ml flasks were used as reactors and 5 g/L acetic acid COD as standard substrate at neutral pH at room temperature (22° to 25°C). The CH</w:t>
      </w:r>
      <w:r w:rsidRPr="00935AA1">
        <w:rPr>
          <w:vertAlign w:val="subscript"/>
          <w:lang w:val="en-GB"/>
        </w:rPr>
        <w:t>4</w:t>
      </w:r>
      <w:r w:rsidRPr="003628A1">
        <w:rPr>
          <w:lang w:val="en-GB"/>
        </w:rPr>
        <w:t xml:space="preserve"> generated was measured by volume displacement of a NaOH solution (2.5%). The theoretical methane production must be calculated taking into account the temperature and atmospheric pressure conditions under which the experiments are carried out. The </w:t>
      </w:r>
      <w:r w:rsidR="00ED66E9">
        <w:rPr>
          <w:lang w:val="en-GB"/>
        </w:rPr>
        <w:t>SMA</w:t>
      </w:r>
      <w:r w:rsidRPr="003628A1">
        <w:rPr>
          <w:lang w:val="en-GB"/>
        </w:rPr>
        <w:t xml:space="preserve"> was calculated using the slope obtained in the CH</w:t>
      </w:r>
      <w:r w:rsidRPr="00935AA1">
        <w:rPr>
          <w:vertAlign w:val="subscript"/>
          <w:lang w:val="en-GB"/>
        </w:rPr>
        <w:t>4</w:t>
      </w:r>
      <w:r w:rsidRPr="003628A1">
        <w:rPr>
          <w:lang w:val="en-GB"/>
        </w:rPr>
        <w:t xml:space="preserve"> production curves and was expressed as Kg COD/d</w:t>
      </w:r>
      <w:r>
        <w:rPr>
          <w:lang w:val="en-GB"/>
        </w:rPr>
        <w:t>.</w:t>
      </w:r>
      <w:r w:rsidRPr="003628A1">
        <w:rPr>
          <w:lang w:val="en-GB"/>
        </w:rPr>
        <w:t>Kg SV. The slope “m” represents the variation of methane production in terms of volume and time expressed as ml CH</w:t>
      </w:r>
      <w:r w:rsidRPr="00935AA1">
        <w:rPr>
          <w:vertAlign w:val="subscript"/>
          <w:lang w:val="en-GB"/>
        </w:rPr>
        <w:t>4</w:t>
      </w:r>
      <w:r w:rsidRPr="003628A1">
        <w:rPr>
          <w:lang w:val="en-GB"/>
        </w:rPr>
        <w:t>/h. It is possible to calculate the daily volume of methane produced, considering the first hours of the process where the highest slope occurs:</w:t>
      </w:r>
    </w:p>
    <w:tbl>
      <w:tblPr>
        <w:tblW w:w="5000" w:type="pct"/>
        <w:tblLook w:val="04A0" w:firstRow="1" w:lastRow="0" w:firstColumn="1" w:lastColumn="0" w:noHBand="0" w:noVBand="1"/>
      </w:tblPr>
      <w:tblGrid>
        <w:gridCol w:w="7988"/>
        <w:gridCol w:w="799"/>
      </w:tblGrid>
      <w:tr w:rsidR="00042220" w:rsidRPr="00B57B36" w14:paraId="3CE9B9C1" w14:textId="77777777" w:rsidTr="004A5FE8">
        <w:tc>
          <w:tcPr>
            <w:tcW w:w="7988" w:type="dxa"/>
            <w:shd w:val="clear" w:color="auto" w:fill="auto"/>
            <w:vAlign w:val="center"/>
          </w:tcPr>
          <w:p w14:paraId="2D58602A" w14:textId="02E922B3" w:rsidR="008B5612" w:rsidRPr="008B5612" w:rsidRDefault="008B5612" w:rsidP="008B5612">
            <w:pPr>
              <w:pStyle w:val="CETEquation"/>
            </w:pPr>
            <w:r w:rsidRPr="008B5612">
              <w:drawing>
                <wp:inline distT="0" distB="0" distL="0" distR="0" wp14:anchorId="011E3942" wp14:editId="7F874182">
                  <wp:extent cx="1727200" cy="273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4236" t="2272" r="33765" b="-1"/>
                          <a:stretch/>
                        </pic:blipFill>
                        <pic:spPr bwMode="auto">
                          <a:xfrm>
                            <a:off x="0" y="0"/>
                            <a:ext cx="1727200" cy="273050"/>
                          </a:xfrm>
                          <a:prstGeom prst="rect">
                            <a:avLst/>
                          </a:prstGeom>
                          <a:noFill/>
                          <a:ln>
                            <a:noFill/>
                          </a:ln>
                          <a:extLst>
                            <a:ext uri="{53640926-AAD7-44D8-BBD7-CCE9431645EC}">
                              <a14:shadowObscured xmlns:a14="http://schemas.microsoft.com/office/drawing/2010/main"/>
                            </a:ext>
                          </a:extLst>
                        </pic:spPr>
                      </pic:pic>
                    </a:graphicData>
                  </a:graphic>
                </wp:inline>
              </w:drawing>
            </w:r>
            <w:r>
              <w:rPr>
                <w:rStyle w:val="Refdecomentario"/>
              </w:rPr>
              <w:t xml:space="preserve"> </w:t>
            </w:r>
          </w:p>
        </w:tc>
        <w:tc>
          <w:tcPr>
            <w:tcW w:w="799" w:type="dxa"/>
            <w:shd w:val="clear" w:color="auto" w:fill="auto"/>
            <w:vAlign w:val="center"/>
          </w:tcPr>
          <w:p w14:paraId="326DE4A7" w14:textId="77777777" w:rsidR="00042220" w:rsidRPr="00B57B36" w:rsidRDefault="00042220" w:rsidP="002C61A2">
            <w:pPr>
              <w:pStyle w:val="CETEquation"/>
              <w:jc w:val="right"/>
            </w:pPr>
            <w:r w:rsidRPr="00B57B36">
              <w:t>(1)</w:t>
            </w:r>
          </w:p>
        </w:tc>
      </w:tr>
    </w:tbl>
    <w:p w14:paraId="6BF85843" w14:textId="63EA50D9" w:rsidR="007B03D3" w:rsidRDefault="004A5FE8" w:rsidP="00453E24">
      <w:pPr>
        <w:pStyle w:val="CETBodytext"/>
        <w:rPr>
          <w:lang w:val="en-GB"/>
        </w:rPr>
      </w:pPr>
      <w:r w:rsidRPr="004A5FE8">
        <w:rPr>
          <w:lang w:val="en-GB"/>
        </w:rPr>
        <w:t>Once the produced volume of CH</w:t>
      </w:r>
      <w:r w:rsidRPr="004A5FE8">
        <w:rPr>
          <w:vertAlign w:val="subscript"/>
          <w:lang w:val="en-GB"/>
        </w:rPr>
        <w:t>4</w:t>
      </w:r>
      <w:r w:rsidRPr="004A5FE8">
        <w:rPr>
          <w:lang w:val="en-GB"/>
        </w:rPr>
        <w:t xml:space="preserve"> has been calculated, it is possible to apply the universal gas equation to calculate the W (weight) of CH</w:t>
      </w:r>
      <w:r w:rsidRPr="004A5FE8">
        <w:rPr>
          <w:vertAlign w:val="subscript"/>
          <w:lang w:val="en-GB"/>
        </w:rPr>
        <w:t>4</w:t>
      </w:r>
      <w:r>
        <w:rPr>
          <w:vertAlign w:val="subscript"/>
          <w:lang w:val="en-GB"/>
        </w:rPr>
        <w:t xml:space="preserve"> </w:t>
      </w:r>
      <w:r w:rsidRPr="004A5FE8">
        <w:rPr>
          <w:lang w:val="en-GB"/>
        </w:rPr>
        <w:t>(g), considering the position of the laboratory on the coast at 0 meters above sea level (P=1atm), the weight molecular gas (16 g/mol) and ambient temperature (30</w:t>
      </w:r>
      <w:r w:rsidRPr="004A5FE8">
        <w:rPr>
          <w:vertAlign w:val="superscript"/>
          <w:lang w:val="en-GB"/>
        </w:rPr>
        <w:t>o</w:t>
      </w:r>
      <w:r w:rsidRPr="004A5FE8">
        <w:rPr>
          <w:lang w:val="en-GB"/>
        </w:rPr>
        <w:t>C):</w:t>
      </w:r>
    </w:p>
    <w:tbl>
      <w:tblPr>
        <w:tblW w:w="5000" w:type="pct"/>
        <w:tblLook w:val="04A0" w:firstRow="1" w:lastRow="0" w:firstColumn="1" w:lastColumn="0" w:noHBand="0" w:noVBand="1"/>
      </w:tblPr>
      <w:tblGrid>
        <w:gridCol w:w="7988"/>
        <w:gridCol w:w="799"/>
      </w:tblGrid>
      <w:tr w:rsidR="004F40ED" w:rsidRPr="00B57B36" w14:paraId="5DFBE9C9" w14:textId="77777777" w:rsidTr="002C61A2">
        <w:tc>
          <w:tcPr>
            <w:tcW w:w="7988" w:type="dxa"/>
            <w:shd w:val="clear" w:color="auto" w:fill="auto"/>
            <w:vAlign w:val="center"/>
          </w:tcPr>
          <w:p w14:paraId="754E7BD1" w14:textId="54963696" w:rsidR="004F40ED" w:rsidRPr="00B57B36" w:rsidRDefault="007A5C6B" w:rsidP="002C61A2">
            <w:pPr>
              <w:pStyle w:val="CETEquation"/>
            </w:pPr>
            <w:r w:rsidRPr="007A5C6B">
              <w:rPr>
                <w:noProof/>
                <w:lang w:val="en-US"/>
              </w:rPr>
              <w:drawing>
                <wp:inline distT="0" distB="0" distL="0" distR="0" wp14:anchorId="21B90165" wp14:editId="542B7098">
                  <wp:extent cx="637621" cy="218364"/>
                  <wp:effectExtent l="0" t="0" r="0" b="0"/>
                  <wp:docPr id="1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pic:cNvPicPr>
                        </pic:nvPicPr>
                        <pic:blipFill rotWithShape="1">
                          <a:blip r:embed="rId12"/>
                          <a:srcRect l="41034" t="431" r="40086" b="-8190"/>
                          <a:stretch/>
                        </pic:blipFill>
                        <pic:spPr>
                          <a:xfrm>
                            <a:off x="0" y="0"/>
                            <a:ext cx="680149" cy="232928"/>
                          </a:xfrm>
                          <a:prstGeom prst="rect">
                            <a:avLst/>
                          </a:prstGeom>
                        </pic:spPr>
                      </pic:pic>
                    </a:graphicData>
                  </a:graphic>
                </wp:inline>
              </w:drawing>
            </w:r>
          </w:p>
        </w:tc>
        <w:tc>
          <w:tcPr>
            <w:tcW w:w="799" w:type="dxa"/>
            <w:shd w:val="clear" w:color="auto" w:fill="auto"/>
            <w:vAlign w:val="center"/>
          </w:tcPr>
          <w:p w14:paraId="5EF0FBE2" w14:textId="1BBB97BC" w:rsidR="004F40ED" w:rsidRPr="00B57B36" w:rsidRDefault="00FD0C01" w:rsidP="002C61A2">
            <w:pPr>
              <w:pStyle w:val="CETEquation"/>
              <w:jc w:val="right"/>
            </w:pPr>
            <w:r>
              <w:t>(2</w:t>
            </w:r>
            <w:r w:rsidR="004F40ED" w:rsidRPr="00B57B36">
              <w:t>)</w:t>
            </w:r>
          </w:p>
        </w:tc>
      </w:tr>
      <w:tr w:rsidR="004B5AF1" w:rsidRPr="00B57B36" w14:paraId="13FA0BB2" w14:textId="77777777" w:rsidTr="004B5AF1">
        <w:tc>
          <w:tcPr>
            <w:tcW w:w="7988" w:type="dxa"/>
            <w:shd w:val="clear" w:color="auto" w:fill="auto"/>
            <w:vAlign w:val="center"/>
          </w:tcPr>
          <w:p w14:paraId="3A04FCB2" w14:textId="0CF66AC4" w:rsidR="004B5AF1" w:rsidRPr="004B5AF1" w:rsidRDefault="004B5AF1" w:rsidP="002C61A2">
            <w:pPr>
              <w:pStyle w:val="CETEquation"/>
              <w:rPr>
                <w:lang w:val="en-US"/>
              </w:rPr>
            </w:pPr>
            <w:r w:rsidRPr="004B5AF1">
              <w:rPr>
                <w:noProof/>
                <w:lang w:val="en-US"/>
              </w:rPr>
              <w:drawing>
                <wp:inline distT="0" distB="0" distL="0" distR="0" wp14:anchorId="646A8B16" wp14:editId="1FC14E5F">
                  <wp:extent cx="1030406" cy="209192"/>
                  <wp:effectExtent l="0" t="0" r="0" b="635"/>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3"/>
                          <a:srcRect t="25693" r="13046" b="46042"/>
                          <a:stretch/>
                        </pic:blipFill>
                        <pic:spPr>
                          <a:xfrm>
                            <a:off x="0" y="0"/>
                            <a:ext cx="1145972" cy="232654"/>
                          </a:xfrm>
                          <a:prstGeom prst="rect">
                            <a:avLst/>
                          </a:prstGeom>
                        </pic:spPr>
                      </pic:pic>
                    </a:graphicData>
                  </a:graphic>
                </wp:inline>
              </w:drawing>
            </w:r>
          </w:p>
        </w:tc>
        <w:tc>
          <w:tcPr>
            <w:tcW w:w="799" w:type="dxa"/>
            <w:shd w:val="clear" w:color="auto" w:fill="auto"/>
            <w:vAlign w:val="center"/>
          </w:tcPr>
          <w:p w14:paraId="6C5F02C4" w14:textId="78D9447A" w:rsidR="004B5AF1" w:rsidRPr="00B57B36" w:rsidRDefault="004B5AF1" w:rsidP="00FD0C01">
            <w:pPr>
              <w:pStyle w:val="CETEquation"/>
              <w:jc w:val="right"/>
            </w:pPr>
            <w:r w:rsidRPr="00B57B36">
              <w:t>(</w:t>
            </w:r>
            <w:r w:rsidR="00FD0C01">
              <w:t>3</w:t>
            </w:r>
            <w:r w:rsidRPr="00B57B36">
              <w:t>)</w:t>
            </w:r>
          </w:p>
        </w:tc>
      </w:tr>
    </w:tbl>
    <w:p w14:paraId="6ADB9CCC" w14:textId="5F9E0F44" w:rsidR="007B03D3" w:rsidRDefault="00E241A0" w:rsidP="00453E24">
      <w:pPr>
        <w:pStyle w:val="CETBodytext"/>
        <w:rPr>
          <w:lang w:val="en-GB"/>
        </w:rPr>
      </w:pPr>
      <w:r w:rsidRPr="00E241A0">
        <w:rPr>
          <w:lang w:val="en-GB"/>
        </w:rPr>
        <w:t xml:space="preserve">Where P = pressure </w:t>
      </w:r>
      <w:r w:rsidR="002718C4">
        <w:rPr>
          <w:lang w:val="en-GB"/>
        </w:rPr>
        <w:t>(</w:t>
      </w:r>
      <w:r w:rsidRPr="00E241A0">
        <w:rPr>
          <w:lang w:val="en-GB"/>
        </w:rPr>
        <w:t>atm</w:t>
      </w:r>
      <w:r w:rsidR="002718C4">
        <w:rPr>
          <w:lang w:val="en-GB"/>
        </w:rPr>
        <w:t>)</w:t>
      </w:r>
      <w:r w:rsidRPr="00E241A0">
        <w:rPr>
          <w:lang w:val="en-GB"/>
        </w:rPr>
        <w:t>, V is the volume of CH</w:t>
      </w:r>
      <w:r w:rsidRPr="00935AA1">
        <w:rPr>
          <w:vertAlign w:val="subscript"/>
          <w:lang w:val="en-GB"/>
        </w:rPr>
        <w:t>4</w:t>
      </w:r>
      <w:r w:rsidRPr="00E241A0">
        <w:rPr>
          <w:lang w:val="en-GB"/>
        </w:rPr>
        <w:t xml:space="preserve"> (ml), R is the Rydberg constant (8.14472 joule/mol-K) and Mol is the molecular weight of methane. Then considering the following reaction that occurs:</w:t>
      </w:r>
    </w:p>
    <w:tbl>
      <w:tblPr>
        <w:tblW w:w="5000" w:type="pct"/>
        <w:tblLook w:val="04A0" w:firstRow="1" w:lastRow="0" w:firstColumn="1" w:lastColumn="0" w:noHBand="0" w:noVBand="1"/>
      </w:tblPr>
      <w:tblGrid>
        <w:gridCol w:w="7988"/>
        <w:gridCol w:w="799"/>
      </w:tblGrid>
      <w:tr w:rsidR="00B87FD2" w:rsidRPr="00B57B36" w14:paraId="2A3AA73C" w14:textId="77777777" w:rsidTr="002C61A2">
        <w:tc>
          <w:tcPr>
            <w:tcW w:w="7988" w:type="dxa"/>
            <w:shd w:val="clear" w:color="auto" w:fill="auto"/>
            <w:vAlign w:val="center"/>
          </w:tcPr>
          <w:p w14:paraId="36671595" w14:textId="1E806C5D" w:rsidR="00B87FD2" w:rsidRPr="00B57B36" w:rsidRDefault="00B87FD2" w:rsidP="002C61A2">
            <w:pPr>
              <w:pStyle w:val="CETEquation"/>
            </w:pPr>
            <w:r w:rsidRPr="00B87FD2">
              <w:rPr>
                <w:noProof/>
                <w:lang w:val="en-US"/>
              </w:rPr>
              <w:drawing>
                <wp:inline distT="0" distB="0" distL="0" distR="0" wp14:anchorId="3FC9FBF5" wp14:editId="6882CE42">
                  <wp:extent cx="1712794" cy="197156"/>
                  <wp:effectExtent l="0" t="0" r="1905" b="0"/>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14"/>
                          <a:stretch>
                            <a:fillRect/>
                          </a:stretch>
                        </pic:blipFill>
                        <pic:spPr>
                          <a:xfrm>
                            <a:off x="0" y="0"/>
                            <a:ext cx="1959790" cy="225587"/>
                          </a:xfrm>
                          <a:prstGeom prst="rect">
                            <a:avLst/>
                          </a:prstGeom>
                        </pic:spPr>
                      </pic:pic>
                    </a:graphicData>
                  </a:graphic>
                </wp:inline>
              </w:drawing>
            </w:r>
          </w:p>
        </w:tc>
        <w:tc>
          <w:tcPr>
            <w:tcW w:w="799" w:type="dxa"/>
            <w:shd w:val="clear" w:color="auto" w:fill="auto"/>
            <w:vAlign w:val="center"/>
          </w:tcPr>
          <w:p w14:paraId="2BB3C288" w14:textId="1E8882FC" w:rsidR="00B87FD2" w:rsidRPr="00B57B36" w:rsidRDefault="00FD0C01" w:rsidP="002C61A2">
            <w:pPr>
              <w:pStyle w:val="CETEquation"/>
              <w:jc w:val="right"/>
            </w:pPr>
            <w:r>
              <w:t>(4</w:t>
            </w:r>
            <w:r w:rsidR="00B87FD2" w:rsidRPr="00B57B36">
              <w:t>)</w:t>
            </w:r>
          </w:p>
        </w:tc>
      </w:tr>
    </w:tbl>
    <w:p w14:paraId="756CFD4A" w14:textId="4E0621A7" w:rsidR="00E241A0" w:rsidRDefault="00B06B61" w:rsidP="00453E24">
      <w:pPr>
        <w:pStyle w:val="CETBodytext"/>
        <w:rPr>
          <w:lang w:val="en-GB"/>
        </w:rPr>
      </w:pPr>
      <w:r w:rsidRPr="00B06B61">
        <w:rPr>
          <w:lang w:val="en-GB"/>
        </w:rPr>
        <w:t>The amount of oxygen needed in terms of COD can be calculated by stoichiometry:</w:t>
      </w:r>
    </w:p>
    <w:tbl>
      <w:tblPr>
        <w:tblW w:w="5000" w:type="pct"/>
        <w:tblLook w:val="04A0" w:firstRow="1" w:lastRow="0" w:firstColumn="1" w:lastColumn="0" w:noHBand="0" w:noVBand="1"/>
      </w:tblPr>
      <w:tblGrid>
        <w:gridCol w:w="7988"/>
        <w:gridCol w:w="799"/>
      </w:tblGrid>
      <w:tr w:rsidR="00CA3D11" w:rsidRPr="00B57B36" w14:paraId="54A52C4A" w14:textId="77777777" w:rsidTr="002C61A2">
        <w:tc>
          <w:tcPr>
            <w:tcW w:w="7988" w:type="dxa"/>
            <w:shd w:val="clear" w:color="auto" w:fill="auto"/>
            <w:vAlign w:val="center"/>
          </w:tcPr>
          <w:p w14:paraId="586FEFE3" w14:textId="05875DCE" w:rsidR="00D91964" w:rsidRPr="00B57B36" w:rsidRDefault="00CA3D11" w:rsidP="002C61A2">
            <w:pPr>
              <w:pStyle w:val="CETEquation"/>
            </w:pPr>
            <w:r w:rsidRPr="00CA3D11">
              <w:rPr>
                <w:noProof/>
                <w:lang w:val="en-US"/>
              </w:rPr>
              <w:lastRenderedPageBreak/>
              <w:drawing>
                <wp:inline distT="0" distB="0" distL="0" distR="0" wp14:anchorId="35264EE0" wp14:editId="02EE0DAE">
                  <wp:extent cx="3115340" cy="313059"/>
                  <wp:effectExtent l="0" t="0" r="8890" b="0"/>
                  <wp:docPr id="1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pic:cNvPicPr>
                        </pic:nvPicPr>
                        <pic:blipFill rotWithShape="1">
                          <a:blip r:embed="rId15"/>
                          <a:srcRect l="1133" t="32373" r="14216" b="46822"/>
                          <a:stretch/>
                        </pic:blipFill>
                        <pic:spPr>
                          <a:xfrm>
                            <a:off x="0" y="0"/>
                            <a:ext cx="3294545" cy="331067"/>
                          </a:xfrm>
                          <a:prstGeom prst="rect">
                            <a:avLst/>
                          </a:prstGeom>
                        </pic:spPr>
                      </pic:pic>
                    </a:graphicData>
                  </a:graphic>
                </wp:inline>
              </w:drawing>
            </w:r>
          </w:p>
        </w:tc>
        <w:tc>
          <w:tcPr>
            <w:tcW w:w="799" w:type="dxa"/>
            <w:shd w:val="clear" w:color="auto" w:fill="auto"/>
            <w:vAlign w:val="center"/>
          </w:tcPr>
          <w:p w14:paraId="5952B2E0" w14:textId="38BF2A28" w:rsidR="00D91964" w:rsidRPr="00B57B36" w:rsidRDefault="00FD0C01" w:rsidP="002C61A2">
            <w:pPr>
              <w:pStyle w:val="CETEquation"/>
              <w:jc w:val="right"/>
            </w:pPr>
            <w:r>
              <w:t>(5</w:t>
            </w:r>
            <w:r w:rsidR="00D91964" w:rsidRPr="00B57B36">
              <w:t>)</w:t>
            </w:r>
          </w:p>
        </w:tc>
      </w:tr>
    </w:tbl>
    <w:p w14:paraId="06B78CD2" w14:textId="0EF2A4DB" w:rsidR="00B87FD2" w:rsidRDefault="00193D60" w:rsidP="00453E24">
      <w:pPr>
        <w:pStyle w:val="CETBodytext"/>
        <w:rPr>
          <w:lang w:val="en-GB"/>
        </w:rPr>
      </w:pPr>
      <w:r>
        <w:rPr>
          <w:lang w:val="en-GB"/>
        </w:rPr>
        <w:t>T</w:t>
      </w:r>
      <w:r w:rsidR="00E72649" w:rsidRPr="00E72649">
        <w:rPr>
          <w:lang w:val="en-GB"/>
        </w:rPr>
        <w:t>he maximum specific activity is expressed as Kg COD/Kg SV.d, based on the mass of inoculum containing 2.5 g of volatile solids applied for the test is:</w:t>
      </w:r>
    </w:p>
    <w:tbl>
      <w:tblPr>
        <w:tblW w:w="5000" w:type="pct"/>
        <w:tblLook w:val="04A0" w:firstRow="1" w:lastRow="0" w:firstColumn="1" w:lastColumn="0" w:noHBand="0" w:noVBand="1"/>
      </w:tblPr>
      <w:tblGrid>
        <w:gridCol w:w="7988"/>
        <w:gridCol w:w="799"/>
      </w:tblGrid>
      <w:tr w:rsidR="009271F4" w:rsidRPr="00B57B36" w14:paraId="36943B87" w14:textId="77777777" w:rsidTr="002C61A2">
        <w:tc>
          <w:tcPr>
            <w:tcW w:w="7988" w:type="dxa"/>
            <w:shd w:val="clear" w:color="auto" w:fill="auto"/>
            <w:vAlign w:val="center"/>
          </w:tcPr>
          <w:p w14:paraId="4182F220" w14:textId="1D2FDE5C" w:rsidR="009271F4" w:rsidRPr="00B57B36" w:rsidRDefault="00142420" w:rsidP="002C61A2">
            <w:pPr>
              <w:pStyle w:val="CETEquation"/>
            </w:pPr>
            <w:r w:rsidRPr="00142420">
              <w:rPr>
                <w:noProof/>
                <w:lang w:val="en-US"/>
              </w:rPr>
              <w:drawing>
                <wp:inline distT="0" distB="0" distL="0" distR="0" wp14:anchorId="507243B7" wp14:editId="20A16BA0">
                  <wp:extent cx="1984787" cy="302814"/>
                  <wp:effectExtent l="0" t="0" r="0" b="2540"/>
                  <wp:docPr id="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pic:cNvPicPr>
                            <a:picLocks noChangeAspect="1"/>
                          </pic:cNvPicPr>
                        </pic:nvPicPr>
                        <pic:blipFill rotWithShape="1">
                          <a:blip r:embed="rId16"/>
                          <a:srcRect t="20350" b="33295"/>
                          <a:stretch/>
                        </pic:blipFill>
                        <pic:spPr>
                          <a:xfrm>
                            <a:off x="0" y="0"/>
                            <a:ext cx="2096325" cy="319831"/>
                          </a:xfrm>
                          <a:prstGeom prst="rect">
                            <a:avLst/>
                          </a:prstGeom>
                        </pic:spPr>
                      </pic:pic>
                    </a:graphicData>
                  </a:graphic>
                </wp:inline>
              </w:drawing>
            </w:r>
          </w:p>
        </w:tc>
        <w:tc>
          <w:tcPr>
            <w:tcW w:w="799" w:type="dxa"/>
            <w:shd w:val="clear" w:color="auto" w:fill="auto"/>
            <w:vAlign w:val="center"/>
          </w:tcPr>
          <w:p w14:paraId="578F7BFB" w14:textId="3FA26846" w:rsidR="009271F4" w:rsidRPr="00B57B36" w:rsidRDefault="009271F4" w:rsidP="00FD0C01">
            <w:pPr>
              <w:pStyle w:val="CETEquation"/>
              <w:jc w:val="right"/>
            </w:pPr>
            <w:r w:rsidRPr="00B57B36">
              <w:t>(</w:t>
            </w:r>
            <w:r w:rsidR="00FD0C01">
              <w:t>6</w:t>
            </w:r>
            <w:r w:rsidRPr="00B57B36">
              <w:t>)</w:t>
            </w:r>
          </w:p>
        </w:tc>
      </w:tr>
    </w:tbl>
    <w:p w14:paraId="07D1E1AA" w14:textId="1C54DA0A" w:rsidR="00233A83" w:rsidRPr="00233A83" w:rsidRDefault="00233A83" w:rsidP="00233A83">
      <w:pPr>
        <w:pStyle w:val="CETBodytext"/>
        <w:rPr>
          <w:lang w:val="en-GB"/>
        </w:rPr>
      </w:pPr>
      <w:r w:rsidRPr="00233A83">
        <w:rPr>
          <w:lang w:val="en-GB"/>
        </w:rPr>
        <w:t xml:space="preserve">The experimental </w:t>
      </w:r>
      <w:r w:rsidR="000A1623">
        <w:rPr>
          <w:lang w:val="en-GB"/>
        </w:rPr>
        <w:t>SMA</w:t>
      </w:r>
      <w:r w:rsidRPr="00233A83">
        <w:rPr>
          <w:lang w:val="en-GB"/>
        </w:rPr>
        <w:t xml:space="preserve"> is calculated considering “m” as the slope of the line obtained during the first days that results with the greatest slope (m=slope) and expressed as CH</w:t>
      </w:r>
      <w:r w:rsidRPr="00935AA1">
        <w:rPr>
          <w:vertAlign w:val="subscript"/>
          <w:lang w:val="en-GB"/>
        </w:rPr>
        <w:t>4</w:t>
      </w:r>
      <w:r w:rsidRPr="00233A83">
        <w:rPr>
          <w:lang w:val="en-GB"/>
        </w:rPr>
        <w:t xml:space="preserve"> ml/h, “I” is the concentration of the inoculum expressed g SSV/ mL; and V</w:t>
      </w:r>
      <w:r w:rsidR="00A14905">
        <w:rPr>
          <w:vertAlign w:val="subscript"/>
          <w:lang w:val="en-GB"/>
        </w:rPr>
        <w:t>s</w:t>
      </w:r>
      <w:r w:rsidRPr="00233A83">
        <w:rPr>
          <w:lang w:val="en-GB"/>
        </w:rPr>
        <w:t xml:space="preserve"> is the effective volume of sample used = 400 mL.</w:t>
      </w:r>
    </w:p>
    <w:p w14:paraId="3BB4A68C" w14:textId="39097CF9" w:rsidR="009271F4" w:rsidRDefault="004701BC" w:rsidP="00233A83">
      <w:pPr>
        <w:pStyle w:val="CETBodytext"/>
        <w:rPr>
          <w:lang w:val="en-GB"/>
        </w:rPr>
      </w:pPr>
      <w:r>
        <w:rPr>
          <w:lang w:val="en-GB"/>
        </w:rPr>
        <w:t>To calculate S</w:t>
      </w:r>
      <w:r w:rsidR="00233A83" w:rsidRPr="00233A83">
        <w:rPr>
          <w:lang w:val="en-GB"/>
        </w:rPr>
        <w:t>M</w:t>
      </w:r>
      <w:r>
        <w:rPr>
          <w:lang w:val="en-GB"/>
        </w:rPr>
        <w:t>A</w:t>
      </w:r>
      <w:r w:rsidR="00233A83" w:rsidRPr="00233A83">
        <w:rPr>
          <w:lang w:val="en-GB"/>
        </w:rPr>
        <w:t xml:space="preserve"> the equation was considered:</w:t>
      </w:r>
    </w:p>
    <w:tbl>
      <w:tblPr>
        <w:tblW w:w="5000" w:type="pct"/>
        <w:tblLook w:val="04A0" w:firstRow="1" w:lastRow="0" w:firstColumn="1" w:lastColumn="0" w:noHBand="0" w:noVBand="1"/>
      </w:tblPr>
      <w:tblGrid>
        <w:gridCol w:w="7988"/>
        <w:gridCol w:w="799"/>
      </w:tblGrid>
      <w:tr w:rsidR="00B57AD4" w:rsidRPr="00B57B36" w14:paraId="6D98A730" w14:textId="77777777" w:rsidTr="002C61A2">
        <w:tc>
          <w:tcPr>
            <w:tcW w:w="7988" w:type="dxa"/>
            <w:shd w:val="clear" w:color="auto" w:fill="auto"/>
            <w:vAlign w:val="center"/>
          </w:tcPr>
          <w:p w14:paraId="68F4B262" w14:textId="1BDDD290" w:rsidR="00B57AD4" w:rsidRPr="00B57B36" w:rsidRDefault="00A14905" w:rsidP="002C61A2">
            <w:pPr>
              <w:pStyle w:val="CETEquation"/>
            </w:pPr>
            <w:r w:rsidRPr="00A14905">
              <w:rPr>
                <w:noProof/>
                <w:lang w:val="en-US"/>
              </w:rPr>
              <w:drawing>
                <wp:inline distT="0" distB="0" distL="0" distR="0" wp14:anchorId="27E3AEDD" wp14:editId="302DE6D7">
                  <wp:extent cx="2921000" cy="509272"/>
                  <wp:effectExtent l="0" t="0" r="0" b="5080"/>
                  <wp:docPr id="1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pic:cNvPicPr>
                            <a:picLocks noChangeAspect="1"/>
                          </pic:cNvPicPr>
                        </pic:nvPicPr>
                        <pic:blipFill>
                          <a:blip r:embed="rId17"/>
                          <a:stretch>
                            <a:fillRect/>
                          </a:stretch>
                        </pic:blipFill>
                        <pic:spPr>
                          <a:xfrm>
                            <a:off x="0" y="0"/>
                            <a:ext cx="3078834" cy="536790"/>
                          </a:xfrm>
                          <a:prstGeom prst="rect">
                            <a:avLst/>
                          </a:prstGeom>
                        </pic:spPr>
                      </pic:pic>
                    </a:graphicData>
                  </a:graphic>
                </wp:inline>
              </w:drawing>
            </w:r>
          </w:p>
        </w:tc>
        <w:tc>
          <w:tcPr>
            <w:tcW w:w="799" w:type="dxa"/>
            <w:shd w:val="clear" w:color="auto" w:fill="auto"/>
            <w:vAlign w:val="center"/>
          </w:tcPr>
          <w:p w14:paraId="0E6C58D5" w14:textId="6070D899" w:rsidR="00B57AD4" w:rsidRPr="00B57B36" w:rsidRDefault="00FD0C01" w:rsidP="002C61A2">
            <w:pPr>
              <w:pStyle w:val="CETEquation"/>
              <w:jc w:val="right"/>
            </w:pPr>
            <w:r>
              <w:t>(7</w:t>
            </w:r>
            <w:r w:rsidR="00B57AD4" w:rsidRPr="00B57B36">
              <w:t>)</w:t>
            </w:r>
          </w:p>
        </w:tc>
      </w:tr>
    </w:tbl>
    <w:p w14:paraId="16D934A4" w14:textId="6AF1CF9B" w:rsidR="00075513" w:rsidRPr="00545A01" w:rsidRDefault="004D56C2" w:rsidP="00B77422">
      <w:pPr>
        <w:pStyle w:val="CETheadingx"/>
      </w:pPr>
      <w:r>
        <w:t xml:space="preserve">2.4 </w:t>
      </w:r>
      <w:r w:rsidR="00075513" w:rsidRPr="00545A01">
        <w:t>Biochemical Methane Potential (</w:t>
      </w:r>
      <w:r w:rsidR="004C4D17">
        <w:t>BMP</w:t>
      </w:r>
      <w:r w:rsidR="00075513" w:rsidRPr="00545A01">
        <w:t>) Test</w:t>
      </w:r>
    </w:p>
    <w:p w14:paraId="1C6629BF" w14:textId="44CEAF6B" w:rsidR="009271F4" w:rsidRDefault="00075513" w:rsidP="00590252">
      <w:pPr>
        <w:pStyle w:val="CETBodytext"/>
        <w:spacing w:line="240" w:lineRule="auto"/>
        <w:contextualSpacing/>
        <w:rPr>
          <w:lang w:val="en-GB"/>
        </w:rPr>
      </w:pPr>
      <w:r w:rsidRPr="00075513">
        <w:rPr>
          <w:lang w:val="en-GB"/>
        </w:rPr>
        <w:t>The Biochemical Potential of Methane (</w:t>
      </w:r>
      <w:r w:rsidR="004C4D17">
        <w:rPr>
          <w:lang w:val="en-GB"/>
        </w:rPr>
        <w:t>BMP</w:t>
      </w:r>
      <w:r w:rsidRPr="00075513">
        <w:rPr>
          <w:lang w:val="en-GB"/>
        </w:rPr>
        <w:t>) Test consisted of an experimental design in completely randomized blocks according to the following description: Coffee "untreated, Coffee "treated with NaOH"; Coffee "treated with OH + NP", this same Distribution was applied for banana and then for the coffee + banana mixture, taking as reference the methodology of Naseem (2018) with certain modifications.</w:t>
      </w:r>
    </w:p>
    <w:p w14:paraId="165C328C" w14:textId="77777777" w:rsidR="009271F4" w:rsidRDefault="009271F4" w:rsidP="00590252">
      <w:pPr>
        <w:pStyle w:val="CETBodytext"/>
        <w:spacing w:line="240" w:lineRule="auto"/>
        <w:contextualSpacing/>
        <w:rPr>
          <w:lang w:val="en-GB"/>
        </w:rPr>
      </w:pPr>
    </w:p>
    <w:p w14:paraId="04F969DC" w14:textId="72623891" w:rsidR="0021339E" w:rsidRPr="0021339E" w:rsidRDefault="004D56C2" w:rsidP="00B77422">
      <w:pPr>
        <w:pStyle w:val="CETheadingx"/>
      </w:pPr>
      <w:r>
        <w:t xml:space="preserve">2.5 </w:t>
      </w:r>
      <w:r w:rsidR="0021339E" w:rsidRPr="0021339E">
        <w:t>Experimental design</w:t>
      </w:r>
    </w:p>
    <w:p w14:paraId="35CBC7E3" w14:textId="342294B7" w:rsidR="000E2EF3" w:rsidRDefault="0021339E" w:rsidP="00590252">
      <w:pPr>
        <w:pStyle w:val="CETBodytext"/>
        <w:spacing w:line="240" w:lineRule="auto"/>
        <w:contextualSpacing/>
        <w:rPr>
          <w:lang w:val="en-GB"/>
        </w:rPr>
      </w:pPr>
      <w:r w:rsidRPr="0021339E">
        <w:rPr>
          <w:lang w:val="en-GB"/>
        </w:rPr>
        <w:t>The experiment was conditioned for 7 days at 22°C</w:t>
      </w:r>
      <w:r w:rsidR="007F2047">
        <w:rPr>
          <w:lang w:val="en-GB"/>
        </w:rPr>
        <w:t xml:space="preserve"> (</w:t>
      </w:r>
      <w:r w:rsidR="007F2047" w:rsidRPr="007F2047">
        <w:rPr>
          <w:lang w:val="en-GB"/>
        </w:rPr>
        <w:t>batch production</w:t>
      </w:r>
      <w:r w:rsidR="007F2047">
        <w:rPr>
          <w:lang w:val="en-GB"/>
        </w:rPr>
        <w:t>)</w:t>
      </w:r>
      <w:r w:rsidRPr="0021339E">
        <w:rPr>
          <w:lang w:val="en-GB"/>
        </w:rPr>
        <w:t>, neutral pH and 200 ml of inoculum and a working volume of 400 ml. The experimental design generated 33 experimental units that included controls and blanks, the biogas produced was monitored every day. A portion of 0.1g of NP was applied according to Amo-Duodu et al, (2020).</w:t>
      </w:r>
      <w:r w:rsidR="00241E04" w:rsidRPr="00241E04">
        <w:t xml:space="preserve"> </w:t>
      </w:r>
      <w:r w:rsidR="00241E04" w:rsidRPr="00241E04">
        <w:rPr>
          <w:lang w:val="en-GB"/>
        </w:rPr>
        <w:t>As seen in the figure, one of the highest absorption peaks exposed was present at 290 nm and is located in the range (275-301) reported by Bouafia and Laouini (2020), indicating the formation of iron oxide nanoparticles.</w:t>
      </w:r>
      <w:r w:rsidR="00D94CDC">
        <w:rPr>
          <w:lang w:val="en-GB"/>
        </w:rPr>
        <w:t xml:space="preserve"> </w:t>
      </w:r>
      <w:r w:rsidR="00D94CDC" w:rsidRPr="00D94CDC">
        <w:rPr>
          <w:lang w:val="en-GB"/>
        </w:rPr>
        <w:t>Figure 1 shows the flow chart applied in this research.</w:t>
      </w:r>
    </w:p>
    <w:p w14:paraId="687FE8E5" w14:textId="14CA4FC6" w:rsidR="00373EEA" w:rsidRDefault="00241E04" w:rsidP="0021339E">
      <w:pPr>
        <w:pStyle w:val="CETBodytext"/>
        <w:rPr>
          <w:lang w:val="en-GB"/>
        </w:rPr>
      </w:pPr>
      <w:r>
        <w:rPr>
          <w:noProof/>
        </w:rPr>
        <w:drawing>
          <wp:inline distT="0" distB="0" distL="0" distR="0" wp14:anchorId="670EE4AD" wp14:editId="094F4610">
            <wp:extent cx="4844955" cy="1446530"/>
            <wp:effectExtent l="19050" t="19050" r="13335" b="203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t="2913"/>
                    <a:stretch/>
                  </pic:blipFill>
                  <pic:spPr bwMode="auto">
                    <a:xfrm>
                      <a:off x="0" y="0"/>
                      <a:ext cx="4914704" cy="1467354"/>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4B039DA0" w14:textId="77777777" w:rsidR="00241E04" w:rsidRPr="00B12361" w:rsidRDefault="00241E04" w:rsidP="00B77422">
      <w:pPr>
        <w:pStyle w:val="CETheadingx"/>
        <w:rPr>
          <w:b w:val="0"/>
        </w:rPr>
      </w:pPr>
      <w:r w:rsidRPr="00B12361">
        <w:rPr>
          <w:b w:val="0"/>
        </w:rPr>
        <w:t>Figure 1. Flow diagram of the developed experiment: a) dried banana peels, b) dried coffee peels; c) Spectrogram of FeNP at 290 nm; d) SMA test; d) BPM.</w:t>
      </w:r>
    </w:p>
    <w:p w14:paraId="35445AA9" w14:textId="73E74BAB" w:rsidR="00187C12" w:rsidRPr="00B12361" w:rsidRDefault="00241E04" w:rsidP="00B77422">
      <w:pPr>
        <w:pStyle w:val="CETheadingx"/>
        <w:rPr>
          <w:b w:val="0"/>
        </w:rPr>
      </w:pPr>
      <w:r w:rsidRPr="00B12361">
        <w:rPr>
          <w:b w:val="0"/>
        </w:rPr>
        <w:t>​</w:t>
      </w:r>
      <w:r w:rsidR="004D56C2" w:rsidRPr="00B12361">
        <w:rPr>
          <w:b w:val="0"/>
        </w:rPr>
        <w:t xml:space="preserve">2.6 </w:t>
      </w:r>
      <w:r w:rsidR="00187C12" w:rsidRPr="00B12361">
        <w:rPr>
          <w:b w:val="0"/>
        </w:rPr>
        <w:t>Analysis of data</w:t>
      </w:r>
    </w:p>
    <w:p w14:paraId="1862027C" w14:textId="77777777" w:rsidR="000E2EF3" w:rsidRPr="00AB6CBA" w:rsidRDefault="000E2EF3" w:rsidP="00590252">
      <w:pPr>
        <w:pStyle w:val="CETHeading1"/>
        <w:numPr>
          <w:ilvl w:val="0"/>
          <w:numId w:val="0"/>
        </w:numPr>
        <w:spacing w:after="0"/>
        <w:jc w:val="both"/>
      </w:pPr>
      <w:r w:rsidRPr="00AB6CBA">
        <w:rPr>
          <w:b w:val="0"/>
          <w:sz w:val="18"/>
        </w:rPr>
        <w:t>The data analysis method corresponded to that used by Jacobo et al. (2023). The experiments were performed using the short-term batch experimental setups of 7 days and with a fixed dose of FeNPS.</w:t>
      </w:r>
    </w:p>
    <w:p w14:paraId="677EBFF0" w14:textId="7889536E" w:rsidR="00600535" w:rsidRPr="00B57B36" w:rsidRDefault="00CD2F30" w:rsidP="00CD2F30">
      <w:pPr>
        <w:pStyle w:val="CETHeading1"/>
      </w:pPr>
      <w:r w:rsidRPr="00CD2F30">
        <w:rPr>
          <w:lang w:val="en-GB"/>
        </w:rPr>
        <w:t>Results and discussion</w:t>
      </w:r>
    </w:p>
    <w:p w14:paraId="29032A82" w14:textId="185A6784" w:rsidR="0022451B" w:rsidRPr="00590252" w:rsidRDefault="006C2BCC" w:rsidP="00B77422">
      <w:pPr>
        <w:pStyle w:val="CETheadingx"/>
      </w:pPr>
      <w:r w:rsidRPr="00590252">
        <w:t>3.</w:t>
      </w:r>
      <w:r w:rsidR="00590252" w:rsidRPr="00590252">
        <w:t>1</w:t>
      </w:r>
      <w:r w:rsidRPr="00590252">
        <w:t xml:space="preserve"> </w:t>
      </w:r>
      <w:r w:rsidR="004B1F8C" w:rsidRPr="00590252">
        <w:t>Specific Methanogenic Activity</w:t>
      </w:r>
    </w:p>
    <w:p w14:paraId="5B37519B" w14:textId="374A04EE" w:rsidR="0022451B" w:rsidRPr="0022451B" w:rsidRDefault="0022451B" w:rsidP="0022451B">
      <w:pPr>
        <w:pStyle w:val="CETBodytext"/>
        <w:rPr>
          <w:lang w:val="en-GB"/>
        </w:rPr>
      </w:pPr>
      <w:r w:rsidRPr="0022451B">
        <w:rPr>
          <w:lang w:val="en-GB"/>
        </w:rPr>
        <w:t xml:space="preserve">Figure </w:t>
      </w:r>
      <w:r w:rsidR="003B3B5D">
        <w:rPr>
          <w:lang w:val="en-GB"/>
        </w:rPr>
        <w:t>2</w:t>
      </w:r>
      <w:r w:rsidRPr="0022451B">
        <w:rPr>
          <w:lang w:val="en-GB"/>
        </w:rPr>
        <w:t xml:space="preserve"> shows the results of the methanogenic activity (SMA) test developed for animal manure. </w:t>
      </w:r>
      <w:r w:rsidR="004B1E3C" w:rsidRPr="004B1E3C">
        <w:rPr>
          <w:lang w:val="en-GB"/>
        </w:rPr>
        <w:t>To do this, a theoretical slope has been drawn, taken in the section with the greatest initial inclination of the curve, which indicates the potential of the substrate.</w:t>
      </w:r>
      <w:r w:rsidR="004B1E3C">
        <w:rPr>
          <w:lang w:val="en-GB"/>
        </w:rPr>
        <w:t xml:space="preserve"> </w:t>
      </w:r>
      <w:r w:rsidRPr="0022451B">
        <w:rPr>
          <w:lang w:val="en-GB"/>
        </w:rPr>
        <w:t>Accordingly, cow manure produced the highest slope whose line Y = 50.73x +16.218 produced a strong R</w:t>
      </w:r>
      <w:r w:rsidRPr="003B3B5D">
        <w:rPr>
          <w:vertAlign w:val="superscript"/>
          <w:lang w:val="en-GB"/>
        </w:rPr>
        <w:t>2</w:t>
      </w:r>
      <w:r w:rsidRPr="0022451B">
        <w:rPr>
          <w:lang w:val="en-GB"/>
        </w:rPr>
        <w:t xml:space="preserve"> (0.9998).</w:t>
      </w:r>
    </w:p>
    <w:p w14:paraId="7982877A" w14:textId="4BA5E0C4" w:rsidR="0022451B" w:rsidRDefault="0022451B" w:rsidP="0022451B">
      <w:pPr>
        <w:pStyle w:val="CETBodytext"/>
        <w:rPr>
          <w:lang w:val="en-GB"/>
        </w:rPr>
      </w:pPr>
      <w:r w:rsidRPr="0022451B">
        <w:rPr>
          <w:lang w:val="en-GB"/>
        </w:rPr>
        <w:t>The methane yield was higher for cow manure, between 1.028 and 1.087 times higher than that of the other inoculums and at a volatile solids content of 11.42 g/L (V</w:t>
      </w:r>
      <w:r w:rsidR="00A01BCF">
        <w:rPr>
          <w:lang w:val="en-GB"/>
        </w:rPr>
        <w:t>S</w:t>
      </w:r>
      <w:r w:rsidRPr="0022451B">
        <w:rPr>
          <w:lang w:val="en-GB"/>
        </w:rPr>
        <w:t>) and total solids content of 12.02 g/L (T</w:t>
      </w:r>
      <w:r w:rsidR="00A01BCF">
        <w:rPr>
          <w:lang w:val="en-GB"/>
        </w:rPr>
        <w:t>S</w:t>
      </w:r>
      <w:r w:rsidRPr="0022451B">
        <w:rPr>
          <w:lang w:val="en-GB"/>
        </w:rPr>
        <w:t>).  It shows that cow manure serves as raw material for the production of biogas, according to Malik et al. (2022), a high percentage of VS/TS is an indication that the state of the inoculum corresponds to a biodegradable process, as occurred in this test.</w:t>
      </w:r>
    </w:p>
    <w:p w14:paraId="426CA777" w14:textId="64897A24" w:rsidR="003E0025" w:rsidRPr="003B3B5D" w:rsidRDefault="00193D60" w:rsidP="003E0025">
      <w:pPr>
        <w:pStyle w:val="CETBodytext"/>
        <w:rPr>
          <w:i/>
          <w:lang w:val="en-GB"/>
        </w:rPr>
      </w:pPr>
      <w:r>
        <w:rPr>
          <w:noProof/>
          <w:szCs w:val="18"/>
        </w:rPr>
        <w:lastRenderedPageBreak/>
        <w:drawing>
          <wp:anchor distT="0" distB="0" distL="114300" distR="114300" simplePos="0" relativeHeight="251659264" behindDoc="0" locked="0" layoutInCell="1" allowOverlap="1" wp14:anchorId="7E64E44E" wp14:editId="47C4A988">
            <wp:simplePos x="0" y="0"/>
            <wp:positionH relativeFrom="column">
              <wp:posOffset>4445</wp:posOffset>
            </wp:positionH>
            <wp:positionV relativeFrom="paragraph">
              <wp:posOffset>19088</wp:posOffset>
            </wp:positionV>
            <wp:extent cx="5370195" cy="1576070"/>
            <wp:effectExtent l="19050" t="19050" r="20955" b="2413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0195" cy="157607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87314F" w:rsidRPr="003B3B5D">
        <w:rPr>
          <w:i/>
          <w:lang w:val="en-GB"/>
        </w:rPr>
        <w:t xml:space="preserve">Figure </w:t>
      </w:r>
      <w:r w:rsidR="003B3B5D" w:rsidRPr="003B3B5D">
        <w:rPr>
          <w:i/>
          <w:lang w:val="en-GB"/>
        </w:rPr>
        <w:t>2</w:t>
      </w:r>
      <w:r w:rsidR="0087314F" w:rsidRPr="003B3B5D">
        <w:rPr>
          <w:i/>
          <w:lang w:val="en-GB"/>
        </w:rPr>
        <w:t>. Cumulative distribution of CH</w:t>
      </w:r>
      <w:r w:rsidR="0087314F" w:rsidRPr="003B3B5D">
        <w:rPr>
          <w:i/>
          <w:vertAlign w:val="subscript"/>
          <w:lang w:val="en-GB"/>
        </w:rPr>
        <w:t>4</w:t>
      </w:r>
      <w:r w:rsidR="0087314F" w:rsidRPr="003B3B5D">
        <w:rPr>
          <w:i/>
          <w:lang w:val="en-GB"/>
        </w:rPr>
        <w:t xml:space="preserve"> in the Specific Methanogenic Activity test in a) chicken manure; b) pig manure and c) cattle manure.</w:t>
      </w:r>
    </w:p>
    <w:p w14:paraId="2FA40FBA" w14:textId="77777777" w:rsidR="0087314F" w:rsidRDefault="0087314F" w:rsidP="003E0025">
      <w:pPr>
        <w:pStyle w:val="CETBodytext"/>
        <w:rPr>
          <w:lang w:val="en-GB"/>
        </w:rPr>
      </w:pPr>
    </w:p>
    <w:p w14:paraId="594883D2" w14:textId="3DDA654D" w:rsidR="002B3768" w:rsidRDefault="002B3768" w:rsidP="003E0025">
      <w:pPr>
        <w:pStyle w:val="CETBodytext"/>
        <w:rPr>
          <w:lang w:val="en-GB"/>
        </w:rPr>
      </w:pPr>
      <w:r w:rsidRPr="002B3768">
        <w:rPr>
          <w:lang w:val="en-GB"/>
        </w:rPr>
        <w:t xml:space="preserve">Table 1 shows the results of the methanogenic activity test (SMA) of each of the treated </w:t>
      </w:r>
      <w:r w:rsidR="003C6EE4" w:rsidRPr="002B3768">
        <w:rPr>
          <w:lang w:val="en-GB"/>
        </w:rPr>
        <w:t>inoculum</w:t>
      </w:r>
      <w:r w:rsidRPr="002B3768">
        <w:rPr>
          <w:lang w:val="en-GB"/>
        </w:rPr>
        <w:t>. SMA tests gave slope results between 46.62 -50.70 expressed in ml/h; the highest value corresponded to cow manure. According to this, the experimental SMA and the theoretical SMA were calculated.</w:t>
      </w:r>
    </w:p>
    <w:p w14:paraId="7CC5FF51" w14:textId="77777777" w:rsidR="003E0025" w:rsidRDefault="003E0025" w:rsidP="003E0025">
      <w:pPr>
        <w:pStyle w:val="CETBodytext"/>
        <w:rPr>
          <w:lang w:val="en-GB"/>
        </w:rPr>
      </w:pPr>
    </w:p>
    <w:p w14:paraId="52E0C5A7" w14:textId="47157743" w:rsidR="003E0025" w:rsidRPr="00E11D91" w:rsidRDefault="00581128" w:rsidP="00AF62F1">
      <w:pPr>
        <w:pStyle w:val="Default"/>
        <w:ind w:right="-568"/>
        <w:jc w:val="both"/>
      </w:pPr>
      <w:r w:rsidRPr="00581128">
        <w:rPr>
          <w:rFonts w:ascii="Arial" w:eastAsia="Times New Roman" w:hAnsi="Arial" w:cs="Times New Roman"/>
          <w:color w:val="auto"/>
          <w:sz w:val="18"/>
          <w:szCs w:val="20"/>
          <w:lang w:val="en-GB"/>
        </w:rPr>
        <w:t>Tabl</w:t>
      </w:r>
      <w:r>
        <w:rPr>
          <w:rFonts w:ascii="Arial" w:eastAsia="Times New Roman" w:hAnsi="Arial" w:cs="Times New Roman"/>
          <w:color w:val="auto"/>
          <w:sz w:val="18"/>
          <w:szCs w:val="20"/>
          <w:lang w:val="en-GB"/>
        </w:rPr>
        <w:t>e</w:t>
      </w:r>
      <w:r w:rsidRPr="00581128">
        <w:rPr>
          <w:rFonts w:ascii="Arial" w:eastAsia="Times New Roman" w:hAnsi="Arial" w:cs="Times New Roman"/>
          <w:color w:val="auto"/>
          <w:sz w:val="18"/>
          <w:szCs w:val="20"/>
          <w:lang w:val="en-GB"/>
        </w:rPr>
        <w:t xml:space="preserve"> 1. </w:t>
      </w:r>
      <w:r w:rsidR="00E11D91" w:rsidRPr="00E11D91">
        <w:rPr>
          <w:rFonts w:ascii="Arial" w:eastAsia="Times New Roman" w:hAnsi="Arial" w:cs="Times New Roman"/>
          <w:color w:val="auto"/>
          <w:sz w:val="18"/>
          <w:szCs w:val="20"/>
          <w:lang w:val="en-GB"/>
        </w:rPr>
        <w:t>Results of the Specific Methanogenic Activity test of manure samples</w:t>
      </w:r>
    </w:p>
    <w:tbl>
      <w:tblPr>
        <w:tblW w:w="8270" w:type="dxa"/>
        <w:tblLook w:val="04A0" w:firstRow="1" w:lastRow="0" w:firstColumn="1" w:lastColumn="0" w:noHBand="0" w:noVBand="1"/>
      </w:tblPr>
      <w:tblGrid>
        <w:gridCol w:w="1593"/>
        <w:gridCol w:w="947"/>
        <w:gridCol w:w="989"/>
        <w:gridCol w:w="824"/>
        <w:gridCol w:w="839"/>
        <w:gridCol w:w="1593"/>
        <w:gridCol w:w="1485"/>
      </w:tblGrid>
      <w:tr w:rsidR="002F0391" w:rsidRPr="00B9461B" w14:paraId="049AF679" w14:textId="77777777" w:rsidTr="002C61A2">
        <w:trPr>
          <w:trHeight w:val="230"/>
        </w:trPr>
        <w:tc>
          <w:tcPr>
            <w:tcW w:w="1593" w:type="dxa"/>
            <w:tcBorders>
              <w:top w:val="single" w:sz="8" w:space="0" w:color="006600"/>
              <w:left w:val="nil"/>
              <w:bottom w:val="single" w:sz="4" w:space="0" w:color="006600"/>
              <w:right w:val="nil"/>
            </w:tcBorders>
            <w:shd w:val="clear" w:color="auto" w:fill="auto"/>
            <w:noWrap/>
            <w:hideMark/>
          </w:tcPr>
          <w:p w14:paraId="020E6B0D"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Substratum</w:t>
            </w:r>
          </w:p>
        </w:tc>
        <w:tc>
          <w:tcPr>
            <w:tcW w:w="947" w:type="dxa"/>
            <w:tcBorders>
              <w:top w:val="single" w:sz="8" w:space="0" w:color="006600"/>
              <w:left w:val="nil"/>
              <w:bottom w:val="single" w:sz="4" w:space="0" w:color="006600"/>
              <w:right w:val="nil"/>
            </w:tcBorders>
            <w:shd w:val="clear" w:color="auto" w:fill="auto"/>
            <w:hideMark/>
          </w:tcPr>
          <w:p w14:paraId="7E2D8053"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m</w:t>
            </w:r>
            <w:r w:rsidRPr="00BE0105">
              <w:rPr>
                <w:rFonts w:ascii="Charis SIL" w:eastAsiaTheme="minorHAnsi" w:hAnsi="Charis SIL" w:cs="Charis SIL"/>
                <w:color w:val="000000"/>
                <w:szCs w:val="18"/>
                <w:lang w:val="es-PE"/>
              </w:rPr>
              <w:br/>
              <w:t xml:space="preserve"> (ml/h)</w:t>
            </w:r>
          </w:p>
        </w:tc>
        <w:tc>
          <w:tcPr>
            <w:tcW w:w="989" w:type="dxa"/>
            <w:tcBorders>
              <w:top w:val="single" w:sz="8" w:space="0" w:color="006600"/>
              <w:left w:val="nil"/>
              <w:bottom w:val="single" w:sz="4" w:space="0" w:color="006600"/>
              <w:right w:val="nil"/>
            </w:tcBorders>
            <w:shd w:val="clear" w:color="auto" w:fill="auto"/>
            <w:hideMark/>
          </w:tcPr>
          <w:p w14:paraId="32A0EF9C"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V CH</w:t>
            </w:r>
            <w:r w:rsidRPr="00BE0105">
              <w:rPr>
                <w:rFonts w:ascii="Charis SIL" w:eastAsiaTheme="minorHAnsi" w:hAnsi="Charis SIL" w:cs="Charis SIL"/>
                <w:color w:val="000000"/>
                <w:szCs w:val="18"/>
                <w:vertAlign w:val="subscript"/>
                <w:lang w:val="es-PE"/>
              </w:rPr>
              <w:t>4</w:t>
            </w:r>
            <w:r w:rsidRPr="00BE0105">
              <w:rPr>
                <w:rFonts w:ascii="Charis SIL" w:eastAsiaTheme="minorHAnsi" w:hAnsi="Charis SIL" w:cs="Charis SIL"/>
                <w:color w:val="000000"/>
                <w:szCs w:val="18"/>
                <w:lang w:val="es-PE"/>
              </w:rPr>
              <w:br/>
              <w:t xml:space="preserve"> (ml/d)</w:t>
            </w:r>
          </w:p>
        </w:tc>
        <w:tc>
          <w:tcPr>
            <w:tcW w:w="824" w:type="dxa"/>
            <w:tcBorders>
              <w:top w:val="single" w:sz="8" w:space="0" w:color="006600"/>
              <w:left w:val="nil"/>
              <w:bottom w:val="single" w:sz="4" w:space="0" w:color="006600"/>
              <w:right w:val="nil"/>
            </w:tcBorders>
            <w:shd w:val="clear" w:color="auto" w:fill="auto"/>
            <w:noWrap/>
            <w:hideMark/>
          </w:tcPr>
          <w:p w14:paraId="6314FD06"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CH</w:t>
            </w:r>
            <w:r w:rsidRPr="00BE0105">
              <w:rPr>
                <w:rFonts w:ascii="Charis SIL" w:eastAsiaTheme="minorHAnsi" w:hAnsi="Charis SIL" w:cs="Charis SIL"/>
                <w:color w:val="000000"/>
                <w:szCs w:val="18"/>
                <w:vertAlign w:val="subscript"/>
                <w:lang w:val="es-PE"/>
              </w:rPr>
              <w:t>4</w:t>
            </w:r>
            <w:r w:rsidRPr="00BE0105">
              <w:rPr>
                <w:rFonts w:ascii="Charis SIL" w:eastAsiaTheme="minorHAnsi" w:hAnsi="Charis SIL" w:cs="Charis SIL"/>
                <w:color w:val="000000"/>
                <w:szCs w:val="18"/>
                <w:lang w:val="es-PE"/>
              </w:rPr>
              <w:t xml:space="preserve"> (g)</w:t>
            </w:r>
          </w:p>
        </w:tc>
        <w:tc>
          <w:tcPr>
            <w:tcW w:w="839" w:type="dxa"/>
            <w:tcBorders>
              <w:top w:val="single" w:sz="8" w:space="0" w:color="006600"/>
              <w:left w:val="nil"/>
              <w:bottom w:val="single" w:sz="4" w:space="0" w:color="006600"/>
              <w:right w:val="nil"/>
            </w:tcBorders>
            <w:shd w:val="clear" w:color="auto" w:fill="auto"/>
            <w:noWrap/>
            <w:hideMark/>
          </w:tcPr>
          <w:p w14:paraId="373BC8B7"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O</w:t>
            </w:r>
            <w:r w:rsidRPr="00BE0105">
              <w:rPr>
                <w:rFonts w:ascii="Charis SIL" w:eastAsiaTheme="minorHAnsi" w:hAnsi="Charis SIL" w:cs="Charis SIL"/>
                <w:color w:val="000000"/>
                <w:szCs w:val="18"/>
                <w:vertAlign w:val="subscript"/>
                <w:lang w:val="es-PE"/>
              </w:rPr>
              <w:t>2</w:t>
            </w:r>
            <w:r w:rsidRPr="00BE0105">
              <w:rPr>
                <w:rFonts w:ascii="Charis SIL" w:eastAsiaTheme="minorHAnsi" w:hAnsi="Charis SIL" w:cs="Charis SIL"/>
                <w:color w:val="000000"/>
                <w:szCs w:val="18"/>
                <w:lang w:val="es-PE"/>
              </w:rPr>
              <w:t xml:space="preserve"> (g/d)</w:t>
            </w:r>
          </w:p>
        </w:tc>
        <w:tc>
          <w:tcPr>
            <w:tcW w:w="1593" w:type="dxa"/>
            <w:tcBorders>
              <w:top w:val="single" w:sz="8" w:space="0" w:color="006600"/>
              <w:left w:val="nil"/>
              <w:bottom w:val="single" w:sz="4" w:space="0" w:color="006600"/>
              <w:right w:val="nil"/>
            </w:tcBorders>
            <w:shd w:val="clear" w:color="auto" w:fill="auto"/>
            <w:hideMark/>
          </w:tcPr>
          <w:p w14:paraId="0B8FDFC9"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(SM</w:t>
            </w:r>
            <w:r w:rsidRPr="00B9461B">
              <w:rPr>
                <w:rFonts w:ascii="Charis SIL" w:eastAsiaTheme="minorHAnsi" w:hAnsi="Charis SIL" w:cs="Charis SIL"/>
                <w:color w:val="000000"/>
                <w:szCs w:val="18"/>
                <w:lang w:val="es-PE"/>
              </w:rPr>
              <w:t>A</w:t>
            </w:r>
            <w:r w:rsidRPr="00BE0105">
              <w:rPr>
                <w:rFonts w:ascii="Charis SIL" w:eastAsiaTheme="minorHAnsi" w:hAnsi="Charis SIL" w:cs="Charis SIL"/>
                <w:color w:val="000000"/>
                <w:szCs w:val="18"/>
                <w:lang w:val="es-PE"/>
              </w:rPr>
              <w:t>)</w:t>
            </w:r>
            <w:r w:rsidRPr="00BE0105">
              <w:rPr>
                <w:rFonts w:ascii="Charis SIL" w:eastAsiaTheme="minorHAnsi" w:hAnsi="Charis SIL" w:cs="Charis SIL"/>
                <w:color w:val="000000"/>
                <w:szCs w:val="18"/>
                <w:lang w:val="es-PE"/>
              </w:rPr>
              <w:br/>
              <w:t xml:space="preserve"> DQO kg/d.kg SV</w:t>
            </w:r>
          </w:p>
        </w:tc>
        <w:tc>
          <w:tcPr>
            <w:tcW w:w="1485" w:type="dxa"/>
            <w:tcBorders>
              <w:top w:val="single" w:sz="8" w:space="0" w:color="006600"/>
              <w:left w:val="nil"/>
              <w:bottom w:val="single" w:sz="4" w:space="0" w:color="006600"/>
              <w:right w:val="nil"/>
            </w:tcBorders>
            <w:shd w:val="clear" w:color="auto" w:fill="auto"/>
            <w:hideMark/>
          </w:tcPr>
          <w:p w14:paraId="2988EA8D"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(SM</w:t>
            </w:r>
            <w:r w:rsidRPr="00B9461B">
              <w:rPr>
                <w:rFonts w:ascii="Charis SIL" w:eastAsiaTheme="minorHAnsi" w:hAnsi="Charis SIL" w:cs="Charis SIL"/>
                <w:color w:val="000000"/>
                <w:szCs w:val="18"/>
                <w:lang w:val="es-PE"/>
              </w:rPr>
              <w:t>A</w:t>
            </w:r>
            <w:r w:rsidRPr="00BE0105">
              <w:rPr>
                <w:rFonts w:ascii="Charis SIL" w:eastAsiaTheme="minorHAnsi" w:hAnsi="Charis SIL" w:cs="Charis SIL"/>
                <w:color w:val="000000"/>
                <w:szCs w:val="18"/>
                <w:lang w:val="es-PE"/>
              </w:rPr>
              <w:t>)exp</w:t>
            </w:r>
            <w:r w:rsidRPr="00BE0105">
              <w:rPr>
                <w:rFonts w:ascii="Charis SIL" w:eastAsiaTheme="minorHAnsi" w:hAnsi="Charis SIL" w:cs="Charis SIL"/>
                <w:color w:val="000000"/>
                <w:szCs w:val="18"/>
                <w:lang w:val="es-PE"/>
              </w:rPr>
              <w:br/>
              <w:t xml:space="preserve"> ml CH</w:t>
            </w:r>
            <w:r w:rsidRPr="00BE0105">
              <w:rPr>
                <w:rFonts w:ascii="Charis SIL" w:eastAsiaTheme="minorHAnsi" w:hAnsi="Charis SIL" w:cs="Charis SIL"/>
                <w:color w:val="000000"/>
                <w:szCs w:val="18"/>
                <w:vertAlign w:val="subscript"/>
                <w:lang w:val="es-PE"/>
              </w:rPr>
              <w:t>4</w:t>
            </w:r>
            <w:r w:rsidRPr="00BE0105">
              <w:rPr>
                <w:rFonts w:ascii="Charis SIL" w:eastAsiaTheme="minorHAnsi" w:hAnsi="Charis SIL" w:cs="Charis SIL"/>
                <w:color w:val="000000"/>
                <w:szCs w:val="18"/>
                <w:lang w:val="es-PE"/>
              </w:rPr>
              <w:t>/h.g SV</w:t>
            </w:r>
          </w:p>
        </w:tc>
      </w:tr>
      <w:tr w:rsidR="002F0391" w:rsidRPr="00B9461B" w14:paraId="23AA6D48" w14:textId="77777777" w:rsidTr="002C61A2">
        <w:trPr>
          <w:trHeight w:val="114"/>
        </w:trPr>
        <w:tc>
          <w:tcPr>
            <w:tcW w:w="1593" w:type="dxa"/>
            <w:tcBorders>
              <w:top w:val="nil"/>
              <w:left w:val="nil"/>
              <w:bottom w:val="nil"/>
              <w:right w:val="nil"/>
            </w:tcBorders>
            <w:shd w:val="clear" w:color="auto" w:fill="auto"/>
            <w:noWrap/>
            <w:hideMark/>
          </w:tcPr>
          <w:p w14:paraId="47EE2BDD" w14:textId="77777777" w:rsidR="002F0391" w:rsidRPr="00BE0105" w:rsidRDefault="002F0391" w:rsidP="002C61A2">
            <w:pPr>
              <w:tabs>
                <w:tab w:val="clear" w:pos="7100"/>
              </w:tabs>
              <w:spacing w:line="240" w:lineRule="auto"/>
              <w:jc w:val="left"/>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Chicken manure</w:t>
            </w:r>
          </w:p>
        </w:tc>
        <w:tc>
          <w:tcPr>
            <w:tcW w:w="947" w:type="dxa"/>
            <w:tcBorders>
              <w:top w:val="nil"/>
              <w:left w:val="nil"/>
              <w:bottom w:val="nil"/>
              <w:right w:val="nil"/>
            </w:tcBorders>
            <w:shd w:val="clear" w:color="auto" w:fill="auto"/>
            <w:noWrap/>
            <w:hideMark/>
          </w:tcPr>
          <w:p w14:paraId="1715A810"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49.3340</w:t>
            </w:r>
          </w:p>
        </w:tc>
        <w:tc>
          <w:tcPr>
            <w:tcW w:w="989" w:type="dxa"/>
            <w:tcBorders>
              <w:top w:val="nil"/>
              <w:left w:val="nil"/>
              <w:bottom w:val="nil"/>
              <w:right w:val="nil"/>
            </w:tcBorders>
            <w:shd w:val="clear" w:color="auto" w:fill="auto"/>
            <w:noWrap/>
            <w:hideMark/>
          </w:tcPr>
          <w:p w14:paraId="34DD1B12"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1184.0</w:t>
            </w:r>
          </w:p>
        </w:tc>
        <w:tc>
          <w:tcPr>
            <w:tcW w:w="824" w:type="dxa"/>
            <w:tcBorders>
              <w:top w:val="nil"/>
              <w:left w:val="nil"/>
              <w:bottom w:val="nil"/>
              <w:right w:val="nil"/>
            </w:tcBorders>
            <w:shd w:val="clear" w:color="auto" w:fill="auto"/>
            <w:noWrap/>
            <w:hideMark/>
          </w:tcPr>
          <w:p w14:paraId="2164504A"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0.7554</w:t>
            </w:r>
          </w:p>
        </w:tc>
        <w:tc>
          <w:tcPr>
            <w:tcW w:w="839" w:type="dxa"/>
            <w:tcBorders>
              <w:top w:val="nil"/>
              <w:left w:val="nil"/>
              <w:bottom w:val="nil"/>
              <w:right w:val="nil"/>
            </w:tcBorders>
            <w:shd w:val="clear" w:color="auto" w:fill="auto"/>
            <w:noWrap/>
            <w:hideMark/>
          </w:tcPr>
          <w:p w14:paraId="2068FD0D"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3.0214</w:t>
            </w:r>
          </w:p>
        </w:tc>
        <w:tc>
          <w:tcPr>
            <w:tcW w:w="1593" w:type="dxa"/>
            <w:tcBorders>
              <w:top w:val="nil"/>
              <w:left w:val="nil"/>
              <w:bottom w:val="nil"/>
              <w:right w:val="nil"/>
            </w:tcBorders>
            <w:shd w:val="clear" w:color="auto" w:fill="auto"/>
            <w:noWrap/>
            <w:hideMark/>
          </w:tcPr>
          <w:p w14:paraId="76C0B136"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1.2086</w:t>
            </w:r>
          </w:p>
        </w:tc>
        <w:tc>
          <w:tcPr>
            <w:tcW w:w="1485" w:type="dxa"/>
            <w:tcBorders>
              <w:top w:val="nil"/>
              <w:left w:val="nil"/>
              <w:bottom w:val="nil"/>
              <w:right w:val="nil"/>
            </w:tcBorders>
            <w:shd w:val="clear" w:color="auto" w:fill="auto"/>
            <w:noWrap/>
            <w:hideMark/>
          </w:tcPr>
          <w:p w14:paraId="595B6E7C"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0.0247</w:t>
            </w:r>
          </w:p>
        </w:tc>
      </w:tr>
      <w:tr w:rsidR="002F0391" w:rsidRPr="00B9461B" w14:paraId="59E3488B" w14:textId="77777777" w:rsidTr="002C61A2">
        <w:trPr>
          <w:trHeight w:val="114"/>
        </w:trPr>
        <w:tc>
          <w:tcPr>
            <w:tcW w:w="1593" w:type="dxa"/>
            <w:tcBorders>
              <w:top w:val="nil"/>
              <w:left w:val="nil"/>
              <w:bottom w:val="nil"/>
              <w:right w:val="nil"/>
            </w:tcBorders>
            <w:shd w:val="clear" w:color="auto" w:fill="auto"/>
            <w:noWrap/>
            <w:hideMark/>
          </w:tcPr>
          <w:p w14:paraId="5C2F1BA7" w14:textId="77777777" w:rsidR="002F0391" w:rsidRPr="00BE0105" w:rsidRDefault="002F0391" w:rsidP="002C61A2">
            <w:pPr>
              <w:tabs>
                <w:tab w:val="clear" w:pos="7100"/>
              </w:tabs>
              <w:spacing w:line="240" w:lineRule="auto"/>
              <w:jc w:val="left"/>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Pig manure</w:t>
            </w:r>
          </w:p>
        </w:tc>
        <w:tc>
          <w:tcPr>
            <w:tcW w:w="947" w:type="dxa"/>
            <w:tcBorders>
              <w:top w:val="nil"/>
              <w:left w:val="nil"/>
              <w:bottom w:val="nil"/>
              <w:right w:val="nil"/>
            </w:tcBorders>
            <w:shd w:val="clear" w:color="auto" w:fill="auto"/>
            <w:noWrap/>
            <w:hideMark/>
          </w:tcPr>
          <w:p w14:paraId="1644ADDD"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46.6220</w:t>
            </w:r>
          </w:p>
        </w:tc>
        <w:tc>
          <w:tcPr>
            <w:tcW w:w="989" w:type="dxa"/>
            <w:tcBorders>
              <w:top w:val="nil"/>
              <w:left w:val="nil"/>
              <w:bottom w:val="nil"/>
              <w:right w:val="nil"/>
            </w:tcBorders>
            <w:shd w:val="clear" w:color="auto" w:fill="auto"/>
            <w:noWrap/>
            <w:hideMark/>
          </w:tcPr>
          <w:p w14:paraId="63CEA2BE"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1118.9</w:t>
            </w:r>
          </w:p>
        </w:tc>
        <w:tc>
          <w:tcPr>
            <w:tcW w:w="824" w:type="dxa"/>
            <w:tcBorders>
              <w:top w:val="nil"/>
              <w:left w:val="nil"/>
              <w:bottom w:val="nil"/>
              <w:right w:val="nil"/>
            </w:tcBorders>
            <w:shd w:val="clear" w:color="auto" w:fill="auto"/>
            <w:noWrap/>
            <w:hideMark/>
          </w:tcPr>
          <w:p w14:paraId="09463A5A"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0.7138</w:t>
            </w:r>
          </w:p>
        </w:tc>
        <w:tc>
          <w:tcPr>
            <w:tcW w:w="839" w:type="dxa"/>
            <w:tcBorders>
              <w:top w:val="nil"/>
              <w:left w:val="nil"/>
              <w:bottom w:val="nil"/>
              <w:right w:val="nil"/>
            </w:tcBorders>
            <w:shd w:val="clear" w:color="auto" w:fill="auto"/>
            <w:noWrap/>
            <w:hideMark/>
          </w:tcPr>
          <w:p w14:paraId="663954AD"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2.8553</w:t>
            </w:r>
          </w:p>
        </w:tc>
        <w:tc>
          <w:tcPr>
            <w:tcW w:w="1593" w:type="dxa"/>
            <w:tcBorders>
              <w:top w:val="nil"/>
              <w:left w:val="nil"/>
              <w:bottom w:val="nil"/>
              <w:right w:val="nil"/>
            </w:tcBorders>
            <w:shd w:val="clear" w:color="auto" w:fill="auto"/>
            <w:noWrap/>
            <w:hideMark/>
          </w:tcPr>
          <w:p w14:paraId="407263B7"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1.1421</w:t>
            </w:r>
          </w:p>
        </w:tc>
        <w:tc>
          <w:tcPr>
            <w:tcW w:w="1485" w:type="dxa"/>
            <w:tcBorders>
              <w:top w:val="nil"/>
              <w:left w:val="nil"/>
              <w:bottom w:val="nil"/>
              <w:right w:val="nil"/>
            </w:tcBorders>
            <w:shd w:val="clear" w:color="auto" w:fill="auto"/>
            <w:noWrap/>
            <w:hideMark/>
          </w:tcPr>
          <w:p w14:paraId="7F682869"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0.0233</w:t>
            </w:r>
          </w:p>
        </w:tc>
      </w:tr>
      <w:tr w:rsidR="002F0391" w:rsidRPr="00B9461B" w14:paraId="6009B9B3" w14:textId="77777777" w:rsidTr="002C61A2">
        <w:trPr>
          <w:trHeight w:val="121"/>
        </w:trPr>
        <w:tc>
          <w:tcPr>
            <w:tcW w:w="1593" w:type="dxa"/>
            <w:tcBorders>
              <w:top w:val="nil"/>
              <w:left w:val="nil"/>
              <w:bottom w:val="single" w:sz="8" w:space="0" w:color="006600"/>
              <w:right w:val="nil"/>
            </w:tcBorders>
            <w:shd w:val="clear" w:color="auto" w:fill="auto"/>
            <w:noWrap/>
            <w:hideMark/>
          </w:tcPr>
          <w:p w14:paraId="7F62D4D5" w14:textId="77777777" w:rsidR="002F0391" w:rsidRPr="00BE0105" w:rsidRDefault="002F0391" w:rsidP="002C61A2">
            <w:pPr>
              <w:tabs>
                <w:tab w:val="clear" w:pos="7100"/>
              </w:tabs>
              <w:spacing w:line="240" w:lineRule="auto"/>
              <w:jc w:val="left"/>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Cow manure</w:t>
            </w:r>
          </w:p>
        </w:tc>
        <w:tc>
          <w:tcPr>
            <w:tcW w:w="947" w:type="dxa"/>
            <w:tcBorders>
              <w:top w:val="nil"/>
              <w:left w:val="nil"/>
              <w:bottom w:val="single" w:sz="8" w:space="0" w:color="006600"/>
              <w:right w:val="nil"/>
            </w:tcBorders>
            <w:shd w:val="clear" w:color="auto" w:fill="auto"/>
            <w:noWrap/>
            <w:hideMark/>
          </w:tcPr>
          <w:p w14:paraId="0D8BF581"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50.7030</w:t>
            </w:r>
          </w:p>
        </w:tc>
        <w:tc>
          <w:tcPr>
            <w:tcW w:w="989" w:type="dxa"/>
            <w:tcBorders>
              <w:top w:val="nil"/>
              <w:left w:val="nil"/>
              <w:bottom w:val="single" w:sz="8" w:space="0" w:color="006600"/>
              <w:right w:val="nil"/>
            </w:tcBorders>
            <w:shd w:val="clear" w:color="auto" w:fill="auto"/>
            <w:noWrap/>
            <w:hideMark/>
          </w:tcPr>
          <w:p w14:paraId="4D560EBC"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1216.9</w:t>
            </w:r>
          </w:p>
        </w:tc>
        <w:tc>
          <w:tcPr>
            <w:tcW w:w="824" w:type="dxa"/>
            <w:tcBorders>
              <w:top w:val="nil"/>
              <w:left w:val="nil"/>
              <w:bottom w:val="single" w:sz="8" w:space="0" w:color="006600"/>
              <w:right w:val="nil"/>
            </w:tcBorders>
            <w:shd w:val="clear" w:color="auto" w:fill="auto"/>
            <w:noWrap/>
            <w:hideMark/>
          </w:tcPr>
          <w:p w14:paraId="798016F6"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0.7763</w:t>
            </w:r>
          </w:p>
        </w:tc>
        <w:tc>
          <w:tcPr>
            <w:tcW w:w="839" w:type="dxa"/>
            <w:tcBorders>
              <w:top w:val="nil"/>
              <w:left w:val="nil"/>
              <w:bottom w:val="single" w:sz="8" w:space="0" w:color="006600"/>
              <w:right w:val="nil"/>
            </w:tcBorders>
            <w:shd w:val="clear" w:color="auto" w:fill="auto"/>
            <w:noWrap/>
            <w:hideMark/>
          </w:tcPr>
          <w:p w14:paraId="41FDE54F"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3.1053</w:t>
            </w:r>
          </w:p>
        </w:tc>
        <w:tc>
          <w:tcPr>
            <w:tcW w:w="1593" w:type="dxa"/>
            <w:tcBorders>
              <w:top w:val="nil"/>
              <w:left w:val="nil"/>
              <w:bottom w:val="single" w:sz="8" w:space="0" w:color="006600"/>
              <w:right w:val="nil"/>
            </w:tcBorders>
            <w:shd w:val="clear" w:color="auto" w:fill="auto"/>
            <w:noWrap/>
            <w:hideMark/>
          </w:tcPr>
          <w:p w14:paraId="4452F0F9"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1.2421</w:t>
            </w:r>
          </w:p>
        </w:tc>
        <w:tc>
          <w:tcPr>
            <w:tcW w:w="1485" w:type="dxa"/>
            <w:tcBorders>
              <w:top w:val="nil"/>
              <w:left w:val="nil"/>
              <w:bottom w:val="single" w:sz="8" w:space="0" w:color="006600"/>
              <w:right w:val="nil"/>
            </w:tcBorders>
            <w:shd w:val="clear" w:color="auto" w:fill="auto"/>
            <w:noWrap/>
            <w:hideMark/>
          </w:tcPr>
          <w:p w14:paraId="3CF3622A" w14:textId="77777777" w:rsidR="002F0391" w:rsidRPr="00BE0105" w:rsidRDefault="002F0391" w:rsidP="002C61A2">
            <w:pPr>
              <w:tabs>
                <w:tab w:val="clear" w:pos="7100"/>
              </w:tabs>
              <w:spacing w:line="240" w:lineRule="auto"/>
              <w:jc w:val="center"/>
              <w:rPr>
                <w:rFonts w:ascii="Charis SIL" w:eastAsiaTheme="minorHAnsi" w:hAnsi="Charis SIL" w:cs="Charis SIL"/>
                <w:color w:val="000000"/>
                <w:szCs w:val="18"/>
                <w:lang w:val="es-PE"/>
              </w:rPr>
            </w:pPr>
            <w:r w:rsidRPr="00BE0105">
              <w:rPr>
                <w:rFonts w:ascii="Charis SIL" w:eastAsiaTheme="minorHAnsi" w:hAnsi="Charis SIL" w:cs="Charis SIL"/>
                <w:color w:val="000000"/>
                <w:szCs w:val="18"/>
                <w:lang w:val="es-PE"/>
              </w:rPr>
              <w:t>0.0254</w:t>
            </w:r>
          </w:p>
        </w:tc>
      </w:tr>
    </w:tbl>
    <w:p w14:paraId="140B81FF" w14:textId="77777777" w:rsidR="003E0025" w:rsidRPr="00E11D91" w:rsidRDefault="003E0025" w:rsidP="003E0025">
      <w:pPr>
        <w:pStyle w:val="CETBodytext"/>
      </w:pPr>
    </w:p>
    <w:p w14:paraId="1DBED326" w14:textId="7E5739F3" w:rsidR="00324482" w:rsidRDefault="006C2BCC" w:rsidP="00B77422">
      <w:pPr>
        <w:pStyle w:val="CETheadingx"/>
      </w:pPr>
      <w:r>
        <w:t>3.</w:t>
      </w:r>
      <w:r w:rsidR="00590252">
        <w:t>2</w:t>
      </w:r>
      <w:r>
        <w:t xml:space="preserve"> </w:t>
      </w:r>
      <w:r w:rsidR="00324482">
        <w:t>Biochemical Potential of Methane</w:t>
      </w:r>
    </w:p>
    <w:p w14:paraId="430C26C5" w14:textId="283CF4DE" w:rsidR="001A1836" w:rsidRDefault="001A1836" w:rsidP="00D614F9">
      <w:pPr>
        <w:pStyle w:val="CETBodytext"/>
        <w:spacing w:line="240" w:lineRule="auto"/>
        <w:contextualSpacing/>
      </w:pPr>
      <w:r>
        <w:t>The biogas production of all the experimental arrangements began from the first day for each analysis unit, however, in the case of coffee (alone) slow beginnings were observed during the first 40 hours, later reaching a production rate of 1 .33 ml CH</w:t>
      </w:r>
      <w:r w:rsidRPr="003B3B5D">
        <w:rPr>
          <w:vertAlign w:val="subscript"/>
        </w:rPr>
        <w:t>4</w:t>
      </w:r>
      <w:r>
        <w:t>/h. stabilizing on the 5th day (205 -209 ml). The tests of coffee treated by alkaline hydrolysis, on the other hand, skyrocketed from the first 45 hours of the process with a production rate of 0.96 mlCH</w:t>
      </w:r>
      <w:r w:rsidRPr="003B3B5D">
        <w:rPr>
          <w:vertAlign w:val="subscript"/>
        </w:rPr>
        <w:t>4</w:t>
      </w:r>
      <w:r>
        <w:t>/h after which it reached gradual stability with lower amounts of CH</w:t>
      </w:r>
      <w:r w:rsidRPr="00EA4602">
        <w:rPr>
          <w:vertAlign w:val="subscript"/>
        </w:rPr>
        <w:t>4</w:t>
      </w:r>
      <w:r>
        <w:t xml:space="preserve"> formation ( 161.75 -164 ml CH</w:t>
      </w:r>
      <w:r w:rsidRPr="00EA4602">
        <w:rPr>
          <w:vertAlign w:val="subscript"/>
        </w:rPr>
        <w:t>4</w:t>
      </w:r>
      <w:r>
        <w:t xml:space="preserve">). The higher value observed in coffee residues with alkaline treatment would have been due to the release of a higher concentration of simpler chain molecules and the microbial activity in stable mesophilic conditions in the presence of non-inhibitory volatile fatty acids (Batista et al., 2020). However, additional fixation with NP did not show a significant difference (p &gt; 0.05) compared to the untreated sample. This occurred due to limitations presented in the heating batteries of the “treated coffee + NP” arrangement. In the first case (NaOH addition), a rapid conversion to methane occurred through acetogenesis and methanogenesis (Li et al. 2020). Figure </w:t>
      </w:r>
      <w:r w:rsidR="003B3B5D">
        <w:t>3</w:t>
      </w:r>
      <w:r>
        <w:t xml:space="preserve"> shows the results obtained in the biochemical methane potential test. Figure </w:t>
      </w:r>
      <w:r w:rsidR="003B3B5D">
        <w:t>3</w:t>
      </w:r>
      <w:r>
        <w:t>a corresponds to the tests carried out on coffee residues. As can be seen, the distribution produced from the accumulated biogas of the coffee waste treated with NaOH solution barely reaches 2890.75 ml (p &lt; 0.05) unlike the other tests. On the other hand, there was no difference (p&gt;0.05) between the digestion without previous treatment of coffee and the digestion of the residue treated with NaOH and NP, due to a destabilization in the uncontrolled system. Figure 3b shows the results for banana, in this case the application of the NaOH and NP solution was effective and there was a significant difference (p&lt;0.05) with the other tests, since a better cumulative distribution was produced. The distribution of NaOH-treated residues showed that alkaline treatment released short-chain carbohydrates especially in the banana peel, optimizing enzymatic hydrolysis (Sun et al., 2022).</w:t>
      </w:r>
      <w:r w:rsidR="003B3B5D">
        <w:t xml:space="preserve"> </w:t>
      </w:r>
      <w:r>
        <w:t xml:space="preserve">Figure </w:t>
      </w:r>
      <w:r w:rsidR="003B3B5D">
        <w:t>3</w:t>
      </w:r>
      <w:r>
        <w:t xml:space="preserve">c, belonging to the C+B mixture, shows a distribution similar to that of the banana. Figure </w:t>
      </w:r>
      <w:r w:rsidR="003B3B5D">
        <w:t>3</w:t>
      </w:r>
      <w:r>
        <w:t>d shows the summary of each treatment combination, with the combination of C+B subjected to a NaOH +NP solution achieving greater biogas production (8341 ml). In general, the addition of NPs may cause a delay period or a slow process before starting biogas production by anaerobic co-digestion and a higher amount of biogas and CH</w:t>
      </w:r>
      <w:r w:rsidRPr="00EA4602">
        <w:rPr>
          <w:vertAlign w:val="subscript"/>
        </w:rPr>
        <w:t xml:space="preserve">4 </w:t>
      </w:r>
      <w:r>
        <w:t>is generated in certain FeNP arrangements (Amen et al. 2017).</w:t>
      </w:r>
      <w:r w:rsidR="00AF62F1">
        <w:t xml:space="preserve"> </w:t>
      </w:r>
      <w:r w:rsidR="004C1980" w:rsidRPr="004C1980">
        <w:t>This indicates that FeNPs require a certain time for their stabilization and induce bacterial growth, due to a bio stimulant effect of methanogenic bacteria that increase biomethanization</w:t>
      </w:r>
      <w:r w:rsidR="004C1980">
        <w:t xml:space="preserve">. </w:t>
      </w:r>
      <w:r>
        <w:t>The studies carried out by Barua et al. (2019) demonstrated that the co-digestion of banana with other pretreated plant waste had a greater production of biogas and of better quality, because the proportion used exerted a synergistic balancing action in the anaerobic process. Furthermore, banana peels have a lower lignin content, which facilitates their anaerobic conversion into biogas with high methane content (Barua et al. 2019). The banana peel had a higher content of volatile solids of 92.3 g/L and total solids of 100.06 g/L, this gives it a rich presence of carbon and nitrogen-based molecules (Barua et al. 2021). The production of CH</w:t>
      </w:r>
      <w:r w:rsidRPr="003B3B5D">
        <w:rPr>
          <w:vertAlign w:val="subscript"/>
        </w:rPr>
        <w:t>4</w:t>
      </w:r>
      <w:r>
        <w:t xml:space="preserve"> in treated banana residues (including C+P) exceeded those obtained by Rincón-Catalán et al. (2022) equivalent to a BMP of 373 mLCH</w:t>
      </w:r>
      <w:r w:rsidRPr="00EA4602">
        <w:rPr>
          <w:vertAlign w:val="subscript"/>
        </w:rPr>
        <w:t>4</w:t>
      </w:r>
      <w:r>
        <w:t xml:space="preserve">/gVS. According to Amen et al 2017, additional treatment with NP increased its reactivity </w:t>
      </w:r>
      <w:r>
        <w:lastRenderedPageBreak/>
        <w:t>because anaerobic corrosion of the iron nanoparticles would occur, generating electrons that would be effectively used by methanogenic bacteria to generate methane.</w:t>
      </w:r>
    </w:p>
    <w:p w14:paraId="23604F5C" w14:textId="47D55EAF" w:rsidR="0093326B" w:rsidRPr="00FB19D2" w:rsidRDefault="00EE3F9F" w:rsidP="001A1836">
      <w:pPr>
        <w:pStyle w:val="CETBodytext"/>
        <w:rPr>
          <w:szCs w:val="18"/>
        </w:rPr>
      </w:pPr>
      <w:r>
        <w:rPr>
          <w:noProof/>
          <w:szCs w:val="18"/>
        </w:rPr>
        <w:drawing>
          <wp:anchor distT="0" distB="0" distL="114300" distR="114300" simplePos="0" relativeHeight="251661312" behindDoc="0" locked="0" layoutInCell="1" allowOverlap="1" wp14:anchorId="21BA5444" wp14:editId="16699D34">
            <wp:simplePos x="0" y="0"/>
            <wp:positionH relativeFrom="column">
              <wp:posOffset>9525</wp:posOffset>
            </wp:positionH>
            <wp:positionV relativeFrom="paragraph">
              <wp:posOffset>47625</wp:posOffset>
            </wp:positionV>
            <wp:extent cx="4570730" cy="3072130"/>
            <wp:effectExtent l="19050" t="19050" r="20320" b="1397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0730" cy="307213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1A1836">
        <w:t>​</w:t>
      </w:r>
    </w:p>
    <w:p w14:paraId="660DA84D" w14:textId="48ED0493" w:rsidR="0093326B" w:rsidRPr="0093326B" w:rsidRDefault="0093326B" w:rsidP="00324482">
      <w:pPr>
        <w:pStyle w:val="CETBodytext"/>
      </w:pPr>
    </w:p>
    <w:p w14:paraId="041EA5E5" w14:textId="2535C5B3" w:rsidR="003E0025" w:rsidRPr="0093326B" w:rsidRDefault="003E0025" w:rsidP="003E0025">
      <w:pPr>
        <w:pStyle w:val="CETBodytext"/>
      </w:pPr>
    </w:p>
    <w:p w14:paraId="26CEEFC0" w14:textId="20D626D0" w:rsidR="003E0025" w:rsidRPr="0093326B" w:rsidRDefault="003E0025" w:rsidP="003E0025">
      <w:pPr>
        <w:pStyle w:val="CETBodytext"/>
      </w:pPr>
    </w:p>
    <w:p w14:paraId="6BD05D02" w14:textId="2F7A83D3" w:rsidR="003E0025" w:rsidRPr="0093326B" w:rsidRDefault="003E0025" w:rsidP="003E0025">
      <w:pPr>
        <w:pStyle w:val="CETBodytext"/>
      </w:pPr>
    </w:p>
    <w:p w14:paraId="338D01C6" w14:textId="77777777" w:rsidR="003E0025" w:rsidRPr="0093326B" w:rsidRDefault="003E0025" w:rsidP="003E0025">
      <w:pPr>
        <w:pStyle w:val="CETBodytext"/>
      </w:pPr>
    </w:p>
    <w:p w14:paraId="4389E012" w14:textId="77777777" w:rsidR="003E0025" w:rsidRPr="0093326B" w:rsidRDefault="003E0025" w:rsidP="003E0025">
      <w:pPr>
        <w:pStyle w:val="CETBodytext"/>
      </w:pPr>
    </w:p>
    <w:p w14:paraId="1B65F5E6" w14:textId="77777777" w:rsidR="003E0025" w:rsidRPr="0093326B" w:rsidRDefault="003E0025" w:rsidP="003E0025">
      <w:pPr>
        <w:pStyle w:val="CETBodytext"/>
      </w:pPr>
    </w:p>
    <w:p w14:paraId="3197267D" w14:textId="77777777" w:rsidR="003E0025" w:rsidRPr="0093326B" w:rsidRDefault="003E0025" w:rsidP="003E0025">
      <w:pPr>
        <w:pStyle w:val="CETBodytext"/>
      </w:pPr>
    </w:p>
    <w:p w14:paraId="0EAC4A27" w14:textId="77777777" w:rsidR="003E0025" w:rsidRPr="0093326B" w:rsidRDefault="003E0025" w:rsidP="003E0025">
      <w:pPr>
        <w:pStyle w:val="CETBodytext"/>
      </w:pPr>
    </w:p>
    <w:p w14:paraId="02A56B40" w14:textId="77777777" w:rsidR="003E0025" w:rsidRPr="0093326B" w:rsidRDefault="003E0025" w:rsidP="003E0025">
      <w:pPr>
        <w:pStyle w:val="CETBodytext"/>
      </w:pPr>
    </w:p>
    <w:p w14:paraId="1F1028C1" w14:textId="77777777" w:rsidR="003E0025" w:rsidRPr="0093326B" w:rsidRDefault="003E0025" w:rsidP="003E0025">
      <w:pPr>
        <w:pStyle w:val="CETBodytext"/>
      </w:pPr>
    </w:p>
    <w:p w14:paraId="49F837ED" w14:textId="77777777" w:rsidR="003E0025" w:rsidRPr="0093326B" w:rsidRDefault="003E0025" w:rsidP="003E0025">
      <w:pPr>
        <w:pStyle w:val="CETBodytext"/>
      </w:pPr>
    </w:p>
    <w:p w14:paraId="52865856" w14:textId="77777777" w:rsidR="003E0025" w:rsidRPr="0093326B" w:rsidRDefault="003E0025" w:rsidP="003E0025">
      <w:pPr>
        <w:pStyle w:val="CETBodytext"/>
      </w:pPr>
    </w:p>
    <w:p w14:paraId="06F7C1E6" w14:textId="77777777" w:rsidR="003E0025" w:rsidRPr="0093326B" w:rsidRDefault="003E0025" w:rsidP="003E0025">
      <w:pPr>
        <w:pStyle w:val="CETBodytext"/>
      </w:pPr>
    </w:p>
    <w:p w14:paraId="69D6422F" w14:textId="77777777" w:rsidR="003E0025" w:rsidRPr="0093326B" w:rsidRDefault="003E0025" w:rsidP="003E0025">
      <w:pPr>
        <w:pStyle w:val="CETBodytext"/>
      </w:pPr>
    </w:p>
    <w:p w14:paraId="5BB5F6AA" w14:textId="77777777" w:rsidR="003E0025" w:rsidRPr="0093326B" w:rsidRDefault="003E0025" w:rsidP="003E0025">
      <w:pPr>
        <w:pStyle w:val="CETBodytext"/>
      </w:pPr>
    </w:p>
    <w:p w14:paraId="6EC4BFAE" w14:textId="77777777" w:rsidR="003E0025" w:rsidRPr="0093326B" w:rsidRDefault="003E0025" w:rsidP="003E0025">
      <w:pPr>
        <w:pStyle w:val="CETBodytext"/>
      </w:pPr>
    </w:p>
    <w:p w14:paraId="0CFA73F2" w14:textId="77777777" w:rsidR="003E0025" w:rsidRPr="0093326B" w:rsidRDefault="003E0025" w:rsidP="003E0025">
      <w:pPr>
        <w:pStyle w:val="CETBodytext"/>
      </w:pPr>
    </w:p>
    <w:p w14:paraId="4D4DDEB0" w14:textId="77777777" w:rsidR="00CE0856" w:rsidRPr="0093326B" w:rsidRDefault="00CE0856" w:rsidP="003E0025">
      <w:pPr>
        <w:pStyle w:val="CETBodytext"/>
      </w:pPr>
    </w:p>
    <w:p w14:paraId="6CC083D8" w14:textId="77777777" w:rsidR="003B3B5D" w:rsidRDefault="003B3B5D" w:rsidP="003E0025">
      <w:pPr>
        <w:pStyle w:val="CETBodytext"/>
      </w:pPr>
    </w:p>
    <w:p w14:paraId="308ED8E6" w14:textId="77777777" w:rsidR="003B3B5D" w:rsidRDefault="003B3B5D" w:rsidP="003E0025">
      <w:pPr>
        <w:pStyle w:val="CETBodytext"/>
      </w:pPr>
    </w:p>
    <w:p w14:paraId="4C4821BD" w14:textId="097C0BB0" w:rsidR="00CE0856" w:rsidRPr="003B3B5D" w:rsidRDefault="00B347C9" w:rsidP="003E0025">
      <w:pPr>
        <w:pStyle w:val="CETBodytext"/>
        <w:rPr>
          <w:i/>
        </w:rPr>
      </w:pPr>
      <w:r w:rsidRPr="003B3B5D">
        <w:rPr>
          <w:i/>
        </w:rPr>
        <w:t xml:space="preserve">Figure </w:t>
      </w:r>
      <w:r w:rsidR="003B3B5D">
        <w:rPr>
          <w:i/>
        </w:rPr>
        <w:t>3</w:t>
      </w:r>
      <w:r w:rsidRPr="003B3B5D">
        <w:rPr>
          <w:i/>
        </w:rPr>
        <w:t>. Biochemical Potential of CH</w:t>
      </w:r>
      <w:r w:rsidRPr="00935AA1">
        <w:rPr>
          <w:i/>
          <w:vertAlign w:val="subscript"/>
        </w:rPr>
        <w:t>4</w:t>
      </w:r>
      <w:r w:rsidRPr="003B3B5D">
        <w:rPr>
          <w:i/>
        </w:rPr>
        <w:t xml:space="preserve"> in: a) coffee peels; b) banana peel and c) mixture of coffee and banana peel.</w:t>
      </w:r>
    </w:p>
    <w:p w14:paraId="09E0ABEB" w14:textId="44F26DB0" w:rsidR="00F26ABC" w:rsidRPr="00F26ABC" w:rsidRDefault="005062A0" w:rsidP="003E0025">
      <w:pPr>
        <w:pStyle w:val="CETBodytext"/>
      </w:pPr>
      <w:r w:rsidRPr="005062A0">
        <w:t>Table 3 confirms the differences between the treatments for each of the applied arrangements; the p value (&lt; 0.05) indicates the differences found in each case. These results have surpassed other treatments with NaOH applied to rice straw that accumulated a maximum of 1801 ml of biogas in 15 days (Jacobo et al.</w:t>
      </w:r>
      <w:r w:rsidR="00935AA1">
        <w:t>,</w:t>
      </w:r>
      <w:r w:rsidRPr="005062A0">
        <w:t xml:space="preserve"> 2023), indicating the effectiveness of using NaOH and NP especially for banana and the B+C mixture. Although the application of NP improved the biogas yield in general, it is important to continue investigating factors such as the various doses of NP that must be applied and the effects on the microbiota present in mesophilic conditions that imply a lower energy cost.</w:t>
      </w:r>
    </w:p>
    <w:p w14:paraId="0B2A04C3" w14:textId="1B0646F2" w:rsidR="00193D60" w:rsidRPr="003B3B5D" w:rsidRDefault="00193D60" w:rsidP="003E0025">
      <w:pPr>
        <w:pStyle w:val="CETBodytext"/>
        <w:rPr>
          <w:i/>
        </w:rPr>
      </w:pPr>
      <w:r w:rsidRPr="003B3B5D">
        <w:rPr>
          <w:i/>
        </w:rPr>
        <w:t xml:space="preserve">Table 3. </w:t>
      </w:r>
      <w:r w:rsidR="00ED55CF" w:rsidRPr="003B3B5D">
        <w:rPr>
          <w:i/>
        </w:rPr>
        <w:t>Analysis of variance for the treatments of a) coffee (C), b) banana (B) and c) mixture of C+B</w:t>
      </w:r>
    </w:p>
    <w:tbl>
      <w:tblPr>
        <w:tblW w:w="8546" w:type="dxa"/>
        <w:tblLook w:val="04A0" w:firstRow="1" w:lastRow="0" w:firstColumn="1" w:lastColumn="0" w:noHBand="0" w:noVBand="1"/>
      </w:tblPr>
      <w:tblGrid>
        <w:gridCol w:w="1843"/>
        <w:gridCol w:w="567"/>
        <w:gridCol w:w="1481"/>
        <w:gridCol w:w="1754"/>
        <w:gridCol w:w="1628"/>
        <w:gridCol w:w="1273"/>
      </w:tblGrid>
      <w:tr w:rsidR="005062A0" w:rsidRPr="00193D60" w14:paraId="44C1CE92" w14:textId="77777777" w:rsidTr="005062A0">
        <w:trPr>
          <w:trHeight w:val="289"/>
        </w:trPr>
        <w:tc>
          <w:tcPr>
            <w:tcW w:w="1843" w:type="dxa"/>
            <w:tcBorders>
              <w:top w:val="single" w:sz="8" w:space="0" w:color="006600"/>
              <w:left w:val="nil"/>
              <w:bottom w:val="single" w:sz="8" w:space="0" w:color="006600"/>
              <w:right w:val="nil"/>
            </w:tcBorders>
            <w:shd w:val="clear" w:color="auto" w:fill="auto"/>
            <w:hideMark/>
          </w:tcPr>
          <w:p w14:paraId="5A914760" w14:textId="77777777" w:rsidR="00193D60" w:rsidRPr="00193D60" w:rsidRDefault="00193D60" w:rsidP="00193D60">
            <w:pPr>
              <w:tabs>
                <w:tab w:val="clear" w:pos="7100"/>
              </w:tabs>
              <w:spacing w:line="240" w:lineRule="auto"/>
              <w:jc w:val="center"/>
              <w:rPr>
                <w:rFonts w:cs="Arial"/>
                <w:color w:val="000000"/>
                <w:sz w:val="16"/>
                <w:szCs w:val="16"/>
                <w:lang w:val="en-US"/>
              </w:rPr>
            </w:pPr>
            <w:r w:rsidRPr="00193D60">
              <w:rPr>
                <w:rFonts w:cs="Arial"/>
                <w:color w:val="000000"/>
                <w:sz w:val="16"/>
                <w:szCs w:val="16"/>
                <w:lang w:val="en-US"/>
              </w:rPr>
              <w:t> </w:t>
            </w:r>
          </w:p>
        </w:tc>
        <w:tc>
          <w:tcPr>
            <w:tcW w:w="567" w:type="dxa"/>
            <w:tcBorders>
              <w:top w:val="single" w:sz="8" w:space="0" w:color="006600"/>
              <w:left w:val="nil"/>
              <w:bottom w:val="single" w:sz="8" w:space="0" w:color="006600"/>
              <w:right w:val="nil"/>
            </w:tcBorders>
            <w:shd w:val="clear" w:color="auto" w:fill="auto"/>
            <w:hideMark/>
          </w:tcPr>
          <w:p w14:paraId="126C1069"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DF</w:t>
            </w:r>
          </w:p>
        </w:tc>
        <w:tc>
          <w:tcPr>
            <w:tcW w:w="1481" w:type="dxa"/>
            <w:tcBorders>
              <w:top w:val="single" w:sz="8" w:space="0" w:color="006600"/>
              <w:left w:val="nil"/>
              <w:bottom w:val="single" w:sz="8" w:space="0" w:color="006600"/>
              <w:right w:val="nil"/>
            </w:tcBorders>
            <w:shd w:val="clear" w:color="auto" w:fill="auto"/>
            <w:hideMark/>
          </w:tcPr>
          <w:p w14:paraId="56BE3A26"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Sum of Squares</w:t>
            </w:r>
          </w:p>
        </w:tc>
        <w:tc>
          <w:tcPr>
            <w:tcW w:w="1754" w:type="dxa"/>
            <w:tcBorders>
              <w:top w:val="single" w:sz="8" w:space="0" w:color="006600"/>
              <w:left w:val="nil"/>
              <w:bottom w:val="single" w:sz="8" w:space="0" w:color="006600"/>
              <w:right w:val="nil"/>
            </w:tcBorders>
            <w:shd w:val="clear" w:color="auto" w:fill="auto"/>
            <w:hideMark/>
          </w:tcPr>
          <w:p w14:paraId="5AC9B1DF"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Mean Square</w:t>
            </w:r>
          </w:p>
        </w:tc>
        <w:tc>
          <w:tcPr>
            <w:tcW w:w="1628" w:type="dxa"/>
            <w:tcBorders>
              <w:top w:val="single" w:sz="8" w:space="0" w:color="006600"/>
              <w:left w:val="nil"/>
              <w:bottom w:val="single" w:sz="8" w:space="0" w:color="006600"/>
              <w:right w:val="nil"/>
            </w:tcBorders>
            <w:shd w:val="clear" w:color="auto" w:fill="auto"/>
            <w:hideMark/>
          </w:tcPr>
          <w:p w14:paraId="06B9B1B3"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F Value</w:t>
            </w:r>
          </w:p>
        </w:tc>
        <w:tc>
          <w:tcPr>
            <w:tcW w:w="1273" w:type="dxa"/>
            <w:tcBorders>
              <w:top w:val="single" w:sz="8" w:space="0" w:color="006600"/>
              <w:left w:val="nil"/>
              <w:bottom w:val="single" w:sz="8" w:space="0" w:color="006600"/>
              <w:right w:val="nil"/>
            </w:tcBorders>
            <w:shd w:val="clear" w:color="auto" w:fill="auto"/>
            <w:hideMark/>
          </w:tcPr>
          <w:p w14:paraId="1CE2D2E8"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Prob&gt;F</w:t>
            </w:r>
          </w:p>
        </w:tc>
      </w:tr>
      <w:tr w:rsidR="005062A0" w:rsidRPr="00193D60" w14:paraId="5F1B520A" w14:textId="77777777" w:rsidTr="005062A0">
        <w:trPr>
          <w:trHeight w:val="46"/>
        </w:trPr>
        <w:tc>
          <w:tcPr>
            <w:tcW w:w="1843" w:type="dxa"/>
            <w:tcBorders>
              <w:top w:val="nil"/>
              <w:left w:val="nil"/>
              <w:bottom w:val="nil"/>
              <w:right w:val="nil"/>
            </w:tcBorders>
            <w:shd w:val="clear" w:color="auto" w:fill="auto"/>
            <w:hideMark/>
          </w:tcPr>
          <w:p w14:paraId="5A1E8B08" w14:textId="069F3991" w:rsidR="00193D60" w:rsidRPr="00193D60" w:rsidRDefault="00193D60" w:rsidP="005062A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Model</w:t>
            </w:r>
            <w:r w:rsidR="005062A0">
              <w:rPr>
                <w:rFonts w:cs="Arial"/>
                <w:color w:val="000000"/>
                <w:sz w:val="16"/>
                <w:szCs w:val="16"/>
                <w:lang w:val="en-US"/>
              </w:rPr>
              <w:t xml:space="preserve"> </w:t>
            </w:r>
            <w:r w:rsidRPr="00193D60">
              <w:rPr>
                <w:rFonts w:cs="Arial"/>
                <w:color w:val="000000"/>
                <w:sz w:val="16"/>
                <w:szCs w:val="16"/>
                <w:lang w:val="en-US"/>
              </w:rPr>
              <w:t>C (wt-t-NP)</w:t>
            </w:r>
          </w:p>
        </w:tc>
        <w:tc>
          <w:tcPr>
            <w:tcW w:w="567" w:type="dxa"/>
            <w:tcBorders>
              <w:top w:val="nil"/>
              <w:left w:val="nil"/>
              <w:bottom w:val="nil"/>
              <w:right w:val="nil"/>
            </w:tcBorders>
            <w:shd w:val="clear" w:color="auto" w:fill="auto"/>
            <w:hideMark/>
          </w:tcPr>
          <w:p w14:paraId="60C8A37F"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2</w:t>
            </w:r>
          </w:p>
        </w:tc>
        <w:tc>
          <w:tcPr>
            <w:tcW w:w="1481" w:type="dxa"/>
            <w:tcBorders>
              <w:top w:val="nil"/>
              <w:left w:val="nil"/>
              <w:bottom w:val="nil"/>
              <w:right w:val="nil"/>
            </w:tcBorders>
            <w:shd w:val="clear" w:color="auto" w:fill="auto"/>
            <w:hideMark/>
          </w:tcPr>
          <w:p w14:paraId="0C352711"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39732.3906</w:t>
            </w:r>
          </w:p>
        </w:tc>
        <w:tc>
          <w:tcPr>
            <w:tcW w:w="1754" w:type="dxa"/>
            <w:tcBorders>
              <w:top w:val="nil"/>
              <w:left w:val="nil"/>
              <w:bottom w:val="nil"/>
              <w:right w:val="nil"/>
            </w:tcBorders>
            <w:shd w:val="clear" w:color="auto" w:fill="auto"/>
            <w:hideMark/>
          </w:tcPr>
          <w:p w14:paraId="6E28682D"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19866.1953</w:t>
            </w:r>
          </w:p>
        </w:tc>
        <w:tc>
          <w:tcPr>
            <w:tcW w:w="1628" w:type="dxa"/>
            <w:tcBorders>
              <w:top w:val="nil"/>
              <w:left w:val="nil"/>
              <w:bottom w:val="nil"/>
              <w:right w:val="nil"/>
            </w:tcBorders>
            <w:shd w:val="clear" w:color="auto" w:fill="auto"/>
            <w:hideMark/>
          </w:tcPr>
          <w:p w14:paraId="1F317E9C"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4.34068</w:t>
            </w:r>
          </w:p>
        </w:tc>
        <w:tc>
          <w:tcPr>
            <w:tcW w:w="1273" w:type="dxa"/>
            <w:tcBorders>
              <w:top w:val="nil"/>
              <w:left w:val="nil"/>
              <w:bottom w:val="nil"/>
              <w:right w:val="nil"/>
            </w:tcBorders>
            <w:shd w:val="clear" w:color="auto" w:fill="auto"/>
            <w:hideMark/>
          </w:tcPr>
          <w:p w14:paraId="48D2EEAE"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0.01676</w:t>
            </w:r>
          </w:p>
        </w:tc>
      </w:tr>
      <w:tr w:rsidR="005062A0" w:rsidRPr="00193D60" w14:paraId="2759FB14" w14:textId="77777777" w:rsidTr="005062A0">
        <w:trPr>
          <w:trHeight w:val="176"/>
        </w:trPr>
        <w:tc>
          <w:tcPr>
            <w:tcW w:w="1843" w:type="dxa"/>
            <w:tcBorders>
              <w:top w:val="nil"/>
              <w:left w:val="nil"/>
              <w:bottom w:val="nil"/>
              <w:right w:val="nil"/>
            </w:tcBorders>
            <w:shd w:val="clear" w:color="auto" w:fill="auto"/>
            <w:hideMark/>
          </w:tcPr>
          <w:p w14:paraId="362738C1"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Error</w:t>
            </w:r>
          </w:p>
        </w:tc>
        <w:tc>
          <w:tcPr>
            <w:tcW w:w="567" w:type="dxa"/>
            <w:tcBorders>
              <w:top w:val="nil"/>
              <w:left w:val="nil"/>
              <w:bottom w:val="nil"/>
              <w:right w:val="nil"/>
            </w:tcBorders>
            <w:shd w:val="clear" w:color="auto" w:fill="auto"/>
            <w:hideMark/>
          </w:tcPr>
          <w:p w14:paraId="19B905E7"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69</w:t>
            </w:r>
          </w:p>
        </w:tc>
        <w:tc>
          <w:tcPr>
            <w:tcW w:w="1481" w:type="dxa"/>
            <w:tcBorders>
              <w:top w:val="nil"/>
              <w:left w:val="nil"/>
              <w:bottom w:val="nil"/>
              <w:right w:val="nil"/>
            </w:tcBorders>
            <w:shd w:val="clear" w:color="auto" w:fill="auto"/>
            <w:hideMark/>
          </w:tcPr>
          <w:p w14:paraId="6A2434D3"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315795.727</w:t>
            </w:r>
          </w:p>
        </w:tc>
        <w:tc>
          <w:tcPr>
            <w:tcW w:w="1754" w:type="dxa"/>
            <w:tcBorders>
              <w:top w:val="nil"/>
              <w:left w:val="nil"/>
              <w:bottom w:val="nil"/>
              <w:right w:val="nil"/>
            </w:tcBorders>
            <w:shd w:val="clear" w:color="auto" w:fill="auto"/>
            <w:hideMark/>
          </w:tcPr>
          <w:p w14:paraId="0A0B6E8D"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4576.74966</w:t>
            </w:r>
          </w:p>
        </w:tc>
        <w:tc>
          <w:tcPr>
            <w:tcW w:w="1628" w:type="dxa"/>
            <w:tcBorders>
              <w:top w:val="nil"/>
              <w:left w:val="nil"/>
              <w:bottom w:val="nil"/>
              <w:right w:val="nil"/>
            </w:tcBorders>
            <w:shd w:val="clear" w:color="auto" w:fill="auto"/>
            <w:hideMark/>
          </w:tcPr>
          <w:p w14:paraId="739CE046" w14:textId="77777777" w:rsidR="00193D60" w:rsidRPr="00193D60" w:rsidRDefault="00193D60" w:rsidP="00193D60">
            <w:pPr>
              <w:tabs>
                <w:tab w:val="clear" w:pos="7100"/>
              </w:tabs>
              <w:spacing w:line="240" w:lineRule="auto"/>
              <w:jc w:val="left"/>
              <w:rPr>
                <w:rFonts w:cs="Arial"/>
                <w:color w:val="000000"/>
                <w:sz w:val="16"/>
                <w:szCs w:val="16"/>
                <w:lang w:val="en-US"/>
              </w:rPr>
            </w:pPr>
          </w:p>
        </w:tc>
        <w:tc>
          <w:tcPr>
            <w:tcW w:w="1273" w:type="dxa"/>
            <w:tcBorders>
              <w:top w:val="nil"/>
              <w:left w:val="nil"/>
              <w:bottom w:val="nil"/>
              <w:right w:val="nil"/>
            </w:tcBorders>
            <w:shd w:val="clear" w:color="auto" w:fill="auto"/>
            <w:hideMark/>
          </w:tcPr>
          <w:p w14:paraId="6454E174" w14:textId="77777777" w:rsidR="00193D60" w:rsidRPr="00193D60" w:rsidRDefault="00193D60" w:rsidP="00193D60">
            <w:pPr>
              <w:tabs>
                <w:tab w:val="clear" w:pos="7100"/>
              </w:tabs>
              <w:spacing w:line="240" w:lineRule="auto"/>
              <w:jc w:val="left"/>
              <w:rPr>
                <w:rFonts w:cs="Arial"/>
                <w:sz w:val="16"/>
                <w:szCs w:val="16"/>
                <w:lang w:val="en-US"/>
              </w:rPr>
            </w:pPr>
          </w:p>
        </w:tc>
      </w:tr>
      <w:tr w:rsidR="005062A0" w:rsidRPr="00193D60" w14:paraId="3E5DF8D8" w14:textId="77777777" w:rsidTr="005062A0">
        <w:trPr>
          <w:trHeight w:val="176"/>
        </w:trPr>
        <w:tc>
          <w:tcPr>
            <w:tcW w:w="1843" w:type="dxa"/>
            <w:tcBorders>
              <w:top w:val="nil"/>
              <w:left w:val="nil"/>
              <w:bottom w:val="nil"/>
              <w:right w:val="nil"/>
            </w:tcBorders>
            <w:shd w:val="clear" w:color="auto" w:fill="auto"/>
            <w:hideMark/>
          </w:tcPr>
          <w:p w14:paraId="4202033C"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Total</w:t>
            </w:r>
          </w:p>
        </w:tc>
        <w:tc>
          <w:tcPr>
            <w:tcW w:w="567" w:type="dxa"/>
            <w:tcBorders>
              <w:top w:val="nil"/>
              <w:left w:val="nil"/>
              <w:bottom w:val="nil"/>
              <w:right w:val="nil"/>
            </w:tcBorders>
            <w:shd w:val="clear" w:color="auto" w:fill="auto"/>
            <w:hideMark/>
          </w:tcPr>
          <w:p w14:paraId="6242EDE3"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71</w:t>
            </w:r>
          </w:p>
        </w:tc>
        <w:tc>
          <w:tcPr>
            <w:tcW w:w="1481" w:type="dxa"/>
            <w:tcBorders>
              <w:top w:val="nil"/>
              <w:left w:val="nil"/>
              <w:bottom w:val="nil"/>
              <w:right w:val="nil"/>
            </w:tcBorders>
            <w:shd w:val="clear" w:color="auto" w:fill="auto"/>
            <w:hideMark/>
          </w:tcPr>
          <w:p w14:paraId="3CACF62E"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355528.117</w:t>
            </w:r>
          </w:p>
        </w:tc>
        <w:tc>
          <w:tcPr>
            <w:tcW w:w="1754" w:type="dxa"/>
            <w:tcBorders>
              <w:top w:val="nil"/>
              <w:left w:val="nil"/>
              <w:bottom w:val="nil"/>
              <w:right w:val="nil"/>
            </w:tcBorders>
            <w:shd w:val="clear" w:color="auto" w:fill="auto"/>
            <w:hideMark/>
          </w:tcPr>
          <w:p w14:paraId="526D1EF2" w14:textId="77777777" w:rsidR="00193D60" w:rsidRPr="00193D60" w:rsidRDefault="00193D60" w:rsidP="00193D60">
            <w:pPr>
              <w:tabs>
                <w:tab w:val="clear" w:pos="7100"/>
              </w:tabs>
              <w:spacing w:line="240" w:lineRule="auto"/>
              <w:jc w:val="left"/>
              <w:rPr>
                <w:rFonts w:cs="Arial"/>
                <w:color w:val="000000"/>
                <w:sz w:val="16"/>
                <w:szCs w:val="16"/>
                <w:lang w:val="en-US"/>
              </w:rPr>
            </w:pPr>
          </w:p>
        </w:tc>
        <w:tc>
          <w:tcPr>
            <w:tcW w:w="1628" w:type="dxa"/>
            <w:tcBorders>
              <w:top w:val="nil"/>
              <w:left w:val="nil"/>
              <w:bottom w:val="nil"/>
              <w:right w:val="nil"/>
            </w:tcBorders>
            <w:shd w:val="clear" w:color="auto" w:fill="auto"/>
            <w:hideMark/>
          </w:tcPr>
          <w:p w14:paraId="3F491AC2" w14:textId="77777777" w:rsidR="00193D60" w:rsidRPr="00193D60" w:rsidRDefault="00193D60" w:rsidP="00193D60">
            <w:pPr>
              <w:tabs>
                <w:tab w:val="clear" w:pos="7100"/>
              </w:tabs>
              <w:spacing w:line="240" w:lineRule="auto"/>
              <w:jc w:val="left"/>
              <w:rPr>
                <w:rFonts w:cs="Arial"/>
                <w:sz w:val="16"/>
                <w:szCs w:val="16"/>
                <w:lang w:val="en-US"/>
              </w:rPr>
            </w:pPr>
          </w:p>
        </w:tc>
        <w:tc>
          <w:tcPr>
            <w:tcW w:w="1273" w:type="dxa"/>
            <w:tcBorders>
              <w:top w:val="nil"/>
              <w:left w:val="nil"/>
              <w:bottom w:val="nil"/>
              <w:right w:val="nil"/>
            </w:tcBorders>
            <w:shd w:val="clear" w:color="auto" w:fill="auto"/>
            <w:hideMark/>
          </w:tcPr>
          <w:p w14:paraId="72944D14" w14:textId="77777777" w:rsidR="00193D60" w:rsidRPr="00193D60" w:rsidRDefault="00193D60" w:rsidP="00193D60">
            <w:pPr>
              <w:tabs>
                <w:tab w:val="clear" w:pos="7100"/>
              </w:tabs>
              <w:spacing w:line="240" w:lineRule="auto"/>
              <w:jc w:val="left"/>
              <w:rPr>
                <w:rFonts w:cs="Arial"/>
                <w:sz w:val="16"/>
                <w:szCs w:val="16"/>
                <w:lang w:val="en-US"/>
              </w:rPr>
            </w:pPr>
          </w:p>
        </w:tc>
      </w:tr>
      <w:tr w:rsidR="005062A0" w:rsidRPr="00193D60" w14:paraId="62A0F7DD" w14:textId="77777777" w:rsidTr="005062A0">
        <w:trPr>
          <w:trHeight w:val="66"/>
        </w:trPr>
        <w:tc>
          <w:tcPr>
            <w:tcW w:w="1843" w:type="dxa"/>
            <w:tcBorders>
              <w:top w:val="nil"/>
              <w:left w:val="nil"/>
              <w:bottom w:val="nil"/>
              <w:right w:val="nil"/>
            </w:tcBorders>
            <w:shd w:val="clear" w:color="auto" w:fill="auto"/>
            <w:hideMark/>
          </w:tcPr>
          <w:p w14:paraId="3620449F" w14:textId="03B4B875" w:rsidR="00193D60" w:rsidRPr="00193D60" w:rsidRDefault="00193D60" w:rsidP="005062A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Model</w:t>
            </w:r>
            <w:r w:rsidR="005062A0">
              <w:rPr>
                <w:rFonts w:cs="Arial"/>
                <w:color w:val="000000"/>
                <w:sz w:val="16"/>
                <w:szCs w:val="16"/>
                <w:lang w:val="en-US"/>
              </w:rPr>
              <w:t xml:space="preserve"> </w:t>
            </w:r>
            <w:r w:rsidRPr="00193D60">
              <w:rPr>
                <w:rFonts w:cs="Arial"/>
                <w:color w:val="000000"/>
                <w:sz w:val="16"/>
                <w:szCs w:val="16"/>
                <w:lang w:val="en-US"/>
              </w:rPr>
              <w:t>B (wt-t-NP)</w:t>
            </w:r>
          </w:p>
        </w:tc>
        <w:tc>
          <w:tcPr>
            <w:tcW w:w="567" w:type="dxa"/>
            <w:tcBorders>
              <w:top w:val="nil"/>
              <w:left w:val="nil"/>
              <w:bottom w:val="nil"/>
              <w:right w:val="nil"/>
            </w:tcBorders>
            <w:shd w:val="clear" w:color="auto" w:fill="auto"/>
            <w:hideMark/>
          </w:tcPr>
          <w:p w14:paraId="0EF54C8D"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2</w:t>
            </w:r>
          </w:p>
        </w:tc>
        <w:tc>
          <w:tcPr>
            <w:tcW w:w="1481" w:type="dxa"/>
            <w:tcBorders>
              <w:top w:val="nil"/>
              <w:left w:val="nil"/>
              <w:bottom w:val="nil"/>
              <w:right w:val="nil"/>
            </w:tcBorders>
            <w:shd w:val="clear" w:color="auto" w:fill="auto"/>
            <w:hideMark/>
          </w:tcPr>
          <w:p w14:paraId="738666F4"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198467.661</w:t>
            </w:r>
          </w:p>
        </w:tc>
        <w:tc>
          <w:tcPr>
            <w:tcW w:w="1754" w:type="dxa"/>
            <w:tcBorders>
              <w:top w:val="nil"/>
              <w:left w:val="nil"/>
              <w:bottom w:val="nil"/>
              <w:right w:val="nil"/>
            </w:tcBorders>
            <w:shd w:val="clear" w:color="auto" w:fill="auto"/>
            <w:hideMark/>
          </w:tcPr>
          <w:p w14:paraId="0628A584"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99233.8307</w:t>
            </w:r>
          </w:p>
        </w:tc>
        <w:tc>
          <w:tcPr>
            <w:tcW w:w="1628" w:type="dxa"/>
            <w:tcBorders>
              <w:top w:val="nil"/>
              <w:left w:val="nil"/>
              <w:bottom w:val="nil"/>
              <w:right w:val="nil"/>
            </w:tcBorders>
            <w:shd w:val="clear" w:color="auto" w:fill="auto"/>
            <w:hideMark/>
          </w:tcPr>
          <w:p w14:paraId="60626AA1"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9.90848</w:t>
            </w:r>
          </w:p>
        </w:tc>
        <w:tc>
          <w:tcPr>
            <w:tcW w:w="1273" w:type="dxa"/>
            <w:tcBorders>
              <w:top w:val="nil"/>
              <w:left w:val="nil"/>
              <w:bottom w:val="nil"/>
              <w:right w:val="nil"/>
            </w:tcBorders>
            <w:shd w:val="clear" w:color="auto" w:fill="auto"/>
            <w:hideMark/>
          </w:tcPr>
          <w:p w14:paraId="3AA18CBD"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1.65E-04</w:t>
            </w:r>
          </w:p>
        </w:tc>
      </w:tr>
      <w:tr w:rsidR="005062A0" w:rsidRPr="00193D60" w14:paraId="4B2D7697" w14:textId="77777777" w:rsidTr="005062A0">
        <w:trPr>
          <w:trHeight w:val="176"/>
        </w:trPr>
        <w:tc>
          <w:tcPr>
            <w:tcW w:w="1843" w:type="dxa"/>
            <w:tcBorders>
              <w:top w:val="nil"/>
              <w:left w:val="nil"/>
              <w:bottom w:val="nil"/>
              <w:right w:val="nil"/>
            </w:tcBorders>
            <w:shd w:val="clear" w:color="auto" w:fill="auto"/>
            <w:hideMark/>
          </w:tcPr>
          <w:p w14:paraId="5451C4E2"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Error</w:t>
            </w:r>
          </w:p>
        </w:tc>
        <w:tc>
          <w:tcPr>
            <w:tcW w:w="567" w:type="dxa"/>
            <w:tcBorders>
              <w:top w:val="nil"/>
              <w:left w:val="nil"/>
              <w:bottom w:val="nil"/>
              <w:right w:val="nil"/>
            </w:tcBorders>
            <w:shd w:val="clear" w:color="auto" w:fill="auto"/>
            <w:hideMark/>
          </w:tcPr>
          <w:p w14:paraId="5FFAE5A5"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69</w:t>
            </w:r>
          </w:p>
        </w:tc>
        <w:tc>
          <w:tcPr>
            <w:tcW w:w="1481" w:type="dxa"/>
            <w:tcBorders>
              <w:top w:val="nil"/>
              <w:left w:val="nil"/>
              <w:bottom w:val="nil"/>
              <w:right w:val="nil"/>
            </w:tcBorders>
            <w:shd w:val="clear" w:color="auto" w:fill="auto"/>
            <w:hideMark/>
          </w:tcPr>
          <w:p w14:paraId="3748D916"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691038.143</w:t>
            </w:r>
          </w:p>
        </w:tc>
        <w:tc>
          <w:tcPr>
            <w:tcW w:w="1754" w:type="dxa"/>
            <w:tcBorders>
              <w:top w:val="nil"/>
              <w:left w:val="nil"/>
              <w:bottom w:val="nil"/>
              <w:right w:val="nil"/>
            </w:tcBorders>
            <w:shd w:val="clear" w:color="auto" w:fill="auto"/>
            <w:hideMark/>
          </w:tcPr>
          <w:p w14:paraId="00BCFB49"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10015.0456</w:t>
            </w:r>
          </w:p>
        </w:tc>
        <w:tc>
          <w:tcPr>
            <w:tcW w:w="1628" w:type="dxa"/>
            <w:tcBorders>
              <w:top w:val="nil"/>
              <w:left w:val="nil"/>
              <w:bottom w:val="nil"/>
              <w:right w:val="nil"/>
            </w:tcBorders>
            <w:shd w:val="clear" w:color="auto" w:fill="auto"/>
            <w:hideMark/>
          </w:tcPr>
          <w:p w14:paraId="6D00CE46" w14:textId="77777777" w:rsidR="00193D60" w:rsidRPr="00193D60" w:rsidRDefault="00193D60" w:rsidP="00193D60">
            <w:pPr>
              <w:tabs>
                <w:tab w:val="clear" w:pos="7100"/>
              </w:tabs>
              <w:spacing w:line="240" w:lineRule="auto"/>
              <w:jc w:val="left"/>
              <w:rPr>
                <w:rFonts w:cs="Arial"/>
                <w:color w:val="000000"/>
                <w:sz w:val="16"/>
                <w:szCs w:val="16"/>
                <w:lang w:val="en-US"/>
              </w:rPr>
            </w:pPr>
          </w:p>
        </w:tc>
        <w:tc>
          <w:tcPr>
            <w:tcW w:w="1273" w:type="dxa"/>
            <w:tcBorders>
              <w:top w:val="nil"/>
              <w:left w:val="nil"/>
              <w:bottom w:val="nil"/>
              <w:right w:val="nil"/>
            </w:tcBorders>
            <w:shd w:val="clear" w:color="auto" w:fill="auto"/>
            <w:hideMark/>
          </w:tcPr>
          <w:p w14:paraId="52F63A75" w14:textId="77777777" w:rsidR="00193D60" w:rsidRPr="00193D60" w:rsidRDefault="00193D60" w:rsidP="00193D60">
            <w:pPr>
              <w:tabs>
                <w:tab w:val="clear" w:pos="7100"/>
              </w:tabs>
              <w:spacing w:line="240" w:lineRule="auto"/>
              <w:jc w:val="left"/>
              <w:rPr>
                <w:rFonts w:cs="Arial"/>
                <w:sz w:val="16"/>
                <w:szCs w:val="16"/>
                <w:lang w:val="en-US"/>
              </w:rPr>
            </w:pPr>
          </w:p>
        </w:tc>
      </w:tr>
      <w:tr w:rsidR="005062A0" w:rsidRPr="00193D60" w14:paraId="1B682452" w14:textId="77777777" w:rsidTr="005062A0">
        <w:trPr>
          <w:trHeight w:val="176"/>
        </w:trPr>
        <w:tc>
          <w:tcPr>
            <w:tcW w:w="1843" w:type="dxa"/>
            <w:tcBorders>
              <w:top w:val="nil"/>
              <w:left w:val="nil"/>
              <w:bottom w:val="nil"/>
              <w:right w:val="nil"/>
            </w:tcBorders>
            <w:shd w:val="clear" w:color="auto" w:fill="auto"/>
            <w:hideMark/>
          </w:tcPr>
          <w:p w14:paraId="2A2B61C3"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Total</w:t>
            </w:r>
          </w:p>
        </w:tc>
        <w:tc>
          <w:tcPr>
            <w:tcW w:w="567" w:type="dxa"/>
            <w:tcBorders>
              <w:top w:val="nil"/>
              <w:left w:val="nil"/>
              <w:bottom w:val="nil"/>
              <w:right w:val="nil"/>
            </w:tcBorders>
            <w:shd w:val="clear" w:color="auto" w:fill="auto"/>
            <w:hideMark/>
          </w:tcPr>
          <w:p w14:paraId="5D5246B0"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71</w:t>
            </w:r>
          </w:p>
        </w:tc>
        <w:tc>
          <w:tcPr>
            <w:tcW w:w="1481" w:type="dxa"/>
            <w:tcBorders>
              <w:top w:val="nil"/>
              <w:left w:val="nil"/>
              <w:bottom w:val="nil"/>
              <w:right w:val="nil"/>
            </w:tcBorders>
            <w:shd w:val="clear" w:color="auto" w:fill="auto"/>
            <w:hideMark/>
          </w:tcPr>
          <w:p w14:paraId="386EA767"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889505.805</w:t>
            </w:r>
          </w:p>
        </w:tc>
        <w:tc>
          <w:tcPr>
            <w:tcW w:w="1754" w:type="dxa"/>
            <w:tcBorders>
              <w:top w:val="nil"/>
              <w:left w:val="nil"/>
              <w:bottom w:val="nil"/>
              <w:right w:val="nil"/>
            </w:tcBorders>
            <w:shd w:val="clear" w:color="auto" w:fill="auto"/>
            <w:hideMark/>
          </w:tcPr>
          <w:p w14:paraId="0818EF9D" w14:textId="77777777" w:rsidR="00193D60" w:rsidRPr="00193D60" w:rsidRDefault="00193D60" w:rsidP="00193D60">
            <w:pPr>
              <w:tabs>
                <w:tab w:val="clear" w:pos="7100"/>
              </w:tabs>
              <w:spacing w:line="240" w:lineRule="auto"/>
              <w:jc w:val="left"/>
              <w:rPr>
                <w:rFonts w:cs="Arial"/>
                <w:color w:val="000000"/>
                <w:sz w:val="16"/>
                <w:szCs w:val="16"/>
                <w:lang w:val="en-US"/>
              </w:rPr>
            </w:pPr>
          </w:p>
        </w:tc>
        <w:tc>
          <w:tcPr>
            <w:tcW w:w="1628" w:type="dxa"/>
            <w:tcBorders>
              <w:top w:val="nil"/>
              <w:left w:val="nil"/>
              <w:bottom w:val="nil"/>
              <w:right w:val="nil"/>
            </w:tcBorders>
            <w:shd w:val="clear" w:color="auto" w:fill="auto"/>
            <w:hideMark/>
          </w:tcPr>
          <w:p w14:paraId="3FAD21AB" w14:textId="77777777" w:rsidR="00193D60" w:rsidRPr="00193D60" w:rsidRDefault="00193D60" w:rsidP="00193D60">
            <w:pPr>
              <w:tabs>
                <w:tab w:val="clear" w:pos="7100"/>
              </w:tabs>
              <w:spacing w:line="240" w:lineRule="auto"/>
              <w:jc w:val="left"/>
              <w:rPr>
                <w:rFonts w:cs="Arial"/>
                <w:sz w:val="16"/>
                <w:szCs w:val="16"/>
                <w:lang w:val="en-US"/>
              </w:rPr>
            </w:pPr>
          </w:p>
        </w:tc>
        <w:tc>
          <w:tcPr>
            <w:tcW w:w="1273" w:type="dxa"/>
            <w:tcBorders>
              <w:top w:val="nil"/>
              <w:left w:val="nil"/>
              <w:bottom w:val="nil"/>
              <w:right w:val="nil"/>
            </w:tcBorders>
            <w:shd w:val="clear" w:color="auto" w:fill="auto"/>
            <w:hideMark/>
          </w:tcPr>
          <w:p w14:paraId="6FF16978" w14:textId="77777777" w:rsidR="00193D60" w:rsidRPr="00193D60" w:rsidRDefault="00193D60" w:rsidP="00193D60">
            <w:pPr>
              <w:tabs>
                <w:tab w:val="clear" w:pos="7100"/>
              </w:tabs>
              <w:spacing w:line="240" w:lineRule="auto"/>
              <w:jc w:val="left"/>
              <w:rPr>
                <w:rFonts w:cs="Arial"/>
                <w:sz w:val="16"/>
                <w:szCs w:val="16"/>
                <w:lang w:val="en-US"/>
              </w:rPr>
            </w:pPr>
          </w:p>
        </w:tc>
      </w:tr>
      <w:tr w:rsidR="005062A0" w:rsidRPr="00193D60" w14:paraId="0EF0620B" w14:textId="77777777" w:rsidTr="005062A0">
        <w:trPr>
          <w:trHeight w:val="74"/>
        </w:trPr>
        <w:tc>
          <w:tcPr>
            <w:tcW w:w="1843" w:type="dxa"/>
            <w:tcBorders>
              <w:top w:val="nil"/>
              <w:left w:val="nil"/>
              <w:bottom w:val="nil"/>
              <w:right w:val="nil"/>
            </w:tcBorders>
            <w:shd w:val="clear" w:color="auto" w:fill="auto"/>
            <w:hideMark/>
          </w:tcPr>
          <w:p w14:paraId="05461DDB" w14:textId="0CDAAACF" w:rsidR="00193D60" w:rsidRPr="00193D60" w:rsidRDefault="00193D60" w:rsidP="005062A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Model</w:t>
            </w:r>
            <w:r w:rsidR="005062A0">
              <w:rPr>
                <w:rFonts w:cs="Arial"/>
                <w:color w:val="000000"/>
                <w:sz w:val="16"/>
                <w:szCs w:val="16"/>
                <w:lang w:val="en-US"/>
              </w:rPr>
              <w:t xml:space="preserve"> </w:t>
            </w:r>
            <w:r w:rsidRPr="00193D60">
              <w:rPr>
                <w:rFonts w:cs="Arial"/>
                <w:color w:val="000000"/>
                <w:sz w:val="16"/>
                <w:szCs w:val="16"/>
                <w:lang w:val="en-US"/>
              </w:rPr>
              <w:t>C+ B (wt-t-NP)</w:t>
            </w:r>
          </w:p>
        </w:tc>
        <w:tc>
          <w:tcPr>
            <w:tcW w:w="567" w:type="dxa"/>
            <w:tcBorders>
              <w:top w:val="nil"/>
              <w:left w:val="nil"/>
              <w:bottom w:val="nil"/>
              <w:right w:val="nil"/>
            </w:tcBorders>
            <w:shd w:val="clear" w:color="auto" w:fill="auto"/>
            <w:hideMark/>
          </w:tcPr>
          <w:p w14:paraId="6DF419A5"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2</w:t>
            </w:r>
          </w:p>
        </w:tc>
        <w:tc>
          <w:tcPr>
            <w:tcW w:w="1481" w:type="dxa"/>
            <w:tcBorders>
              <w:top w:val="nil"/>
              <w:left w:val="nil"/>
              <w:bottom w:val="nil"/>
              <w:right w:val="nil"/>
            </w:tcBorders>
            <w:shd w:val="clear" w:color="auto" w:fill="auto"/>
            <w:hideMark/>
          </w:tcPr>
          <w:p w14:paraId="4888CCE5"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102093.861</w:t>
            </w:r>
          </w:p>
        </w:tc>
        <w:tc>
          <w:tcPr>
            <w:tcW w:w="1754" w:type="dxa"/>
            <w:tcBorders>
              <w:top w:val="nil"/>
              <w:left w:val="nil"/>
              <w:bottom w:val="nil"/>
              <w:right w:val="nil"/>
            </w:tcBorders>
            <w:shd w:val="clear" w:color="auto" w:fill="auto"/>
            <w:hideMark/>
          </w:tcPr>
          <w:p w14:paraId="43295411"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51046.9306</w:t>
            </w:r>
          </w:p>
        </w:tc>
        <w:tc>
          <w:tcPr>
            <w:tcW w:w="1628" w:type="dxa"/>
            <w:tcBorders>
              <w:top w:val="nil"/>
              <w:left w:val="nil"/>
              <w:bottom w:val="nil"/>
              <w:right w:val="nil"/>
            </w:tcBorders>
            <w:shd w:val="clear" w:color="auto" w:fill="auto"/>
            <w:hideMark/>
          </w:tcPr>
          <w:p w14:paraId="238AF914"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4.34924</w:t>
            </w:r>
          </w:p>
        </w:tc>
        <w:tc>
          <w:tcPr>
            <w:tcW w:w="1273" w:type="dxa"/>
            <w:tcBorders>
              <w:top w:val="nil"/>
              <w:left w:val="nil"/>
              <w:bottom w:val="nil"/>
              <w:right w:val="nil"/>
            </w:tcBorders>
            <w:shd w:val="clear" w:color="auto" w:fill="auto"/>
            <w:hideMark/>
          </w:tcPr>
          <w:p w14:paraId="25823322"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0.01664</w:t>
            </w:r>
          </w:p>
        </w:tc>
      </w:tr>
      <w:tr w:rsidR="005062A0" w:rsidRPr="00193D60" w14:paraId="20A48430" w14:textId="77777777" w:rsidTr="005062A0">
        <w:trPr>
          <w:trHeight w:val="134"/>
        </w:trPr>
        <w:tc>
          <w:tcPr>
            <w:tcW w:w="1843" w:type="dxa"/>
            <w:tcBorders>
              <w:top w:val="nil"/>
              <w:left w:val="nil"/>
              <w:bottom w:val="nil"/>
              <w:right w:val="nil"/>
            </w:tcBorders>
            <w:shd w:val="clear" w:color="auto" w:fill="auto"/>
            <w:hideMark/>
          </w:tcPr>
          <w:p w14:paraId="36EDE66F"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Error</w:t>
            </w:r>
          </w:p>
        </w:tc>
        <w:tc>
          <w:tcPr>
            <w:tcW w:w="567" w:type="dxa"/>
            <w:tcBorders>
              <w:top w:val="nil"/>
              <w:left w:val="nil"/>
              <w:bottom w:val="nil"/>
              <w:right w:val="nil"/>
            </w:tcBorders>
            <w:shd w:val="clear" w:color="auto" w:fill="auto"/>
            <w:hideMark/>
          </w:tcPr>
          <w:p w14:paraId="5FAE1121"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69</w:t>
            </w:r>
          </w:p>
        </w:tc>
        <w:tc>
          <w:tcPr>
            <w:tcW w:w="1481" w:type="dxa"/>
            <w:tcBorders>
              <w:top w:val="nil"/>
              <w:left w:val="nil"/>
              <w:bottom w:val="nil"/>
              <w:right w:val="nil"/>
            </w:tcBorders>
            <w:shd w:val="clear" w:color="auto" w:fill="auto"/>
            <w:hideMark/>
          </w:tcPr>
          <w:p w14:paraId="33D412E7"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809852</w:t>
            </w:r>
          </w:p>
        </w:tc>
        <w:tc>
          <w:tcPr>
            <w:tcW w:w="1754" w:type="dxa"/>
            <w:tcBorders>
              <w:top w:val="nil"/>
              <w:left w:val="nil"/>
              <w:bottom w:val="nil"/>
              <w:right w:val="nil"/>
            </w:tcBorders>
            <w:shd w:val="clear" w:color="auto" w:fill="auto"/>
            <w:hideMark/>
          </w:tcPr>
          <w:p w14:paraId="69E601AE"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11736.9855</w:t>
            </w:r>
          </w:p>
        </w:tc>
        <w:tc>
          <w:tcPr>
            <w:tcW w:w="1628" w:type="dxa"/>
            <w:tcBorders>
              <w:top w:val="nil"/>
              <w:left w:val="nil"/>
              <w:bottom w:val="nil"/>
              <w:right w:val="nil"/>
            </w:tcBorders>
            <w:shd w:val="clear" w:color="auto" w:fill="auto"/>
            <w:hideMark/>
          </w:tcPr>
          <w:p w14:paraId="37DB6147" w14:textId="77777777" w:rsidR="00193D60" w:rsidRPr="00193D60" w:rsidRDefault="00193D60" w:rsidP="00193D60">
            <w:pPr>
              <w:tabs>
                <w:tab w:val="clear" w:pos="7100"/>
              </w:tabs>
              <w:spacing w:line="240" w:lineRule="auto"/>
              <w:jc w:val="left"/>
              <w:rPr>
                <w:rFonts w:cs="Arial"/>
                <w:color w:val="000000"/>
                <w:sz w:val="16"/>
                <w:szCs w:val="16"/>
                <w:lang w:val="en-US"/>
              </w:rPr>
            </w:pPr>
          </w:p>
        </w:tc>
        <w:tc>
          <w:tcPr>
            <w:tcW w:w="1273" w:type="dxa"/>
            <w:tcBorders>
              <w:top w:val="nil"/>
              <w:left w:val="nil"/>
              <w:bottom w:val="nil"/>
              <w:right w:val="nil"/>
            </w:tcBorders>
            <w:shd w:val="clear" w:color="auto" w:fill="auto"/>
            <w:hideMark/>
          </w:tcPr>
          <w:p w14:paraId="762FBE4D" w14:textId="77777777" w:rsidR="00193D60" w:rsidRPr="00193D60" w:rsidRDefault="00193D60" w:rsidP="00193D60">
            <w:pPr>
              <w:tabs>
                <w:tab w:val="clear" w:pos="7100"/>
              </w:tabs>
              <w:spacing w:line="240" w:lineRule="auto"/>
              <w:jc w:val="left"/>
              <w:rPr>
                <w:rFonts w:cs="Arial"/>
                <w:sz w:val="16"/>
                <w:szCs w:val="16"/>
                <w:lang w:val="en-US"/>
              </w:rPr>
            </w:pPr>
          </w:p>
        </w:tc>
      </w:tr>
      <w:tr w:rsidR="005062A0" w:rsidRPr="00193D60" w14:paraId="3002E0C2" w14:textId="77777777" w:rsidTr="005062A0">
        <w:trPr>
          <w:trHeight w:val="184"/>
        </w:trPr>
        <w:tc>
          <w:tcPr>
            <w:tcW w:w="1843" w:type="dxa"/>
            <w:tcBorders>
              <w:top w:val="nil"/>
              <w:left w:val="nil"/>
              <w:bottom w:val="single" w:sz="8" w:space="0" w:color="006600"/>
              <w:right w:val="nil"/>
            </w:tcBorders>
            <w:shd w:val="clear" w:color="auto" w:fill="auto"/>
            <w:hideMark/>
          </w:tcPr>
          <w:p w14:paraId="626FF4C9"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Total</w:t>
            </w:r>
          </w:p>
        </w:tc>
        <w:tc>
          <w:tcPr>
            <w:tcW w:w="567" w:type="dxa"/>
            <w:tcBorders>
              <w:top w:val="nil"/>
              <w:left w:val="nil"/>
              <w:bottom w:val="single" w:sz="8" w:space="0" w:color="006600"/>
              <w:right w:val="nil"/>
            </w:tcBorders>
            <w:shd w:val="clear" w:color="auto" w:fill="auto"/>
            <w:hideMark/>
          </w:tcPr>
          <w:p w14:paraId="7C0EAA91"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71</w:t>
            </w:r>
          </w:p>
        </w:tc>
        <w:tc>
          <w:tcPr>
            <w:tcW w:w="1481" w:type="dxa"/>
            <w:tcBorders>
              <w:top w:val="nil"/>
              <w:left w:val="nil"/>
              <w:bottom w:val="single" w:sz="8" w:space="0" w:color="006600"/>
              <w:right w:val="nil"/>
            </w:tcBorders>
            <w:shd w:val="clear" w:color="auto" w:fill="auto"/>
            <w:hideMark/>
          </w:tcPr>
          <w:p w14:paraId="59B27DED"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911945.861</w:t>
            </w:r>
          </w:p>
        </w:tc>
        <w:tc>
          <w:tcPr>
            <w:tcW w:w="1754" w:type="dxa"/>
            <w:tcBorders>
              <w:top w:val="nil"/>
              <w:left w:val="nil"/>
              <w:bottom w:val="single" w:sz="8" w:space="0" w:color="006600"/>
              <w:right w:val="nil"/>
            </w:tcBorders>
            <w:shd w:val="clear" w:color="auto" w:fill="auto"/>
            <w:hideMark/>
          </w:tcPr>
          <w:p w14:paraId="2F95D3AD"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 </w:t>
            </w:r>
          </w:p>
        </w:tc>
        <w:tc>
          <w:tcPr>
            <w:tcW w:w="1628" w:type="dxa"/>
            <w:tcBorders>
              <w:top w:val="nil"/>
              <w:left w:val="nil"/>
              <w:bottom w:val="single" w:sz="8" w:space="0" w:color="006600"/>
              <w:right w:val="nil"/>
            </w:tcBorders>
            <w:shd w:val="clear" w:color="auto" w:fill="auto"/>
            <w:hideMark/>
          </w:tcPr>
          <w:p w14:paraId="21E660E0"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 </w:t>
            </w:r>
          </w:p>
        </w:tc>
        <w:tc>
          <w:tcPr>
            <w:tcW w:w="1273" w:type="dxa"/>
            <w:tcBorders>
              <w:top w:val="nil"/>
              <w:left w:val="nil"/>
              <w:bottom w:val="single" w:sz="8" w:space="0" w:color="006600"/>
              <w:right w:val="nil"/>
            </w:tcBorders>
            <w:shd w:val="clear" w:color="auto" w:fill="auto"/>
            <w:hideMark/>
          </w:tcPr>
          <w:p w14:paraId="1E1F40BA" w14:textId="77777777" w:rsidR="00193D60" w:rsidRPr="00193D60" w:rsidRDefault="00193D60" w:rsidP="00193D60">
            <w:pPr>
              <w:tabs>
                <w:tab w:val="clear" w:pos="7100"/>
              </w:tabs>
              <w:spacing w:line="240" w:lineRule="auto"/>
              <w:jc w:val="left"/>
              <w:rPr>
                <w:rFonts w:cs="Arial"/>
                <w:color w:val="000000"/>
                <w:sz w:val="16"/>
                <w:szCs w:val="16"/>
                <w:lang w:val="en-US"/>
              </w:rPr>
            </w:pPr>
            <w:r w:rsidRPr="00193D60">
              <w:rPr>
                <w:rFonts w:cs="Arial"/>
                <w:color w:val="000000"/>
                <w:sz w:val="16"/>
                <w:szCs w:val="16"/>
                <w:lang w:val="en-US"/>
              </w:rPr>
              <w:t> </w:t>
            </w:r>
          </w:p>
        </w:tc>
      </w:tr>
    </w:tbl>
    <w:p w14:paraId="2DD1419C" w14:textId="77777777" w:rsidR="00B77422" w:rsidRDefault="00B77422" w:rsidP="00B77422">
      <w:pPr>
        <w:pStyle w:val="CETAcknowledgementstitle"/>
        <w:spacing w:before="0" w:after="0" w:line="240" w:lineRule="auto"/>
        <w:contextualSpacing/>
        <w:rPr>
          <w:lang w:val="en-US"/>
        </w:rPr>
      </w:pPr>
    </w:p>
    <w:p w14:paraId="76EB0670" w14:textId="3805C2CF" w:rsidR="008F5DB1" w:rsidRPr="00B57B36" w:rsidRDefault="008F5DB1" w:rsidP="00B77422">
      <w:pPr>
        <w:pStyle w:val="CETAcknowledgementstitle"/>
        <w:spacing w:before="0" w:after="0" w:line="240" w:lineRule="auto"/>
        <w:contextualSpacing/>
      </w:pPr>
      <w:r>
        <w:rPr>
          <w:lang w:val="en-US"/>
        </w:rPr>
        <w:t>Conclusions</w:t>
      </w:r>
    </w:p>
    <w:p w14:paraId="50608A31" w14:textId="1034DB54" w:rsidR="008F5DB1" w:rsidRPr="008F5DB1" w:rsidRDefault="008F5DB1" w:rsidP="00B77422">
      <w:pPr>
        <w:pStyle w:val="CETAcknowledgementstitle"/>
        <w:spacing w:before="0" w:after="0" w:line="240" w:lineRule="auto"/>
        <w:contextualSpacing/>
        <w:jc w:val="both"/>
        <w:rPr>
          <w:b w:val="0"/>
        </w:rPr>
      </w:pPr>
      <w:r w:rsidRPr="008F5DB1">
        <w:rPr>
          <w:b w:val="0"/>
        </w:rPr>
        <w:t xml:space="preserve">Agricultural waste from coffee and banana peels has been used as substrates and cow manure in the anaerobic digestion process for the production of biomethane. Pretreatment of the substrates with alkaline NaOH solution managed to release short-chain carbohydrates from the precursor lignocellulosic material, which </w:t>
      </w:r>
      <w:r w:rsidR="003B3B5D" w:rsidRPr="008F5DB1">
        <w:rPr>
          <w:b w:val="0"/>
        </w:rPr>
        <w:t>favoured</w:t>
      </w:r>
      <w:r w:rsidRPr="008F5DB1">
        <w:rPr>
          <w:b w:val="0"/>
        </w:rPr>
        <w:t xml:space="preserve"> the process compared to the control experiments. The addition of muña-stabilized iron </w:t>
      </w:r>
      <w:bookmarkStart w:id="0" w:name="_GoBack"/>
      <w:r w:rsidRPr="008F5DB1">
        <w:rPr>
          <w:b w:val="0"/>
        </w:rPr>
        <w:t>NP</w:t>
      </w:r>
      <w:bookmarkEnd w:id="0"/>
      <w:r w:rsidRPr="008F5DB1">
        <w:rPr>
          <w:b w:val="0"/>
        </w:rPr>
        <w:t xml:space="preserve"> generated an increase in the production of methane for the mono-digestion of banana peels and in quantities and in the co-digestion of coffee-banana peel efficiently. These results serve as a basis for new research aimed at evaluating dosages in the application of NPs to optimize methane production.</w:t>
      </w:r>
    </w:p>
    <w:p w14:paraId="3A8379B1" w14:textId="091C2A5B" w:rsidR="003B3B5D" w:rsidRPr="00060FB8" w:rsidRDefault="00600535" w:rsidP="00590252">
      <w:pPr>
        <w:pStyle w:val="CETAcknowledgementstitle"/>
        <w:rPr>
          <w:b w:val="0"/>
          <w:noProof/>
          <w:lang w:val="en-US"/>
        </w:rPr>
      </w:pPr>
      <w:r w:rsidRPr="00B57B36">
        <w:t>Acknowledgments</w:t>
      </w:r>
      <w:r w:rsidR="00590252">
        <w:t xml:space="preserve">. </w:t>
      </w:r>
      <w:r w:rsidR="003B3B5D" w:rsidRPr="00060FB8">
        <w:rPr>
          <w:b w:val="0"/>
          <w:noProof/>
          <w:lang w:val="en-US"/>
        </w:rPr>
        <w:t>The authors would li</w:t>
      </w:r>
      <w:r w:rsidR="003B3B5D">
        <w:rPr>
          <w:b w:val="0"/>
          <w:noProof/>
          <w:lang w:val="en-US"/>
        </w:rPr>
        <w:t>k</w:t>
      </w:r>
      <w:r w:rsidR="003B3B5D" w:rsidRPr="00060FB8">
        <w:rPr>
          <w:b w:val="0"/>
          <w:noProof/>
          <w:lang w:val="en-US"/>
        </w:rPr>
        <w:t>e to than</w:t>
      </w:r>
      <w:r w:rsidR="003B3B5D">
        <w:rPr>
          <w:b w:val="0"/>
          <w:noProof/>
          <w:lang w:val="en-US"/>
        </w:rPr>
        <w:t>k</w:t>
      </w:r>
      <w:r w:rsidR="003B3B5D" w:rsidRPr="00060FB8">
        <w:rPr>
          <w:b w:val="0"/>
          <w:noProof/>
          <w:lang w:val="en-US"/>
        </w:rPr>
        <w:t xml:space="preserve"> "Investiga UCV" of the Universidad César Vallejo for financial support for the publication of this research.</w:t>
      </w:r>
      <w:r w:rsidR="009426AC">
        <w:rPr>
          <w:b w:val="0"/>
          <w:noProof/>
          <w:lang w:val="en-US"/>
        </w:rPr>
        <w:t xml:space="preserve"> </w:t>
      </w:r>
      <w:r w:rsidR="009426AC" w:rsidRPr="009426AC">
        <w:rPr>
          <w:b w:val="0"/>
          <w:noProof/>
          <w:lang w:val="en-US"/>
        </w:rPr>
        <w:t>Thank the ICAMB Research Group of the Cesar Vallejo University for the development of the research project</w:t>
      </w:r>
      <w:r w:rsidR="009426AC">
        <w:rPr>
          <w:b w:val="0"/>
          <w:noProof/>
          <w:lang w:val="en-US"/>
        </w:rPr>
        <w:t>.</w:t>
      </w:r>
    </w:p>
    <w:p w14:paraId="4F1327F8" w14:textId="77777777" w:rsidR="00600535" w:rsidRPr="00B57B36" w:rsidRDefault="00600535" w:rsidP="00600535">
      <w:pPr>
        <w:pStyle w:val="CETReference"/>
      </w:pPr>
      <w:r w:rsidRPr="00B57B36">
        <w:t>References</w:t>
      </w:r>
    </w:p>
    <w:p w14:paraId="02510509" w14:textId="77777777" w:rsidR="0067433F" w:rsidRDefault="0067433F" w:rsidP="0067433F">
      <w:pPr>
        <w:pStyle w:val="CETReferencetext"/>
      </w:pPr>
      <w:r w:rsidRPr="00FB2CF0">
        <w:lastRenderedPageBreak/>
        <w:t>Ahlberg-Eliasson K., Westerholm M., Isaksson S., Schnürer A.</w:t>
      </w:r>
      <w:r>
        <w:t>,</w:t>
      </w:r>
      <w:r w:rsidRPr="00FB2CF0">
        <w:t xml:space="preserve"> 2021</w:t>
      </w:r>
      <w:r>
        <w:t>,</w:t>
      </w:r>
      <w:r w:rsidRPr="00FB2CF0">
        <w:t xml:space="preserve"> Anaerobic digestion o</w:t>
      </w:r>
      <w:r w:rsidRPr="005074FC">
        <w:t>f animal manure and influence of organic loading rate and temperature on process performance, microbiology, and methane emission from Digestates, Frontiers in Energy Research, 9, 740314.</w:t>
      </w:r>
    </w:p>
    <w:p w14:paraId="555A782E" w14:textId="1081DE7A" w:rsidR="009A73FC" w:rsidRPr="005074FC" w:rsidRDefault="009A73FC" w:rsidP="0067433F">
      <w:pPr>
        <w:pStyle w:val="CETReferencetext"/>
      </w:pPr>
      <w:r w:rsidRPr="009A73FC">
        <w:t>Amen T.W.M., Eljamal O., Khalil A.M.E., Matsunaga N.,</w:t>
      </w:r>
      <w:r>
        <w:t xml:space="preserve"> </w:t>
      </w:r>
      <w:r w:rsidRPr="009A73FC">
        <w:t>2017</w:t>
      </w:r>
      <w:r>
        <w:t>,</w:t>
      </w:r>
      <w:r w:rsidRPr="009A73FC">
        <w:t xml:space="preserve"> </w:t>
      </w:r>
      <w:r>
        <w:t>Biochemical methane potential enhancement of domestic sludge digestion by adding pristine iron nanoparticles and iron nanoparticles coated zeolite compositions, Journal of Environmental Chemical Engineering, 5(5), 5002–5013.</w:t>
      </w:r>
    </w:p>
    <w:p w14:paraId="793ADB0B" w14:textId="689388F1" w:rsidR="0067433F" w:rsidRDefault="0067433F" w:rsidP="0067433F">
      <w:pPr>
        <w:pStyle w:val="CETReferencetext"/>
        <w:rPr>
          <w:rFonts w:cs="Arial"/>
          <w:color w:val="222222"/>
          <w:sz w:val="20"/>
          <w:shd w:val="clear" w:color="auto" w:fill="FFFFFF"/>
        </w:rPr>
      </w:pPr>
      <w:r>
        <w:rPr>
          <w:rFonts w:cs="Arial"/>
          <w:color w:val="222222"/>
          <w:sz w:val="20"/>
          <w:shd w:val="clear" w:color="auto" w:fill="FFFFFF"/>
        </w:rPr>
        <w:t>Barua</w:t>
      </w:r>
      <w:r w:rsidR="00AD5166">
        <w:rPr>
          <w:rFonts w:cs="Arial"/>
          <w:color w:val="222222"/>
          <w:sz w:val="20"/>
          <w:shd w:val="clear" w:color="auto" w:fill="FFFFFF"/>
        </w:rPr>
        <w:t xml:space="preserve"> </w:t>
      </w:r>
      <w:r>
        <w:rPr>
          <w:rFonts w:cs="Arial"/>
          <w:color w:val="222222"/>
          <w:sz w:val="20"/>
          <w:shd w:val="clear" w:color="auto" w:fill="FFFFFF"/>
        </w:rPr>
        <w:t>V.B., Rathore V., Kalamdhad A.S.</w:t>
      </w:r>
      <w:r w:rsidR="00AD5166">
        <w:rPr>
          <w:rFonts w:cs="Arial"/>
          <w:color w:val="222222"/>
          <w:sz w:val="20"/>
          <w:shd w:val="clear" w:color="auto" w:fill="FFFFFF"/>
        </w:rPr>
        <w:t xml:space="preserve">, </w:t>
      </w:r>
      <w:r>
        <w:rPr>
          <w:rFonts w:cs="Arial"/>
          <w:color w:val="222222"/>
          <w:sz w:val="20"/>
          <w:shd w:val="clear" w:color="auto" w:fill="FFFFFF"/>
        </w:rPr>
        <w:t>2019</w:t>
      </w:r>
      <w:r w:rsidR="00AD5166">
        <w:rPr>
          <w:rFonts w:cs="Arial"/>
          <w:color w:val="222222"/>
          <w:sz w:val="20"/>
          <w:shd w:val="clear" w:color="auto" w:fill="FFFFFF"/>
        </w:rPr>
        <w:t>,</w:t>
      </w:r>
      <w:r>
        <w:rPr>
          <w:rFonts w:cs="Arial"/>
          <w:color w:val="222222"/>
          <w:sz w:val="20"/>
          <w:shd w:val="clear" w:color="auto" w:fill="FFFFFF"/>
        </w:rPr>
        <w:t xml:space="preserve"> Anaerobic co-digestion of water hyacinth and banana peels with and without thermal pretreatment</w:t>
      </w:r>
      <w:r w:rsidR="00AD5166">
        <w:rPr>
          <w:rFonts w:cs="Arial"/>
          <w:color w:val="222222"/>
          <w:sz w:val="20"/>
          <w:shd w:val="clear" w:color="auto" w:fill="FFFFFF"/>
        </w:rPr>
        <w:t>,</w:t>
      </w:r>
      <w:r>
        <w:rPr>
          <w:rFonts w:cs="Arial"/>
          <w:color w:val="222222"/>
          <w:sz w:val="20"/>
          <w:shd w:val="clear" w:color="auto" w:fill="FFFFFF"/>
        </w:rPr>
        <w:t> </w:t>
      </w:r>
      <w:r w:rsidRPr="00AD5166">
        <w:rPr>
          <w:rFonts w:cs="Arial"/>
          <w:iCs/>
          <w:color w:val="222222"/>
          <w:sz w:val="20"/>
          <w:shd w:val="clear" w:color="auto" w:fill="FFFFFF"/>
        </w:rPr>
        <w:t>Renewable Energy</w:t>
      </w:r>
      <w:r w:rsidRPr="00AD5166">
        <w:rPr>
          <w:rFonts w:cs="Arial"/>
          <w:color w:val="222222"/>
          <w:sz w:val="20"/>
          <w:shd w:val="clear" w:color="auto" w:fill="FFFFFF"/>
        </w:rPr>
        <w:t>, </w:t>
      </w:r>
      <w:r w:rsidRPr="00AD5166">
        <w:rPr>
          <w:rFonts w:cs="Arial"/>
          <w:iCs/>
          <w:color w:val="222222"/>
          <w:sz w:val="20"/>
          <w:shd w:val="clear" w:color="auto" w:fill="FFFFFF"/>
        </w:rPr>
        <w:t>134</w:t>
      </w:r>
      <w:r>
        <w:rPr>
          <w:rFonts w:cs="Arial"/>
          <w:color w:val="222222"/>
          <w:sz w:val="20"/>
          <w:shd w:val="clear" w:color="auto" w:fill="FFFFFF"/>
        </w:rPr>
        <w:t>, 103-112.</w:t>
      </w:r>
    </w:p>
    <w:p w14:paraId="1CCEF27C" w14:textId="5DCFDA93" w:rsidR="004158A5" w:rsidRPr="00AD5166" w:rsidRDefault="004158A5" w:rsidP="0067433F">
      <w:pPr>
        <w:pStyle w:val="CETReferencetext"/>
        <w:rPr>
          <w:rFonts w:cs="Arial"/>
          <w:color w:val="222222"/>
          <w:sz w:val="20"/>
          <w:shd w:val="clear" w:color="auto" w:fill="FFFFFF"/>
        </w:rPr>
      </w:pPr>
      <w:r w:rsidRPr="00AD5166">
        <w:rPr>
          <w:rFonts w:cs="Arial"/>
          <w:color w:val="222222"/>
          <w:sz w:val="20"/>
          <w:shd w:val="clear" w:color="auto" w:fill="FFFFFF"/>
          <w:lang w:val="en-US"/>
        </w:rPr>
        <w:t>Battista F., Barampouti E.M., Mai S., Bolzonella D., Malamis D., Moustakas K., Loizidou M.</w:t>
      </w:r>
      <w:r w:rsidR="00AD5166" w:rsidRPr="00AD5166">
        <w:rPr>
          <w:rFonts w:cs="Arial"/>
          <w:color w:val="222222"/>
          <w:sz w:val="20"/>
          <w:shd w:val="clear" w:color="auto" w:fill="FFFFFF"/>
          <w:lang w:val="en-US"/>
        </w:rPr>
        <w:t>,</w:t>
      </w:r>
      <w:r w:rsidRPr="00AD5166">
        <w:rPr>
          <w:rFonts w:cs="Arial"/>
          <w:color w:val="222222"/>
          <w:sz w:val="20"/>
          <w:shd w:val="clear" w:color="auto" w:fill="FFFFFF"/>
          <w:lang w:val="en-US"/>
        </w:rPr>
        <w:t xml:space="preserve"> 2020</w:t>
      </w:r>
      <w:r w:rsidR="00AD5166" w:rsidRPr="00AD5166">
        <w:rPr>
          <w:rFonts w:cs="Arial"/>
          <w:color w:val="222222"/>
          <w:sz w:val="20"/>
          <w:shd w:val="clear" w:color="auto" w:fill="FFFFFF"/>
          <w:lang w:val="en-US"/>
        </w:rPr>
        <w:t>,</w:t>
      </w:r>
      <w:r w:rsidRPr="00AD5166">
        <w:rPr>
          <w:rFonts w:cs="Arial"/>
          <w:color w:val="222222"/>
          <w:sz w:val="20"/>
          <w:shd w:val="clear" w:color="auto" w:fill="FFFFFF"/>
          <w:lang w:val="en-US"/>
        </w:rPr>
        <w:t xml:space="preserve"> </w:t>
      </w:r>
      <w:r>
        <w:rPr>
          <w:rFonts w:cs="Arial"/>
          <w:color w:val="222222"/>
          <w:sz w:val="20"/>
          <w:shd w:val="clear" w:color="auto" w:fill="FFFFFF"/>
        </w:rPr>
        <w:t xml:space="preserve">Added-value molecules recovery and biofuels production from spent coffee </w:t>
      </w:r>
      <w:r w:rsidRPr="00AD5166">
        <w:rPr>
          <w:rFonts w:cs="Arial"/>
          <w:color w:val="222222"/>
          <w:sz w:val="20"/>
          <w:shd w:val="clear" w:color="auto" w:fill="FFFFFF"/>
        </w:rPr>
        <w:t>grounds</w:t>
      </w:r>
      <w:r w:rsidR="00AD5166" w:rsidRPr="00AD5166">
        <w:rPr>
          <w:rFonts w:cs="Arial"/>
          <w:color w:val="222222"/>
          <w:sz w:val="20"/>
          <w:shd w:val="clear" w:color="auto" w:fill="FFFFFF"/>
        </w:rPr>
        <w:t>,</w:t>
      </w:r>
      <w:r w:rsidRPr="00AD5166">
        <w:rPr>
          <w:rFonts w:cs="Arial"/>
          <w:color w:val="222222"/>
          <w:sz w:val="20"/>
          <w:shd w:val="clear" w:color="auto" w:fill="FFFFFF"/>
        </w:rPr>
        <w:t> </w:t>
      </w:r>
      <w:r w:rsidRPr="00AD5166">
        <w:rPr>
          <w:rFonts w:cs="Arial"/>
          <w:iCs/>
          <w:color w:val="222222"/>
          <w:sz w:val="20"/>
          <w:shd w:val="clear" w:color="auto" w:fill="FFFFFF"/>
        </w:rPr>
        <w:t>Renewable and Sustainable Energy Reviews</w:t>
      </w:r>
      <w:r w:rsidRPr="00AD5166">
        <w:rPr>
          <w:rFonts w:cs="Arial"/>
          <w:color w:val="222222"/>
          <w:sz w:val="20"/>
          <w:shd w:val="clear" w:color="auto" w:fill="FFFFFF"/>
        </w:rPr>
        <w:t>, </w:t>
      </w:r>
      <w:r w:rsidRPr="00AD5166">
        <w:rPr>
          <w:rFonts w:cs="Arial"/>
          <w:iCs/>
          <w:color w:val="222222"/>
          <w:sz w:val="20"/>
          <w:shd w:val="clear" w:color="auto" w:fill="FFFFFF"/>
        </w:rPr>
        <w:t>131</w:t>
      </w:r>
      <w:r w:rsidRPr="00AD5166">
        <w:rPr>
          <w:rFonts w:cs="Arial"/>
          <w:color w:val="222222"/>
          <w:sz w:val="20"/>
          <w:shd w:val="clear" w:color="auto" w:fill="FFFFFF"/>
        </w:rPr>
        <w:t>, 110007.</w:t>
      </w:r>
    </w:p>
    <w:p w14:paraId="61F23EB7" w14:textId="77777777" w:rsidR="0067433F" w:rsidRDefault="0067433F" w:rsidP="0067433F">
      <w:pPr>
        <w:pStyle w:val="CETReferencetext"/>
      </w:pPr>
      <w:r w:rsidRPr="00FB2CF0">
        <w:t>Bayisa Y.M., Bullo T.A., Jiru E.B., Ancha V.R.</w:t>
      </w:r>
      <w:r>
        <w:t>,</w:t>
      </w:r>
      <w:r w:rsidRPr="00FB2CF0">
        <w:t xml:space="preserve"> 2023</w:t>
      </w:r>
      <w:r>
        <w:t>,</w:t>
      </w:r>
      <w:r w:rsidRPr="00FB2CF0">
        <w:t xml:space="preserve"> Sustainable green biogas production from pretreated wheat straw blended with coffee husk using neem leaves-based iron (III) nanocatalyst via response surface methodology</w:t>
      </w:r>
      <w:r>
        <w:t>,</w:t>
      </w:r>
      <w:r w:rsidRPr="00FB2CF0">
        <w:t> Reaction Kinetics, Mechanisms and Catalysis, 1-21.</w:t>
      </w:r>
    </w:p>
    <w:p w14:paraId="5AF62B1D" w14:textId="78552441" w:rsidR="00241E04" w:rsidRDefault="00241E04" w:rsidP="0067433F">
      <w:pPr>
        <w:pStyle w:val="CETReferencetext"/>
      </w:pPr>
      <w:r w:rsidRPr="00241E04">
        <w:rPr>
          <w:rFonts w:cs="Arial"/>
          <w:color w:val="222222"/>
          <w:sz w:val="20"/>
          <w:shd w:val="clear" w:color="auto" w:fill="FFFFFF"/>
          <w:lang w:val="en-US"/>
        </w:rPr>
        <w:t xml:space="preserve">Bouafia A., Laouini S.E., 2020, </w:t>
      </w:r>
      <w:r>
        <w:rPr>
          <w:rFonts w:cs="Arial"/>
          <w:color w:val="222222"/>
          <w:sz w:val="20"/>
          <w:shd w:val="clear" w:color="auto" w:fill="FFFFFF"/>
        </w:rPr>
        <w:t>Green synthesis of iron oxide nanoparticles by aqueous leaves extract of Mentha Pulegium L</w:t>
      </w:r>
      <w:r w:rsidRPr="00241E04">
        <w:rPr>
          <w:rFonts w:cs="Arial"/>
          <w:color w:val="222222"/>
          <w:sz w:val="20"/>
          <w:shd w:val="clear" w:color="auto" w:fill="FFFFFF"/>
        </w:rPr>
        <w:t>.: Effect of ferric chloride concentration on the type of product, </w:t>
      </w:r>
      <w:r w:rsidRPr="00241E04">
        <w:rPr>
          <w:rFonts w:cs="Arial"/>
          <w:iCs/>
          <w:color w:val="222222"/>
          <w:sz w:val="20"/>
          <w:shd w:val="clear" w:color="auto" w:fill="FFFFFF"/>
        </w:rPr>
        <w:t>Materials Letters</w:t>
      </w:r>
      <w:r w:rsidRPr="00241E04">
        <w:rPr>
          <w:rFonts w:cs="Arial"/>
          <w:color w:val="222222"/>
          <w:sz w:val="20"/>
          <w:shd w:val="clear" w:color="auto" w:fill="FFFFFF"/>
        </w:rPr>
        <w:t>, </w:t>
      </w:r>
      <w:r w:rsidRPr="00241E04">
        <w:rPr>
          <w:rFonts w:cs="Arial"/>
          <w:iCs/>
          <w:color w:val="222222"/>
          <w:sz w:val="20"/>
          <w:shd w:val="clear" w:color="auto" w:fill="FFFFFF"/>
        </w:rPr>
        <w:t>265</w:t>
      </w:r>
      <w:r w:rsidRPr="00241E04">
        <w:rPr>
          <w:rFonts w:cs="Arial"/>
          <w:color w:val="222222"/>
          <w:sz w:val="20"/>
          <w:shd w:val="clear" w:color="auto" w:fill="FFFFFF"/>
        </w:rPr>
        <w:t>, 127364</w:t>
      </w:r>
      <w:r>
        <w:rPr>
          <w:rFonts w:cs="Arial"/>
          <w:color w:val="222222"/>
          <w:sz w:val="20"/>
          <w:shd w:val="clear" w:color="auto" w:fill="FFFFFF"/>
        </w:rPr>
        <w:t>.</w:t>
      </w:r>
    </w:p>
    <w:p w14:paraId="06144DAD" w14:textId="77777777" w:rsidR="0067433F" w:rsidRDefault="0067433F" w:rsidP="0067433F">
      <w:pPr>
        <w:pStyle w:val="CETReferencetext"/>
      </w:pPr>
      <w:r w:rsidRPr="000C06AE">
        <w:t>Dias M.E., Oliveira G.H.D., Couto P.T., Dussán K.J., Zaiat M., Ribeiro R., Tommaso G., 2021, Anaerobic digestion of hydrothermal liquefaction wastewater from spent coffee grounds. Biomass and Bioenergy, 148, 106030.</w:t>
      </w:r>
    </w:p>
    <w:p w14:paraId="3AC3909A" w14:textId="77777777" w:rsidR="0067433F" w:rsidRPr="006A52C1" w:rsidRDefault="0067433F" w:rsidP="0067433F">
      <w:pPr>
        <w:pStyle w:val="CETReferencetext"/>
      </w:pPr>
      <w:r w:rsidRPr="006A52C1">
        <w:t>Du N., Li M., Zhang Q., Ulsido M.D., Xu R., Huang W., 2021, Study on the biogas potential of anaerobic digestion of coffee husks wastes in Ethiopia, Waste Management &amp; Research, 39(2), 291-301.</w:t>
      </w:r>
    </w:p>
    <w:p w14:paraId="7B8F2581" w14:textId="77777777" w:rsidR="0067433F" w:rsidRPr="00D342B5" w:rsidRDefault="0067433F" w:rsidP="0067433F">
      <w:pPr>
        <w:pStyle w:val="CETReferencetext"/>
      </w:pPr>
      <w:r w:rsidRPr="00D342B5">
        <w:t>Durán-Aranguren D.D., Robledo S., Gomez-Restrepo E., Arboleda Valencia J.W., Tarazona N. A., 2021, Scientometric overview of coffee by-products and their applications, Molecules, 26(24), 7605.</w:t>
      </w:r>
    </w:p>
    <w:p w14:paraId="41AB4F4A" w14:textId="77777777" w:rsidR="00D274ED" w:rsidRDefault="00D274ED" w:rsidP="00D274ED">
      <w:pPr>
        <w:pStyle w:val="CETReferencetext"/>
      </w:pPr>
      <w:r w:rsidRPr="000C06AE">
        <w:t>Garibaldi-Alcívar K.A., Montesdeoca-Pichucho N.B., Baquerizo-Crespo R.J., Oliva-Merencio D., Gómez-Salcedo Y., Pereda-Reyes I., 2022, Anaerobic co-digestion of solid waste from coffee benefit, banana pseudo-stem and pig manure: kinetic, energy and environmental criteria, Revista Centro Azúcar, 49(2), 60-72.</w:t>
      </w:r>
    </w:p>
    <w:p w14:paraId="5459B692" w14:textId="77777777" w:rsidR="0067433F" w:rsidRDefault="0067433F" w:rsidP="0067433F">
      <w:pPr>
        <w:pStyle w:val="CETReferencetext"/>
      </w:pPr>
      <w:r w:rsidRPr="00D342B5">
        <w:t xml:space="preserve">Guerrero A.B., Ballesteros I., Ballesteros M., </w:t>
      </w:r>
      <w:r w:rsidRPr="00D342B5">
        <w:rPr>
          <w:lang w:val="en-US"/>
        </w:rPr>
        <w:t>2018</w:t>
      </w:r>
      <w:r>
        <w:rPr>
          <w:lang w:val="en-US"/>
        </w:rPr>
        <w:t>,</w:t>
      </w:r>
      <w:r w:rsidRPr="00D342B5">
        <w:rPr>
          <w:lang w:val="en-US"/>
        </w:rPr>
        <w:t xml:space="preserve"> </w:t>
      </w:r>
      <w:r>
        <w:rPr>
          <w:lang w:val="en-US"/>
        </w:rPr>
        <w:t>T</w:t>
      </w:r>
      <w:r w:rsidRPr="00D342B5">
        <w:t>he potential of agricultural banana waste for bioethanol production</w:t>
      </w:r>
      <w:r>
        <w:t>,</w:t>
      </w:r>
      <w:r w:rsidRPr="00D342B5">
        <w:t> Fuel, 213, 176-185.</w:t>
      </w:r>
    </w:p>
    <w:p w14:paraId="5736F09F" w14:textId="77777777" w:rsidR="0067433F" w:rsidRPr="005074FC" w:rsidRDefault="0067433F" w:rsidP="0067433F">
      <w:pPr>
        <w:pStyle w:val="CETReferencetext"/>
      </w:pPr>
      <w:r w:rsidRPr="005074FC">
        <w:t>Li Y., Achinas S., Zhao J., Geurkink B., Krooneman J., Euverink G.J.W.</w:t>
      </w:r>
      <w:r>
        <w:t>,</w:t>
      </w:r>
      <w:r w:rsidRPr="005074FC">
        <w:t xml:space="preserve"> 2020</w:t>
      </w:r>
      <w:r>
        <w:t>,</w:t>
      </w:r>
      <w:r w:rsidRPr="005074FC">
        <w:t xml:space="preserve"> Co-digestion of cow and sheep manure: Performance evaluation and relative microbial activity. Renewable Energy, 153, 553-563.</w:t>
      </w:r>
    </w:p>
    <w:p w14:paraId="71B9E1A5" w14:textId="77777777" w:rsidR="0067433F" w:rsidRPr="005074FC" w:rsidRDefault="0067433F" w:rsidP="0067433F">
      <w:pPr>
        <w:pStyle w:val="CETReferencetext"/>
      </w:pPr>
      <w:r w:rsidRPr="005074FC">
        <w:t>Malik I. A., Fadzil F., Fadzil F., Seswoya R.</w:t>
      </w:r>
      <w:r>
        <w:t>,</w:t>
      </w:r>
      <w:r w:rsidRPr="005074FC">
        <w:t xml:space="preserve"> 2022</w:t>
      </w:r>
      <w:r>
        <w:t>,</w:t>
      </w:r>
      <w:r w:rsidRPr="005074FC">
        <w:t xml:space="preserve"> Assessment of Specific Methanogenic Activity from Cow Dung</w:t>
      </w:r>
      <w:r>
        <w:t>,</w:t>
      </w:r>
      <w:r w:rsidRPr="005074FC">
        <w:t> International Journal of Integrated Engineering, 14(9), 81-87.</w:t>
      </w:r>
    </w:p>
    <w:p w14:paraId="4321D0EF" w14:textId="77777777" w:rsidR="00D274ED" w:rsidRPr="009540A3" w:rsidRDefault="00D274ED" w:rsidP="00D274ED">
      <w:pPr>
        <w:pStyle w:val="CETReferencetext"/>
      </w:pPr>
      <w:r w:rsidRPr="009540A3">
        <w:t>Nie E., He P., Zhang H., Hao L., Shao L., Lü F., 2021, How does temperature regulate anaerobic digestion?, Renewable and Sustainable Energy Reviews, 150, 111453.</w:t>
      </w:r>
    </w:p>
    <w:p w14:paraId="716BCC0F" w14:textId="1506C6DD" w:rsidR="009540A3" w:rsidRPr="009540A3" w:rsidRDefault="009540A3" w:rsidP="00D274ED">
      <w:pPr>
        <w:pStyle w:val="CETReferencetext"/>
      </w:pPr>
      <w:r w:rsidRPr="009540A3">
        <w:t>Rincón-Catalán N.I., Cruz-Salomón A., Sebastian P.J., Pérez-Fabiel S., Hernández-Cruz M.D. C., Sánchez-Albores R.M., Nájera-Aguilar H.A., 2022, Banana Waste-to-Energy Valorization by Microbial Fuel Cell Coupled with Anaerobic Digestion, Processes, 10(8), 1552.</w:t>
      </w:r>
    </w:p>
    <w:p w14:paraId="148EA903" w14:textId="77777777" w:rsidR="0067433F" w:rsidRPr="00985D02" w:rsidRDefault="0067433F" w:rsidP="0067433F">
      <w:pPr>
        <w:pStyle w:val="CETReferencetext"/>
      </w:pPr>
      <w:r w:rsidRPr="00985D02">
        <w:t>Sarrouh B., de Souza R.O.A., da Silva Florindo R.H., Lofrano R.C.Z., de Oliveira A.M., 2021, Extraction and identification of biomolecules from lignin alkaline hydrolysate from coffee husk, Waste and Biomass Valorization, 12, 787-794.</w:t>
      </w:r>
    </w:p>
    <w:p w14:paraId="279F3A58" w14:textId="77777777" w:rsidR="00D274ED" w:rsidRDefault="00D274ED" w:rsidP="00D274ED">
      <w:pPr>
        <w:pStyle w:val="CETReferencetext"/>
      </w:pPr>
      <w:r w:rsidRPr="00FB2CF0">
        <w:t>Singh P.K., Kanungo S., Mishra S., Pattnaik R.</w:t>
      </w:r>
      <w:r>
        <w:t xml:space="preserve">, </w:t>
      </w:r>
      <w:r w:rsidRPr="00FB2CF0">
        <w:t>2022</w:t>
      </w:r>
      <w:r>
        <w:t>,</w:t>
      </w:r>
      <w:r w:rsidRPr="00FB2CF0">
        <w:t xml:space="preserve"> Intrinsic Insights of Nanoparticles via Anaerobic Digestion for Enhanced Biogas Production. In Handbook of Smart Materials, Technologies, and Devices: Applications of Industry 4.0</w:t>
      </w:r>
      <w:r>
        <w:t>,</w:t>
      </w:r>
      <w:r w:rsidRPr="00FB2CF0">
        <w:t xml:space="preserve"> 2481-2506. </w:t>
      </w:r>
    </w:p>
    <w:p w14:paraId="19221519" w14:textId="77777777" w:rsidR="00081605" w:rsidRPr="00081605" w:rsidRDefault="00081605" w:rsidP="00081605">
      <w:pPr>
        <w:pStyle w:val="CETReferencetext"/>
      </w:pPr>
      <w:r w:rsidRPr="00081605">
        <w:t>Soto M., Mendez R., Lema J.M., 1992, Characterization and comparison of biomass from mesophilic and thermophilic fixed bed anaerobic digesters, Water science and technology, 25(7), 203-212.</w:t>
      </w:r>
    </w:p>
    <w:p w14:paraId="4B9025D7" w14:textId="77777777" w:rsidR="00081605" w:rsidRPr="00081605" w:rsidRDefault="00081605" w:rsidP="00081605">
      <w:pPr>
        <w:pStyle w:val="CETReferencetext"/>
      </w:pPr>
      <w:r w:rsidRPr="00081605">
        <w:t>Syaichurrozi I., Basyir M.F., Farraz R.M., Rusdi R., 2020, A preliminary study: Effect of initial pH and Saccharomyces cerevisiae addition on biogas production from acid-pretreated Salvinia molesta and kinetics, Energy, 207, 118226.</w:t>
      </w:r>
    </w:p>
    <w:p w14:paraId="4720BAF3" w14:textId="77777777" w:rsidR="0067433F" w:rsidRPr="00081605" w:rsidRDefault="0067433F" w:rsidP="0067433F">
      <w:pPr>
        <w:pStyle w:val="CETReferencetext"/>
      </w:pPr>
      <w:r w:rsidRPr="00081605">
        <w:t xml:space="preserve">Torres L.P., Pérez A., 2010, Actividad metanogénica específica: una herramienta de control y optimización de sistemas de tratamiento anaerobio de aguas residuales, Ingeniería de Recursos Naturales y del Ambiente, Universidad del Valle Cali, Colombia, 9, 5-14 </w:t>
      </w:r>
    </w:p>
    <w:p w14:paraId="422857A2" w14:textId="77777777" w:rsidR="0067433F" w:rsidRDefault="0067433F" w:rsidP="0067433F">
      <w:pPr>
        <w:pStyle w:val="CETReferencetext"/>
      </w:pPr>
      <w:r w:rsidRPr="00D342B5">
        <w:t>Xin Y., Wang D., Li X. Q., Yuan Q., Cao H.</w:t>
      </w:r>
      <w:r>
        <w:t>,</w:t>
      </w:r>
      <w:r w:rsidRPr="00D342B5">
        <w:t xml:space="preserve"> 2018</w:t>
      </w:r>
      <w:r>
        <w:t>,</w:t>
      </w:r>
      <w:r w:rsidRPr="00D342B5">
        <w:t xml:space="preserve"> Influence of moisture content on cattle manure char properties and its potential for hydrogen rich gas production</w:t>
      </w:r>
      <w:r>
        <w:t>,</w:t>
      </w:r>
      <w:r w:rsidRPr="00D342B5">
        <w:t> Journal of analytical and applied pyrolysis, 130, 224-232.</w:t>
      </w:r>
    </w:p>
    <w:p w14:paraId="20CF936F" w14:textId="07721660" w:rsidR="003B3B5D" w:rsidRPr="00AF62F1" w:rsidRDefault="0067433F" w:rsidP="00AF62F1">
      <w:pPr>
        <w:pStyle w:val="CETReferencetext"/>
      </w:pPr>
      <w:r w:rsidRPr="006A52C1">
        <w:t>Yana S., Nizar M., Mulyati D., 2022, Biomass waste as a renewable energy in developing bio-based economies in Indonesia: A review, Renewable and Sustainable Energy Reviews, 160, 112268.</w:t>
      </w:r>
    </w:p>
    <w:sectPr w:rsidR="003B3B5D" w:rsidRPr="00AF62F1" w:rsidSect="00EF06D9">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45E505" w16cid:durableId="29B2002A"/>
  <w16cid:commentId w16cid:paraId="47D4B348" w16cid:durableId="29B200DD"/>
  <w16cid:commentId w16cid:paraId="32F45A26" w16cid:durableId="29B2013E"/>
  <w16cid:commentId w16cid:paraId="72C938BA" w16cid:durableId="29B20115"/>
  <w16cid:commentId w16cid:paraId="6ABDFC54" w16cid:durableId="29B20212"/>
  <w16cid:commentId w16cid:paraId="6AD2EA58" w16cid:durableId="29B20287"/>
  <w16cid:commentId w16cid:paraId="184432CC" w16cid:durableId="29B20374"/>
  <w16cid:commentId w16cid:paraId="5BEBF1B7" w16cid:durableId="29B2035E"/>
  <w16cid:commentId w16cid:paraId="748309E5" w16cid:durableId="29B203BA"/>
  <w16cid:commentId w16cid:paraId="3B4D7BB8" w16cid:durableId="29B205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D8D85" w14:textId="77777777" w:rsidR="008A1EA1" w:rsidRDefault="008A1EA1" w:rsidP="004F5E36">
      <w:r>
        <w:separator/>
      </w:r>
    </w:p>
  </w:endnote>
  <w:endnote w:type="continuationSeparator" w:id="0">
    <w:p w14:paraId="5CA6F421" w14:textId="77777777" w:rsidR="008A1EA1" w:rsidRDefault="008A1EA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haris SIL">
    <w:altName w:val="Charis SIL"/>
    <w:panose1 w:val="00000000000000000000"/>
    <w:charset w:val="00"/>
    <w:family w:val="swiss"/>
    <w:notTrueType/>
    <w:pitch w:val="default"/>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0B7CD" w14:textId="77777777" w:rsidR="008A1EA1" w:rsidRDefault="008A1EA1" w:rsidP="004F5E36">
      <w:r>
        <w:separator/>
      </w:r>
    </w:p>
  </w:footnote>
  <w:footnote w:type="continuationSeparator" w:id="0">
    <w:p w14:paraId="6824BC8E" w14:textId="77777777" w:rsidR="008A1EA1" w:rsidRDefault="008A1EA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 w:numId="24">
    <w:abstractNumId w:val="10"/>
  </w:num>
  <w:num w:numId="25">
    <w:abstractNumId w:val="10"/>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464"/>
    <w:rsid w:val="000234BB"/>
    <w:rsid w:val="0003148D"/>
    <w:rsid w:val="00031EEC"/>
    <w:rsid w:val="00042220"/>
    <w:rsid w:val="000423E4"/>
    <w:rsid w:val="00051566"/>
    <w:rsid w:val="00055B85"/>
    <w:rsid w:val="000562A9"/>
    <w:rsid w:val="00062A9A"/>
    <w:rsid w:val="00063312"/>
    <w:rsid w:val="00065058"/>
    <w:rsid w:val="00075513"/>
    <w:rsid w:val="00081605"/>
    <w:rsid w:val="00086C39"/>
    <w:rsid w:val="000914D5"/>
    <w:rsid w:val="000A03B2"/>
    <w:rsid w:val="000A1623"/>
    <w:rsid w:val="000D0268"/>
    <w:rsid w:val="000D34BE"/>
    <w:rsid w:val="000E102F"/>
    <w:rsid w:val="000E2EF3"/>
    <w:rsid w:val="000E36F1"/>
    <w:rsid w:val="000E3A73"/>
    <w:rsid w:val="000E414A"/>
    <w:rsid w:val="000E47B1"/>
    <w:rsid w:val="000F093C"/>
    <w:rsid w:val="000F787B"/>
    <w:rsid w:val="00111666"/>
    <w:rsid w:val="001167FF"/>
    <w:rsid w:val="0012091F"/>
    <w:rsid w:val="00126BC2"/>
    <w:rsid w:val="001308B6"/>
    <w:rsid w:val="0013121F"/>
    <w:rsid w:val="00131E68"/>
    <w:rsid w:val="00131FE6"/>
    <w:rsid w:val="0013263F"/>
    <w:rsid w:val="001331DF"/>
    <w:rsid w:val="00134DE4"/>
    <w:rsid w:val="00135BD9"/>
    <w:rsid w:val="0014034D"/>
    <w:rsid w:val="00142420"/>
    <w:rsid w:val="00143462"/>
    <w:rsid w:val="00144D16"/>
    <w:rsid w:val="00150E59"/>
    <w:rsid w:val="00152DE3"/>
    <w:rsid w:val="00154B1E"/>
    <w:rsid w:val="00156F74"/>
    <w:rsid w:val="00163EC1"/>
    <w:rsid w:val="00164CF9"/>
    <w:rsid w:val="001667A6"/>
    <w:rsid w:val="00173A66"/>
    <w:rsid w:val="001763F4"/>
    <w:rsid w:val="00184AD6"/>
    <w:rsid w:val="00187C12"/>
    <w:rsid w:val="00187C28"/>
    <w:rsid w:val="00193D60"/>
    <w:rsid w:val="001A1836"/>
    <w:rsid w:val="001A4AF7"/>
    <w:rsid w:val="001B0349"/>
    <w:rsid w:val="001B1E93"/>
    <w:rsid w:val="001B65C1"/>
    <w:rsid w:val="001C684B"/>
    <w:rsid w:val="001D0CFB"/>
    <w:rsid w:val="001D21AF"/>
    <w:rsid w:val="001D37E6"/>
    <w:rsid w:val="001D53FC"/>
    <w:rsid w:val="001F42A5"/>
    <w:rsid w:val="001F7B9D"/>
    <w:rsid w:val="00201C93"/>
    <w:rsid w:val="0021339E"/>
    <w:rsid w:val="002224B4"/>
    <w:rsid w:val="0022451B"/>
    <w:rsid w:val="00233A83"/>
    <w:rsid w:val="00241E04"/>
    <w:rsid w:val="002432FD"/>
    <w:rsid w:val="002447EF"/>
    <w:rsid w:val="00251550"/>
    <w:rsid w:val="00263B05"/>
    <w:rsid w:val="002718C4"/>
    <w:rsid w:val="0027221A"/>
    <w:rsid w:val="00275B61"/>
    <w:rsid w:val="002767EA"/>
    <w:rsid w:val="00280FAF"/>
    <w:rsid w:val="00281E5B"/>
    <w:rsid w:val="00282656"/>
    <w:rsid w:val="00296B83"/>
    <w:rsid w:val="002B3768"/>
    <w:rsid w:val="002B4015"/>
    <w:rsid w:val="002B78CE"/>
    <w:rsid w:val="002C2FB6"/>
    <w:rsid w:val="002E5FA7"/>
    <w:rsid w:val="002F0391"/>
    <w:rsid w:val="002F3309"/>
    <w:rsid w:val="003008CE"/>
    <w:rsid w:val="003009B7"/>
    <w:rsid w:val="00300E56"/>
    <w:rsid w:val="0030152C"/>
    <w:rsid w:val="0030469C"/>
    <w:rsid w:val="00317A41"/>
    <w:rsid w:val="00321CA6"/>
    <w:rsid w:val="00323763"/>
    <w:rsid w:val="00323C5F"/>
    <w:rsid w:val="00324482"/>
    <w:rsid w:val="003257A9"/>
    <w:rsid w:val="00334C09"/>
    <w:rsid w:val="00352DB3"/>
    <w:rsid w:val="003576B0"/>
    <w:rsid w:val="003628A1"/>
    <w:rsid w:val="003723D4"/>
    <w:rsid w:val="00373EEA"/>
    <w:rsid w:val="003800B0"/>
    <w:rsid w:val="00381905"/>
    <w:rsid w:val="00384CC8"/>
    <w:rsid w:val="003871FD"/>
    <w:rsid w:val="003A1E30"/>
    <w:rsid w:val="003A2829"/>
    <w:rsid w:val="003A6FC6"/>
    <w:rsid w:val="003A7D1C"/>
    <w:rsid w:val="003B1B2C"/>
    <w:rsid w:val="003B304B"/>
    <w:rsid w:val="003B3146"/>
    <w:rsid w:val="003B3B5D"/>
    <w:rsid w:val="003C3870"/>
    <w:rsid w:val="003C6EE4"/>
    <w:rsid w:val="003D548F"/>
    <w:rsid w:val="003E0025"/>
    <w:rsid w:val="003F015E"/>
    <w:rsid w:val="00400414"/>
    <w:rsid w:val="0041446B"/>
    <w:rsid w:val="004158A5"/>
    <w:rsid w:val="0044071E"/>
    <w:rsid w:val="0044329C"/>
    <w:rsid w:val="00453E24"/>
    <w:rsid w:val="00457456"/>
    <w:rsid w:val="004577FE"/>
    <w:rsid w:val="00457B9C"/>
    <w:rsid w:val="0046164A"/>
    <w:rsid w:val="004628D2"/>
    <w:rsid w:val="00462DCD"/>
    <w:rsid w:val="004648AD"/>
    <w:rsid w:val="004701BC"/>
    <w:rsid w:val="004703A9"/>
    <w:rsid w:val="004760DE"/>
    <w:rsid w:val="004761E9"/>
    <w:rsid w:val="004763D7"/>
    <w:rsid w:val="00487378"/>
    <w:rsid w:val="004A004E"/>
    <w:rsid w:val="004A24CF"/>
    <w:rsid w:val="004A5FE8"/>
    <w:rsid w:val="004B1E3C"/>
    <w:rsid w:val="004B1F8C"/>
    <w:rsid w:val="004B5AF1"/>
    <w:rsid w:val="004C1980"/>
    <w:rsid w:val="004C3D1D"/>
    <w:rsid w:val="004C3D84"/>
    <w:rsid w:val="004C4D17"/>
    <w:rsid w:val="004C7913"/>
    <w:rsid w:val="004D56C2"/>
    <w:rsid w:val="004E4DD6"/>
    <w:rsid w:val="004F40ED"/>
    <w:rsid w:val="004F4858"/>
    <w:rsid w:val="004F5E36"/>
    <w:rsid w:val="00503A27"/>
    <w:rsid w:val="005062A0"/>
    <w:rsid w:val="00507B47"/>
    <w:rsid w:val="00507BEF"/>
    <w:rsid w:val="00507CC9"/>
    <w:rsid w:val="005119A5"/>
    <w:rsid w:val="00516AAC"/>
    <w:rsid w:val="005278B7"/>
    <w:rsid w:val="00532016"/>
    <w:rsid w:val="005346C8"/>
    <w:rsid w:val="00543E7D"/>
    <w:rsid w:val="00545A01"/>
    <w:rsid w:val="00547A68"/>
    <w:rsid w:val="005531C9"/>
    <w:rsid w:val="00561142"/>
    <w:rsid w:val="00570090"/>
    <w:rsid w:val="00570C43"/>
    <w:rsid w:val="00581128"/>
    <w:rsid w:val="00590252"/>
    <w:rsid w:val="005B2110"/>
    <w:rsid w:val="005B5792"/>
    <w:rsid w:val="005B61E6"/>
    <w:rsid w:val="005C6B16"/>
    <w:rsid w:val="005C77E1"/>
    <w:rsid w:val="005D668A"/>
    <w:rsid w:val="005D6A2F"/>
    <w:rsid w:val="005E15F5"/>
    <w:rsid w:val="005E1A82"/>
    <w:rsid w:val="005E794C"/>
    <w:rsid w:val="005F0A28"/>
    <w:rsid w:val="005F0E5E"/>
    <w:rsid w:val="00600535"/>
    <w:rsid w:val="00600579"/>
    <w:rsid w:val="00610CD6"/>
    <w:rsid w:val="00612C75"/>
    <w:rsid w:val="006130E1"/>
    <w:rsid w:val="00620DEE"/>
    <w:rsid w:val="00621F92"/>
    <w:rsid w:val="0062280A"/>
    <w:rsid w:val="00625639"/>
    <w:rsid w:val="00631B33"/>
    <w:rsid w:val="0064184D"/>
    <w:rsid w:val="006422CC"/>
    <w:rsid w:val="00660E3E"/>
    <w:rsid w:val="00662E74"/>
    <w:rsid w:val="0067433F"/>
    <w:rsid w:val="00677BBA"/>
    <w:rsid w:val="00680C23"/>
    <w:rsid w:val="00687A1B"/>
    <w:rsid w:val="00693766"/>
    <w:rsid w:val="006958E7"/>
    <w:rsid w:val="006A23E9"/>
    <w:rsid w:val="006A3281"/>
    <w:rsid w:val="006B4888"/>
    <w:rsid w:val="006C2BCC"/>
    <w:rsid w:val="006C2E45"/>
    <w:rsid w:val="006C359C"/>
    <w:rsid w:val="006C54A8"/>
    <w:rsid w:val="006C5579"/>
    <w:rsid w:val="006D6E8B"/>
    <w:rsid w:val="006E53A6"/>
    <w:rsid w:val="006E737D"/>
    <w:rsid w:val="006F0CE4"/>
    <w:rsid w:val="00713973"/>
    <w:rsid w:val="00720A24"/>
    <w:rsid w:val="00732386"/>
    <w:rsid w:val="0073514D"/>
    <w:rsid w:val="0074091E"/>
    <w:rsid w:val="007447F3"/>
    <w:rsid w:val="0075499F"/>
    <w:rsid w:val="007574F3"/>
    <w:rsid w:val="007661C8"/>
    <w:rsid w:val="007677BB"/>
    <w:rsid w:val="0077098D"/>
    <w:rsid w:val="007931FA"/>
    <w:rsid w:val="00794F96"/>
    <w:rsid w:val="00797C5E"/>
    <w:rsid w:val="007A4861"/>
    <w:rsid w:val="007A5C6B"/>
    <w:rsid w:val="007A7BBA"/>
    <w:rsid w:val="007B03D3"/>
    <w:rsid w:val="007B0C50"/>
    <w:rsid w:val="007B48F9"/>
    <w:rsid w:val="007B4B90"/>
    <w:rsid w:val="007C1A43"/>
    <w:rsid w:val="007C3818"/>
    <w:rsid w:val="007C6468"/>
    <w:rsid w:val="007D0951"/>
    <w:rsid w:val="007F2047"/>
    <w:rsid w:val="0080013E"/>
    <w:rsid w:val="00813288"/>
    <w:rsid w:val="008168FC"/>
    <w:rsid w:val="008205A7"/>
    <w:rsid w:val="00830996"/>
    <w:rsid w:val="008345F1"/>
    <w:rsid w:val="00843EAC"/>
    <w:rsid w:val="008570D2"/>
    <w:rsid w:val="00857884"/>
    <w:rsid w:val="00865B07"/>
    <w:rsid w:val="008667EA"/>
    <w:rsid w:val="0087314F"/>
    <w:rsid w:val="0087637F"/>
    <w:rsid w:val="00881EAB"/>
    <w:rsid w:val="00892AD5"/>
    <w:rsid w:val="008A1512"/>
    <w:rsid w:val="008A1EA1"/>
    <w:rsid w:val="008B1AD1"/>
    <w:rsid w:val="008B5612"/>
    <w:rsid w:val="008B7C03"/>
    <w:rsid w:val="008C2C7F"/>
    <w:rsid w:val="008C2CAE"/>
    <w:rsid w:val="008D266E"/>
    <w:rsid w:val="008D32B9"/>
    <w:rsid w:val="008D433B"/>
    <w:rsid w:val="008D4A16"/>
    <w:rsid w:val="008E566E"/>
    <w:rsid w:val="008F5DB1"/>
    <w:rsid w:val="0090161A"/>
    <w:rsid w:val="00901EB6"/>
    <w:rsid w:val="00902EDA"/>
    <w:rsid w:val="00904C62"/>
    <w:rsid w:val="009154E4"/>
    <w:rsid w:val="00922BA8"/>
    <w:rsid w:val="00924DAC"/>
    <w:rsid w:val="0092677D"/>
    <w:rsid w:val="00927058"/>
    <w:rsid w:val="009271F4"/>
    <w:rsid w:val="009318CD"/>
    <w:rsid w:val="0093326B"/>
    <w:rsid w:val="00935AA1"/>
    <w:rsid w:val="009426AC"/>
    <w:rsid w:val="00942750"/>
    <w:rsid w:val="009450CE"/>
    <w:rsid w:val="009459BB"/>
    <w:rsid w:val="00947179"/>
    <w:rsid w:val="0095164B"/>
    <w:rsid w:val="00954090"/>
    <w:rsid w:val="009540A3"/>
    <w:rsid w:val="009573E7"/>
    <w:rsid w:val="00960E3C"/>
    <w:rsid w:val="0096178A"/>
    <w:rsid w:val="00963E05"/>
    <w:rsid w:val="00964A45"/>
    <w:rsid w:val="00965963"/>
    <w:rsid w:val="00967843"/>
    <w:rsid w:val="00967D54"/>
    <w:rsid w:val="00971028"/>
    <w:rsid w:val="00993B84"/>
    <w:rsid w:val="00996483"/>
    <w:rsid w:val="00996F5A"/>
    <w:rsid w:val="009A73FC"/>
    <w:rsid w:val="009B041A"/>
    <w:rsid w:val="009B3B9A"/>
    <w:rsid w:val="009C37C3"/>
    <w:rsid w:val="009C7C86"/>
    <w:rsid w:val="009D2FF7"/>
    <w:rsid w:val="009E7884"/>
    <w:rsid w:val="009E788A"/>
    <w:rsid w:val="009F0E08"/>
    <w:rsid w:val="00A01BCF"/>
    <w:rsid w:val="00A14905"/>
    <w:rsid w:val="00A1763D"/>
    <w:rsid w:val="00A17CEC"/>
    <w:rsid w:val="00A2705F"/>
    <w:rsid w:val="00A27EF0"/>
    <w:rsid w:val="00A42361"/>
    <w:rsid w:val="00A50B20"/>
    <w:rsid w:val="00A51390"/>
    <w:rsid w:val="00A563CB"/>
    <w:rsid w:val="00A60D13"/>
    <w:rsid w:val="00A7223D"/>
    <w:rsid w:val="00A72745"/>
    <w:rsid w:val="00A76EFC"/>
    <w:rsid w:val="00A87D50"/>
    <w:rsid w:val="00A91010"/>
    <w:rsid w:val="00A97F29"/>
    <w:rsid w:val="00AA702E"/>
    <w:rsid w:val="00AA7D26"/>
    <w:rsid w:val="00AB0964"/>
    <w:rsid w:val="00AB34FB"/>
    <w:rsid w:val="00AB5011"/>
    <w:rsid w:val="00AC7368"/>
    <w:rsid w:val="00AD16B9"/>
    <w:rsid w:val="00AD5166"/>
    <w:rsid w:val="00AE2419"/>
    <w:rsid w:val="00AE377D"/>
    <w:rsid w:val="00AF0EBA"/>
    <w:rsid w:val="00AF62F1"/>
    <w:rsid w:val="00B02C8A"/>
    <w:rsid w:val="00B06B61"/>
    <w:rsid w:val="00B12361"/>
    <w:rsid w:val="00B15EBF"/>
    <w:rsid w:val="00B17FBD"/>
    <w:rsid w:val="00B21147"/>
    <w:rsid w:val="00B315A6"/>
    <w:rsid w:val="00B31813"/>
    <w:rsid w:val="00B33365"/>
    <w:rsid w:val="00B347C9"/>
    <w:rsid w:val="00B54F36"/>
    <w:rsid w:val="00B57AD4"/>
    <w:rsid w:val="00B57B36"/>
    <w:rsid w:val="00B57E6F"/>
    <w:rsid w:val="00B77422"/>
    <w:rsid w:val="00B8686D"/>
    <w:rsid w:val="00B87FD2"/>
    <w:rsid w:val="00B909C8"/>
    <w:rsid w:val="00B93F69"/>
    <w:rsid w:val="00B94481"/>
    <w:rsid w:val="00BB1DDC"/>
    <w:rsid w:val="00BB39AD"/>
    <w:rsid w:val="00BC30C9"/>
    <w:rsid w:val="00BC4553"/>
    <w:rsid w:val="00BD077D"/>
    <w:rsid w:val="00BD14F3"/>
    <w:rsid w:val="00BE25DB"/>
    <w:rsid w:val="00BE3E58"/>
    <w:rsid w:val="00C01616"/>
    <w:rsid w:val="00C0162B"/>
    <w:rsid w:val="00C068ED"/>
    <w:rsid w:val="00C165EA"/>
    <w:rsid w:val="00C20C3E"/>
    <w:rsid w:val="00C22E0C"/>
    <w:rsid w:val="00C345B1"/>
    <w:rsid w:val="00C40142"/>
    <w:rsid w:val="00C4165A"/>
    <w:rsid w:val="00C52C3C"/>
    <w:rsid w:val="00C57182"/>
    <w:rsid w:val="00C57863"/>
    <w:rsid w:val="00C640AF"/>
    <w:rsid w:val="00C655FD"/>
    <w:rsid w:val="00C66E2F"/>
    <w:rsid w:val="00C75407"/>
    <w:rsid w:val="00C758ED"/>
    <w:rsid w:val="00C870A8"/>
    <w:rsid w:val="00C94434"/>
    <w:rsid w:val="00CA0D4A"/>
    <w:rsid w:val="00CA0D75"/>
    <w:rsid w:val="00CA1C95"/>
    <w:rsid w:val="00CA3D11"/>
    <w:rsid w:val="00CA5A9C"/>
    <w:rsid w:val="00CC4C20"/>
    <w:rsid w:val="00CD2ECA"/>
    <w:rsid w:val="00CD2F30"/>
    <w:rsid w:val="00CD3517"/>
    <w:rsid w:val="00CD5FE2"/>
    <w:rsid w:val="00CE0856"/>
    <w:rsid w:val="00CE7C68"/>
    <w:rsid w:val="00D02B4C"/>
    <w:rsid w:val="00D038F0"/>
    <w:rsid w:val="00D040C4"/>
    <w:rsid w:val="00D20AD1"/>
    <w:rsid w:val="00D25008"/>
    <w:rsid w:val="00D274ED"/>
    <w:rsid w:val="00D46B7E"/>
    <w:rsid w:val="00D57C84"/>
    <w:rsid w:val="00D6057D"/>
    <w:rsid w:val="00D614F9"/>
    <w:rsid w:val="00D63CD5"/>
    <w:rsid w:val="00D648EC"/>
    <w:rsid w:val="00D71640"/>
    <w:rsid w:val="00D836C5"/>
    <w:rsid w:val="00D84576"/>
    <w:rsid w:val="00D91964"/>
    <w:rsid w:val="00D94CDC"/>
    <w:rsid w:val="00DA1399"/>
    <w:rsid w:val="00DA24C6"/>
    <w:rsid w:val="00DA4D7B"/>
    <w:rsid w:val="00DB1A09"/>
    <w:rsid w:val="00DB3233"/>
    <w:rsid w:val="00DD220C"/>
    <w:rsid w:val="00DD271C"/>
    <w:rsid w:val="00DD393F"/>
    <w:rsid w:val="00DD4045"/>
    <w:rsid w:val="00DE264A"/>
    <w:rsid w:val="00DE32BB"/>
    <w:rsid w:val="00DF5072"/>
    <w:rsid w:val="00E02D18"/>
    <w:rsid w:val="00E041E7"/>
    <w:rsid w:val="00E11D91"/>
    <w:rsid w:val="00E20C25"/>
    <w:rsid w:val="00E23CA1"/>
    <w:rsid w:val="00E241A0"/>
    <w:rsid w:val="00E33DD7"/>
    <w:rsid w:val="00E409A8"/>
    <w:rsid w:val="00E50C12"/>
    <w:rsid w:val="00E65B91"/>
    <w:rsid w:val="00E7209D"/>
    <w:rsid w:val="00E72649"/>
    <w:rsid w:val="00E72EAD"/>
    <w:rsid w:val="00E73ED1"/>
    <w:rsid w:val="00E77223"/>
    <w:rsid w:val="00E8528B"/>
    <w:rsid w:val="00E85B94"/>
    <w:rsid w:val="00E9660F"/>
    <w:rsid w:val="00E978D0"/>
    <w:rsid w:val="00EA4602"/>
    <w:rsid w:val="00EA4613"/>
    <w:rsid w:val="00EA7F91"/>
    <w:rsid w:val="00EB1523"/>
    <w:rsid w:val="00EC0E49"/>
    <w:rsid w:val="00EC101F"/>
    <w:rsid w:val="00EC1D9F"/>
    <w:rsid w:val="00ED384A"/>
    <w:rsid w:val="00ED4AB7"/>
    <w:rsid w:val="00ED55CF"/>
    <w:rsid w:val="00ED66E9"/>
    <w:rsid w:val="00EE0131"/>
    <w:rsid w:val="00EE17B0"/>
    <w:rsid w:val="00EE3F9F"/>
    <w:rsid w:val="00EF06D9"/>
    <w:rsid w:val="00EF6B44"/>
    <w:rsid w:val="00F14EFB"/>
    <w:rsid w:val="00F26ABC"/>
    <w:rsid w:val="00F3049E"/>
    <w:rsid w:val="00F30C64"/>
    <w:rsid w:val="00F32BA2"/>
    <w:rsid w:val="00F32CDB"/>
    <w:rsid w:val="00F40994"/>
    <w:rsid w:val="00F565FE"/>
    <w:rsid w:val="00F57CBA"/>
    <w:rsid w:val="00F605A6"/>
    <w:rsid w:val="00F63A70"/>
    <w:rsid w:val="00F63D8C"/>
    <w:rsid w:val="00F7534E"/>
    <w:rsid w:val="00F93EDF"/>
    <w:rsid w:val="00FA1802"/>
    <w:rsid w:val="00FA21D0"/>
    <w:rsid w:val="00FA5F5F"/>
    <w:rsid w:val="00FB19D2"/>
    <w:rsid w:val="00FB730C"/>
    <w:rsid w:val="00FC2695"/>
    <w:rsid w:val="00FC3E03"/>
    <w:rsid w:val="00FC3FC1"/>
    <w:rsid w:val="00FD0C01"/>
    <w:rsid w:val="00FE1D3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77422"/>
    <w:pPr>
      <w:keepNext/>
      <w:suppressAutoHyphens/>
      <w:spacing w:after="0" w:line="240" w:lineRule="auto"/>
      <w:contextualSpacing/>
      <w:jc w:val="both"/>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77422"/>
    <w:rPr>
      <w:rFonts w:ascii="Arial" w:eastAsia="Times New Roman" w:hAnsi="Arial" w:cs="Times New Roman"/>
      <w:b/>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i w:val="0"/>
      <w:sz w:val="18"/>
      <w:szCs w:val="20"/>
      <w:lang w:val="en-US"/>
    </w:rPr>
  </w:style>
  <w:style w:type="paragraph" w:styleId="Prrafodelista">
    <w:name w:val="List Paragraph"/>
    <w:basedOn w:val="Normal"/>
    <w:uiPriority w:val="34"/>
    <w:rsid w:val="00280FAF"/>
    <w:pPr>
      <w:ind w:left="720"/>
      <w:contextualSpacing/>
    </w:pPr>
  </w:style>
  <w:style w:type="paragraph" w:customStyle="1" w:styleId="Default">
    <w:name w:val="Default"/>
    <w:rsid w:val="00600579"/>
    <w:pPr>
      <w:autoSpaceDE w:val="0"/>
      <w:autoSpaceDN w:val="0"/>
      <w:adjustRightInd w:val="0"/>
      <w:spacing w:after="0" w:line="240" w:lineRule="auto"/>
    </w:pPr>
    <w:rPr>
      <w:rFonts w:ascii="Charis SIL" w:hAnsi="Charis SIL" w:cs="Charis SIL"/>
      <w:color w:val="000000"/>
      <w:sz w:val="24"/>
      <w:szCs w:val="24"/>
      <w:lang w:val="en-US"/>
    </w:rPr>
  </w:style>
  <w:style w:type="character" w:styleId="Textodelmarcadordeposicin">
    <w:name w:val="Placeholder Text"/>
    <w:basedOn w:val="Fuentedeprrafopredeter"/>
    <w:uiPriority w:val="99"/>
    <w:semiHidden/>
    <w:rsid w:val="008B56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141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jpeg"/><Relationship Id="rId23" Type="http://schemas.microsoft.com/office/2016/09/relationships/commentsIds" Target="commentsIds.xml"/><Relationship Id="rId10" Type="http://schemas.openxmlformats.org/officeDocument/2006/relationships/hyperlink" Target="mailto:rcabello@ucv.edu.pe"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8512-D648-4F5B-9F57-EBB63044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3547</Words>
  <Characters>20222</Characters>
  <Application>Microsoft Office Word</Application>
  <DocSecurity>0</DocSecurity>
  <Lines>168</Lines>
  <Paragraphs>47</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Cuenta Microsoft</cp:lastModifiedBy>
  <cp:revision>20</cp:revision>
  <cp:lastPrinted>2015-05-12T18:31:00Z</cp:lastPrinted>
  <dcterms:created xsi:type="dcterms:W3CDTF">2024-04-14T00:07:00Z</dcterms:created>
  <dcterms:modified xsi:type="dcterms:W3CDTF">2024-04-14T02:51:00Z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