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15DAE12D"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843EAC">
              <w:rPr>
                <w:rFonts w:cs="Arial"/>
                <w:b/>
                <w:bCs/>
                <w:i/>
                <w:iCs/>
                <w:color w:val="000066"/>
                <w:sz w:val="22"/>
                <w:szCs w:val="22"/>
                <w:lang w:eastAsia="it-IT"/>
              </w:rPr>
              <w:t xml:space="preserve">   </w:t>
            </w:r>
            <w:proofErr w:type="gramStart"/>
            <w:r w:rsidR="00843EAC">
              <w:rPr>
                <w:rFonts w:cs="Arial"/>
                <w:b/>
                <w:bCs/>
                <w:i/>
                <w:iCs/>
                <w:color w:val="000066"/>
                <w:sz w:val="22"/>
                <w:szCs w:val="22"/>
                <w:lang w:eastAsia="it-IT"/>
              </w:rPr>
              <w:t xml:space="preserve"> </w:t>
            </w:r>
            <w:r w:rsidR="004761E9">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DB3233">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475D992A" w:rsidR="00AA7D26" w:rsidRPr="006A23E9" w:rsidRDefault="00AA7D26" w:rsidP="00AA7D26">
            <w:pPr>
              <w:ind w:left="-107"/>
              <w:outlineLvl w:val="2"/>
              <w:rPr>
                <w:rFonts w:ascii="Tahoma" w:hAnsi="Tahoma" w:cs="Tahoma"/>
                <w:bCs/>
                <w:color w:val="000000"/>
                <w:sz w:val="14"/>
                <w:szCs w:val="14"/>
                <w:lang w:eastAsia="it-IT"/>
              </w:rPr>
            </w:pPr>
            <w:r w:rsidRPr="006A23E9">
              <w:rPr>
                <w:rFonts w:ascii="Tahoma" w:hAnsi="Tahoma" w:cs="Tahoma"/>
                <w:iCs/>
                <w:color w:val="333333"/>
                <w:sz w:val="14"/>
                <w:szCs w:val="14"/>
                <w:lang w:eastAsia="it-IT"/>
              </w:rPr>
              <w:t>Guest Editors:</w:t>
            </w:r>
            <w:r w:rsidRPr="006A23E9">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shd w:val="clear" w:color="auto" w:fill="FFFFFF"/>
              </w:rPr>
              <w:t xml:space="preserve">Leonardo </w:t>
            </w:r>
            <w:proofErr w:type="spellStart"/>
            <w:r w:rsidR="006A23E9" w:rsidRPr="00946B70">
              <w:rPr>
                <w:rFonts w:ascii="Tahoma" w:hAnsi="Tahoma" w:cs="Tahoma"/>
                <w:color w:val="000000"/>
                <w:sz w:val="14"/>
                <w:szCs w:val="14"/>
                <w:shd w:val="clear" w:color="auto" w:fill="FFFFFF"/>
              </w:rPr>
              <w:t>Tognotti</w:t>
            </w:r>
            <w:proofErr w:type="spellEnd"/>
            <w:r w:rsidR="006A23E9" w:rsidRPr="00946B70">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rPr>
              <w:t>Rubens Maciel Filho</w:t>
            </w:r>
            <w:r w:rsidR="006A23E9" w:rsidRPr="00946B70">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rPr>
              <w:t xml:space="preserve">Viatcheslav </w:t>
            </w:r>
            <w:proofErr w:type="spellStart"/>
            <w:r w:rsidR="006A23E9" w:rsidRPr="00946B70">
              <w:rPr>
                <w:rFonts w:ascii="Tahoma" w:hAnsi="Tahoma" w:cs="Tahoma"/>
                <w:color w:val="000000"/>
                <w:sz w:val="14"/>
                <w:szCs w:val="14"/>
              </w:rPr>
              <w:t>Kafarov</w:t>
            </w:r>
            <w:proofErr w:type="spellEnd"/>
          </w:p>
          <w:p w14:paraId="1B0F1814" w14:textId="3AD74145"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843EAC">
              <w:rPr>
                <w:rFonts w:ascii="Tahoma" w:hAnsi="Tahoma" w:cs="Tahoma"/>
                <w:iCs/>
                <w:color w:val="333333"/>
                <w:sz w:val="14"/>
                <w:szCs w:val="14"/>
                <w:lang w:eastAsia="it-IT"/>
              </w:rPr>
              <w:t>4</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DB3233">
              <w:rPr>
                <w:rFonts w:ascii="Tahoma" w:hAnsi="Tahoma" w:cs="Tahoma"/>
                <w:sz w:val="14"/>
                <w:szCs w:val="14"/>
              </w:rPr>
              <w:t>09</w:t>
            </w:r>
            <w:r>
              <w:rPr>
                <w:rFonts w:ascii="Tahoma" w:hAnsi="Tahoma" w:cs="Tahoma"/>
                <w:sz w:val="14"/>
                <w:szCs w:val="14"/>
              </w:rPr>
              <w:t>-</w:t>
            </w:r>
            <w:r w:rsidR="00DB3233">
              <w:rPr>
                <w:rFonts w:ascii="Tahoma" w:hAnsi="Tahoma" w:cs="Tahoma"/>
                <w:sz w:val="14"/>
                <w:szCs w:val="14"/>
              </w:rPr>
              <w:t>0</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6C33221B" w:rsidR="00E978D0" w:rsidRPr="00B57B36" w:rsidRDefault="0097371A" w:rsidP="00E978D0">
      <w:pPr>
        <w:pStyle w:val="CETTitle"/>
      </w:pPr>
      <w:r>
        <w:t>Waste Reduction and Bioenergy Generation from Secondary Sludge using Hydrothermal Liquefaction</w:t>
      </w:r>
    </w:p>
    <w:p w14:paraId="0488FED2" w14:textId="3CE6D4B6" w:rsidR="00B57E6F" w:rsidRPr="00C0099C" w:rsidRDefault="0097371A" w:rsidP="00B57E6F">
      <w:pPr>
        <w:pStyle w:val="CETAuthors"/>
        <w:rPr>
          <w:lang w:val="it-IT"/>
        </w:rPr>
      </w:pPr>
      <w:r w:rsidRPr="00C0099C">
        <w:rPr>
          <w:lang w:val="it-IT"/>
        </w:rPr>
        <w:t>Alessandro Amadei</w:t>
      </w:r>
      <w:r w:rsidR="00B57E6F" w:rsidRPr="00C0099C">
        <w:rPr>
          <w:lang w:val="it-IT"/>
        </w:rPr>
        <w:t xml:space="preserve">*, </w:t>
      </w:r>
      <w:r w:rsidRPr="00C0099C">
        <w:rPr>
          <w:lang w:val="it-IT"/>
        </w:rPr>
        <w:t xml:space="preserve">Paolo De Filippis, Martina Damizia, Maria Paola Bracciale, Benedetta de Caprariis </w:t>
      </w:r>
    </w:p>
    <w:p w14:paraId="6B2D21B3" w14:textId="2280745B" w:rsidR="00B57E6F" w:rsidRPr="0097371A" w:rsidRDefault="0097371A" w:rsidP="00B57E6F">
      <w:pPr>
        <w:pStyle w:val="CETAddress"/>
        <w:rPr>
          <w:lang w:val="it-IT"/>
        </w:rPr>
      </w:pPr>
      <w:r w:rsidRPr="0097371A">
        <w:rPr>
          <w:lang w:val="it-IT"/>
        </w:rPr>
        <w:t>Sapenza University of Rome, Via Eudossiana, 18</w:t>
      </w:r>
      <w:r w:rsidR="00C0099C">
        <w:rPr>
          <w:lang w:val="it-IT"/>
        </w:rPr>
        <w:t>, Rome, Italy</w:t>
      </w:r>
      <w:r w:rsidRPr="0097371A">
        <w:rPr>
          <w:lang w:val="it-IT"/>
        </w:rPr>
        <w:t>.</w:t>
      </w:r>
      <w:r w:rsidR="00B57E6F" w:rsidRPr="0097371A">
        <w:rPr>
          <w:lang w:val="it-IT"/>
        </w:rPr>
        <w:t xml:space="preserve"> </w:t>
      </w:r>
    </w:p>
    <w:p w14:paraId="73F1267A" w14:textId="7616C5AE" w:rsidR="00B57E6F" w:rsidRPr="00B57B36" w:rsidRDefault="0097371A" w:rsidP="00B57E6F">
      <w:pPr>
        <w:pStyle w:val="CETemail"/>
      </w:pPr>
      <w:r>
        <w:t>alessandro.amadei@uniroma1.it</w:t>
      </w:r>
    </w:p>
    <w:p w14:paraId="37A61FCE" w14:textId="7112595D" w:rsidR="00DA24C6" w:rsidRDefault="00592D17" w:rsidP="005B639C">
      <w:pPr>
        <w:pStyle w:val="CETListbullets"/>
        <w:ind w:left="0" w:firstLine="0"/>
      </w:pPr>
      <w:r>
        <w:t>Given</w:t>
      </w:r>
      <w:r w:rsidR="005B639C">
        <w:t xml:space="preserve"> its </w:t>
      </w:r>
      <w:r>
        <w:t>global accessibility</w:t>
      </w:r>
      <w:r w:rsidR="005B639C">
        <w:t xml:space="preserve"> and high organic content, </w:t>
      </w:r>
      <w:r w:rsidR="00FF7F75">
        <w:t>biogenic waste</w:t>
      </w:r>
      <w:r w:rsidR="005B639C">
        <w:t xml:space="preserve"> </w:t>
      </w:r>
      <w:r w:rsidR="00FF7F75">
        <w:t xml:space="preserve">such as sewage sludge </w:t>
      </w:r>
      <w:r w:rsidR="005B639C">
        <w:t>currently represent</w:t>
      </w:r>
      <w:r w:rsidR="000E778D">
        <w:t>s</w:t>
      </w:r>
      <w:r w:rsidR="005B639C">
        <w:t xml:space="preserve"> a valuable renewable resource for energy production. Hydrothermal liquefaction</w:t>
      </w:r>
      <w:r w:rsidR="000E778D">
        <w:t xml:space="preserve"> (HTL)</w:t>
      </w:r>
      <w:r w:rsidR="005B639C">
        <w:t xml:space="preserve"> </w:t>
      </w:r>
      <w:r w:rsidR="000E778D">
        <w:t>stands out as</w:t>
      </w:r>
      <w:r w:rsidR="005B639C">
        <w:t xml:space="preserve"> one of the most suitable technologies to </w:t>
      </w:r>
      <w:r w:rsidR="00FF7F75">
        <w:t>convert these feedstocks into biocrude, a valuable biofuel precursor. Th</w:t>
      </w:r>
      <w:r w:rsidR="000E778D">
        <w:t>is</w:t>
      </w:r>
      <w:r w:rsidR="00FF7F75">
        <w:t xml:space="preserve"> process </w:t>
      </w:r>
      <w:r w:rsidR="000E778D">
        <w:t>operates</w:t>
      </w:r>
      <w:r w:rsidR="00FF7F75">
        <w:t xml:space="preserve"> at </w:t>
      </w:r>
      <w:r w:rsidR="000E778D">
        <w:t>moderate</w:t>
      </w:r>
      <w:r w:rsidR="00FF7F75">
        <w:t xml:space="preserve"> temperatures and high pressure in </w:t>
      </w:r>
      <w:r w:rsidR="000E778D">
        <w:t xml:space="preserve">the </w:t>
      </w:r>
      <w:r w:rsidR="00FF7F75">
        <w:t xml:space="preserve">presence of </w:t>
      </w:r>
      <w:r w:rsidR="007A1541">
        <w:t>water</w:t>
      </w:r>
      <w:r w:rsidR="000E778D">
        <w:t>, eliminating the need for energy-i</w:t>
      </w:r>
      <w:r w:rsidR="00FF7F75">
        <w:t xml:space="preserve">ntensive </w:t>
      </w:r>
      <w:r w:rsidR="007A1541">
        <w:t xml:space="preserve">preliminary </w:t>
      </w:r>
      <w:r w:rsidR="00FF7F75">
        <w:t>dewatering step</w:t>
      </w:r>
      <w:r w:rsidR="000E778D">
        <w:t>s when treating high-moisture feedstocks</w:t>
      </w:r>
      <w:r w:rsidR="00FF7F75">
        <w:t xml:space="preserve">. This </w:t>
      </w:r>
      <w:r w:rsidR="000E778D">
        <w:t>study focuses on</w:t>
      </w:r>
      <w:r w:rsidR="00FF7F75">
        <w:t xml:space="preserve"> investigat</w:t>
      </w:r>
      <w:r w:rsidR="000E778D">
        <w:t>ing</w:t>
      </w:r>
      <w:r w:rsidR="00FF7F75">
        <w:t xml:space="preserve"> the effects of various reaction temperatures and holding times on biocrude yield and quality obtained from batch HTL conversion of digested secondary sludge derived from paper</w:t>
      </w:r>
      <w:r w:rsidR="000E778D">
        <w:t xml:space="preserve"> </w:t>
      </w:r>
      <w:r w:rsidR="00FF7F75">
        <w:t xml:space="preserve">mill facilities. </w:t>
      </w:r>
      <w:r w:rsidR="000E778D">
        <w:t>Experiments</w:t>
      </w:r>
      <w:r w:rsidR="00FF7F75">
        <w:t xml:space="preserve"> were </w:t>
      </w:r>
      <w:r w:rsidR="000E778D">
        <w:t>conducted</w:t>
      </w:r>
      <w:r w:rsidR="00FF7F75">
        <w:t xml:space="preserve"> at </w:t>
      </w:r>
      <w:r w:rsidR="000E778D">
        <w:t xml:space="preserve">temperatures of </w:t>
      </w:r>
      <w:r w:rsidR="00FF7F75">
        <w:t>280, 300 and 330 °C</w:t>
      </w:r>
      <w:r w:rsidR="000E778D">
        <w:t>, with</w:t>
      </w:r>
      <w:r w:rsidR="00FF7F75">
        <w:t xml:space="preserve"> holding times</w:t>
      </w:r>
      <w:r w:rsidR="000E778D">
        <w:t xml:space="preserve"> ranging</w:t>
      </w:r>
      <w:r w:rsidR="00FF7F75">
        <w:t xml:space="preserve"> from 0 to 35 minutes. </w:t>
      </w:r>
      <w:r w:rsidR="000E778D">
        <w:t>O</w:t>
      </w:r>
      <w:r w:rsidR="00FF7F75">
        <w:t>ptimal conditions</w:t>
      </w:r>
      <w:r w:rsidR="007A1541">
        <w:t xml:space="preserve"> were </w:t>
      </w:r>
      <w:r w:rsidR="000E778D">
        <w:t>identified</w:t>
      </w:r>
      <w:r w:rsidR="007A1541">
        <w:t xml:space="preserve"> at 300 °C and holding times between 10 and 35 minutes, </w:t>
      </w:r>
      <w:r w:rsidR="000E778D">
        <w:t>resulting in</w:t>
      </w:r>
      <w:r w:rsidR="007A1541">
        <w:t xml:space="preserve"> biocrude yields of 20-21%, higher heating values</w:t>
      </w:r>
      <w:r w:rsidR="000E778D">
        <w:t xml:space="preserve"> (HHV)</w:t>
      </w:r>
      <w:r w:rsidR="007A1541">
        <w:t xml:space="preserve"> of 35 MJ kg</w:t>
      </w:r>
      <w:r w:rsidR="007A1541" w:rsidRPr="007A1541">
        <w:rPr>
          <w:vertAlign w:val="superscript"/>
        </w:rPr>
        <w:t>-1</w:t>
      </w:r>
      <w:r w:rsidR="007A1541">
        <w:t xml:space="preserve"> and energy recovery of 54</w:t>
      </w:r>
      <w:r w:rsidR="00891B81">
        <w:t>-</w:t>
      </w:r>
      <w:r w:rsidR="007A1541">
        <w:t>59%.</w:t>
      </w:r>
      <w:r>
        <w:t xml:space="preserve"> The </w:t>
      </w:r>
      <w:r w:rsidR="00891B81">
        <w:t>findings underscore</w:t>
      </w:r>
      <w:r>
        <w:t xml:space="preserve"> the potential application of HTL in</w:t>
      </w:r>
      <w:r w:rsidR="00891B81">
        <w:t xml:space="preserve"> waste biomass disposal cycles</w:t>
      </w:r>
      <w:r>
        <w:t>,</w:t>
      </w:r>
      <w:r w:rsidR="00891B81">
        <w:t xml:space="preserve"> contributing to</w:t>
      </w:r>
      <w:r>
        <w:t xml:space="preserve"> waste minimisation and </w:t>
      </w:r>
      <w:r w:rsidR="00891B81">
        <w:t xml:space="preserve">enhancing the </w:t>
      </w:r>
      <w:r>
        <w:t>bioenergy recovery.</w:t>
      </w:r>
    </w:p>
    <w:p w14:paraId="476B2F2E" w14:textId="77777777" w:rsidR="00600535" w:rsidRDefault="00600535" w:rsidP="00600535">
      <w:pPr>
        <w:pStyle w:val="CETHeading1"/>
        <w:rPr>
          <w:lang w:val="en-GB"/>
        </w:rPr>
      </w:pPr>
      <w:r w:rsidRPr="00B57B36">
        <w:rPr>
          <w:lang w:val="en-GB"/>
        </w:rPr>
        <w:t>Introduction</w:t>
      </w:r>
    </w:p>
    <w:p w14:paraId="201636E7" w14:textId="04235E0C" w:rsidR="00091337" w:rsidRPr="00FB668A" w:rsidRDefault="00C76F17" w:rsidP="00F93DD4">
      <w:pPr>
        <w:pStyle w:val="CETBodytext"/>
        <w:rPr>
          <w:color w:val="FF0000"/>
          <w:lang w:val="en-GB"/>
        </w:rPr>
      </w:pPr>
      <w:r>
        <w:rPr>
          <w:lang w:val="en-GB"/>
        </w:rPr>
        <w:t xml:space="preserve">The current global interest in a sustainable path for humanity’s development has led to an ever-growing </w:t>
      </w:r>
      <w:r w:rsidR="00AA2DB6">
        <w:rPr>
          <w:lang w:val="en-GB"/>
        </w:rPr>
        <w:t>demand for sustainable energy sources and waste-minimization solutions.</w:t>
      </w:r>
      <w:r w:rsidR="00FE08C6">
        <w:rPr>
          <w:lang w:val="en-GB"/>
        </w:rPr>
        <w:t xml:space="preserve"> </w:t>
      </w:r>
      <w:r w:rsidR="00105F4E">
        <w:rPr>
          <w:lang w:val="en-GB"/>
        </w:rPr>
        <w:t>Exploring the potential</w:t>
      </w:r>
      <w:r w:rsidR="00FE08C6">
        <w:rPr>
          <w:lang w:val="en-GB"/>
        </w:rPr>
        <w:t xml:space="preserve"> of</w:t>
      </w:r>
      <w:r w:rsidR="00105F4E">
        <w:rPr>
          <w:lang w:val="en-GB"/>
        </w:rPr>
        <w:t xml:space="preserve"> generating</w:t>
      </w:r>
      <w:r w:rsidR="00FE08C6">
        <w:rPr>
          <w:lang w:val="en-GB"/>
        </w:rPr>
        <w:t xml:space="preserve"> </w:t>
      </w:r>
      <w:r w:rsidR="006B464D">
        <w:rPr>
          <w:lang w:val="en-GB"/>
        </w:rPr>
        <w:t>energy</w:t>
      </w:r>
      <w:r w:rsidR="00FE08C6">
        <w:rPr>
          <w:lang w:val="en-GB"/>
        </w:rPr>
        <w:t xml:space="preserve"> from municipal and industrial biogenic wastes</w:t>
      </w:r>
      <w:r w:rsidR="00105F4E">
        <w:rPr>
          <w:lang w:val="en-GB"/>
        </w:rPr>
        <w:t xml:space="preserve"> offers a promising avenue to</w:t>
      </w:r>
      <w:r w:rsidR="00FE08C6">
        <w:rPr>
          <w:lang w:val="en-GB"/>
        </w:rPr>
        <w:t xml:space="preserve"> both minimize and energetically valorise such wastes</w:t>
      </w:r>
      <w:r w:rsidR="006B464D">
        <w:rPr>
          <w:lang w:val="en-GB"/>
        </w:rPr>
        <w:t xml:space="preserve">, </w:t>
      </w:r>
      <w:r w:rsidR="00105F4E">
        <w:rPr>
          <w:lang w:val="en-GB"/>
        </w:rPr>
        <w:t>enhancing</w:t>
      </w:r>
      <w:r w:rsidR="006B464D">
        <w:rPr>
          <w:lang w:val="en-GB"/>
        </w:rPr>
        <w:t xml:space="preserve"> the efficiency of producti</w:t>
      </w:r>
      <w:r w:rsidR="00105F4E">
        <w:rPr>
          <w:lang w:val="en-GB"/>
        </w:rPr>
        <w:t>on</w:t>
      </w:r>
      <w:r w:rsidR="006B464D">
        <w:rPr>
          <w:lang w:val="en-GB"/>
        </w:rPr>
        <w:t xml:space="preserve"> cycles. Sewage sludge derived from municipal and industrial wastewater treatment </w:t>
      </w:r>
      <w:r w:rsidR="00105F4E">
        <w:rPr>
          <w:lang w:val="en-GB"/>
        </w:rPr>
        <w:t xml:space="preserve">emerges as a compelling </w:t>
      </w:r>
      <w:r w:rsidR="006B464D">
        <w:rPr>
          <w:lang w:val="en-GB"/>
        </w:rPr>
        <w:t>feedstock for bioenergy production due to its</w:t>
      </w:r>
      <w:r w:rsidR="00105F4E">
        <w:rPr>
          <w:lang w:val="en-GB"/>
        </w:rPr>
        <w:t xml:space="preserve"> high</w:t>
      </w:r>
      <w:r w:rsidR="006B464D">
        <w:rPr>
          <w:lang w:val="en-GB"/>
        </w:rPr>
        <w:t xml:space="preserve"> organic content and </w:t>
      </w:r>
      <w:r w:rsidR="00105F4E">
        <w:rPr>
          <w:lang w:val="en-GB"/>
        </w:rPr>
        <w:t xml:space="preserve">widespread </w:t>
      </w:r>
      <w:r w:rsidR="006B464D">
        <w:rPr>
          <w:lang w:val="en-GB"/>
        </w:rPr>
        <w:t>availability</w:t>
      </w:r>
      <w:r w:rsidR="00105F4E">
        <w:rPr>
          <w:lang w:val="en-GB"/>
        </w:rPr>
        <w:t>.</w:t>
      </w:r>
      <w:r w:rsidR="006B464D">
        <w:rPr>
          <w:lang w:val="en-GB"/>
        </w:rPr>
        <w:t xml:space="preserve"> </w:t>
      </w:r>
      <w:r w:rsidR="00BC3AF2">
        <w:rPr>
          <w:lang w:val="en-GB"/>
        </w:rPr>
        <w:t>T</w:t>
      </w:r>
      <w:r w:rsidR="00BC3AF2" w:rsidRPr="00BC3AF2">
        <w:rPr>
          <w:lang w:val="en-GB"/>
        </w:rPr>
        <w:t xml:space="preserve">he production of sludge is even high enough to generate </w:t>
      </w:r>
      <w:r w:rsidR="00105F4E">
        <w:rPr>
          <w:lang w:val="en-GB"/>
        </w:rPr>
        <w:t xml:space="preserve">challenges </w:t>
      </w:r>
      <w:r w:rsidR="00BC3AF2" w:rsidRPr="00BC3AF2">
        <w:rPr>
          <w:lang w:val="en-GB"/>
        </w:rPr>
        <w:t>relat</w:t>
      </w:r>
      <w:r w:rsidR="00105F4E">
        <w:rPr>
          <w:lang w:val="en-GB"/>
        </w:rPr>
        <w:t>ed</w:t>
      </w:r>
      <w:r w:rsidR="00BC3AF2" w:rsidRPr="00BC3AF2">
        <w:rPr>
          <w:lang w:val="en-GB"/>
        </w:rPr>
        <w:t xml:space="preserve"> to its management</w:t>
      </w:r>
      <w:r w:rsidR="00BC3AF2">
        <w:rPr>
          <w:lang w:val="en-GB"/>
        </w:rPr>
        <w:t xml:space="preserve">. </w:t>
      </w:r>
      <w:r w:rsidR="00105F4E">
        <w:rPr>
          <w:lang w:val="en-GB"/>
        </w:rPr>
        <w:t>For instance</w:t>
      </w:r>
      <w:r w:rsidR="00BC3AF2">
        <w:rPr>
          <w:lang w:val="en-GB"/>
        </w:rPr>
        <w:t xml:space="preserve">, </w:t>
      </w:r>
      <w:r w:rsidR="00105F4E">
        <w:rPr>
          <w:lang w:val="en-GB"/>
        </w:rPr>
        <w:t>European Union estimates from</w:t>
      </w:r>
      <w:r w:rsidR="00FE516B">
        <w:rPr>
          <w:lang w:val="en-GB"/>
        </w:rPr>
        <w:t xml:space="preserve"> 2003-2007</w:t>
      </w:r>
      <w:r w:rsidR="00BC3AF2">
        <w:rPr>
          <w:lang w:val="en-GB"/>
        </w:rPr>
        <w:t xml:space="preserve"> </w:t>
      </w:r>
      <w:r w:rsidR="00105F4E">
        <w:rPr>
          <w:lang w:val="en-GB"/>
        </w:rPr>
        <w:t xml:space="preserve">indicated an annual generation of over </w:t>
      </w:r>
      <w:r w:rsidR="00FE516B">
        <w:rPr>
          <w:lang w:val="en-GB"/>
        </w:rPr>
        <w:t>10 million metric tons</w:t>
      </w:r>
      <w:r w:rsidR="00105F4E">
        <w:rPr>
          <w:lang w:val="en-GB"/>
        </w:rPr>
        <w:t xml:space="preserve"> </w:t>
      </w:r>
      <w:r w:rsidR="00FE516B">
        <w:rPr>
          <w:lang w:val="en-GB"/>
        </w:rPr>
        <w:t xml:space="preserve">of dry sludge </w:t>
      </w:r>
      <w:r w:rsidR="00BC3AF2">
        <w:rPr>
          <w:lang w:val="en-GB"/>
        </w:rPr>
        <w:t>(</w:t>
      </w:r>
      <w:proofErr w:type="spellStart"/>
      <w:r w:rsidR="00BC3AF2">
        <w:rPr>
          <w:lang w:val="en-GB"/>
        </w:rPr>
        <w:t>Kelessidis</w:t>
      </w:r>
      <w:proofErr w:type="spellEnd"/>
      <w:r w:rsidR="00BC3AF2">
        <w:rPr>
          <w:lang w:val="en-GB"/>
        </w:rPr>
        <w:t>,</w:t>
      </w:r>
      <w:r w:rsidR="00BC3AF2" w:rsidRPr="00BC3AF2">
        <w:t xml:space="preserve"> </w:t>
      </w:r>
      <w:proofErr w:type="spellStart"/>
      <w:r w:rsidR="00BC3AF2" w:rsidRPr="00BC3AF2">
        <w:rPr>
          <w:lang w:val="en-GB"/>
        </w:rPr>
        <w:t>Stasinakis</w:t>
      </w:r>
      <w:proofErr w:type="spellEnd"/>
      <w:r w:rsidR="00BC3AF2">
        <w:rPr>
          <w:lang w:val="en-GB"/>
        </w:rPr>
        <w:t>, 2012)</w:t>
      </w:r>
      <w:r w:rsidR="00105F4E">
        <w:rPr>
          <w:lang w:val="en-GB"/>
        </w:rPr>
        <w:t>, creating significant management issues</w:t>
      </w:r>
      <w:r w:rsidR="00B16FC4">
        <w:rPr>
          <w:lang w:val="en-GB"/>
        </w:rPr>
        <w:t xml:space="preserve">. </w:t>
      </w:r>
      <w:r w:rsidR="00105F4E">
        <w:rPr>
          <w:lang w:val="en-GB"/>
        </w:rPr>
        <w:t>Common</w:t>
      </w:r>
      <w:r w:rsidR="00B16FC4">
        <w:rPr>
          <w:lang w:val="en-GB"/>
        </w:rPr>
        <w:t xml:space="preserve"> disposal </w:t>
      </w:r>
      <w:r w:rsidR="00105F4E">
        <w:rPr>
          <w:lang w:val="en-GB"/>
        </w:rPr>
        <w:t>strategies involve utilizing</w:t>
      </w:r>
      <w:r w:rsidR="00B16FC4">
        <w:rPr>
          <w:lang w:val="en-GB"/>
        </w:rPr>
        <w:t xml:space="preserve"> sewage sludge </w:t>
      </w:r>
      <w:r w:rsidR="00DE6660">
        <w:rPr>
          <w:lang w:val="en-GB"/>
        </w:rPr>
        <w:t xml:space="preserve">as nutrient </w:t>
      </w:r>
      <w:r w:rsidR="00AD611E">
        <w:rPr>
          <w:lang w:val="en-GB"/>
        </w:rPr>
        <w:t>source for crops,</w:t>
      </w:r>
      <w:r w:rsidR="00DE6660">
        <w:rPr>
          <w:lang w:val="en-GB"/>
        </w:rPr>
        <w:t xml:space="preserve"> encompassing</w:t>
      </w:r>
      <w:r w:rsidR="00AD611E">
        <w:rPr>
          <w:lang w:val="en-GB"/>
        </w:rPr>
        <w:t xml:space="preserve"> landfilling, composting</w:t>
      </w:r>
      <w:r w:rsidR="00DE6660">
        <w:rPr>
          <w:lang w:val="en-GB"/>
        </w:rPr>
        <w:t xml:space="preserve">, </w:t>
      </w:r>
      <w:r w:rsidR="00AD611E">
        <w:rPr>
          <w:lang w:val="en-GB"/>
        </w:rPr>
        <w:t xml:space="preserve">nutrients recovery for fertilizer production, </w:t>
      </w:r>
      <w:r w:rsidR="00DE6660">
        <w:rPr>
          <w:lang w:val="en-GB"/>
        </w:rPr>
        <w:t>as well as</w:t>
      </w:r>
      <w:r w:rsidR="00AD611E">
        <w:rPr>
          <w:lang w:val="en-GB"/>
        </w:rPr>
        <w:t xml:space="preserve"> </w:t>
      </w:r>
      <w:r w:rsidR="00DE6660">
        <w:rPr>
          <w:lang w:val="en-GB"/>
        </w:rPr>
        <w:t>energy extraction through</w:t>
      </w:r>
      <w:r w:rsidR="00AD611E">
        <w:rPr>
          <w:lang w:val="en-GB"/>
        </w:rPr>
        <w:t xml:space="preserve"> anaerobic digestion, incineration and thermochemical processes for biofuel production (Fan et al., 2022).</w:t>
      </w:r>
      <w:r w:rsidR="00936609">
        <w:rPr>
          <w:lang w:val="en-GB"/>
        </w:rPr>
        <w:t xml:space="preserve"> Its high content of organic substrates, nitrogen and phosphorous, makes sewage sludge </w:t>
      </w:r>
      <w:r w:rsidR="008D1320">
        <w:rPr>
          <w:lang w:val="en-GB"/>
        </w:rPr>
        <w:t>a low cost fertilizer that can be added to the soil to enrich its concentration in bioavailable nutrients for crops, directly or after being composted.</w:t>
      </w:r>
      <w:r w:rsidR="00936609">
        <w:rPr>
          <w:lang w:val="en-GB"/>
        </w:rPr>
        <w:t xml:space="preserve"> </w:t>
      </w:r>
      <w:r w:rsidR="008D1320">
        <w:rPr>
          <w:lang w:val="en-GB"/>
        </w:rPr>
        <w:t>However,</w:t>
      </w:r>
      <w:r w:rsidR="008E073D">
        <w:rPr>
          <w:lang w:val="en-GB"/>
        </w:rPr>
        <w:t xml:space="preserve"> this use can be strongly limited</w:t>
      </w:r>
      <w:r w:rsidR="008D1320">
        <w:rPr>
          <w:lang w:val="en-GB"/>
        </w:rPr>
        <w:t xml:space="preserve"> depending on sludge’s origins, </w:t>
      </w:r>
      <w:r w:rsidR="008E073D">
        <w:rPr>
          <w:lang w:val="en-GB"/>
        </w:rPr>
        <w:t xml:space="preserve">as </w:t>
      </w:r>
      <w:r w:rsidR="008D1320">
        <w:rPr>
          <w:lang w:val="en-GB"/>
        </w:rPr>
        <w:t>it may contain toxic organic compounds and heavy metals that can be accumulated in the soil and even persist in the food chain</w:t>
      </w:r>
      <w:r w:rsidR="008E073D">
        <w:rPr>
          <w:lang w:val="en-GB"/>
        </w:rPr>
        <w:t xml:space="preserve"> (</w:t>
      </w:r>
      <w:proofErr w:type="spellStart"/>
      <w:r w:rsidR="008E073D" w:rsidRPr="008E073D">
        <w:rPr>
          <w:lang w:val="en-GB"/>
        </w:rPr>
        <w:t>Delibacak</w:t>
      </w:r>
      <w:proofErr w:type="spellEnd"/>
      <w:r w:rsidR="008E073D">
        <w:rPr>
          <w:lang w:val="en-GB"/>
        </w:rPr>
        <w:t xml:space="preserve"> et al., 2020). Furthermore, the high moisture content of sewage sludge, that is linked to its origin from wastewater treatments and typically exceeds 90% (</w:t>
      </w:r>
      <w:r w:rsidR="00DA6EF2">
        <w:rPr>
          <w:lang w:val="en-GB"/>
        </w:rPr>
        <w:t>Cabrera, Labatut, 2021) is an obstacle for incineration process, as it negatively affects the heating value of the feed, and for thermochemical processes as gasification and pyrolysis, for which a dry feedstock is required</w:t>
      </w:r>
      <w:r w:rsidR="001431DC">
        <w:rPr>
          <w:lang w:val="en-GB"/>
        </w:rPr>
        <w:t xml:space="preserve"> to achieve an overall positive energy balance </w:t>
      </w:r>
      <w:r w:rsidR="00DA6EF2">
        <w:rPr>
          <w:lang w:val="en-GB"/>
        </w:rPr>
        <w:t>(</w:t>
      </w:r>
      <w:r w:rsidR="001431DC">
        <w:rPr>
          <w:lang w:val="en-GB"/>
        </w:rPr>
        <w:t xml:space="preserve">de </w:t>
      </w:r>
      <w:proofErr w:type="spellStart"/>
      <w:r w:rsidR="001431DC">
        <w:rPr>
          <w:lang w:val="en-GB"/>
        </w:rPr>
        <w:t>Caprariis</w:t>
      </w:r>
      <w:proofErr w:type="spellEnd"/>
      <w:r w:rsidR="001431DC">
        <w:rPr>
          <w:lang w:val="en-GB"/>
        </w:rPr>
        <w:t xml:space="preserve"> et al., 2017). In this context, hydrothermal liquefaction (HTL) emerges as a promising technology that offers several advantages for the conversion of high moisture biomass into valuable biofuels. </w:t>
      </w:r>
      <w:r w:rsidR="00C7555B">
        <w:rPr>
          <w:lang w:val="en-GB"/>
        </w:rPr>
        <w:t xml:space="preserve">Subcritical </w:t>
      </w:r>
      <w:r w:rsidR="001431DC">
        <w:rPr>
          <w:lang w:val="en-GB"/>
        </w:rPr>
        <w:t>HTL is a thermochemical process that works at high pressures (</w:t>
      </w:r>
      <w:r w:rsidR="00C7555B">
        <w:rPr>
          <w:lang w:val="en-GB"/>
        </w:rPr>
        <w:t>7</w:t>
      </w:r>
      <w:r w:rsidR="001431DC">
        <w:rPr>
          <w:lang w:val="en-GB"/>
        </w:rPr>
        <w:t>-2</w:t>
      </w:r>
      <w:r w:rsidR="00C7555B">
        <w:rPr>
          <w:lang w:val="en-GB"/>
        </w:rPr>
        <w:t>0</w:t>
      </w:r>
      <w:r w:rsidR="001431DC">
        <w:rPr>
          <w:lang w:val="en-GB"/>
        </w:rPr>
        <w:t xml:space="preserve"> MPa) and medium temperatures (2</w:t>
      </w:r>
      <w:r w:rsidR="00C7555B">
        <w:rPr>
          <w:lang w:val="en-GB"/>
        </w:rPr>
        <w:t>5</w:t>
      </w:r>
      <w:r w:rsidR="001431DC">
        <w:rPr>
          <w:lang w:val="en-GB"/>
        </w:rPr>
        <w:t>0-</w:t>
      </w:r>
      <w:r w:rsidR="00C7555B">
        <w:rPr>
          <w:lang w:val="en-GB"/>
        </w:rPr>
        <w:t>35</w:t>
      </w:r>
      <w:r w:rsidR="001431DC">
        <w:rPr>
          <w:lang w:val="en-GB"/>
        </w:rPr>
        <w:t xml:space="preserve">0 °C) in </w:t>
      </w:r>
      <w:r w:rsidR="00646197">
        <w:rPr>
          <w:lang w:val="en-GB"/>
        </w:rPr>
        <w:t xml:space="preserve">the presence of water. In these conditions water is near its critical state and behaves as a slightly polar </w:t>
      </w:r>
      <w:r w:rsidR="00646197">
        <w:rPr>
          <w:lang w:val="en-GB"/>
        </w:rPr>
        <w:lastRenderedPageBreak/>
        <w:t>solvent and acid/base catalyst, as its dielectric constant decreases and its ionic dissociation product increases</w:t>
      </w:r>
      <w:r w:rsidR="00C7555B">
        <w:rPr>
          <w:lang w:val="en-GB"/>
        </w:rPr>
        <w:t xml:space="preserve"> (de </w:t>
      </w:r>
      <w:proofErr w:type="spellStart"/>
      <w:r w:rsidR="00C7555B">
        <w:rPr>
          <w:lang w:val="en-GB"/>
        </w:rPr>
        <w:t>Caprariis</w:t>
      </w:r>
      <w:proofErr w:type="spellEnd"/>
      <w:r w:rsidR="00C7555B">
        <w:rPr>
          <w:lang w:val="en-GB"/>
        </w:rPr>
        <w:t xml:space="preserve"> et al., 2022)</w:t>
      </w:r>
      <w:r w:rsidR="00646197">
        <w:rPr>
          <w:lang w:val="en-GB"/>
        </w:rPr>
        <w:t>. Several reactions occur on the organic substrate, including hydrolysis, depolymerization, further transformations and repolymerization, some of them competing with each other. The main product of the process is a biocrude, a heavy oil that can be upgraded to a liquid biofuel</w:t>
      </w:r>
      <w:r w:rsidR="00B858C6">
        <w:rPr>
          <w:lang w:val="en-GB"/>
        </w:rPr>
        <w:t>.</w:t>
      </w:r>
      <w:r w:rsidR="00646197">
        <w:rPr>
          <w:lang w:val="en-GB"/>
        </w:rPr>
        <w:t xml:space="preserve"> </w:t>
      </w:r>
      <w:r w:rsidR="00B858C6">
        <w:rPr>
          <w:lang w:val="en-GB"/>
        </w:rPr>
        <w:t>T</w:t>
      </w:r>
      <w:r w:rsidR="00646197">
        <w:rPr>
          <w:lang w:val="en-GB"/>
        </w:rPr>
        <w:t>hree other by-products are generated: a gaseous phase</w:t>
      </w:r>
      <w:r w:rsidR="0030742A">
        <w:rPr>
          <w:lang w:val="en-GB"/>
        </w:rPr>
        <w:t xml:space="preserve"> mainly composed by CO</w:t>
      </w:r>
      <w:r w:rsidR="0030742A" w:rsidRPr="0030742A">
        <w:rPr>
          <w:vertAlign w:val="subscript"/>
          <w:lang w:val="en-GB"/>
        </w:rPr>
        <w:t>2</w:t>
      </w:r>
      <w:r w:rsidR="005F0028">
        <w:rPr>
          <w:lang w:val="en-GB"/>
        </w:rPr>
        <w:t xml:space="preserve"> that is usually not suitable for energy recovery</w:t>
      </w:r>
      <w:r w:rsidR="00646197">
        <w:rPr>
          <w:lang w:val="en-GB"/>
        </w:rPr>
        <w:t>, an aqueous phase rich in water-soluble compounds, and a biochar</w:t>
      </w:r>
      <w:r w:rsidR="00396282">
        <w:rPr>
          <w:lang w:val="en-GB"/>
        </w:rPr>
        <w:t xml:space="preserve">. The upgrading step of the biocrude is required, as it is chemically unstable and its content of oxygen and other heteroatoms as nitrogen and sulphur </w:t>
      </w:r>
      <w:r w:rsidR="00DA2FAA">
        <w:rPr>
          <w:lang w:val="en-GB"/>
        </w:rPr>
        <w:t>are over the limits</w:t>
      </w:r>
      <w:r w:rsidR="00396282">
        <w:rPr>
          <w:lang w:val="en-GB"/>
        </w:rPr>
        <w:t xml:space="preserve"> for a liquid fuel.</w:t>
      </w:r>
      <w:r w:rsidR="00DA2FAA">
        <w:rPr>
          <w:lang w:val="en-GB"/>
        </w:rPr>
        <w:t xml:space="preserve"> The required presence of water </w:t>
      </w:r>
      <w:r w:rsidR="00A075A1">
        <w:rPr>
          <w:lang w:val="en-GB"/>
        </w:rPr>
        <w:t>as</w:t>
      </w:r>
      <w:r w:rsidR="00DA2FAA">
        <w:rPr>
          <w:lang w:val="en-GB"/>
        </w:rPr>
        <w:t xml:space="preserve"> reaction medium</w:t>
      </w:r>
      <w:r w:rsidR="00A075A1">
        <w:rPr>
          <w:lang w:val="en-GB"/>
        </w:rPr>
        <w:t xml:space="preserve"> in HTL</w:t>
      </w:r>
      <w:r w:rsidR="00DA2FAA">
        <w:rPr>
          <w:lang w:val="en-GB"/>
        </w:rPr>
        <w:t xml:space="preserve"> allows to avoid the need to remove water from the starting feedstock, an energy intensive step that can account for more</w:t>
      </w:r>
      <w:r w:rsidR="00005D78">
        <w:rPr>
          <w:lang w:val="en-GB"/>
        </w:rPr>
        <w:t xml:space="preserve"> than 7</w:t>
      </w:r>
      <w:r w:rsidR="00A075A1">
        <w:rPr>
          <w:lang w:val="en-GB"/>
        </w:rPr>
        <w:t>5</w:t>
      </w:r>
      <w:r w:rsidR="00005D78">
        <w:rPr>
          <w:lang w:val="en-GB"/>
        </w:rPr>
        <w:t xml:space="preserve">% of the </w:t>
      </w:r>
      <w:r w:rsidR="00A075A1">
        <w:rPr>
          <w:lang w:val="en-GB"/>
        </w:rPr>
        <w:t xml:space="preserve">total </w:t>
      </w:r>
      <w:r w:rsidR="00005D78">
        <w:rPr>
          <w:lang w:val="en-GB"/>
        </w:rPr>
        <w:t xml:space="preserve">energy consumption of the process </w:t>
      </w:r>
      <w:r w:rsidR="00A075A1">
        <w:rPr>
          <w:lang w:val="en-GB"/>
        </w:rPr>
        <w:t>(Hao et al., 2021)</w:t>
      </w:r>
      <w:r w:rsidR="000D4FEE">
        <w:rPr>
          <w:lang w:val="en-GB"/>
        </w:rPr>
        <w:t xml:space="preserve">. These characteristics allow the HTL process to be integrated with other consolidated technologies for waste valorisation, as anaerobic digestion. </w:t>
      </w:r>
      <w:r w:rsidR="00256FF4">
        <w:rPr>
          <w:lang w:val="en-GB"/>
        </w:rPr>
        <w:t>The HTL of sewage sludge is a topic that received much attention in literature, although results may vary a lot with sludge’s origins and with the scale of the experimental set-up (Fan et al., 2022). This variability hinders the search for optimal reaction conditions and suggests the need to develop flexible processes for the scale-up to industrial plants.</w:t>
      </w:r>
      <w:r w:rsidR="004B02BE">
        <w:rPr>
          <w:lang w:val="en-GB"/>
        </w:rPr>
        <w:t xml:space="preserve"> </w:t>
      </w:r>
      <w:r w:rsidR="000D4FEE">
        <w:rPr>
          <w:lang w:val="en-GB"/>
        </w:rPr>
        <w:t xml:space="preserve">The aim of this work is to study the effects of operating conditions, as temperature and reaction time, on the conversion of a digestated secondary sludge to produce </w:t>
      </w:r>
      <w:r w:rsidR="00FB565D">
        <w:rPr>
          <w:lang w:val="en-GB"/>
        </w:rPr>
        <w:t xml:space="preserve">a liquid biofuel precursor, that can potentially be fed to conventional fuel upgrading processes to produce a high quality liquid biofuel. </w:t>
      </w:r>
      <w:r w:rsidR="00616FE7">
        <w:rPr>
          <w:lang w:val="en-GB"/>
        </w:rPr>
        <w:t xml:space="preserve">The optimal operating conditions, in terms of biocrude yield and energy recovery from the sludge, are investigated </w:t>
      </w:r>
      <w:r w:rsidR="00E84E19">
        <w:rPr>
          <w:lang w:val="en-GB"/>
        </w:rPr>
        <w:t>using</w:t>
      </w:r>
      <w:r w:rsidR="00616FE7">
        <w:rPr>
          <w:lang w:val="en-GB"/>
        </w:rPr>
        <w:t xml:space="preserve"> an experimental setup that </w:t>
      </w:r>
      <w:r w:rsidR="00BB2FC0">
        <w:rPr>
          <w:lang w:val="en-GB"/>
        </w:rPr>
        <w:t>allows a</w:t>
      </w:r>
      <w:r w:rsidR="00E84E19">
        <w:rPr>
          <w:lang w:val="en-GB"/>
        </w:rPr>
        <w:t xml:space="preserve"> fast heating</w:t>
      </w:r>
      <w:r w:rsidR="00616FE7">
        <w:rPr>
          <w:lang w:val="en-GB"/>
        </w:rPr>
        <w:t xml:space="preserve"> </w:t>
      </w:r>
      <w:r w:rsidR="00E84E19">
        <w:rPr>
          <w:lang w:val="en-GB"/>
        </w:rPr>
        <w:t xml:space="preserve">of the feedstock, as </w:t>
      </w:r>
      <w:r w:rsidR="00BB2FC0">
        <w:rPr>
          <w:lang w:val="en-GB"/>
        </w:rPr>
        <w:t>achieving a</w:t>
      </w:r>
      <w:r w:rsidR="00E84E19">
        <w:rPr>
          <w:lang w:val="en-GB"/>
        </w:rPr>
        <w:t xml:space="preserve"> high heating rate is </w:t>
      </w:r>
      <w:r w:rsidR="00BB2FC0">
        <w:rPr>
          <w:lang w:val="en-GB"/>
        </w:rPr>
        <w:t>crucial</w:t>
      </w:r>
      <w:r w:rsidR="00E84E19">
        <w:rPr>
          <w:lang w:val="en-GB"/>
        </w:rPr>
        <w:t xml:space="preserve"> for the scale up to a continuous process.</w:t>
      </w:r>
    </w:p>
    <w:p w14:paraId="64E56D3D" w14:textId="1656E900" w:rsidR="00091337" w:rsidRDefault="00091337" w:rsidP="00091337">
      <w:pPr>
        <w:pStyle w:val="CETHeading1"/>
      </w:pPr>
      <w:r>
        <w:t>Experimental section</w:t>
      </w:r>
    </w:p>
    <w:p w14:paraId="5E8FBAF8" w14:textId="09794BA4" w:rsidR="00091337" w:rsidRDefault="00091337" w:rsidP="00091337">
      <w:pPr>
        <w:pStyle w:val="CETheadingx"/>
      </w:pPr>
      <w:r>
        <w:t>Materials</w:t>
      </w:r>
    </w:p>
    <w:p w14:paraId="71C178A0" w14:textId="2D7D5555" w:rsidR="00091337" w:rsidRDefault="00091337" w:rsidP="00091337">
      <w:pPr>
        <w:pStyle w:val="CETBodytext"/>
      </w:pPr>
      <w:r>
        <w:t>Pre-dried digested secondary sludge</w:t>
      </w:r>
      <w:r w:rsidR="00B24690">
        <w:t xml:space="preserve"> derived</w:t>
      </w:r>
      <w:r>
        <w:t xml:space="preserve"> from papermill facilities was provided by a wastewater treatment company in Italy. Dichloromethane</w:t>
      </w:r>
      <w:r w:rsidR="00487B43">
        <w:t xml:space="preserve"> (&gt;99</w:t>
      </w:r>
      <w:r w:rsidR="009C67F9">
        <w:t>.8</w:t>
      </w:r>
      <w:r w:rsidR="00487B43">
        <w:t>%)</w:t>
      </w:r>
      <w:r>
        <w:t xml:space="preserve"> </w:t>
      </w:r>
      <w:r w:rsidR="00487B43">
        <w:t xml:space="preserve">was purchased from </w:t>
      </w:r>
      <w:proofErr w:type="spellStart"/>
      <w:r w:rsidR="009C67F9">
        <w:t>J.</w:t>
      </w:r>
      <w:proofErr w:type="gramStart"/>
      <w:r w:rsidR="009C67F9">
        <w:t>T.Baker</w:t>
      </w:r>
      <w:proofErr w:type="spellEnd"/>
      <w:proofErr w:type="gramEnd"/>
      <w:r w:rsidR="00487B43">
        <w:t xml:space="preserve"> and was used as solvent for biocrude extraction.</w:t>
      </w:r>
    </w:p>
    <w:p w14:paraId="19CD64DA" w14:textId="38B902E4" w:rsidR="00487B43" w:rsidRDefault="00487B43" w:rsidP="00487B43">
      <w:pPr>
        <w:pStyle w:val="CETheadingx"/>
      </w:pPr>
      <w:r>
        <w:t>HTL reaction set-up</w:t>
      </w:r>
    </w:p>
    <w:p w14:paraId="100040CB" w14:textId="0DC866FF" w:rsidR="00487B43" w:rsidRPr="00E84E19" w:rsidRDefault="00487B43" w:rsidP="00487B43">
      <w:pPr>
        <w:pStyle w:val="CETBodytext"/>
      </w:pPr>
      <w:r>
        <w:t>HTL</w:t>
      </w:r>
      <w:r w:rsidR="00FF7F75">
        <w:t xml:space="preserve"> batch</w:t>
      </w:r>
      <w:r>
        <w:t xml:space="preserve"> reactions were carried out using tubular </w:t>
      </w:r>
      <w:r w:rsidR="00ED4DD3">
        <w:t xml:space="preserve">stainless-steel </w:t>
      </w:r>
      <w:r>
        <w:t xml:space="preserve">autoclaves with an internal diameter of 10 mL filled with 1 g of dry feedstock and 5 g of deionized water (water to dry ratio 5:1). The autoclaves are closed, inserted in a </w:t>
      </w:r>
      <w:r w:rsidRPr="00E84E19">
        <w:t xml:space="preserve">pre-heated </w:t>
      </w:r>
      <w:r w:rsidR="00ED4DD3" w:rsidRPr="00E84E19">
        <w:t>sand bath</w:t>
      </w:r>
      <w:r w:rsidR="00A812E9" w:rsidRPr="00E84E19">
        <w:t xml:space="preserve"> and mixed continuously with mechanical stirrer</w:t>
      </w:r>
      <w:r w:rsidR="00ED4DD3" w:rsidRPr="00E84E19">
        <w:t>.</w:t>
      </w:r>
      <w:r w:rsidR="000D2DC3" w:rsidRPr="00E84E19">
        <w:t xml:space="preserve"> </w:t>
      </w:r>
      <w:r w:rsidR="00A812E9" w:rsidRPr="00E84E19">
        <w:t xml:space="preserve">The pressure </w:t>
      </w:r>
      <w:r w:rsidR="000D2DC3" w:rsidRPr="00E84E19">
        <w:t xml:space="preserve">inside the autoclave is generated </w:t>
      </w:r>
      <w:r w:rsidR="00FB668A" w:rsidRPr="00E84E19">
        <w:t xml:space="preserve">by the vapor-liquid equilibrium of water (reaching pressures of 65-130 bar depending on the set point temperature) </w:t>
      </w:r>
      <w:r w:rsidR="00A812E9" w:rsidRPr="00E84E19">
        <w:t>and the temperature is fixed by the sand-bath temperature</w:t>
      </w:r>
      <w:r w:rsidR="000D2DC3" w:rsidRPr="00E84E19">
        <w:t>.</w:t>
      </w:r>
      <w:r w:rsidR="00ED4DD3" w:rsidRPr="00E84E19">
        <w:t xml:space="preserve"> </w:t>
      </w:r>
      <w:r w:rsidR="00A812E9" w:rsidRPr="00E84E19">
        <w:t>T</w:t>
      </w:r>
      <w:r w:rsidR="00336B90" w:rsidRPr="00E84E19">
        <w:t>his set-up allows to reach heating rates up to 100 °C/min.</w:t>
      </w:r>
    </w:p>
    <w:p w14:paraId="4F3DEC60" w14:textId="1199C232" w:rsidR="00336B90" w:rsidRPr="00E84E19" w:rsidRDefault="00336B90" w:rsidP="00487B43">
      <w:pPr>
        <w:pStyle w:val="CETBodytext"/>
      </w:pPr>
      <w:r w:rsidRPr="00E84E19">
        <w:t>Three different temperatures were investigated:</w:t>
      </w:r>
    </w:p>
    <w:p w14:paraId="07666537" w14:textId="2A500951" w:rsidR="00336B90" w:rsidRPr="00E84E19" w:rsidRDefault="00336B90" w:rsidP="00336B90">
      <w:pPr>
        <w:pStyle w:val="CETBodytext"/>
        <w:numPr>
          <w:ilvl w:val="0"/>
          <w:numId w:val="23"/>
        </w:numPr>
      </w:pPr>
      <w:r w:rsidRPr="00E84E19">
        <w:t>280 °C</w:t>
      </w:r>
    </w:p>
    <w:p w14:paraId="2ECAA129" w14:textId="3ACE9AD4" w:rsidR="00336B90" w:rsidRPr="00E84E19" w:rsidRDefault="00336B90" w:rsidP="00336B90">
      <w:pPr>
        <w:pStyle w:val="CETBodytext"/>
        <w:numPr>
          <w:ilvl w:val="0"/>
          <w:numId w:val="23"/>
        </w:numPr>
      </w:pPr>
      <w:r w:rsidRPr="00E84E19">
        <w:t>300 °C</w:t>
      </w:r>
    </w:p>
    <w:p w14:paraId="3538824A" w14:textId="778FF513" w:rsidR="00336B90" w:rsidRPr="00E84E19" w:rsidRDefault="00336B90" w:rsidP="00336B90">
      <w:pPr>
        <w:pStyle w:val="CETBodytext"/>
        <w:numPr>
          <w:ilvl w:val="0"/>
          <w:numId w:val="23"/>
        </w:numPr>
      </w:pPr>
      <w:r w:rsidRPr="00E84E19">
        <w:t>330 °C</w:t>
      </w:r>
    </w:p>
    <w:p w14:paraId="3D8968A0" w14:textId="5B930448" w:rsidR="00336B90" w:rsidRPr="00E84E19" w:rsidRDefault="00336B90" w:rsidP="00336B90">
      <w:pPr>
        <w:pStyle w:val="CETBodytext"/>
      </w:pPr>
      <w:r w:rsidRPr="00E84E19">
        <w:t xml:space="preserve">Autoclave’s temperature was continuously measured connecting a thermocouple to </w:t>
      </w:r>
      <w:r w:rsidR="008B7026" w:rsidRPr="00E84E19">
        <w:t>the autoclave’s external wall,</w:t>
      </w:r>
      <w:r w:rsidR="00FB668A" w:rsidRPr="00E84E19">
        <w:t xml:space="preserve"> with the thermocouple extremity</w:t>
      </w:r>
      <w:r w:rsidR="008B7026" w:rsidRPr="00E84E19">
        <w:t xml:space="preserve"> </w:t>
      </w:r>
      <w:r w:rsidR="00FB668A" w:rsidRPr="00E84E19">
        <w:t>thermally insulated</w:t>
      </w:r>
      <w:r w:rsidR="008B7026" w:rsidRPr="00E84E19">
        <w:t xml:space="preserve"> from the sand.</w:t>
      </w:r>
      <w:r w:rsidR="00FB668A" w:rsidRPr="00E84E19">
        <w:t xml:space="preserve"> This measurement started from room temperature </w:t>
      </w:r>
      <w:r w:rsidR="00EB351A" w:rsidRPr="00E84E19">
        <w:t xml:space="preserve">and took approximately 3 minutes to reach the selected final temperature for each test. After that, the holding time under isothermal conditions was measured. For each reaction temperature, the investigated </w:t>
      </w:r>
      <w:r w:rsidR="00BB2FC0">
        <w:t xml:space="preserve">isothermal </w:t>
      </w:r>
      <w:r w:rsidR="00EB351A" w:rsidRPr="00E84E19">
        <w:t>holding times were:</w:t>
      </w:r>
    </w:p>
    <w:p w14:paraId="5454A5BD" w14:textId="548B1BE5" w:rsidR="008B7026" w:rsidRPr="00E84E19" w:rsidRDefault="008B7026" w:rsidP="008B7026">
      <w:pPr>
        <w:pStyle w:val="CETBodytext"/>
        <w:numPr>
          <w:ilvl w:val="0"/>
          <w:numId w:val="24"/>
        </w:numPr>
      </w:pPr>
      <w:r w:rsidRPr="00E84E19">
        <w:t>0 min</w:t>
      </w:r>
    </w:p>
    <w:p w14:paraId="336985B6" w14:textId="44DCCCDB" w:rsidR="008B7026" w:rsidRPr="00E84E19" w:rsidRDefault="008B7026" w:rsidP="008B7026">
      <w:pPr>
        <w:pStyle w:val="CETBodytext"/>
        <w:numPr>
          <w:ilvl w:val="0"/>
          <w:numId w:val="24"/>
        </w:numPr>
      </w:pPr>
      <w:r w:rsidRPr="00E84E19">
        <w:t>10 min</w:t>
      </w:r>
    </w:p>
    <w:p w14:paraId="0AF63B41" w14:textId="7C85B9B1" w:rsidR="008B7026" w:rsidRDefault="008B7026" w:rsidP="008B7026">
      <w:pPr>
        <w:pStyle w:val="CETBodytext"/>
        <w:numPr>
          <w:ilvl w:val="0"/>
          <w:numId w:val="24"/>
        </w:numPr>
      </w:pPr>
      <w:r>
        <w:t>20 min</w:t>
      </w:r>
    </w:p>
    <w:p w14:paraId="5A60A7B7" w14:textId="13E66CC8" w:rsidR="008B7026" w:rsidRDefault="008B7026" w:rsidP="008B7026">
      <w:pPr>
        <w:pStyle w:val="CETBodytext"/>
        <w:numPr>
          <w:ilvl w:val="0"/>
          <w:numId w:val="24"/>
        </w:numPr>
      </w:pPr>
      <w:r>
        <w:t>35 min</w:t>
      </w:r>
    </w:p>
    <w:p w14:paraId="07AA3973" w14:textId="1F994775" w:rsidR="008B7026" w:rsidRDefault="008B7026" w:rsidP="008B7026">
      <w:pPr>
        <w:pStyle w:val="CETBodytext"/>
      </w:pPr>
      <w:r>
        <w:t xml:space="preserve">For better understanding the trend of the product yields, some additional tests were carried out at different holding times. </w:t>
      </w:r>
      <w:r w:rsidR="00976EE7">
        <w:t xml:space="preserve">Then, </w:t>
      </w:r>
      <w:r>
        <w:t xml:space="preserve">the autoclave was </w:t>
      </w:r>
      <w:r w:rsidR="00B72F27">
        <w:t>removed from the sand bath and quenched in cold water to immediately freeze the ongoing reactions.</w:t>
      </w:r>
    </w:p>
    <w:p w14:paraId="1A3A165E" w14:textId="2467F0A7" w:rsidR="00B72F27" w:rsidRPr="00487B43" w:rsidRDefault="00B72F27" w:rsidP="00B72F27">
      <w:pPr>
        <w:pStyle w:val="CETheadingx"/>
      </w:pPr>
      <w:r>
        <w:t>Separation and evaluation of the yields of the products</w:t>
      </w:r>
    </w:p>
    <w:p w14:paraId="0A6A0BEA" w14:textId="35C1F882" w:rsidR="00662DD7" w:rsidRDefault="0030742A" w:rsidP="00F93DD4">
      <w:pPr>
        <w:pStyle w:val="CETBodytext"/>
        <w:rPr>
          <w:lang w:val="en-GB"/>
        </w:rPr>
      </w:pPr>
      <w:r>
        <w:rPr>
          <w:lang w:val="en-GB"/>
        </w:rPr>
        <w:t>After</w:t>
      </w:r>
      <w:r w:rsidR="003C60EA">
        <w:rPr>
          <w:lang w:val="en-GB"/>
        </w:rPr>
        <w:t xml:space="preserve"> the</w:t>
      </w:r>
      <w:r w:rsidR="00976EE7">
        <w:rPr>
          <w:lang w:val="en-GB"/>
        </w:rPr>
        <w:t xml:space="preserve"> </w:t>
      </w:r>
      <w:r>
        <w:rPr>
          <w:lang w:val="en-GB"/>
        </w:rPr>
        <w:t>quench</w:t>
      </w:r>
      <w:r w:rsidR="00976EE7">
        <w:rPr>
          <w:lang w:val="en-GB"/>
        </w:rPr>
        <w:t>ing</w:t>
      </w:r>
      <w:r>
        <w:rPr>
          <w:lang w:val="en-GB"/>
        </w:rPr>
        <w:t>, the autoclave is dried and weighted</w:t>
      </w:r>
      <w:r w:rsidR="00976EE7">
        <w:rPr>
          <w:lang w:val="en-GB"/>
        </w:rPr>
        <w:t xml:space="preserve"> </w:t>
      </w:r>
      <w:proofErr w:type="gramStart"/>
      <w:r w:rsidR="00976EE7">
        <w:rPr>
          <w:lang w:val="en-GB"/>
        </w:rPr>
        <w:t>in order to</w:t>
      </w:r>
      <w:proofErr w:type="gramEnd"/>
      <w:r w:rsidR="00976EE7">
        <w:rPr>
          <w:lang w:val="en-GB"/>
        </w:rPr>
        <w:t xml:space="preserve"> exclude any lo</w:t>
      </w:r>
      <w:r w:rsidR="00B858C6">
        <w:rPr>
          <w:lang w:val="en-GB"/>
        </w:rPr>
        <w:t>s</w:t>
      </w:r>
      <w:r w:rsidR="00976EE7">
        <w:rPr>
          <w:lang w:val="en-GB"/>
        </w:rPr>
        <w:t>ses</w:t>
      </w:r>
      <w:r>
        <w:rPr>
          <w:lang w:val="en-GB"/>
        </w:rPr>
        <w:t xml:space="preserve">. Then it’s opened and </w:t>
      </w:r>
      <w:r w:rsidR="00976EE7">
        <w:rPr>
          <w:lang w:val="en-GB"/>
        </w:rPr>
        <w:t>left</w:t>
      </w:r>
      <w:r>
        <w:rPr>
          <w:lang w:val="en-GB"/>
        </w:rPr>
        <w:t xml:space="preserve"> for 15 minutes to release the gaseous phase and weighted again. The gaseous phase is evaluated by difference. The aqueous phase is removed by filtration using a filtering cap equipped with a piece of filter paper (20 </w:t>
      </w:r>
      <w:r>
        <w:rPr>
          <w:rFonts w:cs="Arial"/>
          <w:lang w:val="en-GB"/>
        </w:rPr>
        <w:t>µ</w:t>
      </w:r>
      <w:r>
        <w:rPr>
          <w:lang w:val="en-GB"/>
        </w:rPr>
        <w:t xml:space="preserve">m of pore diameter) that is directly mounted on </w:t>
      </w:r>
      <w:r w:rsidR="000D2DC3">
        <w:rPr>
          <w:lang w:val="en-GB"/>
        </w:rPr>
        <w:t xml:space="preserve">an extremity of </w:t>
      </w:r>
      <w:r>
        <w:rPr>
          <w:lang w:val="en-GB"/>
        </w:rPr>
        <w:t>the autoclave.</w:t>
      </w:r>
      <w:r w:rsidR="000D2DC3">
        <w:rPr>
          <w:lang w:val="en-GB"/>
        </w:rPr>
        <w:t xml:space="preserve"> </w:t>
      </w:r>
      <w:r w:rsidR="00662DD7">
        <w:rPr>
          <w:lang w:val="en-GB"/>
        </w:rPr>
        <w:t xml:space="preserve">A known amount of aqueous </w:t>
      </w:r>
      <w:r w:rsidR="00662DD7">
        <w:rPr>
          <w:lang w:val="en-GB"/>
        </w:rPr>
        <w:lastRenderedPageBreak/>
        <w:t>phase is poured on a watch glass and let evaporate at room temperature for 24 h. The residue of the evaporation is weighted and used to evaluate the soluble organic fraction in the aqueous phase.</w:t>
      </w:r>
    </w:p>
    <w:p w14:paraId="172E6A2B" w14:textId="79FD1F7F" w:rsidR="00662DD7" w:rsidRDefault="000D2DC3" w:rsidP="00F93DD4">
      <w:pPr>
        <w:pStyle w:val="CETBodytext"/>
        <w:rPr>
          <w:lang w:val="en-GB"/>
        </w:rPr>
      </w:pPr>
      <w:r>
        <w:rPr>
          <w:lang w:val="en-GB"/>
        </w:rPr>
        <w:t xml:space="preserve">The filtration residue is transferred in a Soxhlet </w:t>
      </w:r>
      <w:r w:rsidR="007A6A9E">
        <w:rPr>
          <w:lang w:val="en-GB"/>
        </w:rPr>
        <w:t>cellulose thimble</w:t>
      </w:r>
      <w:r w:rsidR="004B02BE">
        <w:rPr>
          <w:lang w:val="en-GB"/>
        </w:rPr>
        <w:t>,</w:t>
      </w:r>
      <w:r w:rsidR="007A6A9E">
        <w:rPr>
          <w:lang w:val="en-GB"/>
        </w:rPr>
        <w:t xml:space="preserve"> </w:t>
      </w:r>
      <w:r w:rsidR="004B02BE">
        <w:rPr>
          <w:lang w:val="en-GB"/>
        </w:rPr>
        <w:t>while</w:t>
      </w:r>
      <w:r w:rsidR="007A6A9E">
        <w:rPr>
          <w:lang w:val="en-GB"/>
        </w:rPr>
        <w:t xml:space="preserve"> the autoclave is washed with dichloromethane to </w:t>
      </w:r>
      <w:r w:rsidR="004B02BE">
        <w:rPr>
          <w:lang w:val="en-GB"/>
        </w:rPr>
        <w:t>collect</w:t>
      </w:r>
      <w:r w:rsidR="007A6A9E">
        <w:rPr>
          <w:lang w:val="en-GB"/>
        </w:rPr>
        <w:t xml:space="preserve"> the oil stuck on the internal wall. The thimble is </w:t>
      </w:r>
      <w:r w:rsidR="004B02BE">
        <w:rPr>
          <w:lang w:val="en-GB"/>
        </w:rPr>
        <w:t>mounted in</w:t>
      </w:r>
      <w:r w:rsidR="007A6A9E">
        <w:rPr>
          <w:lang w:val="en-GB"/>
        </w:rPr>
        <w:t xml:space="preserve"> a Soxhlet extractor charged with 100 mL of dichloromethane. The extraction is carried out for 4 h. Dichloromethane is then evaporated under vacuum and the obtained biocrude weighted. The thimble </w:t>
      </w:r>
      <w:r w:rsidR="004B02BE">
        <w:rPr>
          <w:lang w:val="en-GB"/>
        </w:rPr>
        <w:t>is dried for 24 h at 80 °C in order to remove the solvent and then weighted to evaluate the biochar yield.</w:t>
      </w:r>
    </w:p>
    <w:p w14:paraId="42EF24D7" w14:textId="068C706D" w:rsidR="00662DD7" w:rsidRDefault="00662DD7" w:rsidP="00F93DD4">
      <w:pPr>
        <w:pStyle w:val="CETBodytext"/>
        <w:rPr>
          <w:lang w:val="en-GB"/>
        </w:rPr>
      </w:pPr>
      <w:r>
        <w:rPr>
          <w:lang w:val="en-GB"/>
        </w:rPr>
        <w:t>The dry based yields are calculated dividing the weight of the product by the weight of the initial dry feedstock.</w:t>
      </w:r>
    </w:p>
    <w:p w14:paraId="6839DE0D" w14:textId="274FAAB8" w:rsidR="004B02BE" w:rsidRDefault="00665975" w:rsidP="004B02BE">
      <w:pPr>
        <w:pStyle w:val="CETheadingx"/>
      </w:pPr>
      <w:r>
        <w:t xml:space="preserve">Analysis of </w:t>
      </w:r>
      <w:r w:rsidR="00FC7809">
        <w:t>feedstock and</w:t>
      </w:r>
      <w:r>
        <w:t xml:space="preserve"> product</w:t>
      </w:r>
      <w:r w:rsidR="00FC7809">
        <w:t>s</w:t>
      </w:r>
    </w:p>
    <w:p w14:paraId="3BD8CDED" w14:textId="2F3D908C" w:rsidR="004B02BE" w:rsidRDefault="00662DD7" w:rsidP="004B02BE">
      <w:pPr>
        <w:pStyle w:val="CETBodytext"/>
      </w:pPr>
      <w:r>
        <w:t>T</w:t>
      </w:r>
      <w:r w:rsidR="00693761">
        <w:t xml:space="preserve">he elemental analysis of the </w:t>
      </w:r>
      <w:r w:rsidR="00665975">
        <w:t xml:space="preserve">starting feedstock and the </w:t>
      </w:r>
      <w:r w:rsidR="00693761">
        <w:t>obtained biocrude was carried out using a</w:t>
      </w:r>
      <w:r w:rsidR="00B93AE1">
        <w:t>n</w:t>
      </w:r>
      <w:r w:rsidR="00693761">
        <w:t xml:space="preserve"> </w:t>
      </w:r>
      <w:proofErr w:type="spellStart"/>
      <w:r w:rsidR="00693761">
        <w:t>Eurovector</w:t>
      </w:r>
      <w:proofErr w:type="spellEnd"/>
      <w:r w:rsidR="00693761">
        <w:t xml:space="preserve"> EA3000 elemental analyzer. The higher heating value </w:t>
      </w:r>
      <w:r w:rsidR="001F0BB8">
        <w:t xml:space="preserve">(HHV) </w:t>
      </w:r>
      <w:r w:rsidR="00693761">
        <w:t>of the dry feedstock and its derived biocrudes at different conditions were calculated using the Dulong formula (</w:t>
      </w:r>
      <w:r w:rsidR="00665975">
        <w:t>Hongthong et al., 2020)</w:t>
      </w:r>
      <w:r w:rsidR="00B93AE1">
        <w:t>,</w:t>
      </w:r>
      <w:r w:rsidR="001F0BB8">
        <w:t xml:space="preserve"> reported in </w:t>
      </w:r>
      <w:proofErr w:type="gramStart"/>
      <w:r w:rsidR="001F0BB8">
        <w:t>Eq(</w:t>
      </w:r>
      <w:proofErr w:type="gramEnd"/>
      <w:r w:rsidR="001F0BB8">
        <w:t>1)</w:t>
      </w:r>
      <w:r w:rsidR="00665975">
        <w:t>:</w:t>
      </w:r>
    </w:p>
    <w:p w14:paraId="5326D137" w14:textId="77777777" w:rsidR="001F0BB8" w:rsidRDefault="001F0BB8" w:rsidP="004B02BE">
      <w:pPr>
        <w:pStyle w:val="CETBodytext"/>
      </w:pPr>
    </w:p>
    <w:tbl>
      <w:tblPr>
        <w:tblW w:w="5000" w:type="pct"/>
        <w:tblLook w:val="04A0" w:firstRow="1" w:lastRow="0" w:firstColumn="1" w:lastColumn="0" w:noHBand="0" w:noVBand="1"/>
      </w:tblPr>
      <w:tblGrid>
        <w:gridCol w:w="7989"/>
        <w:gridCol w:w="798"/>
      </w:tblGrid>
      <w:tr w:rsidR="001F0BB8" w:rsidRPr="00B57B36" w14:paraId="4A708414" w14:textId="77777777" w:rsidTr="00B00AE7">
        <w:tc>
          <w:tcPr>
            <w:tcW w:w="8188" w:type="dxa"/>
            <w:shd w:val="clear" w:color="auto" w:fill="auto"/>
            <w:vAlign w:val="center"/>
          </w:tcPr>
          <w:p w14:paraId="5D0D874A" w14:textId="4EDAA5AE" w:rsidR="001F0BB8" w:rsidRPr="00B93AE1" w:rsidRDefault="00B93AE1" w:rsidP="001F0BB8">
            <w:pPr>
              <w:pStyle w:val="CETEquation"/>
              <w:rPr>
                <w:rFonts w:cs="Arial"/>
                <w:lang w:val="it-IT"/>
              </w:rPr>
            </w:pPr>
            <m:oMathPara>
              <m:oMathParaPr>
                <m:jc m:val="left"/>
              </m:oMathParaPr>
              <m:oMath>
                <m:r>
                  <m:rPr>
                    <m:nor/>
                  </m:rPr>
                  <w:rPr>
                    <w:rFonts w:cs="Arial"/>
                    <w:iCs/>
                    <w:lang w:val="it-IT"/>
                  </w:rPr>
                  <m:t>HHV</m:t>
                </m:r>
                <m:r>
                  <m:rPr>
                    <m:sty m:val="p"/>
                  </m:rPr>
                  <w:rPr>
                    <w:rFonts w:ascii="Cambria Math" w:hAnsi="Cambria Math" w:cs="Arial"/>
                    <w:lang w:val="it-IT"/>
                  </w:rPr>
                  <m:t xml:space="preserve"> </m:t>
                </m:r>
                <m:d>
                  <m:dPr>
                    <m:begChr m:val="["/>
                    <m:endChr m:val="]"/>
                    <m:ctrlPr>
                      <w:rPr>
                        <w:rFonts w:ascii="Cambria Math" w:hAnsi="Cambria Math" w:cs="Arial"/>
                      </w:rPr>
                    </m:ctrlPr>
                  </m:dPr>
                  <m:e>
                    <m:r>
                      <m:rPr>
                        <m:nor/>
                      </m:rPr>
                      <w:rPr>
                        <w:rFonts w:cs="Arial"/>
                        <w:lang w:val="it-IT"/>
                      </w:rPr>
                      <m:t xml:space="preserve">MJ </m:t>
                    </m:r>
                    <m:sSup>
                      <m:sSupPr>
                        <m:ctrlPr>
                          <w:rPr>
                            <w:rFonts w:ascii="Cambria Math" w:hAnsi="Cambria Math" w:cs="Arial"/>
                            <w:i/>
                          </w:rPr>
                        </m:ctrlPr>
                      </m:sSupPr>
                      <m:e>
                        <m:r>
                          <m:rPr>
                            <m:nor/>
                          </m:rPr>
                          <w:rPr>
                            <w:rFonts w:cs="Arial"/>
                            <w:lang w:val="it-IT"/>
                          </w:rPr>
                          <m:t>kg</m:t>
                        </m:r>
                      </m:e>
                      <m:sup>
                        <m:r>
                          <m:rPr>
                            <m:nor/>
                          </m:rPr>
                          <w:rPr>
                            <w:rFonts w:cs="Arial"/>
                            <w:lang w:val="it-IT"/>
                          </w:rPr>
                          <m:t>-1</m:t>
                        </m:r>
                      </m:sup>
                    </m:sSup>
                  </m:e>
                </m:d>
                <m:r>
                  <m:rPr>
                    <m:nor/>
                  </m:rPr>
                  <w:rPr>
                    <w:rFonts w:ascii="Cambria Math" w:cs="Arial"/>
                    <w:lang w:val="it-IT"/>
                  </w:rPr>
                  <m:t xml:space="preserve"> </m:t>
                </m:r>
                <m:r>
                  <m:rPr>
                    <m:nor/>
                  </m:rPr>
                  <w:rPr>
                    <w:rFonts w:cs="Arial"/>
                    <w:lang w:val="it-IT"/>
                  </w:rPr>
                  <m:t>=</m:t>
                </m:r>
                <m:r>
                  <m:rPr>
                    <m:nor/>
                  </m:rPr>
                  <w:rPr>
                    <w:rFonts w:ascii="Cambria Math" w:cs="Arial"/>
                    <w:lang w:val="it-IT"/>
                  </w:rPr>
                  <m:t xml:space="preserve"> </m:t>
                </m:r>
                <m:r>
                  <m:rPr>
                    <m:nor/>
                  </m:rPr>
                  <w:rPr>
                    <w:rFonts w:cs="Arial"/>
                    <w:lang w:val="it-IT"/>
                  </w:rPr>
                  <m:t xml:space="preserve">0.338 </m:t>
                </m:r>
                <m:r>
                  <m:rPr>
                    <m:nor/>
                  </m:rPr>
                  <w:rPr>
                    <w:rFonts w:ascii="Cambria Math" w:hAnsi="Cambria Math" w:cs="Arial"/>
                    <w:lang w:val="it-IT"/>
                  </w:rPr>
                  <m:t>∙</m:t>
                </m:r>
                <m:r>
                  <m:rPr>
                    <m:nor/>
                  </m:rPr>
                  <w:rPr>
                    <w:rFonts w:ascii="Cambria Math" w:cs="Arial"/>
                    <w:lang w:val="it-IT"/>
                  </w:rPr>
                  <m:t xml:space="preserve"> </m:t>
                </m:r>
                <m:r>
                  <m:rPr>
                    <m:nor/>
                  </m:rPr>
                  <w:rPr>
                    <w:rFonts w:cs="Arial"/>
                    <w:iCs/>
                    <w:lang w:val="it-IT"/>
                  </w:rPr>
                  <m:t>C</m:t>
                </m:r>
                <m:r>
                  <m:rPr>
                    <m:nor/>
                  </m:rPr>
                  <w:rPr>
                    <w:rFonts w:ascii="Cambria Math" w:cs="Arial"/>
                    <w:iCs/>
                    <w:lang w:val="it-IT"/>
                  </w:rPr>
                  <m:t xml:space="preserve"> </m:t>
                </m:r>
                <m:r>
                  <m:rPr>
                    <m:nor/>
                  </m:rPr>
                  <w:rPr>
                    <w:rFonts w:cs="Arial"/>
                    <w:lang w:val="it-IT"/>
                  </w:rPr>
                  <m:t>+</m:t>
                </m:r>
                <m:r>
                  <m:rPr>
                    <m:nor/>
                  </m:rPr>
                  <w:rPr>
                    <w:rFonts w:ascii="Cambria Math" w:cs="Arial"/>
                    <w:lang w:val="it-IT"/>
                  </w:rPr>
                  <m:t xml:space="preserve"> </m:t>
                </m:r>
                <m:r>
                  <m:rPr>
                    <m:nor/>
                  </m:rPr>
                  <w:rPr>
                    <w:rFonts w:cs="Arial"/>
                    <w:lang w:val="it-IT"/>
                  </w:rPr>
                  <m:t>1.428</m:t>
                </m:r>
                <m:r>
                  <m:rPr>
                    <m:nor/>
                  </m:rPr>
                  <w:rPr>
                    <w:rFonts w:ascii="Cambria Math" w:cs="Arial"/>
                    <w:lang w:val="it-IT"/>
                  </w:rPr>
                  <m:t xml:space="preserve"> </m:t>
                </m:r>
                <m:r>
                  <m:rPr>
                    <m:nor/>
                  </m:rPr>
                  <w:rPr>
                    <w:rFonts w:ascii="Cambria Math" w:hAnsi="Cambria Math" w:cs="Arial"/>
                    <w:lang w:val="it-IT"/>
                  </w:rPr>
                  <m:t>∙</m:t>
                </m:r>
                <m:r>
                  <m:rPr>
                    <m:sty m:val="p"/>
                  </m:rPr>
                  <w:rPr>
                    <w:rFonts w:ascii="Cambria Math" w:hAnsi="Cambria Math" w:cs="Arial"/>
                    <w:lang w:val="it-IT"/>
                  </w:rPr>
                  <m:t xml:space="preserve"> </m:t>
                </m:r>
                <m:d>
                  <m:dPr>
                    <m:ctrlPr>
                      <w:rPr>
                        <w:rFonts w:ascii="Cambria Math" w:hAnsi="Cambria Math" w:cs="Arial"/>
                      </w:rPr>
                    </m:ctrlPr>
                  </m:dPr>
                  <m:e>
                    <m:r>
                      <m:rPr>
                        <m:nor/>
                      </m:rPr>
                      <w:rPr>
                        <w:rFonts w:cs="Arial"/>
                        <w:iCs/>
                        <w:lang w:val="it-IT"/>
                      </w:rPr>
                      <m:t>H</m:t>
                    </m:r>
                    <m:r>
                      <m:rPr>
                        <m:nor/>
                      </m:rPr>
                      <w:rPr>
                        <w:rFonts w:ascii="Cambria Math" w:cs="Arial"/>
                        <w:iCs/>
                        <w:lang w:val="it-IT"/>
                      </w:rPr>
                      <m:t xml:space="preserve"> </m:t>
                    </m:r>
                    <m:r>
                      <m:rPr>
                        <m:nor/>
                      </m:rPr>
                      <w:rPr>
                        <w:rFonts w:cs="Arial"/>
                        <w:lang w:val="it-IT"/>
                      </w:rPr>
                      <m:t>-</m:t>
                    </m:r>
                    <m:r>
                      <m:rPr>
                        <m:nor/>
                      </m:rPr>
                      <w:rPr>
                        <w:rFonts w:ascii="Cambria Math" w:cs="Arial"/>
                        <w:lang w:val="it-IT"/>
                      </w:rPr>
                      <m:t xml:space="preserve"> </m:t>
                    </m:r>
                    <m:r>
                      <m:rPr>
                        <m:nor/>
                      </m:rPr>
                      <w:rPr>
                        <w:rFonts w:cs="Arial"/>
                        <w:iCs/>
                        <w:lang w:val="it-IT"/>
                      </w:rPr>
                      <m:t>O</m:t>
                    </m:r>
                    <m:r>
                      <m:rPr>
                        <m:nor/>
                      </m:rPr>
                      <w:rPr>
                        <w:rFonts w:cs="Arial"/>
                        <w:lang w:val="it-IT"/>
                      </w:rPr>
                      <m:t>/8</m:t>
                    </m:r>
                  </m:e>
                </m:d>
              </m:oMath>
            </m:oMathPara>
          </w:p>
        </w:tc>
        <w:tc>
          <w:tcPr>
            <w:tcW w:w="815" w:type="dxa"/>
            <w:shd w:val="clear" w:color="auto" w:fill="auto"/>
            <w:vAlign w:val="center"/>
          </w:tcPr>
          <w:p w14:paraId="6B0C1AE4" w14:textId="6B087E3C" w:rsidR="00B93AE1" w:rsidRPr="00B93AE1" w:rsidRDefault="001F0BB8" w:rsidP="00B93AE1">
            <w:pPr>
              <w:pStyle w:val="CETEquation"/>
              <w:jc w:val="right"/>
            </w:pPr>
            <w:r w:rsidRPr="00B57B36">
              <w:t>(1)</w:t>
            </w:r>
          </w:p>
        </w:tc>
      </w:tr>
    </w:tbl>
    <w:p w14:paraId="18D351A8" w14:textId="77777777" w:rsidR="008C509D" w:rsidRDefault="008C509D" w:rsidP="00F93DD4">
      <w:pPr>
        <w:pStyle w:val="CETBodytext"/>
        <w:rPr>
          <w:lang w:val="en-GB"/>
        </w:rPr>
      </w:pPr>
    </w:p>
    <w:p w14:paraId="369A9D40" w14:textId="7A22819D" w:rsidR="00665975" w:rsidRDefault="00B93AE1" w:rsidP="00F93DD4">
      <w:pPr>
        <w:pStyle w:val="CETBodytext"/>
        <w:rPr>
          <w:lang w:val="en-GB"/>
        </w:rPr>
      </w:pPr>
      <w:r>
        <w:rPr>
          <w:lang w:val="en-GB"/>
        </w:rPr>
        <w:t>C, H and O are respectively the dry based weight percentages of carbon, hydrogen and oxygen in the sample.</w:t>
      </w:r>
    </w:p>
    <w:p w14:paraId="6C0CDB66" w14:textId="65DB3D20" w:rsidR="00665975" w:rsidRDefault="00665975" w:rsidP="00F93DD4">
      <w:pPr>
        <w:pStyle w:val="CETBodytext"/>
        <w:rPr>
          <w:lang w:val="en-GB"/>
        </w:rPr>
      </w:pPr>
      <w:r>
        <w:rPr>
          <w:lang w:val="en-GB"/>
        </w:rPr>
        <w:t>The percentage of energy recovery (ER%) was calculated comparing the HHVs of the biocrudes and the dry feedstock, considering the dry based biocrude yield (</w:t>
      </w:r>
      <w:proofErr w:type="spellStart"/>
      <w:r>
        <w:rPr>
          <w:lang w:val="en-GB"/>
        </w:rPr>
        <w:t>Y</w:t>
      </w:r>
      <w:r>
        <w:rPr>
          <w:vertAlign w:val="subscript"/>
          <w:lang w:val="en-GB"/>
        </w:rPr>
        <w:t>biocrude</w:t>
      </w:r>
      <w:proofErr w:type="spellEnd"/>
      <w:r>
        <w:rPr>
          <w:lang w:val="en-GB"/>
        </w:rPr>
        <w:t>)</w:t>
      </w:r>
      <w:r w:rsidR="001F0BB8">
        <w:rPr>
          <w:lang w:val="en-GB"/>
        </w:rPr>
        <w:t xml:space="preserve">, as reported in </w:t>
      </w:r>
      <w:proofErr w:type="spellStart"/>
      <w:proofErr w:type="gramStart"/>
      <w:r w:rsidR="001F0BB8">
        <w:rPr>
          <w:lang w:val="en-GB"/>
        </w:rPr>
        <w:t>Eq</w:t>
      </w:r>
      <w:proofErr w:type="spellEnd"/>
      <w:r w:rsidR="001F0BB8">
        <w:rPr>
          <w:lang w:val="en-GB"/>
        </w:rPr>
        <w:t>(</w:t>
      </w:r>
      <w:proofErr w:type="gramEnd"/>
      <w:r w:rsidR="001F0BB8">
        <w:rPr>
          <w:lang w:val="en-GB"/>
        </w:rPr>
        <w:t>2)</w:t>
      </w:r>
      <w:r>
        <w:rPr>
          <w:lang w:val="en-GB"/>
        </w:rPr>
        <w:t>:</w:t>
      </w:r>
    </w:p>
    <w:p w14:paraId="631F71A3" w14:textId="77777777" w:rsidR="001F0BB8" w:rsidRDefault="001F0BB8" w:rsidP="00F93DD4">
      <w:pPr>
        <w:pStyle w:val="CETBodytext"/>
        <w:rPr>
          <w:lang w:val="en-GB"/>
        </w:rPr>
      </w:pPr>
    </w:p>
    <w:tbl>
      <w:tblPr>
        <w:tblW w:w="5000" w:type="pct"/>
        <w:tblLook w:val="04A0" w:firstRow="1" w:lastRow="0" w:firstColumn="1" w:lastColumn="0" w:noHBand="0" w:noVBand="1"/>
      </w:tblPr>
      <w:tblGrid>
        <w:gridCol w:w="7989"/>
        <w:gridCol w:w="798"/>
      </w:tblGrid>
      <w:tr w:rsidR="001F0BB8" w:rsidRPr="00B57B36" w14:paraId="4649AE06" w14:textId="77777777" w:rsidTr="00B00AE7">
        <w:tc>
          <w:tcPr>
            <w:tcW w:w="8188" w:type="dxa"/>
            <w:shd w:val="clear" w:color="auto" w:fill="auto"/>
            <w:vAlign w:val="center"/>
          </w:tcPr>
          <w:p w14:paraId="67F1574D" w14:textId="266614C5" w:rsidR="001F0BB8" w:rsidRPr="001F0BB8" w:rsidRDefault="001F0BB8" w:rsidP="00B00AE7">
            <w:pPr>
              <w:pStyle w:val="CETEquation"/>
              <w:rPr>
                <w:rFonts w:cs="Arial"/>
              </w:rPr>
            </w:pPr>
            <m:oMathPara>
              <m:oMathParaPr>
                <m:jc m:val="left"/>
              </m:oMathParaPr>
              <m:oMath>
                <m:r>
                  <m:rPr>
                    <m:nor/>
                  </m:rPr>
                  <w:rPr>
                    <w:rFonts w:cs="Arial"/>
                  </w:rPr>
                  <m:t xml:space="preserve">ER%= </m:t>
                </m:r>
                <m:f>
                  <m:fPr>
                    <m:ctrlPr>
                      <w:rPr>
                        <w:rFonts w:ascii="Cambria Math" w:hAnsi="Cambria Math" w:cs="Arial"/>
                      </w:rPr>
                    </m:ctrlPr>
                  </m:fPr>
                  <m:num>
                    <m:sSub>
                      <m:sSubPr>
                        <m:ctrlPr>
                          <w:rPr>
                            <w:rFonts w:ascii="Cambria Math" w:hAnsi="Cambria Math" w:cs="Arial"/>
                          </w:rPr>
                        </m:ctrlPr>
                      </m:sSubPr>
                      <m:e>
                        <m:r>
                          <m:rPr>
                            <m:nor/>
                          </m:rPr>
                          <w:rPr>
                            <w:rFonts w:cs="Arial"/>
                          </w:rPr>
                          <m:t>Y</m:t>
                        </m:r>
                      </m:e>
                      <m:sub>
                        <m:r>
                          <m:rPr>
                            <m:nor/>
                          </m:rPr>
                          <w:rPr>
                            <w:rFonts w:cs="Arial"/>
                          </w:rPr>
                          <m:t>biocrude</m:t>
                        </m:r>
                      </m:sub>
                    </m:sSub>
                    <m:d>
                      <m:dPr>
                        <m:begChr m:val="["/>
                        <m:endChr m:val="]"/>
                        <m:ctrlPr>
                          <w:rPr>
                            <w:rFonts w:ascii="Cambria Math" w:hAnsi="Cambria Math" w:cs="Arial"/>
                          </w:rPr>
                        </m:ctrlPr>
                      </m:dPr>
                      <m:e>
                        <m:r>
                          <m:rPr>
                            <m:nor/>
                          </m:rPr>
                          <w:rPr>
                            <w:rFonts w:cs="Arial"/>
                          </w:rPr>
                          <m:t>% d.b.</m:t>
                        </m:r>
                      </m:e>
                    </m:d>
                    <m:r>
                      <m:rPr>
                        <m:nor/>
                      </m:rPr>
                      <w:rPr>
                        <w:rFonts w:cs="Arial"/>
                      </w:rPr>
                      <m:t xml:space="preserve"> ∙ </m:t>
                    </m:r>
                    <m:sSub>
                      <m:sSubPr>
                        <m:ctrlPr>
                          <w:rPr>
                            <w:rFonts w:ascii="Cambria Math" w:hAnsi="Cambria Math" w:cs="Arial"/>
                          </w:rPr>
                        </m:ctrlPr>
                      </m:sSubPr>
                      <m:e>
                        <m:r>
                          <m:rPr>
                            <m:nor/>
                          </m:rPr>
                          <w:rPr>
                            <w:rFonts w:cs="Arial"/>
                          </w:rPr>
                          <m:t>HHV</m:t>
                        </m:r>
                      </m:e>
                      <m:sub>
                        <m:r>
                          <m:rPr>
                            <m:nor/>
                          </m:rPr>
                          <w:rPr>
                            <w:rFonts w:cs="Arial"/>
                          </w:rPr>
                          <m:t>biocrude</m:t>
                        </m:r>
                      </m:sub>
                    </m:sSub>
                    <m:d>
                      <m:dPr>
                        <m:begChr m:val="["/>
                        <m:endChr m:val="]"/>
                        <m:ctrlPr>
                          <w:rPr>
                            <w:rFonts w:ascii="Cambria Math" w:hAnsi="Cambria Math" w:cs="Arial"/>
                          </w:rPr>
                        </m:ctrlPr>
                      </m:dPr>
                      <m:e>
                        <m:r>
                          <m:rPr>
                            <m:nor/>
                          </m:rPr>
                          <w:rPr>
                            <w:rFonts w:cs="Arial"/>
                          </w:rPr>
                          <m:t xml:space="preserve">MJ </m:t>
                        </m:r>
                        <m:sSup>
                          <m:sSupPr>
                            <m:ctrlPr>
                              <w:rPr>
                                <w:rFonts w:ascii="Cambria Math" w:hAnsi="Cambria Math" w:cs="Arial"/>
                                <w:i/>
                              </w:rPr>
                            </m:ctrlPr>
                          </m:sSupPr>
                          <m:e>
                            <m:r>
                              <m:rPr>
                                <m:nor/>
                              </m:rPr>
                              <w:rPr>
                                <w:rFonts w:cs="Arial"/>
                              </w:rPr>
                              <m:t>kg</m:t>
                            </m:r>
                          </m:e>
                          <m:sup>
                            <m:r>
                              <m:rPr>
                                <m:nor/>
                              </m:rPr>
                              <w:rPr>
                                <w:rFonts w:cs="Arial"/>
                              </w:rPr>
                              <m:t>-1</m:t>
                            </m:r>
                          </m:sup>
                        </m:sSup>
                      </m:e>
                    </m:d>
                  </m:num>
                  <m:den>
                    <m:sSub>
                      <m:sSubPr>
                        <m:ctrlPr>
                          <w:rPr>
                            <w:rFonts w:ascii="Cambria Math" w:hAnsi="Cambria Math" w:cs="Arial"/>
                          </w:rPr>
                        </m:ctrlPr>
                      </m:sSubPr>
                      <m:e>
                        <m:r>
                          <m:rPr>
                            <m:nor/>
                          </m:rPr>
                          <w:rPr>
                            <w:rFonts w:cs="Arial"/>
                          </w:rPr>
                          <m:t>HHV</m:t>
                        </m:r>
                      </m:e>
                      <m:sub>
                        <m:r>
                          <m:rPr>
                            <m:nor/>
                          </m:rPr>
                          <w:rPr>
                            <w:rFonts w:cs="Arial"/>
                          </w:rPr>
                          <m:t>dry feedstock</m:t>
                        </m:r>
                      </m:sub>
                    </m:sSub>
                    <m:d>
                      <m:dPr>
                        <m:begChr m:val="["/>
                        <m:endChr m:val="]"/>
                        <m:ctrlPr>
                          <w:rPr>
                            <w:rFonts w:ascii="Cambria Math" w:hAnsi="Cambria Math" w:cs="Arial"/>
                          </w:rPr>
                        </m:ctrlPr>
                      </m:dPr>
                      <m:e>
                        <m:r>
                          <m:rPr>
                            <m:nor/>
                          </m:rPr>
                          <w:rPr>
                            <w:rFonts w:cs="Arial"/>
                          </w:rPr>
                          <m:t xml:space="preserve">MJ </m:t>
                        </m:r>
                        <m:sSup>
                          <m:sSupPr>
                            <m:ctrlPr>
                              <w:rPr>
                                <w:rFonts w:ascii="Cambria Math" w:hAnsi="Cambria Math" w:cs="Arial"/>
                                <w:i/>
                              </w:rPr>
                            </m:ctrlPr>
                          </m:sSupPr>
                          <m:e>
                            <m:r>
                              <m:rPr>
                                <m:nor/>
                              </m:rPr>
                              <w:rPr>
                                <w:rFonts w:cs="Arial"/>
                              </w:rPr>
                              <m:t>kg</m:t>
                            </m:r>
                          </m:e>
                          <m:sup>
                            <m:r>
                              <m:rPr>
                                <m:nor/>
                              </m:rPr>
                              <w:rPr>
                                <w:rFonts w:cs="Arial"/>
                              </w:rPr>
                              <m:t>-1</m:t>
                            </m:r>
                          </m:sup>
                        </m:sSup>
                      </m:e>
                    </m:d>
                  </m:den>
                </m:f>
              </m:oMath>
            </m:oMathPara>
          </w:p>
        </w:tc>
        <w:tc>
          <w:tcPr>
            <w:tcW w:w="815" w:type="dxa"/>
            <w:shd w:val="clear" w:color="auto" w:fill="auto"/>
            <w:vAlign w:val="center"/>
          </w:tcPr>
          <w:p w14:paraId="30AF0B1A" w14:textId="62FE16EA" w:rsidR="001F0BB8" w:rsidRPr="00B57B36" w:rsidRDefault="001F0BB8" w:rsidP="00B00AE7">
            <w:pPr>
              <w:pStyle w:val="CETEquation"/>
              <w:jc w:val="right"/>
            </w:pPr>
            <w:r w:rsidRPr="00B57B36">
              <w:t>(</w:t>
            </w:r>
            <w:r>
              <w:t>2</w:t>
            </w:r>
            <w:r w:rsidRPr="00B57B36">
              <w:t>)</w:t>
            </w:r>
          </w:p>
        </w:tc>
      </w:tr>
    </w:tbl>
    <w:p w14:paraId="1F972BD5" w14:textId="04DE55B0" w:rsidR="00665975" w:rsidRDefault="008C509D" w:rsidP="008C509D">
      <w:pPr>
        <w:pStyle w:val="CETHeading1"/>
      </w:pPr>
      <w:r>
        <w:t>Results and comments</w:t>
      </w:r>
    </w:p>
    <w:p w14:paraId="57F8318E" w14:textId="688ECAF0" w:rsidR="005F1278" w:rsidRDefault="005F1278" w:rsidP="005F1278">
      <w:pPr>
        <w:pStyle w:val="CETheadingx"/>
      </w:pPr>
      <w:r>
        <w:t>Analysis of the feedstock</w:t>
      </w:r>
    </w:p>
    <w:p w14:paraId="66DBED5F" w14:textId="165BD977" w:rsidR="00D22163" w:rsidRPr="00D22163" w:rsidRDefault="00D22163" w:rsidP="00D22163">
      <w:pPr>
        <w:pStyle w:val="CETBodytext"/>
      </w:pPr>
      <w:r>
        <w:t>The elemental percentages, ash content and higher heating value of the dry secondary sludge used as feedstock for the tests are reported in Table 1.</w:t>
      </w:r>
    </w:p>
    <w:p w14:paraId="680B4EBB" w14:textId="4BB910F2" w:rsidR="005F1278" w:rsidRPr="00B57B36" w:rsidRDefault="005F1278" w:rsidP="005F1278">
      <w:pPr>
        <w:pStyle w:val="CETTabletitle"/>
      </w:pPr>
      <w:r w:rsidRPr="00B57B36">
        <w:t xml:space="preserve">Table 1: </w:t>
      </w:r>
      <w:r>
        <w:t>Elemental analysis, ash content and HHV of the dry feedstock</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gridCol w:w="1418"/>
      </w:tblGrid>
      <w:tr w:rsidR="00D22163" w:rsidRPr="00B57B36" w14:paraId="0D752D64" w14:textId="08761671" w:rsidTr="00B24690">
        <w:tc>
          <w:tcPr>
            <w:tcW w:w="1134" w:type="dxa"/>
            <w:tcBorders>
              <w:top w:val="single" w:sz="12" w:space="0" w:color="008000"/>
              <w:bottom w:val="single" w:sz="6" w:space="0" w:color="008000"/>
            </w:tcBorders>
            <w:shd w:val="clear" w:color="auto" w:fill="FFFFFF"/>
            <w:vAlign w:val="center"/>
          </w:tcPr>
          <w:p w14:paraId="14D84822" w14:textId="203FD321" w:rsidR="00D22163" w:rsidRPr="00B57B36" w:rsidRDefault="00D22163" w:rsidP="00B24690">
            <w:pPr>
              <w:pStyle w:val="CETBodytext"/>
              <w:jc w:val="center"/>
              <w:rPr>
                <w:lang w:val="en-GB"/>
              </w:rPr>
            </w:pPr>
            <w:r>
              <w:rPr>
                <w:lang w:val="en-GB"/>
              </w:rPr>
              <w:t xml:space="preserve">C [% </w:t>
            </w:r>
            <w:proofErr w:type="spellStart"/>
            <w:r>
              <w:rPr>
                <w:lang w:val="en-GB"/>
              </w:rPr>
              <w:t>d.b.</w:t>
            </w:r>
            <w:proofErr w:type="spellEnd"/>
            <w:r>
              <w:rPr>
                <w:lang w:val="en-GB"/>
              </w:rPr>
              <w:t>]</w:t>
            </w:r>
          </w:p>
        </w:tc>
        <w:tc>
          <w:tcPr>
            <w:tcW w:w="1134" w:type="dxa"/>
            <w:tcBorders>
              <w:top w:val="single" w:sz="12" w:space="0" w:color="008000"/>
              <w:bottom w:val="single" w:sz="6" w:space="0" w:color="008000"/>
            </w:tcBorders>
            <w:shd w:val="clear" w:color="auto" w:fill="FFFFFF"/>
            <w:vAlign w:val="center"/>
          </w:tcPr>
          <w:p w14:paraId="4853FEEB" w14:textId="7C84B9AB" w:rsidR="00D22163" w:rsidRPr="00B57B36" w:rsidRDefault="00D22163" w:rsidP="00B24690">
            <w:pPr>
              <w:pStyle w:val="CETBodytext"/>
              <w:jc w:val="center"/>
              <w:rPr>
                <w:lang w:val="en-GB"/>
              </w:rPr>
            </w:pPr>
            <w:r>
              <w:rPr>
                <w:lang w:val="en-GB"/>
              </w:rPr>
              <w:t xml:space="preserve">H [% </w:t>
            </w:r>
            <w:proofErr w:type="spellStart"/>
            <w:r>
              <w:rPr>
                <w:lang w:val="en-GB"/>
              </w:rPr>
              <w:t>d.b.</w:t>
            </w:r>
            <w:proofErr w:type="spellEnd"/>
            <w:r>
              <w:rPr>
                <w:lang w:val="en-GB"/>
              </w:rPr>
              <w:t>]</w:t>
            </w:r>
          </w:p>
        </w:tc>
        <w:tc>
          <w:tcPr>
            <w:tcW w:w="1134" w:type="dxa"/>
            <w:tcBorders>
              <w:top w:val="single" w:sz="12" w:space="0" w:color="008000"/>
              <w:bottom w:val="single" w:sz="6" w:space="0" w:color="008000"/>
            </w:tcBorders>
            <w:shd w:val="clear" w:color="auto" w:fill="FFFFFF"/>
            <w:vAlign w:val="center"/>
          </w:tcPr>
          <w:p w14:paraId="59674A8C" w14:textId="241D5F88" w:rsidR="00D22163" w:rsidRPr="00B57B36" w:rsidRDefault="00D22163" w:rsidP="00B24690">
            <w:pPr>
              <w:pStyle w:val="CETBodytext"/>
              <w:jc w:val="center"/>
              <w:rPr>
                <w:lang w:val="en-GB"/>
              </w:rPr>
            </w:pPr>
            <w:r>
              <w:rPr>
                <w:lang w:val="en-GB"/>
              </w:rPr>
              <w:t xml:space="preserve">N [% </w:t>
            </w:r>
            <w:proofErr w:type="spellStart"/>
            <w:r>
              <w:rPr>
                <w:lang w:val="en-GB"/>
              </w:rPr>
              <w:t>d.b.</w:t>
            </w:r>
            <w:proofErr w:type="spellEnd"/>
            <w:r>
              <w:rPr>
                <w:lang w:val="en-GB"/>
              </w:rPr>
              <w:t>]</w:t>
            </w:r>
          </w:p>
        </w:tc>
        <w:tc>
          <w:tcPr>
            <w:tcW w:w="1134" w:type="dxa"/>
            <w:tcBorders>
              <w:top w:val="single" w:sz="12" w:space="0" w:color="008000"/>
              <w:bottom w:val="single" w:sz="6" w:space="0" w:color="008000"/>
            </w:tcBorders>
            <w:shd w:val="clear" w:color="auto" w:fill="FFFFFF"/>
            <w:vAlign w:val="center"/>
          </w:tcPr>
          <w:p w14:paraId="6AA3BA25" w14:textId="60BE432C" w:rsidR="00D22163" w:rsidRPr="00B57B36" w:rsidRDefault="00D22163" w:rsidP="00B24690">
            <w:pPr>
              <w:pStyle w:val="CETBodytext"/>
              <w:ind w:right="-1"/>
              <w:jc w:val="center"/>
              <w:rPr>
                <w:rFonts w:cs="Arial"/>
                <w:szCs w:val="18"/>
                <w:lang w:val="en-GB"/>
              </w:rPr>
            </w:pPr>
            <w:r>
              <w:rPr>
                <w:rFonts w:cs="Arial"/>
                <w:szCs w:val="18"/>
                <w:lang w:val="en-GB"/>
              </w:rPr>
              <w:t xml:space="preserve">Ash [% </w:t>
            </w:r>
            <w:proofErr w:type="spellStart"/>
            <w:r>
              <w:rPr>
                <w:rFonts w:cs="Arial"/>
                <w:szCs w:val="18"/>
                <w:lang w:val="en-GB"/>
              </w:rPr>
              <w:t>d.b.</w:t>
            </w:r>
            <w:proofErr w:type="spellEnd"/>
            <w:r>
              <w:rPr>
                <w:rFonts w:cs="Arial"/>
                <w:szCs w:val="18"/>
                <w:lang w:val="en-GB"/>
              </w:rPr>
              <w:t>]</w:t>
            </w:r>
          </w:p>
        </w:tc>
        <w:tc>
          <w:tcPr>
            <w:tcW w:w="1134" w:type="dxa"/>
            <w:tcBorders>
              <w:top w:val="single" w:sz="12" w:space="0" w:color="008000"/>
              <w:bottom w:val="single" w:sz="6" w:space="0" w:color="008000"/>
            </w:tcBorders>
            <w:shd w:val="clear" w:color="auto" w:fill="FFFFFF"/>
            <w:vAlign w:val="center"/>
          </w:tcPr>
          <w:p w14:paraId="2628FCC1" w14:textId="71F6B1A4" w:rsidR="00D22163" w:rsidRPr="00B57B36" w:rsidRDefault="00D22163" w:rsidP="00B24690">
            <w:pPr>
              <w:pStyle w:val="CETBodytext"/>
              <w:ind w:right="-1"/>
              <w:jc w:val="center"/>
              <w:rPr>
                <w:rFonts w:cs="Arial"/>
                <w:szCs w:val="18"/>
                <w:lang w:val="en-GB"/>
              </w:rPr>
            </w:pPr>
            <w:r>
              <w:rPr>
                <w:rFonts w:cs="Arial"/>
                <w:szCs w:val="18"/>
                <w:lang w:val="en-GB"/>
              </w:rPr>
              <w:t xml:space="preserve">O* [% </w:t>
            </w:r>
            <w:proofErr w:type="spellStart"/>
            <w:r>
              <w:rPr>
                <w:rFonts w:cs="Arial"/>
                <w:szCs w:val="18"/>
                <w:lang w:val="en-GB"/>
              </w:rPr>
              <w:t>d.b.</w:t>
            </w:r>
            <w:proofErr w:type="spellEnd"/>
            <w:r>
              <w:rPr>
                <w:rFonts w:cs="Arial"/>
                <w:szCs w:val="18"/>
                <w:lang w:val="en-GB"/>
              </w:rPr>
              <w:t>]</w:t>
            </w:r>
          </w:p>
        </w:tc>
        <w:tc>
          <w:tcPr>
            <w:tcW w:w="1418" w:type="dxa"/>
            <w:tcBorders>
              <w:top w:val="single" w:sz="12" w:space="0" w:color="008000"/>
              <w:bottom w:val="single" w:sz="6" w:space="0" w:color="008000"/>
            </w:tcBorders>
            <w:shd w:val="clear" w:color="auto" w:fill="FFFFFF"/>
            <w:vAlign w:val="center"/>
          </w:tcPr>
          <w:p w14:paraId="3547A446" w14:textId="7284F6A3" w:rsidR="00D22163" w:rsidRDefault="00D22163" w:rsidP="00B24690">
            <w:pPr>
              <w:pStyle w:val="CETBodytext"/>
              <w:ind w:right="-1"/>
              <w:jc w:val="center"/>
              <w:rPr>
                <w:rFonts w:cs="Arial"/>
                <w:szCs w:val="18"/>
                <w:lang w:val="en-GB"/>
              </w:rPr>
            </w:pPr>
            <w:r>
              <w:rPr>
                <w:rFonts w:cs="Arial"/>
                <w:szCs w:val="18"/>
                <w:lang w:val="en-GB"/>
              </w:rPr>
              <w:t>HHV [MJ kg</w:t>
            </w:r>
            <w:r w:rsidRPr="00D22163">
              <w:rPr>
                <w:rFonts w:cs="Arial"/>
                <w:szCs w:val="18"/>
                <w:vertAlign w:val="superscript"/>
                <w:lang w:val="en-GB"/>
              </w:rPr>
              <w:t>-1</w:t>
            </w:r>
            <w:r>
              <w:rPr>
                <w:rFonts w:cs="Arial"/>
                <w:szCs w:val="18"/>
                <w:lang w:val="en-GB"/>
              </w:rPr>
              <w:t>]</w:t>
            </w:r>
          </w:p>
        </w:tc>
      </w:tr>
      <w:tr w:rsidR="00D22163" w:rsidRPr="00B57B36" w14:paraId="3316DD92" w14:textId="1875E640" w:rsidTr="00FC7809">
        <w:trPr>
          <w:trHeight w:val="200"/>
        </w:trPr>
        <w:tc>
          <w:tcPr>
            <w:tcW w:w="1134" w:type="dxa"/>
            <w:shd w:val="clear" w:color="auto" w:fill="FFFFFF"/>
            <w:vAlign w:val="center"/>
          </w:tcPr>
          <w:p w14:paraId="635B0E6C" w14:textId="6ADF23B1" w:rsidR="00D22163" w:rsidRPr="00B57B36" w:rsidRDefault="00B24690" w:rsidP="00B24690">
            <w:pPr>
              <w:pStyle w:val="CETBodytext"/>
              <w:jc w:val="center"/>
              <w:rPr>
                <w:lang w:val="en-GB"/>
              </w:rPr>
            </w:pPr>
            <w:r>
              <w:rPr>
                <w:lang w:val="en-GB"/>
              </w:rPr>
              <w:t>31.5</w:t>
            </w:r>
          </w:p>
        </w:tc>
        <w:tc>
          <w:tcPr>
            <w:tcW w:w="1134" w:type="dxa"/>
            <w:shd w:val="clear" w:color="auto" w:fill="FFFFFF"/>
            <w:vAlign w:val="center"/>
          </w:tcPr>
          <w:p w14:paraId="37452ECF" w14:textId="54ACC7CF" w:rsidR="00D22163" w:rsidRPr="00B57B36" w:rsidRDefault="00B24690" w:rsidP="00B24690">
            <w:pPr>
              <w:pStyle w:val="CETBodytext"/>
              <w:jc w:val="center"/>
              <w:rPr>
                <w:lang w:val="en-GB"/>
              </w:rPr>
            </w:pPr>
            <w:r>
              <w:rPr>
                <w:lang w:val="en-GB"/>
              </w:rPr>
              <w:t>4.9</w:t>
            </w:r>
          </w:p>
        </w:tc>
        <w:tc>
          <w:tcPr>
            <w:tcW w:w="1134" w:type="dxa"/>
            <w:shd w:val="clear" w:color="auto" w:fill="FFFFFF"/>
            <w:vAlign w:val="center"/>
          </w:tcPr>
          <w:p w14:paraId="7421926A" w14:textId="370FFE9D" w:rsidR="00D22163" w:rsidRPr="00B57B36" w:rsidRDefault="00B24690" w:rsidP="00B24690">
            <w:pPr>
              <w:pStyle w:val="CETBodytext"/>
              <w:jc w:val="center"/>
              <w:rPr>
                <w:lang w:val="en-GB"/>
              </w:rPr>
            </w:pPr>
            <w:r>
              <w:rPr>
                <w:lang w:val="en-GB"/>
              </w:rPr>
              <w:t>5.3</w:t>
            </w:r>
          </w:p>
        </w:tc>
        <w:tc>
          <w:tcPr>
            <w:tcW w:w="1134" w:type="dxa"/>
            <w:shd w:val="clear" w:color="auto" w:fill="FFFFFF"/>
            <w:vAlign w:val="center"/>
          </w:tcPr>
          <w:p w14:paraId="46FAD6D5" w14:textId="15685349" w:rsidR="00D22163" w:rsidRPr="00B57B36" w:rsidRDefault="00B24690" w:rsidP="00B24690">
            <w:pPr>
              <w:pStyle w:val="CETBodytext"/>
              <w:ind w:right="-1"/>
              <w:jc w:val="center"/>
              <w:rPr>
                <w:rFonts w:cs="Arial"/>
                <w:szCs w:val="18"/>
                <w:lang w:val="en-GB"/>
              </w:rPr>
            </w:pPr>
            <w:r>
              <w:rPr>
                <w:rFonts w:cs="Arial"/>
                <w:szCs w:val="18"/>
                <w:lang w:val="en-GB"/>
              </w:rPr>
              <w:t>29.2</w:t>
            </w:r>
          </w:p>
        </w:tc>
        <w:tc>
          <w:tcPr>
            <w:tcW w:w="1134" w:type="dxa"/>
            <w:shd w:val="clear" w:color="auto" w:fill="FFFFFF"/>
            <w:vAlign w:val="center"/>
          </w:tcPr>
          <w:p w14:paraId="201079A1" w14:textId="6A90C3C2" w:rsidR="00D22163" w:rsidRPr="00B57B36" w:rsidRDefault="00B24690" w:rsidP="00B24690">
            <w:pPr>
              <w:pStyle w:val="CETBodytext"/>
              <w:ind w:right="-1"/>
              <w:jc w:val="center"/>
              <w:rPr>
                <w:rFonts w:cs="Arial"/>
                <w:szCs w:val="18"/>
                <w:lang w:val="en-GB"/>
              </w:rPr>
            </w:pPr>
            <w:r>
              <w:rPr>
                <w:rFonts w:cs="Arial"/>
                <w:szCs w:val="18"/>
                <w:lang w:val="en-GB"/>
              </w:rPr>
              <w:t>29.1</w:t>
            </w:r>
          </w:p>
        </w:tc>
        <w:tc>
          <w:tcPr>
            <w:tcW w:w="1418" w:type="dxa"/>
            <w:shd w:val="clear" w:color="auto" w:fill="FFFFFF"/>
            <w:vAlign w:val="center"/>
          </w:tcPr>
          <w:p w14:paraId="7E0EF066" w14:textId="5B7CB9EE" w:rsidR="00D22163" w:rsidRPr="00B57B36" w:rsidRDefault="00B24690" w:rsidP="00B24690">
            <w:pPr>
              <w:pStyle w:val="CETBodytext"/>
              <w:ind w:right="-1"/>
              <w:jc w:val="center"/>
              <w:rPr>
                <w:rFonts w:cs="Arial"/>
                <w:szCs w:val="18"/>
                <w:lang w:val="en-GB"/>
              </w:rPr>
            </w:pPr>
            <w:r>
              <w:rPr>
                <w:rFonts w:cs="Arial"/>
                <w:szCs w:val="18"/>
                <w:lang w:val="en-GB"/>
              </w:rPr>
              <w:t>12.45</w:t>
            </w:r>
          </w:p>
        </w:tc>
      </w:tr>
    </w:tbl>
    <w:p w14:paraId="2D1BD203" w14:textId="5C8912BB" w:rsidR="005F1278" w:rsidRDefault="00D22163" w:rsidP="00D22163">
      <w:pPr>
        <w:pStyle w:val="CETBodytext"/>
      </w:pPr>
      <w:r w:rsidRPr="00D22163">
        <w:t>*</w:t>
      </w:r>
      <w:r>
        <w:t xml:space="preserve"> Oxygen obtained by difference: 100% – C – H – N – Ash.</w:t>
      </w:r>
    </w:p>
    <w:p w14:paraId="18E70112" w14:textId="77777777" w:rsidR="00D22163" w:rsidRDefault="00D22163" w:rsidP="00D22163">
      <w:pPr>
        <w:pStyle w:val="CETBodytext"/>
      </w:pPr>
    </w:p>
    <w:p w14:paraId="40E07417" w14:textId="3F3D800D" w:rsidR="00B24690" w:rsidRPr="005F1278" w:rsidRDefault="00B24690" w:rsidP="00D22163">
      <w:pPr>
        <w:pStyle w:val="CETBodytext"/>
      </w:pPr>
      <w:r>
        <w:t>The elemental analysis of the feedstock reveals a high presence of nitrogen</w:t>
      </w:r>
      <w:r w:rsidR="00F82F30">
        <w:t xml:space="preserve"> (5.3%)</w:t>
      </w:r>
      <w:r>
        <w:t>, due to the biologic origin of secondary sludge</w:t>
      </w:r>
      <w:r w:rsidR="00B2676E">
        <w:t>. Results also show a</w:t>
      </w:r>
      <w:r w:rsidR="00F82F30">
        <w:t xml:space="preserve">n ash content of 29.2% and an oxygen content of 29.1% (calculated by difference), that both limit the heating value of the feedstock if directly used as fuel. The calculated HHV </w:t>
      </w:r>
      <w:r w:rsidR="00FC7809">
        <w:t>is</w:t>
      </w:r>
      <w:r w:rsidR="00F82F30">
        <w:t xml:space="preserve"> 12.45 MJ kg</w:t>
      </w:r>
      <w:r w:rsidR="00F82F30" w:rsidRPr="00F82F30">
        <w:rPr>
          <w:vertAlign w:val="superscript"/>
        </w:rPr>
        <w:t>-1</w:t>
      </w:r>
      <w:r w:rsidR="00F82F30">
        <w:t>.</w:t>
      </w:r>
    </w:p>
    <w:p w14:paraId="27F6923C" w14:textId="2E58F0B8" w:rsidR="008C509D" w:rsidRDefault="008C509D" w:rsidP="008C509D">
      <w:pPr>
        <w:pStyle w:val="CETheadingx"/>
      </w:pPr>
      <w:r>
        <w:t>Product yields</w:t>
      </w:r>
    </w:p>
    <w:p w14:paraId="74565071" w14:textId="35BB7E16" w:rsidR="008C509D" w:rsidRDefault="008C509D" w:rsidP="008C509D">
      <w:pPr>
        <w:pStyle w:val="CETBodytext"/>
      </w:pPr>
      <w:r>
        <w:t xml:space="preserve">In figure 1 the dry based yields of the measured </w:t>
      </w:r>
      <w:r w:rsidR="00335E1F">
        <w:t xml:space="preserve">biocrude, biochar, soluble organics and </w:t>
      </w:r>
      <w:r>
        <w:t>gaseous phase are reported as a function of time for the temperatures of 280, 300 and 330 °C.</w:t>
      </w:r>
    </w:p>
    <w:p w14:paraId="4EB88AFE" w14:textId="25465194" w:rsidR="00EA3CF7" w:rsidRPr="00E84E19" w:rsidRDefault="00F82F30" w:rsidP="008C509D">
      <w:pPr>
        <w:pStyle w:val="CETBodytext"/>
      </w:pPr>
      <w:r>
        <w:t>The results</w:t>
      </w:r>
      <w:r w:rsidR="00976EE7">
        <w:t xml:space="preserve"> of biocrude yields</w:t>
      </w:r>
      <w:r>
        <w:t xml:space="preserve"> reported in Figure 1a show non-monotonic trends of biocrude yields for each temperature. The </w:t>
      </w:r>
      <w:r w:rsidR="00976EE7">
        <w:t>highest values</w:t>
      </w:r>
      <w:r>
        <w:t xml:space="preserve"> of 20.99%, was obtained for the temperature of 300 °C and for the holding time of 35 min, followed by 18.59% for 330 °C and 20 min, and by 18.23% for 280 °C and 10 min. These values are consistent with other results reported in literature for the HTL of sewage sludge under similar conditions (Xu et al., 2018), although other studies report different values, higher than 30% (Cabrera and Labatut, 2021).</w:t>
      </w:r>
      <w:r w:rsidR="00EB351A">
        <w:t xml:space="preserve"> </w:t>
      </w:r>
      <w:r>
        <w:t>This variability depends on origin and composition of sewage sludge and is one of the main obstacles for developing an optimized process</w:t>
      </w:r>
      <w:r w:rsidRPr="00E84E19">
        <w:t>.</w:t>
      </w:r>
      <w:r w:rsidR="00F77269" w:rsidRPr="00E84E19">
        <w:t xml:space="preserve"> </w:t>
      </w:r>
      <w:r w:rsidR="00D83535" w:rsidRPr="00E84E19">
        <w:t xml:space="preserve">Results show that for short holding times the biocrude yield is lower at 330 °C respect to 280 and 300 °C. This </w:t>
      </w:r>
      <w:r w:rsidR="00EA3CF7" w:rsidRPr="00E84E19">
        <w:t xml:space="preserve">disparity could </w:t>
      </w:r>
      <w:r w:rsidR="00D83535" w:rsidRPr="00E84E19">
        <w:t xml:space="preserve">be </w:t>
      </w:r>
      <w:r w:rsidR="00EA3CF7" w:rsidRPr="00E84E19">
        <w:t>attributed</w:t>
      </w:r>
      <w:r w:rsidR="00D83535" w:rsidRPr="00E84E19">
        <w:t xml:space="preserve"> to a higher production of light water-soluble organics </w:t>
      </w:r>
      <w:r w:rsidR="00EA3CF7" w:rsidRPr="00E84E19">
        <w:t>at 330 °C. These compounds may not</w:t>
      </w:r>
      <w:r w:rsidR="00744BF8" w:rsidRPr="00E84E19">
        <w:t xml:space="preserve"> have</w:t>
      </w:r>
      <w:r w:rsidR="00EA3CF7" w:rsidRPr="00E84E19">
        <w:t xml:space="preserve"> sufficient</w:t>
      </w:r>
      <w:r w:rsidR="00744BF8" w:rsidRPr="00E84E19">
        <w:t xml:space="preserve"> time for further </w:t>
      </w:r>
      <w:r w:rsidR="00EA3CF7" w:rsidRPr="00E84E19">
        <w:t>conversion</w:t>
      </w:r>
      <w:r w:rsidR="00744BF8" w:rsidRPr="00E84E19">
        <w:t xml:space="preserve"> and repolymerization to form biocrude</w:t>
      </w:r>
      <w:r w:rsidR="00D83535" w:rsidRPr="00E84E19">
        <w:t>.</w:t>
      </w:r>
      <w:r w:rsidR="00744BF8" w:rsidRPr="00E84E19">
        <w:t xml:space="preserve"> This may </w:t>
      </w:r>
      <w:r w:rsidR="00EA3CF7" w:rsidRPr="00E84E19">
        <w:t>justify</w:t>
      </w:r>
      <w:r w:rsidR="00744BF8" w:rsidRPr="00E84E19">
        <w:t xml:space="preserve"> the higher losses during the evaluation of water-soluble organics in the aqueous phase, as</w:t>
      </w:r>
      <w:r w:rsidR="00EA3CF7" w:rsidRPr="00E84E19">
        <w:t xml:space="preserve"> part of</w:t>
      </w:r>
      <w:r w:rsidR="00744BF8" w:rsidRPr="00E84E19">
        <w:t xml:space="preserve"> the compounds with boiling points </w:t>
      </w:r>
      <w:proofErr w:type="gramStart"/>
      <w:r w:rsidR="00744BF8" w:rsidRPr="00E84E19">
        <w:t>similar to</w:t>
      </w:r>
      <w:proofErr w:type="gramEnd"/>
      <w:r w:rsidR="00744BF8" w:rsidRPr="00E84E19">
        <w:t xml:space="preserve"> water evaporate</w:t>
      </w:r>
      <w:r w:rsidR="00EA3CF7" w:rsidRPr="00E84E19">
        <w:t>s</w:t>
      </w:r>
      <w:r w:rsidR="00744BF8" w:rsidRPr="00E84E19">
        <w:t xml:space="preserve"> at room temperature and </w:t>
      </w:r>
      <w:r w:rsidR="00EA3CF7" w:rsidRPr="00E84E19">
        <w:t>is</w:t>
      </w:r>
      <w:r w:rsidR="00744BF8" w:rsidRPr="00E84E19">
        <w:t xml:space="preserve"> not quantified.</w:t>
      </w:r>
      <w:r w:rsidR="00D83535" w:rsidRPr="00E84E19">
        <w:t xml:space="preserve"> </w:t>
      </w:r>
    </w:p>
    <w:p w14:paraId="6017D411" w14:textId="77C0B00E" w:rsidR="00F82F30" w:rsidRPr="005F0028" w:rsidRDefault="00D83535" w:rsidP="008C509D">
      <w:pPr>
        <w:pStyle w:val="CETBodytext"/>
      </w:pPr>
      <w:r w:rsidRPr="005F0028">
        <w:lastRenderedPageBreak/>
        <w:t xml:space="preserve">After </w:t>
      </w:r>
      <w:r w:rsidR="00744BF8" w:rsidRPr="005F0028">
        <w:t>10</w:t>
      </w:r>
      <w:r w:rsidRPr="005F0028">
        <w:t xml:space="preserve"> min of holding time, the biocrude yield at 280 °C decreases and becomes lower respect to the yield at 330 °C, suggesting the occurrence of repolymerization mechanisms that </w:t>
      </w:r>
      <w:r w:rsidR="00744BF8" w:rsidRPr="005F0028">
        <w:t xml:space="preserve">are favored at lower temperatures and lead to the </w:t>
      </w:r>
      <w:r w:rsidRPr="005F0028">
        <w:t xml:space="preserve">decrease </w:t>
      </w:r>
      <w:r w:rsidR="00744BF8" w:rsidRPr="005F0028">
        <w:t>of the</w:t>
      </w:r>
      <w:r w:rsidRPr="005F0028">
        <w:t xml:space="preserve"> yield in biocrude</w:t>
      </w:r>
      <w:r w:rsidR="00EA3CF7" w:rsidRPr="005F0028">
        <w:t>, increasing instead</w:t>
      </w:r>
      <w:r w:rsidRPr="005F0028">
        <w:t xml:space="preserve"> the yield in </w:t>
      </w:r>
      <w:r w:rsidR="00EA3CF7" w:rsidRPr="005F0028">
        <w:t>biochar</w:t>
      </w:r>
      <w:r w:rsidRPr="005F0028">
        <w:t>.</w:t>
      </w:r>
    </w:p>
    <w:p w14:paraId="7E9EAC20" w14:textId="7004557E" w:rsidR="00F82F30" w:rsidRDefault="00F82F30" w:rsidP="008C509D">
      <w:pPr>
        <w:pStyle w:val="CETBodytext"/>
      </w:pPr>
      <w:r>
        <w:t xml:space="preserve">Biochar </w:t>
      </w:r>
      <w:r w:rsidR="006023D2">
        <w:t xml:space="preserve">yields are reported in Figure 1b and show slight variations in the range of 40-50% for all the operative conditions. The higher biochar yield of 49.45% is obtained at 280 °C and 0 min, </w:t>
      </w:r>
      <w:r w:rsidR="00681D39">
        <w:t>although for that test both final temperatures and holding times may be too low for the complete conversion of the feedstock, with the result that unconverted solid may be present in the solid residue after biocrude extraction.</w:t>
      </w:r>
    </w:p>
    <w:p w14:paraId="3F511F99" w14:textId="55F439A6" w:rsidR="00335E1F" w:rsidRPr="008C509D" w:rsidRDefault="00335E1F" w:rsidP="008C509D">
      <w:pPr>
        <w:pStyle w:val="CETBodytext"/>
      </w:pPr>
      <w:r>
        <w:rPr>
          <w:noProof/>
        </w:rPr>
        <w:drawing>
          <wp:inline distT="0" distB="0" distL="0" distR="0" wp14:anchorId="7236A46E" wp14:editId="5A64F0F9">
            <wp:extent cx="2772000" cy="2520000"/>
            <wp:effectExtent l="0" t="0" r="0" b="0"/>
            <wp:docPr id="2105660074" name="Grafico 1">
              <a:extLst xmlns:a="http://schemas.openxmlformats.org/drawingml/2006/main">
                <a:ext uri="{FF2B5EF4-FFF2-40B4-BE49-F238E27FC236}">
                  <a16:creationId xmlns:a16="http://schemas.microsoft.com/office/drawing/2014/main" id="{C662A2C2-33D2-5549-186B-0C3B97DE46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rPr>
        <w:drawing>
          <wp:inline distT="0" distB="0" distL="0" distR="0" wp14:anchorId="68B1BBCD" wp14:editId="7DBE7E9D">
            <wp:extent cx="2772000" cy="2520000"/>
            <wp:effectExtent l="0" t="0" r="0" b="0"/>
            <wp:docPr id="1835764831" name="Grafico 1">
              <a:extLst xmlns:a="http://schemas.openxmlformats.org/drawingml/2006/main">
                <a:ext uri="{FF2B5EF4-FFF2-40B4-BE49-F238E27FC236}">
                  <a16:creationId xmlns:a16="http://schemas.microsoft.com/office/drawing/2014/main" id="{DEB01B87-5D0F-43F9-B933-43BEF8D139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F2D8C04" w14:textId="67A129A2" w:rsidR="00693761" w:rsidRDefault="00335E1F" w:rsidP="00F93DD4">
      <w:pPr>
        <w:pStyle w:val="CETBodytext"/>
        <w:rPr>
          <w:lang w:val="en-GB"/>
        </w:rPr>
      </w:pPr>
      <w:r>
        <w:rPr>
          <w:noProof/>
        </w:rPr>
        <w:drawing>
          <wp:inline distT="0" distB="0" distL="0" distR="0" wp14:anchorId="78D4411A" wp14:editId="0465085A">
            <wp:extent cx="2772000" cy="2520000"/>
            <wp:effectExtent l="0" t="0" r="0" b="0"/>
            <wp:docPr id="959569693" name="Grafico 1">
              <a:extLst xmlns:a="http://schemas.openxmlformats.org/drawingml/2006/main">
                <a:ext uri="{FF2B5EF4-FFF2-40B4-BE49-F238E27FC236}">
                  <a16:creationId xmlns:a16="http://schemas.microsoft.com/office/drawing/2014/main" id="{B0F407E6-7869-4A74-AD5E-C2778D1627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3E3921">
        <w:rPr>
          <w:noProof/>
        </w:rPr>
        <w:drawing>
          <wp:inline distT="0" distB="0" distL="0" distR="0" wp14:anchorId="2CC71833" wp14:editId="4A4F5673">
            <wp:extent cx="2772000" cy="2520000"/>
            <wp:effectExtent l="0" t="0" r="0" b="0"/>
            <wp:docPr id="1233094043" name="Grafico 1">
              <a:extLst xmlns:a="http://schemas.openxmlformats.org/drawingml/2006/main">
                <a:ext uri="{FF2B5EF4-FFF2-40B4-BE49-F238E27FC236}">
                  <a16:creationId xmlns:a16="http://schemas.microsoft.com/office/drawing/2014/main" id="{DD38D74C-6293-4E1F-BA31-6D1DED7132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D0A11C2" w14:textId="40DD2242" w:rsidR="003E3921" w:rsidRDefault="003E3921" w:rsidP="003E3921">
      <w:pPr>
        <w:pStyle w:val="CETCaption"/>
      </w:pPr>
      <w:r>
        <w:t>Figure 1. Dry based yields of the obtained HTL products as function of holding time for the temperatures of 280, 300 and 330 °C. (a), biocrude; (b), biochar; (c), water-soluble organics; (d), gaseous phase.</w:t>
      </w:r>
    </w:p>
    <w:p w14:paraId="120804A2" w14:textId="14F00689" w:rsidR="00F82F30" w:rsidRDefault="00F82F30" w:rsidP="00F82F30">
      <w:pPr>
        <w:pStyle w:val="CETBodytext"/>
      </w:pPr>
      <w:r>
        <w:t>Figure 1c shows a general decrease of the yields in water-soluble organics in the aqueous phase with the increase of holding time, that appear to be lower for higher temperatures. The maximum yields of soluble organics are obtained for the holding time of 0 min, just after the heating ramp. Results suggest that these products are initially formed from depolymerization and hydrolysis of the substrate and then degraded to lighter compounds that enrich the gaseous phase, or converted to heavier compounds via repolymerization reactions, to enrich biocrude and biochar.</w:t>
      </w:r>
    </w:p>
    <w:p w14:paraId="2B7376BB" w14:textId="528A954B" w:rsidR="00FC7809" w:rsidRDefault="00F82F30" w:rsidP="00F82F30">
      <w:pPr>
        <w:pStyle w:val="CETBodytext"/>
      </w:pPr>
      <w:r>
        <w:t>Figure 1d show an increase of gaseous phase yields after 20 min of holding time at 330 °C, while for lower temperatures there is no clear trend, and the yield may be affected by experimental errors due to water losses during the degassing step.</w:t>
      </w:r>
    </w:p>
    <w:p w14:paraId="230B4DD8" w14:textId="77777777" w:rsidR="00F47BD6" w:rsidRDefault="00F47BD6" w:rsidP="00F82F30">
      <w:pPr>
        <w:pStyle w:val="CETBodytext"/>
      </w:pPr>
    </w:p>
    <w:p w14:paraId="6ECF3304" w14:textId="3C98F20C" w:rsidR="00FC7809" w:rsidRDefault="00FC7809" w:rsidP="00FC7809">
      <w:pPr>
        <w:pStyle w:val="CETheadingx"/>
      </w:pPr>
      <w:r>
        <w:lastRenderedPageBreak/>
        <w:t>Elemental analysis of the product</w:t>
      </w:r>
    </w:p>
    <w:p w14:paraId="7352199B" w14:textId="77777777" w:rsidR="009E00C5" w:rsidRDefault="006E6792" w:rsidP="00F82F30">
      <w:pPr>
        <w:pStyle w:val="CETBodytext"/>
      </w:pPr>
      <w:r>
        <w:t>The elemental percentages, HHV and ER% of the obtained biocrude</w:t>
      </w:r>
      <w:r w:rsidR="00997A8A">
        <w:t>s</w:t>
      </w:r>
      <w:r>
        <w:t xml:space="preserve"> are reported in Table 2.</w:t>
      </w:r>
      <w:r w:rsidR="00997A8A">
        <w:t xml:space="preserve"> All the biocrudes show</w:t>
      </w:r>
      <w:r w:rsidR="00082AEB">
        <w:t xml:space="preserve"> similar results, with</w:t>
      </w:r>
      <w:r w:rsidR="00997A8A">
        <w:t xml:space="preserve"> slight variations for carbon (66 – 74%), hydrogen (</w:t>
      </w:r>
      <w:r w:rsidR="00082AEB">
        <w:t>8.5 – 9.5%), nitrogen (</w:t>
      </w:r>
      <w:r w:rsidR="00602DF1">
        <w:t>6.5 – 8%) and oxygen (10 – 17%). The HHV is also similar for all the obtained biocrudes, varying from 31 to 36 MJ kg</w:t>
      </w:r>
      <w:r w:rsidR="00602DF1" w:rsidRPr="00602DF1">
        <w:rPr>
          <w:vertAlign w:val="superscript"/>
        </w:rPr>
        <w:t>-1</w:t>
      </w:r>
      <w:r w:rsidR="00602DF1">
        <w:t>.</w:t>
      </w:r>
    </w:p>
    <w:p w14:paraId="5DD73A15" w14:textId="1B8CD6FD" w:rsidR="00F82F30" w:rsidRDefault="009E00C5" w:rsidP="00F82F30">
      <w:pPr>
        <w:pStyle w:val="CETBodytext"/>
      </w:pPr>
      <w:r>
        <w:t>The results are consistent with literature both for elemental analysis (Ni et al., 2022) and HHV (</w:t>
      </w:r>
      <w:r w:rsidR="00AE4D2D">
        <w:t>Fan et al., 2022)</w:t>
      </w:r>
      <w:r>
        <w:t xml:space="preserve">. </w:t>
      </w:r>
      <w:r w:rsidR="00602DF1">
        <w:t xml:space="preserve">Results show that higher temperatures </w:t>
      </w:r>
      <w:r w:rsidR="00AE4D2D">
        <w:t>lead to</w:t>
      </w:r>
      <w:r w:rsidR="00602DF1">
        <w:t xml:space="preserve"> a higher carbon content and a lower oxygen content, while </w:t>
      </w:r>
      <w:r w:rsidR="00954C3C">
        <w:t xml:space="preserve">the percentages of </w:t>
      </w:r>
      <w:r w:rsidR="00602DF1">
        <w:t>hydrogen and nitrogen remain quite</w:t>
      </w:r>
      <w:r w:rsidR="00954C3C">
        <w:t xml:space="preserve"> the same for 280 °C and 330 °C, and are both slightly higher for the temperature of 300° C. The main effect of holding time, varying from 0 to 35 min, is the increase of the carbon content and the decrease of nitrogen and oxygen, as observed in Table 2. Combining the calculated HHV of biocrude and feedstock with the biocrude yields, it’s possible to evaluate the bioenergy recovery </w:t>
      </w:r>
      <w:r w:rsidR="00F37EBC">
        <w:t>(ER%) from the starting feedstock, that vary from the minimum of 30% for 330 °C and 0 min, to the maximum of 59% for 300 °C</w:t>
      </w:r>
      <w:r>
        <w:t xml:space="preserve"> and 35 min. From the obtained data, it appears that the </w:t>
      </w:r>
      <w:r w:rsidR="00F77269">
        <w:t>optimal</w:t>
      </w:r>
      <w:r>
        <w:t xml:space="preserve"> conditions for energetic recovery are a temperature of 300 °C and holding time of 10 min or higher.</w:t>
      </w:r>
    </w:p>
    <w:p w14:paraId="02F37DD0" w14:textId="0E76047E" w:rsidR="006E6792" w:rsidRPr="00B57B36" w:rsidRDefault="006E6792" w:rsidP="006E6792">
      <w:pPr>
        <w:pStyle w:val="CETTabletitle"/>
      </w:pPr>
      <w:r w:rsidRPr="00B57B36">
        <w:t xml:space="preserve">Table </w:t>
      </w:r>
      <w:r>
        <w:t>2</w:t>
      </w:r>
      <w:r w:rsidRPr="00B57B36">
        <w:t xml:space="preserve">: </w:t>
      </w:r>
      <w:r>
        <w:t>Elemental analysis, HHV and ER% of the obtained biocrudes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035"/>
        <w:gridCol w:w="1097"/>
        <w:gridCol w:w="1064"/>
        <w:gridCol w:w="1064"/>
        <w:gridCol w:w="1064"/>
        <w:gridCol w:w="1064"/>
        <w:gridCol w:w="1267"/>
        <w:gridCol w:w="1132"/>
      </w:tblGrid>
      <w:tr w:rsidR="006E6792" w:rsidRPr="00B57B36" w14:paraId="340BA309" w14:textId="77777777" w:rsidTr="006E6792">
        <w:tc>
          <w:tcPr>
            <w:tcW w:w="1035" w:type="dxa"/>
            <w:tcBorders>
              <w:top w:val="single" w:sz="12" w:space="0" w:color="008000"/>
              <w:bottom w:val="single" w:sz="6" w:space="0" w:color="008000"/>
            </w:tcBorders>
            <w:shd w:val="clear" w:color="auto" w:fill="FFFFFF"/>
          </w:tcPr>
          <w:p w14:paraId="6EF36733" w14:textId="77777777" w:rsidR="006E6792" w:rsidRDefault="006E6792" w:rsidP="00C40680">
            <w:pPr>
              <w:pStyle w:val="CETBodytext"/>
              <w:jc w:val="center"/>
              <w:rPr>
                <w:lang w:val="en-GB"/>
              </w:rPr>
            </w:pPr>
            <w:r>
              <w:rPr>
                <w:lang w:val="en-GB"/>
              </w:rPr>
              <w:t>Temperature</w:t>
            </w:r>
          </w:p>
          <w:p w14:paraId="48C19EFE" w14:textId="0ACB010C" w:rsidR="006E6792" w:rsidRDefault="006E6792" w:rsidP="00C40680">
            <w:pPr>
              <w:pStyle w:val="CETBodytext"/>
              <w:jc w:val="center"/>
              <w:rPr>
                <w:lang w:val="en-GB"/>
              </w:rPr>
            </w:pPr>
            <w:r>
              <w:rPr>
                <w:lang w:val="en-GB"/>
              </w:rPr>
              <w:t>[°C]</w:t>
            </w:r>
          </w:p>
        </w:tc>
        <w:tc>
          <w:tcPr>
            <w:tcW w:w="1097" w:type="dxa"/>
            <w:tcBorders>
              <w:top w:val="single" w:sz="12" w:space="0" w:color="008000"/>
              <w:bottom w:val="single" w:sz="6" w:space="0" w:color="008000"/>
            </w:tcBorders>
            <w:shd w:val="clear" w:color="auto" w:fill="FFFFFF"/>
          </w:tcPr>
          <w:p w14:paraId="30A9DED8" w14:textId="77777777" w:rsidR="006E6792" w:rsidRDefault="006E6792" w:rsidP="00C40680">
            <w:pPr>
              <w:pStyle w:val="CETBodytext"/>
              <w:jc w:val="center"/>
              <w:rPr>
                <w:lang w:val="en-GB"/>
              </w:rPr>
            </w:pPr>
            <w:r>
              <w:rPr>
                <w:lang w:val="en-GB"/>
              </w:rPr>
              <w:t xml:space="preserve">Time </w:t>
            </w:r>
          </w:p>
          <w:p w14:paraId="3E15D471" w14:textId="6BB5988A" w:rsidR="006E6792" w:rsidRDefault="006E6792" w:rsidP="00C40680">
            <w:pPr>
              <w:pStyle w:val="CETBodytext"/>
              <w:jc w:val="center"/>
              <w:rPr>
                <w:lang w:val="en-GB"/>
              </w:rPr>
            </w:pPr>
            <w:r>
              <w:rPr>
                <w:lang w:val="en-GB"/>
              </w:rPr>
              <w:t>[min]</w:t>
            </w:r>
          </w:p>
        </w:tc>
        <w:tc>
          <w:tcPr>
            <w:tcW w:w="1064" w:type="dxa"/>
            <w:tcBorders>
              <w:top w:val="single" w:sz="12" w:space="0" w:color="008000"/>
              <w:bottom w:val="single" w:sz="6" w:space="0" w:color="008000"/>
            </w:tcBorders>
            <w:shd w:val="clear" w:color="auto" w:fill="FFFFFF"/>
            <w:vAlign w:val="center"/>
          </w:tcPr>
          <w:p w14:paraId="2F7FC300" w14:textId="77777777" w:rsidR="006E6792" w:rsidRDefault="006E6792" w:rsidP="00C40680">
            <w:pPr>
              <w:pStyle w:val="CETBodytext"/>
              <w:jc w:val="center"/>
              <w:rPr>
                <w:lang w:val="en-GB"/>
              </w:rPr>
            </w:pPr>
            <w:r>
              <w:rPr>
                <w:lang w:val="en-GB"/>
              </w:rPr>
              <w:t xml:space="preserve">C </w:t>
            </w:r>
          </w:p>
          <w:p w14:paraId="522E4DA8" w14:textId="28F3E408" w:rsidR="006E6792" w:rsidRPr="00B57B36" w:rsidRDefault="006E6792" w:rsidP="00C40680">
            <w:pPr>
              <w:pStyle w:val="CETBodytext"/>
              <w:jc w:val="center"/>
              <w:rPr>
                <w:lang w:val="en-GB"/>
              </w:rPr>
            </w:pPr>
            <w:r>
              <w:rPr>
                <w:lang w:val="en-GB"/>
              </w:rPr>
              <w:t xml:space="preserve">[% </w:t>
            </w:r>
            <w:proofErr w:type="spellStart"/>
            <w:r>
              <w:rPr>
                <w:lang w:val="en-GB"/>
              </w:rPr>
              <w:t>d.b.</w:t>
            </w:r>
            <w:proofErr w:type="spellEnd"/>
            <w:r>
              <w:rPr>
                <w:lang w:val="en-GB"/>
              </w:rPr>
              <w:t>]</w:t>
            </w:r>
          </w:p>
        </w:tc>
        <w:tc>
          <w:tcPr>
            <w:tcW w:w="1064" w:type="dxa"/>
            <w:tcBorders>
              <w:top w:val="single" w:sz="12" w:space="0" w:color="008000"/>
              <w:bottom w:val="single" w:sz="6" w:space="0" w:color="008000"/>
            </w:tcBorders>
            <w:shd w:val="clear" w:color="auto" w:fill="FFFFFF"/>
            <w:vAlign w:val="center"/>
          </w:tcPr>
          <w:p w14:paraId="7077CF3E" w14:textId="77777777" w:rsidR="006E6792" w:rsidRDefault="006E6792" w:rsidP="00C40680">
            <w:pPr>
              <w:pStyle w:val="CETBodytext"/>
              <w:jc w:val="center"/>
              <w:rPr>
                <w:lang w:val="en-GB"/>
              </w:rPr>
            </w:pPr>
            <w:r>
              <w:rPr>
                <w:lang w:val="en-GB"/>
              </w:rPr>
              <w:t xml:space="preserve">H </w:t>
            </w:r>
          </w:p>
          <w:p w14:paraId="55660F9B" w14:textId="5368A466" w:rsidR="006E6792" w:rsidRPr="00B57B36" w:rsidRDefault="006E6792" w:rsidP="00C40680">
            <w:pPr>
              <w:pStyle w:val="CETBodytext"/>
              <w:jc w:val="center"/>
              <w:rPr>
                <w:lang w:val="en-GB"/>
              </w:rPr>
            </w:pPr>
            <w:r>
              <w:rPr>
                <w:lang w:val="en-GB"/>
              </w:rPr>
              <w:t xml:space="preserve">[% </w:t>
            </w:r>
            <w:proofErr w:type="spellStart"/>
            <w:r>
              <w:rPr>
                <w:lang w:val="en-GB"/>
              </w:rPr>
              <w:t>d.b.</w:t>
            </w:r>
            <w:proofErr w:type="spellEnd"/>
            <w:r>
              <w:rPr>
                <w:lang w:val="en-GB"/>
              </w:rPr>
              <w:t>]</w:t>
            </w:r>
          </w:p>
        </w:tc>
        <w:tc>
          <w:tcPr>
            <w:tcW w:w="1064" w:type="dxa"/>
            <w:tcBorders>
              <w:top w:val="single" w:sz="12" w:space="0" w:color="008000"/>
              <w:bottom w:val="single" w:sz="6" w:space="0" w:color="008000"/>
            </w:tcBorders>
            <w:shd w:val="clear" w:color="auto" w:fill="FFFFFF"/>
            <w:vAlign w:val="center"/>
          </w:tcPr>
          <w:p w14:paraId="7319A636" w14:textId="77777777" w:rsidR="006E6792" w:rsidRDefault="006E6792" w:rsidP="00C40680">
            <w:pPr>
              <w:pStyle w:val="CETBodytext"/>
              <w:jc w:val="center"/>
              <w:rPr>
                <w:lang w:val="en-GB"/>
              </w:rPr>
            </w:pPr>
            <w:r>
              <w:rPr>
                <w:lang w:val="en-GB"/>
              </w:rPr>
              <w:t xml:space="preserve">N </w:t>
            </w:r>
          </w:p>
          <w:p w14:paraId="47719B87" w14:textId="3F5676D5" w:rsidR="006E6792" w:rsidRPr="00B57B36" w:rsidRDefault="006E6792" w:rsidP="00C40680">
            <w:pPr>
              <w:pStyle w:val="CETBodytext"/>
              <w:jc w:val="center"/>
              <w:rPr>
                <w:lang w:val="en-GB"/>
              </w:rPr>
            </w:pPr>
            <w:r>
              <w:rPr>
                <w:lang w:val="en-GB"/>
              </w:rPr>
              <w:t xml:space="preserve">[% </w:t>
            </w:r>
            <w:proofErr w:type="spellStart"/>
            <w:r>
              <w:rPr>
                <w:lang w:val="en-GB"/>
              </w:rPr>
              <w:t>d.b.</w:t>
            </w:r>
            <w:proofErr w:type="spellEnd"/>
            <w:r>
              <w:rPr>
                <w:lang w:val="en-GB"/>
              </w:rPr>
              <w:t>]</w:t>
            </w:r>
          </w:p>
        </w:tc>
        <w:tc>
          <w:tcPr>
            <w:tcW w:w="1064" w:type="dxa"/>
            <w:tcBorders>
              <w:top w:val="single" w:sz="12" w:space="0" w:color="008000"/>
              <w:bottom w:val="single" w:sz="6" w:space="0" w:color="008000"/>
            </w:tcBorders>
            <w:shd w:val="clear" w:color="auto" w:fill="FFFFFF"/>
            <w:vAlign w:val="center"/>
          </w:tcPr>
          <w:p w14:paraId="3C3E979F" w14:textId="77777777" w:rsidR="006E6792" w:rsidRDefault="006E6792" w:rsidP="00C40680">
            <w:pPr>
              <w:pStyle w:val="CETBodytext"/>
              <w:ind w:right="-1"/>
              <w:jc w:val="center"/>
              <w:rPr>
                <w:rFonts w:cs="Arial"/>
                <w:szCs w:val="18"/>
                <w:lang w:val="en-GB"/>
              </w:rPr>
            </w:pPr>
            <w:r>
              <w:rPr>
                <w:rFonts w:cs="Arial"/>
                <w:szCs w:val="18"/>
                <w:lang w:val="en-GB"/>
              </w:rPr>
              <w:t xml:space="preserve">O* </w:t>
            </w:r>
          </w:p>
          <w:p w14:paraId="6C686B4C" w14:textId="3A0A67D8" w:rsidR="006E6792" w:rsidRPr="00B57B36" w:rsidRDefault="006E6792" w:rsidP="00C40680">
            <w:pPr>
              <w:pStyle w:val="CETBodytext"/>
              <w:ind w:right="-1"/>
              <w:jc w:val="center"/>
              <w:rPr>
                <w:rFonts w:cs="Arial"/>
                <w:szCs w:val="18"/>
                <w:lang w:val="en-GB"/>
              </w:rPr>
            </w:pPr>
            <w:r>
              <w:rPr>
                <w:rFonts w:cs="Arial"/>
                <w:szCs w:val="18"/>
                <w:lang w:val="en-GB"/>
              </w:rPr>
              <w:t xml:space="preserve">[% </w:t>
            </w:r>
            <w:proofErr w:type="spellStart"/>
            <w:r>
              <w:rPr>
                <w:rFonts w:cs="Arial"/>
                <w:szCs w:val="18"/>
                <w:lang w:val="en-GB"/>
              </w:rPr>
              <w:t>d.b.</w:t>
            </w:r>
            <w:proofErr w:type="spellEnd"/>
            <w:r>
              <w:rPr>
                <w:rFonts w:cs="Arial"/>
                <w:szCs w:val="18"/>
                <w:lang w:val="en-GB"/>
              </w:rPr>
              <w:t>]</w:t>
            </w:r>
          </w:p>
        </w:tc>
        <w:tc>
          <w:tcPr>
            <w:tcW w:w="1267" w:type="dxa"/>
            <w:tcBorders>
              <w:top w:val="single" w:sz="12" w:space="0" w:color="008000"/>
              <w:bottom w:val="single" w:sz="6" w:space="0" w:color="008000"/>
            </w:tcBorders>
            <w:shd w:val="clear" w:color="auto" w:fill="FFFFFF"/>
            <w:vAlign w:val="center"/>
          </w:tcPr>
          <w:p w14:paraId="119C91F6" w14:textId="77777777" w:rsidR="006E6792" w:rsidRDefault="006E6792" w:rsidP="00C40680">
            <w:pPr>
              <w:pStyle w:val="CETBodytext"/>
              <w:ind w:right="-1"/>
              <w:jc w:val="center"/>
              <w:rPr>
                <w:rFonts w:cs="Arial"/>
                <w:szCs w:val="18"/>
                <w:lang w:val="en-GB"/>
              </w:rPr>
            </w:pPr>
            <w:r>
              <w:rPr>
                <w:rFonts w:cs="Arial"/>
                <w:szCs w:val="18"/>
                <w:lang w:val="en-GB"/>
              </w:rPr>
              <w:t xml:space="preserve">HHV </w:t>
            </w:r>
          </w:p>
          <w:p w14:paraId="7CE939F7" w14:textId="484B738C" w:rsidR="006E6792" w:rsidRPr="00B57B36" w:rsidRDefault="006E6792" w:rsidP="00C40680">
            <w:pPr>
              <w:pStyle w:val="CETBodytext"/>
              <w:ind w:right="-1"/>
              <w:jc w:val="center"/>
              <w:rPr>
                <w:rFonts w:cs="Arial"/>
                <w:szCs w:val="18"/>
                <w:lang w:val="en-GB"/>
              </w:rPr>
            </w:pPr>
            <w:r>
              <w:rPr>
                <w:rFonts w:cs="Arial"/>
                <w:szCs w:val="18"/>
                <w:lang w:val="en-GB"/>
              </w:rPr>
              <w:t>[MJ kg</w:t>
            </w:r>
            <w:r w:rsidRPr="00D22163">
              <w:rPr>
                <w:rFonts w:cs="Arial"/>
                <w:szCs w:val="18"/>
                <w:vertAlign w:val="superscript"/>
                <w:lang w:val="en-GB"/>
              </w:rPr>
              <w:t>-1</w:t>
            </w:r>
            <w:r>
              <w:rPr>
                <w:rFonts w:cs="Arial"/>
                <w:szCs w:val="18"/>
                <w:lang w:val="en-GB"/>
              </w:rPr>
              <w:t>]</w:t>
            </w:r>
          </w:p>
        </w:tc>
        <w:tc>
          <w:tcPr>
            <w:tcW w:w="1132" w:type="dxa"/>
            <w:tcBorders>
              <w:top w:val="single" w:sz="12" w:space="0" w:color="008000"/>
              <w:bottom w:val="single" w:sz="6" w:space="0" w:color="008000"/>
            </w:tcBorders>
            <w:shd w:val="clear" w:color="auto" w:fill="FFFFFF"/>
            <w:vAlign w:val="center"/>
          </w:tcPr>
          <w:p w14:paraId="1A61C693" w14:textId="0B2271CB" w:rsidR="006E6792" w:rsidRDefault="006E6792" w:rsidP="00C40680">
            <w:pPr>
              <w:pStyle w:val="CETBodytext"/>
              <w:ind w:right="-1"/>
              <w:jc w:val="center"/>
              <w:rPr>
                <w:rFonts w:cs="Arial"/>
                <w:szCs w:val="18"/>
                <w:lang w:val="en-GB"/>
              </w:rPr>
            </w:pPr>
            <w:r>
              <w:rPr>
                <w:rFonts w:cs="Arial"/>
                <w:szCs w:val="18"/>
                <w:lang w:val="en-GB"/>
              </w:rPr>
              <w:t>ER%</w:t>
            </w:r>
          </w:p>
        </w:tc>
      </w:tr>
      <w:tr w:rsidR="00F56652" w:rsidRPr="00B57B36" w14:paraId="52BBC6EF" w14:textId="77777777" w:rsidTr="00F56652">
        <w:trPr>
          <w:trHeight w:val="200"/>
        </w:trPr>
        <w:tc>
          <w:tcPr>
            <w:tcW w:w="1035" w:type="dxa"/>
            <w:vMerge w:val="restart"/>
            <w:shd w:val="clear" w:color="auto" w:fill="FFFFFF"/>
            <w:vAlign w:val="center"/>
          </w:tcPr>
          <w:p w14:paraId="7D4DCD58" w14:textId="13A863BD" w:rsidR="00F56652" w:rsidRDefault="00F56652" w:rsidP="00F56652">
            <w:pPr>
              <w:pStyle w:val="CETBodytext"/>
              <w:jc w:val="center"/>
              <w:rPr>
                <w:lang w:val="en-GB"/>
              </w:rPr>
            </w:pPr>
            <w:r>
              <w:rPr>
                <w:lang w:val="en-GB"/>
              </w:rPr>
              <w:t>280</w:t>
            </w:r>
          </w:p>
        </w:tc>
        <w:tc>
          <w:tcPr>
            <w:tcW w:w="1097" w:type="dxa"/>
            <w:shd w:val="clear" w:color="auto" w:fill="FFFFFF"/>
          </w:tcPr>
          <w:p w14:paraId="6A636C78" w14:textId="056EE683" w:rsidR="00F56652" w:rsidRDefault="00F56652" w:rsidP="00C40680">
            <w:pPr>
              <w:pStyle w:val="CETBodytext"/>
              <w:jc w:val="center"/>
              <w:rPr>
                <w:lang w:val="en-GB"/>
              </w:rPr>
            </w:pPr>
            <w:r>
              <w:rPr>
                <w:lang w:val="en-GB"/>
              </w:rPr>
              <w:t>0</w:t>
            </w:r>
          </w:p>
        </w:tc>
        <w:tc>
          <w:tcPr>
            <w:tcW w:w="1064" w:type="dxa"/>
            <w:shd w:val="clear" w:color="auto" w:fill="FFFFFF"/>
            <w:vAlign w:val="center"/>
          </w:tcPr>
          <w:p w14:paraId="3D7A5B7F" w14:textId="79F663CE" w:rsidR="00F56652" w:rsidRPr="00B57B36" w:rsidRDefault="00A67777" w:rsidP="00C40680">
            <w:pPr>
              <w:pStyle w:val="CETBodytext"/>
              <w:jc w:val="center"/>
              <w:rPr>
                <w:lang w:val="en-GB"/>
              </w:rPr>
            </w:pPr>
            <w:r>
              <w:rPr>
                <w:lang w:val="en-GB"/>
              </w:rPr>
              <w:t>66.62</w:t>
            </w:r>
          </w:p>
        </w:tc>
        <w:tc>
          <w:tcPr>
            <w:tcW w:w="1064" w:type="dxa"/>
            <w:shd w:val="clear" w:color="auto" w:fill="FFFFFF"/>
            <w:vAlign w:val="center"/>
          </w:tcPr>
          <w:p w14:paraId="1A14FF11" w14:textId="441D22DC" w:rsidR="00F56652" w:rsidRPr="00B57B36" w:rsidRDefault="00A67777" w:rsidP="00C40680">
            <w:pPr>
              <w:pStyle w:val="CETBodytext"/>
              <w:jc w:val="center"/>
              <w:rPr>
                <w:lang w:val="en-GB"/>
              </w:rPr>
            </w:pPr>
            <w:r>
              <w:rPr>
                <w:lang w:val="en-GB"/>
              </w:rPr>
              <w:t>8.49</w:t>
            </w:r>
          </w:p>
        </w:tc>
        <w:tc>
          <w:tcPr>
            <w:tcW w:w="1064" w:type="dxa"/>
            <w:shd w:val="clear" w:color="auto" w:fill="FFFFFF"/>
            <w:vAlign w:val="center"/>
          </w:tcPr>
          <w:p w14:paraId="3289E02E" w14:textId="67B1FC90" w:rsidR="00F56652" w:rsidRPr="00B57B36" w:rsidRDefault="005F49E4" w:rsidP="00C40680">
            <w:pPr>
              <w:pStyle w:val="CETBodytext"/>
              <w:jc w:val="center"/>
              <w:rPr>
                <w:lang w:val="en-GB"/>
              </w:rPr>
            </w:pPr>
            <w:r>
              <w:rPr>
                <w:lang w:val="en-GB"/>
              </w:rPr>
              <w:t>6.93</w:t>
            </w:r>
          </w:p>
        </w:tc>
        <w:tc>
          <w:tcPr>
            <w:tcW w:w="1064" w:type="dxa"/>
            <w:shd w:val="clear" w:color="auto" w:fill="FFFFFF"/>
            <w:vAlign w:val="center"/>
          </w:tcPr>
          <w:p w14:paraId="6E6A169B" w14:textId="5F8FD50D" w:rsidR="00F56652" w:rsidRPr="00B57B36" w:rsidRDefault="00A67777" w:rsidP="00C40680">
            <w:pPr>
              <w:pStyle w:val="CETBodytext"/>
              <w:ind w:right="-1"/>
              <w:jc w:val="center"/>
              <w:rPr>
                <w:rFonts w:cs="Arial"/>
                <w:szCs w:val="18"/>
                <w:lang w:val="en-GB"/>
              </w:rPr>
            </w:pPr>
            <w:r>
              <w:rPr>
                <w:rFonts w:cs="Arial"/>
                <w:szCs w:val="18"/>
                <w:lang w:val="en-GB"/>
              </w:rPr>
              <w:t>17.96</w:t>
            </w:r>
          </w:p>
        </w:tc>
        <w:tc>
          <w:tcPr>
            <w:tcW w:w="1267" w:type="dxa"/>
            <w:shd w:val="clear" w:color="auto" w:fill="FFFFFF"/>
            <w:vAlign w:val="center"/>
          </w:tcPr>
          <w:p w14:paraId="76F2269A" w14:textId="2AF54D5D" w:rsidR="00F56652" w:rsidRPr="00B57B36" w:rsidRDefault="00A67777" w:rsidP="00C40680">
            <w:pPr>
              <w:pStyle w:val="CETBodytext"/>
              <w:ind w:right="-1"/>
              <w:jc w:val="center"/>
              <w:rPr>
                <w:rFonts w:cs="Arial"/>
                <w:szCs w:val="18"/>
                <w:lang w:val="en-GB"/>
              </w:rPr>
            </w:pPr>
            <w:r>
              <w:rPr>
                <w:rFonts w:cs="Arial"/>
                <w:szCs w:val="18"/>
                <w:lang w:val="en-GB"/>
              </w:rPr>
              <w:t>31.43</w:t>
            </w:r>
          </w:p>
        </w:tc>
        <w:tc>
          <w:tcPr>
            <w:tcW w:w="1132" w:type="dxa"/>
            <w:shd w:val="clear" w:color="auto" w:fill="FFFFFF"/>
            <w:vAlign w:val="center"/>
          </w:tcPr>
          <w:p w14:paraId="42BFCA2C" w14:textId="3614ABAC" w:rsidR="00F56652" w:rsidRPr="00B57B36" w:rsidRDefault="00A67777" w:rsidP="00C40680">
            <w:pPr>
              <w:pStyle w:val="CETBodytext"/>
              <w:ind w:right="-1"/>
              <w:jc w:val="center"/>
              <w:rPr>
                <w:rFonts w:cs="Arial"/>
                <w:szCs w:val="18"/>
                <w:lang w:val="en-GB"/>
              </w:rPr>
            </w:pPr>
            <w:r>
              <w:rPr>
                <w:rFonts w:cs="Arial"/>
                <w:szCs w:val="18"/>
                <w:lang w:val="en-GB"/>
              </w:rPr>
              <w:t>40.67</w:t>
            </w:r>
          </w:p>
        </w:tc>
      </w:tr>
      <w:tr w:rsidR="00F56652" w:rsidRPr="00B57B36" w14:paraId="55A17456" w14:textId="77777777" w:rsidTr="006E6792">
        <w:trPr>
          <w:trHeight w:val="200"/>
        </w:trPr>
        <w:tc>
          <w:tcPr>
            <w:tcW w:w="1035" w:type="dxa"/>
            <w:vMerge/>
            <w:shd w:val="clear" w:color="auto" w:fill="FFFFFF"/>
          </w:tcPr>
          <w:p w14:paraId="5E297C45" w14:textId="77777777" w:rsidR="00F56652" w:rsidRDefault="00F56652" w:rsidP="00C40680">
            <w:pPr>
              <w:pStyle w:val="CETBodytext"/>
              <w:jc w:val="center"/>
              <w:rPr>
                <w:lang w:val="en-GB"/>
              </w:rPr>
            </w:pPr>
          </w:p>
        </w:tc>
        <w:tc>
          <w:tcPr>
            <w:tcW w:w="1097" w:type="dxa"/>
            <w:shd w:val="clear" w:color="auto" w:fill="FFFFFF"/>
          </w:tcPr>
          <w:p w14:paraId="78915B79" w14:textId="0035D5E3" w:rsidR="00F56652" w:rsidRDefault="00F56652" w:rsidP="00C40680">
            <w:pPr>
              <w:pStyle w:val="CETBodytext"/>
              <w:jc w:val="center"/>
              <w:rPr>
                <w:lang w:val="en-GB"/>
              </w:rPr>
            </w:pPr>
            <w:r>
              <w:rPr>
                <w:lang w:val="en-GB"/>
              </w:rPr>
              <w:t>10</w:t>
            </w:r>
          </w:p>
        </w:tc>
        <w:tc>
          <w:tcPr>
            <w:tcW w:w="1064" w:type="dxa"/>
            <w:shd w:val="clear" w:color="auto" w:fill="FFFFFF"/>
            <w:vAlign w:val="center"/>
          </w:tcPr>
          <w:p w14:paraId="7B6F2D2F" w14:textId="41FDE7B3" w:rsidR="00F56652" w:rsidRDefault="00A67777" w:rsidP="00C40680">
            <w:pPr>
              <w:pStyle w:val="CETBodytext"/>
              <w:jc w:val="center"/>
              <w:rPr>
                <w:lang w:val="en-GB"/>
              </w:rPr>
            </w:pPr>
            <w:r>
              <w:rPr>
                <w:lang w:val="en-GB"/>
              </w:rPr>
              <w:t>68.77</w:t>
            </w:r>
          </w:p>
        </w:tc>
        <w:tc>
          <w:tcPr>
            <w:tcW w:w="1064" w:type="dxa"/>
            <w:shd w:val="clear" w:color="auto" w:fill="FFFFFF"/>
            <w:vAlign w:val="center"/>
          </w:tcPr>
          <w:p w14:paraId="73256A91" w14:textId="54941F09" w:rsidR="00F56652" w:rsidRDefault="00A67777" w:rsidP="00C40680">
            <w:pPr>
              <w:pStyle w:val="CETBodytext"/>
              <w:jc w:val="center"/>
              <w:rPr>
                <w:lang w:val="en-GB"/>
              </w:rPr>
            </w:pPr>
            <w:r>
              <w:rPr>
                <w:lang w:val="en-GB"/>
              </w:rPr>
              <w:t>8.54</w:t>
            </w:r>
          </w:p>
        </w:tc>
        <w:tc>
          <w:tcPr>
            <w:tcW w:w="1064" w:type="dxa"/>
            <w:shd w:val="clear" w:color="auto" w:fill="FFFFFF"/>
            <w:vAlign w:val="center"/>
          </w:tcPr>
          <w:p w14:paraId="7D763EAC" w14:textId="18ACBA29" w:rsidR="00F56652" w:rsidRDefault="005F49E4" w:rsidP="00C40680">
            <w:pPr>
              <w:pStyle w:val="CETBodytext"/>
              <w:jc w:val="center"/>
              <w:rPr>
                <w:lang w:val="en-GB"/>
              </w:rPr>
            </w:pPr>
            <w:r>
              <w:rPr>
                <w:lang w:val="en-GB"/>
              </w:rPr>
              <w:t>6.63</w:t>
            </w:r>
          </w:p>
        </w:tc>
        <w:tc>
          <w:tcPr>
            <w:tcW w:w="1064" w:type="dxa"/>
            <w:shd w:val="clear" w:color="auto" w:fill="FFFFFF"/>
            <w:vAlign w:val="center"/>
          </w:tcPr>
          <w:p w14:paraId="3C4F5262" w14:textId="1F3561CD" w:rsidR="00F56652" w:rsidRDefault="00A67777" w:rsidP="00C40680">
            <w:pPr>
              <w:pStyle w:val="CETBodytext"/>
              <w:ind w:right="-1"/>
              <w:jc w:val="center"/>
              <w:rPr>
                <w:rFonts w:cs="Arial"/>
                <w:szCs w:val="18"/>
                <w:lang w:val="en-GB"/>
              </w:rPr>
            </w:pPr>
            <w:r>
              <w:rPr>
                <w:rFonts w:cs="Arial"/>
                <w:szCs w:val="18"/>
                <w:lang w:val="en-GB"/>
              </w:rPr>
              <w:t>16.05</w:t>
            </w:r>
          </w:p>
        </w:tc>
        <w:tc>
          <w:tcPr>
            <w:tcW w:w="1267" w:type="dxa"/>
            <w:shd w:val="clear" w:color="auto" w:fill="FFFFFF"/>
            <w:vAlign w:val="center"/>
          </w:tcPr>
          <w:p w14:paraId="4A1843DB" w14:textId="66617706" w:rsidR="00F56652" w:rsidRDefault="00A67777" w:rsidP="00C40680">
            <w:pPr>
              <w:pStyle w:val="CETBodytext"/>
              <w:ind w:right="-1"/>
              <w:jc w:val="center"/>
              <w:rPr>
                <w:rFonts w:cs="Arial"/>
                <w:szCs w:val="18"/>
                <w:lang w:val="en-GB"/>
              </w:rPr>
            </w:pPr>
            <w:r>
              <w:rPr>
                <w:rFonts w:cs="Arial"/>
                <w:szCs w:val="18"/>
                <w:lang w:val="en-GB"/>
              </w:rPr>
              <w:t>32.58</w:t>
            </w:r>
          </w:p>
        </w:tc>
        <w:tc>
          <w:tcPr>
            <w:tcW w:w="1132" w:type="dxa"/>
            <w:shd w:val="clear" w:color="auto" w:fill="FFFFFF"/>
            <w:vAlign w:val="center"/>
          </w:tcPr>
          <w:p w14:paraId="1FF002A0" w14:textId="2DD26767" w:rsidR="00F56652" w:rsidRDefault="00A67777" w:rsidP="00C40680">
            <w:pPr>
              <w:pStyle w:val="CETBodytext"/>
              <w:ind w:right="-1"/>
              <w:jc w:val="center"/>
              <w:rPr>
                <w:rFonts w:cs="Arial"/>
                <w:szCs w:val="18"/>
                <w:lang w:val="en-GB"/>
              </w:rPr>
            </w:pPr>
            <w:r>
              <w:rPr>
                <w:rFonts w:cs="Arial"/>
                <w:szCs w:val="18"/>
                <w:lang w:val="en-GB"/>
              </w:rPr>
              <w:t>47.71</w:t>
            </w:r>
          </w:p>
        </w:tc>
      </w:tr>
      <w:tr w:rsidR="00F56652" w:rsidRPr="00B57B36" w14:paraId="4590931E" w14:textId="77777777" w:rsidTr="006E6792">
        <w:trPr>
          <w:trHeight w:val="200"/>
        </w:trPr>
        <w:tc>
          <w:tcPr>
            <w:tcW w:w="1035" w:type="dxa"/>
            <w:vMerge/>
            <w:shd w:val="clear" w:color="auto" w:fill="FFFFFF"/>
          </w:tcPr>
          <w:p w14:paraId="148AE383" w14:textId="77777777" w:rsidR="00F56652" w:rsidRDefault="00F56652" w:rsidP="00C40680">
            <w:pPr>
              <w:pStyle w:val="CETBodytext"/>
              <w:jc w:val="center"/>
              <w:rPr>
                <w:lang w:val="en-GB"/>
              </w:rPr>
            </w:pPr>
          </w:p>
        </w:tc>
        <w:tc>
          <w:tcPr>
            <w:tcW w:w="1097" w:type="dxa"/>
            <w:shd w:val="clear" w:color="auto" w:fill="FFFFFF"/>
          </w:tcPr>
          <w:p w14:paraId="2F46C5B3" w14:textId="3CF87150" w:rsidR="00F56652" w:rsidRDefault="00F56652" w:rsidP="00C40680">
            <w:pPr>
              <w:pStyle w:val="CETBodytext"/>
              <w:jc w:val="center"/>
              <w:rPr>
                <w:lang w:val="en-GB"/>
              </w:rPr>
            </w:pPr>
            <w:r>
              <w:rPr>
                <w:lang w:val="en-GB"/>
              </w:rPr>
              <w:t>20</w:t>
            </w:r>
          </w:p>
        </w:tc>
        <w:tc>
          <w:tcPr>
            <w:tcW w:w="1064" w:type="dxa"/>
            <w:shd w:val="clear" w:color="auto" w:fill="FFFFFF"/>
            <w:vAlign w:val="center"/>
          </w:tcPr>
          <w:p w14:paraId="491B24D7" w14:textId="7D97F784" w:rsidR="00F56652" w:rsidRDefault="00A67777" w:rsidP="00C40680">
            <w:pPr>
              <w:pStyle w:val="CETBodytext"/>
              <w:jc w:val="center"/>
              <w:rPr>
                <w:lang w:val="en-GB"/>
              </w:rPr>
            </w:pPr>
            <w:r>
              <w:rPr>
                <w:lang w:val="en-GB"/>
              </w:rPr>
              <w:t>68.94</w:t>
            </w:r>
          </w:p>
        </w:tc>
        <w:tc>
          <w:tcPr>
            <w:tcW w:w="1064" w:type="dxa"/>
            <w:shd w:val="clear" w:color="auto" w:fill="FFFFFF"/>
            <w:vAlign w:val="center"/>
          </w:tcPr>
          <w:p w14:paraId="31612A84" w14:textId="1A9443A3" w:rsidR="00F56652" w:rsidRDefault="00A67777" w:rsidP="00C40680">
            <w:pPr>
              <w:pStyle w:val="CETBodytext"/>
              <w:jc w:val="center"/>
              <w:rPr>
                <w:lang w:val="en-GB"/>
              </w:rPr>
            </w:pPr>
            <w:r>
              <w:rPr>
                <w:lang w:val="en-GB"/>
              </w:rPr>
              <w:t>8.56</w:t>
            </w:r>
          </w:p>
        </w:tc>
        <w:tc>
          <w:tcPr>
            <w:tcW w:w="1064" w:type="dxa"/>
            <w:shd w:val="clear" w:color="auto" w:fill="FFFFFF"/>
            <w:vAlign w:val="center"/>
          </w:tcPr>
          <w:p w14:paraId="77A8DEB2" w14:textId="0965A70F" w:rsidR="00F56652" w:rsidRDefault="005F49E4" w:rsidP="00C40680">
            <w:pPr>
              <w:pStyle w:val="CETBodytext"/>
              <w:jc w:val="center"/>
              <w:rPr>
                <w:lang w:val="en-GB"/>
              </w:rPr>
            </w:pPr>
            <w:r>
              <w:rPr>
                <w:lang w:val="en-GB"/>
              </w:rPr>
              <w:t>6.54</w:t>
            </w:r>
          </w:p>
        </w:tc>
        <w:tc>
          <w:tcPr>
            <w:tcW w:w="1064" w:type="dxa"/>
            <w:shd w:val="clear" w:color="auto" w:fill="FFFFFF"/>
            <w:vAlign w:val="center"/>
          </w:tcPr>
          <w:p w14:paraId="24743D37" w14:textId="709A6C05" w:rsidR="00F56652" w:rsidRDefault="00A67777" w:rsidP="00C40680">
            <w:pPr>
              <w:pStyle w:val="CETBodytext"/>
              <w:ind w:right="-1"/>
              <w:jc w:val="center"/>
              <w:rPr>
                <w:rFonts w:cs="Arial"/>
                <w:szCs w:val="18"/>
                <w:lang w:val="en-GB"/>
              </w:rPr>
            </w:pPr>
            <w:r>
              <w:rPr>
                <w:rFonts w:cs="Arial"/>
                <w:szCs w:val="18"/>
                <w:lang w:val="en-GB"/>
              </w:rPr>
              <w:t>15.96</w:t>
            </w:r>
          </w:p>
        </w:tc>
        <w:tc>
          <w:tcPr>
            <w:tcW w:w="1267" w:type="dxa"/>
            <w:shd w:val="clear" w:color="auto" w:fill="FFFFFF"/>
            <w:vAlign w:val="center"/>
          </w:tcPr>
          <w:p w14:paraId="1A5D25D9" w14:textId="72F1D320" w:rsidR="00F56652" w:rsidRDefault="00A67777" w:rsidP="00C40680">
            <w:pPr>
              <w:pStyle w:val="CETBodytext"/>
              <w:ind w:right="-1"/>
              <w:jc w:val="center"/>
              <w:rPr>
                <w:rFonts w:cs="Arial"/>
                <w:szCs w:val="18"/>
                <w:lang w:val="en-GB"/>
              </w:rPr>
            </w:pPr>
            <w:r>
              <w:rPr>
                <w:rFonts w:cs="Arial"/>
                <w:szCs w:val="18"/>
                <w:lang w:val="en-GB"/>
              </w:rPr>
              <w:t>32.67</w:t>
            </w:r>
          </w:p>
        </w:tc>
        <w:tc>
          <w:tcPr>
            <w:tcW w:w="1132" w:type="dxa"/>
            <w:shd w:val="clear" w:color="auto" w:fill="FFFFFF"/>
            <w:vAlign w:val="center"/>
          </w:tcPr>
          <w:p w14:paraId="0281B886" w14:textId="4B5DFD13" w:rsidR="00F56652" w:rsidRDefault="00A67777" w:rsidP="00A67777">
            <w:pPr>
              <w:pStyle w:val="CETBodytext"/>
              <w:ind w:right="-1"/>
              <w:jc w:val="center"/>
              <w:rPr>
                <w:rFonts w:cs="Arial"/>
                <w:szCs w:val="18"/>
                <w:lang w:val="en-GB"/>
              </w:rPr>
            </w:pPr>
            <w:r>
              <w:rPr>
                <w:rFonts w:cs="Arial"/>
                <w:szCs w:val="18"/>
                <w:lang w:val="en-GB"/>
              </w:rPr>
              <w:t>43.83</w:t>
            </w:r>
          </w:p>
        </w:tc>
      </w:tr>
      <w:tr w:rsidR="00F56652" w:rsidRPr="00B57B36" w14:paraId="679CCCEF" w14:textId="77777777" w:rsidTr="00F56652">
        <w:trPr>
          <w:trHeight w:val="200"/>
        </w:trPr>
        <w:tc>
          <w:tcPr>
            <w:tcW w:w="1035" w:type="dxa"/>
            <w:vMerge/>
            <w:tcBorders>
              <w:bottom w:val="single" w:sz="6" w:space="0" w:color="008000"/>
            </w:tcBorders>
            <w:shd w:val="clear" w:color="auto" w:fill="FFFFFF"/>
          </w:tcPr>
          <w:p w14:paraId="10F3ACE2" w14:textId="77777777" w:rsidR="00F56652" w:rsidRDefault="00F56652" w:rsidP="00C40680">
            <w:pPr>
              <w:pStyle w:val="CETBodytext"/>
              <w:jc w:val="center"/>
              <w:rPr>
                <w:lang w:val="en-GB"/>
              </w:rPr>
            </w:pPr>
          </w:p>
        </w:tc>
        <w:tc>
          <w:tcPr>
            <w:tcW w:w="1097" w:type="dxa"/>
            <w:tcBorders>
              <w:bottom w:val="single" w:sz="6" w:space="0" w:color="008000"/>
            </w:tcBorders>
            <w:shd w:val="clear" w:color="auto" w:fill="FFFFFF"/>
          </w:tcPr>
          <w:p w14:paraId="6F3C081B" w14:textId="3AFB77A9" w:rsidR="00F56652" w:rsidRDefault="00F56652" w:rsidP="00C40680">
            <w:pPr>
              <w:pStyle w:val="CETBodytext"/>
              <w:jc w:val="center"/>
              <w:rPr>
                <w:lang w:val="en-GB"/>
              </w:rPr>
            </w:pPr>
            <w:r>
              <w:rPr>
                <w:lang w:val="en-GB"/>
              </w:rPr>
              <w:t>35</w:t>
            </w:r>
          </w:p>
        </w:tc>
        <w:tc>
          <w:tcPr>
            <w:tcW w:w="1064" w:type="dxa"/>
            <w:tcBorders>
              <w:bottom w:val="single" w:sz="6" w:space="0" w:color="008000"/>
            </w:tcBorders>
            <w:shd w:val="clear" w:color="auto" w:fill="FFFFFF"/>
            <w:vAlign w:val="center"/>
          </w:tcPr>
          <w:p w14:paraId="6D0FE1E0" w14:textId="145A800C" w:rsidR="00F56652" w:rsidRDefault="00A67777" w:rsidP="00C40680">
            <w:pPr>
              <w:pStyle w:val="CETBodytext"/>
              <w:jc w:val="center"/>
              <w:rPr>
                <w:lang w:val="en-GB"/>
              </w:rPr>
            </w:pPr>
            <w:r>
              <w:rPr>
                <w:lang w:val="en-GB"/>
              </w:rPr>
              <w:t>69.15</w:t>
            </w:r>
          </w:p>
        </w:tc>
        <w:tc>
          <w:tcPr>
            <w:tcW w:w="1064" w:type="dxa"/>
            <w:tcBorders>
              <w:bottom w:val="single" w:sz="6" w:space="0" w:color="008000"/>
            </w:tcBorders>
            <w:shd w:val="clear" w:color="auto" w:fill="FFFFFF"/>
            <w:vAlign w:val="center"/>
          </w:tcPr>
          <w:p w14:paraId="15594823" w14:textId="1B9FC515" w:rsidR="00F56652" w:rsidRDefault="00A67777" w:rsidP="00C40680">
            <w:pPr>
              <w:pStyle w:val="CETBodytext"/>
              <w:jc w:val="center"/>
              <w:rPr>
                <w:lang w:val="en-GB"/>
              </w:rPr>
            </w:pPr>
            <w:r>
              <w:rPr>
                <w:lang w:val="en-GB"/>
              </w:rPr>
              <w:t>8.53</w:t>
            </w:r>
          </w:p>
        </w:tc>
        <w:tc>
          <w:tcPr>
            <w:tcW w:w="1064" w:type="dxa"/>
            <w:tcBorders>
              <w:bottom w:val="single" w:sz="6" w:space="0" w:color="008000"/>
            </w:tcBorders>
            <w:shd w:val="clear" w:color="auto" w:fill="FFFFFF"/>
            <w:vAlign w:val="center"/>
          </w:tcPr>
          <w:p w14:paraId="1D3120A3" w14:textId="490CC149" w:rsidR="00F56652" w:rsidRDefault="005F49E4" w:rsidP="00C40680">
            <w:pPr>
              <w:pStyle w:val="CETBodytext"/>
              <w:jc w:val="center"/>
              <w:rPr>
                <w:lang w:val="en-GB"/>
              </w:rPr>
            </w:pPr>
            <w:r>
              <w:rPr>
                <w:lang w:val="en-GB"/>
              </w:rPr>
              <w:t>6.47</w:t>
            </w:r>
          </w:p>
        </w:tc>
        <w:tc>
          <w:tcPr>
            <w:tcW w:w="1064" w:type="dxa"/>
            <w:tcBorders>
              <w:bottom w:val="single" w:sz="6" w:space="0" w:color="008000"/>
            </w:tcBorders>
            <w:shd w:val="clear" w:color="auto" w:fill="FFFFFF"/>
            <w:vAlign w:val="center"/>
          </w:tcPr>
          <w:p w14:paraId="00BDD05B" w14:textId="0D6EF21D" w:rsidR="00F56652" w:rsidRDefault="00A67777" w:rsidP="00C40680">
            <w:pPr>
              <w:pStyle w:val="CETBodytext"/>
              <w:ind w:right="-1"/>
              <w:jc w:val="center"/>
              <w:rPr>
                <w:rFonts w:cs="Arial"/>
                <w:szCs w:val="18"/>
                <w:lang w:val="en-GB"/>
              </w:rPr>
            </w:pPr>
            <w:r>
              <w:rPr>
                <w:rFonts w:cs="Arial"/>
                <w:szCs w:val="18"/>
                <w:lang w:val="en-GB"/>
              </w:rPr>
              <w:t>15.85</w:t>
            </w:r>
          </w:p>
        </w:tc>
        <w:tc>
          <w:tcPr>
            <w:tcW w:w="1267" w:type="dxa"/>
            <w:tcBorders>
              <w:bottom w:val="single" w:sz="6" w:space="0" w:color="008000"/>
            </w:tcBorders>
            <w:shd w:val="clear" w:color="auto" w:fill="FFFFFF"/>
            <w:vAlign w:val="center"/>
          </w:tcPr>
          <w:p w14:paraId="0CEEDCF2" w14:textId="6928CA62" w:rsidR="00F56652" w:rsidRDefault="00A67777" w:rsidP="00C40680">
            <w:pPr>
              <w:pStyle w:val="CETBodytext"/>
              <w:ind w:right="-1"/>
              <w:jc w:val="center"/>
              <w:rPr>
                <w:rFonts w:cs="Arial"/>
                <w:szCs w:val="18"/>
                <w:lang w:val="en-GB"/>
              </w:rPr>
            </w:pPr>
            <w:r>
              <w:rPr>
                <w:rFonts w:cs="Arial"/>
                <w:szCs w:val="18"/>
                <w:lang w:val="en-GB"/>
              </w:rPr>
              <w:t>32.72</w:t>
            </w:r>
          </w:p>
        </w:tc>
        <w:tc>
          <w:tcPr>
            <w:tcW w:w="1132" w:type="dxa"/>
            <w:tcBorders>
              <w:bottom w:val="single" w:sz="6" w:space="0" w:color="008000"/>
            </w:tcBorders>
            <w:shd w:val="clear" w:color="auto" w:fill="FFFFFF"/>
            <w:vAlign w:val="center"/>
          </w:tcPr>
          <w:p w14:paraId="429EF7FF" w14:textId="0A91BF60" w:rsidR="00F56652" w:rsidRDefault="00A67777" w:rsidP="00C40680">
            <w:pPr>
              <w:pStyle w:val="CETBodytext"/>
              <w:ind w:right="-1"/>
              <w:jc w:val="center"/>
              <w:rPr>
                <w:rFonts w:cs="Arial"/>
                <w:szCs w:val="18"/>
                <w:lang w:val="en-GB"/>
              </w:rPr>
            </w:pPr>
            <w:r>
              <w:rPr>
                <w:rFonts w:cs="Arial"/>
                <w:szCs w:val="18"/>
                <w:lang w:val="en-GB"/>
              </w:rPr>
              <w:t>43.57</w:t>
            </w:r>
          </w:p>
        </w:tc>
      </w:tr>
      <w:tr w:rsidR="00F56652" w:rsidRPr="00B57B36" w14:paraId="0DA4DB00" w14:textId="77777777" w:rsidTr="00F56652">
        <w:trPr>
          <w:trHeight w:val="200"/>
        </w:trPr>
        <w:tc>
          <w:tcPr>
            <w:tcW w:w="1035" w:type="dxa"/>
            <w:vMerge w:val="restart"/>
            <w:tcBorders>
              <w:top w:val="single" w:sz="6" w:space="0" w:color="008000"/>
            </w:tcBorders>
            <w:shd w:val="clear" w:color="auto" w:fill="FFFFFF"/>
            <w:vAlign w:val="center"/>
          </w:tcPr>
          <w:p w14:paraId="4688A74B" w14:textId="0FE103D1" w:rsidR="00F56652" w:rsidRDefault="00F56652" w:rsidP="00F56652">
            <w:pPr>
              <w:pStyle w:val="CETBodytext"/>
              <w:jc w:val="center"/>
              <w:rPr>
                <w:lang w:val="en-GB"/>
              </w:rPr>
            </w:pPr>
            <w:r>
              <w:rPr>
                <w:lang w:val="en-GB"/>
              </w:rPr>
              <w:t>300</w:t>
            </w:r>
          </w:p>
        </w:tc>
        <w:tc>
          <w:tcPr>
            <w:tcW w:w="1097" w:type="dxa"/>
            <w:tcBorders>
              <w:top w:val="single" w:sz="6" w:space="0" w:color="008000"/>
            </w:tcBorders>
            <w:shd w:val="clear" w:color="auto" w:fill="FFFFFF"/>
          </w:tcPr>
          <w:p w14:paraId="0386B128" w14:textId="1C66AD52" w:rsidR="00F56652" w:rsidRDefault="00F56652" w:rsidP="006E6792">
            <w:pPr>
              <w:pStyle w:val="CETBodytext"/>
              <w:jc w:val="center"/>
              <w:rPr>
                <w:lang w:val="en-GB"/>
              </w:rPr>
            </w:pPr>
            <w:r>
              <w:rPr>
                <w:lang w:val="en-GB"/>
              </w:rPr>
              <w:t>0</w:t>
            </w:r>
          </w:p>
        </w:tc>
        <w:tc>
          <w:tcPr>
            <w:tcW w:w="1064" w:type="dxa"/>
            <w:tcBorders>
              <w:top w:val="single" w:sz="6" w:space="0" w:color="008000"/>
            </w:tcBorders>
            <w:shd w:val="clear" w:color="auto" w:fill="FFFFFF"/>
            <w:vAlign w:val="center"/>
          </w:tcPr>
          <w:p w14:paraId="6146F4E4" w14:textId="7564B477" w:rsidR="00F56652" w:rsidRDefault="00A67777" w:rsidP="006E6792">
            <w:pPr>
              <w:pStyle w:val="CETBodytext"/>
              <w:jc w:val="center"/>
              <w:rPr>
                <w:lang w:val="en-GB"/>
              </w:rPr>
            </w:pPr>
            <w:r>
              <w:rPr>
                <w:lang w:val="en-GB"/>
              </w:rPr>
              <w:t>69.93</w:t>
            </w:r>
          </w:p>
        </w:tc>
        <w:tc>
          <w:tcPr>
            <w:tcW w:w="1064" w:type="dxa"/>
            <w:tcBorders>
              <w:top w:val="single" w:sz="6" w:space="0" w:color="008000"/>
            </w:tcBorders>
            <w:shd w:val="clear" w:color="auto" w:fill="FFFFFF"/>
            <w:vAlign w:val="center"/>
          </w:tcPr>
          <w:p w14:paraId="7A2DB2DB" w14:textId="6ECE24D6" w:rsidR="00F56652" w:rsidRDefault="00A67777" w:rsidP="006E6792">
            <w:pPr>
              <w:pStyle w:val="CETBodytext"/>
              <w:jc w:val="center"/>
              <w:rPr>
                <w:lang w:val="en-GB"/>
              </w:rPr>
            </w:pPr>
            <w:r>
              <w:rPr>
                <w:lang w:val="en-GB"/>
              </w:rPr>
              <w:t>9.45</w:t>
            </w:r>
          </w:p>
        </w:tc>
        <w:tc>
          <w:tcPr>
            <w:tcW w:w="1064" w:type="dxa"/>
            <w:tcBorders>
              <w:top w:val="single" w:sz="6" w:space="0" w:color="008000"/>
            </w:tcBorders>
            <w:shd w:val="clear" w:color="auto" w:fill="FFFFFF"/>
            <w:vAlign w:val="center"/>
          </w:tcPr>
          <w:p w14:paraId="46336834" w14:textId="5F560E94" w:rsidR="00F56652" w:rsidRDefault="00A67777" w:rsidP="006E6792">
            <w:pPr>
              <w:pStyle w:val="CETBodytext"/>
              <w:jc w:val="center"/>
              <w:rPr>
                <w:lang w:val="en-GB"/>
              </w:rPr>
            </w:pPr>
            <w:r>
              <w:rPr>
                <w:lang w:val="en-GB"/>
              </w:rPr>
              <w:t>8.24</w:t>
            </w:r>
          </w:p>
        </w:tc>
        <w:tc>
          <w:tcPr>
            <w:tcW w:w="1064" w:type="dxa"/>
            <w:tcBorders>
              <w:top w:val="single" w:sz="6" w:space="0" w:color="008000"/>
            </w:tcBorders>
            <w:shd w:val="clear" w:color="auto" w:fill="FFFFFF"/>
            <w:vAlign w:val="center"/>
          </w:tcPr>
          <w:p w14:paraId="3D317B6B" w14:textId="04D2B9A1" w:rsidR="00F56652" w:rsidRDefault="00173AA1" w:rsidP="006E6792">
            <w:pPr>
              <w:pStyle w:val="CETBodytext"/>
              <w:ind w:right="-1"/>
              <w:jc w:val="center"/>
              <w:rPr>
                <w:rFonts w:cs="Arial"/>
                <w:szCs w:val="18"/>
                <w:lang w:val="en-GB"/>
              </w:rPr>
            </w:pPr>
            <w:r>
              <w:rPr>
                <w:rFonts w:cs="Arial"/>
                <w:szCs w:val="18"/>
                <w:lang w:val="en-GB"/>
              </w:rPr>
              <w:t>12.38</w:t>
            </w:r>
          </w:p>
        </w:tc>
        <w:tc>
          <w:tcPr>
            <w:tcW w:w="1267" w:type="dxa"/>
            <w:tcBorders>
              <w:top w:val="single" w:sz="6" w:space="0" w:color="008000"/>
            </w:tcBorders>
            <w:shd w:val="clear" w:color="auto" w:fill="FFFFFF"/>
            <w:vAlign w:val="center"/>
          </w:tcPr>
          <w:p w14:paraId="2E587A42" w14:textId="14DA8B5C" w:rsidR="00F56652" w:rsidRDefault="00173AA1" w:rsidP="006E6792">
            <w:pPr>
              <w:pStyle w:val="CETBodytext"/>
              <w:ind w:right="-1"/>
              <w:jc w:val="center"/>
              <w:rPr>
                <w:rFonts w:cs="Arial"/>
                <w:szCs w:val="18"/>
                <w:lang w:val="en-GB"/>
              </w:rPr>
            </w:pPr>
            <w:r>
              <w:rPr>
                <w:rFonts w:cs="Arial"/>
                <w:szCs w:val="18"/>
                <w:lang w:val="en-GB"/>
              </w:rPr>
              <w:t>34.93</w:t>
            </w:r>
          </w:p>
        </w:tc>
        <w:tc>
          <w:tcPr>
            <w:tcW w:w="1132" w:type="dxa"/>
            <w:tcBorders>
              <w:top w:val="single" w:sz="6" w:space="0" w:color="008000"/>
            </w:tcBorders>
            <w:shd w:val="clear" w:color="auto" w:fill="FFFFFF"/>
            <w:vAlign w:val="center"/>
          </w:tcPr>
          <w:p w14:paraId="13570D45" w14:textId="67C4930C" w:rsidR="00F56652" w:rsidRDefault="00173AA1" w:rsidP="006E6792">
            <w:pPr>
              <w:pStyle w:val="CETBodytext"/>
              <w:ind w:right="-1"/>
              <w:jc w:val="center"/>
              <w:rPr>
                <w:rFonts w:cs="Arial"/>
                <w:szCs w:val="18"/>
                <w:lang w:val="en-GB"/>
              </w:rPr>
            </w:pPr>
            <w:r>
              <w:rPr>
                <w:rFonts w:cs="Arial"/>
                <w:szCs w:val="18"/>
                <w:lang w:val="en-GB"/>
              </w:rPr>
              <w:t>42.73</w:t>
            </w:r>
          </w:p>
        </w:tc>
      </w:tr>
      <w:tr w:rsidR="00F56652" w:rsidRPr="00B57B36" w14:paraId="7E0CB896" w14:textId="77777777" w:rsidTr="00F56652">
        <w:trPr>
          <w:trHeight w:val="200"/>
        </w:trPr>
        <w:tc>
          <w:tcPr>
            <w:tcW w:w="1035" w:type="dxa"/>
            <w:vMerge/>
            <w:shd w:val="clear" w:color="auto" w:fill="FFFFFF"/>
            <w:vAlign w:val="center"/>
          </w:tcPr>
          <w:p w14:paraId="05A2585B" w14:textId="77777777" w:rsidR="00F56652" w:rsidRDefault="00F56652" w:rsidP="00F56652">
            <w:pPr>
              <w:pStyle w:val="CETBodytext"/>
              <w:jc w:val="center"/>
              <w:rPr>
                <w:lang w:val="en-GB"/>
              </w:rPr>
            </w:pPr>
          </w:p>
        </w:tc>
        <w:tc>
          <w:tcPr>
            <w:tcW w:w="1097" w:type="dxa"/>
            <w:shd w:val="clear" w:color="auto" w:fill="FFFFFF"/>
          </w:tcPr>
          <w:p w14:paraId="402442C5" w14:textId="2A13F403" w:rsidR="00F56652" w:rsidRDefault="00F56652" w:rsidP="006E6792">
            <w:pPr>
              <w:pStyle w:val="CETBodytext"/>
              <w:jc w:val="center"/>
              <w:rPr>
                <w:lang w:val="en-GB"/>
              </w:rPr>
            </w:pPr>
            <w:r>
              <w:rPr>
                <w:lang w:val="en-GB"/>
              </w:rPr>
              <w:t>10</w:t>
            </w:r>
          </w:p>
        </w:tc>
        <w:tc>
          <w:tcPr>
            <w:tcW w:w="1064" w:type="dxa"/>
            <w:shd w:val="clear" w:color="auto" w:fill="FFFFFF"/>
            <w:vAlign w:val="center"/>
          </w:tcPr>
          <w:p w14:paraId="4A2263BF" w14:textId="32A0136A" w:rsidR="00F56652" w:rsidRDefault="00A67777" w:rsidP="006E6792">
            <w:pPr>
              <w:pStyle w:val="CETBodytext"/>
              <w:jc w:val="center"/>
              <w:rPr>
                <w:lang w:val="en-GB"/>
              </w:rPr>
            </w:pPr>
            <w:r>
              <w:rPr>
                <w:lang w:val="en-GB"/>
              </w:rPr>
              <w:t>70.67</w:t>
            </w:r>
          </w:p>
        </w:tc>
        <w:tc>
          <w:tcPr>
            <w:tcW w:w="1064" w:type="dxa"/>
            <w:shd w:val="clear" w:color="auto" w:fill="FFFFFF"/>
            <w:vAlign w:val="center"/>
          </w:tcPr>
          <w:p w14:paraId="24596A9C" w14:textId="5C1676E4" w:rsidR="00F56652" w:rsidRDefault="00A67777" w:rsidP="006E6792">
            <w:pPr>
              <w:pStyle w:val="CETBodytext"/>
              <w:jc w:val="center"/>
              <w:rPr>
                <w:lang w:val="en-GB"/>
              </w:rPr>
            </w:pPr>
            <w:r>
              <w:rPr>
                <w:lang w:val="en-GB"/>
              </w:rPr>
              <w:t>9.38</w:t>
            </w:r>
          </w:p>
        </w:tc>
        <w:tc>
          <w:tcPr>
            <w:tcW w:w="1064" w:type="dxa"/>
            <w:shd w:val="clear" w:color="auto" w:fill="FFFFFF"/>
            <w:vAlign w:val="center"/>
          </w:tcPr>
          <w:p w14:paraId="155B9C72" w14:textId="5C0CDC62" w:rsidR="00F56652" w:rsidRDefault="00A67777" w:rsidP="006E6792">
            <w:pPr>
              <w:pStyle w:val="CETBodytext"/>
              <w:jc w:val="center"/>
              <w:rPr>
                <w:lang w:val="en-GB"/>
              </w:rPr>
            </w:pPr>
            <w:r>
              <w:rPr>
                <w:lang w:val="en-GB"/>
              </w:rPr>
              <w:t>7.82</w:t>
            </w:r>
          </w:p>
        </w:tc>
        <w:tc>
          <w:tcPr>
            <w:tcW w:w="1064" w:type="dxa"/>
            <w:shd w:val="clear" w:color="auto" w:fill="FFFFFF"/>
            <w:vAlign w:val="center"/>
          </w:tcPr>
          <w:p w14:paraId="768D769C" w14:textId="7494416B" w:rsidR="00F56652" w:rsidRDefault="00173AA1" w:rsidP="006E6792">
            <w:pPr>
              <w:pStyle w:val="CETBodytext"/>
              <w:ind w:right="-1"/>
              <w:jc w:val="center"/>
              <w:rPr>
                <w:rFonts w:cs="Arial"/>
                <w:szCs w:val="18"/>
                <w:lang w:val="en-GB"/>
              </w:rPr>
            </w:pPr>
            <w:r>
              <w:rPr>
                <w:rFonts w:cs="Arial"/>
                <w:szCs w:val="18"/>
                <w:lang w:val="en-GB"/>
              </w:rPr>
              <w:t>12.13</w:t>
            </w:r>
          </w:p>
        </w:tc>
        <w:tc>
          <w:tcPr>
            <w:tcW w:w="1267" w:type="dxa"/>
            <w:shd w:val="clear" w:color="auto" w:fill="FFFFFF"/>
            <w:vAlign w:val="center"/>
          </w:tcPr>
          <w:p w14:paraId="2C0C3D87" w14:textId="2F18E16E" w:rsidR="00F56652" w:rsidRDefault="00173AA1" w:rsidP="006E6792">
            <w:pPr>
              <w:pStyle w:val="CETBodytext"/>
              <w:ind w:right="-1"/>
              <w:jc w:val="center"/>
              <w:rPr>
                <w:rFonts w:cs="Arial"/>
                <w:szCs w:val="18"/>
                <w:lang w:val="en-GB"/>
              </w:rPr>
            </w:pPr>
            <w:r>
              <w:rPr>
                <w:rFonts w:cs="Arial"/>
                <w:szCs w:val="18"/>
                <w:lang w:val="en-GB"/>
              </w:rPr>
              <w:t>35.12</w:t>
            </w:r>
          </w:p>
        </w:tc>
        <w:tc>
          <w:tcPr>
            <w:tcW w:w="1132" w:type="dxa"/>
            <w:shd w:val="clear" w:color="auto" w:fill="FFFFFF"/>
            <w:vAlign w:val="center"/>
          </w:tcPr>
          <w:p w14:paraId="6CA12B72" w14:textId="56852E4A" w:rsidR="00F56652" w:rsidRDefault="00173AA1" w:rsidP="006E6792">
            <w:pPr>
              <w:pStyle w:val="CETBodytext"/>
              <w:ind w:right="-1"/>
              <w:jc w:val="center"/>
              <w:rPr>
                <w:rFonts w:cs="Arial"/>
                <w:szCs w:val="18"/>
                <w:lang w:val="en-GB"/>
              </w:rPr>
            </w:pPr>
            <w:r>
              <w:rPr>
                <w:rFonts w:cs="Arial"/>
                <w:szCs w:val="18"/>
                <w:lang w:val="en-GB"/>
              </w:rPr>
              <w:t>54.64</w:t>
            </w:r>
          </w:p>
        </w:tc>
      </w:tr>
      <w:tr w:rsidR="00F56652" w:rsidRPr="00B57B36" w14:paraId="14C3D08B" w14:textId="77777777" w:rsidTr="00F56652">
        <w:trPr>
          <w:trHeight w:val="200"/>
        </w:trPr>
        <w:tc>
          <w:tcPr>
            <w:tcW w:w="1035" w:type="dxa"/>
            <w:vMerge/>
            <w:shd w:val="clear" w:color="auto" w:fill="FFFFFF"/>
            <w:vAlign w:val="center"/>
          </w:tcPr>
          <w:p w14:paraId="646B57F1" w14:textId="77777777" w:rsidR="00F56652" w:rsidRDefault="00F56652" w:rsidP="00F56652">
            <w:pPr>
              <w:pStyle w:val="CETBodytext"/>
              <w:jc w:val="center"/>
              <w:rPr>
                <w:lang w:val="en-GB"/>
              </w:rPr>
            </w:pPr>
          </w:p>
        </w:tc>
        <w:tc>
          <w:tcPr>
            <w:tcW w:w="1097" w:type="dxa"/>
            <w:shd w:val="clear" w:color="auto" w:fill="FFFFFF"/>
          </w:tcPr>
          <w:p w14:paraId="0519ACC5" w14:textId="5A84ED08" w:rsidR="00F56652" w:rsidRDefault="00F56652" w:rsidP="006E6792">
            <w:pPr>
              <w:pStyle w:val="CETBodytext"/>
              <w:jc w:val="center"/>
              <w:rPr>
                <w:lang w:val="en-GB"/>
              </w:rPr>
            </w:pPr>
            <w:r>
              <w:rPr>
                <w:lang w:val="en-GB"/>
              </w:rPr>
              <w:t>20</w:t>
            </w:r>
          </w:p>
        </w:tc>
        <w:tc>
          <w:tcPr>
            <w:tcW w:w="1064" w:type="dxa"/>
            <w:shd w:val="clear" w:color="auto" w:fill="FFFFFF"/>
            <w:vAlign w:val="center"/>
          </w:tcPr>
          <w:p w14:paraId="4505AA7A" w14:textId="5ECA235D" w:rsidR="00F56652" w:rsidRDefault="00A67777" w:rsidP="006E6792">
            <w:pPr>
              <w:pStyle w:val="CETBodytext"/>
              <w:jc w:val="center"/>
              <w:rPr>
                <w:lang w:val="en-GB"/>
              </w:rPr>
            </w:pPr>
            <w:r>
              <w:rPr>
                <w:lang w:val="en-GB"/>
              </w:rPr>
              <w:t>72.13</w:t>
            </w:r>
          </w:p>
        </w:tc>
        <w:tc>
          <w:tcPr>
            <w:tcW w:w="1064" w:type="dxa"/>
            <w:shd w:val="clear" w:color="auto" w:fill="FFFFFF"/>
            <w:vAlign w:val="center"/>
          </w:tcPr>
          <w:p w14:paraId="0569EAE8" w14:textId="1A0C1872" w:rsidR="00F56652" w:rsidRDefault="00A67777" w:rsidP="006E6792">
            <w:pPr>
              <w:pStyle w:val="CETBodytext"/>
              <w:jc w:val="center"/>
              <w:rPr>
                <w:lang w:val="en-GB"/>
              </w:rPr>
            </w:pPr>
            <w:r>
              <w:rPr>
                <w:lang w:val="en-GB"/>
              </w:rPr>
              <w:t>8.92</w:t>
            </w:r>
          </w:p>
        </w:tc>
        <w:tc>
          <w:tcPr>
            <w:tcW w:w="1064" w:type="dxa"/>
            <w:shd w:val="clear" w:color="auto" w:fill="FFFFFF"/>
            <w:vAlign w:val="center"/>
          </w:tcPr>
          <w:p w14:paraId="4B657EED" w14:textId="022FCA0F" w:rsidR="00F56652" w:rsidRDefault="00A67777" w:rsidP="006E6792">
            <w:pPr>
              <w:pStyle w:val="CETBodytext"/>
              <w:jc w:val="center"/>
              <w:rPr>
                <w:lang w:val="en-GB"/>
              </w:rPr>
            </w:pPr>
            <w:r>
              <w:rPr>
                <w:lang w:val="en-GB"/>
              </w:rPr>
              <w:t>7.51</w:t>
            </w:r>
          </w:p>
        </w:tc>
        <w:tc>
          <w:tcPr>
            <w:tcW w:w="1064" w:type="dxa"/>
            <w:shd w:val="clear" w:color="auto" w:fill="FFFFFF"/>
            <w:vAlign w:val="center"/>
          </w:tcPr>
          <w:p w14:paraId="0FC3303A" w14:textId="688198CC" w:rsidR="00F56652" w:rsidRDefault="00173AA1" w:rsidP="006E6792">
            <w:pPr>
              <w:pStyle w:val="CETBodytext"/>
              <w:ind w:right="-1"/>
              <w:jc w:val="center"/>
              <w:rPr>
                <w:rFonts w:cs="Arial"/>
                <w:szCs w:val="18"/>
                <w:lang w:val="en-GB"/>
              </w:rPr>
            </w:pPr>
            <w:r>
              <w:rPr>
                <w:rFonts w:cs="Arial"/>
                <w:szCs w:val="18"/>
                <w:lang w:val="en-GB"/>
              </w:rPr>
              <w:t>11.45</w:t>
            </w:r>
          </w:p>
        </w:tc>
        <w:tc>
          <w:tcPr>
            <w:tcW w:w="1267" w:type="dxa"/>
            <w:shd w:val="clear" w:color="auto" w:fill="FFFFFF"/>
            <w:vAlign w:val="center"/>
          </w:tcPr>
          <w:p w14:paraId="4E1DEAA6" w14:textId="78798CBF" w:rsidR="00F56652" w:rsidRDefault="00173AA1" w:rsidP="006E6792">
            <w:pPr>
              <w:pStyle w:val="CETBodytext"/>
              <w:ind w:right="-1"/>
              <w:jc w:val="center"/>
              <w:rPr>
                <w:rFonts w:cs="Arial"/>
                <w:szCs w:val="18"/>
                <w:lang w:val="en-GB"/>
              </w:rPr>
            </w:pPr>
            <w:r>
              <w:rPr>
                <w:rFonts w:cs="Arial"/>
                <w:szCs w:val="18"/>
                <w:lang w:val="en-GB"/>
              </w:rPr>
              <w:t>35.07</w:t>
            </w:r>
          </w:p>
        </w:tc>
        <w:tc>
          <w:tcPr>
            <w:tcW w:w="1132" w:type="dxa"/>
            <w:shd w:val="clear" w:color="auto" w:fill="FFFFFF"/>
            <w:vAlign w:val="center"/>
          </w:tcPr>
          <w:p w14:paraId="6CBFCA61" w14:textId="56B038F3" w:rsidR="00F56652" w:rsidRDefault="00173AA1" w:rsidP="006E6792">
            <w:pPr>
              <w:pStyle w:val="CETBodytext"/>
              <w:ind w:right="-1"/>
              <w:jc w:val="center"/>
              <w:rPr>
                <w:rFonts w:cs="Arial"/>
                <w:szCs w:val="18"/>
                <w:lang w:val="en-GB"/>
              </w:rPr>
            </w:pPr>
            <w:r>
              <w:rPr>
                <w:rFonts w:cs="Arial"/>
                <w:szCs w:val="18"/>
                <w:lang w:val="en-GB"/>
              </w:rPr>
              <w:t>58.02</w:t>
            </w:r>
          </w:p>
        </w:tc>
      </w:tr>
      <w:tr w:rsidR="00F56652" w:rsidRPr="00B57B36" w14:paraId="0D454A1D" w14:textId="77777777" w:rsidTr="00F56652">
        <w:trPr>
          <w:trHeight w:val="200"/>
        </w:trPr>
        <w:tc>
          <w:tcPr>
            <w:tcW w:w="1035" w:type="dxa"/>
            <w:vMerge/>
            <w:tcBorders>
              <w:bottom w:val="single" w:sz="6" w:space="0" w:color="008000"/>
            </w:tcBorders>
            <w:shd w:val="clear" w:color="auto" w:fill="FFFFFF"/>
            <w:vAlign w:val="center"/>
          </w:tcPr>
          <w:p w14:paraId="58C43176" w14:textId="77777777" w:rsidR="00F56652" w:rsidRDefault="00F56652" w:rsidP="00F56652">
            <w:pPr>
              <w:pStyle w:val="CETBodytext"/>
              <w:jc w:val="center"/>
              <w:rPr>
                <w:lang w:val="en-GB"/>
              </w:rPr>
            </w:pPr>
          </w:p>
        </w:tc>
        <w:tc>
          <w:tcPr>
            <w:tcW w:w="1097" w:type="dxa"/>
            <w:tcBorders>
              <w:bottom w:val="single" w:sz="6" w:space="0" w:color="008000"/>
            </w:tcBorders>
            <w:shd w:val="clear" w:color="auto" w:fill="FFFFFF"/>
          </w:tcPr>
          <w:p w14:paraId="79AA7120" w14:textId="388632DC" w:rsidR="00F56652" w:rsidRDefault="00F56652" w:rsidP="006E6792">
            <w:pPr>
              <w:pStyle w:val="CETBodytext"/>
              <w:jc w:val="center"/>
              <w:rPr>
                <w:lang w:val="en-GB"/>
              </w:rPr>
            </w:pPr>
            <w:r>
              <w:rPr>
                <w:lang w:val="en-GB"/>
              </w:rPr>
              <w:t>35</w:t>
            </w:r>
          </w:p>
        </w:tc>
        <w:tc>
          <w:tcPr>
            <w:tcW w:w="1064" w:type="dxa"/>
            <w:tcBorders>
              <w:bottom w:val="single" w:sz="6" w:space="0" w:color="008000"/>
            </w:tcBorders>
            <w:shd w:val="clear" w:color="auto" w:fill="FFFFFF"/>
            <w:vAlign w:val="center"/>
          </w:tcPr>
          <w:p w14:paraId="1AC2E318" w14:textId="1C00BF44" w:rsidR="00F56652" w:rsidRDefault="00A67777" w:rsidP="006E6792">
            <w:pPr>
              <w:pStyle w:val="CETBodytext"/>
              <w:jc w:val="center"/>
              <w:rPr>
                <w:lang w:val="en-GB"/>
              </w:rPr>
            </w:pPr>
            <w:r>
              <w:rPr>
                <w:lang w:val="en-GB"/>
              </w:rPr>
              <w:t>72.96</w:t>
            </w:r>
          </w:p>
        </w:tc>
        <w:tc>
          <w:tcPr>
            <w:tcW w:w="1064" w:type="dxa"/>
            <w:tcBorders>
              <w:bottom w:val="single" w:sz="6" w:space="0" w:color="008000"/>
            </w:tcBorders>
            <w:shd w:val="clear" w:color="auto" w:fill="FFFFFF"/>
            <w:vAlign w:val="center"/>
          </w:tcPr>
          <w:p w14:paraId="418EDCF8" w14:textId="50605330" w:rsidR="00F56652" w:rsidRDefault="00A67777" w:rsidP="006E6792">
            <w:pPr>
              <w:pStyle w:val="CETBodytext"/>
              <w:jc w:val="center"/>
              <w:rPr>
                <w:lang w:val="en-GB"/>
              </w:rPr>
            </w:pPr>
            <w:r>
              <w:rPr>
                <w:lang w:val="en-GB"/>
              </w:rPr>
              <w:t>8.85</w:t>
            </w:r>
          </w:p>
        </w:tc>
        <w:tc>
          <w:tcPr>
            <w:tcW w:w="1064" w:type="dxa"/>
            <w:tcBorders>
              <w:bottom w:val="single" w:sz="6" w:space="0" w:color="008000"/>
            </w:tcBorders>
            <w:shd w:val="clear" w:color="auto" w:fill="FFFFFF"/>
            <w:vAlign w:val="center"/>
          </w:tcPr>
          <w:p w14:paraId="20BFFA5A" w14:textId="653B4424" w:rsidR="00F56652" w:rsidRDefault="00173AA1" w:rsidP="006E6792">
            <w:pPr>
              <w:pStyle w:val="CETBodytext"/>
              <w:jc w:val="center"/>
              <w:rPr>
                <w:lang w:val="en-GB"/>
              </w:rPr>
            </w:pPr>
            <w:r>
              <w:rPr>
                <w:lang w:val="en-GB"/>
              </w:rPr>
              <w:t>6.53</w:t>
            </w:r>
          </w:p>
        </w:tc>
        <w:tc>
          <w:tcPr>
            <w:tcW w:w="1064" w:type="dxa"/>
            <w:tcBorders>
              <w:bottom w:val="single" w:sz="6" w:space="0" w:color="008000"/>
            </w:tcBorders>
            <w:shd w:val="clear" w:color="auto" w:fill="FFFFFF"/>
            <w:vAlign w:val="center"/>
          </w:tcPr>
          <w:p w14:paraId="7FF40384" w14:textId="7DBDD2A3" w:rsidR="00F56652" w:rsidRDefault="00173AA1" w:rsidP="006E6792">
            <w:pPr>
              <w:pStyle w:val="CETBodytext"/>
              <w:ind w:right="-1"/>
              <w:jc w:val="center"/>
              <w:rPr>
                <w:rFonts w:cs="Arial"/>
                <w:szCs w:val="18"/>
                <w:lang w:val="en-GB"/>
              </w:rPr>
            </w:pPr>
            <w:r>
              <w:rPr>
                <w:rFonts w:cs="Arial"/>
                <w:szCs w:val="18"/>
                <w:lang w:val="en-GB"/>
              </w:rPr>
              <w:t>11.67</w:t>
            </w:r>
          </w:p>
        </w:tc>
        <w:tc>
          <w:tcPr>
            <w:tcW w:w="1267" w:type="dxa"/>
            <w:tcBorders>
              <w:bottom w:val="single" w:sz="6" w:space="0" w:color="008000"/>
            </w:tcBorders>
            <w:shd w:val="clear" w:color="auto" w:fill="FFFFFF"/>
            <w:vAlign w:val="center"/>
          </w:tcPr>
          <w:p w14:paraId="4F37E154" w14:textId="7254F744" w:rsidR="00F56652" w:rsidRDefault="00173AA1" w:rsidP="006E6792">
            <w:pPr>
              <w:pStyle w:val="CETBodytext"/>
              <w:ind w:right="-1"/>
              <w:jc w:val="center"/>
              <w:rPr>
                <w:rFonts w:cs="Arial"/>
                <w:szCs w:val="18"/>
                <w:lang w:val="en-GB"/>
              </w:rPr>
            </w:pPr>
            <w:r>
              <w:rPr>
                <w:rFonts w:cs="Arial"/>
                <w:szCs w:val="18"/>
                <w:lang w:val="en-GB"/>
              </w:rPr>
              <w:t>35.21</w:t>
            </w:r>
          </w:p>
        </w:tc>
        <w:tc>
          <w:tcPr>
            <w:tcW w:w="1132" w:type="dxa"/>
            <w:tcBorders>
              <w:bottom w:val="single" w:sz="6" w:space="0" w:color="008000"/>
            </w:tcBorders>
            <w:shd w:val="clear" w:color="auto" w:fill="FFFFFF"/>
            <w:vAlign w:val="center"/>
          </w:tcPr>
          <w:p w14:paraId="2DCC2F74" w14:textId="736EBCC2" w:rsidR="00F56652" w:rsidRDefault="00173AA1" w:rsidP="006E6792">
            <w:pPr>
              <w:pStyle w:val="CETBodytext"/>
              <w:ind w:right="-1"/>
              <w:jc w:val="center"/>
              <w:rPr>
                <w:rFonts w:cs="Arial"/>
                <w:szCs w:val="18"/>
                <w:lang w:val="en-GB"/>
              </w:rPr>
            </w:pPr>
            <w:r>
              <w:rPr>
                <w:rFonts w:cs="Arial"/>
                <w:szCs w:val="18"/>
                <w:lang w:val="en-GB"/>
              </w:rPr>
              <w:t>59.38</w:t>
            </w:r>
          </w:p>
        </w:tc>
      </w:tr>
      <w:tr w:rsidR="00F56652" w:rsidRPr="00B57B36" w14:paraId="14F75B6E" w14:textId="77777777" w:rsidTr="00F56652">
        <w:trPr>
          <w:trHeight w:val="200"/>
        </w:trPr>
        <w:tc>
          <w:tcPr>
            <w:tcW w:w="1035" w:type="dxa"/>
            <w:vMerge w:val="restart"/>
            <w:tcBorders>
              <w:top w:val="single" w:sz="6" w:space="0" w:color="008000"/>
            </w:tcBorders>
            <w:shd w:val="clear" w:color="auto" w:fill="FFFFFF"/>
            <w:vAlign w:val="center"/>
          </w:tcPr>
          <w:p w14:paraId="39493981" w14:textId="3F7DDCFA" w:rsidR="00F56652" w:rsidRDefault="00F56652" w:rsidP="00F56652">
            <w:pPr>
              <w:pStyle w:val="CETBodytext"/>
              <w:jc w:val="center"/>
              <w:rPr>
                <w:lang w:val="en-GB"/>
              </w:rPr>
            </w:pPr>
            <w:r>
              <w:rPr>
                <w:lang w:val="en-GB"/>
              </w:rPr>
              <w:t>330</w:t>
            </w:r>
          </w:p>
        </w:tc>
        <w:tc>
          <w:tcPr>
            <w:tcW w:w="1097" w:type="dxa"/>
            <w:tcBorders>
              <w:top w:val="single" w:sz="6" w:space="0" w:color="008000"/>
            </w:tcBorders>
            <w:shd w:val="clear" w:color="auto" w:fill="FFFFFF"/>
          </w:tcPr>
          <w:p w14:paraId="492FEE1E" w14:textId="5A933025" w:rsidR="00F56652" w:rsidRDefault="00F56652" w:rsidP="006E6792">
            <w:pPr>
              <w:pStyle w:val="CETBodytext"/>
              <w:jc w:val="center"/>
              <w:rPr>
                <w:lang w:val="en-GB"/>
              </w:rPr>
            </w:pPr>
            <w:r>
              <w:rPr>
                <w:lang w:val="en-GB"/>
              </w:rPr>
              <w:t>0</w:t>
            </w:r>
          </w:p>
        </w:tc>
        <w:tc>
          <w:tcPr>
            <w:tcW w:w="1064" w:type="dxa"/>
            <w:tcBorders>
              <w:top w:val="single" w:sz="6" w:space="0" w:color="008000"/>
            </w:tcBorders>
            <w:shd w:val="clear" w:color="auto" w:fill="FFFFFF"/>
            <w:vAlign w:val="center"/>
          </w:tcPr>
          <w:p w14:paraId="4ECED016" w14:textId="683307E1" w:rsidR="00F56652" w:rsidRDefault="00173AA1" w:rsidP="006E6792">
            <w:pPr>
              <w:pStyle w:val="CETBodytext"/>
              <w:jc w:val="center"/>
              <w:rPr>
                <w:lang w:val="en-GB"/>
              </w:rPr>
            </w:pPr>
            <w:r>
              <w:rPr>
                <w:lang w:val="en-GB"/>
              </w:rPr>
              <w:t>69.98</w:t>
            </w:r>
          </w:p>
        </w:tc>
        <w:tc>
          <w:tcPr>
            <w:tcW w:w="1064" w:type="dxa"/>
            <w:tcBorders>
              <w:top w:val="single" w:sz="6" w:space="0" w:color="008000"/>
            </w:tcBorders>
            <w:shd w:val="clear" w:color="auto" w:fill="FFFFFF"/>
            <w:vAlign w:val="center"/>
          </w:tcPr>
          <w:p w14:paraId="6F11B800" w14:textId="32E583CE" w:rsidR="00F56652" w:rsidRDefault="00173AA1" w:rsidP="006E6792">
            <w:pPr>
              <w:pStyle w:val="CETBodytext"/>
              <w:jc w:val="center"/>
              <w:rPr>
                <w:lang w:val="en-GB"/>
              </w:rPr>
            </w:pPr>
            <w:r>
              <w:rPr>
                <w:lang w:val="en-GB"/>
              </w:rPr>
              <w:t>8.47</w:t>
            </w:r>
          </w:p>
        </w:tc>
        <w:tc>
          <w:tcPr>
            <w:tcW w:w="1064" w:type="dxa"/>
            <w:tcBorders>
              <w:top w:val="single" w:sz="6" w:space="0" w:color="008000"/>
            </w:tcBorders>
            <w:shd w:val="clear" w:color="auto" w:fill="FFFFFF"/>
            <w:vAlign w:val="center"/>
          </w:tcPr>
          <w:p w14:paraId="15CCDA4E" w14:textId="4C38A264" w:rsidR="00F56652" w:rsidRDefault="00173AA1" w:rsidP="006E6792">
            <w:pPr>
              <w:pStyle w:val="CETBodytext"/>
              <w:jc w:val="center"/>
              <w:rPr>
                <w:lang w:val="en-GB"/>
              </w:rPr>
            </w:pPr>
            <w:r>
              <w:rPr>
                <w:lang w:val="en-GB"/>
              </w:rPr>
              <w:t>8.07</w:t>
            </w:r>
          </w:p>
        </w:tc>
        <w:tc>
          <w:tcPr>
            <w:tcW w:w="1064" w:type="dxa"/>
            <w:tcBorders>
              <w:top w:val="single" w:sz="6" w:space="0" w:color="008000"/>
            </w:tcBorders>
            <w:shd w:val="clear" w:color="auto" w:fill="FFFFFF"/>
            <w:vAlign w:val="center"/>
          </w:tcPr>
          <w:p w14:paraId="6EDF9104" w14:textId="44E32655" w:rsidR="00F56652" w:rsidRDefault="00173AA1" w:rsidP="006E6792">
            <w:pPr>
              <w:pStyle w:val="CETBodytext"/>
              <w:ind w:right="-1"/>
              <w:jc w:val="center"/>
              <w:rPr>
                <w:rFonts w:cs="Arial"/>
                <w:szCs w:val="18"/>
                <w:lang w:val="en-GB"/>
              </w:rPr>
            </w:pPr>
            <w:r>
              <w:rPr>
                <w:rFonts w:cs="Arial"/>
                <w:szCs w:val="18"/>
                <w:lang w:val="en-GB"/>
              </w:rPr>
              <w:t>13.47</w:t>
            </w:r>
          </w:p>
        </w:tc>
        <w:tc>
          <w:tcPr>
            <w:tcW w:w="1267" w:type="dxa"/>
            <w:tcBorders>
              <w:top w:val="single" w:sz="6" w:space="0" w:color="008000"/>
            </w:tcBorders>
            <w:shd w:val="clear" w:color="auto" w:fill="FFFFFF"/>
            <w:vAlign w:val="center"/>
          </w:tcPr>
          <w:p w14:paraId="11CB2684" w14:textId="499921BC" w:rsidR="00F56652" w:rsidRDefault="00E94683" w:rsidP="006E6792">
            <w:pPr>
              <w:pStyle w:val="CETBodytext"/>
              <w:ind w:right="-1"/>
              <w:jc w:val="center"/>
              <w:rPr>
                <w:rFonts w:cs="Arial"/>
                <w:szCs w:val="18"/>
                <w:lang w:val="en-GB"/>
              </w:rPr>
            </w:pPr>
            <w:r>
              <w:rPr>
                <w:rFonts w:cs="Arial"/>
                <w:szCs w:val="18"/>
                <w:lang w:val="en-GB"/>
              </w:rPr>
              <w:t>33.35</w:t>
            </w:r>
          </w:p>
        </w:tc>
        <w:tc>
          <w:tcPr>
            <w:tcW w:w="1132" w:type="dxa"/>
            <w:tcBorders>
              <w:top w:val="single" w:sz="6" w:space="0" w:color="008000"/>
            </w:tcBorders>
            <w:shd w:val="clear" w:color="auto" w:fill="FFFFFF"/>
            <w:vAlign w:val="center"/>
          </w:tcPr>
          <w:p w14:paraId="39914456" w14:textId="4EDEECAC" w:rsidR="00F56652" w:rsidRDefault="00E94683" w:rsidP="006E6792">
            <w:pPr>
              <w:pStyle w:val="CETBodytext"/>
              <w:ind w:right="-1"/>
              <w:jc w:val="center"/>
              <w:rPr>
                <w:rFonts w:cs="Arial"/>
                <w:szCs w:val="18"/>
                <w:lang w:val="en-GB"/>
              </w:rPr>
            </w:pPr>
            <w:r>
              <w:rPr>
                <w:rFonts w:cs="Arial"/>
                <w:szCs w:val="18"/>
                <w:lang w:val="en-GB"/>
              </w:rPr>
              <w:t>30.79</w:t>
            </w:r>
          </w:p>
        </w:tc>
      </w:tr>
      <w:tr w:rsidR="00F56652" w:rsidRPr="00B57B36" w14:paraId="0E99BB02" w14:textId="77777777" w:rsidTr="006E6792">
        <w:trPr>
          <w:trHeight w:val="200"/>
        </w:trPr>
        <w:tc>
          <w:tcPr>
            <w:tcW w:w="1035" w:type="dxa"/>
            <w:vMerge/>
            <w:shd w:val="clear" w:color="auto" w:fill="FFFFFF"/>
          </w:tcPr>
          <w:p w14:paraId="252CE8A2" w14:textId="77777777" w:rsidR="00F56652" w:rsidRDefault="00F56652" w:rsidP="006E6792">
            <w:pPr>
              <w:pStyle w:val="CETBodytext"/>
              <w:jc w:val="center"/>
              <w:rPr>
                <w:lang w:val="en-GB"/>
              </w:rPr>
            </w:pPr>
          </w:p>
        </w:tc>
        <w:tc>
          <w:tcPr>
            <w:tcW w:w="1097" w:type="dxa"/>
            <w:shd w:val="clear" w:color="auto" w:fill="FFFFFF"/>
          </w:tcPr>
          <w:p w14:paraId="46E5483F" w14:textId="465FDED3" w:rsidR="00F56652" w:rsidRDefault="00F56652" w:rsidP="006E6792">
            <w:pPr>
              <w:pStyle w:val="CETBodytext"/>
              <w:jc w:val="center"/>
              <w:rPr>
                <w:lang w:val="en-GB"/>
              </w:rPr>
            </w:pPr>
            <w:r>
              <w:rPr>
                <w:lang w:val="en-GB"/>
              </w:rPr>
              <w:t>10</w:t>
            </w:r>
          </w:p>
        </w:tc>
        <w:tc>
          <w:tcPr>
            <w:tcW w:w="1064" w:type="dxa"/>
            <w:shd w:val="clear" w:color="auto" w:fill="FFFFFF"/>
            <w:vAlign w:val="center"/>
          </w:tcPr>
          <w:p w14:paraId="651177F8" w14:textId="1CD35705" w:rsidR="00F56652" w:rsidRDefault="00173AA1" w:rsidP="006E6792">
            <w:pPr>
              <w:pStyle w:val="CETBodytext"/>
              <w:jc w:val="center"/>
              <w:rPr>
                <w:lang w:val="en-GB"/>
              </w:rPr>
            </w:pPr>
            <w:r>
              <w:rPr>
                <w:lang w:val="en-GB"/>
              </w:rPr>
              <w:t>71.69</w:t>
            </w:r>
          </w:p>
        </w:tc>
        <w:tc>
          <w:tcPr>
            <w:tcW w:w="1064" w:type="dxa"/>
            <w:shd w:val="clear" w:color="auto" w:fill="FFFFFF"/>
            <w:vAlign w:val="center"/>
          </w:tcPr>
          <w:p w14:paraId="6A345230" w14:textId="4D67C4A2" w:rsidR="00F56652" w:rsidRDefault="00173AA1" w:rsidP="006E6792">
            <w:pPr>
              <w:pStyle w:val="CETBodytext"/>
              <w:jc w:val="center"/>
              <w:rPr>
                <w:lang w:val="en-GB"/>
              </w:rPr>
            </w:pPr>
            <w:r>
              <w:rPr>
                <w:lang w:val="en-GB"/>
              </w:rPr>
              <w:t>8.52</w:t>
            </w:r>
          </w:p>
        </w:tc>
        <w:tc>
          <w:tcPr>
            <w:tcW w:w="1064" w:type="dxa"/>
            <w:shd w:val="clear" w:color="auto" w:fill="FFFFFF"/>
            <w:vAlign w:val="center"/>
          </w:tcPr>
          <w:p w14:paraId="7441E742" w14:textId="27EF0063" w:rsidR="00F56652" w:rsidRDefault="00173AA1" w:rsidP="006E6792">
            <w:pPr>
              <w:pStyle w:val="CETBodytext"/>
              <w:jc w:val="center"/>
              <w:rPr>
                <w:lang w:val="en-GB"/>
              </w:rPr>
            </w:pPr>
            <w:r>
              <w:rPr>
                <w:lang w:val="en-GB"/>
              </w:rPr>
              <w:t>6.89</w:t>
            </w:r>
          </w:p>
        </w:tc>
        <w:tc>
          <w:tcPr>
            <w:tcW w:w="1064" w:type="dxa"/>
            <w:shd w:val="clear" w:color="auto" w:fill="FFFFFF"/>
            <w:vAlign w:val="center"/>
          </w:tcPr>
          <w:p w14:paraId="1F51B76E" w14:textId="6C2BDAF2" w:rsidR="00F56652" w:rsidRDefault="00173AA1" w:rsidP="006E6792">
            <w:pPr>
              <w:pStyle w:val="CETBodytext"/>
              <w:ind w:right="-1"/>
              <w:jc w:val="center"/>
              <w:rPr>
                <w:rFonts w:cs="Arial"/>
                <w:szCs w:val="18"/>
                <w:lang w:val="en-GB"/>
              </w:rPr>
            </w:pPr>
            <w:r>
              <w:rPr>
                <w:rFonts w:cs="Arial"/>
                <w:szCs w:val="18"/>
                <w:lang w:val="en-GB"/>
              </w:rPr>
              <w:t>12.85</w:t>
            </w:r>
          </w:p>
        </w:tc>
        <w:tc>
          <w:tcPr>
            <w:tcW w:w="1267" w:type="dxa"/>
            <w:shd w:val="clear" w:color="auto" w:fill="FFFFFF"/>
            <w:vAlign w:val="center"/>
          </w:tcPr>
          <w:p w14:paraId="1CF6B288" w14:textId="0613F7C9" w:rsidR="00F56652" w:rsidRDefault="00E94683" w:rsidP="006E6792">
            <w:pPr>
              <w:pStyle w:val="CETBodytext"/>
              <w:ind w:right="-1"/>
              <w:jc w:val="center"/>
              <w:rPr>
                <w:rFonts w:cs="Arial"/>
                <w:szCs w:val="18"/>
                <w:lang w:val="en-GB"/>
              </w:rPr>
            </w:pPr>
            <w:r>
              <w:rPr>
                <w:rFonts w:cs="Arial"/>
                <w:szCs w:val="18"/>
                <w:lang w:val="en-GB"/>
              </w:rPr>
              <w:t>34.17</w:t>
            </w:r>
          </w:p>
        </w:tc>
        <w:tc>
          <w:tcPr>
            <w:tcW w:w="1132" w:type="dxa"/>
            <w:shd w:val="clear" w:color="auto" w:fill="FFFFFF"/>
            <w:vAlign w:val="center"/>
          </w:tcPr>
          <w:p w14:paraId="3F2BCE64" w14:textId="03B83E63" w:rsidR="00F56652" w:rsidRDefault="00E94683" w:rsidP="006E6792">
            <w:pPr>
              <w:pStyle w:val="CETBodytext"/>
              <w:ind w:right="-1"/>
              <w:jc w:val="center"/>
              <w:rPr>
                <w:rFonts w:cs="Arial"/>
                <w:szCs w:val="18"/>
                <w:lang w:val="en-GB"/>
              </w:rPr>
            </w:pPr>
            <w:r>
              <w:rPr>
                <w:rFonts w:cs="Arial"/>
                <w:szCs w:val="18"/>
                <w:lang w:val="en-GB"/>
              </w:rPr>
              <w:t>41.67</w:t>
            </w:r>
          </w:p>
        </w:tc>
      </w:tr>
      <w:tr w:rsidR="00F56652" w:rsidRPr="00B57B36" w14:paraId="5494B6C8" w14:textId="77777777" w:rsidTr="006E6792">
        <w:trPr>
          <w:trHeight w:val="200"/>
        </w:trPr>
        <w:tc>
          <w:tcPr>
            <w:tcW w:w="1035" w:type="dxa"/>
            <w:vMerge/>
            <w:shd w:val="clear" w:color="auto" w:fill="FFFFFF"/>
          </w:tcPr>
          <w:p w14:paraId="627A13E0" w14:textId="77777777" w:rsidR="00F56652" w:rsidRDefault="00F56652" w:rsidP="006E6792">
            <w:pPr>
              <w:pStyle w:val="CETBodytext"/>
              <w:jc w:val="center"/>
              <w:rPr>
                <w:lang w:val="en-GB"/>
              </w:rPr>
            </w:pPr>
          </w:p>
        </w:tc>
        <w:tc>
          <w:tcPr>
            <w:tcW w:w="1097" w:type="dxa"/>
            <w:shd w:val="clear" w:color="auto" w:fill="FFFFFF"/>
          </w:tcPr>
          <w:p w14:paraId="00597090" w14:textId="3EA4550C" w:rsidR="00F56652" w:rsidRDefault="00F56652" w:rsidP="006E6792">
            <w:pPr>
              <w:pStyle w:val="CETBodytext"/>
              <w:jc w:val="center"/>
              <w:rPr>
                <w:lang w:val="en-GB"/>
              </w:rPr>
            </w:pPr>
            <w:r>
              <w:rPr>
                <w:lang w:val="en-GB"/>
              </w:rPr>
              <w:t>20</w:t>
            </w:r>
          </w:p>
        </w:tc>
        <w:tc>
          <w:tcPr>
            <w:tcW w:w="1064" w:type="dxa"/>
            <w:shd w:val="clear" w:color="auto" w:fill="FFFFFF"/>
            <w:vAlign w:val="center"/>
          </w:tcPr>
          <w:p w14:paraId="02400548" w14:textId="0C59E81E" w:rsidR="00F56652" w:rsidRDefault="00173AA1" w:rsidP="006E6792">
            <w:pPr>
              <w:pStyle w:val="CETBodytext"/>
              <w:jc w:val="center"/>
              <w:rPr>
                <w:lang w:val="en-GB"/>
              </w:rPr>
            </w:pPr>
            <w:r>
              <w:rPr>
                <w:lang w:val="en-GB"/>
              </w:rPr>
              <w:t>72.17</w:t>
            </w:r>
          </w:p>
        </w:tc>
        <w:tc>
          <w:tcPr>
            <w:tcW w:w="1064" w:type="dxa"/>
            <w:shd w:val="clear" w:color="auto" w:fill="FFFFFF"/>
            <w:vAlign w:val="center"/>
          </w:tcPr>
          <w:p w14:paraId="6D173AC6" w14:textId="4B853E86" w:rsidR="00F56652" w:rsidRDefault="00173AA1" w:rsidP="006E6792">
            <w:pPr>
              <w:pStyle w:val="CETBodytext"/>
              <w:jc w:val="center"/>
              <w:rPr>
                <w:lang w:val="en-GB"/>
              </w:rPr>
            </w:pPr>
            <w:r>
              <w:rPr>
                <w:lang w:val="en-GB"/>
              </w:rPr>
              <w:t>8.61</w:t>
            </w:r>
          </w:p>
        </w:tc>
        <w:tc>
          <w:tcPr>
            <w:tcW w:w="1064" w:type="dxa"/>
            <w:shd w:val="clear" w:color="auto" w:fill="FFFFFF"/>
            <w:vAlign w:val="center"/>
          </w:tcPr>
          <w:p w14:paraId="2F36BF2C" w14:textId="4FE46378" w:rsidR="00F56652" w:rsidRDefault="00173AA1" w:rsidP="006E6792">
            <w:pPr>
              <w:pStyle w:val="CETBodytext"/>
              <w:jc w:val="center"/>
              <w:rPr>
                <w:lang w:val="en-GB"/>
              </w:rPr>
            </w:pPr>
            <w:r>
              <w:rPr>
                <w:lang w:val="en-GB"/>
              </w:rPr>
              <w:t>6.69</w:t>
            </w:r>
          </w:p>
        </w:tc>
        <w:tc>
          <w:tcPr>
            <w:tcW w:w="1064" w:type="dxa"/>
            <w:shd w:val="clear" w:color="auto" w:fill="FFFFFF"/>
            <w:vAlign w:val="center"/>
          </w:tcPr>
          <w:p w14:paraId="6250BB59" w14:textId="6F780D1D" w:rsidR="00F56652" w:rsidRDefault="00173AA1" w:rsidP="006E6792">
            <w:pPr>
              <w:pStyle w:val="CETBodytext"/>
              <w:ind w:right="-1"/>
              <w:jc w:val="center"/>
              <w:rPr>
                <w:rFonts w:cs="Arial"/>
                <w:szCs w:val="18"/>
                <w:lang w:val="en-GB"/>
              </w:rPr>
            </w:pPr>
            <w:r>
              <w:rPr>
                <w:rFonts w:cs="Arial"/>
                <w:szCs w:val="18"/>
                <w:lang w:val="en-GB"/>
              </w:rPr>
              <w:t>12.53</w:t>
            </w:r>
          </w:p>
        </w:tc>
        <w:tc>
          <w:tcPr>
            <w:tcW w:w="1267" w:type="dxa"/>
            <w:shd w:val="clear" w:color="auto" w:fill="FFFFFF"/>
            <w:vAlign w:val="center"/>
          </w:tcPr>
          <w:p w14:paraId="4E30204B" w14:textId="5867EA09" w:rsidR="00F56652" w:rsidRDefault="00E94683" w:rsidP="006E6792">
            <w:pPr>
              <w:pStyle w:val="CETBodytext"/>
              <w:ind w:right="-1"/>
              <w:jc w:val="center"/>
              <w:rPr>
                <w:rFonts w:cs="Arial"/>
                <w:szCs w:val="18"/>
                <w:lang w:val="en-GB"/>
              </w:rPr>
            </w:pPr>
            <w:r>
              <w:rPr>
                <w:rFonts w:cs="Arial"/>
                <w:szCs w:val="18"/>
                <w:lang w:val="en-GB"/>
              </w:rPr>
              <w:t>34.46</w:t>
            </w:r>
          </w:p>
        </w:tc>
        <w:tc>
          <w:tcPr>
            <w:tcW w:w="1132" w:type="dxa"/>
            <w:shd w:val="clear" w:color="auto" w:fill="FFFFFF"/>
            <w:vAlign w:val="center"/>
          </w:tcPr>
          <w:p w14:paraId="2753CAB8" w14:textId="4B7B481E" w:rsidR="00F56652" w:rsidRDefault="00E94683" w:rsidP="006E6792">
            <w:pPr>
              <w:pStyle w:val="CETBodytext"/>
              <w:ind w:right="-1"/>
              <w:jc w:val="center"/>
              <w:rPr>
                <w:rFonts w:cs="Arial"/>
                <w:szCs w:val="18"/>
                <w:lang w:val="en-GB"/>
              </w:rPr>
            </w:pPr>
            <w:r>
              <w:rPr>
                <w:rFonts w:cs="Arial"/>
                <w:szCs w:val="18"/>
                <w:lang w:val="en-GB"/>
              </w:rPr>
              <w:t>51.45</w:t>
            </w:r>
          </w:p>
        </w:tc>
      </w:tr>
      <w:tr w:rsidR="00F56652" w:rsidRPr="00B57B36" w14:paraId="52EBB4E3" w14:textId="77777777" w:rsidTr="006E6792">
        <w:trPr>
          <w:trHeight w:val="200"/>
        </w:trPr>
        <w:tc>
          <w:tcPr>
            <w:tcW w:w="1035" w:type="dxa"/>
            <w:vMerge/>
            <w:shd w:val="clear" w:color="auto" w:fill="FFFFFF"/>
          </w:tcPr>
          <w:p w14:paraId="02605C79" w14:textId="77777777" w:rsidR="00F56652" w:rsidRDefault="00F56652" w:rsidP="006E6792">
            <w:pPr>
              <w:pStyle w:val="CETBodytext"/>
              <w:jc w:val="center"/>
              <w:rPr>
                <w:lang w:val="en-GB"/>
              </w:rPr>
            </w:pPr>
          </w:p>
        </w:tc>
        <w:tc>
          <w:tcPr>
            <w:tcW w:w="1097" w:type="dxa"/>
            <w:shd w:val="clear" w:color="auto" w:fill="FFFFFF"/>
          </w:tcPr>
          <w:p w14:paraId="45C844A8" w14:textId="0AC0EAF5" w:rsidR="00F56652" w:rsidRDefault="00F56652" w:rsidP="006E6792">
            <w:pPr>
              <w:pStyle w:val="CETBodytext"/>
              <w:jc w:val="center"/>
              <w:rPr>
                <w:lang w:val="en-GB"/>
              </w:rPr>
            </w:pPr>
            <w:r>
              <w:rPr>
                <w:lang w:val="en-GB"/>
              </w:rPr>
              <w:t>35</w:t>
            </w:r>
          </w:p>
        </w:tc>
        <w:tc>
          <w:tcPr>
            <w:tcW w:w="1064" w:type="dxa"/>
            <w:shd w:val="clear" w:color="auto" w:fill="FFFFFF"/>
            <w:vAlign w:val="center"/>
          </w:tcPr>
          <w:p w14:paraId="2EFEAB70" w14:textId="08927323" w:rsidR="00F56652" w:rsidRDefault="00173AA1" w:rsidP="006E6792">
            <w:pPr>
              <w:pStyle w:val="CETBodytext"/>
              <w:jc w:val="center"/>
              <w:rPr>
                <w:lang w:val="en-GB"/>
              </w:rPr>
            </w:pPr>
            <w:r>
              <w:rPr>
                <w:lang w:val="en-GB"/>
              </w:rPr>
              <w:t>74.01</w:t>
            </w:r>
          </w:p>
        </w:tc>
        <w:tc>
          <w:tcPr>
            <w:tcW w:w="1064" w:type="dxa"/>
            <w:shd w:val="clear" w:color="auto" w:fill="FFFFFF"/>
            <w:vAlign w:val="center"/>
          </w:tcPr>
          <w:p w14:paraId="7B03C053" w14:textId="4015978B" w:rsidR="00F56652" w:rsidRDefault="00173AA1" w:rsidP="006E6792">
            <w:pPr>
              <w:pStyle w:val="CETBodytext"/>
              <w:jc w:val="center"/>
              <w:rPr>
                <w:lang w:val="en-GB"/>
              </w:rPr>
            </w:pPr>
            <w:r>
              <w:rPr>
                <w:lang w:val="en-GB"/>
              </w:rPr>
              <w:t>8.99</w:t>
            </w:r>
          </w:p>
        </w:tc>
        <w:tc>
          <w:tcPr>
            <w:tcW w:w="1064" w:type="dxa"/>
            <w:shd w:val="clear" w:color="auto" w:fill="FFFFFF"/>
            <w:vAlign w:val="center"/>
          </w:tcPr>
          <w:p w14:paraId="59F62BC8" w14:textId="081D7039" w:rsidR="00F56652" w:rsidRDefault="00173AA1" w:rsidP="006E6792">
            <w:pPr>
              <w:pStyle w:val="CETBodytext"/>
              <w:jc w:val="center"/>
              <w:rPr>
                <w:lang w:val="en-GB"/>
              </w:rPr>
            </w:pPr>
            <w:r>
              <w:rPr>
                <w:lang w:val="en-GB"/>
              </w:rPr>
              <w:t>6.85</w:t>
            </w:r>
          </w:p>
        </w:tc>
        <w:tc>
          <w:tcPr>
            <w:tcW w:w="1064" w:type="dxa"/>
            <w:shd w:val="clear" w:color="auto" w:fill="FFFFFF"/>
            <w:vAlign w:val="center"/>
          </w:tcPr>
          <w:p w14:paraId="53FA8CC5" w14:textId="423079D5" w:rsidR="00F56652" w:rsidRDefault="00173AA1" w:rsidP="006E6792">
            <w:pPr>
              <w:pStyle w:val="CETBodytext"/>
              <w:ind w:right="-1"/>
              <w:jc w:val="center"/>
              <w:rPr>
                <w:rFonts w:cs="Arial"/>
                <w:szCs w:val="18"/>
                <w:lang w:val="en-GB"/>
              </w:rPr>
            </w:pPr>
            <w:r>
              <w:rPr>
                <w:rFonts w:cs="Arial"/>
                <w:szCs w:val="18"/>
                <w:lang w:val="en-GB"/>
              </w:rPr>
              <w:t>10.14</w:t>
            </w:r>
          </w:p>
        </w:tc>
        <w:tc>
          <w:tcPr>
            <w:tcW w:w="1267" w:type="dxa"/>
            <w:shd w:val="clear" w:color="auto" w:fill="FFFFFF"/>
            <w:vAlign w:val="center"/>
          </w:tcPr>
          <w:p w14:paraId="4DF737BC" w14:textId="731D5C8E" w:rsidR="00F56652" w:rsidRDefault="00E94683" w:rsidP="006E6792">
            <w:pPr>
              <w:pStyle w:val="CETBodytext"/>
              <w:ind w:right="-1"/>
              <w:jc w:val="center"/>
              <w:rPr>
                <w:rFonts w:cs="Arial"/>
                <w:szCs w:val="18"/>
                <w:lang w:val="en-GB"/>
              </w:rPr>
            </w:pPr>
            <w:r>
              <w:rPr>
                <w:rFonts w:cs="Arial"/>
                <w:szCs w:val="18"/>
                <w:lang w:val="en-GB"/>
              </w:rPr>
              <w:t>36.05</w:t>
            </w:r>
          </w:p>
        </w:tc>
        <w:tc>
          <w:tcPr>
            <w:tcW w:w="1132" w:type="dxa"/>
            <w:shd w:val="clear" w:color="auto" w:fill="FFFFFF"/>
            <w:vAlign w:val="center"/>
          </w:tcPr>
          <w:p w14:paraId="2021FCCB" w14:textId="04B6BB8B" w:rsidR="00F56652" w:rsidRDefault="00E94683" w:rsidP="006E6792">
            <w:pPr>
              <w:pStyle w:val="CETBodytext"/>
              <w:ind w:right="-1"/>
              <w:jc w:val="center"/>
              <w:rPr>
                <w:rFonts w:cs="Arial"/>
                <w:szCs w:val="18"/>
                <w:lang w:val="en-GB"/>
              </w:rPr>
            </w:pPr>
            <w:r>
              <w:rPr>
                <w:rFonts w:cs="Arial"/>
                <w:szCs w:val="18"/>
                <w:lang w:val="en-GB"/>
              </w:rPr>
              <w:t>51.00</w:t>
            </w:r>
          </w:p>
        </w:tc>
      </w:tr>
    </w:tbl>
    <w:p w14:paraId="0120823E" w14:textId="32F22FE0" w:rsidR="006E6792" w:rsidRDefault="00AE4D2D" w:rsidP="00F82F30">
      <w:pPr>
        <w:pStyle w:val="CETBodytext"/>
      </w:pPr>
      <w:r w:rsidRPr="00D22163">
        <w:t>*</w:t>
      </w:r>
      <w:r>
        <w:t xml:space="preserve"> Oxygen obtained by difference: 100% – C – H – N.</w:t>
      </w:r>
    </w:p>
    <w:p w14:paraId="2DC72A07" w14:textId="4E5C4A07" w:rsidR="00F82F30" w:rsidRDefault="00AE4D2D" w:rsidP="00AE4D2D">
      <w:pPr>
        <w:pStyle w:val="CETHeading1"/>
      </w:pPr>
      <w:r>
        <w:t>Conclusions</w:t>
      </w:r>
    </w:p>
    <w:p w14:paraId="06CFC4E7" w14:textId="6686D322" w:rsidR="00681D39" w:rsidRDefault="00D062BE" w:rsidP="00AE4D2D">
      <w:pPr>
        <w:pStyle w:val="CETBodytext"/>
      </w:pPr>
      <w:r>
        <w:t>T</w:t>
      </w:r>
      <w:r w:rsidR="0070761C">
        <w:t xml:space="preserve">his study </w:t>
      </w:r>
      <w:r w:rsidR="0015722F">
        <w:t>underscores</w:t>
      </w:r>
      <w:r w:rsidR="0070761C">
        <w:t xml:space="preserve"> the</w:t>
      </w:r>
      <w:r w:rsidR="0015722F">
        <w:t xml:space="preserve"> promising</w:t>
      </w:r>
      <w:r w:rsidR="0070761C">
        <w:t xml:space="preserve"> potential of hydrothermal liquefaction to obtain a valuable liquid biofuel precursor from digested secondary sludge. The </w:t>
      </w:r>
      <w:r w:rsidR="0015722F">
        <w:t>resulting</w:t>
      </w:r>
      <w:r w:rsidR="0070761C">
        <w:t xml:space="preserve"> biocrude</w:t>
      </w:r>
      <w:r w:rsidR="00EA5423">
        <w:t xml:space="preserve"> </w:t>
      </w:r>
      <w:r w:rsidR="0015722F">
        <w:t>exhibits enhanced</w:t>
      </w:r>
      <w:r w:rsidR="00EA5423">
        <w:t xml:space="preserve"> energetic density, </w:t>
      </w:r>
      <w:r w:rsidR="0015722F">
        <w:t>with</w:t>
      </w:r>
      <w:r w:rsidR="00EA5423">
        <w:t xml:space="preserve"> higher heating values </w:t>
      </w:r>
      <w:r w:rsidR="0015722F">
        <w:t xml:space="preserve">ranging from </w:t>
      </w:r>
      <w:r w:rsidR="00EA5423">
        <w:t xml:space="preserve">31 </w:t>
      </w:r>
      <w:r w:rsidR="0015722F">
        <w:t>to</w:t>
      </w:r>
      <w:r w:rsidR="00EA5423">
        <w:t xml:space="preserve"> 36 MJ kg</w:t>
      </w:r>
      <w:r w:rsidR="00EA5423" w:rsidRPr="00EA5423">
        <w:rPr>
          <w:vertAlign w:val="superscript"/>
        </w:rPr>
        <w:t>-1</w:t>
      </w:r>
      <w:r w:rsidR="00EA5423">
        <w:t xml:space="preserve">, </w:t>
      </w:r>
      <w:r w:rsidR="0015722F">
        <w:t>increased</w:t>
      </w:r>
      <w:r w:rsidR="00EA5423">
        <w:t xml:space="preserve"> carbon and hydrogen percentage</w:t>
      </w:r>
      <w:r w:rsidR="0015722F">
        <w:t>s,</w:t>
      </w:r>
      <w:r w:rsidR="00EA5423">
        <w:t xml:space="preserve"> and a </w:t>
      </w:r>
      <w:r w:rsidR="0015722F">
        <w:t>reduced oxygen</w:t>
      </w:r>
      <w:r w:rsidR="00EA5423">
        <w:t xml:space="preserve"> percentage compared to the initial feedstock. </w:t>
      </w:r>
      <w:r w:rsidR="0015722F">
        <w:t>The b</w:t>
      </w:r>
      <w:r w:rsidR="00EA5423">
        <w:t>ioenergy recovery</w:t>
      </w:r>
      <w:r w:rsidR="0015722F">
        <w:t xml:space="preserve"> with the final product, reaching</w:t>
      </w:r>
      <w:r w:rsidR="00EA5423">
        <w:t xml:space="preserve"> up to 59</w:t>
      </w:r>
      <w:r w:rsidR="00BB030C">
        <w:t>.38</w:t>
      </w:r>
      <w:r w:rsidR="00EA5423">
        <w:t>%</w:t>
      </w:r>
      <w:r w:rsidR="0015722F">
        <w:t>, signifies the efficiency of the process.</w:t>
      </w:r>
      <w:r w:rsidR="005204BC">
        <w:t xml:space="preserve"> The </w:t>
      </w:r>
      <w:r w:rsidR="004B1C2C">
        <w:t xml:space="preserve">investigation into the </w:t>
      </w:r>
      <w:r w:rsidR="005204BC">
        <w:t>effect</w:t>
      </w:r>
      <w:r w:rsidR="000C20BE">
        <w:t>s</w:t>
      </w:r>
      <w:r w:rsidR="005204BC">
        <w:t xml:space="preserve"> of </w:t>
      </w:r>
      <w:r w:rsidR="004B1C2C">
        <w:t>various</w:t>
      </w:r>
      <w:r w:rsidR="000C20BE">
        <w:t xml:space="preserve"> reaction temperatures and holding times on biocrude yield and quality </w:t>
      </w:r>
      <w:r w:rsidR="004B1C2C">
        <w:t xml:space="preserve">revealed </w:t>
      </w:r>
      <w:r w:rsidR="000C20BE">
        <w:t xml:space="preserve">optimal conditions </w:t>
      </w:r>
      <w:r w:rsidR="00A3067B">
        <w:t xml:space="preserve">at 300 °C for holding times </w:t>
      </w:r>
      <w:r w:rsidR="0011777A">
        <w:t>between</w:t>
      </w:r>
      <w:r w:rsidR="00A3067B">
        <w:t xml:space="preserve"> 10</w:t>
      </w:r>
      <w:r w:rsidR="0011777A">
        <w:t xml:space="preserve"> and 35 min</w:t>
      </w:r>
      <w:r w:rsidR="00A3067B">
        <w:t xml:space="preserve">, corresponding to biocrude yields of 20 – 21% </w:t>
      </w:r>
      <w:r w:rsidR="004B1C2C">
        <w:t>with an</w:t>
      </w:r>
      <w:r w:rsidR="00A3067B">
        <w:t xml:space="preserve"> energetic recovery </w:t>
      </w:r>
      <w:r w:rsidR="004B1C2C">
        <w:t>surpassing</w:t>
      </w:r>
      <w:r w:rsidR="00A3067B">
        <w:t xml:space="preserve"> 54%</w:t>
      </w:r>
      <w:r w:rsidR="005A1F0D">
        <w:t xml:space="preserve">. However, the </w:t>
      </w:r>
      <w:r w:rsidR="004B1C2C">
        <w:t>inherent</w:t>
      </w:r>
      <w:r w:rsidR="005A1F0D">
        <w:t xml:space="preserve"> variability </w:t>
      </w:r>
      <w:r w:rsidR="004B1C2C">
        <w:t>in</w:t>
      </w:r>
      <w:r w:rsidR="005A1F0D">
        <w:t xml:space="preserve"> </w:t>
      </w:r>
      <w:r w:rsidR="000200B1">
        <w:t xml:space="preserve">sludge </w:t>
      </w:r>
      <w:r w:rsidR="005A1F0D">
        <w:t>origin and composition</w:t>
      </w:r>
      <w:r w:rsidR="004B1C2C">
        <w:t xml:space="preserve"> poses challenges in identifying universal</w:t>
      </w:r>
      <w:r w:rsidR="005A1F0D">
        <w:t xml:space="preserve"> </w:t>
      </w:r>
      <w:r w:rsidR="000200B1">
        <w:t xml:space="preserve">reaction </w:t>
      </w:r>
      <w:r w:rsidR="005A1F0D">
        <w:t>conditions</w:t>
      </w:r>
      <w:r w:rsidR="000200B1">
        <w:t xml:space="preserve"> for its conversion, </w:t>
      </w:r>
      <w:r w:rsidR="004B1C2C">
        <w:t>crucial for</w:t>
      </w:r>
      <w:r w:rsidR="000200B1">
        <w:t xml:space="preserve"> the development of industrial</w:t>
      </w:r>
      <w:r w:rsidR="004B1C2C">
        <w:t>-</w:t>
      </w:r>
      <w:r w:rsidR="000200B1">
        <w:t xml:space="preserve">scale plants, that need to be robust and flexible. Despite </w:t>
      </w:r>
      <w:r w:rsidR="004B1C2C">
        <w:t>these challenges</w:t>
      </w:r>
      <w:r w:rsidR="000200B1">
        <w:t>, the hydrothermal liquefaction of waste biomass</w:t>
      </w:r>
      <w:r w:rsidR="004B1C2C">
        <w:t>, such as</w:t>
      </w:r>
      <w:r w:rsidR="000200B1">
        <w:t xml:space="preserve"> sewage sludge</w:t>
      </w:r>
      <w:r w:rsidR="004B1C2C">
        <w:t>, presents significant</w:t>
      </w:r>
      <w:r w:rsidR="000200B1">
        <w:t xml:space="preserve"> potential </w:t>
      </w:r>
      <w:r w:rsidR="003557A8">
        <w:t xml:space="preserve">for </w:t>
      </w:r>
      <w:r w:rsidR="004B1C2C">
        <w:t>enhancing</w:t>
      </w:r>
      <w:r w:rsidR="003557A8">
        <w:t xml:space="preserve"> </w:t>
      </w:r>
      <w:r w:rsidR="000200B1">
        <w:t>waste valorization</w:t>
      </w:r>
      <w:r w:rsidR="003557A8">
        <w:t xml:space="preserve"> cycles, </w:t>
      </w:r>
      <w:r w:rsidR="004B1C2C">
        <w:t xml:space="preserve">particularly </w:t>
      </w:r>
      <w:r w:rsidR="003557A8">
        <w:t xml:space="preserve">when integrated with mature technologies </w:t>
      </w:r>
      <w:r w:rsidR="004B1C2C">
        <w:t>like</w:t>
      </w:r>
      <w:r w:rsidR="003557A8">
        <w:t xml:space="preserve"> anaerobic digestion. </w:t>
      </w:r>
      <w:r w:rsidR="004B1C2C">
        <w:t>Moreover</w:t>
      </w:r>
      <w:r w:rsidR="003557A8">
        <w:t xml:space="preserve">, the obtained biocrude </w:t>
      </w:r>
      <w:r w:rsidR="004B1C2C">
        <w:t>holds promise for integration into conve</w:t>
      </w:r>
      <w:r w:rsidR="00851F70">
        <w:t>ntional process</w:t>
      </w:r>
      <w:r w:rsidR="004B1C2C">
        <w:t>es</w:t>
      </w:r>
      <w:r w:rsidR="003557A8">
        <w:t xml:space="preserve"> for fuel upgrading, </w:t>
      </w:r>
      <w:r w:rsidR="00851F70">
        <w:t>t</w:t>
      </w:r>
      <w:r w:rsidR="004B1C2C">
        <w:t>hereby</w:t>
      </w:r>
      <w:r w:rsidR="00851F70">
        <w:t xml:space="preserve"> partially</w:t>
      </w:r>
      <w:r w:rsidR="003557A8">
        <w:t xml:space="preserve"> </w:t>
      </w:r>
      <w:r w:rsidR="004B1C2C">
        <w:t>meeting</w:t>
      </w:r>
      <w:r w:rsidR="003557A8">
        <w:t xml:space="preserve"> the demand for liquid fuels</w:t>
      </w:r>
      <w:r w:rsidR="00851F70">
        <w:t xml:space="preserve"> and</w:t>
      </w:r>
      <w:r w:rsidR="004B1C2C">
        <w:t xml:space="preserve"> contributing to a</w:t>
      </w:r>
      <w:r w:rsidR="00851F70">
        <w:t xml:space="preserve"> reduc</w:t>
      </w:r>
      <w:r w:rsidR="004B1C2C">
        <w:t>tion in</w:t>
      </w:r>
      <w:r w:rsidR="00851F70">
        <w:t xml:space="preserve"> the carbon </w:t>
      </w:r>
      <w:r w:rsidR="004B1C2C">
        <w:t>foot</w:t>
      </w:r>
      <w:r w:rsidR="00851F70">
        <w:t>print of th</w:t>
      </w:r>
      <w:r w:rsidR="004B1C2C">
        <w:t>e</w:t>
      </w:r>
      <w:r w:rsidR="00851F70">
        <w:t xml:space="preserve"> sector. The potential of hydrothermal liquefaction</w:t>
      </w:r>
      <w:r w:rsidR="004B1C2C">
        <w:t xml:space="preserve"> in advancing</w:t>
      </w:r>
      <w:r w:rsidR="00851F70">
        <w:t xml:space="preserve"> sustainable development </w:t>
      </w:r>
      <w:r w:rsidR="005B639C">
        <w:t>is substantial, contingent upon continued research and investment</w:t>
      </w:r>
      <w:r w:rsidR="00851F70">
        <w:t xml:space="preserve"> to overcome the </w:t>
      </w:r>
      <w:r w:rsidR="005B639C">
        <w:t>current limitations</w:t>
      </w:r>
      <w:r w:rsidR="00851F70">
        <w:t xml:space="preserve"> of this technology.</w:t>
      </w:r>
    </w:p>
    <w:p w14:paraId="7B4C782B" w14:textId="1F48B65C" w:rsidR="00681D39" w:rsidRDefault="00681D39" w:rsidP="00681D39">
      <w:pPr>
        <w:pStyle w:val="CETReference"/>
      </w:pPr>
      <w:r>
        <w:t>References</w:t>
      </w:r>
    </w:p>
    <w:p w14:paraId="41CB3C9E" w14:textId="7A03F81F" w:rsidR="00405996" w:rsidRDefault="004F6A90" w:rsidP="004F6A90">
      <w:pPr>
        <w:pStyle w:val="CETReferencetext"/>
      </w:pPr>
      <w:r w:rsidRPr="004F6A90">
        <w:t>Cabrera D. V., Labatut R. A., 2021, Outlook and challenges for recovering energy and water from complex organic waste using hydrothermal liquefaction</w:t>
      </w:r>
      <w:r>
        <w:t xml:space="preserve">, Sustainable Energy Fuels, </w:t>
      </w:r>
      <w:r w:rsidR="001B25A5">
        <w:t xml:space="preserve">Vol. </w:t>
      </w:r>
      <w:r>
        <w:t>5, 2201-2227</w:t>
      </w:r>
      <w:r w:rsidR="001B25A5">
        <w:t xml:space="preserve">, DOI: </w:t>
      </w:r>
      <w:r w:rsidR="001B25A5" w:rsidRPr="001B25A5">
        <w:t>10.1039/D0SE01857K</w:t>
      </w:r>
      <w:r w:rsidR="001B25A5">
        <w:t>.</w:t>
      </w:r>
    </w:p>
    <w:p w14:paraId="77371894" w14:textId="7579E5B5" w:rsidR="00C7555B" w:rsidRPr="00172D62" w:rsidRDefault="00C7555B" w:rsidP="004F6A90">
      <w:pPr>
        <w:pStyle w:val="CETReferencetext"/>
      </w:pPr>
      <w:r w:rsidRPr="00172D62">
        <w:t xml:space="preserve">De </w:t>
      </w:r>
      <w:proofErr w:type="spellStart"/>
      <w:r w:rsidRPr="00172D62">
        <w:t>Caprariis</w:t>
      </w:r>
      <w:proofErr w:type="spellEnd"/>
      <w:r w:rsidRPr="00172D62">
        <w:t xml:space="preserve"> B., </w:t>
      </w:r>
      <w:proofErr w:type="spellStart"/>
      <w:r w:rsidR="00172D62" w:rsidRPr="00172D62">
        <w:t>Damizia</w:t>
      </w:r>
      <w:proofErr w:type="spellEnd"/>
      <w:r w:rsidR="00172D62" w:rsidRPr="00172D62">
        <w:t xml:space="preserve"> M., Tai L., De Filippis P., 2022, Hydrothe</w:t>
      </w:r>
      <w:r w:rsidR="00172D62">
        <w:t xml:space="preserve">rmal Liquefaction of Biomass Using Waste Material as Catalyst: Effect on the Bio-crude Yield and Quality, Chemical Engineering Transactions, Vol. 92, 607-612, DOI: </w:t>
      </w:r>
      <w:r w:rsidR="00172D62" w:rsidRPr="00172D62">
        <w:t>10.3303/CET2292102</w:t>
      </w:r>
      <w:r w:rsidR="00172D62">
        <w:t>.</w:t>
      </w:r>
    </w:p>
    <w:p w14:paraId="4F3612D7" w14:textId="77C71117" w:rsidR="001B25A5" w:rsidRDefault="001B25A5" w:rsidP="004F6A90">
      <w:pPr>
        <w:pStyle w:val="CETReferencetext"/>
      </w:pPr>
      <w:r w:rsidRPr="001B25A5">
        <w:lastRenderedPageBreak/>
        <w:t xml:space="preserve">De </w:t>
      </w:r>
      <w:proofErr w:type="spellStart"/>
      <w:r w:rsidRPr="001B25A5">
        <w:t>Caprariis</w:t>
      </w:r>
      <w:proofErr w:type="spellEnd"/>
      <w:r w:rsidRPr="001B25A5">
        <w:t xml:space="preserve"> B., De Filippis P., Petrullo A., Scarsella M., 2017, Hydrothermal liquefaction of</w:t>
      </w:r>
      <w:r>
        <w:t xml:space="preserve"> biomass: Influence of temperature and biomass composition on the bio-oil production, Fuel, Vol. 208, 618-625, DOI: </w:t>
      </w:r>
      <w:r w:rsidRPr="001B25A5">
        <w:t>10.1016/j.fuel.2017.07.054</w:t>
      </w:r>
      <w:r>
        <w:t>.</w:t>
      </w:r>
    </w:p>
    <w:p w14:paraId="3CE1883E" w14:textId="711406ED" w:rsidR="00AE4D2D" w:rsidRDefault="001B25A5" w:rsidP="001B25A5">
      <w:pPr>
        <w:pStyle w:val="CETReferencetext"/>
      </w:pPr>
      <w:proofErr w:type="spellStart"/>
      <w:r w:rsidRPr="001B25A5">
        <w:t>Deli̇Bacak</w:t>
      </w:r>
      <w:proofErr w:type="spellEnd"/>
      <w:r w:rsidRPr="001B25A5">
        <w:t xml:space="preserve"> S., </w:t>
      </w:r>
      <w:proofErr w:type="spellStart"/>
      <w:r w:rsidRPr="001B25A5">
        <w:t>Voroni̇Na</w:t>
      </w:r>
      <w:proofErr w:type="spellEnd"/>
      <w:r w:rsidRPr="001B25A5">
        <w:t xml:space="preserve"> L., </w:t>
      </w:r>
      <w:proofErr w:type="spellStart"/>
      <w:r w:rsidRPr="001B25A5">
        <w:t>Morachevskaya</w:t>
      </w:r>
      <w:proofErr w:type="spellEnd"/>
      <w:r w:rsidRPr="001B25A5">
        <w:t xml:space="preserve"> E., 2020, Use of</w:t>
      </w:r>
      <w:r>
        <w:t xml:space="preserve"> sewage sludge in agricultural soils: Useful or harmful, Eurasian Journal of soil Science (EJSS), Vol. 9, 126-139, Doi: </w:t>
      </w:r>
      <w:r w:rsidRPr="001B25A5">
        <w:t>10.18393/ejss.687052</w:t>
      </w:r>
      <w:r>
        <w:t>.</w:t>
      </w:r>
    </w:p>
    <w:p w14:paraId="4904E646" w14:textId="6059A48E" w:rsidR="0030283B" w:rsidRDefault="0030283B" w:rsidP="001B25A5">
      <w:pPr>
        <w:pStyle w:val="CETReferencetext"/>
      </w:pPr>
      <w:r>
        <w:t xml:space="preserve">Fan Y., Hornung U., Dahmen N., 2022, Hydrothermal liquefaction of sewage sludge for biofuel application: A review on fundamentals, current challenges and strategies, Biomass and Bioenergy, Vol. 165, 106570, DOI: </w:t>
      </w:r>
      <w:r w:rsidRPr="0030283B">
        <w:t>10.1016/j.biombioe.2022.106570</w:t>
      </w:r>
      <w:r>
        <w:t>.</w:t>
      </w:r>
    </w:p>
    <w:p w14:paraId="311481F7" w14:textId="4B53FF0A" w:rsidR="00C111FA" w:rsidRDefault="00C111FA" w:rsidP="001B25A5">
      <w:pPr>
        <w:pStyle w:val="CETReferencetext"/>
      </w:pPr>
      <w:r w:rsidRPr="00C111FA">
        <w:t>Hao B., Xu D., Jiang G., Sabri T. A., Jing Z., Guo Y., 2021, Chem</w:t>
      </w:r>
      <w:r>
        <w:t xml:space="preserve">ical reactions in the hydrothermal liquefaction of biomass and in the catalytic hydrogenation upgrading of biocrude, Green Chemistry, Vol. 23, 1562-1583, DOI: </w:t>
      </w:r>
      <w:r w:rsidRPr="00C111FA">
        <w:t>10.1039/D0GC02893B</w:t>
      </w:r>
      <w:r>
        <w:t>.</w:t>
      </w:r>
    </w:p>
    <w:p w14:paraId="79CCFF1C" w14:textId="192DFE5D" w:rsidR="00C111FA" w:rsidRDefault="00C111FA" w:rsidP="001B25A5">
      <w:pPr>
        <w:pStyle w:val="CETReferencetext"/>
      </w:pPr>
      <w:r w:rsidRPr="00C111FA">
        <w:t xml:space="preserve">Hongthong S., </w:t>
      </w:r>
      <w:proofErr w:type="spellStart"/>
      <w:r w:rsidRPr="00C111FA">
        <w:t>Raikova</w:t>
      </w:r>
      <w:proofErr w:type="spellEnd"/>
      <w:r w:rsidRPr="00C111FA">
        <w:t xml:space="preserve"> S., Leese H. S</w:t>
      </w:r>
      <w:r>
        <w:t xml:space="preserve">., Chuck C. J., 2020, Co-processing of common plastics with pistachio hulls via hydrothermal liquefaction, Waste Management, Vol. 102, 351-361, DOI: </w:t>
      </w:r>
      <w:r w:rsidRPr="00C111FA">
        <w:t>10.1016/j.wasman.2019.11.003</w:t>
      </w:r>
      <w:r>
        <w:t>.</w:t>
      </w:r>
    </w:p>
    <w:p w14:paraId="2658C154" w14:textId="1833D668" w:rsidR="00C111FA" w:rsidRDefault="00C111FA" w:rsidP="001B25A5">
      <w:pPr>
        <w:pStyle w:val="CETReferencetext"/>
      </w:pPr>
      <w:proofErr w:type="spellStart"/>
      <w:r>
        <w:t>Kelessidis</w:t>
      </w:r>
      <w:proofErr w:type="spellEnd"/>
      <w:r>
        <w:t xml:space="preserve"> A., </w:t>
      </w:r>
      <w:proofErr w:type="spellStart"/>
      <w:r>
        <w:t>Stasinakis</w:t>
      </w:r>
      <w:proofErr w:type="spellEnd"/>
      <w:r>
        <w:t xml:space="preserve"> A. S., 2012, Comparative study of the methods used for treatment and final disposal of sewage sludge in European countries, Waste Management, Vol. 32, 1186-1195, DOI: </w:t>
      </w:r>
      <w:r w:rsidRPr="00C111FA">
        <w:t>10.1016/j.wasman.2012.01.012</w:t>
      </w:r>
      <w:r>
        <w:t>.</w:t>
      </w:r>
    </w:p>
    <w:p w14:paraId="18A1CC9B" w14:textId="59C749F7" w:rsidR="00C111FA" w:rsidRDefault="00C111FA" w:rsidP="001B25A5">
      <w:pPr>
        <w:pStyle w:val="CETReferencetext"/>
      </w:pPr>
      <w:r>
        <w:t>Ni J., Qian L., Wang Y., Zhang B., Gu</w:t>
      </w:r>
      <w:r w:rsidR="00173813">
        <w:t xml:space="preserve"> H., Hu Y., Wang Q., 2022, A review on fast hydrothermal liquefaction of biomass, Fuel, Vol. 327, 125135, DOI:</w:t>
      </w:r>
      <w:r w:rsidR="00173813" w:rsidRPr="00173813">
        <w:t xml:space="preserve"> 10.1016/j.fuel.2022.125135</w:t>
      </w:r>
      <w:r w:rsidR="00173813">
        <w:t>.</w:t>
      </w:r>
    </w:p>
    <w:p w14:paraId="7A2BB888" w14:textId="4BF38F6A" w:rsidR="00173813" w:rsidRPr="00C111FA" w:rsidRDefault="00173813" w:rsidP="001B25A5">
      <w:pPr>
        <w:pStyle w:val="CETReferencetext"/>
      </w:pPr>
      <w:r>
        <w:t xml:space="preserve">Xu D., Lin G., Liu L., Wang Y., Jing Z., Wang S., 2018, Comprehensive evaluation on product characteristics of fast hydrothermal liquefaction of sewage sludge at different temperatures, Energy, Vol. 159, 686-695, DOI: </w:t>
      </w:r>
      <w:r w:rsidRPr="00173813">
        <w:t>10.1016/j.energy.2018.06.191</w:t>
      </w:r>
      <w:r>
        <w:t>.</w:t>
      </w:r>
    </w:p>
    <w:p w14:paraId="7A9DE746" w14:textId="77777777" w:rsidR="001B25A5" w:rsidRPr="00C111FA" w:rsidRDefault="001B25A5" w:rsidP="00F82F30">
      <w:pPr>
        <w:pStyle w:val="CETBodytext"/>
        <w:rPr>
          <w:lang w:val="en-GB"/>
        </w:rPr>
      </w:pPr>
    </w:p>
    <w:sectPr w:rsidR="001B25A5" w:rsidRPr="00C111FA" w:rsidSect="00FC1403">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4BD11" w14:textId="77777777" w:rsidR="00FC1403" w:rsidRDefault="00FC1403" w:rsidP="004F5E36">
      <w:r>
        <w:separator/>
      </w:r>
    </w:p>
  </w:endnote>
  <w:endnote w:type="continuationSeparator" w:id="0">
    <w:p w14:paraId="56148539" w14:textId="77777777" w:rsidR="00FC1403" w:rsidRDefault="00FC140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A9356" w14:textId="77777777" w:rsidR="00FC1403" w:rsidRDefault="00FC1403" w:rsidP="004F5E36">
      <w:r>
        <w:separator/>
      </w:r>
    </w:p>
  </w:footnote>
  <w:footnote w:type="continuationSeparator" w:id="0">
    <w:p w14:paraId="4EED3A0C" w14:textId="77777777" w:rsidR="00FC1403" w:rsidRDefault="00FC1403"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589152C"/>
    <w:multiLevelType w:val="hybridMultilevel"/>
    <w:tmpl w:val="DED2A4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C9444EF"/>
    <w:multiLevelType w:val="hybridMultilevel"/>
    <w:tmpl w:val="72826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14680456">
    <w:abstractNumId w:val="10"/>
  </w:num>
  <w:num w:numId="2" w16cid:durableId="1736200434">
    <w:abstractNumId w:val="8"/>
  </w:num>
  <w:num w:numId="3" w16cid:durableId="239606800">
    <w:abstractNumId w:val="3"/>
  </w:num>
  <w:num w:numId="4" w16cid:durableId="545675923">
    <w:abstractNumId w:val="2"/>
  </w:num>
  <w:num w:numId="5" w16cid:durableId="904413263">
    <w:abstractNumId w:val="1"/>
  </w:num>
  <w:num w:numId="6" w16cid:durableId="1570195209">
    <w:abstractNumId w:val="0"/>
  </w:num>
  <w:num w:numId="7" w16cid:durableId="815754895">
    <w:abstractNumId w:val="9"/>
  </w:num>
  <w:num w:numId="8" w16cid:durableId="1997030261">
    <w:abstractNumId w:val="7"/>
  </w:num>
  <w:num w:numId="9" w16cid:durableId="1581480583">
    <w:abstractNumId w:val="6"/>
  </w:num>
  <w:num w:numId="10" w16cid:durableId="627510673">
    <w:abstractNumId w:val="5"/>
  </w:num>
  <w:num w:numId="11" w16cid:durableId="463547973">
    <w:abstractNumId w:val="4"/>
  </w:num>
  <w:num w:numId="12" w16cid:durableId="1450587410">
    <w:abstractNumId w:val="17"/>
  </w:num>
  <w:num w:numId="13" w16cid:durableId="939532951">
    <w:abstractNumId w:val="12"/>
  </w:num>
  <w:num w:numId="14" w16cid:durableId="1844126804">
    <w:abstractNumId w:val="18"/>
  </w:num>
  <w:num w:numId="15" w16cid:durableId="833566833">
    <w:abstractNumId w:val="21"/>
  </w:num>
  <w:num w:numId="16" w16cid:durableId="509568466">
    <w:abstractNumId w:val="20"/>
  </w:num>
  <w:num w:numId="17" w16cid:durableId="1567691730">
    <w:abstractNumId w:val="11"/>
  </w:num>
  <w:num w:numId="18" w16cid:durableId="1500534452">
    <w:abstractNumId w:val="12"/>
    <w:lvlOverride w:ilvl="0">
      <w:startOverride w:val="1"/>
    </w:lvlOverride>
  </w:num>
  <w:num w:numId="19" w16cid:durableId="1586455579">
    <w:abstractNumId w:val="16"/>
  </w:num>
  <w:num w:numId="20" w16cid:durableId="172764847">
    <w:abstractNumId w:val="15"/>
  </w:num>
  <w:num w:numId="21" w16cid:durableId="173308793">
    <w:abstractNumId w:val="14"/>
  </w:num>
  <w:num w:numId="22" w16cid:durableId="174076829">
    <w:abstractNumId w:val="13"/>
  </w:num>
  <w:num w:numId="23" w16cid:durableId="1595019416">
    <w:abstractNumId w:val="22"/>
  </w:num>
  <w:num w:numId="24" w16cid:durableId="15082552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D78"/>
    <w:rsid w:val="000117CB"/>
    <w:rsid w:val="00016D7F"/>
    <w:rsid w:val="000200B1"/>
    <w:rsid w:val="0003148D"/>
    <w:rsid w:val="00031EEC"/>
    <w:rsid w:val="00043A7C"/>
    <w:rsid w:val="00051566"/>
    <w:rsid w:val="000562A9"/>
    <w:rsid w:val="00062A9A"/>
    <w:rsid w:val="00065058"/>
    <w:rsid w:val="00082AEB"/>
    <w:rsid w:val="00086C39"/>
    <w:rsid w:val="00091337"/>
    <w:rsid w:val="000A03B2"/>
    <w:rsid w:val="000C20BE"/>
    <w:rsid w:val="000C3C6A"/>
    <w:rsid w:val="000D0268"/>
    <w:rsid w:val="000D02C9"/>
    <w:rsid w:val="000D2DC3"/>
    <w:rsid w:val="000D34BE"/>
    <w:rsid w:val="000D4FEE"/>
    <w:rsid w:val="000E102F"/>
    <w:rsid w:val="000E36F1"/>
    <w:rsid w:val="000E3A73"/>
    <w:rsid w:val="000E414A"/>
    <w:rsid w:val="000E778D"/>
    <w:rsid w:val="000F093C"/>
    <w:rsid w:val="000F787B"/>
    <w:rsid w:val="00105F4E"/>
    <w:rsid w:val="001079F6"/>
    <w:rsid w:val="0011777A"/>
    <w:rsid w:val="00117B64"/>
    <w:rsid w:val="0012091F"/>
    <w:rsid w:val="00126BC2"/>
    <w:rsid w:val="001308B6"/>
    <w:rsid w:val="0013121F"/>
    <w:rsid w:val="00131FE6"/>
    <w:rsid w:val="0013263F"/>
    <w:rsid w:val="001331DF"/>
    <w:rsid w:val="00134DE4"/>
    <w:rsid w:val="0014034D"/>
    <w:rsid w:val="001431DC"/>
    <w:rsid w:val="00144D16"/>
    <w:rsid w:val="00150E59"/>
    <w:rsid w:val="00152DE3"/>
    <w:rsid w:val="00156F74"/>
    <w:rsid w:val="0015722F"/>
    <w:rsid w:val="00164CF9"/>
    <w:rsid w:val="001667A6"/>
    <w:rsid w:val="00172D62"/>
    <w:rsid w:val="00173813"/>
    <w:rsid w:val="00173AA1"/>
    <w:rsid w:val="00184AD6"/>
    <w:rsid w:val="001A4AF7"/>
    <w:rsid w:val="001B0349"/>
    <w:rsid w:val="001B1E93"/>
    <w:rsid w:val="001B25A5"/>
    <w:rsid w:val="001B65C1"/>
    <w:rsid w:val="001C684B"/>
    <w:rsid w:val="001D0CFB"/>
    <w:rsid w:val="001D21AF"/>
    <w:rsid w:val="001D53FC"/>
    <w:rsid w:val="001F0BB8"/>
    <w:rsid w:val="001F42A5"/>
    <w:rsid w:val="001F7B9D"/>
    <w:rsid w:val="00201C93"/>
    <w:rsid w:val="002224B4"/>
    <w:rsid w:val="002447EF"/>
    <w:rsid w:val="00251550"/>
    <w:rsid w:val="00256FF4"/>
    <w:rsid w:val="00263B05"/>
    <w:rsid w:val="0027221A"/>
    <w:rsid w:val="00275B61"/>
    <w:rsid w:val="00280FAF"/>
    <w:rsid w:val="00282656"/>
    <w:rsid w:val="00296B83"/>
    <w:rsid w:val="002B4015"/>
    <w:rsid w:val="002B78CE"/>
    <w:rsid w:val="002C2FB6"/>
    <w:rsid w:val="002E5FA7"/>
    <w:rsid w:val="002F3309"/>
    <w:rsid w:val="003008CE"/>
    <w:rsid w:val="003009B7"/>
    <w:rsid w:val="00300E56"/>
    <w:rsid w:val="0030152C"/>
    <w:rsid w:val="0030283B"/>
    <w:rsid w:val="0030469C"/>
    <w:rsid w:val="0030742A"/>
    <w:rsid w:val="00321CA6"/>
    <w:rsid w:val="00323763"/>
    <w:rsid w:val="00323C5F"/>
    <w:rsid w:val="00332873"/>
    <w:rsid w:val="00332F8C"/>
    <w:rsid w:val="00334C09"/>
    <w:rsid w:val="00335E1F"/>
    <w:rsid w:val="00336B90"/>
    <w:rsid w:val="00340627"/>
    <w:rsid w:val="003557A8"/>
    <w:rsid w:val="00360DB9"/>
    <w:rsid w:val="003616CC"/>
    <w:rsid w:val="003723D4"/>
    <w:rsid w:val="00381905"/>
    <w:rsid w:val="00384CC8"/>
    <w:rsid w:val="003871FD"/>
    <w:rsid w:val="00396282"/>
    <w:rsid w:val="003A1E30"/>
    <w:rsid w:val="003A2829"/>
    <w:rsid w:val="003A6FC6"/>
    <w:rsid w:val="003A7D1C"/>
    <w:rsid w:val="003B304B"/>
    <w:rsid w:val="003B3146"/>
    <w:rsid w:val="003C60EA"/>
    <w:rsid w:val="003E3921"/>
    <w:rsid w:val="003F015E"/>
    <w:rsid w:val="00400414"/>
    <w:rsid w:val="00405996"/>
    <w:rsid w:val="0041446B"/>
    <w:rsid w:val="00437336"/>
    <w:rsid w:val="0044071E"/>
    <w:rsid w:val="0044329C"/>
    <w:rsid w:val="00453E24"/>
    <w:rsid w:val="00457456"/>
    <w:rsid w:val="004577FE"/>
    <w:rsid w:val="00457B9C"/>
    <w:rsid w:val="0046164A"/>
    <w:rsid w:val="004628D2"/>
    <w:rsid w:val="00462DCD"/>
    <w:rsid w:val="004648AD"/>
    <w:rsid w:val="004703A9"/>
    <w:rsid w:val="004760DE"/>
    <w:rsid w:val="004761E9"/>
    <w:rsid w:val="004763D7"/>
    <w:rsid w:val="00487B43"/>
    <w:rsid w:val="004A004E"/>
    <w:rsid w:val="004A24CF"/>
    <w:rsid w:val="004A7BD3"/>
    <w:rsid w:val="004B02BE"/>
    <w:rsid w:val="004B1C2C"/>
    <w:rsid w:val="004C3D1D"/>
    <w:rsid w:val="004C3D84"/>
    <w:rsid w:val="004C7913"/>
    <w:rsid w:val="004E4B0A"/>
    <w:rsid w:val="004E4DD6"/>
    <w:rsid w:val="004E68E4"/>
    <w:rsid w:val="004F5E36"/>
    <w:rsid w:val="004F6A90"/>
    <w:rsid w:val="00507B47"/>
    <w:rsid w:val="00507BEF"/>
    <w:rsid w:val="00507CC9"/>
    <w:rsid w:val="005119A5"/>
    <w:rsid w:val="00516AAC"/>
    <w:rsid w:val="005204BC"/>
    <w:rsid w:val="00522E1E"/>
    <w:rsid w:val="00523B1C"/>
    <w:rsid w:val="005278B7"/>
    <w:rsid w:val="00532016"/>
    <w:rsid w:val="005346C8"/>
    <w:rsid w:val="00543E7D"/>
    <w:rsid w:val="00547A68"/>
    <w:rsid w:val="0055156A"/>
    <w:rsid w:val="005531C9"/>
    <w:rsid w:val="00570C43"/>
    <w:rsid w:val="0058517F"/>
    <w:rsid w:val="00592D17"/>
    <w:rsid w:val="005A1F0D"/>
    <w:rsid w:val="005B2110"/>
    <w:rsid w:val="005B61E6"/>
    <w:rsid w:val="005B639C"/>
    <w:rsid w:val="005C77E1"/>
    <w:rsid w:val="005D668A"/>
    <w:rsid w:val="005D6A2F"/>
    <w:rsid w:val="005E1A82"/>
    <w:rsid w:val="005E794C"/>
    <w:rsid w:val="005F0028"/>
    <w:rsid w:val="005F0A28"/>
    <w:rsid w:val="005F0E5E"/>
    <w:rsid w:val="005F1278"/>
    <w:rsid w:val="005F49E4"/>
    <w:rsid w:val="00600535"/>
    <w:rsid w:val="006023D2"/>
    <w:rsid w:val="00602DF1"/>
    <w:rsid w:val="00610CD6"/>
    <w:rsid w:val="00616FE7"/>
    <w:rsid w:val="00620DEE"/>
    <w:rsid w:val="00621F92"/>
    <w:rsid w:val="0062280A"/>
    <w:rsid w:val="00625639"/>
    <w:rsid w:val="00631B33"/>
    <w:rsid w:val="0064184D"/>
    <w:rsid w:val="006422CC"/>
    <w:rsid w:val="00646197"/>
    <w:rsid w:val="00656751"/>
    <w:rsid w:val="00660E3E"/>
    <w:rsid w:val="00662DD7"/>
    <w:rsid w:val="00662E74"/>
    <w:rsid w:val="00665975"/>
    <w:rsid w:val="00680C23"/>
    <w:rsid w:val="00681D39"/>
    <w:rsid w:val="006850B6"/>
    <w:rsid w:val="00693761"/>
    <w:rsid w:val="00693766"/>
    <w:rsid w:val="006A23E9"/>
    <w:rsid w:val="006A3281"/>
    <w:rsid w:val="006B464D"/>
    <w:rsid w:val="006B4888"/>
    <w:rsid w:val="006C2E45"/>
    <w:rsid w:val="006C359C"/>
    <w:rsid w:val="006C37FF"/>
    <w:rsid w:val="006C5579"/>
    <w:rsid w:val="006D6E8B"/>
    <w:rsid w:val="006E6792"/>
    <w:rsid w:val="006E737D"/>
    <w:rsid w:val="0070761C"/>
    <w:rsid w:val="00713973"/>
    <w:rsid w:val="00720A24"/>
    <w:rsid w:val="00732386"/>
    <w:rsid w:val="0073514D"/>
    <w:rsid w:val="00736476"/>
    <w:rsid w:val="007447F3"/>
    <w:rsid w:val="00744BF8"/>
    <w:rsid w:val="0075499F"/>
    <w:rsid w:val="007661C8"/>
    <w:rsid w:val="0077098D"/>
    <w:rsid w:val="00787BDD"/>
    <w:rsid w:val="007931FA"/>
    <w:rsid w:val="00797C5E"/>
    <w:rsid w:val="007A1541"/>
    <w:rsid w:val="007A4861"/>
    <w:rsid w:val="007A6A9E"/>
    <w:rsid w:val="007A7BBA"/>
    <w:rsid w:val="007B0C50"/>
    <w:rsid w:val="007B48F9"/>
    <w:rsid w:val="007C1A43"/>
    <w:rsid w:val="007D0951"/>
    <w:rsid w:val="007D6B81"/>
    <w:rsid w:val="007E6A5A"/>
    <w:rsid w:val="0080013E"/>
    <w:rsid w:val="00813288"/>
    <w:rsid w:val="008168FC"/>
    <w:rsid w:val="00824C55"/>
    <w:rsid w:val="00830996"/>
    <w:rsid w:val="008345F1"/>
    <w:rsid w:val="00843EAC"/>
    <w:rsid w:val="00851F70"/>
    <w:rsid w:val="00865B07"/>
    <w:rsid w:val="008667EA"/>
    <w:rsid w:val="0087637F"/>
    <w:rsid w:val="00891B81"/>
    <w:rsid w:val="00892AD5"/>
    <w:rsid w:val="008A1512"/>
    <w:rsid w:val="008B7026"/>
    <w:rsid w:val="008B7C03"/>
    <w:rsid w:val="008C17D5"/>
    <w:rsid w:val="008C509D"/>
    <w:rsid w:val="008D1320"/>
    <w:rsid w:val="008D1D61"/>
    <w:rsid w:val="008D32B9"/>
    <w:rsid w:val="008D433B"/>
    <w:rsid w:val="008D4A16"/>
    <w:rsid w:val="008E073D"/>
    <w:rsid w:val="008E1702"/>
    <w:rsid w:val="008E35BF"/>
    <w:rsid w:val="008E566E"/>
    <w:rsid w:val="0090161A"/>
    <w:rsid w:val="00901EB6"/>
    <w:rsid w:val="00902EDA"/>
    <w:rsid w:val="00904C62"/>
    <w:rsid w:val="00911852"/>
    <w:rsid w:val="009212F7"/>
    <w:rsid w:val="00922BA8"/>
    <w:rsid w:val="00924DAC"/>
    <w:rsid w:val="00927058"/>
    <w:rsid w:val="00936609"/>
    <w:rsid w:val="00942750"/>
    <w:rsid w:val="009450CE"/>
    <w:rsid w:val="009459BB"/>
    <w:rsid w:val="00947179"/>
    <w:rsid w:val="0095164B"/>
    <w:rsid w:val="00954090"/>
    <w:rsid w:val="00954C3C"/>
    <w:rsid w:val="009573E7"/>
    <w:rsid w:val="0096178A"/>
    <w:rsid w:val="00963E05"/>
    <w:rsid w:val="00964A45"/>
    <w:rsid w:val="00967843"/>
    <w:rsid w:val="00967D54"/>
    <w:rsid w:val="00971028"/>
    <w:rsid w:val="0097371A"/>
    <w:rsid w:val="00976EE7"/>
    <w:rsid w:val="00993B84"/>
    <w:rsid w:val="00996483"/>
    <w:rsid w:val="00996F5A"/>
    <w:rsid w:val="00997A8A"/>
    <w:rsid w:val="009B041A"/>
    <w:rsid w:val="009C37C3"/>
    <w:rsid w:val="009C67F9"/>
    <w:rsid w:val="009C7C86"/>
    <w:rsid w:val="009D1323"/>
    <w:rsid w:val="009D2FF7"/>
    <w:rsid w:val="009E00C5"/>
    <w:rsid w:val="009E7884"/>
    <w:rsid w:val="009E788A"/>
    <w:rsid w:val="009F0E08"/>
    <w:rsid w:val="00A075A1"/>
    <w:rsid w:val="00A1763D"/>
    <w:rsid w:val="00A17CEC"/>
    <w:rsid w:val="00A21D2F"/>
    <w:rsid w:val="00A27EF0"/>
    <w:rsid w:val="00A3067B"/>
    <w:rsid w:val="00A42361"/>
    <w:rsid w:val="00A50B20"/>
    <w:rsid w:val="00A51390"/>
    <w:rsid w:val="00A60D13"/>
    <w:rsid w:val="00A67777"/>
    <w:rsid w:val="00A7223D"/>
    <w:rsid w:val="00A72745"/>
    <w:rsid w:val="00A76EFC"/>
    <w:rsid w:val="00A772D1"/>
    <w:rsid w:val="00A812E9"/>
    <w:rsid w:val="00A87D50"/>
    <w:rsid w:val="00A91010"/>
    <w:rsid w:val="00A97F29"/>
    <w:rsid w:val="00AA2DB6"/>
    <w:rsid w:val="00AA702E"/>
    <w:rsid w:val="00AA7D26"/>
    <w:rsid w:val="00AB0964"/>
    <w:rsid w:val="00AB5011"/>
    <w:rsid w:val="00AC7368"/>
    <w:rsid w:val="00AD16B9"/>
    <w:rsid w:val="00AD611E"/>
    <w:rsid w:val="00AE377D"/>
    <w:rsid w:val="00AE4D2D"/>
    <w:rsid w:val="00AF0EBA"/>
    <w:rsid w:val="00B023CC"/>
    <w:rsid w:val="00B02C8A"/>
    <w:rsid w:val="00B15EBF"/>
    <w:rsid w:val="00B16FC4"/>
    <w:rsid w:val="00B17FBD"/>
    <w:rsid w:val="00B24690"/>
    <w:rsid w:val="00B2676E"/>
    <w:rsid w:val="00B315A6"/>
    <w:rsid w:val="00B31813"/>
    <w:rsid w:val="00B33365"/>
    <w:rsid w:val="00B57B36"/>
    <w:rsid w:val="00B57E6F"/>
    <w:rsid w:val="00B62D05"/>
    <w:rsid w:val="00B64AB6"/>
    <w:rsid w:val="00B72F27"/>
    <w:rsid w:val="00B858C6"/>
    <w:rsid w:val="00B8686D"/>
    <w:rsid w:val="00B93AE1"/>
    <w:rsid w:val="00B93F69"/>
    <w:rsid w:val="00BB030C"/>
    <w:rsid w:val="00BB1DDC"/>
    <w:rsid w:val="00BB2FC0"/>
    <w:rsid w:val="00BC30C9"/>
    <w:rsid w:val="00BC3AF2"/>
    <w:rsid w:val="00BC4E93"/>
    <w:rsid w:val="00BD077D"/>
    <w:rsid w:val="00BD6985"/>
    <w:rsid w:val="00BE3E58"/>
    <w:rsid w:val="00C0099C"/>
    <w:rsid w:val="00C01616"/>
    <w:rsid w:val="00C0162B"/>
    <w:rsid w:val="00C068ED"/>
    <w:rsid w:val="00C111FA"/>
    <w:rsid w:val="00C22E0C"/>
    <w:rsid w:val="00C30762"/>
    <w:rsid w:val="00C345B1"/>
    <w:rsid w:val="00C40142"/>
    <w:rsid w:val="00C4165A"/>
    <w:rsid w:val="00C52C3C"/>
    <w:rsid w:val="00C57182"/>
    <w:rsid w:val="00C57863"/>
    <w:rsid w:val="00C640AF"/>
    <w:rsid w:val="00C655FD"/>
    <w:rsid w:val="00C75407"/>
    <w:rsid w:val="00C7555B"/>
    <w:rsid w:val="00C76F17"/>
    <w:rsid w:val="00C816C8"/>
    <w:rsid w:val="00C870A8"/>
    <w:rsid w:val="00C94434"/>
    <w:rsid w:val="00CA05BE"/>
    <w:rsid w:val="00CA0D4A"/>
    <w:rsid w:val="00CA0D75"/>
    <w:rsid w:val="00CA1C95"/>
    <w:rsid w:val="00CA5A9C"/>
    <w:rsid w:val="00CC4C20"/>
    <w:rsid w:val="00CD3517"/>
    <w:rsid w:val="00CD5FE2"/>
    <w:rsid w:val="00CE14E4"/>
    <w:rsid w:val="00CE7C68"/>
    <w:rsid w:val="00CF4F6D"/>
    <w:rsid w:val="00D02B4C"/>
    <w:rsid w:val="00D040C4"/>
    <w:rsid w:val="00D062BE"/>
    <w:rsid w:val="00D07D80"/>
    <w:rsid w:val="00D151D3"/>
    <w:rsid w:val="00D20AD1"/>
    <w:rsid w:val="00D22163"/>
    <w:rsid w:val="00D45CB9"/>
    <w:rsid w:val="00D46B7E"/>
    <w:rsid w:val="00D57C84"/>
    <w:rsid w:val="00D6057D"/>
    <w:rsid w:val="00D648EC"/>
    <w:rsid w:val="00D71640"/>
    <w:rsid w:val="00D83535"/>
    <w:rsid w:val="00D836C5"/>
    <w:rsid w:val="00D84576"/>
    <w:rsid w:val="00DA1399"/>
    <w:rsid w:val="00DA16A5"/>
    <w:rsid w:val="00DA24C6"/>
    <w:rsid w:val="00DA2FAA"/>
    <w:rsid w:val="00DA4D7B"/>
    <w:rsid w:val="00DA6EF2"/>
    <w:rsid w:val="00DB3233"/>
    <w:rsid w:val="00DD271C"/>
    <w:rsid w:val="00DE264A"/>
    <w:rsid w:val="00DE6660"/>
    <w:rsid w:val="00DF5072"/>
    <w:rsid w:val="00E02D18"/>
    <w:rsid w:val="00E041E7"/>
    <w:rsid w:val="00E23CA1"/>
    <w:rsid w:val="00E33DD7"/>
    <w:rsid w:val="00E409A8"/>
    <w:rsid w:val="00E44DD4"/>
    <w:rsid w:val="00E50C12"/>
    <w:rsid w:val="00E65B91"/>
    <w:rsid w:val="00E7209D"/>
    <w:rsid w:val="00E72EAD"/>
    <w:rsid w:val="00E77223"/>
    <w:rsid w:val="00E84E19"/>
    <w:rsid w:val="00E8528B"/>
    <w:rsid w:val="00E85B94"/>
    <w:rsid w:val="00E94683"/>
    <w:rsid w:val="00E978D0"/>
    <w:rsid w:val="00EA3CF7"/>
    <w:rsid w:val="00EA4613"/>
    <w:rsid w:val="00EA5423"/>
    <w:rsid w:val="00EA7F91"/>
    <w:rsid w:val="00EB1523"/>
    <w:rsid w:val="00EB351A"/>
    <w:rsid w:val="00EC0E49"/>
    <w:rsid w:val="00EC101F"/>
    <w:rsid w:val="00EC1D9F"/>
    <w:rsid w:val="00ED4DD3"/>
    <w:rsid w:val="00EE0131"/>
    <w:rsid w:val="00EE17B0"/>
    <w:rsid w:val="00EF06D9"/>
    <w:rsid w:val="00F208FD"/>
    <w:rsid w:val="00F3049E"/>
    <w:rsid w:val="00F30C64"/>
    <w:rsid w:val="00F32BA2"/>
    <w:rsid w:val="00F32CDB"/>
    <w:rsid w:val="00F37EBC"/>
    <w:rsid w:val="00F47BD6"/>
    <w:rsid w:val="00F565FE"/>
    <w:rsid w:val="00F56652"/>
    <w:rsid w:val="00F63A70"/>
    <w:rsid w:val="00F63D8C"/>
    <w:rsid w:val="00F653B1"/>
    <w:rsid w:val="00F7534E"/>
    <w:rsid w:val="00F77269"/>
    <w:rsid w:val="00F82F30"/>
    <w:rsid w:val="00F93DD4"/>
    <w:rsid w:val="00F93EDF"/>
    <w:rsid w:val="00FA1802"/>
    <w:rsid w:val="00FA21D0"/>
    <w:rsid w:val="00FA5F5F"/>
    <w:rsid w:val="00FB5351"/>
    <w:rsid w:val="00FB565D"/>
    <w:rsid w:val="00FB668A"/>
    <w:rsid w:val="00FB730C"/>
    <w:rsid w:val="00FC1403"/>
    <w:rsid w:val="00FC2695"/>
    <w:rsid w:val="00FC3E03"/>
    <w:rsid w:val="00FC3FC1"/>
    <w:rsid w:val="00FC7809"/>
    <w:rsid w:val="00FD6DF8"/>
    <w:rsid w:val="00FE08C6"/>
    <w:rsid w:val="00FE516B"/>
    <w:rsid w:val="00FF12EA"/>
    <w:rsid w:val="00FF2590"/>
    <w:rsid w:val="00FF7F7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Testosegnaposto">
    <w:name w:val="Placeholder Text"/>
    <w:basedOn w:val="Carpredefinitoparagrafo"/>
    <w:uiPriority w:val="99"/>
    <w:semiHidden/>
    <w:rsid w:val="00693761"/>
    <w:rPr>
      <w:color w:val="666666"/>
    </w:rPr>
  </w:style>
  <w:style w:type="paragraph" w:styleId="Revisione">
    <w:name w:val="Revision"/>
    <w:hidden/>
    <w:uiPriority w:val="99"/>
    <w:semiHidden/>
    <w:rsid w:val="004E4B0A"/>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9414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less\Desktop\Dottorato\Dati\Dati%20fanghi\Materiale%20Davide%20Rav&#224;\Andamenti%20rese%20fanghi.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less\Desktop\Dottorato\Dati\Dati%20fanghi\Materiale%20Davide%20Rav&#224;\Andamenti%20rese%20fanghi.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less\Desktop\Dottorato\Dati\Dati%20fanghi\Materiale%20Davide%20Rav&#224;\Andamenti%20rese%20fanghi.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less\Desktop\Dottorato\Dati\Dati%20fanghi\Materiale%20Davide%20Rav&#224;\Andamenti%20rese%20fanghi.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853640538593095"/>
          <c:y val="9.2436826467675356E-2"/>
          <c:w val="0.72293014089887053"/>
          <c:h val="0.72447149634081687"/>
        </c:manualLayout>
      </c:layout>
      <c:scatterChart>
        <c:scatterStyle val="lineMarker"/>
        <c:varyColors val="0"/>
        <c:ser>
          <c:idx val="0"/>
          <c:order val="0"/>
          <c:tx>
            <c:v>280 °C</c:v>
          </c:tx>
          <c:spPr>
            <a:ln w="9525" cap="rnd">
              <a:solidFill>
                <a:schemeClr val="accent1"/>
              </a:solidFill>
              <a:prstDash val="dash"/>
              <a:round/>
            </a:ln>
            <a:effectLst/>
          </c:spPr>
          <c:marker>
            <c:symbol val="circle"/>
            <c:size val="5"/>
            <c:spPr>
              <a:solidFill>
                <a:schemeClr val="accent1"/>
              </a:solidFill>
              <a:ln w="6350">
                <a:solidFill>
                  <a:schemeClr val="accent1"/>
                </a:solidFill>
              </a:ln>
              <a:effectLst/>
            </c:spPr>
          </c:marker>
          <c:xVal>
            <c:numRef>
              <c:f>(IConBM2024!$L$2,IConBM2024!$N$2,IConBM2024!$O$2,IConBM2024!$Q$2)</c:f>
              <c:numCache>
                <c:formatCode>General</c:formatCode>
                <c:ptCount val="4"/>
                <c:pt idx="0">
                  <c:v>0</c:v>
                </c:pt>
                <c:pt idx="1">
                  <c:v>10</c:v>
                </c:pt>
                <c:pt idx="2">
                  <c:v>20</c:v>
                </c:pt>
                <c:pt idx="3">
                  <c:v>35</c:v>
                </c:pt>
              </c:numCache>
            </c:numRef>
          </c:xVal>
          <c:yVal>
            <c:numRef>
              <c:f>(IConBM2024!$L$3,IConBM2024!$N$3,IConBM2024!$O$3,IConBM2024!$Q$3)</c:f>
              <c:numCache>
                <c:formatCode>General</c:formatCode>
                <c:ptCount val="4"/>
                <c:pt idx="0">
                  <c:v>0.1610939215490714</c:v>
                </c:pt>
                <c:pt idx="1">
                  <c:v>0.18232651023465588</c:v>
                </c:pt>
                <c:pt idx="2">
                  <c:v>0.16700000000000001</c:v>
                </c:pt>
                <c:pt idx="3">
                  <c:v>0.16575192096597161</c:v>
                </c:pt>
              </c:numCache>
            </c:numRef>
          </c:yVal>
          <c:smooth val="0"/>
          <c:extLst>
            <c:ext xmlns:c16="http://schemas.microsoft.com/office/drawing/2014/chart" uri="{C3380CC4-5D6E-409C-BE32-E72D297353CC}">
              <c16:uniqueId val="{00000000-62F9-4BE2-8027-B162DF8142B5}"/>
            </c:ext>
          </c:extLst>
        </c:ser>
        <c:ser>
          <c:idx val="1"/>
          <c:order val="1"/>
          <c:tx>
            <c:v>300 °C</c:v>
          </c:tx>
          <c:spPr>
            <a:ln w="9525" cap="rnd">
              <a:solidFill>
                <a:schemeClr val="accent6"/>
              </a:solidFill>
              <a:prstDash val="dash"/>
              <a:round/>
            </a:ln>
            <a:effectLst/>
          </c:spPr>
          <c:marker>
            <c:symbol val="circle"/>
            <c:size val="5"/>
            <c:spPr>
              <a:solidFill>
                <a:schemeClr val="accent6"/>
              </a:solidFill>
              <a:ln w="9525">
                <a:noFill/>
              </a:ln>
              <a:effectLst/>
            </c:spPr>
          </c:marker>
          <c:xVal>
            <c:numRef>
              <c:f>(IConBM2024!$L$2,IConBM2024!$N$2,IConBM2024!$O$2,IConBM2024!$P$2,IConBM2024!$Q$2,IConBM2024!$R$2)</c:f>
              <c:numCache>
                <c:formatCode>General</c:formatCode>
                <c:ptCount val="6"/>
                <c:pt idx="0">
                  <c:v>0</c:v>
                </c:pt>
                <c:pt idx="1">
                  <c:v>10</c:v>
                </c:pt>
                <c:pt idx="2">
                  <c:v>20</c:v>
                </c:pt>
                <c:pt idx="3">
                  <c:v>25</c:v>
                </c:pt>
                <c:pt idx="4">
                  <c:v>35</c:v>
                </c:pt>
                <c:pt idx="5">
                  <c:v>60</c:v>
                </c:pt>
              </c:numCache>
            </c:numRef>
          </c:xVal>
          <c:yVal>
            <c:numRef>
              <c:f>(IConBM2024!$L$4,IConBM2024!$N$4,IConBM2024!$O$4,IConBM2024!$P$4,IConBM2024!$Q$4,IConBM2024!$R$4)</c:f>
              <c:numCache>
                <c:formatCode>General</c:formatCode>
                <c:ptCount val="6"/>
                <c:pt idx="0">
                  <c:v>0.1523367285799789</c:v>
                </c:pt>
                <c:pt idx="1">
                  <c:v>0.1936986029921543</c:v>
                </c:pt>
                <c:pt idx="2">
                  <c:v>0.20593655062504482</c:v>
                </c:pt>
                <c:pt idx="3">
                  <c:v>0.2072817955112421</c:v>
                </c:pt>
                <c:pt idx="4">
                  <c:v>0.20996797437950493</c:v>
                </c:pt>
                <c:pt idx="5">
                  <c:v>0.17667738047407031</c:v>
                </c:pt>
              </c:numCache>
            </c:numRef>
          </c:yVal>
          <c:smooth val="0"/>
          <c:extLst>
            <c:ext xmlns:c16="http://schemas.microsoft.com/office/drawing/2014/chart" uri="{C3380CC4-5D6E-409C-BE32-E72D297353CC}">
              <c16:uniqueId val="{00000001-62F9-4BE2-8027-B162DF8142B5}"/>
            </c:ext>
          </c:extLst>
        </c:ser>
        <c:ser>
          <c:idx val="2"/>
          <c:order val="2"/>
          <c:tx>
            <c:v>330 °C</c:v>
          </c:tx>
          <c:spPr>
            <a:ln w="9525" cap="rnd">
              <a:solidFill>
                <a:schemeClr val="accent2"/>
              </a:solidFill>
              <a:prstDash val="dash"/>
              <a:round/>
            </a:ln>
            <a:effectLst/>
          </c:spPr>
          <c:marker>
            <c:symbol val="circle"/>
            <c:size val="5"/>
            <c:spPr>
              <a:solidFill>
                <a:schemeClr val="accent2"/>
              </a:solidFill>
              <a:ln w="9525">
                <a:noFill/>
              </a:ln>
              <a:effectLst/>
            </c:spPr>
          </c:marker>
          <c:xVal>
            <c:numRef>
              <c:f>IConBM2024!$L$2:$Q$2</c:f>
              <c:numCache>
                <c:formatCode>General</c:formatCode>
                <c:ptCount val="6"/>
                <c:pt idx="0">
                  <c:v>0</c:v>
                </c:pt>
                <c:pt idx="1">
                  <c:v>5</c:v>
                </c:pt>
                <c:pt idx="2">
                  <c:v>10</c:v>
                </c:pt>
                <c:pt idx="3">
                  <c:v>20</c:v>
                </c:pt>
                <c:pt idx="4">
                  <c:v>25</c:v>
                </c:pt>
                <c:pt idx="5">
                  <c:v>35</c:v>
                </c:pt>
              </c:numCache>
            </c:numRef>
          </c:xVal>
          <c:yVal>
            <c:numRef>
              <c:f>IConBM2024!$L$5:$Q$5</c:f>
              <c:numCache>
                <c:formatCode>General</c:formatCode>
                <c:ptCount val="6"/>
                <c:pt idx="0">
                  <c:v>0.11494424532059212</c:v>
                </c:pt>
                <c:pt idx="1">
                  <c:v>0.13454977006378613</c:v>
                </c:pt>
                <c:pt idx="2">
                  <c:v>0.15182256700979785</c:v>
                </c:pt>
                <c:pt idx="3">
                  <c:v>0.18590479996003811</c:v>
                </c:pt>
                <c:pt idx="4">
                  <c:v>0.17844104588061827</c:v>
                </c:pt>
                <c:pt idx="5">
                  <c:v>0.17611496531219181</c:v>
                </c:pt>
              </c:numCache>
            </c:numRef>
          </c:yVal>
          <c:smooth val="0"/>
          <c:extLst>
            <c:ext xmlns:c16="http://schemas.microsoft.com/office/drawing/2014/chart" uri="{C3380CC4-5D6E-409C-BE32-E72D297353CC}">
              <c16:uniqueId val="{00000002-62F9-4BE2-8027-B162DF8142B5}"/>
            </c:ext>
          </c:extLst>
        </c:ser>
        <c:dLbls>
          <c:showLegendKey val="0"/>
          <c:showVal val="0"/>
          <c:showCatName val="0"/>
          <c:showSerName val="0"/>
          <c:showPercent val="0"/>
          <c:showBubbleSize val="0"/>
        </c:dLbls>
        <c:axId val="131711167"/>
        <c:axId val="1561257967"/>
      </c:scatterChart>
      <c:valAx>
        <c:axId val="131711167"/>
        <c:scaling>
          <c:orientation val="minMax"/>
          <c:max val="6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900">
                    <a:solidFill>
                      <a:sysClr val="windowText" lastClr="000000"/>
                    </a:solidFill>
                    <a:latin typeface="Arial" panose="020B0604020202020204" pitchFamily="34" charset="0"/>
                    <a:cs typeface="Arial" panose="020B0604020202020204" pitchFamily="34" charset="0"/>
                  </a:rPr>
                  <a:t>Holding time [min]</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crossAx val="1561257967"/>
        <c:crosses val="autoZero"/>
        <c:crossBetween val="midCat"/>
        <c:majorUnit val="10"/>
      </c:valAx>
      <c:valAx>
        <c:axId val="15612579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it-IT" sz="900">
                    <a:solidFill>
                      <a:sysClr val="windowText" lastClr="000000"/>
                    </a:solidFill>
                    <a:latin typeface="Arial" panose="020B0604020202020204" pitchFamily="34" charset="0"/>
                    <a:cs typeface="Arial" panose="020B0604020202020204" pitchFamily="34" charset="0"/>
                  </a:rPr>
                  <a:t>Biocrude</a:t>
                </a:r>
                <a:r>
                  <a:rPr lang="it-IT" sz="900" baseline="0">
                    <a:solidFill>
                      <a:sysClr val="windowText" lastClr="000000"/>
                    </a:solidFill>
                    <a:latin typeface="Arial" panose="020B0604020202020204" pitchFamily="34" charset="0"/>
                    <a:cs typeface="Arial" panose="020B0604020202020204" pitchFamily="34" charset="0"/>
                  </a:rPr>
                  <a:t> yield [% d.b.]</a:t>
                </a:r>
                <a:endParaRPr lang="it-IT" sz="90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3.3333333333333333E-2"/>
              <c:y val="0.21341034114197743"/>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title>
        <c:numFmt formatCode="0%"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crossAx val="131711167"/>
        <c:crosses val="autoZero"/>
        <c:crossBetween val="midCat"/>
      </c:valAx>
      <c:spPr>
        <a:noFill/>
        <a:ln>
          <a:noFill/>
        </a:ln>
        <a:effectLst/>
      </c:spPr>
    </c:plotArea>
    <c:legend>
      <c:legendPos val="b"/>
      <c:layout>
        <c:manualLayout>
          <c:xMode val="edge"/>
          <c:yMode val="edge"/>
          <c:x val="0.61725176105564128"/>
          <c:y val="0.4481131362757928"/>
          <c:w val="0.29971516447042057"/>
          <c:h val="0.20583303450121973"/>
        </c:manualLayout>
      </c:layout>
      <c:overlay val="0"/>
      <c:spPr>
        <a:solidFill>
          <a:schemeClr val="bg1"/>
        </a:solidFill>
        <a:ln>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it-IT"/>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853640538593095"/>
          <c:y val="9.2436826467675356E-2"/>
          <c:w val="0.72293014089887053"/>
          <c:h val="0.7338112001255136"/>
        </c:manualLayout>
      </c:layout>
      <c:scatterChart>
        <c:scatterStyle val="lineMarker"/>
        <c:varyColors val="0"/>
        <c:ser>
          <c:idx val="0"/>
          <c:order val="0"/>
          <c:tx>
            <c:v>280 °C</c:v>
          </c:tx>
          <c:spPr>
            <a:ln w="9525" cap="rnd">
              <a:solidFill>
                <a:schemeClr val="accent1"/>
              </a:solidFill>
              <a:prstDash val="dash"/>
              <a:round/>
            </a:ln>
            <a:effectLst/>
          </c:spPr>
          <c:marker>
            <c:symbol val="circle"/>
            <c:size val="5"/>
            <c:spPr>
              <a:solidFill>
                <a:schemeClr val="accent1"/>
              </a:solidFill>
              <a:ln w="6350">
                <a:solidFill>
                  <a:schemeClr val="accent1"/>
                </a:solidFill>
              </a:ln>
              <a:effectLst/>
            </c:spPr>
          </c:marker>
          <c:xVal>
            <c:numRef>
              <c:f>(IConBM2024!$L$2,IConBM2024!$N$2,IConBM2024!$O$2,IConBM2024!$Q$2)</c:f>
              <c:numCache>
                <c:formatCode>General</c:formatCode>
                <c:ptCount val="4"/>
                <c:pt idx="0">
                  <c:v>0</c:v>
                </c:pt>
                <c:pt idx="1">
                  <c:v>10</c:v>
                </c:pt>
                <c:pt idx="2">
                  <c:v>20</c:v>
                </c:pt>
                <c:pt idx="3">
                  <c:v>35</c:v>
                </c:pt>
              </c:numCache>
            </c:numRef>
          </c:xVal>
          <c:yVal>
            <c:numRef>
              <c:f>(IConBM2024!$L$9,IConBM2024!$N$9,IConBM2024!$O$9,IConBM2024!$Q$9)</c:f>
              <c:numCache>
                <c:formatCode>General</c:formatCode>
                <c:ptCount val="4"/>
                <c:pt idx="0">
                  <c:v>0.49456033536280708</c:v>
                </c:pt>
                <c:pt idx="1">
                  <c:v>0.44280000000000003</c:v>
                </c:pt>
                <c:pt idx="2">
                  <c:v>0.46197231000325845</c:v>
                </c:pt>
                <c:pt idx="3">
                  <c:v>0.48193080245768721</c:v>
                </c:pt>
              </c:numCache>
            </c:numRef>
          </c:yVal>
          <c:smooth val="0"/>
          <c:extLst>
            <c:ext xmlns:c16="http://schemas.microsoft.com/office/drawing/2014/chart" uri="{C3380CC4-5D6E-409C-BE32-E72D297353CC}">
              <c16:uniqueId val="{00000000-1143-4E84-9B67-D665D0BA908A}"/>
            </c:ext>
          </c:extLst>
        </c:ser>
        <c:ser>
          <c:idx val="1"/>
          <c:order val="1"/>
          <c:tx>
            <c:v>300 °C</c:v>
          </c:tx>
          <c:spPr>
            <a:ln w="9525" cap="rnd">
              <a:solidFill>
                <a:schemeClr val="accent6"/>
              </a:solidFill>
              <a:prstDash val="dash"/>
              <a:round/>
            </a:ln>
            <a:effectLst/>
          </c:spPr>
          <c:marker>
            <c:symbol val="circle"/>
            <c:size val="5"/>
            <c:spPr>
              <a:solidFill>
                <a:schemeClr val="accent6"/>
              </a:solidFill>
              <a:ln w="9525">
                <a:noFill/>
              </a:ln>
              <a:effectLst/>
            </c:spPr>
          </c:marker>
          <c:xVal>
            <c:numRef>
              <c:f>(IConBM2024!$L$2,IConBM2024!$N$2,IConBM2024!$O$2,IConBM2024!$P$2,IConBM2024!$Q$2,IConBM2024!$R$2)</c:f>
              <c:numCache>
                <c:formatCode>General</c:formatCode>
                <c:ptCount val="6"/>
                <c:pt idx="0">
                  <c:v>0</c:v>
                </c:pt>
                <c:pt idx="1">
                  <c:v>10</c:v>
                </c:pt>
                <c:pt idx="2">
                  <c:v>20</c:v>
                </c:pt>
                <c:pt idx="3">
                  <c:v>25</c:v>
                </c:pt>
                <c:pt idx="4">
                  <c:v>35</c:v>
                </c:pt>
                <c:pt idx="5">
                  <c:v>60</c:v>
                </c:pt>
              </c:numCache>
            </c:numRef>
          </c:xVal>
          <c:yVal>
            <c:numRef>
              <c:f>(IConBM2024!$L$10,IConBM2024!$N$10,IConBM2024!$O$10,IConBM2024!$P$10,IConBM2024!$Q$10,IConBM2024!$R$10)</c:f>
              <c:numCache>
                <c:formatCode>General</c:formatCode>
                <c:ptCount val="6"/>
                <c:pt idx="0">
                  <c:v>0.45</c:v>
                </c:pt>
                <c:pt idx="1">
                  <c:v>0.45789999999999997</c:v>
                </c:pt>
                <c:pt idx="2">
                  <c:v>0.41078521400000001</c:v>
                </c:pt>
                <c:pt idx="3">
                  <c:v>0.4215756504</c:v>
                </c:pt>
                <c:pt idx="4">
                  <c:v>0.461469175340254</c:v>
                </c:pt>
                <c:pt idx="5">
                  <c:v>0.47430545099999999</c:v>
                </c:pt>
              </c:numCache>
            </c:numRef>
          </c:yVal>
          <c:smooth val="0"/>
          <c:extLst>
            <c:ext xmlns:c16="http://schemas.microsoft.com/office/drawing/2014/chart" uri="{C3380CC4-5D6E-409C-BE32-E72D297353CC}">
              <c16:uniqueId val="{00000001-1143-4E84-9B67-D665D0BA908A}"/>
            </c:ext>
          </c:extLst>
        </c:ser>
        <c:ser>
          <c:idx val="2"/>
          <c:order val="2"/>
          <c:tx>
            <c:v>330 °C</c:v>
          </c:tx>
          <c:spPr>
            <a:ln w="9525" cap="rnd">
              <a:solidFill>
                <a:schemeClr val="accent2"/>
              </a:solidFill>
              <a:prstDash val="dash"/>
              <a:round/>
            </a:ln>
            <a:effectLst/>
          </c:spPr>
          <c:marker>
            <c:symbol val="circle"/>
            <c:size val="5"/>
            <c:spPr>
              <a:solidFill>
                <a:schemeClr val="accent2"/>
              </a:solidFill>
              <a:ln w="9525">
                <a:noFill/>
              </a:ln>
              <a:effectLst/>
            </c:spPr>
          </c:marker>
          <c:xVal>
            <c:numRef>
              <c:f>IConBM2024!$L$2:$Q$2</c:f>
              <c:numCache>
                <c:formatCode>General</c:formatCode>
                <c:ptCount val="6"/>
                <c:pt idx="0">
                  <c:v>0</c:v>
                </c:pt>
                <c:pt idx="1">
                  <c:v>5</c:v>
                </c:pt>
                <c:pt idx="2">
                  <c:v>10</c:v>
                </c:pt>
                <c:pt idx="3">
                  <c:v>20</c:v>
                </c:pt>
                <c:pt idx="4">
                  <c:v>25</c:v>
                </c:pt>
                <c:pt idx="5">
                  <c:v>35</c:v>
                </c:pt>
              </c:numCache>
            </c:numRef>
          </c:xVal>
          <c:yVal>
            <c:numRef>
              <c:f>(IConBM2024!$L$11,IConBM2024!$M$11,IConBM2024!$N$11,IConBM2024!$O$11,IConBM2024!$P$11,IConBM2024!$Q$11)</c:f>
              <c:numCache>
                <c:formatCode>General</c:formatCode>
                <c:ptCount val="6"/>
                <c:pt idx="0">
                  <c:v>0.40681003584232917</c:v>
                </c:pt>
                <c:pt idx="1">
                  <c:v>0.43119220689314847</c:v>
                </c:pt>
                <c:pt idx="2">
                  <c:v>0.46620916007761204</c:v>
                </c:pt>
                <c:pt idx="3">
                  <c:v>0.45771939463564437</c:v>
                </c:pt>
                <c:pt idx="4">
                  <c:v>0.45828928512702122</c:v>
                </c:pt>
                <c:pt idx="5">
                  <c:v>0.4015495</c:v>
                </c:pt>
              </c:numCache>
            </c:numRef>
          </c:yVal>
          <c:smooth val="0"/>
          <c:extLst>
            <c:ext xmlns:c16="http://schemas.microsoft.com/office/drawing/2014/chart" uri="{C3380CC4-5D6E-409C-BE32-E72D297353CC}">
              <c16:uniqueId val="{00000002-1143-4E84-9B67-D665D0BA908A}"/>
            </c:ext>
          </c:extLst>
        </c:ser>
        <c:dLbls>
          <c:showLegendKey val="0"/>
          <c:showVal val="0"/>
          <c:showCatName val="0"/>
          <c:showSerName val="0"/>
          <c:showPercent val="0"/>
          <c:showBubbleSize val="0"/>
        </c:dLbls>
        <c:axId val="131711167"/>
        <c:axId val="1561257967"/>
      </c:scatterChart>
      <c:valAx>
        <c:axId val="131711167"/>
        <c:scaling>
          <c:orientation val="minMax"/>
          <c:max val="6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900">
                    <a:solidFill>
                      <a:sysClr val="windowText" lastClr="000000"/>
                    </a:solidFill>
                    <a:latin typeface="Arial" panose="020B0604020202020204" pitchFamily="34" charset="0"/>
                    <a:cs typeface="Arial" panose="020B0604020202020204" pitchFamily="34" charset="0"/>
                  </a:rPr>
                  <a:t>Holding time [min]</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crossAx val="1561257967"/>
        <c:crosses val="autoZero"/>
        <c:crossBetween val="midCat"/>
        <c:majorUnit val="10"/>
      </c:valAx>
      <c:valAx>
        <c:axId val="15612579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it-IT" sz="900">
                    <a:solidFill>
                      <a:sysClr val="windowText" lastClr="000000"/>
                    </a:solidFill>
                    <a:latin typeface="Arial" panose="020B0604020202020204" pitchFamily="34" charset="0"/>
                    <a:cs typeface="Arial" panose="020B0604020202020204" pitchFamily="34" charset="0"/>
                  </a:rPr>
                  <a:t>Biochar</a:t>
                </a:r>
                <a:r>
                  <a:rPr lang="it-IT" sz="900" baseline="0">
                    <a:solidFill>
                      <a:sysClr val="windowText" lastClr="000000"/>
                    </a:solidFill>
                    <a:latin typeface="Arial" panose="020B0604020202020204" pitchFamily="34" charset="0"/>
                    <a:cs typeface="Arial" panose="020B0604020202020204" pitchFamily="34" charset="0"/>
                  </a:rPr>
                  <a:t> yield [% d.b.]</a:t>
                </a:r>
                <a:endParaRPr lang="it-IT" sz="90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3.3333333333333333E-2"/>
              <c:y val="0.21341034114197743"/>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title>
        <c:numFmt formatCode="0%"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crossAx val="131711167"/>
        <c:crosses val="autoZero"/>
        <c:crossBetween val="midCat"/>
      </c:valAx>
      <c:spPr>
        <a:noFill/>
        <a:ln>
          <a:noFill/>
        </a:ln>
        <a:effectLst/>
      </c:spPr>
    </c:plotArea>
    <c:legend>
      <c:legendPos val="b"/>
      <c:layout>
        <c:manualLayout>
          <c:xMode val="edge"/>
          <c:yMode val="edge"/>
          <c:x val="0.63106962145195766"/>
          <c:y val="0.51282974650618962"/>
          <c:w val="0.28820286659316424"/>
          <c:h val="0.22020273444010646"/>
        </c:manualLayout>
      </c:layout>
      <c:overlay val="0"/>
      <c:spPr>
        <a:solidFill>
          <a:schemeClr val="bg1"/>
        </a:solidFill>
        <a:ln>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it-IT"/>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498399040326145"/>
          <c:y val="9.2436826467675356E-2"/>
          <c:w val="0.72459236409881767"/>
          <c:h val="0.73796230016702458"/>
        </c:manualLayout>
      </c:layout>
      <c:scatterChart>
        <c:scatterStyle val="lineMarker"/>
        <c:varyColors val="0"/>
        <c:ser>
          <c:idx val="0"/>
          <c:order val="0"/>
          <c:tx>
            <c:v>280 °C</c:v>
          </c:tx>
          <c:spPr>
            <a:ln w="9525" cap="rnd">
              <a:solidFill>
                <a:schemeClr val="accent1"/>
              </a:solidFill>
              <a:prstDash val="dash"/>
              <a:round/>
            </a:ln>
            <a:effectLst/>
          </c:spPr>
          <c:marker>
            <c:symbol val="circle"/>
            <c:size val="5"/>
            <c:spPr>
              <a:solidFill>
                <a:schemeClr val="accent1"/>
              </a:solidFill>
              <a:ln w="6350">
                <a:solidFill>
                  <a:schemeClr val="accent1"/>
                </a:solidFill>
              </a:ln>
              <a:effectLst/>
            </c:spPr>
          </c:marker>
          <c:xVal>
            <c:numRef>
              <c:f>(IConBM2024!$L$2,IConBM2024!$N$2,IConBM2024!$O$2,IConBM2024!$Q$2)</c:f>
              <c:numCache>
                <c:formatCode>General</c:formatCode>
                <c:ptCount val="4"/>
                <c:pt idx="0">
                  <c:v>0</c:v>
                </c:pt>
                <c:pt idx="1">
                  <c:v>10</c:v>
                </c:pt>
                <c:pt idx="2">
                  <c:v>20</c:v>
                </c:pt>
                <c:pt idx="3">
                  <c:v>35</c:v>
                </c:pt>
              </c:numCache>
            </c:numRef>
          </c:xVal>
          <c:yVal>
            <c:numRef>
              <c:f>(IConBM2024!$L$15,IConBM2024!$N$15,IConBM2024!$O$15,IConBM2024!$Q$15)</c:f>
              <c:numCache>
                <c:formatCode>General</c:formatCode>
                <c:ptCount val="4"/>
                <c:pt idx="0">
                  <c:v>0.25866627143786242</c:v>
                </c:pt>
                <c:pt idx="1">
                  <c:v>0.19320253547967214</c:v>
                </c:pt>
                <c:pt idx="2">
                  <c:v>0.14964341130053813</c:v>
                </c:pt>
                <c:pt idx="3">
                  <c:v>0.12212116792498241</c:v>
                </c:pt>
              </c:numCache>
            </c:numRef>
          </c:yVal>
          <c:smooth val="0"/>
          <c:extLst>
            <c:ext xmlns:c16="http://schemas.microsoft.com/office/drawing/2014/chart" uri="{C3380CC4-5D6E-409C-BE32-E72D297353CC}">
              <c16:uniqueId val="{00000000-1849-437B-B3A7-CDA304C56827}"/>
            </c:ext>
          </c:extLst>
        </c:ser>
        <c:ser>
          <c:idx val="1"/>
          <c:order val="1"/>
          <c:tx>
            <c:v>300 °C</c:v>
          </c:tx>
          <c:spPr>
            <a:ln w="9525" cap="rnd">
              <a:solidFill>
                <a:schemeClr val="accent6"/>
              </a:solidFill>
              <a:prstDash val="dash"/>
              <a:round/>
            </a:ln>
            <a:effectLst/>
          </c:spPr>
          <c:marker>
            <c:symbol val="circle"/>
            <c:size val="5"/>
            <c:spPr>
              <a:solidFill>
                <a:schemeClr val="accent6"/>
              </a:solidFill>
              <a:ln w="9525">
                <a:noFill/>
              </a:ln>
              <a:effectLst/>
            </c:spPr>
          </c:marker>
          <c:xVal>
            <c:numRef>
              <c:f>(IConBM2024!$L$2,IConBM2024!$N$2,IConBM2024!$O$2,IConBM2024!$P$2,IConBM2024!$Q$2,IConBM2024!$R$2)</c:f>
              <c:numCache>
                <c:formatCode>General</c:formatCode>
                <c:ptCount val="6"/>
                <c:pt idx="0">
                  <c:v>0</c:v>
                </c:pt>
                <c:pt idx="1">
                  <c:v>10</c:v>
                </c:pt>
                <c:pt idx="2">
                  <c:v>20</c:v>
                </c:pt>
                <c:pt idx="3">
                  <c:v>25</c:v>
                </c:pt>
                <c:pt idx="4">
                  <c:v>35</c:v>
                </c:pt>
                <c:pt idx="5">
                  <c:v>60</c:v>
                </c:pt>
              </c:numCache>
            </c:numRef>
          </c:xVal>
          <c:yVal>
            <c:numRef>
              <c:f>(IConBM2024!$L$16,IConBM2024!$N$16,IConBM2024!$O$16,IConBM2024!$P$16,IConBM2024!$Q$16,IConBM2024!$R$16)</c:f>
              <c:numCache>
                <c:formatCode>General</c:formatCode>
                <c:ptCount val="6"/>
                <c:pt idx="0">
                  <c:v>0.22439084904534254</c:v>
                </c:pt>
                <c:pt idx="1">
                  <c:v>0.16762727711682254</c:v>
                </c:pt>
                <c:pt idx="2">
                  <c:v>0.16326293354814778</c:v>
                </c:pt>
                <c:pt idx="3">
                  <c:v>0.10491801406615388</c:v>
                </c:pt>
                <c:pt idx="4">
                  <c:v>0.13059162533452789</c:v>
                </c:pt>
                <c:pt idx="5">
                  <c:v>0.11578165488926304</c:v>
                </c:pt>
              </c:numCache>
            </c:numRef>
          </c:yVal>
          <c:smooth val="0"/>
          <c:extLst>
            <c:ext xmlns:c16="http://schemas.microsoft.com/office/drawing/2014/chart" uri="{C3380CC4-5D6E-409C-BE32-E72D297353CC}">
              <c16:uniqueId val="{00000001-1849-437B-B3A7-CDA304C56827}"/>
            </c:ext>
          </c:extLst>
        </c:ser>
        <c:ser>
          <c:idx val="2"/>
          <c:order val="2"/>
          <c:tx>
            <c:v>330 °C</c:v>
          </c:tx>
          <c:spPr>
            <a:ln w="9525" cap="rnd">
              <a:solidFill>
                <a:schemeClr val="accent2"/>
              </a:solidFill>
              <a:prstDash val="dash"/>
              <a:round/>
            </a:ln>
            <a:effectLst/>
          </c:spPr>
          <c:marker>
            <c:symbol val="circle"/>
            <c:size val="5"/>
            <c:spPr>
              <a:solidFill>
                <a:schemeClr val="accent2"/>
              </a:solidFill>
              <a:ln w="9525">
                <a:noFill/>
              </a:ln>
              <a:effectLst/>
            </c:spPr>
          </c:marker>
          <c:xVal>
            <c:numRef>
              <c:f>IConBM2024!$L$2:$Q$2</c:f>
              <c:numCache>
                <c:formatCode>General</c:formatCode>
                <c:ptCount val="6"/>
                <c:pt idx="0">
                  <c:v>0</c:v>
                </c:pt>
                <c:pt idx="1">
                  <c:v>5</c:v>
                </c:pt>
                <c:pt idx="2">
                  <c:v>10</c:v>
                </c:pt>
                <c:pt idx="3">
                  <c:v>20</c:v>
                </c:pt>
                <c:pt idx="4">
                  <c:v>25</c:v>
                </c:pt>
                <c:pt idx="5">
                  <c:v>35</c:v>
                </c:pt>
              </c:numCache>
            </c:numRef>
          </c:xVal>
          <c:yVal>
            <c:numRef>
              <c:f>(IConBM2024!$L$17,IConBM2024!$M$17,IConBM2024!$N$17,IConBM2024!$O$17,IConBM2024!$P$17,IConBM2024!$Q$17)</c:f>
              <c:numCache>
                <c:formatCode>General</c:formatCode>
                <c:ptCount val="6"/>
                <c:pt idx="0">
                  <c:v>0.17606944227980062</c:v>
                </c:pt>
                <c:pt idx="1">
                  <c:v>0.13923772196842693</c:v>
                </c:pt>
                <c:pt idx="2">
                  <c:v>0.16377502070079594</c:v>
                </c:pt>
                <c:pt idx="3">
                  <c:v>0.14834696911186832</c:v>
                </c:pt>
                <c:pt idx="4">
                  <c:v>0.12413567499159826</c:v>
                </c:pt>
                <c:pt idx="5">
                  <c:v>0.11220590992843886</c:v>
                </c:pt>
              </c:numCache>
            </c:numRef>
          </c:yVal>
          <c:smooth val="0"/>
          <c:extLst>
            <c:ext xmlns:c16="http://schemas.microsoft.com/office/drawing/2014/chart" uri="{C3380CC4-5D6E-409C-BE32-E72D297353CC}">
              <c16:uniqueId val="{00000002-1849-437B-B3A7-CDA304C56827}"/>
            </c:ext>
          </c:extLst>
        </c:ser>
        <c:dLbls>
          <c:showLegendKey val="0"/>
          <c:showVal val="0"/>
          <c:showCatName val="0"/>
          <c:showSerName val="0"/>
          <c:showPercent val="0"/>
          <c:showBubbleSize val="0"/>
        </c:dLbls>
        <c:axId val="131711167"/>
        <c:axId val="1561257967"/>
      </c:scatterChart>
      <c:valAx>
        <c:axId val="131711167"/>
        <c:scaling>
          <c:orientation val="minMax"/>
          <c:max val="6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900">
                    <a:solidFill>
                      <a:sysClr val="windowText" lastClr="000000"/>
                    </a:solidFill>
                    <a:latin typeface="Arial" panose="020B0604020202020204" pitchFamily="34" charset="0"/>
                    <a:cs typeface="Arial" panose="020B0604020202020204" pitchFamily="34" charset="0"/>
                  </a:rPr>
                  <a:t>Holding time [min]</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crossAx val="1561257967"/>
        <c:crosses val="autoZero"/>
        <c:crossBetween val="midCat"/>
        <c:majorUnit val="10"/>
      </c:valAx>
      <c:valAx>
        <c:axId val="15612579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it-IT" sz="900" baseline="0">
                    <a:solidFill>
                      <a:sysClr val="windowText" lastClr="000000"/>
                    </a:solidFill>
                    <a:latin typeface="Arial" panose="020B0604020202020204" pitchFamily="34" charset="0"/>
                    <a:cs typeface="Arial" panose="020B0604020202020204" pitchFamily="34" charset="0"/>
                  </a:rPr>
                  <a:t>Soluble organics yield [% d.b.]</a:t>
                </a:r>
                <a:endParaRPr lang="it-IT" sz="90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2.8751612234037761E-2"/>
              <c:y val="0.15468895078922934"/>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title>
        <c:numFmt formatCode="0%"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crossAx val="131711167"/>
        <c:crosses val="autoZero"/>
        <c:crossBetween val="midCat"/>
      </c:valAx>
      <c:spPr>
        <a:noFill/>
        <a:ln>
          <a:noFill/>
        </a:ln>
        <a:effectLst/>
      </c:spPr>
    </c:plotArea>
    <c:legend>
      <c:legendPos val="b"/>
      <c:layout>
        <c:manualLayout>
          <c:xMode val="edge"/>
          <c:yMode val="edge"/>
          <c:x val="0.60473920141425619"/>
          <c:y val="0.14508284964820445"/>
          <c:w val="0.31042382588774342"/>
          <c:h val="0.22318819352199321"/>
        </c:manualLayout>
      </c:layout>
      <c:overlay val="0"/>
      <c:spPr>
        <a:solidFill>
          <a:schemeClr val="bg1"/>
        </a:solidFill>
        <a:ln>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it-IT"/>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498399040326145"/>
          <c:y val="9.2436826467675356E-2"/>
          <c:w val="0.72459236409881767"/>
          <c:h val="0.73796230016702458"/>
        </c:manualLayout>
      </c:layout>
      <c:scatterChart>
        <c:scatterStyle val="lineMarker"/>
        <c:varyColors val="0"/>
        <c:ser>
          <c:idx val="0"/>
          <c:order val="0"/>
          <c:tx>
            <c:v>280 °C</c:v>
          </c:tx>
          <c:spPr>
            <a:ln w="9525" cap="rnd">
              <a:solidFill>
                <a:schemeClr val="accent1"/>
              </a:solidFill>
              <a:prstDash val="dash"/>
              <a:round/>
            </a:ln>
            <a:effectLst/>
          </c:spPr>
          <c:marker>
            <c:symbol val="circle"/>
            <c:size val="5"/>
            <c:spPr>
              <a:solidFill>
                <a:schemeClr val="accent1"/>
              </a:solidFill>
              <a:ln w="6350">
                <a:solidFill>
                  <a:schemeClr val="accent1"/>
                </a:solidFill>
              </a:ln>
              <a:effectLst/>
            </c:spPr>
          </c:marker>
          <c:xVal>
            <c:numRef>
              <c:f>(IConBM2024!$L$2,IConBM2024!$N$2,IConBM2024!$O$2,IConBM2024!$Q$2)</c:f>
              <c:numCache>
                <c:formatCode>General</c:formatCode>
                <c:ptCount val="4"/>
                <c:pt idx="0">
                  <c:v>0</c:v>
                </c:pt>
                <c:pt idx="1">
                  <c:v>10</c:v>
                </c:pt>
                <c:pt idx="2">
                  <c:v>20</c:v>
                </c:pt>
                <c:pt idx="3">
                  <c:v>35</c:v>
                </c:pt>
              </c:numCache>
            </c:numRef>
          </c:xVal>
          <c:yVal>
            <c:numRef>
              <c:f>(IConBM2024!$L$21,IConBM2024!$N$21,IConBM2024!$O$21,IConBM2024!$Q$21)</c:f>
              <c:numCache>
                <c:formatCode>General</c:formatCode>
                <c:ptCount val="4"/>
                <c:pt idx="0">
                  <c:v>0.1057</c:v>
                </c:pt>
                <c:pt idx="1">
                  <c:v>0.13</c:v>
                </c:pt>
                <c:pt idx="2">
                  <c:v>0.17289951393712857</c:v>
                </c:pt>
                <c:pt idx="3">
                  <c:v>0.14000000000000001</c:v>
                </c:pt>
              </c:numCache>
            </c:numRef>
          </c:yVal>
          <c:smooth val="0"/>
          <c:extLst>
            <c:ext xmlns:c16="http://schemas.microsoft.com/office/drawing/2014/chart" uri="{C3380CC4-5D6E-409C-BE32-E72D297353CC}">
              <c16:uniqueId val="{00000000-80BC-409C-AB18-4490CCF42F37}"/>
            </c:ext>
          </c:extLst>
        </c:ser>
        <c:ser>
          <c:idx val="1"/>
          <c:order val="1"/>
          <c:tx>
            <c:v>300 °C</c:v>
          </c:tx>
          <c:spPr>
            <a:ln w="9525" cap="rnd">
              <a:solidFill>
                <a:schemeClr val="accent6"/>
              </a:solidFill>
              <a:prstDash val="dash"/>
              <a:round/>
            </a:ln>
            <a:effectLst/>
          </c:spPr>
          <c:marker>
            <c:symbol val="circle"/>
            <c:size val="5"/>
            <c:spPr>
              <a:solidFill>
                <a:schemeClr val="accent6"/>
              </a:solidFill>
              <a:ln w="9525">
                <a:noFill/>
              </a:ln>
              <a:effectLst/>
            </c:spPr>
          </c:marker>
          <c:xVal>
            <c:numRef>
              <c:f>(IConBM2024!$L$2,IConBM2024!$N$2,IConBM2024!$O$2,IConBM2024!$P$2,IConBM2024!$Q$2,IConBM2024!$R$2)</c:f>
              <c:numCache>
                <c:formatCode>General</c:formatCode>
                <c:ptCount val="6"/>
                <c:pt idx="0">
                  <c:v>0</c:v>
                </c:pt>
                <c:pt idx="1">
                  <c:v>10</c:v>
                </c:pt>
                <c:pt idx="2">
                  <c:v>20</c:v>
                </c:pt>
                <c:pt idx="3">
                  <c:v>25</c:v>
                </c:pt>
                <c:pt idx="4">
                  <c:v>35</c:v>
                </c:pt>
                <c:pt idx="5">
                  <c:v>60</c:v>
                </c:pt>
              </c:numCache>
            </c:numRef>
          </c:xVal>
          <c:yVal>
            <c:numRef>
              <c:f>(IConBM2024!$L$22,IConBM2024!$N$22:$R$22)</c:f>
              <c:numCache>
                <c:formatCode>General</c:formatCode>
                <c:ptCount val="6"/>
                <c:pt idx="0">
                  <c:v>0.14599999999999999</c:v>
                </c:pt>
                <c:pt idx="1">
                  <c:v>0.16700000000000001</c:v>
                </c:pt>
                <c:pt idx="2">
                  <c:v>0.16339999999999999</c:v>
                </c:pt>
                <c:pt idx="3">
                  <c:v>0.14499999999999999</c:v>
                </c:pt>
                <c:pt idx="4">
                  <c:v>0.17524019215372291</c:v>
                </c:pt>
                <c:pt idx="5">
                  <c:v>0.14000000000000001</c:v>
                </c:pt>
              </c:numCache>
            </c:numRef>
          </c:yVal>
          <c:smooth val="0"/>
          <c:extLst>
            <c:ext xmlns:c16="http://schemas.microsoft.com/office/drawing/2014/chart" uri="{C3380CC4-5D6E-409C-BE32-E72D297353CC}">
              <c16:uniqueId val="{00000001-80BC-409C-AB18-4490CCF42F37}"/>
            </c:ext>
          </c:extLst>
        </c:ser>
        <c:ser>
          <c:idx val="2"/>
          <c:order val="2"/>
          <c:tx>
            <c:v>330 °C</c:v>
          </c:tx>
          <c:spPr>
            <a:ln w="9525" cap="rnd">
              <a:solidFill>
                <a:schemeClr val="accent2"/>
              </a:solidFill>
              <a:prstDash val="dash"/>
              <a:round/>
            </a:ln>
            <a:effectLst/>
          </c:spPr>
          <c:marker>
            <c:symbol val="circle"/>
            <c:size val="5"/>
            <c:spPr>
              <a:solidFill>
                <a:schemeClr val="accent2"/>
              </a:solidFill>
              <a:ln w="9525">
                <a:noFill/>
              </a:ln>
              <a:effectLst/>
            </c:spPr>
          </c:marker>
          <c:xVal>
            <c:numRef>
              <c:f>IConBM2024!$L$2:$Q$2</c:f>
              <c:numCache>
                <c:formatCode>General</c:formatCode>
                <c:ptCount val="6"/>
                <c:pt idx="0">
                  <c:v>0</c:v>
                </c:pt>
                <c:pt idx="1">
                  <c:v>5</c:v>
                </c:pt>
                <c:pt idx="2">
                  <c:v>10</c:v>
                </c:pt>
                <c:pt idx="3">
                  <c:v>20</c:v>
                </c:pt>
                <c:pt idx="4">
                  <c:v>25</c:v>
                </c:pt>
                <c:pt idx="5">
                  <c:v>35</c:v>
                </c:pt>
              </c:numCache>
            </c:numRef>
          </c:xVal>
          <c:yVal>
            <c:numRef>
              <c:f>IConBM2024!$L$23:$Q$23</c:f>
              <c:numCache>
                <c:formatCode>General</c:formatCode>
                <c:ptCount val="6"/>
                <c:pt idx="0">
                  <c:v>0.13730000000000001</c:v>
                </c:pt>
                <c:pt idx="1">
                  <c:v>0.15230183454484092</c:v>
                </c:pt>
                <c:pt idx="2">
                  <c:v>0.15859999999999999</c:v>
                </c:pt>
                <c:pt idx="3">
                  <c:v>0.1467</c:v>
                </c:pt>
                <c:pt idx="4">
                  <c:v>0.184</c:v>
                </c:pt>
                <c:pt idx="5">
                  <c:v>0.218</c:v>
                </c:pt>
              </c:numCache>
            </c:numRef>
          </c:yVal>
          <c:smooth val="0"/>
          <c:extLst>
            <c:ext xmlns:c16="http://schemas.microsoft.com/office/drawing/2014/chart" uri="{C3380CC4-5D6E-409C-BE32-E72D297353CC}">
              <c16:uniqueId val="{00000002-80BC-409C-AB18-4490CCF42F37}"/>
            </c:ext>
          </c:extLst>
        </c:ser>
        <c:dLbls>
          <c:showLegendKey val="0"/>
          <c:showVal val="0"/>
          <c:showCatName val="0"/>
          <c:showSerName val="0"/>
          <c:showPercent val="0"/>
          <c:showBubbleSize val="0"/>
        </c:dLbls>
        <c:axId val="131711167"/>
        <c:axId val="1561257967"/>
      </c:scatterChart>
      <c:valAx>
        <c:axId val="131711167"/>
        <c:scaling>
          <c:orientation val="minMax"/>
          <c:max val="6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900">
                    <a:solidFill>
                      <a:sysClr val="windowText" lastClr="000000"/>
                    </a:solidFill>
                    <a:latin typeface="Arial" panose="020B0604020202020204" pitchFamily="34" charset="0"/>
                    <a:cs typeface="Arial" panose="020B0604020202020204" pitchFamily="34" charset="0"/>
                  </a:rPr>
                  <a:t>Holding time [min]</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crossAx val="1561257967"/>
        <c:crosses val="autoZero"/>
        <c:crossBetween val="midCat"/>
        <c:majorUnit val="10"/>
      </c:valAx>
      <c:valAx>
        <c:axId val="15612579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it-IT" sz="900" baseline="0">
                    <a:solidFill>
                      <a:sysClr val="windowText" lastClr="000000"/>
                    </a:solidFill>
                    <a:latin typeface="Arial" panose="020B0604020202020204" pitchFamily="34" charset="0"/>
                    <a:cs typeface="Arial" panose="020B0604020202020204" pitchFamily="34" charset="0"/>
                  </a:rPr>
                  <a:t>Gaseous phase yield [% d.b.]</a:t>
                </a:r>
                <a:endParaRPr lang="it-IT" sz="90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3.3333513723155739E-2"/>
              <c:y val="0.15770013427987239"/>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title>
        <c:numFmt formatCode="0%"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crossAx val="131711167"/>
        <c:crosses val="autoZero"/>
        <c:crossBetween val="midCat"/>
      </c:valAx>
      <c:spPr>
        <a:noFill/>
        <a:ln>
          <a:noFill/>
        </a:ln>
        <a:effectLst/>
      </c:spPr>
    </c:plotArea>
    <c:legend>
      <c:legendPos val="b"/>
      <c:layout>
        <c:manualLayout>
          <c:xMode val="edge"/>
          <c:yMode val="edge"/>
          <c:x val="0.59460201495431642"/>
          <c:y val="0.49467591122682247"/>
          <c:w val="0.30126002290950743"/>
          <c:h val="0.22161784094536929"/>
        </c:manualLayout>
      </c:layout>
      <c:overlay val="0"/>
      <c:spPr>
        <a:solidFill>
          <a:schemeClr val="bg1"/>
        </a:solidFill>
        <a:ln>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it-IT"/>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0.01</cdr:x>
      <cdr:y>0.01868</cdr:y>
    </cdr:from>
    <cdr:to>
      <cdr:x>0.21</cdr:x>
      <cdr:y>0.31756</cdr:y>
    </cdr:to>
    <cdr:sp macro="" textlink="">
      <cdr:nvSpPr>
        <cdr:cNvPr id="2" name="CasellaDiTesto 1">
          <a:extLst xmlns:a="http://schemas.openxmlformats.org/drawingml/2006/main">
            <a:ext uri="{FF2B5EF4-FFF2-40B4-BE49-F238E27FC236}">
              <a16:creationId xmlns:a16="http://schemas.microsoft.com/office/drawing/2014/main" id="{93C94607-8369-0BA4-EFAA-76C7637491C9}"/>
            </a:ext>
          </a:extLst>
        </cdr:cNvPr>
        <cdr:cNvSpPr txBox="1"/>
      </cdr:nvSpPr>
      <cdr:spPr>
        <a:xfrm xmlns:a="http://schemas.openxmlformats.org/drawingml/2006/main">
          <a:off x="45720" y="571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t-IT" sz="900">
              <a:latin typeface="Arial" panose="020B0604020202020204" pitchFamily="34" charset="0"/>
              <a:cs typeface="Arial" panose="020B0604020202020204" pitchFamily="34" charset="0"/>
            </a:rPr>
            <a:t>(a)</a:t>
          </a:r>
        </a:p>
      </cdr:txBody>
    </cdr:sp>
  </cdr:relSizeAnchor>
</c:userShapes>
</file>

<file path=word/drawings/drawing2.xml><?xml version="1.0" encoding="utf-8"?>
<c:userShapes xmlns:c="http://schemas.openxmlformats.org/drawingml/2006/chart">
  <cdr:relSizeAnchor xmlns:cdr="http://schemas.openxmlformats.org/drawingml/2006/chartDrawing">
    <cdr:from>
      <cdr:x>0.01</cdr:x>
      <cdr:y>0.01868</cdr:y>
    </cdr:from>
    <cdr:to>
      <cdr:x>0.21</cdr:x>
      <cdr:y>0.31756</cdr:y>
    </cdr:to>
    <cdr:sp macro="" textlink="">
      <cdr:nvSpPr>
        <cdr:cNvPr id="2" name="CasellaDiTesto 1">
          <a:extLst xmlns:a="http://schemas.openxmlformats.org/drawingml/2006/main">
            <a:ext uri="{FF2B5EF4-FFF2-40B4-BE49-F238E27FC236}">
              <a16:creationId xmlns:a16="http://schemas.microsoft.com/office/drawing/2014/main" id="{93C94607-8369-0BA4-EFAA-76C7637491C9}"/>
            </a:ext>
          </a:extLst>
        </cdr:cNvPr>
        <cdr:cNvSpPr txBox="1"/>
      </cdr:nvSpPr>
      <cdr:spPr>
        <a:xfrm xmlns:a="http://schemas.openxmlformats.org/drawingml/2006/main">
          <a:off x="45720" y="571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t-IT" sz="900">
              <a:latin typeface="Arial" panose="020B0604020202020204" pitchFamily="34" charset="0"/>
              <a:cs typeface="Arial" panose="020B0604020202020204" pitchFamily="34" charset="0"/>
            </a:rPr>
            <a:t>(b)</a:t>
          </a:r>
        </a:p>
      </cdr:txBody>
    </cdr:sp>
  </cdr:relSizeAnchor>
</c:userShapes>
</file>

<file path=word/drawings/drawing3.xml><?xml version="1.0" encoding="utf-8"?>
<c:userShapes xmlns:c="http://schemas.openxmlformats.org/drawingml/2006/chart">
  <cdr:relSizeAnchor xmlns:cdr="http://schemas.openxmlformats.org/drawingml/2006/chartDrawing">
    <cdr:from>
      <cdr:x>0.01</cdr:x>
      <cdr:y>0.01868</cdr:y>
    </cdr:from>
    <cdr:to>
      <cdr:x>0.21</cdr:x>
      <cdr:y>0.31756</cdr:y>
    </cdr:to>
    <cdr:sp macro="" textlink="">
      <cdr:nvSpPr>
        <cdr:cNvPr id="2" name="CasellaDiTesto 1">
          <a:extLst xmlns:a="http://schemas.openxmlformats.org/drawingml/2006/main">
            <a:ext uri="{FF2B5EF4-FFF2-40B4-BE49-F238E27FC236}">
              <a16:creationId xmlns:a16="http://schemas.microsoft.com/office/drawing/2014/main" id="{93C94607-8369-0BA4-EFAA-76C7637491C9}"/>
            </a:ext>
          </a:extLst>
        </cdr:cNvPr>
        <cdr:cNvSpPr txBox="1"/>
      </cdr:nvSpPr>
      <cdr:spPr>
        <a:xfrm xmlns:a="http://schemas.openxmlformats.org/drawingml/2006/main">
          <a:off x="45720" y="571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t-IT" sz="900">
              <a:latin typeface="Arial" panose="020B0604020202020204" pitchFamily="34" charset="0"/>
              <a:cs typeface="Arial" panose="020B0604020202020204" pitchFamily="34" charset="0"/>
            </a:rPr>
            <a:t>(c)</a:t>
          </a:r>
        </a:p>
      </cdr:txBody>
    </cdr:sp>
  </cdr:relSizeAnchor>
</c:userShapes>
</file>

<file path=word/drawings/drawing4.xml><?xml version="1.0" encoding="utf-8"?>
<c:userShapes xmlns:c="http://schemas.openxmlformats.org/drawingml/2006/chart">
  <cdr:relSizeAnchor xmlns:cdr="http://schemas.openxmlformats.org/drawingml/2006/chartDrawing">
    <cdr:from>
      <cdr:x>0.01</cdr:x>
      <cdr:y>0.01868</cdr:y>
    </cdr:from>
    <cdr:to>
      <cdr:x>0.21</cdr:x>
      <cdr:y>0.31756</cdr:y>
    </cdr:to>
    <cdr:sp macro="" textlink="">
      <cdr:nvSpPr>
        <cdr:cNvPr id="2" name="CasellaDiTesto 1">
          <a:extLst xmlns:a="http://schemas.openxmlformats.org/drawingml/2006/main">
            <a:ext uri="{FF2B5EF4-FFF2-40B4-BE49-F238E27FC236}">
              <a16:creationId xmlns:a16="http://schemas.microsoft.com/office/drawing/2014/main" id="{93C94607-8369-0BA4-EFAA-76C7637491C9}"/>
            </a:ext>
          </a:extLst>
        </cdr:cNvPr>
        <cdr:cNvSpPr txBox="1"/>
      </cdr:nvSpPr>
      <cdr:spPr>
        <a:xfrm xmlns:a="http://schemas.openxmlformats.org/drawingml/2006/main">
          <a:off x="45720" y="571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t-IT" sz="900">
              <a:latin typeface="Arial" panose="020B0604020202020204" pitchFamily="34" charset="0"/>
              <a:cs typeface="Arial" panose="020B0604020202020204" pitchFamily="34" charset="0"/>
            </a:rPr>
            <a:t>(d)</a:t>
          </a:r>
        </a:p>
      </cdr:txBody>
    </cdr:sp>
  </cdr:relSizeAnchor>
</c:userShape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27AAE-A11C-4D3D-BBD5-3C43F926D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3020</Words>
  <Characters>17214</Characters>
  <Application>Microsoft Office Word</Application>
  <DocSecurity>0</DocSecurity>
  <Lines>143</Lines>
  <Paragraphs>40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Alessandro Amadei</cp:lastModifiedBy>
  <cp:revision>3</cp:revision>
  <cp:lastPrinted>2015-05-12T18:31:00Z</cp:lastPrinted>
  <dcterms:created xsi:type="dcterms:W3CDTF">2024-02-27T15:31:00Z</dcterms:created>
  <dcterms:modified xsi:type="dcterms:W3CDTF">2024-03-12T09:05:00Z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