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997525">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proofErr w:type="gramStart"/>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997525">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997525">
        <w:trPr>
          <w:trHeight w:val="68"/>
          <w:jc w:val="center"/>
        </w:trPr>
        <w:tc>
          <w:tcPr>
            <w:tcW w:w="8782"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w:t>
            </w:r>
            <w:proofErr w:type="spellStart"/>
            <w:r w:rsidR="006A23E9" w:rsidRPr="00946B70">
              <w:rPr>
                <w:rFonts w:ascii="Tahoma" w:hAnsi="Tahoma" w:cs="Tahoma"/>
                <w:color w:val="000000"/>
                <w:sz w:val="14"/>
                <w:szCs w:val="14"/>
                <w:shd w:val="clear" w:color="auto" w:fill="FFFFFF"/>
              </w:rPr>
              <w:t>Tognotti</w:t>
            </w:r>
            <w:proofErr w:type="spellEnd"/>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Rubens Maciel Filho</w:t>
            </w:r>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 xml:space="preserve">Viatcheslav </w:t>
            </w:r>
            <w:proofErr w:type="spellStart"/>
            <w:r w:rsidR="006A23E9" w:rsidRPr="00946B70">
              <w:rPr>
                <w:rFonts w:ascii="Tahoma" w:hAnsi="Tahoma" w:cs="Tahoma"/>
                <w:color w:val="000000"/>
                <w:sz w:val="14"/>
                <w:szCs w:val="14"/>
              </w:rPr>
              <w:t>Kafarov</w:t>
            </w:r>
            <w:proofErr w:type="spellEnd"/>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19AF9E7F" w:rsidR="00E978D0" w:rsidRPr="00B57B36" w:rsidRDefault="00997525" w:rsidP="00DE3175">
      <w:pPr>
        <w:pStyle w:val="CETTitle"/>
        <w:jc w:val="left"/>
      </w:pPr>
      <w:r w:rsidRPr="00997525">
        <w:t xml:space="preserve">Biochar and Hydrochar Impact on the Anaerobic Digestion Process of Sewage Sludge </w:t>
      </w:r>
    </w:p>
    <w:p w14:paraId="0488FED2" w14:textId="2A7B95BB" w:rsidR="00B57E6F" w:rsidRPr="00294270" w:rsidRDefault="00936CAF" w:rsidP="00DB1435">
      <w:pPr>
        <w:pStyle w:val="CETAuthors"/>
      </w:pPr>
      <w:r w:rsidRPr="00294270">
        <w:t>A.</w:t>
      </w:r>
      <w:r w:rsidRPr="00294270">
        <w:tab/>
        <w:t>Capone</w:t>
      </w:r>
      <w:r w:rsidRPr="00294270">
        <w:rPr>
          <w:vertAlign w:val="superscript"/>
        </w:rPr>
        <w:t>a</w:t>
      </w:r>
      <w:r w:rsidR="00DB1435" w:rsidRPr="00294270">
        <w:rPr>
          <w:vertAlign w:val="superscript"/>
        </w:rPr>
        <w:t>*</w:t>
      </w:r>
      <w:r w:rsidRPr="00294270">
        <w:t>, S. Borowski</w:t>
      </w:r>
      <w:r w:rsidRPr="00294270">
        <w:rPr>
          <w:vertAlign w:val="superscript"/>
        </w:rPr>
        <w:t>b</w:t>
      </w:r>
      <w:r w:rsidRPr="00294270">
        <w:t>, E. Sobolewska</w:t>
      </w:r>
      <w:r w:rsidRPr="00294270">
        <w:rPr>
          <w:vertAlign w:val="superscript"/>
        </w:rPr>
        <w:t>b</w:t>
      </w:r>
      <w:r w:rsidRPr="00294270">
        <w:t>, L. Zaccariello</w:t>
      </w:r>
      <w:r w:rsidR="00DB1435" w:rsidRPr="00294270">
        <w:rPr>
          <w:vertAlign w:val="superscript"/>
        </w:rPr>
        <w:t>c</w:t>
      </w:r>
      <w:r w:rsidRPr="00294270">
        <w:t>, B. Morrone</w:t>
      </w:r>
      <w:r w:rsidR="00DB1435" w:rsidRPr="00294270">
        <w:rPr>
          <w:vertAlign w:val="superscript"/>
        </w:rPr>
        <w:t>a</w:t>
      </w:r>
    </w:p>
    <w:p w14:paraId="3388B898" w14:textId="04289239" w:rsidR="00335C35" w:rsidRDefault="00B57E6F" w:rsidP="00335C35">
      <w:pPr>
        <w:pStyle w:val="CETAddress"/>
      </w:pPr>
      <w:r w:rsidRPr="00B57B36">
        <w:rPr>
          <w:vertAlign w:val="superscript"/>
        </w:rPr>
        <w:t>a</w:t>
      </w:r>
      <w:r w:rsidR="00335C35">
        <w:t>Department of Engineering, University of Campania “Luigi Vanvitelli”, Aversa (Caserta), Italy</w:t>
      </w:r>
    </w:p>
    <w:p w14:paraId="1F1E6AE6" w14:textId="3E61E7B9" w:rsidR="00335C35" w:rsidRDefault="00335C35" w:rsidP="00335C35">
      <w:pPr>
        <w:pStyle w:val="CETAddress"/>
      </w:pPr>
      <w:r>
        <w:rPr>
          <w:vertAlign w:val="superscript"/>
        </w:rPr>
        <w:t>b</w:t>
      </w:r>
      <w:r>
        <w:t>Department of Environmental Biotechnology, University of Technology Engineering, Lodz, Poland</w:t>
      </w:r>
    </w:p>
    <w:p w14:paraId="6B2D21B3" w14:textId="5664CC95" w:rsidR="00B57E6F" w:rsidRPr="00B57B36" w:rsidRDefault="00335C35" w:rsidP="00335C35">
      <w:pPr>
        <w:pStyle w:val="CETAddress"/>
      </w:pPr>
      <w:r>
        <w:rPr>
          <w:vertAlign w:val="superscript"/>
        </w:rPr>
        <w:t>c</w:t>
      </w:r>
      <w:r>
        <w:t>Department DiSTABiF, University of Campania “Luigi Vanvitelli”, Caserta, Italy</w:t>
      </w:r>
      <w:r w:rsidR="00B57E6F" w:rsidRPr="00B57B36">
        <w:t xml:space="preserve"> </w:t>
      </w:r>
    </w:p>
    <w:p w14:paraId="73F1267A" w14:textId="06899D7C" w:rsidR="00B57E6F" w:rsidRPr="00B57B36" w:rsidRDefault="00335C35" w:rsidP="00B57E6F">
      <w:pPr>
        <w:pStyle w:val="CETemail"/>
      </w:pPr>
      <w:r>
        <w:t>annalinda</w:t>
      </w:r>
      <w:r w:rsidR="00B57E6F" w:rsidRPr="00B57B36">
        <w:t>.</w:t>
      </w:r>
      <w:r>
        <w:t>capone</w:t>
      </w:r>
      <w:r w:rsidR="00B57E6F" w:rsidRPr="00B57B36">
        <w:t>@</w:t>
      </w:r>
      <w:r>
        <w:t>unicampania</w:t>
      </w:r>
      <w:r w:rsidR="00B57E6F" w:rsidRPr="00B57B36">
        <w:t>.</w:t>
      </w:r>
      <w:r>
        <w:t>it</w:t>
      </w:r>
      <w:r w:rsidR="00B57E6F" w:rsidRPr="00B57B36">
        <w:t xml:space="preserve"> </w:t>
      </w:r>
    </w:p>
    <w:p w14:paraId="3DAC4154" w14:textId="116087BE" w:rsidR="00CD755F" w:rsidRPr="00122F3E" w:rsidRDefault="00D44E39" w:rsidP="00D44E39">
      <w:pPr>
        <w:pStyle w:val="CETBodytext"/>
        <w:rPr>
          <w:lang w:val="en-GB"/>
        </w:rPr>
      </w:pPr>
      <w:r w:rsidRPr="00122F3E">
        <w:rPr>
          <w:lang w:val="en-GB"/>
        </w:rPr>
        <w:t xml:space="preserve">Many studies have been conducted on the anaerobic digestion of sewage sludge due to </w:t>
      </w:r>
      <w:r w:rsidR="00BE1219">
        <w:rPr>
          <w:lang w:val="en-GB"/>
        </w:rPr>
        <w:t>its</w:t>
      </w:r>
      <w:r w:rsidR="00BE1219" w:rsidRPr="00122F3E">
        <w:rPr>
          <w:lang w:val="en-GB"/>
        </w:rPr>
        <w:t xml:space="preserve"> </w:t>
      </w:r>
      <w:r w:rsidRPr="00122F3E">
        <w:rPr>
          <w:lang w:val="en-GB"/>
        </w:rPr>
        <w:t xml:space="preserve">enormous amount to collect and dispose of. Different methods to improve the process of anaerobic digestion of sewage sludge have been investigated, focusing on the increase of biogas production. </w:t>
      </w:r>
    </w:p>
    <w:p w14:paraId="6893AF25" w14:textId="726C7225" w:rsidR="00600535" w:rsidRPr="00122F3E" w:rsidRDefault="00D44E39" w:rsidP="00D44E39">
      <w:pPr>
        <w:pStyle w:val="CETBodytext"/>
        <w:rPr>
          <w:lang w:val="en-GB"/>
        </w:rPr>
      </w:pPr>
      <w:r w:rsidRPr="00122F3E">
        <w:rPr>
          <w:lang w:val="en-GB"/>
        </w:rPr>
        <w:t xml:space="preserve">In this article, attention is focused </w:t>
      </w:r>
      <w:r w:rsidR="0054524C" w:rsidRPr="00122F3E">
        <w:rPr>
          <w:lang w:val="en-GB"/>
        </w:rPr>
        <w:t>on the use</w:t>
      </w:r>
      <w:r w:rsidR="001635B1" w:rsidRPr="00122F3E">
        <w:rPr>
          <w:lang w:val="en-GB"/>
        </w:rPr>
        <w:t xml:space="preserve"> of</w:t>
      </w:r>
      <w:r w:rsidRPr="00122F3E">
        <w:rPr>
          <w:lang w:val="en-GB"/>
        </w:rPr>
        <w:t xml:space="preserve"> two different carbon-rich products to boost the production of methane in the anaerobic digestion of sewage sludge. The investigation aims to underline the different outcomes that biochar and hydrochar show on methane yield. Both are carbon-rich products but there are differences in their properties and the processes from which they are derived. Biochar is a product of the pyrolysis treatment of biomass. This product can be different in composition and properties depending on the process conditions</w:t>
      </w:r>
      <w:r w:rsidR="001635B1" w:rsidRPr="00122F3E">
        <w:rPr>
          <w:lang w:val="en-GB"/>
        </w:rPr>
        <w:t>.</w:t>
      </w:r>
      <w:r w:rsidRPr="00122F3E">
        <w:rPr>
          <w:lang w:val="en-GB"/>
        </w:rPr>
        <w:t xml:space="preserve"> Hydrothermal Carbonization (HTC) is an important mid-temperature thermochemical process that converts biomass into hydrochar. </w:t>
      </w:r>
      <w:r w:rsidR="0098601F" w:rsidRPr="00122F3E">
        <w:rPr>
          <w:lang w:val="en-GB"/>
        </w:rPr>
        <w:t>T</w:t>
      </w:r>
      <w:r w:rsidRPr="00122F3E">
        <w:rPr>
          <w:lang w:val="en-GB"/>
        </w:rPr>
        <w:t xml:space="preserve">he solid HTC by-product </w:t>
      </w:r>
      <w:r w:rsidR="00122F3E" w:rsidRPr="00122F3E">
        <w:rPr>
          <w:lang w:val="en-GB"/>
        </w:rPr>
        <w:t>seems</w:t>
      </w:r>
      <w:r w:rsidRPr="00122F3E">
        <w:rPr>
          <w:lang w:val="en-GB"/>
        </w:rPr>
        <w:t xml:space="preserve"> to be </w:t>
      </w:r>
      <w:r w:rsidR="002361CC">
        <w:rPr>
          <w:lang w:val="en-GB"/>
        </w:rPr>
        <w:t>a good accelerator</w:t>
      </w:r>
      <w:r w:rsidRPr="00122F3E">
        <w:rPr>
          <w:lang w:val="en-GB"/>
        </w:rPr>
        <w:t xml:space="preserve"> of methane production. The tests are performed in batch reactors, with 0.5, 2, and 5 grams of </w:t>
      </w:r>
      <w:r w:rsidR="00122F3E" w:rsidRPr="00122F3E">
        <w:rPr>
          <w:lang w:val="en-GB"/>
        </w:rPr>
        <w:t xml:space="preserve">the two </w:t>
      </w:r>
      <w:r w:rsidRPr="00122F3E">
        <w:rPr>
          <w:lang w:val="en-GB"/>
        </w:rPr>
        <w:t>products added to 60 grams of inoculum and 100 grams of sludge, based on the total volatile solids.</w:t>
      </w:r>
      <w:r w:rsidR="00CD755F" w:rsidRPr="00122F3E">
        <w:rPr>
          <w:lang w:val="en-GB"/>
        </w:rPr>
        <w:t xml:space="preserve"> </w:t>
      </w:r>
      <w:r w:rsidRPr="00122F3E">
        <w:rPr>
          <w:lang w:val="en-GB"/>
        </w:rPr>
        <w:t>Mesophilic Anaerobic Digestion was adopted, at a temperature of 35°C, for 34 days, until methane production was stopped. pH is an important parameter for the process, its value being maintained in the 6.8-8 range. The results show a significant increase in methane yield compared to the simple anaerobic digestion process.</w:t>
      </w:r>
    </w:p>
    <w:p w14:paraId="476B2F2E" w14:textId="77777777" w:rsidR="00600535" w:rsidRPr="00B57B36" w:rsidRDefault="00600535" w:rsidP="00600535">
      <w:pPr>
        <w:pStyle w:val="CETHeading1"/>
        <w:rPr>
          <w:lang w:val="en-GB"/>
        </w:rPr>
      </w:pPr>
      <w:r w:rsidRPr="00B57B36">
        <w:rPr>
          <w:lang w:val="en-GB"/>
        </w:rPr>
        <w:t>Introduction</w:t>
      </w:r>
    </w:p>
    <w:p w14:paraId="30730428" w14:textId="406D4848" w:rsidR="00BA3B75" w:rsidRPr="00680342" w:rsidRDefault="00405EFB" w:rsidP="00BA3B75">
      <w:pPr>
        <w:pStyle w:val="CETBodytext"/>
        <w:rPr>
          <w:highlight w:val="magenta"/>
          <w:lang w:val="en-GB"/>
        </w:rPr>
      </w:pPr>
      <w:r w:rsidRPr="00405EFB">
        <w:rPr>
          <w:lang w:val="en-GB"/>
        </w:rPr>
        <w:t>The article highlights the significance of sewage sludge as a substantial portion of waste disposal. It emphasizes the potential drawbacks, including contaminants and pathogens, while noting its organic matter and essential nutrient content. The focus is on anaerobic digestion (AD) for energy recovery</w:t>
      </w:r>
      <w:r w:rsidR="00BE3763">
        <w:rPr>
          <w:lang w:val="en-GB"/>
        </w:rPr>
        <w:t xml:space="preserve"> and</w:t>
      </w:r>
      <w:r w:rsidRPr="00405EFB">
        <w:rPr>
          <w:lang w:val="en-GB"/>
        </w:rPr>
        <w:t xml:space="preserve"> the role of sewage sludge characteristics</w:t>
      </w:r>
      <w:r w:rsidR="005D186A">
        <w:rPr>
          <w:lang w:val="en-GB"/>
        </w:rPr>
        <w:t xml:space="preserve"> </w:t>
      </w:r>
      <w:sdt>
        <w:sdtPr>
          <w:rPr>
            <w:lang w:val="en-GB"/>
          </w:rPr>
          <w:id w:val="-231925214"/>
          <w:citation/>
        </w:sdtPr>
        <w:sdtContent>
          <w:r w:rsidR="00A35616">
            <w:rPr>
              <w:lang w:val="en-GB"/>
            </w:rPr>
            <w:fldChar w:fldCharType="begin"/>
          </w:r>
          <w:r w:rsidR="00A35616" w:rsidRPr="00A35616">
            <w:instrText xml:space="preserve"> CITATION Muh22 \l 1040 </w:instrText>
          </w:r>
          <w:r w:rsidR="00A35616">
            <w:rPr>
              <w:lang w:val="en-GB"/>
            </w:rPr>
            <w:fldChar w:fldCharType="separate"/>
          </w:r>
          <w:r w:rsidR="00927678">
            <w:rPr>
              <w:noProof/>
            </w:rPr>
            <w:t>(Khawer, et al., 2022)</w:t>
          </w:r>
          <w:r w:rsidR="00A35616">
            <w:rPr>
              <w:lang w:val="en-GB"/>
            </w:rPr>
            <w:fldChar w:fldCharType="end"/>
          </w:r>
        </w:sdtContent>
      </w:sdt>
      <w:r w:rsidRPr="00405EFB">
        <w:rPr>
          <w:lang w:val="en-GB"/>
        </w:rPr>
        <w:t>. The article introduces biochar (BC) as an additive to expedite AD, detailing its benefits in stabilizing the process and promoting methane production. Another approach involves hydrothermal carbonization (HTC) and the production of hydrochar</w:t>
      </w:r>
      <w:r w:rsidR="00356848">
        <w:rPr>
          <w:lang w:val="en-GB"/>
        </w:rPr>
        <w:t xml:space="preserve"> (HY)</w:t>
      </w:r>
      <w:r w:rsidRPr="00405EFB">
        <w:rPr>
          <w:lang w:val="en-GB"/>
        </w:rPr>
        <w:t>, with the combined AD+HTC process aiming to reduce sludge production and enhance biogas production</w:t>
      </w:r>
      <w:r w:rsidR="00A35616">
        <w:rPr>
          <w:lang w:val="en-GB"/>
        </w:rPr>
        <w:t xml:space="preserve"> </w:t>
      </w:r>
      <w:sdt>
        <w:sdtPr>
          <w:rPr>
            <w:lang w:val="en-GB"/>
          </w:rPr>
          <w:id w:val="-833763154"/>
          <w:citation/>
        </w:sdtPr>
        <w:sdtContent>
          <w:r w:rsidR="00A35616">
            <w:rPr>
              <w:lang w:val="en-GB"/>
            </w:rPr>
            <w:fldChar w:fldCharType="begin"/>
          </w:r>
          <w:r w:rsidR="00A35616" w:rsidRPr="00A35616">
            <w:instrText xml:space="preserve"> CITATION Rob20 \l 1040 </w:instrText>
          </w:r>
          <w:r w:rsidR="00A35616">
            <w:rPr>
              <w:lang w:val="en-GB"/>
            </w:rPr>
            <w:fldChar w:fldCharType="separate"/>
          </w:r>
          <w:r w:rsidR="00927678">
            <w:rPr>
              <w:noProof/>
            </w:rPr>
            <w:t>(Ferrentino, Merzari, Fiori, &amp; Andreottola, 2020)</w:t>
          </w:r>
          <w:r w:rsidR="00A35616">
            <w:rPr>
              <w:lang w:val="en-GB"/>
            </w:rPr>
            <w:fldChar w:fldCharType="end"/>
          </w:r>
        </w:sdtContent>
      </w:sdt>
      <w:r w:rsidRPr="00405EFB">
        <w:rPr>
          <w:lang w:val="en-GB"/>
        </w:rPr>
        <w:t xml:space="preserve">. The article explores and compares the impact of BC and </w:t>
      </w:r>
      <w:r w:rsidR="00356848">
        <w:rPr>
          <w:lang w:val="en-GB"/>
        </w:rPr>
        <w:t>HY</w:t>
      </w:r>
      <w:r w:rsidRPr="00405EFB">
        <w:rPr>
          <w:lang w:val="en-GB"/>
        </w:rPr>
        <w:t xml:space="preserve"> on sewage sludge anaerobic digestion</w:t>
      </w:r>
      <w:r w:rsidR="00E33FDA">
        <w:rPr>
          <w:lang w:val="en-GB"/>
        </w:rPr>
        <w:t xml:space="preserve">. </w:t>
      </w:r>
    </w:p>
    <w:p w14:paraId="61A9B77A" w14:textId="7AD73978" w:rsidR="00600535" w:rsidRPr="00B57B36" w:rsidRDefault="000E2C4D" w:rsidP="002E3540">
      <w:pPr>
        <w:pStyle w:val="CETheadingx"/>
      </w:pPr>
      <w:r>
        <w:t xml:space="preserve">Anaerobic Digestion </w:t>
      </w:r>
      <w:r w:rsidR="005968C3">
        <w:t>Process</w:t>
      </w:r>
    </w:p>
    <w:p w14:paraId="21B9A280" w14:textId="7B7E6072" w:rsidR="007D0951" w:rsidRPr="008F695A" w:rsidRDefault="00AD0A52" w:rsidP="008F695A">
      <w:pPr>
        <w:pStyle w:val="CETBodytext"/>
        <w:rPr>
          <w:lang w:val="en-GB"/>
        </w:rPr>
      </w:pPr>
      <w:r w:rsidRPr="00AD0A52">
        <w:rPr>
          <w:lang w:val="en-GB"/>
        </w:rPr>
        <w:t xml:space="preserve">The study explores mesophilic anaerobic digestion at 35°C, a process converting </w:t>
      </w:r>
      <w:r w:rsidR="00B30023">
        <w:rPr>
          <w:lang w:val="en-GB"/>
        </w:rPr>
        <w:t xml:space="preserve">the </w:t>
      </w:r>
      <w:r w:rsidRPr="00AD0A52">
        <w:rPr>
          <w:lang w:val="en-GB"/>
        </w:rPr>
        <w:t>organic biomass into biogas, mainly methane and carbon dioxide. The transformation involves four phases with different bacterial</w:t>
      </w:r>
      <w:r w:rsidR="00C85F87">
        <w:rPr>
          <w:lang w:val="en-GB"/>
        </w:rPr>
        <w:t xml:space="preserve"> </w:t>
      </w:r>
      <w:r w:rsidR="00C85F87" w:rsidRPr="00A411B6">
        <w:rPr>
          <w:lang w:val="en-GB"/>
        </w:rPr>
        <w:t>and archaeal</w:t>
      </w:r>
      <w:r w:rsidRPr="00AD0A52">
        <w:rPr>
          <w:lang w:val="en-GB"/>
        </w:rPr>
        <w:t xml:space="preserve"> families: hydrolysis, acidogenesis, acetogenesis, and methanogenesis</w:t>
      </w:r>
      <w:r w:rsidR="00A35616">
        <w:rPr>
          <w:lang w:val="en-GB"/>
        </w:rPr>
        <w:t xml:space="preserve"> </w:t>
      </w:r>
      <w:sdt>
        <w:sdtPr>
          <w:rPr>
            <w:lang w:val="en-GB"/>
          </w:rPr>
          <w:id w:val="-792364342"/>
          <w:citation/>
        </w:sdtPr>
        <w:sdtContent>
          <w:r w:rsidR="00F9609B">
            <w:rPr>
              <w:lang w:val="en-GB"/>
            </w:rPr>
            <w:fldChar w:fldCharType="begin"/>
          </w:r>
          <w:r w:rsidR="00F9609B" w:rsidRPr="00F9609B">
            <w:instrText xml:space="preserve"> CITATION SHa \l 1040 </w:instrText>
          </w:r>
          <w:r w:rsidR="00F9609B">
            <w:rPr>
              <w:lang w:val="en-GB"/>
            </w:rPr>
            <w:fldChar w:fldCharType="separate"/>
          </w:r>
          <w:r w:rsidR="00927678">
            <w:rPr>
              <w:noProof/>
            </w:rPr>
            <w:t>(S. Harirchi, 2022)</w:t>
          </w:r>
          <w:r w:rsidR="00F9609B">
            <w:rPr>
              <w:lang w:val="en-GB"/>
            </w:rPr>
            <w:fldChar w:fldCharType="end"/>
          </w:r>
        </w:sdtContent>
      </w:sdt>
      <w:r w:rsidRPr="00C85EFA">
        <w:rPr>
          <w:lang w:val="en-GB"/>
        </w:rPr>
        <w:t>.</w:t>
      </w:r>
      <w:r w:rsidRPr="00AD0A52">
        <w:rPr>
          <w:lang w:val="en-GB"/>
        </w:rPr>
        <w:t xml:space="preserve"> Maintaining an optimal pH between 7 and 7.5 is crucial, especially for methane </w:t>
      </w:r>
      <w:r w:rsidR="00672FFA">
        <w:rPr>
          <w:lang w:val="en-GB"/>
        </w:rPr>
        <w:t>production</w:t>
      </w:r>
      <w:r w:rsidRPr="00AD0A52">
        <w:rPr>
          <w:lang w:val="en-GB"/>
        </w:rPr>
        <w:t xml:space="preserve">. Methanogens, with slower growth, are a limiting factor, and pH adjustment is essential. The addition of calcium hydroxide aids in alkaline fermentation initiation. The process not only yields gaseous products but also significantly reduces sludge volume, making the resulting </w:t>
      </w:r>
      <w:r w:rsidR="00DD2F02">
        <w:rPr>
          <w:lang w:val="en-GB"/>
        </w:rPr>
        <w:t>digestate</w:t>
      </w:r>
      <w:r w:rsidRPr="00AD0A52">
        <w:rPr>
          <w:lang w:val="en-GB"/>
        </w:rPr>
        <w:t xml:space="preserve"> suitable for safe agricultural use as fertilizer, having destroyed pathogenic microorganisms</w:t>
      </w:r>
      <w:r w:rsidR="00C005B9" w:rsidRPr="00C005B9">
        <w:rPr>
          <w:lang w:val="en-GB"/>
        </w:rPr>
        <w:t>.</w:t>
      </w:r>
    </w:p>
    <w:p w14:paraId="5741900F" w14:textId="26040B7F" w:rsidR="00453E24" w:rsidRDefault="005968C3" w:rsidP="00453E24">
      <w:pPr>
        <w:pStyle w:val="CETHeading1"/>
      </w:pPr>
      <w:commentRangeStart w:id="0"/>
      <w:r>
        <w:lastRenderedPageBreak/>
        <w:t>Materials and Methods</w:t>
      </w:r>
      <w:commentRangeEnd w:id="0"/>
      <w:r w:rsidR="006C5014">
        <w:rPr>
          <w:rStyle w:val="Rimandocommento"/>
          <w:b w:val="0"/>
          <w:lang w:val="en-GB"/>
        </w:rPr>
        <w:commentReference w:id="0"/>
      </w:r>
    </w:p>
    <w:p w14:paraId="09406386" w14:textId="7317F285" w:rsidR="00453E24" w:rsidRDefault="007B68F9" w:rsidP="00453E24">
      <w:pPr>
        <w:pStyle w:val="CETBodytext"/>
      </w:pPr>
      <w:r w:rsidRPr="007B68F9">
        <w:t xml:space="preserve">In recent years, there has been a concerted effort to scrutinize various processes aimed at improving methane yield in sludge anaerobic digestion. This study specifically investigates the anaerobic digestion of sewage sludge in batch reactors, focusing on the influence of different materials on the process. The primary focus of this research </w:t>
      </w:r>
      <w:r w:rsidR="00294270">
        <w:t>cores</w:t>
      </w:r>
      <w:r w:rsidR="00C4323B" w:rsidRPr="007B68F9">
        <w:t xml:space="preserve"> </w:t>
      </w:r>
      <w:r w:rsidRPr="007B68F9">
        <w:t xml:space="preserve">on </w:t>
      </w:r>
      <w:r w:rsidR="00F54B81">
        <w:t>utilizing</w:t>
      </w:r>
      <w:r w:rsidRPr="007B68F9">
        <w:t xml:space="preserve"> two distinct carbonaceous products</w:t>
      </w:r>
      <w:r w:rsidR="00C4323B">
        <w:t xml:space="preserve"> as </w:t>
      </w:r>
      <w:r w:rsidR="002C5A1D">
        <w:t xml:space="preserve">a </w:t>
      </w:r>
      <w:r w:rsidR="00C4323B">
        <w:t>boost for the AD process</w:t>
      </w:r>
      <w:r w:rsidRPr="007B68F9">
        <w:t>: biochar and hydrochar</w:t>
      </w:r>
      <w:r w:rsidR="00453E24">
        <w:t>.</w:t>
      </w:r>
    </w:p>
    <w:p w14:paraId="79B7799B" w14:textId="77777777" w:rsidR="00C27C4A" w:rsidRPr="00B57B36" w:rsidRDefault="00C27C4A" w:rsidP="00C27C4A">
      <w:pPr>
        <w:pStyle w:val="CETheadingx"/>
      </w:pPr>
      <w:r>
        <w:t>Experimental Apparatus</w:t>
      </w:r>
    </w:p>
    <w:p w14:paraId="4E1AEB08" w14:textId="6E0D45A1" w:rsidR="00C27C4A" w:rsidRPr="00C27C4A" w:rsidRDefault="00C27C4A" w:rsidP="00453E24">
      <w:pPr>
        <w:pStyle w:val="CETBodytext"/>
        <w:rPr>
          <w:lang w:val="en-GB"/>
        </w:rPr>
      </w:pPr>
      <w:r w:rsidRPr="00EB15BB">
        <w:rPr>
          <w:lang w:val="en-GB"/>
        </w:rPr>
        <w:t>The experiment</w:t>
      </w:r>
      <w:r>
        <w:rPr>
          <w:lang w:val="en-GB"/>
        </w:rPr>
        <w:t>al tests</w:t>
      </w:r>
      <w:r w:rsidRPr="00EB15BB">
        <w:rPr>
          <w:lang w:val="en-GB"/>
        </w:rPr>
        <w:t xml:space="preserve"> entail the utilization of batch reactors and ovens designed to achieve the specified operating temperatures. In investigating the anaerobic digestion of sewage sludge, a system was implemented, employing glass bottles as reactors with a 500 ml capacity. The bottles were filled to a volume of 200 ml, maintaining a headspace above the substrate to facilitate gas production and diffusion.</w:t>
      </w:r>
      <w:r>
        <w:rPr>
          <w:lang w:val="en-GB"/>
        </w:rPr>
        <w:t xml:space="preserve"> </w:t>
      </w:r>
      <w:r w:rsidRPr="003C4C89">
        <w:rPr>
          <w:lang w:val="en-GB"/>
        </w:rPr>
        <w:t xml:space="preserve">A variable quantity of bottles was employed, wherein each combination of biomass, inoculum, and either biochar or hydrochar was replicated a minimum of twice. In the initial trial, 14 bottles </w:t>
      </w:r>
      <w:r>
        <w:rPr>
          <w:lang w:val="en-GB"/>
        </w:rPr>
        <w:t xml:space="preserve">with </w:t>
      </w:r>
      <w:r w:rsidRPr="003C4C89">
        <w:rPr>
          <w:lang w:val="en-GB"/>
        </w:rPr>
        <w:t xml:space="preserve">500ml </w:t>
      </w:r>
      <w:r>
        <w:rPr>
          <w:lang w:val="en-GB"/>
        </w:rPr>
        <w:t xml:space="preserve">of capacity </w:t>
      </w:r>
      <w:r w:rsidRPr="003C4C89">
        <w:rPr>
          <w:lang w:val="en-GB"/>
        </w:rPr>
        <w:t xml:space="preserve">were utilized, with a redundancy of two bottles for each </w:t>
      </w:r>
      <w:r>
        <w:rPr>
          <w:lang w:val="en-GB"/>
        </w:rPr>
        <w:t>test</w:t>
      </w:r>
      <w:r w:rsidRPr="003C4C89">
        <w:rPr>
          <w:lang w:val="en-GB"/>
        </w:rPr>
        <w:t>. Subsequently, the operational functionality and absence of leaks in the apparatus for conducting anaerobic digestion (AD) experiments were verified. The mesophilic conditions were maintained throughout the process, employing two ovens set at a constant temperature of 35°C, ensuring a stable temperature for the entirety of the experimental duration.</w:t>
      </w:r>
      <w:r>
        <w:rPr>
          <w:lang w:val="en-GB"/>
        </w:rPr>
        <w:t xml:space="preserve"> </w:t>
      </w:r>
      <w:r w:rsidRPr="00C939A6">
        <w:rPr>
          <w:lang w:val="en-GB"/>
        </w:rPr>
        <w:t xml:space="preserve">A pipe-based connection system interlinks each anaerobic digestion (AD) bottle with an external counterpart containing </w:t>
      </w:r>
      <w:r w:rsidRPr="00A411B6">
        <w:rPr>
          <w:lang w:val="en-GB"/>
        </w:rPr>
        <w:t>a 2% NaCl water solution</w:t>
      </w:r>
      <w:r w:rsidRPr="00C939A6">
        <w:rPr>
          <w:lang w:val="en-GB"/>
        </w:rPr>
        <w:t xml:space="preserve">, facilitating the collection of </w:t>
      </w:r>
      <w:r>
        <w:rPr>
          <w:lang w:val="en-GB"/>
        </w:rPr>
        <w:t xml:space="preserve">the </w:t>
      </w:r>
      <w:r w:rsidRPr="00C939A6">
        <w:rPr>
          <w:lang w:val="en-GB"/>
        </w:rPr>
        <w:t>generated gas. Gas accumulation is monitored through daily assessments of water displacement within bottles positioned outside the ovens. This setup enables the biweekly measurement of gas production, approximately every three days.</w:t>
      </w:r>
      <w:r w:rsidRPr="00752F69">
        <w:rPr>
          <w:lang w:val="en-GB"/>
        </w:rPr>
        <w:t xml:space="preserve"> </w:t>
      </w:r>
      <w:r w:rsidRPr="00640D45">
        <w:rPr>
          <w:lang w:val="en-GB"/>
        </w:rPr>
        <w:t xml:space="preserve">For monitoring the composition of biogas and the physical parameters of gas mixtures during the methane fermentation process, a portable </w:t>
      </w:r>
      <w:proofErr w:type="spellStart"/>
      <w:r w:rsidRPr="00640D45">
        <w:rPr>
          <w:lang w:val="en-GB"/>
        </w:rPr>
        <w:t>analyzer</w:t>
      </w:r>
      <w:proofErr w:type="spellEnd"/>
      <w:r w:rsidRPr="00640D45">
        <w:rPr>
          <w:lang w:val="en-GB"/>
        </w:rPr>
        <w:t xml:space="preserve">, the </w:t>
      </w:r>
      <w:proofErr w:type="spellStart"/>
      <w:r w:rsidRPr="00640D45">
        <w:rPr>
          <w:lang w:val="en-GB"/>
        </w:rPr>
        <w:t>Nanosense</w:t>
      </w:r>
      <w:proofErr w:type="spellEnd"/>
      <w:r w:rsidRPr="00640D45">
        <w:rPr>
          <w:lang w:val="en-GB"/>
        </w:rPr>
        <w:t xml:space="preserve"> DP-27 BIO, has been specifically designed. This </w:t>
      </w:r>
      <w:proofErr w:type="spellStart"/>
      <w:r w:rsidRPr="00640D45">
        <w:rPr>
          <w:lang w:val="en-GB"/>
        </w:rPr>
        <w:t>analyzer</w:t>
      </w:r>
      <w:proofErr w:type="spellEnd"/>
      <w:r w:rsidRPr="00640D45">
        <w:rPr>
          <w:lang w:val="en-GB"/>
        </w:rPr>
        <w:t xml:space="preserve"> is utilized to measure gas production by sampling gas from each bottle and evaluating the volume percentages of CH</w:t>
      </w:r>
      <w:r w:rsidRPr="00937579">
        <w:rPr>
          <w:vertAlign w:val="subscript"/>
          <w:lang w:val="en-GB"/>
        </w:rPr>
        <w:t>4</w:t>
      </w:r>
      <w:r w:rsidRPr="00640D45">
        <w:rPr>
          <w:lang w:val="en-GB"/>
        </w:rPr>
        <w:t>, CO</w:t>
      </w:r>
      <w:r w:rsidRPr="00937579">
        <w:rPr>
          <w:vertAlign w:val="subscript"/>
          <w:lang w:val="en-GB"/>
        </w:rPr>
        <w:t>2</w:t>
      </w:r>
      <w:r w:rsidRPr="00640D45">
        <w:rPr>
          <w:lang w:val="en-GB"/>
        </w:rPr>
        <w:t>, O</w:t>
      </w:r>
      <w:r w:rsidRPr="00937579">
        <w:rPr>
          <w:vertAlign w:val="subscript"/>
          <w:lang w:val="en-GB"/>
        </w:rPr>
        <w:t>2</w:t>
      </w:r>
      <w:r w:rsidRPr="00640D45">
        <w:rPr>
          <w:lang w:val="en-GB"/>
        </w:rPr>
        <w:t>, H</w:t>
      </w:r>
      <w:r w:rsidRPr="00937579">
        <w:rPr>
          <w:vertAlign w:val="subscript"/>
          <w:lang w:val="en-GB"/>
        </w:rPr>
        <w:t>2</w:t>
      </w:r>
      <w:r w:rsidRPr="00640D45">
        <w:rPr>
          <w:lang w:val="en-GB"/>
        </w:rPr>
        <w:t>S, and H</w:t>
      </w:r>
      <w:r w:rsidRPr="00937579">
        <w:rPr>
          <w:vertAlign w:val="subscript"/>
          <w:lang w:val="en-GB"/>
        </w:rPr>
        <w:t>2</w:t>
      </w:r>
      <w:r w:rsidRPr="00640D45">
        <w:rPr>
          <w:lang w:val="en-GB"/>
        </w:rPr>
        <w:t>. The Anaerobic Digestion process is concluded when biogas production stabilizes and ceases to increase, typically occurring within an experiment duration ranging from 22 to 34 days. Following the completion of the entire process, a comprehensive analysis of the data collected on a daily and weekly basis is conducted to compile an account of actual methane production. This analysis sheds light on the influence of the two hydrothermal carbonization (HTC) products and</w:t>
      </w:r>
      <w:r>
        <w:rPr>
          <w:lang w:val="en-GB"/>
        </w:rPr>
        <w:t xml:space="preserve"> </w:t>
      </w:r>
      <w:r w:rsidRPr="00640D45">
        <w:rPr>
          <w:lang w:val="en-GB"/>
        </w:rPr>
        <w:t>biochar on the overall methane production.</w:t>
      </w:r>
      <w:r>
        <w:rPr>
          <w:lang w:val="en-GB"/>
        </w:rPr>
        <w:t xml:space="preserve"> </w:t>
      </w:r>
      <w:r w:rsidRPr="00AB0610">
        <w:rPr>
          <w:lang w:val="en-GB"/>
        </w:rPr>
        <w:t>Moreover, various analyses were conducted on both substrate</w:t>
      </w:r>
      <w:r>
        <w:rPr>
          <w:lang w:val="en-GB"/>
        </w:rPr>
        <w:t>s</w:t>
      </w:r>
      <w:r w:rsidRPr="00AB0610">
        <w:rPr>
          <w:lang w:val="en-GB"/>
        </w:rPr>
        <w:t xml:space="preserve">, sewage sludge, before the process, and </w:t>
      </w:r>
      <w:r>
        <w:rPr>
          <w:lang w:val="en-GB"/>
        </w:rPr>
        <w:t xml:space="preserve">the </w:t>
      </w:r>
      <w:r w:rsidRPr="00AB0610">
        <w:rPr>
          <w:lang w:val="en-GB"/>
        </w:rPr>
        <w:t xml:space="preserve">solid product resulting from </w:t>
      </w:r>
      <w:r>
        <w:rPr>
          <w:lang w:val="en-GB"/>
        </w:rPr>
        <w:t>AD</w:t>
      </w:r>
      <w:r w:rsidRPr="00AB0610">
        <w:rPr>
          <w:lang w:val="en-GB"/>
        </w:rPr>
        <w:t xml:space="preserve">, </w:t>
      </w:r>
      <w:r>
        <w:rPr>
          <w:lang w:val="en-GB"/>
        </w:rPr>
        <w:t xml:space="preserve">the </w:t>
      </w:r>
      <w:r w:rsidRPr="00AB0610">
        <w:rPr>
          <w:lang w:val="en-GB"/>
        </w:rPr>
        <w:t xml:space="preserve">digestate. </w:t>
      </w:r>
      <w:r>
        <w:rPr>
          <w:lang w:val="en-GB"/>
        </w:rPr>
        <w:t>T</w:t>
      </w:r>
      <w:r w:rsidRPr="00AB0610">
        <w:rPr>
          <w:lang w:val="en-GB"/>
        </w:rPr>
        <w:t xml:space="preserve">he amounts of compounds such as volatile fatty acids, orthophosphates, and nitrogen ammonium were </w:t>
      </w:r>
      <w:proofErr w:type="spellStart"/>
      <w:r w:rsidRPr="00AB0610">
        <w:rPr>
          <w:lang w:val="en-GB"/>
        </w:rPr>
        <w:t>analyzed</w:t>
      </w:r>
      <w:proofErr w:type="spellEnd"/>
      <w:r w:rsidRPr="00AB0610">
        <w:rPr>
          <w:lang w:val="en-GB"/>
        </w:rPr>
        <w:t xml:space="preserve"> on the latter using spectrophotometry with the UV-VIS DR6000 spectrophotometer (Hach Lange, Loveland, CO, USA).</w:t>
      </w:r>
    </w:p>
    <w:p w14:paraId="0636B784" w14:textId="60F4676A" w:rsidR="00453E24" w:rsidRDefault="0077282C" w:rsidP="002E3540">
      <w:pPr>
        <w:pStyle w:val="CETheadingx"/>
      </w:pPr>
      <w:r>
        <w:t>Sewage Sludge and Inoculum</w:t>
      </w:r>
    </w:p>
    <w:p w14:paraId="4F0CE069" w14:textId="6A8CFAB5" w:rsidR="000746C1" w:rsidRDefault="000746C1" w:rsidP="000746C1">
      <w:pPr>
        <w:pStyle w:val="CETBodytext"/>
      </w:pPr>
      <w:r>
        <w:t>The sewage sludge employed as a substrate in the mesophilic anaerobic digestion process was sourced from the wastewater</w:t>
      </w:r>
      <w:r w:rsidR="002A1B64">
        <w:t xml:space="preserve"> treatment</w:t>
      </w:r>
      <w:r>
        <w:t xml:space="preserve"> plant </w:t>
      </w:r>
      <w:r w:rsidR="00773975">
        <w:t>in</w:t>
      </w:r>
      <w:r w:rsidR="002A1B64">
        <w:t xml:space="preserve"> </w:t>
      </w:r>
      <w:r>
        <w:t>Lodz and meticulously stored at 4°C. The dewatered sludge exhibited total solids (TS) and volatile solids/total solids (VS/TS) values of 60.92 ± 1.05 and 74.82 ± 0.2%, respectively.</w:t>
      </w:r>
    </w:p>
    <w:p w14:paraId="34BA1970" w14:textId="09FF6878" w:rsidR="000746C1" w:rsidRDefault="000746C1" w:rsidP="000746C1">
      <w:pPr>
        <w:pStyle w:val="CETBodytext"/>
      </w:pPr>
      <w:r>
        <w:t xml:space="preserve">The inoculum was </w:t>
      </w:r>
      <w:r w:rsidR="00270A60">
        <w:t>an anaerobic sludge</w:t>
      </w:r>
      <w:r w:rsidR="008766A7">
        <w:t xml:space="preserve"> </w:t>
      </w:r>
      <w:r>
        <w:t>derived from</w:t>
      </w:r>
      <w:r w:rsidR="008766A7">
        <w:t xml:space="preserve"> </w:t>
      </w:r>
      <w:proofErr w:type="spellStart"/>
      <w:r w:rsidR="008766A7">
        <w:t>Zdunska</w:t>
      </w:r>
      <w:proofErr w:type="spellEnd"/>
      <w:r w:rsidR="008766A7">
        <w:t xml:space="preserve"> Wola wastewater treatment plant</w:t>
      </w:r>
      <w:r w:rsidR="00A93A14">
        <w:t>,</w:t>
      </w:r>
      <w:r w:rsidR="00304D62">
        <w:t xml:space="preserve"> </w:t>
      </w:r>
      <w:r w:rsidR="003F28BA">
        <w:t>(</w:t>
      </w:r>
      <w:r w:rsidR="00304D62">
        <w:t>Poland</w:t>
      </w:r>
      <w:r w:rsidR="003F28BA">
        <w:t>)</w:t>
      </w:r>
      <w:r>
        <w:t xml:space="preserve">. </w:t>
      </w:r>
    </w:p>
    <w:p w14:paraId="06C90A14" w14:textId="7757920F" w:rsidR="00FB3AEF" w:rsidRDefault="00FB3AEF" w:rsidP="00FB3AEF">
      <w:pPr>
        <w:pStyle w:val="CETBodytext"/>
      </w:pPr>
      <w:r>
        <w:t xml:space="preserve">Before utilization, moisture and ash measurements were conducted on both the sludge and the inoculum. It was imperative to assess the percentages of Volatile and Total Solids to establish the Biomass/Inoculum ratios for reactor feeding purposes. </w:t>
      </w:r>
      <w:r w:rsidR="00493E16">
        <w:fldChar w:fldCharType="begin"/>
      </w:r>
      <w:r w:rsidR="00493E16">
        <w:instrText xml:space="preserve"> REF _Ref156144606 \h </w:instrText>
      </w:r>
      <w:r w:rsidR="00493E16">
        <w:fldChar w:fldCharType="separate"/>
      </w:r>
      <w:r w:rsidR="00493E16">
        <w:t xml:space="preserve">Table </w:t>
      </w:r>
      <w:r w:rsidR="00493E16">
        <w:rPr>
          <w:noProof/>
        </w:rPr>
        <w:t>1</w:t>
      </w:r>
      <w:r w:rsidR="00493E16">
        <w:fldChar w:fldCharType="end"/>
      </w:r>
      <w:r w:rsidR="00493E16">
        <w:t xml:space="preserve"> </w:t>
      </w:r>
      <w:r>
        <w:t xml:space="preserve">presents these parameters, obtained </w:t>
      </w:r>
      <w:r w:rsidR="00680C02">
        <w:t xml:space="preserve">as the average </w:t>
      </w:r>
      <w:r>
        <w:t>of three samples per product</w:t>
      </w:r>
      <w:r w:rsidR="00680C02">
        <w:t xml:space="preserve"> and the standard deviation</w:t>
      </w:r>
      <w:r>
        <w:t>.</w:t>
      </w:r>
    </w:p>
    <w:p w14:paraId="0B9115B5" w14:textId="43762CC7" w:rsidR="00AD093E" w:rsidRPr="00B57B36" w:rsidRDefault="00D342AC" w:rsidP="00493E16">
      <w:pPr>
        <w:pStyle w:val="CETTabletitle"/>
      </w:pPr>
      <w:bookmarkStart w:id="1" w:name="_Ref156144606"/>
      <w:bookmarkStart w:id="2" w:name="_Ref156144601"/>
      <w:r>
        <w:t xml:space="preserve">Table </w:t>
      </w:r>
      <w:r>
        <w:fldChar w:fldCharType="begin"/>
      </w:r>
      <w:r>
        <w:instrText xml:space="preserve"> SEQ Table \* ARABIC </w:instrText>
      </w:r>
      <w:r>
        <w:fldChar w:fldCharType="separate"/>
      </w:r>
      <w:r w:rsidR="00493E16">
        <w:rPr>
          <w:noProof/>
        </w:rPr>
        <w:t>1</w:t>
      </w:r>
      <w:r>
        <w:fldChar w:fldCharType="end"/>
      </w:r>
      <w:bookmarkEnd w:id="1"/>
      <w:r>
        <w:t>: Samples Analysis</w:t>
      </w:r>
      <w:bookmarkEnd w:id="2"/>
    </w:p>
    <w:tbl>
      <w:tblPr>
        <w:tblW w:w="845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742"/>
        <w:gridCol w:w="1364"/>
        <w:gridCol w:w="1456"/>
        <w:gridCol w:w="1456"/>
        <w:gridCol w:w="1441"/>
      </w:tblGrid>
      <w:tr w:rsidR="00466083" w:rsidRPr="00B57B36" w14:paraId="6FDAA8EA" w14:textId="08C07A7B" w:rsidTr="00D1500A">
        <w:trPr>
          <w:trHeight w:val="305"/>
        </w:trPr>
        <w:tc>
          <w:tcPr>
            <w:tcW w:w="2742" w:type="dxa"/>
            <w:tcBorders>
              <w:top w:val="single" w:sz="12" w:space="0" w:color="008000"/>
              <w:bottom w:val="single" w:sz="6" w:space="0" w:color="008000"/>
            </w:tcBorders>
            <w:shd w:val="clear" w:color="auto" w:fill="FFFFFF"/>
          </w:tcPr>
          <w:p w14:paraId="12EA1F3F" w14:textId="09706867" w:rsidR="00466083" w:rsidRPr="00B57B36" w:rsidRDefault="00466083" w:rsidP="00792549">
            <w:pPr>
              <w:pStyle w:val="CETBodytext"/>
              <w:rPr>
                <w:lang w:val="en-GB"/>
              </w:rPr>
            </w:pPr>
            <w:r w:rsidRPr="00792549">
              <w:rPr>
                <w:lang w:val="en-GB"/>
              </w:rPr>
              <w:t xml:space="preserve">Substrate </w:t>
            </w:r>
          </w:p>
        </w:tc>
        <w:tc>
          <w:tcPr>
            <w:tcW w:w="1364" w:type="dxa"/>
            <w:tcBorders>
              <w:top w:val="single" w:sz="12" w:space="0" w:color="008000"/>
              <w:bottom w:val="single" w:sz="6" w:space="0" w:color="008000"/>
            </w:tcBorders>
            <w:shd w:val="clear" w:color="auto" w:fill="FFFFFF"/>
          </w:tcPr>
          <w:p w14:paraId="391CB0E3" w14:textId="77777777" w:rsidR="00466083" w:rsidRDefault="00466083" w:rsidP="00792549">
            <w:pPr>
              <w:pStyle w:val="CETBodytext"/>
              <w:ind w:right="-1"/>
              <w:rPr>
                <w:rFonts w:cs="Arial"/>
                <w:szCs w:val="18"/>
                <w:lang w:val="en-GB"/>
              </w:rPr>
            </w:pPr>
            <w:r>
              <w:rPr>
                <w:rFonts w:cs="Arial"/>
                <w:szCs w:val="18"/>
                <w:lang w:val="en-GB"/>
              </w:rPr>
              <w:t xml:space="preserve">TS </w:t>
            </w:r>
          </w:p>
          <w:p w14:paraId="0223CF72" w14:textId="35D14A50" w:rsidR="00466083" w:rsidRPr="00B57B36" w:rsidRDefault="00466083" w:rsidP="00792549">
            <w:pPr>
              <w:pStyle w:val="CETBodytext"/>
              <w:ind w:right="-1"/>
              <w:rPr>
                <w:rFonts w:cs="Arial"/>
                <w:szCs w:val="18"/>
                <w:lang w:val="en-GB"/>
              </w:rPr>
            </w:pPr>
            <w:r>
              <w:rPr>
                <w:rFonts w:cs="Arial"/>
                <w:szCs w:val="18"/>
                <w:lang w:val="en-GB"/>
              </w:rPr>
              <w:t>[g/kg]</w:t>
            </w:r>
          </w:p>
        </w:tc>
        <w:tc>
          <w:tcPr>
            <w:tcW w:w="1456" w:type="dxa"/>
            <w:tcBorders>
              <w:top w:val="single" w:sz="12" w:space="0" w:color="008000"/>
              <w:bottom w:val="single" w:sz="6" w:space="0" w:color="008000"/>
            </w:tcBorders>
            <w:shd w:val="clear" w:color="auto" w:fill="FFFFFF"/>
          </w:tcPr>
          <w:p w14:paraId="42522FCE" w14:textId="77777777" w:rsidR="00466083" w:rsidRDefault="00466083" w:rsidP="00792549">
            <w:pPr>
              <w:pStyle w:val="CETBodytext"/>
              <w:ind w:right="-1"/>
              <w:rPr>
                <w:rFonts w:cs="Arial"/>
                <w:szCs w:val="18"/>
                <w:lang w:val="en-GB"/>
              </w:rPr>
            </w:pPr>
            <w:r>
              <w:rPr>
                <w:rFonts w:cs="Arial"/>
                <w:szCs w:val="18"/>
                <w:lang w:val="en-GB"/>
              </w:rPr>
              <w:t xml:space="preserve">Ash </w:t>
            </w:r>
          </w:p>
          <w:p w14:paraId="584FEFCB" w14:textId="3DB0CA6B" w:rsidR="00466083" w:rsidRPr="00B57B36" w:rsidRDefault="00466083" w:rsidP="00792549">
            <w:pPr>
              <w:pStyle w:val="CETBodytext"/>
              <w:ind w:right="-1"/>
              <w:rPr>
                <w:rFonts w:cs="Arial"/>
                <w:szCs w:val="18"/>
                <w:lang w:val="en-GB"/>
              </w:rPr>
            </w:pPr>
            <w:r>
              <w:rPr>
                <w:rFonts w:cs="Arial"/>
                <w:szCs w:val="18"/>
                <w:lang w:val="en-GB"/>
              </w:rPr>
              <w:t>[g/kg]</w:t>
            </w:r>
          </w:p>
        </w:tc>
        <w:tc>
          <w:tcPr>
            <w:tcW w:w="1456" w:type="dxa"/>
            <w:tcBorders>
              <w:top w:val="single" w:sz="12" w:space="0" w:color="008000"/>
              <w:bottom w:val="single" w:sz="6" w:space="0" w:color="008000"/>
            </w:tcBorders>
            <w:shd w:val="clear" w:color="auto" w:fill="FFFFFF"/>
          </w:tcPr>
          <w:p w14:paraId="48337647" w14:textId="77777777" w:rsidR="00466083" w:rsidRDefault="00466083" w:rsidP="00792549">
            <w:pPr>
              <w:pStyle w:val="CETBodytext"/>
              <w:ind w:right="-1"/>
              <w:rPr>
                <w:rFonts w:cs="Arial"/>
                <w:szCs w:val="18"/>
                <w:lang w:val="en-GB"/>
              </w:rPr>
            </w:pPr>
            <w:r>
              <w:rPr>
                <w:rFonts w:cs="Arial"/>
                <w:szCs w:val="18"/>
                <w:lang w:val="en-GB"/>
              </w:rPr>
              <w:t xml:space="preserve">VS </w:t>
            </w:r>
          </w:p>
          <w:p w14:paraId="64073B26" w14:textId="6600CFDE" w:rsidR="00466083" w:rsidRPr="00B57B36" w:rsidRDefault="00466083" w:rsidP="00792549">
            <w:pPr>
              <w:pStyle w:val="CETBodytext"/>
              <w:ind w:right="-1"/>
              <w:rPr>
                <w:rFonts w:cs="Arial"/>
                <w:szCs w:val="18"/>
                <w:lang w:val="en-GB"/>
              </w:rPr>
            </w:pPr>
            <w:r>
              <w:rPr>
                <w:rFonts w:cs="Arial"/>
                <w:szCs w:val="18"/>
                <w:lang w:val="en-GB"/>
              </w:rPr>
              <w:t>[g/kg]</w:t>
            </w:r>
          </w:p>
        </w:tc>
        <w:tc>
          <w:tcPr>
            <w:tcW w:w="1441" w:type="dxa"/>
            <w:tcBorders>
              <w:top w:val="single" w:sz="12" w:space="0" w:color="008000"/>
              <w:bottom w:val="single" w:sz="6" w:space="0" w:color="008000"/>
            </w:tcBorders>
            <w:shd w:val="clear" w:color="auto" w:fill="FFFFFF"/>
          </w:tcPr>
          <w:p w14:paraId="2798E956" w14:textId="77777777" w:rsidR="00466083" w:rsidRDefault="00466083" w:rsidP="00792549">
            <w:pPr>
              <w:pStyle w:val="CETBodytext"/>
              <w:ind w:right="-1"/>
              <w:rPr>
                <w:rFonts w:cs="Arial"/>
                <w:szCs w:val="18"/>
                <w:lang w:val="en-GB"/>
              </w:rPr>
            </w:pPr>
            <w:r>
              <w:rPr>
                <w:rFonts w:cs="Arial"/>
                <w:szCs w:val="18"/>
                <w:lang w:val="en-GB"/>
              </w:rPr>
              <w:t xml:space="preserve">VS </w:t>
            </w:r>
          </w:p>
          <w:p w14:paraId="69E05D92" w14:textId="794D5A94" w:rsidR="00466083" w:rsidRPr="00B57B36" w:rsidRDefault="00466083" w:rsidP="00792549">
            <w:pPr>
              <w:pStyle w:val="CETBodytext"/>
              <w:ind w:right="-1"/>
              <w:rPr>
                <w:rFonts w:cs="Arial"/>
                <w:szCs w:val="18"/>
                <w:lang w:val="en-GB"/>
              </w:rPr>
            </w:pPr>
            <w:r>
              <w:rPr>
                <w:rFonts w:cs="Arial"/>
                <w:szCs w:val="18"/>
                <w:lang w:val="en-GB"/>
              </w:rPr>
              <w:t>[% TS]</w:t>
            </w:r>
          </w:p>
        </w:tc>
      </w:tr>
      <w:tr w:rsidR="00466083" w:rsidRPr="00B57B36" w14:paraId="7068F1D8" w14:textId="699EE60A" w:rsidTr="00D1500A">
        <w:trPr>
          <w:trHeight w:val="340"/>
        </w:trPr>
        <w:tc>
          <w:tcPr>
            <w:tcW w:w="2742" w:type="dxa"/>
            <w:shd w:val="clear" w:color="auto" w:fill="FFFFFF"/>
          </w:tcPr>
          <w:p w14:paraId="7AE3D770" w14:textId="5955CA50" w:rsidR="00466083" w:rsidRPr="00904E3C" w:rsidRDefault="00466083" w:rsidP="00792549">
            <w:pPr>
              <w:pStyle w:val="CETBodytext"/>
            </w:pPr>
            <w:r>
              <w:rPr>
                <w:lang w:val="en-GB"/>
              </w:rPr>
              <w:t>S</w:t>
            </w:r>
            <w:r w:rsidRPr="00792549">
              <w:rPr>
                <w:lang w:val="en-GB"/>
              </w:rPr>
              <w:t>ludge</w:t>
            </w:r>
            <w:r>
              <w:rPr>
                <w:lang w:val="en-GB"/>
              </w:rPr>
              <w:t xml:space="preserve"> (</w:t>
            </w:r>
            <w:proofErr w:type="spellStart"/>
            <w:r>
              <w:rPr>
                <w:lang w:val="en-GB"/>
              </w:rPr>
              <w:t>av</w:t>
            </w:r>
            <w:r w:rsidR="00DF0816">
              <w:rPr>
                <w:lang w:val="en-GB"/>
              </w:rPr>
              <w:t>e</w:t>
            </w:r>
            <w:proofErr w:type="spellEnd"/>
            <w:r w:rsidR="00904E3C">
              <w:rPr>
                <w:rStyle w:val="Rimandonotaapidipagina"/>
              </w:rPr>
              <w:footnoteReference w:id="1"/>
            </w:r>
            <w:r>
              <w:rPr>
                <w:lang w:val="en-GB"/>
              </w:rPr>
              <w:t>)</w:t>
            </w:r>
          </w:p>
        </w:tc>
        <w:tc>
          <w:tcPr>
            <w:tcW w:w="1364" w:type="dxa"/>
            <w:shd w:val="clear" w:color="auto" w:fill="FFFFFF"/>
          </w:tcPr>
          <w:p w14:paraId="3B9EFF76" w14:textId="02BF592A" w:rsidR="00466083" w:rsidRPr="00B57B36" w:rsidRDefault="00466083" w:rsidP="00792549">
            <w:pPr>
              <w:pStyle w:val="CETBodytext"/>
              <w:ind w:right="-1"/>
              <w:rPr>
                <w:rFonts w:cs="Arial"/>
                <w:szCs w:val="18"/>
                <w:lang w:val="en-GB"/>
              </w:rPr>
            </w:pPr>
            <w:r>
              <w:rPr>
                <w:rFonts w:cs="Arial"/>
                <w:szCs w:val="18"/>
                <w:lang w:val="en-GB"/>
              </w:rPr>
              <w:t>6</w:t>
            </w:r>
            <w:r w:rsidR="00B034DD">
              <w:rPr>
                <w:rFonts w:cs="Arial"/>
                <w:szCs w:val="18"/>
                <w:lang w:val="en-GB"/>
              </w:rPr>
              <w:t>0</w:t>
            </w:r>
            <w:r>
              <w:rPr>
                <w:rFonts w:cs="Arial"/>
                <w:szCs w:val="18"/>
                <w:lang w:val="en-GB"/>
              </w:rPr>
              <w:t>.</w:t>
            </w:r>
            <w:r w:rsidR="00B034DD">
              <w:rPr>
                <w:rFonts w:cs="Arial"/>
                <w:szCs w:val="18"/>
                <w:lang w:val="en-GB"/>
              </w:rPr>
              <w:t>92</w:t>
            </w:r>
            <w:r w:rsidR="00D1500A">
              <w:rPr>
                <w:rFonts w:cs="Arial"/>
                <w:szCs w:val="18"/>
                <w:lang w:val="en-GB"/>
              </w:rPr>
              <w:t>±</w:t>
            </w:r>
            <w:r w:rsidR="00D1500A">
              <w:rPr>
                <w:rFonts w:cs="Arial"/>
                <w:szCs w:val="18"/>
                <w:lang w:val="en-GB"/>
              </w:rPr>
              <w:t>0.96</w:t>
            </w:r>
          </w:p>
        </w:tc>
        <w:tc>
          <w:tcPr>
            <w:tcW w:w="1456" w:type="dxa"/>
            <w:shd w:val="clear" w:color="auto" w:fill="FFFFFF"/>
          </w:tcPr>
          <w:p w14:paraId="69F63938" w14:textId="22F3F592" w:rsidR="00466083" w:rsidRPr="00B57B36" w:rsidRDefault="00466083" w:rsidP="00792549">
            <w:pPr>
              <w:pStyle w:val="CETBodytext"/>
              <w:ind w:right="-1"/>
              <w:rPr>
                <w:rFonts w:cs="Arial"/>
                <w:szCs w:val="18"/>
                <w:lang w:val="en-GB"/>
              </w:rPr>
            </w:pPr>
            <w:r>
              <w:rPr>
                <w:rFonts w:cs="Arial"/>
                <w:szCs w:val="18"/>
                <w:lang w:val="en-GB"/>
              </w:rPr>
              <w:t>15.</w:t>
            </w:r>
            <w:r w:rsidR="0091096F">
              <w:rPr>
                <w:rFonts w:cs="Arial"/>
                <w:szCs w:val="18"/>
                <w:lang w:val="en-GB"/>
              </w:rPr>
              <w:t>3</w:t>
            </w:r>
            <w:r>
              <w:rPr>
                <w:rFonts w:cs="Arial"/>
                <w:szCs w:val="18"/>
                <w:lang w:val="en-GB"/>
              </w:rPr>
              <w:t>4</w:t>
            </w:r>
            <w:r w:rsidR="00D1500A">
              <w:rPr>
                <w:rFonts w:cs="Arial"/>
                <w:szCs w:val="18"/>
                <w:lang w:val="en-GB"/>
              </w:rPr>
              <w:t>±</w:t>
            </w:r>
            <w:r w:rsidR="00D1500A">
              <w:rPr>
                <w:rFonts w:cs="Arial"/>
                <w:szCs w:val="18"/>
                <w:lang w:val="en-GB"/>
              </w:rPr>
              <w:t>0.27</w:t>
            </w:r>
          </w:p>
        </w:tc>
        <w:tc>
          <w:tcPr>
            <w:tcW w:w="1456" w:type="dxa"/>
            <w:shd w:val="clear" w:color="auto" w:fill="FFFFFF"/>
          </w:tcPr>
          <w:p w14:paraId="48AED49F" w14:textId="6E0A26BC" w:rsidR="00466083" w:rsidRPr="00B57B36" w:rsidRDefault="00466083" w:rsidP="00792549">
            <w:pPr>
              <w:pStyle w:val="CETBodytext"/>
              <w:ind w:right="-1"/>
              <w:rPr>
                <w:rFonts w:cs="Arial"/>
                <w:szCs w:val="18"/>
                <w:lang w:val="en-GB"/>
              </w:rPr>
            </w:pPr>
            <w:r>
              <w:rPr>
                <w:rFonts w:cs="Arial"/>
                <w:szCs w:val="18"/>
                <w:lang w:val="en-GB"/>
              </w:rPr>
              <w:t>45.</w:t>
            </w:r>
            <w:r w:rsidR="0091096F">
              <w:rPr>
                <w:rFonts w:cs="Arial"/>
                <w:szCs w:val="18"/>
                <w:lang w:val="en-GB"/>
              </w:rPr>
              <w:t>58</w:t>
            </w:r>
            <w:r w:rsidR="00D1500A">
              <w:rPr>
                <w:rFonts w:cs="Arial"/>
                <w:szCs w:val="18"/>
                <w:lang w:val="en-GB"/>
              </w:rPr>
              <w:t>±</w:t>
            </w:r>
            <w:r w:rsidR="00D1500A">
              <w:rPr>
                <w:rFonts w:cs="Arial"/>
                <w:szCs w:val="18"/>
                <w:lang w:val="en-GB"/>
              </w:rPr>
              <w:t>0.27</w:t>
            </w:r>
          </w:p>
        </w:tc>
        <w:tc>
          <w:tcPr>
            <w:tcW w:w="1441" w:type="dxa"/>
            <w:shd w:val="clear" w:color="auto" w:fill="FFFFFF"/>
          </w:tcPr>
          <w:p w14:paraId="6C7AADC7" w14:textId="1CA71A10" w:rsidR="00466083" w:rsidRPr="00B57B36" w:rsidRDefault="00466083" w:rsidP="00792549">
            <w:pPr>
              <w:pStyle w:val="CETBodytext"/>
              <w:ind w:right="-1"/>
              <w:rPr>
                <w:rFonts w:cs="Arial"/>
                <w:szCs w:val="18"/>
                <w:lang w:val="en-GB"/>
              </w:rPr>
            </w:pPr>
            <w:r>
              <w:rPr>
                <w:rFonts w:cs="Arial"/>
                <w:szCs w:val="18"/>
                <w:lang w:val="en-GB"/>
              </w:rPr>
              <w:t>74.</w:t>
            </w:r>
            <w:r w:rsidR="00F41ADD">
              <w:rPr>
                <w:rFonts w:cs="Arial"/>
                <w:szCs w:val="18"/>
                <w:lang w:val="en-GB"/>
              </w:rPr>
              <w:t>82</w:t>
            </w:r>
            <w:r w:rsidR="00D1500A">
              <w:rPr>
                <w:rFonts w:cs="Arial"/>
                <w:szCs w:val="18"/>
                <w:lang w:val="en-GB"/>
              </w:rPr>
              <w:t>±</w:t>
            </w:r>
            <w:r w:rsidR="00D1500A">
              <w:rPr>
                <w:rFonts w:cs="Arial"/>
                <w:szCs w:val="18"/>
                <w:lang w:val="en-GB"/>
              </w:rPr>
              <w:t>0.09</w:t>
            </w:r>
          </w:p>
        </w:tc>
      </w:tr>
      <w:tr w:rsidR="00466083" w:rsidRPr="00B57B36" w14:paraId="3A5C95FC" w14:textId="7DEF5FE2" w:rsidTr="00D1500A">
        <w:trPr>
          <w:trHeight w:val="323"/>
        </w:trPr>
        <w:tc>
          <w:tcPr>
            <w:tcW w:w="2742" w:type="dxa"/>
            <w:shd w:val="clear" w:color="auto" w:fill="FFFFFF"/>
          </w:tcPr>
          <w:p w14:paraId="7AAA04E4" w14:textId="3E3EF32A" w:rsidR="00466083" w:rsidRPr="00792549" w:rsidRDefault="00466083" w:rsidP="00792549">
            <w:pPr>
              <w:pStyle w:val="CETBodytext"/>
              <w:rPr>
                <w:lang w:val="en-GB"/>
              </w:rPr>
            </w:pPr>
            <w:r>
              <w:rPr>
                <w:lang w:val="en-GB"/>
              </w:rPr>
              <w:t>I</w:t>
            </w:r>
            <w:r w:rsidRPr="00792549">
              <w:rPr>
                <w:lang w:val="en-GB"/>
              </w:rPr>
              <w:t>noculum</w:t>
            </w:r>
            <w:r>
              <w:rPr>
                <w:lang w:val="en-GB"/>
              </w:rPr>
              <w:t xml:space="preserve"> (</w:t>
            </w:r>
            <w:proofErr w:type="spellStart"/>
            <w:r>
              <w:rPr>
                <w:lang w:val="en-GB"/>
              </w:rPr>
              <w:t>av</w:t>
            </w:r>
            <w:r w:rsidR="00DF0816">
              <w:rPr>
                <w:lang w:val="en-GB"/>
              </w:rPr>
              <w:t>e</w:t>
            </w:r>
            <w:proofErr w:type="spellEnd"/>
            <w:r>
              <w:rPr>
                <w:lang w:val="en-GB"/>
              </w:rPr>
              <w:t>)</w:t>
            </w:r>
          </w:p>
        </w:tc>
        <w:tc>
          <w:tcPr>
            <w:tcW w:w="1364" w:type="dxa"/>
            <w:shd w:val="clear" w:color="auto" w:fill="FFFFFF"/>
          </w:tcPr>
          <w:p w14:paraId="482FBC36" w14:textId="0EB86BAB" w:rsidR="00466083" w:rsidRPr="00B57B36" w:rsidRDefault="00466083" w:rsidP="00792549">
            <w:pPr>
              <w:pStyle w:val="CETBodytext"/>
              <w:ind w:right="-1"/>
              <w:rPr>
                <w:rFonts w:cs="Arial"/>
                <w:szCs w:val="18"/>
                <w:lang w:val="en-GB"/>
              </w:rPr>
            </w:pPr>
            <w:r>
              <w:rPr>
                <w:rFonts w:cs="Arial"/>
                <w:szCs w:val="18"/>
                <w:lang w:val="en-GB"/>
              </w:rPr>
              <w:t>48.</w:t>
            </w:r>
            <w:r w:rsidR="00F41ADD">
              <w:rPr>
                <w:rFonts w:cs="Arial"/>
                <w:szCs w:val="18"/>
                <w:lang w:val="en-GB"/>
              </w:rPr>
              <w:t>9</w:t>
            </w:r>
            <w:r>
              <w:rPr>
                <w:rFonts w:cs="Arial"/>
                <w:szCs w:val="18"/>
                <w:lang w:val="en-GB"/>
              </w:rPr>
              <w:t>3</w:t>
            </w:r>
            <w:r w:rsidR="00D1500A">
              <w:rPr>
                <w:rFonts w:cs="Arial"/>
                <w:szCs w:val="18"/>
                <w:lang w:val="en-GB"/>
              </w:rPr>
              <w:t>±</w:t>
            </w:r>
            <w:r w:rsidR="00D1500A">
              <w:rPr>
                <w:rFonts w:cs="Arial"/>
                <w:szCs w:val="18"/>
                <w:lang w:val="en-GB"/>
              </w:rPr>
              <w:t>0.35</w:t>
            </w:r>
          </w:p>
        </w:tc>
        <w:tc>
          <w:tcPr>
            <w:tcW w:w="1456" w:type="dxa"/>
            <w:shd w:val="clear" w:color="auto" w:fill="FFFFFF"/>
          </w:tcPr>
          <w:p w14:paraId="71790DB8" w14:textId="1B5034BD" w:rsidR="00466083" w:rsidRPr="00B57B36" w:rsidRDefault="00466083" w:rsidP="00792549">
            <w:pPr>
              <w:pStyle w:val="CETBodytext"/>
              <w:ind w:right="-1"/>
              <w:rPr>
                <w:rFonts w:cs="Arial"/>
                <w:szCs w:val="18"/>
                <w:lang w:val="en-GB"/>
              </w:rPr>
            </w:pPr>
            <w:r>
              <w:rPr>
                <w:rFonts w:cs="Arial"/>
                <w:szCs w:val="18"/>
                <w:lang w:val="en-GB"/>
              </w:rPr>
              <w:t>2</w:t>
            </w:r>
            <w:r w:rsidR="00FB593B">
              <w:rPr>
                <w:rFonts w:cs="Arial"/>
                <w:szCs w:val="18"/>
                <w:lang w:val="en-GB"/>
              </w:rPr>
              <w:t>2</w:t>
            </w:r>
            <w:r>
              <w:rPr>
                <w:rFonts w:cs="Arial"/>
                <w:szCs w:val="18"/>
                <w:lang w:val="en-GB"/>
              </w:rPr>
              <w:t>.</w:t>
            </w:r>
            <w:r w:rsidR="00FB593B">
              <w:rPr>
                <w:rFonts w:cs="Arial"/>
                <w:szCs w:val="18"/>
                <w:lang w:val="en-GB"/>
              </w:rPr>
              <w:t>05</w:t>
            </w:r>
            <w:r w:rsidR="00D1500A">
              <w:rPr>
                <w:rFonts w:cs="Arial"/>
                <w:szCs w:val="18"/>
                <w:lang w:val="en-GB"/>
              </w:rPr>
              <w:t>±</w:t>
            </w:r>
            <w:r w:rsidR="00D1500A">
              <w:rPr>
                <w:rFonts w:cs="Arial"/>
                <w:szCs w:val="18"/>
                <w:lang w:val="en-GB"/>
              </w:rPr>
              <w:t>0.10</w:t>
            </w:r>
          </w:p>
        </w:tc>
        <w:tc>
          <w:tcPr>
            <w:tcW w:w="1456" w:type="dxa"/>
            <w:shd w:val="clear" w:color="auto" w:fill="FFFFFF"/>
          </w:tcPr>
          <w:p w14:paraId="1D9A1A3C" w14:textId="4D59B848" w:rsidR="00466083" w:rsidRPr="00B57B36" w:rsidRDefault="00466083" w:rsidP="00792549">
            <w:pPr>
              <w:pStyle w:val="CETBodytext"/>
              <w:ind w:right="-1"/>
              <w:rPr>
                <w:rFonts w:cs="Arial"/>
                <w:szCs w:val="18"/>
                <w:lang w:val="en-GB"/>
              </w:rPr>
            </w:pPr>
            <w:r>
              <w:rPr>
                <w:rFonts w:cs="Arial"/>
                <w:szCs w:val="18"/>
                <w:lang w:val="en-GB"/>
              </w:rPr>
              <w:t>26.</w:t>
            </w:r>
            <w:r w:rsidR="00FB593B">
              <w:rPr>
                <w:rFonts w:cs="Arial"/>
                <w:szCs w:val="18"/>
                <w:lang w:val="en-GB"/>
              </w:rPr>
              <w:t>88</w:t>
            </w:r>
            <w:r w:rsidR="00D1500A">
              <w:rPr>
                <w:rFonts w:cs="Arial"/>
                <w:szCs w:val="18"/>
                <w:lang w:val="en-GB"/>
              </w:rPr>
              <w:t>±</w:t>
            </w:r>
            <w:r w:rsidR="00D1500A">
              <w:rPr>
                <w:rFonts w:cs="Arial"/>
                <w:szCs w:val="18"/>
                <w:lang w:val="en-GB"/>
              </w:rPr>
              <w:t>0.25</w:t>
            </w:r>
          </w:p>
        </w:tc>
        <w:tc>
          <w:tcPr>
            <w:tcW w:w="1441" w:type="dxa"/>
            <w:shd w:val="clear" w:color="auto" w:fill="FFFFFF"/>
          </w:tcPr>
          <w:p w14:paraId="50AE0AB4" w14:textId="72F21E65" w:rsidR="00466083" w:rsidRPr="00B57B36" w:rsidRDefault="00466083" w:rsidP="00792549">
            <w:pPr>
              <w:pStyle w:val="CETBodytext"/>
              <w:ind w:right="-1"/>
              <w:rPr>
                <w:rFonts w:cs="Arial"/>
                <w:szCs w:val="18"/>
                <w:lang w:val="en-GB"/>
              </w:rPr>
            </w:pPr>
            <w:r>
              <w:rPr>
                <w:rFonts w:cs="Arial"/>
                <w:szCs w:val="18"/>
                <w:lang w:val="en-GB"/>
              </w:rPr>
              <w:t>54.9</w:t>
            </w:r>
            <w:r w:rsidR="00F5438D">
              <w:rPr>
                <w:rFonts w:cs="Arial"/>
                <w:szCs w:val="18"/>
                <w:lang w:val="en-GB"/>
              </w:rPr>
              <w:t>4</w:t>
            </w:r>
            <w:r w:rsidR="00D1500A">
              <w:rPr>
                <w:rFonts w:cs="Arial"/>
                <w:szCs w:val="18"/>
                <w:lang w:val="en-GB"/>
              </w:rPr>
              <w:t>±</w:t>
            </w:r>
            <w:r w:rsidR="00D1500A">
              <w:rPr>
                <w:rFonts w:cs="Arial"/>
                <w:szCs w:val="18"/>
                <w:lang w:val="en-GB"/>
              </w:rPr>
              <w:t>0.12</w:t>
            </w:r>
          </w:p>
        </w:tc>
      </w:tr>
    </w:tbl>
    <w:p w14:paraId="49941520" w14:textId="5938D590" w:rsidR="00FB3AEF" w:rsidRDefault="00FB3AEF" w:rsidP="00FB3AEF">
      <w:pPr>
        <w:pStyle w:val="CETBodytext"/>
      </w:pPr>
      <w:r>
        <w:t xml:space="preserve">The substrate analysis revealed a Total Solids (TS) </w:t>
      </w:r>
      <w:r w:rsidR="002129F2">
        <w:t>value</w:t>
      </w:r>
      <w:r>
        <w:t xml:space="preserve"> of approximately 60</w:t>
      </w:r>
      <w:r w:rsidR="002129F2">
        <w:t xml:space="preserve"> grams per kg of substrate</w:t>
      </w:r>
      <w:r>
        <w:t>, comprising 45</w:t>
      </w:r>
      <w:r w:rsidR="00CB1358">
        <w:t xml:space="preserve"> </w:t>
      </w:r>
      <w:r w:rsidR="002C3CF1">
        <w:t>g/kg of</w:t>
      </w:r>
      <w:r>
        <w:t xml:space="preserve"> Volatile Solids (VS) for the sludge and 49</w:t>
      </w:r>
      <w:r w:rsidR="002C3CF1">
        <w:t xml:space="preserve"> g/kg</w:t>
      </w:r>
      <w:r>
        <w:t xml:space="preserve"> with 27</w:t>
      </w:r>
      <w:r w:rsidR="00CB1358">
        <w:t xml:space="preserve"> g/kg</w:t>
      </w:r>
      <w:r>
        <w:t xml:space="preserve"> VS for the inoculum.</w:t>
      </w:r>
    </w:p>
    <w:p w14:paraId="7C2B0064" w14:textId="675E64C5" w:rsidR="00453E24" w:rsidRDefault="00FB3AEF" w:rsidP="00FB3AEF">
      <w:pPr>
        <w:pStyle w:val="CETBodytext"/>
      </w:pPr>
      <w:r>
        <w:t>Choosing a 1:1 ratio between the Volatile Solids of the substrate</w:t>
      </w:r>
      <w:r w:rsidR="004D7BE0">
        <w:t xml:space="preserve"> (</w:t>
      </w:r>
      <w:r w:rsidR="004D7BE0" w:rsidRPr="004D7BE0">
        <w:rPr>
          <w:i/>
          <w:iCs/>
        </w:rPr>
        <w:t>VS</w:t>
      </w:r>
      <w:r w:rsidR="004D7BE0" w:rsidRPr="004D7BE0">
        <w:rPr>
          <w:i/>
          <w:iCs/>
          <w:vertAlign w:val="subscript"/>
        </w:rPr>
        <w:t>s</w:t>
      </w:r>
      <w:r w:rsidR="004D7BE0">
        <w:t>)</w:t>
      </w:r>
      <w:r>
        <w:t xml:space="preserve"> and the inoculum</w:t>
      </w:r>
      <w:r w:rsidR="004D7BE0">
        <w:t xml:space="preserve"> (</w:t>
      </w:r>
      <w:r w:rsidR="004D7BE0" w:rsidRPr="004D7BE0">
        <w:rPr>
          <w:i/>
          <w:iCs/>
        </w:rPr>
        <w:t>VS</w:t>
      </w:r>
      <w:r w:rsidR="004D7BE0" w:rsidRPr="004D7BE0">
        <w:rPr>
          <w:i/>
          <w:iCs/>
          <w:vertAlign w:val="subscript"/>
        </w:rPr>
        <w:t>I</w:t>
      </w:r>
      <w:r w:rsidR="004D7BE0">
        <w:t>)</w:t>
      </w:r>
      <w:r>
        <w:t>, a mixture with a total volume of 160 g was formulated. This mixture consisted of 100</w:t>
      </w:r>
      <w:r w:rsidR="00153C78">
        <w:t xml:space="preserve"> </w:t>
      </w:r>
      <w:r>
        <w:t>g of inoculum and 60 g of sludge purification, representing a balanced blend of primary and secondary sludge.</w:t>
      </w:r>
    </w:p>
    <w:tbl>
      <w:tblPr>
        <w:tblW w:w="5000" w:type="pct"/>
        <w:tblLook w:val="04A0" w:firstRow="1" w:lastRow="0" w:firstColumn="1" w:lastColumn="0" w:noHBand="0" w:noVBand="1"/>
      </w:tblPr>
      <w:tblGrid>
        <w:gridCol w:w="7983"/>
        <w:gridCol w:w="804"/>
      </w:tblGrid>
      <w:tr w:rsidR="0017100A" w:rsidRPr="00B57B36" w14:paraId="01D0B35C" w14:textId="77777777" w:rsidTr="00D214E6">
        <w:tc>
          <w:tcPr>
            <w:tcW w:w="7983" w:type="dxa"/>
            <w:shd w:val="clear" w:color="auto" w:fill="auto"/>
            <w:vAlign w:val="center"/>
          </w:tcPr>
          <w:p w14:paraId="60ECF37E" w14:textId="3547E2B3" w:rsidR="00A5781B" w:rsidRPr="0042753C" w:rsidRDefault="00000000" w:rsidP="00543DC3">
            <w:pPr>
              <w:pStyle w:val="CETEquation"/>
            </w:pPr>
            <m:oMathPara>
              <m:oMathParaPr>
                <m:jc m:val="left"/>
              </m:oMathParaPr>
              <m:oMath>
                <m:f>
                  <m:fPr>
                    <m:ctrlPr>
                      <w:rPr>
                        <w:rFonts w:ascii="Cambria Math" w:hAnsi="Cambria Math"/>
                        <w:i/>
                        <w:lang w:val="it-IT"/>
                      </w:rPr>
                    </m:ctrlPr>
                  </m:fPr>
                  <m:num>
                    <w:commentRangeStart w:id="3"/>
                    <m:r>
                      <w:rPr>
                        <w:rFonts w:ascii="Cambria Math" w:hAnsi="Cambria Math"/>
                        <w:lang w:val="it-IT"/>
                      </w:rPr>
                      <m:t>V</m:t>
                    </m:r>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I</m:t>
                        </m:r>
                      </m:sub>
                    </m:sSub>
                    <w:commentRangeEnd w:id="3"/>
                    <m:r>
                      <m:rPr>
                        <m:sty m:val="p"/>
                      </m:rPr>
                      <w:rPr>
                        <w:rStyle w:val="Rimandocommento"/>
                      </w:rPr>
                      <w:commentReference w:id="3"/>
                    </m:r>
                  </m:num>
                  <m:den>
                    <m:r>
                      <w:rPr>
                        <w:rFonts w:ascii="Cambria Math" w:hAnsi="Cambria Math"/>
                        <w:lang w:val="it-IT"/>
                      </w:rPr>
                      <m:t>V</m:t>
                    </m:r>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S</m:t>
                        </m:r>
                      </m:sub>
                    </m:sSub>
                  </m:den>
                </m:f>
                <m:r>
                  <w:rPr>
                    <w:rFonts w:ascii="Cambria Math" w:hAnsi="Cambria Math"/>
                    <w:lang w:val="it-IT"/>
                  </w:rPr>
                  <m:t>=</m:t>
                </m:r>
                <m:f>
                  <m:fPr>
                    <m:ctrlPr>
                      <w:rPr>
                        <w:rFonts w:ascii="Cambria Math" w:hAnsi="Cambria Math"/>
                        <w:i/>
                        <w:lang w:val="it-IT"/>
                      </w:rPr>
                    </m:ctrlPr>
                  </m:fPr>
                  <m:num>
                    <m:r>
                      <w:rPr>
                        <w:rFonts w:ascii="Cambria Math" w:hAnsi="Cambria Math"/>
                        <w:lang w:val="it-IT"/>
                      </w:rPr>
                      <m:t>26.88</m:t>
                    </m:r>
                  </m:num>
                  <m:den>
                    <m:r>
                      <w:rPr>
                        <w:rFonts w:ascii="Cambria Math" w:hAnsi="Cambria Math"/>
                        <w:lang w:val="it-IT"/>
                      </w:rPr>
                      <m:t>45.58</m:t>
                    </m:r>
                  </m:den>
                </m:f>
                <m:r>
                  <w:rPr>
                    <w:rFonts w:ascii="Cambria Math" w:hAnsi="Cambria Math"/>
                    <w:lang w:val="it-IT"/>
                  </w:rPr>
                  <m:t>=0.59≃0.60</m:t>
                </m:r>
              </m:oMath>
            </m:oMathPara>
          </w:p>
        </w:tc>
        <w:tc>
          <w:tcPr>
            <w:tcW w:w="804" w:type="dxa"/>
            <w:shd w:val="clear" w:color="auto" w:fill="auto"/>
            <w:vAlign w:val="center"/>
          </w:tcPr>
          <w:p w14:paraId="7D46023C" w14:textId="77777777" w:rsidR="0017100A" w:rsidRPr="00B57B36" w:rsidRDefault="0017100A" w:rsidP="00581686">
            <w:pPr>
              <w:pStyle w:val="CETEquation"/>
              <w:jc w:val="right"/>
            </w:pPr>
            <w:r w:rsidRPr="00B57B36">
              <w:t>(1)</w:t>
            </w:r>
          </w:p>
        </w:tc>
      </w:tr>
    </w:tbl>
    <w:p w14:paraId="1498BEFA" w14:textId="00FEA4A7" w:rsidR="00FD3A44" w:rsidRDefault="009B3A7D" w:rsidP="00FB3AEF">
      <w:pPr>
        <w:pStyle w:val="CETBodytext"/>
      </w:pPr>
      <w:r w:rsidRPr="00A411B6">
        <w:t>The elemental analyses of the sewage sludge</w:t>
      </w:r>
      <w:r>
        <w:t xml:space="preserve"> and inoculum</w:t>
      </w:r>
      <w:r w:rsidRPr="00A411B6">
        <w:t xml:space="preserve"> were meticulously carried out at the Department of Environmental Biotechnology of Lodz using Flash 2000 Series Elemental Analyzers (Thermo Fisher Scientific), </w:t>
      </w:r>
      <w:r w:rsidR="00D214E6" w:rsidRPr="00D214E6">
        <w:t xml:space="preserve">providing a comprehensive understanding of its chemical composition and characteristics. </w:t>
      </w:r>
      <w:r w:rsidR="005F2CA5" w:rsidRPr="005F2CA5">
        <w:t xml:space="preserve">The detailed results are presented in </w:t>
      </w:r>
      <w:r w:rsidR="00493E16">
        <w:fldChar w:fldCharType="begin"/>
      </w:r>
      <w:r w:rsidR="00493E16">
        <w:instrText xml:space="preserve"> REF _Ref156144684 \h </w:instrText>
      </w:r>
      <w:r w:rsidR="00493E16">
        <w:fldChar w:fldCharType="separate"/>
      </w:r>
      <w:r w:rsidR="00493E16">
        <w:t xml:space="preserve">Table </w:t>
      </w:r>
      <w:r w:rsidR="00493E16">
        <w:rPr>
          <w:noProof/>
        </w:rPr>
        <w:t>2</w:t>
      </w:r>
      <w:r w:rsidR="00493E16">
        <w:fldChar w:fldCharType="end"/>
      </w:r>
      <w:r w:rsidR="005F2CA5" w:rsidRPr="005F2CA5">
        <w:t>, providing insights into the elemental components and characteristics of the sewage sludge being studied.</w:t>
      </w:r>
    </w:p>
    <w:p w14:paraId="3F31F2A7" w14:textId="2FE2EA2A" w:rsidR="00493E16" w:rsidRDefault="00493E16" w:rsidP="00493E16">
      <w:pPr>
        <w:pStyle w:val="CETTabletitle"/>
      </w:pPr>
      <w:bookmarkStart w:id="4" w:name="_Ref156144684"/>
      <w:r>
        <w:t xml:space="preserve">Table </w:t>
      </w:r>
      <w:r>
        <w:fldChar w:fldCharType="begin"/>
      </w:r>
      <w:r>
        <w:instrText xml:space="preserve"> SEQ Table \* ARABIC </w:instrText>
      </w:r>
      <w:r>
        <w:fldChar w:fldCharType="separate"/>
      </w:r>
      <w:r>
        <w:rPr>
          <w:noProof/>
        </w:rPr>
        <w:t>2</w:t>
      </w:r>
      <w:r>
        <w:fldChar w:fldCharType="end"/>
      </w:r>
      <w:bookmarkEnd w:id="4"/>
      <w:r>
        <w:t>: Sewage Sludge properties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83"/>
        <w:gridCol w:w="858"/>
        <w:gridCol w:w="1100"/>
        <w:gridCol w:w="1088"/>
        <w:gridCol w:w="1100"/>
        <w:gridCol w:w="1100"/>
        <w:gridCol w:w="1100"/>
        <w:gridCol w:w="1058"/>
      </w:tblGrid>
      <w:tr w:rsidR="008675BB" w:rsidRPr="00B57B36" w14:paraId="48EBE1AE" w14:textId="791D313C" w:rsidTr="008675BB">
        <w:trPr>
          <w:trHeight w:val="297"/>
        </w:trPr>
        <w:tc>
          <w:tcPr>
            <w:tcW w:w="1383" w:type="dxa"/>
            <w:tcBorders>
              <w:top w:val="single" w:sz="12" w:space="0" w:color="008000"/>
              <w:bottom w:val="single" w:sz="6" w:space="0" w:color="008000"/>
            </w:tcBorders>
            <w:shd w:val="clear" w:color="auto" w:fill="FFFFFF"/>
          </w:tcPr>
          <w:p w14:paraId="40844812" w14:textId="6E26E231" w:rsidR="008675BB" w:rsidRPr="00B57B36" w:rsidRDefault="008675BB" w:rsidP="00AD3926">
            <w:pPr>
              <w:pStyle w:val="CETBodytext"/>
              <w:rPr>
                <w:lang w:val="en-GB"/>
              </w:rPr>
            </w:pPr>
            <w:r>
              <w:rPr>
                <w:lang w:val="en-GB"/>
              </w:rPr>
              <w:t>Sample</w:t>
            </w:r>
            <w:r w:rsidRPr="00B57B36">
              <w:rPr>
                <w:lang w:val="en-GB"/>
              </w:rPr>
              <w:t xml:space="preserve"> </w:t>
            </w:r>
          </w:p>
        </w:tc>
        <w:tc>
          <w:tcPr>
            <w:tcW w:w="858" w:type="dxa"/>
            <w:tcBorders>
              <w:top w:val="single" w:sz="12" w:space="0" w:color="008000"/>
              <w:bottom w:val="single" w:sz="6" w:space="0" w:color="008000"/>
            </w:tcBorders>
            <w:shd w:val="clear" w:color="auto" w:fill="FFFFFF"/>
          </w:tcPr>
          <w:p w14:paraId="2DCDADA3" w14:textId="66BB9875" w:rsidR="008675BB" w:rsidRPr="00B57B36" w:rsidRDefault="008675BB" w:rsidP="00AD3926">
            <w:pPr>
              <w:pStyle w:val="CETBodytext"/>
              <w:rPr>
                <w:lang w:val="en-GB"/>
              </w:rPr>
            </w:pPr>
            <w:r>
              <w:rPr>
                <w:lang w:val="en-GB"/>
              </w:rPr>
              <w:t>Unit</w:t>
            </w:r>
          </w:p>
        </w:tc>
        <w:tc>
          <w:tcPr>
            <w:tcW w:w="1100" w:type="dxa"/>
            <w:tcBorders>
              <w:top w:val="single" w:sz="12" w:space="0" w:color="008000"/>
              <w:bottom w:val="single" w:sz="6" w:space="0" w:color="008000"/>
            </w:tcBorders>
            <w:shd w:val="clear" w:color="auto" w:fill="FFFFFF"/>
          </w:tcPr>
          <w:p w14:paraId="468B0A8D" w14:textId="308C3E9F" w:rsidR="008675BB" w:rsidRPr="00B57B36" w:rsidRDefault="008675BB" w:rsidP="00AD3926">
            <w:pPr>
              <w:pStyle w:val="CETBodytext"/>
              <w:rPr>
                <w:lang w:val="en-GB"/>
              </w:rPr>
            </w:pPr>
            <w:r>
              <w:rPr>
                <w:lang w:val="en-GB"/>
              </w:rPr>
              <w:t>C</w:t>
            </w:r>
          </w:p>
        </w:tc>
        <w:tc>
          <w:tcPr>
            <w:tcW w:w="1088" w:type="dxa"/>
            <w:tcBorders>
              <w:top w:val="single" w:sz="12" w:space="0" w:color="008000"/>
              <w:bottom w:val="single" w:sz="6" w:space="0" w:color="008000"/>
            </w:tcBorders>
            <w:shd w:val="clear" w:color="auto" w:fill="FFFFFF"/>
          </w:tcPr>
          <w:p w14:paraId="5F208FDF" w14:textId="0F4B201F" w:rsidR="008675BB" w:rsidRPr="00B57B36" w:rsidRDefault="008675BB" w:rsidP="00AD3926">
            <w:pPr>
              <w:pStyle w:val="CETBodytext"/>
              <w:ind w:right="-1"/>
              <w:rPr>
                <w:rFonts w:cs="Arial"/>
                <w:szCs w:val="18"/>
                <w:lang w:val="en-GB"/>
              </w:rPr>
            </w:pPr>
            <w:r>
              <w:rPr>
                <w:rFonts w:cs="Arial"/>
                <w:szCs w:val="18"/>
                <w:lang w:val="en-GB"/>
              </w:rPr>
              <w:t>H</w:t>
            </w:r>
          </w:p>
        </w:tc>
        <w:tc>
          <w:tcPr>
            <w:tcW w:w="1100" w:type="dxa"/>
            <w:tcBorders>
              <w:top w:val="single" w:sz="12" w:space="0" w:color="008000"/>
              <w:bottom w:val="single" w:sz="6" w:space="0" w:color="008000"/>
            </w:tcBorders>
            <w:shd w:val="clear" w:color="auto" w:fill="FFFFFF"/>
          </w:tcPr>
          <w:p w14:paraId="7F3C573E" w14:textId="501C0E3E" w:rsidR="008675BB" w:rsidRPr="00B57B36" w:rsidRDefault="008675BB" w:rsidP="00AD3926">
            <w:pPr>
              <w:pStyle w:val="CETBodytext"/>
              <w:ind w:right="-1"/>
              <w:rPr>
                <w:rFonts w:cs="Arial"/>
                <w:szCs w:val="18"/>
                <w:lang w:val="en-GB"/>
              </w:rPr>
            </w:pPr>
            <w:r>
              <w:rPr>
                <w:rFonts w:cs="Arial"/>
                <w:szCs w:val="18"/>
                <w:lang w:val="en-GB"/>
              </w:rPr>
              <w:t>N</w:t>
            </w:r>
          </w:p>
        </w:tc>
        <w:tc>
          <w:tcPr>
            <w:tcW w:w="1100" w:type="dxa"/>
            <w:tcBorders>
              <w:top w:val="single" w:sz="12" w:space="0" w:color="008000"/>
              <w:bottom w:val="single" w:sz="6" w:space="0" w:color="008000"/>
            </w:tcBorders>
            <w:shd w:val="clear" w:color="auto" w:fill="FFFFFF"/>
          </w:tcPr>
          <w:p w14:paraId="5810C4D7" w14:textId="56737CAD" w:rsidR="008675BB" w:rsidRDefault="008675BB" w:rsidP="00AD3926">
            <w:pPr>
              <w:pStyle w:val="CETBodytext"/>
              <w:ind w:right="-1"/>
              <w:rPr>
                <w:rFonts w:cs="Arial"/>
                <w:szCs w:val="18"/>
                <w:lang w:val="en-GB"/>
              </w:rPr>
            </w:pPr>
            <w:r>
              <w:rPr>
                <w:rFonts w:cs="Arial"/>
                <w:szCs w:val="18"/>
                <w:lang w:val="en-GB"/>
              </w:rPr>
              <w:t>P</w:t>
            </w:r>
          </w:p>
        </w:tc>
        <w:tc>
          <w:tcPr>
            <w:tcW w:w="1100" w:type="dxa"/>
            <w:tcBorders>
              <w:top w:val="single" w:sz="12" w:space="0" w:color="008000"/>
              <w:bottom w:val="single" w:sz="6" w:space="0" w:color="008000"/>
            </w:tcBorders>
            <w:shd w:val="clear" w:color="auto" w:fill="FFFFFF"/>
          </w:tcPr>
          <w:p w14:paraId="7FC7CFF2" w14:textId="315211D2" w:rsidR="008675BB" w:rsidRDefault="008675BB" w:rsidP="00AD3926">
            <w:pPr>
              <w:pStyle w:val="CETBodytext"/>
              <w:ind w:right="-1"/>
              <w:rPr>
                <w:rFonts w:cs="Arial"/>
                <w:szCs w:val="18"/>
                <w:lang w:val="en-GB"/>
              </w:rPr>
            </w:pPr>
            <w:r>
              <w:rPr>
                <w:rFonts w:cs="Arial"/>
                <w:szCs w:val="18"/>
                <w:lang w:val="en-GB"/>
              </w:rPr>
              <w:t>S</w:t>
            </w:r>
          </w:p>
        </w:tc>
        <w:tc>
          <w:tcPr>
            <w:tcW w:w="1058" w:type="dxa"/>
            <w:tcBorders>
              <w:top w:val="single" w:sz="12" w:space="0" w:color="008000"/>
              <w:bottom w:val="single" w:sz="6" w:space="0" w:color="008000"/>
            </w:tcBorders>
            <w:shd w:val="clear" w:color="auto" w:fill="FFFFFF"/>
          </w:tcPr>
          <w:p w14:paraId="6FF6BF9C" w14:textId="6A98CB8F" w:rsidR="008675BB" w:rsidRDefault="008675BB" w:rsidP="00AD3926">
            <w:pPr>
              <w:pStyle w:val="CETBodytext"/>
              <w:ind w:right="-1"/>
              <w:rPr>
                <w:rFonts w:cs="Arial"/>
                <w:szCs w:val="18"/>
                <w:lang w:val="en-GB"/>
              </w:rPr>
            </w:pPr>
            <w:r>
              <w:rPr>
                <w:rFonts w:cs="Arial"/>
                <w:szCs w:val="18"/>
                <w:lang w:val="en-GB"/>
              </w:rPr>
              <w:t>O</w:t>
            </w:r>
          </w:p>
        </w:tc>
      </w:tr>
      <w:tr w:rsidR="008675BB" w:rsidRPr="00B57B36" w14:paraId="592B51F9" w14:textId="1E90DD8B" w:rsidTr="008675BB">
        <w:trPr>
          <w:trHeight w:val="313"/>
        </w:trPr>
        <w:tc>
          <w:tcPr>
            <w:tcW w:w="1383" w:type="dxa"/>
            <w:shd w:val="clear" w:color="auto" w:fill="FFFFFF"/>
          </w:tcPr>
          <w:p w14:paraId="1C3DA94E" w14:textId="2ADBF672" w:rsidR="008675BB" w:rsidRPr="00B57B36" w:rsidRDefault="008675BB" w:rsidP="00AD3926">
            <w:pPr>
              <w:pStyle w:val="CETBodytext"/>
              <w:rPr>
                <w:lang w:val="en-GB"/>
              </w:rPr>
            </w:pPr>
            <w:r>
              <w:rPr>
                <w:lang w:val="en-GB"/>
              </w:rPr>
              <w:t>Sewage Sludge</w:t>
            </w:r>
          </w:p>
        </w:tc>
        <w:tc>
          <w:tcPr>
            <w:tcW w:w="858" w:type="dxa"/>
            <w:shd w:val="clear" w:color="auto" w:fill="FFFFFF"/>
          </w:tcPr>
          <w:p w14:paraId="0494C7B1" w14:textId="260F82F8" w:rsidR="008675BB" w:rsidRPr="00B57B36" w:rsidRDefault="008675BB" w:rsidP="00AD3926">
            <w:pPr>
              <w:pStyle w:val="CETBodytext"/>
              <w:rPr>
                <w:lang w:val="en-GB"/>
              </w:rPr>
            </w:pPr>
            <w:r>
              <w:rPr>
                <w:lang w:val="en-GB"/>
              </w:rPr>
              <w:t>%TS</w:t>
            </w:r>
          </w:p>
        </w:tc>
        <w:tc>
          <w:tcPr>
            <w:tcW w:w="1100" w:type="dxa"/>
            <w:shd w:val="clear" w:color="auto" w:fill="FFFFFF"/>
          </w:tcPr>
          <w:p w14:paraId="5ABD872C" w14:textId="5C50904B" w:rsidR="008675BB" w:rsidRPr="00B57B36" w:rsidRDefault="008675BB" w:rsidP="00AD3926">
            <w:pPr>
              <w:pStyle w:val="CETBodytext"/>
              <w:rPr>
                <w:lang w:val="en-GB"/>
              </w:rPr>
            </w:pPr>
            <w:r>
              <w:rPr>
                <w:lang w:val="en-GB"/>
              </w:rPr>
              <w:t>67.2</w:t>
            </w:r>
          </w:p>
        </w:tc>
        <w:tc>
          <w:tcPr>
            <w:tcW w:w="1088" w:type="dxa"/>
            <w:shd w:val="clear" w:color="auto" w:fill="FFFFFF"/>
          </w:tcPr>
          <w:p w14:paraId="33F793D4" w14:textId="1B5C38E2" w:rsidR="008675BB" w:rsidRPr="00B57B36" w:rsidRDefault="008675BB" w:rsidP="00AD3926">
            <w:pPr>
              <w:pStyle w:val="CETBodytext"/>
              <w:ind w:right="-1"/>
              <w:rPr>
                <w:rFonts w:cs="Arial"/>
                <w:szCs w:val="18"/>
                <w:lang w:val="en-GB"/>
              </w:rPr>
            </w:pPr>
            <w:r>
              <w:rPr>
                <w:rFonts w:cs="Arial"/>
                <w:szCs w:val="18"/>
                <w:lang w:val="en-GB"/>
              </w:rPr>
              <w:t>4.9</w:t>
            </w:r>
          </w:p>
        </w:tc>
        <w:tc>
          <w:tcPr>
            <w:tcW w:w="1100" w:type="dxa"/>
            <w:shd w:val="clear" w:color="auto" w:fill="FFFFFF"/>
          </w:tcPr>
          <w:p w14:paraId="3BEEF49F" w14:textId="06D300A8" w:rsidR="008675BB" w:rsidRPr="00B57B36" w:rsidRDefault="008675BB" w:rsidP="00AD3926">
            <w:pPr>
              <w:pStyle w:val="CETBodytext"/>
              <w:ind w:right="-1"/>
              <w:rPr>
                <w:rFonts w:cs="Arial"/>
                <w:szCs w:val="18"/>
                <w:lang w:val="en-GB"/>
              </w:rPr>
            </w:pPr>
            <w:r>
              <w:rPr>
                <w:rFonts w:cs="Arial"/>
                <w:szCs w:val="18"/>
                <w:lang w:val="en-GB"/>
              </w:rPr>
              <w:t>3.73</w:t>
            </w:r>
          </w:p>
        </w:tc>
        <w:tc>
          <w:tcPr>
            <w:tcW w:w="1100" w:type="dxa"/>
            <w:shd w:val="clear" w:color="auto" w:fill="FFFFFF"/>
          </w:tcPr>
          <w:p w14:paraId="453FE7B9" w14:textId="13A5B641" w:rsidR="008675BB" w:rsidRPr="00B57B36" w:rsidRDefault="008675BB" w:rsidP="00AD3926">
            <w:pPr>
              <w:pStyle w:val="CETBodytext"/>
              <w:ind w:right="-1"/>
              <w:rPr>
                <w:rFonts w:cs="Arial"/>
                <w:szCs w:val="18"/>
                <w:lang w:val="en-GB"/>
              </w:rPr>
            </w:pPr>
            <w:r>
              <w:rPr>
                <w:rFonts w:cs="Arial"/>
                <w:szCs w:val="18"/>
                <w:lang w:val="en-GB"/>
              </w:rPr>
              <w:t>0.36</w:t>
            </w:r>
          </w:p>
        </w:tc>
        <w:tc>
          <w:tcPr>
            <w:tcW w:w="1100" w:type="dxa"/>
            <w:shd w:val="clear" w:color="auto" w:fill="FFFFFF"/>
          </w:tcPr>
          <w:p w14:paraId="2960472F" w14:textId="6479BAFE" w:rsidR="008675BB" w:rsidRPr="00B57B36" w:rsidRDefault="008675BB" w:rsidP="00AD3926">
            <w:pPr>
              <w:pStyle w:val="CETBodytext"/>
              <w:ind w:right="-1"/>
              <w:rPr>
                <w:rFonts w:cs="Arial"/>
                <w:szCs w:val="18"/>
                <w:lang w:val="en-GB"/>
              </w:rPr>
            </w:pPr>
            <w:r>
              <w:rPr>
                <w:rFonts w:cs="Arial"/>
                <w:szCs w:val="18"/>
                <w:lang w:val="en-GB"/>
              </w:rPr>
              <w:t>0.11</w:t>
            </w:r>
          </w:p>
        </w:tc>
        <w:tc>
          <w:tcPr>
            <w:tcW w:w="1058" w:type="dxa"/>
            <w:shd w:val="clear" w:color="auto" w:fill="FFFFFF"/>
          </w:tcPr>
          <w:p w14:paraId="368FE3DB" w14:textId="550590B7" w:rsidR="008675BB" w:rsidRDefault="008675BB" w:rsidP="00AD3926">
            <w:pPr>
              <w:pStyle w:val="CETBodytext"/>
              <w:ind w:right="-1"/>
              <w:rPr>
                <w:rFonts w:cs="Arial"/>
                <w:szCs w:val="18"/>
                <w:lang w:val="en-GB"/>
              </w:rPr>
            </w:pPr>
            <w:r>
              <w:rPr>
                <w:rFonts w:cs="Arial"/>
                <w:szCs w:val="18"/>
                <w:lang w:val="en-GB"/>
              </w:rPr>
              <w:t>2</w:t>
            </w:r>
            <w:r w:rsidR="00DD0A93">
              <w:rPr>
                <w:rFonts w:cs="Arial"/>
                <w:szCs w:val="18"/>
                <w:lang w:val="en-GB"/>
              </w:rPr>
              <w:t>3.7</w:t>
            </w:r>
          </w:p>
        </w:tc>
      </w:tr>
    </w:tbl>
    <w:p w14:paraId="75350327" w14:textId="77777777" w:rsidR="005F2CA5" w:rsidRDefault="005F2CA5" w:rsidP="00FB3AEF">
      <w:pPr>
        <w:pStyle w:val="CETBodytext"/>
      </w:pPr>
    </w:p>
    <w:p w14:paraId="17D64D3C" w14:textId="42104B72" w:rsidR="00B2450F" w:rsidRPr="00B2450F" w:rsidRDefault="002906E9" w:rsidP="002E3540">
      <w:pPr>
        <w:pStyle w:val="CETheadingx"/>
      </w:pPr>
      <w:commentRangeStart w:id="5"/>
      <w:r>
        <w:t>Biochar and Hydrochar</w:t>
      </w:r>
      <w:commentRangeEnd w:id="5"/>
      <w:r w:rsidR="00737793">
        <w:rPr>
          <w:rStyle w:val="Rimandocommento"/>
          <w:b w:val="0"/>
          <w:lang w:val="en-GB"/>
        </w:rPr>
        <w:commentReference w:id="5"/>
      </w:r>
    </w:p>
    <w:p w14:paraId="2C760FBD" w14:textId="0B43C566" w:rsidR="008D56E0" w:rsidRPr="008D56E0" w:rsidRDefault="008D56E0" w:rsidP="008D56E0">
      <w:pPr>
        <w:pStyle w:val="CETBodytext"/>
        <w:rPr>
          <w:lang w:val="en-GB"/>
        </w:rPr>
      </w:pPr>
      <w:r w:rsidRPr="008D56E0">
        <w:rPr>
          <w:lang w:val="en-GB"/>
        </w:rPr>
        <w:t>This study aim</w:t>
      </w:r>
      <w:r w:rsidR="00933148">
        <w:rPr>
          <w:lang w:val="en-GB"/>
        </w:rPr>
        <w:t>s</w:t>
      </w:r>
      <w:r w:rsidRPr="008D56E0">
        <w:rPr>
          <w:lang w:val="en-GB"/>
        </w:rPr>
        <w:t xml:space="preserve"> to assess the influence of different biochar materials on the anaerobic digestion of sewage sludge in batch reactors. The experiments were carried out using glass reactors with a total volume of 500 m</w:t>
      </w:r>
      <w:r w:rsidR="00BC0582">
        <w:rPr>
          <w:lang w:val="en-GB"/>
        </w:rPr>
        <w:t>l</w:t>
      </w:r>
      <w:r w:rsidRPr="008D56E0">
        <w:rPr>
          <w:lang w:val="en-GB"/>
        </w:rPr>
        <w:t xml:space="preserve"> and a working volume of 200 m</w:t>
      </w:r>
      <w:r w:rsidR="00764EC2">
        <w:rPr>
          <w:lang w:val="en-GB"/>
        </w:rPr>
        <w:t>l</w:t>
      </w:r>
      <w:r w:rsidRPr="008D56E0">
        <w:rPr>
          <w:lang w:val="en-GB"/>
        </w:rPr>
        <w:t>. Initially, a base mixture (blank) comprising sludge and inoculum, covering an approximate volume of 160 ml, was introduced into the reactors. Subsequently, varying doses (0.5g, 2g, 5g</w:t>
      </w:r>
      <w:r w:rsidR="00E631B9">
        <w:rPr>
          <w:lang w:val="en-GB"/>
        </w:rPr>
        <w:t>, 8g</w:t>
      </w:r>
      <w:r w:rsidRPr="008D56E0">
        <w:rPr>
          <w:lang w:val="en-GB"/>
        </w:rPr>
        <w:t>) of both biochar and hydrochar were added to each reactor, with two repetitions for each dose.</w:t>
      </w:r>
    </w:p>
    <w:p w14:paraId="3F194220" w14:textId="227C2342" w:rsidR="00B2450F" w:rsidRDefault="008D56E0" w:rsidP="00453E24">
      <w:pPr>
        <w:pStyle w:val="CETBodytext"/>
        <w:rPr>
          <w:lang w:val="en-GB"/>
        </w:rPr>
      </w:pPr>
      <w:r w:rsidRPr="008D56E0">
        <w:rPr>
          <w:lang w:val="en-GB"/>
        </w:rPr>
        <w:t xml:space="preserve">Biochar, a solid product resulting from biomass degradation through pyrolysis, is widely recognized for its soil improvement properties. It provides stable, slow-release carbon, enhances nutrient retention, </w:t>
      </w:r>
      <w:r w:rsidR="00C374B4">
        <w:rPr>
          <w:lang w:val="en-GB"/>
        </w:rPr>
        <w:t xml:space="preserve">and </w:t>
      </w:r>
      <w:r w:rsidRPr="008D56E0">
        <w:rPr>
          <w:lang w:val="en-GB"/>
        </w:rPr>
        <w:t>regulates water characteristics</w:t>
      </w:r>
      <w:r w:rsidR="00C374B4">
        <w:rPr>
          <w:lang w:val="en-GB"/>
        </w:rPr>
        <w:t xml:space="preserve"> </w:t>
      </w:r>
      <w:sdt>
        <w:sdtPr>
          <w:rPr>
            <w:lang w:val="en-GB"/>
          </w:rPr>
          <w:id w:val="192896923"/>
          <w:citation/>
        </w:sdtPr>
        <w:sdtContent>
          <w:r w:rsidR="00F9609B">
            <w:rPr>
              <w:lang w:val="en-GB"/>
            </w:rPr>
            <w:fldChar w:fldCharType="begin"/>
          </w:r>
          <w:r w:rsidR="00F9609B" w:rsidRPr="00F9609B">
            <w:instrText xml:space="preserve"> CITATION Tua221 \l 1040 </w:instrText>
          </w:r>
          <w:r w:rsidR="00F9609B">
            <w:rPr>
              <w:lang w:val="en-GB"/>
            </w:rPr>
            <w:fldChar w:fldCharType="separate"/>
          </w:r>
          <w:r w:rsidR="00927678">
            <w:rPr>
              <w:noProof/>
            </w:rPr>
            <w:t>(Anh, et al., 2022)</w:t>
          </w:r>
          <w:r w:rsidR="00F9609B">
            <w:rPr>
              <w:lang w:val="en-GB"/>
            </w:rPr>
            <w:fldChar w:fldCharType="end"/>
          </w:r>
        </w:sdtContent>
      </w:sdt>
      <w:r w:rsidRPr="008D56E0">
        <w:rPr>
          <w:lang w:val="en-GB"/>
        </w:rPr>
        <w:t>. In contaminated soils, biochar's attributes contribute to heavy metal containment and the degradation of organic compounds. Recent studies underscore biochar's crucial features, including high porosity, a substantial specific surface area, good electrical conductivity, and specific surface functional groups, rendering it suitable for diverse roles such as a catalyst or adsorbent. The incorporation of biochar into anaerobic digestion reactors proves advantageous for process stabilization and increased methane production. Its diverse physicochemical properties, controlled during production, make it adaptable for specific applications.</w:t>
      </w:r>
      <w:r w:rsidR="00CA1055">
        <w:rPr>
          <w:lang w:val="en-GB"/>
        </w:rPr>
        <w:t xml:space="preserve"> </w:t>
      </w:r>
      <w:r w:rsidR="003766E9" w:rsidRPr="003766E9">
        <w:rPr>
          <w:lang w:val="en-GB"/>
        </w:rPr>
        <w:t>The biochar utilized in this study originates from a commercial supplier specializing in the sale of this material as a fertilizer product.</w:t>
      </w:r>
      <w:r w:rsidR="001E43E1">
        <w:rPr>
          <w:lang w:val="en-GB"/>
        </w:rPr>
        <w:t xml:space="preserve"> </w:t>
      </w:r>
      <w:r w:rsidRPr="008D56E0">
        <w:rPr>
          <w:lang w:val="en-GB"/>
        </w:rPr>
        <w:t>Hydrochar, a carbon-rich solid produced through the hydrothermal carbonization of biomass, was investigated using the same starting biomass as the sewage sludge in the anaerobic digestion process</w:t>
      </w:r>
      <w:r w:rsidR="00FC2A6A">
        <w:rPr>
          <w:lang w:val="en-GB"/>
        </w:rPr>
        <w:t>.</w:t>
      </w:r>
      <w:r w:rsidR="003766E9">
        <w:rPr>
          <w:lang w:val="en-GB"/>
        </w:rPr>
        <w:t xml:space="preserve"> </w:t>
      </w:r>
      <w:r w:rsidR="003766E9" w:rsidRPr="003766E9">
        <w:rPr>
          <w:lang w:val="en-GB"/>
        </w:rPr>
        <w:t xml:space="preserve">In this study, a hydrochar derived from </w:t>
      </w:r>
      <w:proofErr w:type="gramStart"/>
      <w:r w:rsidR="003766E9" w:rsidRPr="003766E9">
        <w:rPr>
          <w:lang w:val="en-GB"/>
        </w:rPr>
        <w:t>a</w:t>
      </w:r>
      <w:proofErr w:type="gramEnd"/>
      <w:r w:rsidR="003766E9" w:rsidRPr="003766E9">
        <w:rPr>
          <w:lang w:val="en-GB"/>
        </w:rPr>
        <w:t xml:space="preserve"> HTC process employing sewage sludge as biomass is utilized.</w:t>
      </w:r>
    </w:p>
    <w:p w14:paraId="7D410DA6" w14:textId="77D9CE87" w:rsidR="00B2450F" w:rsidRDefault="003274EE" w:rsidP="002E3540">
      <w:pPr>
        <w:pStyle w:val="CETheadingx"/>
      </w:pPr>
      <w:r>
        <w:t xml:space="preserve">Anaerobic digestion with different doses of </w:t>
      </w:r>
      <w:commentRangeStart w:id="6"/>
      <w:commentRangeStart w:id="7"/>
      <w:r>
        <w:t>biochar</w:t>
      </w:r>
      <w:commentRangeEnd w:id="6"/>
      <w:r w:rsidR="006E0D18">
        <w:rPr>
          <w:rStyle w:val="Rimandocommento"/>
          <w:b w:val="0"/>
          <w:lang w:val="en-GB"/>
        </w:rPr>
        <w:commentReference w:id="6"/>
      </w:r>
      <w:commentRangeEnd w:id="7"/>
      <w:r w:rsidR="003766E9">
        <w:rPr>
          <w:rStyle w:val="Rimandocommento"/>
          <w:b w:val="0"/>
          <w:lang w:val="en-GB"/>
        </w:rPr>
        <w:commentReference w:id="7"/>
      </w:r>
    </w:p>
    <w:p w14:paraId="6BC28817" w14:textId="4E8813EB" w:rsidR="00E11ED1" w:rsidRDefault="00E11ED1" w:rsidP="00E11ED1">
      <w:pPr>
        <w:pStyle w:val="Corpotesto"/>
        <w:spacing w:after="0"/>
      </w:pPr>
      <w:r>
        <w:t>The potential impact of biochar</w:t>
      </w:r>
      <w:r w:rsidR="0083274D">
        <w:t xml:space="preserve"> (BC)</w:t>
      </w:r>
      <w:r>
        <w:t xml:space="preserve"> on methanogenesis, a crucial component of the global carbon cycle, has been explored. Previous studies support the use of BC as an additive in AD processes for various substrates, showing improvements in volatile fatty acids (VFAs) degradation rate and methane production yield.</w:t>
      </w:r>
    </w:p>
    <w:p w14:paraId="65CDD1D2" w14:textId="1EE21549" w:rsidR="003B2B4F" w:rsidRPr="00B57B36" w:rsidRDefault="00E11ED1" w:rsidP="00B645C5">
      <w:pPr>
        <w:pStyle w:val="Corpotesto"/>
        <w:spacing w:after="0"/>
      </w:pPr>
      <w:r>
        <w:t xml:space="preserve">Studies by </w:t>
      </w:r>
      <w:sdt>
        <w:sdtPr>
          <w:id w:val="-1060626877"/>
          <w:citation/>
        </w:sdtPr>
        <w:sdtContent>
          <w:r w:rsidR="001171C8">
            <w:fldChar w:fldCharType="begin"/>
          </w:r>
          <w:r w:rsidR="001171C8" w:rsidRPr="001171C8">
            <w:rPr>
              <w:lang w:val="en-US"/>
            </w:rPr>
            <w:instrText xml:space="preserve"> CITATION XWa17 \l 1040 </w:instrText>
          </w:r>
          <w:r w:rsidR="001171C8">
            <w:fldChar w:fldCharType="separate"/>
          </w:r>
          <w:r w:rsidR="00927678" w:rsidRPr="00927678">
            <w:rPr>
              <w:noProof/>
              <w:lang w:val="en-US"/>
            </w:rPr>
            <w:t>(X. Wang, 2017)</w:t>
          </w:r>
          <w:r w:rsidR="001171C8">
            <w:fldChar w:fldCharType="end"/>
          </w:r>
        </w:sdtContent>
      </w:sdt>
      <w:r w:rsidR="008A0231">
        <w:t xml:space="preserve"> hi</w:t>
      </w:r>
      <w:r>
        <w:t xml:space="preserve">ghlighted BC's positive effects on food waste and </w:t>
      </w:r>
      <w:r w:rsidR="00F96282">
        <w:t xml:space="preserve">the </w:t>
      </w:r>
      <w:r>
        <w:t>organic fraction of municipal solid waste (FORSU) digestion. Additionally,</w:t>
      </w:r>
      <w:r w:rsidR="001171C8">
        <w:t xml:space="preserve"> </w:t>
      </w:r>
      <w:sdt>
        <w:sdtPr>
          <w:id w:val="744613149"/>
          <w:citation/>
        </w:sdtPr>
        <w:sdtContent>
          <w:r w:rsidR="001171C8">
            <w:fldChar w:fldCharType="begin"/>
          </w:r>
          <w:r w:rsidR="001171C8" w:rsidRPr="001171C8">
            <w:rPr>
              <w:lang w:val="en-US"/>
            </w:rPr>
            <w:instrText xml:space="preserve"> CITATION YSh15 \l 1040 </w:instrText>
          </w:r>
          <w:r w:rsidR="001171C8">
            <w:fldChar w:fldCharType="separate"/>
          </w:r>
          <w:r w:rsidR="00927678" w:rsidRPr="00927678">
            <w:rPr>
              <w:noProof/>
              <w:lang w:val="en-US"/>
            </w:rPr>
            <w:t>(Y. Shen, 2015)</w:t>
          </w:r>
          <w:r w:rsidR="001171C8">
            <w:fldChar w:fldCharType="end"/>
          </w:r>
        </w:sdtContent>
      </w:sdt>
      <w:r w:rsidR="001171C8">
        <w:t xml:space="preserve"> </w:t>
      </w:r>
      <w:r>
        <w:t>demonstrated BC's ability to increase sludge alkalinity and mitigate ammonia inhibition in anaerobic digestion systems. BC has been shown to enhance nutrient retention and optimize the carbon-nitrogen ratio. The study involved adding different doses of BC to sewage sludge with the anaerobic digestion process conducted in 11 glass flasks</w:t>
      </w:r>
      <w:r w:rsidR="007A0725">
        <w:t xml:space="preserve"> of 500 ml</w:t>
      </w:r>
      <w:r>
        <w:t xml:space="preserve">. </w:t>
      </w:r>
      <w:r w:rsidR="00CB3ECC" w:rsidRPr="00CB3ECC">
        <w:t xml:space="preserve">The </w:t>
      </w:r>
      <w:r w:rsidR="00CB3ECC">
        <w:t>BC</w:t>
      </w:r>
      <w:r w:rsidR="00CB3ECC" w:rsidRPr="00CB3ECC">
        <w:t xml:space="preserve"> used in this study was a commercially available type obtained as a fertilized product from pyrolysis. It was sourced from a commercial store in Poland.</w:t>
      </w:r>
      <w:r w:rsidR="00CB3ECC">
        <w:t xml:space="preserve"> </w:t>
      </w:r>
      <w:r>
        <w:t>The doses (0.</w:t>
      </w:r>
      <w:r w:rsidRPr="006E6A5D">
        <w:t>5</w:t>
      </w:r>
      <w:r w:rsidR="006E6A5D">
        <w:t> </w:t>
      </w:r>
      <w:r w:rsidRPr="006E6A5D">
        <w:t>g</w:t>
      </w:r>
      <w:r>
        <w:t>, 2</w:t>
      </w:r>
      <w:r w:rsidR="006E6A5D">
        <w:t> </w:t>
      </w:r>
      <w:r>
        <w:t>g, 5</w:t>
      </w:r>
      <w:r w:rsidR="006E6A5D">
        <w:t> </w:t>
      </w:r>
      <w:r>
        <w:t>g</w:t>
      </w:r>
      <w:r w:rsidR="00D0291E">
        <w:t>,</w:t>
      </w:r>
      <w:r w:rsidR="00286598">
        <w:t xml:space="preserve"> </w:t>
      </w:r>
      <w:r w:rsidR="00D0291E">
        <w:t>8</w:t>
      </w:r>
      <w:r w:rsidR="006E6A5D">
        <w:t> </w:t>
      </w:r>
      <w:r w:rsidR="00D0291E">
        <w:t>g</w:t>
      </w:r>
      <w:r>
        <w:t>) were added to a substrate of 60 grams of sludge and 100 grams of inoculum, with each dose repeated twice for experimentation.</w:t>
      </w:r>
    </w:p>
    <w:p w14:paraId="217303B0" w14:textId="1B53B4C1" w:rsidR="00C82E5D" w:rsidRDefault="00C82E5D" w:rsidP="002E3540">
      <w:pPr>
        <w:pStyle w:val="CETheadingx"/>
      </w:pPr>
      <w:r>
        <w:t>Anaero</w:t>
      </w:r>
      <w:r w:rsidR="00D44E9A">
        <w:t>bic digestion with different doses of hydrochar</w:t>
      </w:r>
    </w:p>
    <w:p w14:paraId="5646D277" w14:textId="4DED163B" w:rsidR="00ED5702" w:rsidRDefault="00ED5702" w:rsidP="00ED5702">
      <w:pPr>
        <w:pStyle w:val="CETBodytext"/>
      </w:pPr>
      <w:r>
        <w:t xml:space="preserve">The study explored the </w:t>
      </w:r>
      <w:r w:rsidR="00700ADD">
        <w:t>AD</w:t>
      </w:r>
      <w:r>
        <w:t xml:space="preserve"> of sewage sludge with varying doses of hydrochar (HC), a carbon-rich solid product derived from the hydrothermal carbonization (HTC) process known for positively impacting methane generation. Previous research, such as that by </w:t>
      </w:r>
      <w:sdt>
        <w:sdtPr>
          <w:id w:val="-1640567525"/>
          <w:citation/>
        </w:sdtPr>
        <w:sdtContent>
          <w:r w:rsidR="008669DF">
            <w:fldChar w:fldCharType="begin"/>
          </w:r>
          <w:r w:rsidR="008669DF" w:rsidRPr="008669DF">
            <w:instrText xml:space="preserve"> CITATION XWa17 \l 1040 </w:instrText>
          </w:r>
          <w:r w:rsidR="008669DF">
            <w:fldChar w:fldCharType="separate"/>
          </w:r>
          <w:r w:rsidR="00927678">
            <w:rPr>
              <w:noProof/>
            </w:rPr>
            <w:t>(X. Wang, 2017)</w:t>
          </w:r>
          <w:r w:rsidR="008669DF">
            <w:fldChar w:fldCharType="end"/>
          </w:r>
        </w:sdtContent>
      </w:sdt>
      <w:r>
        <w:t xml:space="preserve">, highlighted </w:t>
      </w:r>
      <w:proofErr w:type="spellStart"/>
      <w:r w:rsidR="00F1195D">
        <w:t>hydrochar's</w:t>
      </w:r>
      <w:proofErr w:type="spellEnd"/>
      <w:r>
        <w:t xml:space="preserve"> role in accelerating organic matter solubilization, enhancing hydrolysis, and influencing acidification during anaerobic digestion.</w:t>
      </w:r>
    </w:p>
    <w:p w14:paraId="38AB8F83" w14:textId="29D5B872" w:rsidR="00ED5702" w:rsidRDefault="00ED5702" w:rsidP="00ED5702">
      <w:pPr>
        <w:pStyle w:val="CETBodytext"/>
      </w:pPr>
      <w:r>
        <w:t xml:space="preserve">The </w:t>
      </w:r>
      <w:r w:rsidR="00575000">
        <w:t>HTC</w:t>
      </w:r>
      <w:r>
        <w:t xml:space="preserve"> process was carried out in a </w:t>
      </w:r>
      <w:r w:rsidR="006E6A5D">
        <w:t xml:space="preserve">lab-scale </w:t>
      </w:r>
      <w:r>
        <w:t xml:space="preserve">plant located </w:t>
      </w:r>
      <w:r w:rsidR="00F27307">
        <w:t xml:space="preserve">at </w:t>
      </w:r>
      <w:r w:rsidR="00EE4AB3">
        <w:t>the Department of University</w:t>
      </w:r>
      <w:r w:rsidR="00430786">
        <w:t xml:space="preserve"> </w:t>
      </w:r>
      <w:r w:rsidR="00D36463">
        <w:t>“</w:t>
      </w:r>
      <w:r w:rsidR="00430786">
        <w:t>L</w:t>
      </w:r>
      <w:r w:rsidR="00D36463">
        <w:t>.</w:t>
      </w:r>
      <w:r w:rsidR="00430786">
        <w:t xml:space="preserve"> </w:t>
      </w:r>
      <w:proofErr w:type="spellStart"/>
      <w:r w:rsidR="00430786">
        <w:t>Vanvitelli</w:t>
      </w:r>
      <w:proofErr w:type="spellEnd"/>
      <w:r w:rsidR="00D36463">
        <w:t>”</w:t>
      </w:r>
      <w:r w:rsidR="00430786">
        <w:t xml:space="preserve"> in </w:t>
      </w:r>
      <w:r w:rsidR="00EE4AB3">
        <w:t>Caserta (</w:t>
      </w:r>
      <w:proofErr w:type="spellStart"/>
      <w:r w:rsidR="00EE4AB3">
        <w:t>DiSTABiF</w:t>
      </w:r>
      <w:proofErr w:type="spellEnd"/>
      <w:r w:rsidR="00EE4AB3">
        <w:t>)</w:t>
      </w:r>
      <w:r>
        <w:t xml:space="preserve">, Italy. The </w:t>
      </w:r>
      <w:r w:rsidR="003058CA">
        <w:t>lab</w:t>
      </w:r>
      <w:r>
        <w:t xml:space="preserve">-scale reactor, with a volume of </w:t>
      </w:r>
      <w:r w:rsidR="00735C3C">
        <w:t>1.5</w:t>
      </w:r>
      <w:r w:rsidR="00700ADD">
        <w:t xml:space="preserve"> </w:t>
      </w:r>
      <w:r w:rsidR="00735C3C">
        <w:t>l</w:t>
      </w:r>
      <w:r>
        <w:t>, operated under mild conditions (</w:t>
      </w:r>
      <w:r w:rsidR="00A560F4">
        <w:t>240</w:t>
      </w:r>
      <w:r>
        <w:t>°C) and subcritical water conditions</w:t>
      </w:r>
      <w:r w:rsidR="00A560F4">
        <w:t xml:space="preserve"> with a duration of 4</w:t>
      </w:r>
      <w:r w:rsidR="00BE3845">
        <w:t xml:space="preserve"> hours</w:t>
      </w:r>
      <w:r>
        <w:t xml:space="preserve">, transforming </w:t>
      </w:r>
      <w:r w:rsidR="00BE3845">
        <w:t>sewage sludge</w:t>
      </w:r>
      <w:r>
        <w:t xml:space="preserve"> into </w:t>
      </w:r>
      <w:r w:rsidR="00286598">
        <w:t>HC</w:t>
      </w:r>
      <w:r>
        <w:t xml:space="preserve">. Real-time data </w:t>
      </w:r>
      <w:r w:rsidR="00EF42CF">
        <w:t>collection-controlled</w:t>
      </w:r>
      <w:r>
        <w:t xml:space="preserve"> pressure and temperature, ensuring a controlled process. The resulting </w:t>
      </w:r>
      <w:r w:rsidR="00286598">
        <w:t>HC</w:t>
      </w:r>
      <w:r>
        <w:t xml:space="preserve"> underwent natural drying and subsequent oven drying at 105°C for 24 hours, with an elemental analysis conducted. Key </w:t>
      </w:r>
      <w:r w:rsidR="00286598">
        <w:lastRenderedPageBreak/>
        <w:t>HC</w:t>
      </w:r>
      <w:r>
        <w:t xml:space="preserve"> properties are detailed in</w:t>
      </w:r>
      <w:r w:rsidR="00493E16">
        <w:t xml:space="preserve"> </w:t>
      </w:r>
      <w:r w:rsidR="00493E16">
        <w:fldChar w:fldCharType="begin"/>
      </w:r>
      <w:r w:rsidR="00493E16">
        <w:instrText xml:space="preserve"> REF _Ref156144728 \h </w:instrText>
      </w:r>
      <w:r w:rsidR="00493E16">
        <w:fldChar w:fldCharType="separate"/>
      </w:r>
      <w:r w:rsidR="00493E16">
        <w:t xml:space="preserve">Table </w:t>
      </w:r>
      <w:r w:rsidR="00493E16">
        <w:rPr>
          <w:noProof/>
        </w:rPr>
        <w:t>3</w:t>
      </w:r>
      <w:r w:rsidR="00493E16">
        <w:fldChar w:fldCharType="end"/>
      </w:r>
      <w:r w:rsidRPr="00B83E59">
        <w:t>.</w:t>
      </w:r>
      <w:r w:rsidR="00286598">
        <w:t xml:space="preserve"> Different HC doses (0.5</w:t>
      </w:r>
      <w:r w:rsidR="003058CA">
        <w:t> </w:t>
      </w:r>
      <w:r w:rsidR="00286598">
        <w:t>g, 2</w:t>
      </w:r>
      <w:r w:rsidR="003058CA">
        <w:t> </w:t>
      </w:r>
      <w:r w:rsidR="00286598">
        <w:t>g, 5</w:t>
      </w:r>
      <w:r w:rsidR="003058CA">
        <w:t> </w:t>
      </w:r>
      <w:r w:rsidR="00286598">
        <w:t>g, 8</w:t>
      </w:r>
      <w:r w:rsidR="003058CA">
        <w:t> </w:t>
      </w:r>
      <w:r w:rsidR="00286598">
        <w:t>g) were added to the substrate during AD to compare methane production with and without the solid product in sewage sludge. The investigation utilized 500 ml flasks as reactors, with each sludge-inoculum-hydrochar combination tested twice, and three flasks used as blanks for reference.</w:t>
      </w:r>
    </w:p>
    <w:p w14:paraId="078C8D51" w14:textId="5B9D69F7" w:rsidR="00493E16" w:rsidRDefault="00493E16" w:rsidP="00493E16">
      <w:pPr>
        <w:pStyle w:val="CETTabletitle"/>
      </w:pPr>
      <w:bookmarkStart w:id="8" w:name="_Ref156144728"/>
      <w:r>
        <w:t xml:space="preserve">Table </w:t>
      </w:r>
      <w:r>
        <w:fldChar w:fldCharType="begin"/>
      </w:r>
      <w:r>
        <w:instrText xml:space="preserve"> SEQ Table \* ARABIC </w:instrText>
      </w:r>
      <w:r>
        <w:fldChar w:fldCharType="separate"/>
      </w:r>
      <w:r>
        <w:rPr>
          <w:noProof/>
        </w:rPr>
        <w:t>3</w:t>
      </w:r>
      <w:r>
        <w:fldChar w:fldCharType="end"/>
      </w:r>
      <w:bookmarkEnd w:id="8"/>
      <w:r>
        <w:t>: Hydrochar properties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55"/>
        <w:gridCol w:w="1103"/>
        <w:gridCol w:w="1097"/>
        <w:gridCol w:w="1085"/>
        <w:gridCol w:w="1097"/>
        <w:gridCol w:w="1097"/>
        <w:gridCol w:w="1097"/>
        <w:gridCol w:w="1056"/>
      </w:tblGrid>
      <w:tr w:rsidR="00DD0A93" w:rsidRPr="00B57B36" w14:paraId="155D66C4" w14:textId="5378138C" w:rsidTr="00DD0A93">
        <w:trPr>
          <w:trHeight w:val="287"/>
        </w:trPr>
        <w:tc>
          <w:tcPr>
            <w:tcW w:w="1155" w:type="dxa"/>
            <w:tcBorders>
              <w:top w:val="single" w:sz="12" w:space="0" w:color="008000"/>
              <w:bottom w:val="single" w:sz="6" w:space="0" w:color="008000"/>
            </w:tcBorders>
            <w:shd w:val="clear" w:color="auto" w:fill="FFFFFF"/>
          </w:tcPr>
          <w:p w14:paraId="205242EA" w14:textId="77777777" w:rsidR="00DD0A93" w:rsidRPr="00B57B36" w:rsidRDefault="00DD0A93" w:rsidP="00AD3926">
            <w:pPr>
              <w:pStyle w:val="CETBodytext"/>
              <w:rPr>
                <w:lang w:val="en-GB"/>
              </w:rPr>
            </w:pPr>
            <w:r>
              <w:rPr>
                <w:lang w:val="en-GB"/>
              </w:rPr>
              <w:t>Sample</w:t>
            </w:r>
            <w:r w:rsidRPr="00B57B36">
              <w:rPr>
                <w:lang w:val="en-GB"/>
              </w:rPr>
              <w:t xml:space="preserve"> </w:t>
            </w:r>
          </w:p>
        </w:tc>
        <w:tc>
          <w:tcPr>
            <w:tcW w:w="1103" w:type="dxa"/>
            <w:tcBorders>
              <w:top w:val="single" w:sz="12" w:space="0" w:color="008000"/>
              <w:bottom w:val="single" w:sz="6" w:space="0" w:color="008000"/>
            </w:tcBorders>
            <w:shd w:val="clear" w:color="auto" w:fill="FFFFFF"/>
          </w:tcPr>
          <w:p w14:paraId="0EDDD7D0" w14:textId="77777777" w:rsidR="00DD0A93" w:rsidRPr="00B57B36" w:rsidRDefault="00DD0A93" w:rsidP="00AD3926">
            <w:pPr>
              <w:pStyle w:val="CETBodytext"/>
              <w:rPr>
                <w:lang w:val="en-GB"/>
              </w:rPr>
            </w:pPr>
            <w:r>
              <w:rPr>
                <w:lang w:val="en-GB"/>
              </w:rPr>
              <w:t>Unit</w:t>
            </w:r>
          </w:p>
        </w:tc>
        <w:tc>
          <w:tcPr>
            <w:tcW w:w="1097" w:type="dxa"/>
            <w:tcBorders>
              <w:top w:val="single" w:sz="12" w:space="0" w:color="008000"/>
              <w:bottom w:val="single" w:sz="6" w:space="0" w:color="008000"/>
            </w:tcBorders>
            <w:shd w:val="clear" w:color="auto" w:fill="FFFFFF"/>
          </w:tcPr>
          <w:p w14:paraId="6FAD0101" w14:textId="77777777" w:rsidR="00DD0A93" w:rsidRPr="00B57B36" w:rsidRDefault="00DD0A93" w:rsidP="00AD3926">
            <w:pPr>
              <w:pStyle w:val="CETBodytext"/>
              <w:rPr>
                <w:lang w:val="en-GB"/>
              </w:rPr>
            </w:pPr>
            <w:r>
              <w:rPr>
                <w:lang w:val="en-GB"/>
              </w:rPr>
              <w:t>C</w:t>
            </w:r>
          </w:p>
        </w:tc>
        <w:tc>
          <w:tcPr>
            <w:tcW w:w="1085" w:type="dxa"/>
            <w:tcBorders>
              <w:top w:val="single" w:sz="12" w:space="0" w:color="008000"/>
              <w:bottom w:val="single" w:sz="6" w:space="0" w:color="008000"/>
            </w:tcBorders>
            <w:shd w:val="clear" w:color="auto" w:fill="FFFFFF"/>
          </w:tcPr>
          <w:p w14:paraId="5B0C7747" w14:textId="77777777" w:rsidR="00DD0A93" w:rsidRPr="00B57B36" w:rsidRDefault="00DD0A93" w:rsidP="00AD3926">
            <w:pPr>
              <w:pStyle w:val="CETBodytext"/>
              <w:ind w:right="-1"/>
              <w:rPr>
                <w:rFonts w:cs="Arial"/>
                <w:szCs w:val="18"/>
                <w:lang w:val="en-GB"/>
              </w:rPr>
            </w:pPr>
            <w:r>
              <w:rPr>
                <w:rFonts w:cs="Arial"/>
                <w:szCs w:val="18"/>
                <w:lang w:val="en-GB"/>
              </w:rPr>
              <w:t>H</w:t>
            </w:r>
          </w:p>
        </w:tc>
        <w:tc>
          <w:tcPr>
            <w:tcW w:w="1097" w:type="dxa"/>
            <w:tcBorders>
              <w:top w:val="single" w:sz="12" w:space="0" w:color="008000"/>
              <w:bottom w:val="single" w:sz="6" w:space="0" w:color="008000"/>
            </w:tcBorders>
            <w:shd w:val="clear" w:color="auto" w:fill="FFFFFF"/>
          </w:tcPr>
          <w:p w14:paraId="0848B8A3" w14:textId="77777777" w:rsidR="00DD0A93" w:rsidRPr="00B57B36" w:rsidRDefault="00DD0A93" w:rsidP="00AD3926">
            <w:pPr>
              <w:pStyle w:val="CETBodytext"/>
              <w:ind w:right="-1"/>
              <w:rPr>
                <w:rFonts w:cs="Arial"/>
                <w:szCs w:val="18"/>
                <w:lang w:val="en-GB"/>
              </w:rPr>
            </w:pPr>
            <w:r>
              <w:rPr>
                <w:rFonts w:cs="Arial"/>
                <w:szCs w:val="18"/>
                <w:lang w:val="en-GB"/>
              </w:rPr>
              <w:t>N</w:t>
            </w:r>
          </w:p>
        </w:tc>
        <w:tc>
          <w:tcPr>
            <w:tcW w:w="1097" w:type="dxa"/>
            <w:tcBorders>
              <w:top w:val="single" w:sz="12" w:space="0" w:color="008000"/>
              <w:bottom w:val="single" w:sz="6" w:space="0" w:color="008000"/>
            </w:tcBorders>
            <w:shd w:val="clear" w:color="auto" w:fill="FFFFFF"/>
          </w:tcPr>
          <w:p w14:paraId="68DFF085" w14:textId="77777777" w:rsidR="00DD0A93" w:rsidRDefault="00DD0A93" w:rsidP="00AD3926">
            <w:pPr>
              <w:pStyle w:val="CETBodytext"/>
              <w:ind w:right="-1"/>
              <w:rPr>
                <w:rFonts w:cs="Arial"/>
                <w:szCs w:val="18"/>
                <w:lang w:val="en-GB"/>
              </w:rPr>
            </w:pPr>
            <w:r>
              <w:rPr>
                <w:rFonts w:cs="Arial"/>
                <w:szCs w:val="18"/>
                <w:lang w:val="en-GB"/>
              </w:rPr>
              <w:t>P</w:t>
            </w:r>
          </w:p>
        </w:tc>
        <w:tc>
          <w:tcPr>
            <w:tcW w:w="1097" w:type="dxa"/>
            <w:tcBorders>
              <w:top w:val="single" w:sz="12" w:space="0" w:color="008000"/>
              <w:bottom w:val="single" w:sz="6" w:space="0" w:color="008000"/>
            </w:tcBorders>
            <w:shd w:val="clear" w:color="auto" w:fill="FFFFFF"/>
          </w:tcPr>
          <w:p w14:paraId="721B1E11" w14:textId="77777777" w:rsidR="00DD0A93" w:rsidRDefault="00DD0A93" w:rsidP="00AD3926">
            <w:pPr>
              <w:pStyle w:val="CETBodytext"/>
              <w:ind w:right="-1"/>
              <w:rPr>
                <w:rFonts w:cs="Arial"/>
                <w:szCs w:val="18"/>
                <w:lang w:val="en-GB"/>
              </w:rPr>
            </w:pPr>
            <w:r>
              <w:rPr>
                <w:rFonts w:cs="Arial"/>
                <w:szCs w:val="18"/>
                <w:lang w:val="en-GB"/>
              </w:rPr>
              <w:t>S</w:t>
            </w:r>
          </w:p>
        </w:tc>
        <w:tc>
          <w:tcPr>
            <w:tcW w:w="1056" w:type="dxa"/>
            <w:tcBorders>
              <w:top w:val="single" w:sz="12" w:space="0" w:color="008000"/>
              <w:bottom w:val="single" w:sz="6" w:space="0" w:color="008000"/>
            </w:tcBorders>
            <w:shd w:val="clear" w:color="auto" w:fill="FFFFFF"/>
          </w:tcPr>
          <w:p w14:paraId="4092B149" w14:textId="30E2EBC8" w:rsidR="00DD0A93" w:rsidRDefault="00DD0A93" w:rsidP="00AD3926">
            <w:pPr>
              <w:pStyle w:val="CETBodytext"/>
              <w:ind w:right="-1"/>
              <w:rPr>
                <w:rFonts w:cs="Arial"/>
                <w:szCs w:val="18"/>
                <w:lang w:val="en-GB"/>
              </w:rPr>
            </w:pPr>
            <w:r>
              <w:rPr>
                <w:rFonts w:cs="Arial"/>
                <w:szCs w:val="18"/>
                <w:lang w:val="en-GB"/>
              </w:rPr>
              <w:t>O</w:t>
            </w:r>
          </w:p>
        </w:tc>
      </w:tr>
      <w:tr w:rsidR="00DD0A93" w:rsidRPr="00B57B36" w14:paraId="78CB68C3" w14:textId="09C831EA" w:rsidTr="00DD0A93">
        <w:trPr>
          <w:trHeight w:val="302"/>
        </w:trPr>
        <w:tc>
          <w:tcPr>
            <w:tcW w:w="1155" w:type="dxa"/>
            <w:shd w:val="clear" w:color="auto" w:fill="FFFFFF"/>
          </w:tcPr>
          <w:p w14:paraId="3B3C38F5" w14:textId="1A9310A3" w:rsidR="00DD0A93" w:rsidRPr="00B57B36" w:rsidRDefault="00DD0A93" w:rsidP="00AD3926">
            <w:pPr>
              <w:pStyle w:val="CETBodytext"/>
              <w:rPr>
                <w:lang w:val="en-GB"/>
              </w:rPr>
            </w:pPr>
            <w:r>
              <w:rPr>
                <w:lang w:val="en-GB"/>
              </w:rPr>
              <w:t>Hydrochar</w:t>
            </w:r>
          </w:p>
        </w:tc>
        <w:tc>
          <w:tcPr>
            <w:tcW w:w="1103" w:type="dxa"/>
            <w:shd w:val="clear" w:color="auto" w:fill="FFFFFF"/>
          </w:tcPr>
          <w:p w14:paraId="1061DAFC" w14:textId="77777777" w:rsidR="00DD0A93" w:rsidRPr="00B57B36" w:rsidRDefault="00DD0A93" w:rsidP="00AD3926">
            <w:pPr>
              <w:pStyle w:val="CETBodytext"/>
              <w:rPr>
                <w:lang w:val="en-GB"/>
              </w:rPr>
            </w:pPr>
            <w:r>
              <w:rPr>
                <w:lang w:val="en-GB"/>
              </w:rPr>
              <w:t>%TS</w:t>
            </w:r>
          </w:p>
        </w:tc>
        <w:tc>
          <w:tcPr>
            <w:tcW w:w="1097" w:type="dxa"/>
            <w:shd w:val="clear" w:color="auto" w:fill="FFFFFF"/>
          </w:tcPr>
          <w:p w14:paraId="151AB012" w14:textId="6F7284FF" w:rsidR="00DD0A93" w:rsidRPr="00B57B36" w:rsidRDefault="00DD0A93" w:rsidP="00AD3926">
            <w:pPr>
              <w:pStyle w:val="CETBodytext"/>
              <w:rPr>
                <w:lang w:val="en-GB"/>
              </w:rPr>
            </w:pPr>
            <w:r>
              <w:rPr>
                <w:lang w:val="en-GB"/>
              </w:rPr>
              <w:t>79.4</w:t>
            </w:r>
          </w:p>
        </w:tc>
        <w:tc>
          <w:tcPr>
            <w:tcW w:w="1085" w:type="dxa"/>
            <w:shd w:val="clear" w:color="auto" w:fill="FFFFFF"/>
          </w:tcPr>
          <w:p w14:paraId="3BE150B2" w14:textId="5E23C07F" w:rsidR="00DD0A93" w:rsidRPr="00B57B36" w:rsidRDefault="00DD0A93" w:rsidP="00AD3926">
            <w:pPr>
              <w:pStyle w:val="CETBodytext"/>
              <w:ind w:right="-1"/>
              <w:rPr>
                <w:rFonts w:cs="Arial"/>
                <w:szCs w:val="18"/>
                <w:lang w:val="en-GB"/>
              </w:rPr>
            </w:pPr>
            <w:r>
              <w:rPr>
                <w:rFonts w:cs="Arial"/>
                <w:szCs w:val="18"/>
                <w:lang w:val="en-GB"/>
              </w:rPr>
              <w:t>5.3</w:t>
            </w:r>
          </w:p>
        </w:tc>
        <w:tc>
          <w:tcPr>
            <w:tcW w:w="1097" w:type="dxa"/>
            <w:shd w:val="clear" w:color="auto" w:fill="FFFFFF"/>
          </w:tcPr>
          <w:p w14:paraId="4DE1924E" w14:textId="70CB7EC4" w:rsidR="00DD0A93" w:rsidRPr="00B57B36" w:rsidRDefault="00DD0A93" w:rsidP="00AD3926">
            <w:pPr>
              <w:pStyle w:val="CETBodytext"/>
              <w:ind w:right="-1"/>
              <w:rPr>
                <w:rFonts w:cs="Arial"/>
                <w:szCs w:val="18"/>
                <w:lang w:val="en-GB"/>
              </w:rPr>
            </w:pPr>
            <w:r>
              <w:rPr>
                <w:rFonts w:cs="Arial"/>
                <w:szCs w:val="18"/>
                <w:lang w:val="en-GB"/>
              </w:rPr>
              <w:t>0.43</w:t>
            </w:r>
          </w:p>
        </w:tc>
        <w:tc>
          <w:tcPr>
            <w:tcW w:w="1097" w:type="dxa"/>
            <w:shd w:val="clear" w:color="auto" w:fill="FFFFFF"/>
          </w:tcPr>
          <w:p w14:paraId="61B6ABC7" w14:textId="3DEBBF97" w:rsidR="00DD0A93" w:rsidRPr="00B57B36" w:rsidRDefault="00DD0A93" w:rsidP="00AD3926">
            <w:pPr>
              <w:pStyle w:val="CETBodytext"/>
              <w:ind w:right="-1"/>
              <w:rPr>
                <w:rFonts w:cs="Arial"/>
                <w:szCs w:val="18"/>
                <w:lang w:val="en-GB"/>
              </w:rPr>
            </w:pPr>
            <w:r>
              <w:rPr>
                <w:rFonts w:cs="Arial"/>
                <w:szCs w:val="18"/>
                <w:lang w:val="en-GB"/>
              </w:rPr>
              <w:t>0.08</w:t>
            </w:r>
          </w:p>
        </w:tc>
        <w:tc>
          <w:tcPr>
            <w:tcW w:w="1097" w:type="dxa"/>
            <w:shd w:val="clear" w:color="auto" w:fill="FFFFFF"/>
          </w:tcPr>
          <w:p w14:paraId="37E8CB48" w14:textId="24FCFFA7" w:rsidR="00DD0A93" w:rsidRPr="00B57B36" w:rsidRDefault="00DD0A93" w:rsidP="00AD3926">
            <w:pPr>
              <w:pStyle w:val="CETBodytext"/>
              <w:ind w:right="-1"/>
              <w:rPr>
                <w:rFonts w:cs="Arial"/>
                <w:szCs w:val="18"/>
                <w:lang w:val="en-GB"/>
              </w:rPr>
            </w:pPr>
            <w:r>
              <w:rPr>
                <w:rFonts w:cs="Arial"/>
                <w:szCs w:val="18"/>
                <w:lang w:val="en-GB"/>
              </w:rPr>
              <w:t>0.59</w:t>
            </w:r>
          </w:p>
        </w:tc>
        <w:tc>
          <w:tcPr>
            <w:tcW w:w="1056" w:type="dxa"/>
            <w:shd w:val="clear" w:color="auto" w:fill="FFFFFF"/>
          </w:tcPr>
          <w:p w14:paraId="602FA08B" w14:textId="5E5C8E1C" w:rsidR="00A5029C" w:rsidRDefault="00A5029C" w:rsidP="00AD3926">
            <w:pPr>
              <w:pStyle w:val="CETBodytext"/>
              <w:ind w:right="-1"/>
              <w:rPr>
                <w:rFonts w:cs="Arial"/>
                <w:szCs w:val="18"/>
                <w:lang w:val="en-GB"/>
              </w:rPr>
            </w:pPr>
            <w:r>
              <w:rPr>
                <w:rFonts w:cs="Arial"/>
                <w:szCs w:val="18"/>
                <w:lang w:val="en-GB"/>
              </w:rPr>
              <w:t>14.2</w:t>
            </w:r>
          </w:p>
        </w:tc>
      </w:tr>
    </w:tbl>
    <w:p w14:paraId="3E1D4787" w14:textId="78EB2B3B" w:rsidR="00EF42CF" w:rsidRPr="00C116AC" w:rsidRDefault="00802A4C" w:rsidP="002E3540">
      <w:pPr>
        <w:pStyle w:val="CETheadingx"/>
      </w:pPr>
      <w:r w:rsidRPr="00C116AC">
        <w:t>Analytical procedures</w:t>
      </w:r>
    </w:p>
    <w:p w14:paraId="3111DE82" w14:textId="260EF218" w:rsidR="00AF484C" w:rsidRPr="007278BE" w:rsidRDefault="00C116AC" w:rsidP="00CF4D20">
      <w:pPr>
        <w:pStyle w:val="CETBodytext"/>
      </w:pPr>
      <w:r w:rsidRPr="00C116AC">
        <w:t xml:space="preserve">The study involved pre-application characterization of materials, including measurements of moisture, ash, and total volatile and total solids using </w:t>
      </w:r>
      <w:commentRangeStart w:id="9"/>
      <w:r w:rsidRPr="00C116AC">
        <w:t>standard procedures</w:t>
      </w:r>
      <w:commentRangeEnd w:id="9"/>
      <w:r w:rsidR="003C118D">
        <w:rPr>
          <w:rStyle w:val="Rimandocommento"/>
          <w:lang w:val="en-GB"/>
        </w:rPr>
        <w:commentReference w:id="9"/>
      </w:r>
      <w:r w:rsidR="00C531E5">
        <w:t xml:space="preserve">: UNI-EN 14774-1 for the moisture content analysis, UNI-EN 15158 for the Volatile Matter, UNI-EN 14775 </w:t>
      </w:r>
      <w:proofErr w:type="gramStart"/>
      <w:r w:rsidR="00C531E5">
        <w:t>for the amount of</w:t>
      </w:r>
      <w:proofErr w:type="gramEnd"/>
      <w:r w:rsidR="00C531E5">
        <w:t xml:space="preserve"> Ash, UNI-EN 15104 for the C, H, N, and S content</w:t>
      </w:r>
      <w:r w:rsidRPr="00C116AC">
        <w:t>. Moisture content was determined by overnight oven drying at 105°C, ash content by maintaining samples at 600°C for two hours, and Total Volatile Solid (TS) by calculating the difference between residues at 105°C and 600°C. Additional analyses on the digestate included measuring Volatile Fatty Acids (VFAs) and Orthophosphates using reagents and a UV-VIS DR6000 spectrophotometer (Hach Lange, Loveland, CO, USA). These analyses contribute to biomass characterization and process parameter identification.</w:t>
      </w:r>
    </w:p>
    <w:p w14:paraId="6EB75350" w14:textId="205E677B" w:rsidR="009E3533" w:rsidRPr="009E3533" w:rsidRDefault="00A52138" w:rsidP="009E3533">
      <w:pPr>
        <w:pStyle w:val="CETHeading1"/>
        <w:tabs>
          <w:tab w:val="clear" w:pos="360"/>
          <w:tab w:val="right" w:pos="7100"/>
        </w:tabs>
        <w:jc w:val="both"/>
        <w:rPr>
          <w:lang w:val="en-GB"/>
        </w:rPr>
      </w:pPr>
      <w:r>
        <w:rPr>
          <w:lang w:val="en-GB"/>
        </w:rPr>
        <w:t>Results and Discussion</w:t>
      </w:r>
    </w:p>
    <w:p w14:paraId="1F96CA21" w14:textId="13F83716" w:rsidR="00600535" w:rsidRPr="00B57B36" w:rsidRDefault="00231EA4" w:rsidP="002E3540">
      <w:pPr>
        <w:pStyle w:val="CETheadingx"/>
      </w:pPr>
      <w:commentRangeStart w:id="10"/>
      <w:r w:rsidRPr="00231EA4">
        <w:t>Influence of Biochar and Hydrochar on the Anaerobic Digestion of Sewage Sludge</w:t>
      </w:r>
      <w:commentRangeEnd w:id="10"/>
      <w:r w:rsidR="00C56CD0">
        <w:rPr>
          <w:rStyle w:val="Rimandocommento"/>
          <w:b w:val="0"/>
          <w:lang w:val="en-GB"/>
        </w:rPr>
        <w:commentReference w:id="10"/>
      </w:r>
    </w:p>
    <w:p w14:paraId="371B92EC" w14:textId="1B5A1453" w:rsidR="00770EC0" w:rsidRDefault="00D314CC" w:rsidP="00231EA4">
      <w:pPr>
        <w:pStyle w:val="CETBodytext"/>
      </w:pPr>
      <w:r w:rsidRPr="00D314CC">
        <w:t>The acquired results underscore the varied impact of Biochar on biogas production, contingent upon the quantity added. A meticulous analysis of methane production trends across the five tests, encompassing blank and blank with 0.5</w:t>
      </w:r>
      <w:r w:rsidR="001A2636">
        <w:t> </w:t>
      </w:r>
      <w:r w:rsidRPr="00D314CC">
        <w:t>g, 2</w:t>
      </w:r>
      <w:r w:rsidR="001A2636">
        <w:t> </w:t>
      </w:r>
      <w:r w:rsidRPr="00D314CC">
        <w:t>g, 5</w:t>
      </w:r>
      <w:r w:rsidR="001A2636">
        <w:t> </w:t>
      </w:r>
      <w:r w:rsidRPr="00D314CC">
        <w:t>g, and 8</w:t>
      </w:r>
      <w:r w:rsidR="001A2636">
        <w:t> </w:t>
      </w:r>
      <w:r w:rsidRPr="00D314CC">
        <w:t xml:space="preserve">g of Biochar respectively named BC-1, BC-2, BC-3, </w:t>
      </w:r>
      <w:r w:rsidR="009D4EB6">
        <w:t xml:space="preserve">and </w:t>
      </w:r>
      <w:r w:rsidRPr="00D314CC">
        <w:t>BC-4, reveals distinctive outcomes (</w:t>
      </w:r>
      <w:r w:rsidR="00BF7EED">
        <w:rPr>
          <w:highlight w:val="yellow"/>
        </w:rPr>
        <w:fldChar w:fldCharType="begin"/>
      </w:r>
      <w:r w:rsidR="00BF7EED">
        <w:instrText xml:space="preserve"> REF _Ref156144892 \h </w:instrText>
      </w:r>
      <w:r w:rsidR="00BF7EED">
        <w:rPr>
          <w:highlight w:val="yellow"/>
        </w:rPr>
      </w:r>
      <w:r w:rsidR="00BF7EED">
        <w:rPr>
          <w:highlight w:val="yellow"/>
        </w:rPr>
        <w:fldChar w:fldCharType="separate"/>
      </w:r>
      <w:r w:rsidR="00BF7EED">
        <w:t xml:space="preserve">Figure </w:t>
      </w:r>
      <w:r w:rsidR="00BF7EED">
        <w:rPr>
          <w:noProof/>
        </w:rPr>
        <w:t>1</w:t>
      </w:r>
      <w:r w:rsidR="00BF7EED">
        <w:rPr>
          <w:highlight w:val="yellow"/>
        </w:rPr>
        <w:fldChar w:fldCharType="end"/>
      </w:r>
      <w:r w:rsidR="00BF7EED">
        <w:t>a</w:t>
      </w:r>
      <w:r w:rsidRPr="00D314CC">
        <w:t>). Specifically, in certain instances—most notably with 0.5</w:t>
      </w:r>
      <w:r w:rsidR="001A2636">
        <w:t> </w:t>
      </w:r>
      <w:r w:rsidRPr="00D314CC">
        <w:t>g and 5</w:t>
      </w:r>
      <w:r w:rsidR="001A2636">
        <w:t> </w:t>
      </w:r>
      <w:r w:rsidRPr="00D314CC">
        <w:t>g of Biochar—the addition to the mixture of sewage sludge and inoculum yields an increase in methane production. However, for the remaining quantities, methane production is either reduced or nearly comparable to that observed with the blank, indicating a lack of discernible influence from the carbonaceous product.</w:t>
      </w:r>
    </w:p>
    <w:p w14:paraId="0A6DB731" w14:textId="001A3E92" w:rsidR="00A704E7" w:rsidRDefault="00A704E7" w:rsidP="00231EA4">
      <w:pPr>
        <w:pStyle w:val="CETBodytext"/>
      </w:pPr>
      <w:r w:rsidRPr="001E5C31">
        <w:t xml:space="preserve">A comparable outcome was achieved </w:t>
      </w:r>
      <w:r w:rsidR="00C116AC">
        <w:t>by incorporating</w:t>
      </w:r>
      <w:r w:rsidRPr="001E5C31">
        <w:t xml:space="preserve"> hydrochar derived from hydrothermal carbonization (HTC) as a carbonaceous product added to the </w:t>
      </w:r>
      <w:r>
        <w:t>sewage</w:t>
      </w:r>
      <w:r w:rsidRPr="001E5C31">
        <w:t xml:space="preserve"> sludge. In this scenario as well, the addition of hydrochar has a favorable impact on methane production when introduced in quantities of 0.5</w:t>
      </w:r>
      <w:r w:rsidR="00AA3D09">
        <w:t> </w:t>
      </w:r>
      <w:r w:rsidRPr="001E5C31">
        <w:t>g and 8</w:t>
      </w:r>
      <w:r w:rsidR="00AA3D09">
        <w:t> </w:t>
      </w:r>
      <w:r w:rsidRPr="001E5C31">
        <w:t xml:space="preserve">g, resulting </w:t>
      </w:r>
      <w:r w:rsidR="009F6231" w:rsidRPr="009F6231">
        <w:t>in an approximate increase of 4% and 9%, respectively, in the final methane production</w:t>
      </w:r>
      <w:r w:rsidR="009F6231">
        <w:t xml:space="preserve"> </w:t>
      </w:r>
      <w:r>
        <w:t>(</w:t>
      </w:r>
      <w:r w:rsidR="00BF7EED">
        <w:rPr>
          <w:highlight w:val="yellow"/>
        </w:rPr>
        <w:fldChar w:fldCharType="begin"/>
      </w:r>
      <w:r w:rsidR="00BF7EED">
        <w:instrText xml:space="preserve"> REF _Ref156144892 \h </w:instrText>
      </w:r>
      <w:r w:rsidR="00BF7EED">
        <w:rPr>
          <w:highlight w:val="yellow"/>
        </w:rPr>
      </w:r>
      <w:r w:rsidR="00BF7EED">
        <w:rPr>
          <w:highlight w:val="yellow"/>
        </w:rPr>
        <w:fldChar w:fldCharType="separate"/>
      </w:r>
      <w:r w:rsidR="00BF7EED">
        <w:t xml:space="preserve">Figure </w:t>
      </w:r>
      <w:r w:rsidR="00BF7EED">
        <w:rPr>
          <w:noProof/>
        </w:rPr>
        <w:t>1</w:t>
      </w:r>
      <w:r w:rsidR="00BF7EED">
        <w:rPr>
          <w:highlight w:val="yellow"/>
        </w:rPr>
        <w:fldChar w:fldCharType="end"/>
      </w:r>
      <w:r w:rsidR="00BF7EED">
        <w:t>b</w:t>
      </w:r>
      <w:r>
        <w:t>).</w:t>
      </w:r>
    </w:p>
    <w:p w14:paraId="088A134E" w14:textId="6EE1832E" w:rsidR="00600535" w:rsidRPr="00B57B36" w:rsidRDefault="00F57FA9" w:rsidP="00BD077D">
      <w:pPr>
        <w:pStyle w:val="CETCaption"/>
      </w:pPr>
      <w:commentRangeStart w:id="11"/>
      <w:commentRangeEnd w:id="11"/>
      <w:r>
        <w:rPr>
          <w:rStyle w:val="Rimandocommento"/>
          <w:i w:val="0"/>
        </w:rPr>
        <w:commentReference w:id="11"/>
      </w:r>
      <w:r w:rsidR="003C0601">
        <w:rPr>
          <w:noProof/>
        </w:rPr>
        <w:drawing>
          <wp:inline distT="0" distB="0" distL="0" distR="0" wp14:anchorId="5C728068" wp14:editId="633FAD3A">
            <wp:extent cx="2741340" cy="1594339"/>
            <wp:effectExtent l="0" t="0" r="1905" b="6350"/>
            <wp:docPr id="1851811646" name="Immagine 2" descr="Immagine che contiene testo, diagramm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811646" name="Immagine 2" descr="Immagine che contiene testo, diagramma, linea, Diagramma&#10;&#10;Descrizione generat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3529" cy="1601428"/>
                    </a:xfrm>
                    <a:prstGeom prst="rect">
                      <a:avLst/>
                    </a:prstGeom>
                    <a:noFill/>
                  </pic:spPr>
                </pic:pic>
              </a:graphicData>
            </a:graphic>
          </wp:inline>
        </w:drawing>
      </w:r>
      <w:r w:rsidR="00A3531C">
        <w:t xml:space="preserve"> </w:t>
      </w:r>
      <w:r w:rsidR="00C531E5">
        <w:rPr>
          <w:noProof/>
        </w:rPr>
        <w:drawing>
          <wp:inline distT="0" distB="0" distL="0" distR="0" wp14:anchorId="111CE665" wp14:editId="2126141F">
            <wp:extent cx="2743796" cy="1594800"/>
            <wp:effectExtent l="0" t="0" r="0" b="5715"/>
            <wp:docPr id="15159172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796" cy="1594800"/>
                    </a:xfrm>
                    <a:prstGeom prst="rect">
                      <a:avLst/>
                    </a:prstGeom>
                    <a:noFill/>
                  </pic:spPr>
                </pic:pic>
              </a:graphicData>
            </a:graphic>
          </wp:inline>
        </w:drawing>
      </w:r>
    </w:p>
    <w:p w14:paraId="674F174F" w14:textId="6EFE4A8B" w:rsidR="00BF7EED" w:rsidRDefault="00BF7EED" w:rsidP="00BD077D">
      <w:pPr>
        <w:pStyle w:val="CETCaption"/>
        <w:rPr>
          <w:rStyle w:val="CETCaptionCarattere"/>
          <w:i/>
        </w:rPr>
      </w:pPr>
      <w:bookmarkStart w:id="12" w:name="_Ref156144892"/>
      <w:r>
        <w:t xml:space="preserve">Figure </w:t>
      </w:r>
      <w:r>
        <w:fldChar w:fldCharType="begin"/>
      </w:r>
      <w:r>
        <w:instrText xml:space="preserve"> SEQ Figure \* ARABIC </w:instrText>
      </w:r>
      <w:r>
        <w:fldChar w:fldCharType="separate"/>
      </w:r>
      <w:r>
        <w:rPr>
          <w:noProof/>
        </w:rPr>
        <w:t>1</w:t>
      </w:r>
      <w:r>
        <w:fldChar w:fldCharType="end"/>
      </w:r>
      <w:bookmarkEnd w:id="12"/>
      <w:r>
        <w:t xml:space="preserve">: </w:t>
      </w:r>
      <w:r w:rsidRPr="00433D8A">
        <w:t>(a) Comparison of CH</w:t>
      </w:r>
      <w:r w:rsidRPr="003D270F">
        <w:rPr>
          <w:vertAlign w:val="subscript"/>
        </w:rPr>
        <w:t>4</w:t>
      </w:r>
      <w:r w:rsidRPr="00433D8A">
        <w:t xml:space="preserve"> production with different amounts of Biochar added; (b) comparison of CH4 production with different amounts of Hydrochar added.</w:t>
      </w:r>
    </w:p>
    <w:p w14:paraId="72872088" w14:textId="58094130" w:rsidR="00C116AC" w:rsidRPr="00BF7EED" w:rsidRDefault="003C0601" w:rsidP="00BD077D">
      <w:pPr>
        <w:pStyle w:val="CETCaption"/>
        <w:rPr>
          <w:rStyle w:val="CETCaptionCarattere"/>
          <w:i/>
        </w:rPr>
      </w:pPr>
      <w:r w:rsidRPr="003C0601">
        <w:rPr>
          <w:i w:val="0"/>
          <w:lang w:val="en-US"/>
        </w:rPr>
        <w:t>The observed trends indicate that the two carbonaceous products involved in the AD</w:t>
      </w:r>
      <w:r>
        <w:rPr>
          <w:i w:val="0"/>
          <w:lang w:val="en-US"/>
        </w:rPr>
        <w:t xml:space="preserve"> </w:t>
      </w:r>
      <w:r w:rsidRPr="003C0601">
        <w:rPr>
          <w:i w:val="0"/>
          <w:lang w:val="en-US"/>
        </w:rPr>
        <w:t>process can augment the chemical reactions between the substrates and microorganisms. Conversely, since these products do not have dedicated production methods, they may serve as enhancers or catalysts for the process. Specifically, in the case of hydrochar, its properties, such as conductivity, can influence the disruption of molecular bonds, potentially enhancing the efficiency of the process.</w:t>
      </w:r>
      <w:r>
        <w:rPr>
          <w:i w:val="0"/>
          <w:lang w:val="en-US"/>
        </w:rPr>
        <w:t xml:space="preserve"> </w:t>
      </w:r>
      <w:r w:rsidR="00C116AC" w:rsidRPr="00C15C3D">
        <w:rPr>
          <w:i w:val="0"/>
          <w:lang w:val="en-US"/>
        </w:rPr>
        <w:t xml:space="preserve">The experiments conducted in the two distinct cases involving the use of Biochar and Hydrochar allow for a comparison of the effects resulting from the addition of these two carbon products. The primary difference between the two </w:t>
      </w:r>
      <w:r w:rsidR="00C116AC">
        <w:rPr>
          <w:i w:val="0"/>
          <w:lang w:val="en-US"/>
        </w:rPr>
        <w:t>is</w:t>
      </w:r>
      <w:r w:rsidR="00C116AC" w:rsidRPr="00C15C3D">
        <w:rPr>
          <w:i w:val="0"/>
          <w:lang w:val="en-US"/>
        </w:rPr>
        <w:t xml:space="preserve"> the duration of the experiment, with the hydrochar experiment being notably shorter</w:t>
      </w:r>
      <w:r w:rsidR="00C116AC">
        <w:rPr>
          <w:i w:val="0"/>
          <w:lang w:val="en-US"/>
        </w:rPr>
        <w:t xml:space="preserve"> (</w:t>
      </w:r>
      <w:r w:rsidR="00BF7EED">
        <w:rPr>
          <w:i w:val="0"/>
          <w:highlight w:val="yellow"/>
          <w:lang w:val="en-US"/>
        </w:rPr>
        <w:fldChar w:fldCharType="begin"/>
      </w:r>
      <w:r w:rsidR="00BF7EED">
        <w:rPr>
          <w:i w:val="0"/>
          <w:lang w:val="en-US"/>
        </w:rPr>
        <w:instrText xml:space="preserve"> REF _Ref156144953 \h </w:instrText>
      </w:r>
      <w:r w:rsidR="00BF7EED">
        <w:rPr>
          <w:i w:val="0"/>
          <w:highlight w:val="yellow"/>
          <w:lang w:val="en-US"/>
        </w:rPr>
      </w:r>
      <w:r w:rsidR="00BF7EED">
        <w:rPr>
          <w:i w:val="0"/>
          <w:highlight w:val="yellow"/>
          <w:lang w:val="en-US"/>
        </w:rPr>
        <w:fldChar w:fldCharType="separate"/>
      </w:r>
      <w:r w:rsidR="00BF7EED">
        <w:t xml:space="preserve">Figure </w:t>
      </w:r>
      <w:r w:rsidR="00BF7EED">
        <w:rPr>
          <w:noProof/>
        </w:rPr>
        <w:t>2</w:t>
      </w:r>
      <w:r w:rsidR="00BF7EED">
        <w:rPr>
          <w:i w:val="0"/>
          <w:highlight w:val="yellow"/>
          <w:lang w:val="en-US"/>
        </w:rPr>
        <w:fldChar w:fldCharType="end"/>
      </w:r>
      <w:r w:rsidR="00BF7EED">
        <w:rPr>
          <w:i w:val="0"/>
          <w:lang w:val="en-US"/>
        </w:rPr>
        <w:t>a</w:t>
      </w:r>
      <w:r w:rsidR="00C116AC" w:rsidRPr="00582B40">
        <w:rPr>
          <w:i w:val="0"/>
          <w:lang w:val="en-US"/>
        </w:rPr>
        <w:t>).</w:t>
      </w:r>
      <w:r w:rsidR="00C116AC">
        <w:rPr>
          <w:i w:val="0"/>
          <w:lang w:val="en-US"/>
        </w:rPr>
        <w:t xml:space="preserve"> </w:t>
      </w:r>
      <w:r w:rsidR="00C116AC" w:rsidRPr="00CF6241">
        <w:rPr>
          <w:i w:val="0"/>
          <w:lang w:val="en-US"/>
        </w:rPr>
        <w:t xml:space="preserve">The shorter duration of the experiment involving the </w:t>
      </w:r>
      <w:r w:rsidR="00C116AC" w:rsidRPr="00CF6241">
        <w:rPr>
          <w:i w:val="0"/>
          <w:lang w:val="en-US"/>
        </w:rPr>
        <w:lastRenderedPageBreak/>
        <w:t>use of hydrochar can be attributed to the fact that the peak of maximum methane production is reached more quickly, as evident from the graph.</w:t>
      </w:r>
      <w:r w:rsidR="00C116AC">
        <w:rPr>
          <w:i w:val="0"/>
          <w:lang w:val="en-US"/>
        </w:rPr>
        <w:t xml:space="preserve"> </w:t>
      </w:r>
      <w:r w:rsidR="00C116AC" w:rsidRPr="00150387">
        <w:rPr>
          <w:i w:val="0"/>
          <w:lang w:val="en-US"/>
        </w:rPr>
        <w:t>Notably, the methane production achieved with hydrochar is also higher than that observed in the case of using Biochar.</w:t>
      </w:r>
      <w:r w:rsidR="00C116AC">
        <w:rPr>
          <w:i w:val="0"/>
          <w:lang w:val="en-US"/>
        </w:rPr>
        <w:t xml:space="preserve"> </w:t>
      </w:r>
      <w:r w:rsidR="00C116AC" w:rsidRPr="00371854">
        <w:rPr>
          <w:i w:val="0"/>
          <w:lang w:val="en-US"/>
        </w:rPr>
        <w:t>While the statement holds true in certain instances, it is important to note that the differences between the two cases in terms of methane production quantity vary with the amount of carbonaceous product added.</w:t>
      </w:r>
    </w:p>
    <w:p w14:paraId="40AB7299" w14:textId="3D09A7D8" w:rsidR="00362285" w:rsidRDefault="00AC4063" w:rsidP="00BD077D">
      <w:pPr>
        <w:pStyle w:val="CETCaption"/>
        <w:rPr>
          <w:i w:val="0"/>
          <w:lang w:val="en-US"/>
        </w:rPr>
      </w:pPr>
      <w:r>
        <w:rPr>
          <w:i w:val="0"/>
          <w:noProof/>
          <w:lang w:val="en-US"/>
        </w:rPr>
        <w:drawing>
          <wp:inline distT="0" distB="0" distL="0" distR="0" wp14:anchorId="5E27F34B" wp14:editId="08199DDC">
            <wp:extent cx="2719186" cy="1515600"/>
            <wp:effectExtent l="0" t="0" r="5080" b="8890"/>
            <wp:docPr id="142323928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9186" cy="1515600"/>
                    </a:xfrm>
                    <a:prstGeom prst="rect">
                      <a:avLst/>
                    </a:prstGeom>
                    <a:noFill/>
                  </pic:spPr>
                </pic:pic>
              </a:graphicData>
            </a:graphic>
          </wp:inline>
        </w:drawing>
      </w:r>
      <w:r w:rsidR="00881C45">
        <w:rPr>
          <w:i w:val="0"/>
          <w:noProof/>
          <w:lang w:val="en-US"/>
        </w:rPr>
        <w:t xml:space="preserve"> </w:t>
      </w:r>
      <w:r w:rsidR="00775A35">
        <w:rPr>
          <w:i w:val="0"/>
          <w:noProof/>
          <w:lang w:val="en-US"/>
        </w:rPr>
        <w:drawing>
          <wp:inline distT="0" distB="0" distL="0" distR="0" wp14:anchorId="22865381" wp14:editId="0A4BE9F8">
            <wp:extent cx="2621332" cy="1515600"/>
            <wp:effectExtent l="0" t="0" r="7620" b="8890"/>
            <wp:docPr id="60617272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1332" cy="1515600"/>
                    </a:xfrm>
                    <a:prstGeom prst="rect">
                      <a:avLst/>
                    </a:prstGeom>
                    <a:noFill/>
                  </pic:spPr>
                </pic:pic>
              </a:graphicData>
            </a:graphic>
          </wp:inline>
        </w:drawing>
      </w:r>
    </w:p>
    <w:p w14:paraId="35DE5975" w14:textId="2B65D96C" w:rsidR="00BF7EED" w:rsidRDefault="00BF7EED" w:rsidP="00BF7EED">
      <w:pPr>
        <w:pStyle w:val="CETCaption"/>
        <w:rPr>
          <w:rStyle w:val="CETCaptionCarattere"/>
          <w:i/>
        </w:rPr>
      </w:pPr>
      <w:bookmarkStart w:id="13" w:name="_Ref156144953"/>
      <w:r>
        <w:t xml:space="preserve">Figure </w:t>
      </w:r>
      <w:r>
        <w:fldChar w:fldCharType="begin"/>
      </w:r>
      <w:r>
        <w:instrText xml:space="preserve"> SEQ Figure \* ARABIC </w:instrText>
      </w:r>
      <w:r>
        <w:fldChar w:fldCharType="separate"/>
      </w:r>
      <w:r>
        <w:rPr>
          <w:noProof/>
        </w:rPr>
        <w:t>2</w:t>
      </w:r>
      <w:r>
        <w:fldChar w:fldCharType="end"/>
      </w:r>
      <w:bookmarkEnd w:id="13"/>
      <w:r w:rsidRPr="00A67686">
        <w:t>: (a) Comparison of CH4 production with 0.5g of different carbonaceous products added; (b) comparison of CH4 production with 5g of different carbonaceous products added.</w:t>
      </w:r>
    </w:p>
    <w:p w14:paraId="7C24F802" w14:textId="2C17D751" w:rsidR="004A6F34" w:rsidRPr="004A6F34" w:rsidRDefault="004A6F34" w:rsidP="002E3540">
      <w:pPr>
        <w:pStyle w:val="CETheadingx"/>
      </w:pPr>
      <w:r w:rsidRPr="004A6F34">
        <w:t>Influence of Biochar and Hydrochar on Volatile Fatty Acid Concentrations in Digestate</w:t>
      </w:r>
    </w:p>
    <w:p w14:paraId="007DF16F" w14:textId="764162AD" w:rsidR="00486564" w:rsidRDefault="00BC0582" w:rsidP="00486564">
      <w:pPr>
        <w:pStyle w:val="CETBodytext"/>
        <w:rPr>
          <w:lang w:val="en-GB"/>
        </w:rPr>
      </w:pPr>
      <w:r>
        <w:rPr>
          <w:lang w:val="en-GB"/>
        </w:rPr>
        <w:t>After</w:t>
      </w:r>
      <w:r w:rsidR="00C40FE9" w:rsidRPr="00C40FE9">
        <w:rPr>
          <w:lang w:val="en-GB"/>
        </w:rPr>
        <w:t xml:space="preserve"> the AD process of sewage sludge enriched with biochar and hydrochar, a comprehensive set of analyses was conducted on the resulting digestate, a byproduct of the AD process alongside biogas. The primary focus was on examining the impact of the two carbonaceous additives on the concentration of volatile fatty acids (VFAs) </w:t>
      </w:r>
      <w:r w:rsidR="00434EDE">
        <w:rPr>
          <w:lang w:val="en-GB"/>
        </w:rPr>
        <w:t>after</w:t>
      </w:r>
      <w:r w:rsidR="00C40FE9" w:rsidRPr="00C40FE9">
        <w:rPr>
          <w:lang w:val="en-GB"/>
        </w:rPr>
        <w:t xml:space="preserve"> the process, given the influential role of VFAs in the anaerobic digestion process.</w:t>
      </w:r>
      <w:r w:rsidR="00486564">
        <w:rPr>
          <w:lang w:val="en-GB"/>
        </w:rPr>
        <w:t xml:space="preserve"> </w:t>
      </w:r>
      <w:r w:rsidR="00486564" w:rsidRPr="00486564">
        <w:rPr>
          <w:lang w:val="en-GB"/>
        </w:rPr>
        <w:t xml:space="preserve">Volatile fatty acids (VFAs) find applications across diverse industries. They play a pivotal role in the anaerobic digestion process, crucial </w:t>
      </w:r>
      <w:r w:rsidRPr="00486564">
        <w:rPr>
          <w:lang w:val="en-GB"/>
        </w:rPr>
        <w:t>to produce</w:t>
      </w:r>
      <w:r w:rsidR="00486564" w:rsidRPr="00486564">
        <w:rPr>
          <w:lang w:val="en-GB"/>
        </w:rPr>
        <w:t xml:space="preserve"> biogas and the generation of renewable energy. Furthermore, VFAs serve in the manufacturing processes of food, beverages, chemicals, pharmaceuticals, and cosmetics. </w:t>
      </w:r>
    </w:p>
    <w:p w14:paraId="6A5167CF" w14:textId="477D5294" w:rsidR="00600535" w:rsidRDefault="00C40FE9" w:rsidP="00A83868">
      <w:pPr>
        <w:pStyle w:val="CETBodytext"/>
        <w:rPr>
          <w:lang w:val="en-GB"/>
        </w:rPr>
      </w:pPr>
      <w:r w:rsidRPr="00C40FE9">
        <w:rPr>
          <w:lang w:val="en-GB"/>
        </w:rPr>
        <w:t>A preliminary observation derived from the graphical representation of VFA quantities within the digestate unmistakably illustrates a discernible upward trend, correlating with the escalating quantities of the added carbonaceous products. This observed trend provides valuable insights into the distinctive effects of biochar and hydrochar on VFA production, contributing to a deeper understanding of their respective roles in enhancing anaerobic digestion efficiency</w:t>
      </w:r>
      <w:r w:rsidR="008F1CC0" w:rsidRPr="008F1CC0">
        <w:rPr>
          <w:lang w:val="en-GB"/>
        </w:rPr>
        <w:t>.</w:t>
      </w:r>
      <w:r w:rsidR="007E15CF">
        <w:rPr>
          <w:lang w:val="en-GB"/>
        </w:rPr>
        <w:t xml:space="preserve"> </w:t>
      </w:r>
      <w:r w:rsidR="00BC0582" w:rsidRPr="00F3614F">
        <w:rPr>
          <w:lang w:val="en-GB"/>
        </w:rPr>
        <w:t>Typically</w:t>
      </w:r>
      <w:r w:rsidR="00F3614F" w:rsidRPr="00F3614F">
        <w:rPr>
          <w:lang w:val="en-GB"/>
        </w:rPr>
        <w:t>, the levels of VFAs generated in each experiment exhibit a notable increase during the anaerobic digestion (AD) of sewage sludge when combined with hydrochar, surpassing the corresponding quantities observed in the AD process involving sewage sludge mixed with biochar. This discernible trend underscores the distinct impact of hydrochar and biochar on VFA production during anaerobic digestion, shedding light on their varying influences within the wastewater treatment framework.</w:t>
      </w:r>
    </w:p>
    <w:p w14:paraId="2F9287D2" w14:textId="33232EA3" w:rsidR="007B4D0B" w:rsidRDefault="00376F6D" w:rsidP="00376F6D">
      <w:pPr>
        <w:pStyle w:val="CETBodytext"/>
        <w:spacing w:before="240" w:after="240"/>
        <w:rPr>
          <w:lang w:val="en-GB"/>
        </w:rPr>
      </w:pPr>
      <w:r>
        <w:rPr>
          <w:noProof/>
          <w:lang w:val="en-GB"/>
        </w:rPr>
        <w:drawing>
          <wp:inline distT="0" distB="0" distL="0" distR="0" wp14:anchorId="6A87591B" wp14:editId="4ECC0027">
            <wp:extent cx="2589437" cy="1515600"/>
            <wp:effectExtent l="0" t="0" r="0" b="0"/>
            <wp:docPr id="45641617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9437" cy="1515600"/>
                    </a:xfrm>
                    <a:prstGeom prst="rect">
                      <a:avLst/>
                    </a:prstGeom>
                    <a:noFill/>
                  </pic:spPr>
                </pic:pic>
              </a:graphicData>
            </a:graphic>
          </wp:inline>
        </w:drawing>
      </w:r>
    </w:p>
    <w:p w14:paraId="2C50A320" w14:textId="5E76F9A3" w:rsidR="00BF7EED" w:rsidRDefault="00BF7EED" w:rsidP="00BF7EED">
      <w:pPr>
        <w:pStyle w:val="CETCaption"/>
        <w:rPr>
          <w:rStyle w:val="Rimandocommento"/>
          <w:i w:val="0"/>
        </w:rPr>
      </w:pPr>
      <w:r>
        <w:t xml:space="preserve">Figure </w:t>
      </w:r>
      <w:r>
        <w:fldChar w:fldCharType="begin"/>
      </w:r>
      <w:r>
        <w:instrText xml:space="preserve"> SEQ Figure \* ARABIC </w:instrText>
      </w:r>
      <w:r>
        <w:fldChar w:fldCharType="separate"/>
      </w:r>
      <w:r>
        <w:rPr>
          <w:noProof/>
        </w:rPr>
        <w:t>3</w:t>
      </w:r>
      <w:r>
        <w:fldChar w:fldCharType="end"/>
      </w:r>
      <w:r w:rsidRPr="000C1B51">
        <w:t>:  Comparison of VFA production with different carbonaceous products added.</w:t>
      </w:r>
    </w:p>
    <w:p w14:paraId="46F2BF7E" w14:textId="60E0D4CD" w:rsidR="004A6F34" w:rsidRDefault="009D6BAC" w:rsidP="002E3540">
      <w:pPr>
        <w:pStyle w:val="CETheadingx"/>
      </w:pPr>
      <w:commentRangeStart w:id="14"/>
      <w:r w:rsidRPr="009D6BAC">
        <w:t>Comparative Analysis of Digestate Composition in Sewage Sludge Anaerobic Digestion with Biochar and Hydrochar Addition</w:t>
      </w:r>
      <w:commentRangeEnd w:id="14"/>
      <w:r w:rsidR="00AC6718">
        <w:rPr>
          <w:rStyle w:val="Rimandocommento"/>
          <w:b w:val="0"/>
          <w:lang w:val="en-GB"/>
        </w:rPr>
        <w:commentReference w:id="14"/>
      </w:r>
    </w:p>
    <w:p w14:paraId="0CF79F73" w14:textId="752B43AC" w:rsidR="00EC7628" w:rsidRDefault="003C0601" w:rsidP="009D6BAC">
      <w:pPr>
        <w:pStyle w:val="CETBodytext"/>
      </w:pPr>
      <w:r w:rsidRPr="003C0601">
        <w:t xml:space="preserve">Ammonium (NH4+) and orthophosphates (PO43-) found in digestate from sewage sludge anaerobic digestion shed light on nutrient dynamics. Careful digestate management is crucial to avoid environmental impacts such as groundwater pollution from excess nitrogen or phosphorus. Evaluation of these compounds in digestate from </w:t>
      </w:r>
      <w:r w:rsidRPr="003C0601">
        <w:lastRenderedPageBreak/>
        <w:t xml:space="preserve">anaerobic digestion of sewage sludge mixed with biochar and hydrochar shows no significant difference in production overall. However, biochar </w:t>
      </w:r>
      <w:proofErr w:type="gramStart"/>
      <w:r w:rsidR="001E43E1">
        <w:t>use</w:t>
      </w:r>
      <w:proofErr w:type="gramEnd"/>
      <w:r w:rsidRPr="003C0601">
        <w:t xml:space="preserve"> results in higher orthophosphate production compared to hydrochar use.</w:t>
      </w:r>
      <w:r>
        <w:t xml:space="preserve"> </w:t>
      </w:r>
      <w:r w:rsidR="001E43E1" w:rsidRPr="001E43E1">
        <w:t xml:space="preserve">The impact of </w:t>
      </w:r>
      <w:r w:rsidR="001E43E1">
        <w:t>HY</w:t>
      </w:r>
      <w:r w:rsidR="001E43E1" w:rsidRPr="001E43E1">
        <w:t xml:space="preserve"> on these components suggests that its porosity and structure may serve as effective traps for pollutants.</w:t>
      </w:r>
    </w:p>
    <w:p w14:paraId="5798D901" w14:textId="29959F6A" w:rsidR="000D5FBF" w:rsidRDefault="0062784B" w:rsidP="0062784B">
      <w:pPr>
        <w:pStyle w:val="CETBodytext"/>
        <w:spacing w:before="240" w:after="240"/>
        <w:rPr>
          <w:noProof/>
        </w:rPr>
      </w:pPr>
      <w:r>
        <w:rPr>
          <w:noProof/>
        </w:rPr>
        <w:drawing>
          <wp:inline distT="0" distB="0" distL="0" distR="0" wp14:anchorId="4E977B51" wp14:editId="6D990D78">
            <wp:extent cx="2453214" cy="1515600"/>
            <wp:effectExtent l="0" t="0" r="4445" b="8890"/>
            <wp:docPr id="171128790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3214" cy="1515600"/>
                    </a:xfrm>
                    <a:prstGeom prst="rect">
                      <a:avLst/>
                    </a:prstGeom>
                    <a:noFill/>
                  </pic:spPr>
                </pic:pic>
              </a:graphicData>
            </a:graphic>
          </wp:inline>
        </w:drawing>
      </w:r>
      <w:r w:rsidR="00881C45">
        <w:rPr>
          <w:noProof/>
        </w:rPr>
        <w:t xml:space="preserve"> </w:t>
      </w:r>
      <w:r w:rsidR="00881C45">
        <w:rPr>
          <w:noProof/>
        </w:rPr>
        <w:drawing>
          <wp:inline distT="0" distB="0" distL="0" distR="0" wp14:anchorId="2252335D" wp14:editId="6D4081A0">
            <wp:extent cx="2472352" cy="1515600"/>
            <wp:effectExtent l="0" t="0" r="4445" b="8890"/>
            <wp:docPr id="179919531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2352" cy="1515600"/>
                    </a:xfrm>
                    <a:prstGeom prst="rect">
                      <a:avLst/>
                    </a:prstGeom>
                    <a:noFill/>
                  </pic:spPr>
                </pic:pic>
              </a:graphicData>
            </a:graphic>
          </wp:inline>
        </w:drawing>
      </w:r>
    </w:p>
    <w:p w14:paraId="14E23F63" w14:textId="77777777" w:rsidR="00BF7EED" w:rsidRDefault="00BF7EED" w:rsidP="00BF7EED">
      <w:pPr>
        <w:pStyle w:val="CETCaption"/>
        <w:rPr>
          <w:rStyle w:val="Rimandocommento"/>
          <w:i w:val="0"/>
        </w:rPr>
      </w:pPr>
      <w:bookmarkStart w:id="15" w:name="_Ref156145110"/>
      <w:r>
        <w:t xml:space="preserve">Figure </w:t>
      </w:r>
      <w:r>
        <w:fldChar w:fldCharType="begin"/>
      </w:r>
      <w:r>
        <w:instrText xml:space="preserve"> SEQ Figure \* ARABIC </w:instrText>
      </w:r>
      <w:r>
        <w:fldChar w:fldCharType="separate"/>
      </w:r>
      <w:r>
        <w:rPr>
          <w:noProof/>
        </w:rPr>
        <w:t>4</w:t>
      </w:r>
      <w:r>
        <w:fldChar w:fldCharType="end"/>
      </w:r>
      <w:bookmarkEnd w:id="15"/>
      <w:r w:rsidRPr="00651B92">
        <w:t>: (a) Comparison of Ammonium Nitrogen production with different carbonaceous products added; (b) comparison of Orthophosphate production with different carbonaceous products</w:t>
      </w:r>
      <w:r>
        <w:t xml:space="preserve"> </w:t>
      </w:r>
      <w:r w:rsidRPr="00651B92">
        <w:t>added.</w:t>
      </w:r>
    </w:p>
    <w:p w14:paraId="0508CDFC" w14:textId="76361C22" w:rsidR="00BC0582" w:rsidRPr="00B57B36" w:rsidRDefault="00BC0582" w:rsidP="00BF7EED">
      <w:pPr>
        <w:pStyle w:val="CETHeading1"/>
      </w:pPr>
      <w:r w:rsidRPr="00B57B36">
        <w:t>Conclusions</w:t>
      </w:r>
    </w:p>
    <w:p w14:paraId="5C2EA8A6" w14:textId="56BBE543" w:rsidR="00BC0582" w:rsidRPr="00881C45" w:rsidRDefault="00BC0582" w:rsidP="00BC0582">
      <w:pPr>
        <w:pStyle w:val="CETBodytext"/>
        <w:rPr>
          <w:lang w:val="en-GB"/>
        </w:rPr>
      </w:pPr>
      <w:r w:rsidRPr="00E57F2B">
        <w:rPr>
          <w:lang w:val="en-GB"/>
        </w:rPr>
        <w:t>The carbonaceous products, Biochar and Hydrochar, demonstrably enhance methane production efficiency in mesophilic anaerobic digestion when mixed with sewage sludge at varying concentrations. However, their impact on anaerobic digestion efficiency is contingent upon the quantity added. Notably, at an initial concentration of 8</w:t>
      </w:r>
      <w:r w:rsidR="00EF6AED">
        <w:rPr>
          <w:lang w:val="en-GB"/>
        </w:rPr>
        <w:t> </w:t>
      </w:r>
      <w:r w:rsidRPr="00E57F2B">
        <w:rPr>
          <w:lang w:val="en-GB"/>
        </w:rPr>
        <w:t xml:space="preserve">g added to the sludge, Hydrochar significantly </w:t>
      </w:r>
      <w:r>
        <w:rPr>
          <w:lang w:val="en-GB"/>
        </w:rPr>
        <w:t>bolstered</w:t>
      </w:r>
      <w:r w:rsidRPr="00E57F2B">
        <w:rPr>
          <w:lang w:val="en-GB"/>
        </w:rPr>
        <w:t xml:space="preserve"> methane production by 9% in anaerobic digestion reactors. Conversely, as the initial concentration of Hydrochar diminishes, the observed increase in methane production in the biogas becomes less pronounced. Furthermore, the addition of Hydrochar emerges as a pivotal factor capable of influencing the microbial community. Significantly, Hydrochar led to an elevation in the quantity of volatile fatty acids (VFAs) produced in the anaerobic digestion system, reaching up to a notable 21% increase in some cases. These findings underscore the nuanced role of Hydrochar in optimizing the efficiency and microbial dynamics of mesophilic anaerobic digestion processes.</w:t>
      </w:r>
    </w:p>
    <w:p w14:paraId="7DFFBF41" w14:textId="57EFE36E" w:rsidR="001E43E1" w:rsidRPr="00280FAF" w:rsidRDefault="001E43E1" w:rsidP="00280FAF">
      <w:pPr>
        <w:pStyle w:val="CETBodytext"/>
        <w:jc w:val="left"/>
        <w:rPr>
          <w:rFonts w:eastAsia="SimSun"/>
        </w:rPr>
        <w:sectPr w:rsidR="001E43E1" w:rsidRPr="00280FAF" w:rsidSect="00A97298">
          <w:type w:val="continuous"/>
          <w:pgSz w:w="11906" w:h="16838" w:code="9"/>
          <w:pgMar w:top="1701" w:right="1418" w:bottom="1701" w:left="1701" w:header="1701" w:footer="0" w:gutter="0"/>
          <w:cols w:space="708"/>
          <w:formProt w:val="0"/>
          <w:titlePg/>
          <w:docGrid w:linePitch="360"/>
        </w:sectPr>
      </w:pPr>
    </w:p>
    <w:p w14:paraId="38BFE636" w14:textId="4DDB6CC6" w:rsidR="00280FAF" w:rsidRPr="00E377D0" w:rsidRDefault="00280FAF" w:rsidP="00FB777C">
      <w:pPr>
        <w:pStyle w:val="CETBodytext"/>
        <w:jc w:val="left"/>
        <w:rPr>
          <w:rFonts w:eastAsia="SimSun"/>
        </w:rPr>
        <w:sectPr w:rsidR="00280FAF" w:rsidRPr="00E377D0" w:rsidSect="00A97298">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B57B36" w:rsidRDefault="00600535" w:rsidP="00600535">
      <w:pPr>
        <w:pStyle w:val="CETAcknowledgementstitle"/>
      </w:pPr>
      <w:r w:rsidRPr="00B57B36">
        <w:t>Acknowledgments</w:t>
      </w:r>
    </w:p>
    <w:p w14:paraId="2106E794" w14:textId="7646D6C6" w:rsidR="006D4FDC" w:rsidRDefault="001A412A" w:rsidP="00600535">
      <w:pPr>
        <w:pStyle w:val="CETReference"/>
        <w:rPr>
          <w:b w:val="0"/>
        </w:rPr>
      </w:pPr>
      <w:r>
        <w:rPr>
          <w:b w:val="0"/>
        </w:rPr>
        <w:t xml:space="preserve">This work has been partially supported </w:t>
      </w:r>
      <w:r w:rsidR="008840A1">
        <w:rPr>
          <w:b w:val="0"/>
        </w:rPr>
        <w:t>through the</w:t>
      </w:r>
      <w:r w:rsidR="00D33069" w:rsidRPr="00D33069">
        <w:rPr>
          <w:b w:val="0"/>
        </w:rPr>
        <w:t xml:space="preserve"> </w:t>
      </w:r>
      <w:r w:rsidR="008840A1">
        <w:rPr>
          <w:b w:val="0"/>
        </w:rPr>
        <w:t xml:space="preserve">grants </w:t>
      </w:r>
      <w:r w:rsidR="00D33069" w:rsidRPr="00D33069">
        <w:rPr>
          <w:b w:val="0"/>
        </w:rPr>
        <w:t>SOSPIRI</w:t>
      </w:r>
      <w:r w:rsidR="004E01CA">
        <w:rPr>
          <w:b w:val="0"/>
        </w:rPr>
        <w:t xml:space="preserve"> </w:t>
      </w:r>
      <w:r w:rsidR="00A3724B">
        <w:rPr>
          <w:b w:val="0"/>
        </w:rPr>
        <w:t xml:space="preserve">project </w:t>
      </w:r>
      <w:r w:rsidR="004E01CA">
        <w:rPr>
          <w:b w:val="0"/>
        </w:rPr>
        <w:t>funded</w:t>
      </w:r>
      <w:r w:rsidR="00D33069" w:rsidRPr="00D33069">
        <w:rPr>
          <w:b w:val="0"/>
        </w:rPr>
        <w:t xml:space="preserve"> </w:t>
      </w:r>
      <w:r w:rsidR="008840A1">
        <w:rPr>
          <w:b w:val="0"/>
        </w:rPr>
        <w:t xml:space="preserve">by the </w:t>
      </w:r>
      <w:r w:rsidR="00F87C0E">
        <w:rPr>
          <w:b w:val="0"/>
        </w:rPr>
        <w:t xml:space="preserve">Italian </w:t>
      </w:r>
      <w:r w:rsidR="008840A1">
        <w:rPr>
          <w:b w:val="0"/>
        </w:rPr>
        <w:t xml:space="preserve">Ministry of </w:t>
      </w:r>
      <w:r w:rsidR="004F5D61">
        <w:rPr>
          <w:b w:val="0"/>
        </w:rPr>
        <w:t xml:space="preserve">the </w:t>
      </w:r>
      <w:r w:rsidR="00577CB0">
        <w:rPr>
          <w:b w:val="0"/>
        </w:rPr>
        <w:t>Environment and Energy Saf</w:t>
      </w:r>
      <w:r w:rsidR="004E01CA">
        <w:rPr>
          <w:b w:val="0"/>
        </w:rPr>
        <w:t>ety</w:t>
      </w:r>
      <w:r w:rsidR="004F5D61">
        <w:rPr>
          <w:b w:val="0"/>
        </w:rPr>
        <w:t xml:space="preserve"> CUP</w:t>
      </w:r>
      <w:r w:rsidR="004E01CA">
        <w:rPr>
          <w:b w:val="0"/>
        </w:rPr>
        <w:t xml:space="preserve">: </w:t>
      </w:r>
      <w:r w:rsidR="004E01CA" w:rsidRPr="004E01CA">
        <w:rPr>
          <w:b w:val="0"/>
        </w:rPr>
        <w:t>F29J22001310004</w:t>
      </w:r>
      <w:r w:rsidR="004F5D61">
        <w:rPr>
          <w:b w:val="0"/>
        </w:rPr>
        <w:t xml:space="preserve"> </w:t>
      </w:r>
      <w:r w:rsidR="00D33069" w:rsidRPr="00D33069">
        <w:rPr>
          <w:b w:val="0"/>
        </w:rPr>
        <w:t>and CIBUS</w:t>
      </w:r>
      <w:r w:rsidR="00A3724B">
        <w:rPr>
          <w:b w:val="0"/>
        </w:rPr>
        <w:t xml:space="preserve"> project</w:t>
      </w:r>
      <w:r w:rsidR="00D33069" w:rsidRPr="00D33069">
        <w:rPr>
          <w:b w:val="0"/>
        </w:rPr>
        <w:t xml:space="preserve"> </w:t>
      </w:r>
      <w:r w:rsidR="004E01CA">
        <w:rPr>
          <w:b w:val="0"/>
        </w:rPr>
        <w:t xml:space="preserve">funded by </w:t>
      </w:r>
      <w:proofErr w:type="spellStart"/>
      <w:r w:rsidR="004E01CA">
        <w:rPr>
          <w:b w:val="0"/>
        </w:rPr>
        <w:t>Regione</w:t>
      </w:r>
      <w:proofErr w:type="spellEnd"/>
      <w:r w:rsidR="004E01CA">
        <w:rPr>
          <w:b w:val="0"/>
        </w:rPr>
        <w:t xml:space="preserve"> Campania</w:t>
      </w:r>
      <w:r w:rsidR="00F87C0E">
        <w:rPr>
          <w:b w:val="0"/>
        </w:rPr>
        <w:t xml:space="preserve"> Italy</w:t>
      </w:r>
      <w:r w:rsidR="00A3724B">
        <w:rPr>
          <w:b w:val="0"/>
        </w:rPr>
        <w:t xml:space="preserve"> </w:t>
      </w:r>
      <w:r w:rsidR="00DC5519">
        <w:rPr>
          <w:b w:val="0"/>
        </w:rPr>
        <w:t xml:space="preserve">CUP: </w:t>
      </w:r>
      <w:r w:rsidR="00DC5519" w:rsidRPr="00DC5519">
        <w:rPr>
          <w:b w:val="0"/>
        </w:rPr>
        <w:t>B27G22000290002</w:t>
      </w:r>
      <w:r w:rsidR="00A3724B">
        <w:rPr>
          <w:b w:val="0"/>
        </w:rPr>
        <w:t>.</w:t>
      </w:r>
    </w:p>
    <w:p w14:paraId="5149A88A" w14:textId="33B43CCB" w:rsidR="006B4888" w:rsidRDefault="00600535" w:rsidP="00FB0F3F">
      <w:pPr>
        <w:pStyle w:val="CETReference"/>
      </w:pPr>
      <w:r w:rsidRPr="00B57B36">
        <w:t>References</w:t>
      </w:r>
    </w:p>
    <w:p w14:paraId="21A82BC9" w14:textId="77777777" w:rsidR="00927678" w:rsidRPr="00321CCB" w:rsidRDefault="00930DA1" w:rsidP="00927678">
      <w:pPr>
        <w:pStyle w:val="Bibliografia"/>
        <w:rPr>
          <w:noProof/>
          <w:szCs w:val="18"/>
          <w:lang w:val="it-IT"/>
        </w:rPr>
      </w:pPr>
      <w:r w:rsidRPr="00321CCB">
        <w:rPr>
          <w:noProof/>
          <w:szCs w:val="18"/>
        </w:rPr>
        <w:fldChar w:fldCharType="begin"/>
      </w:r>
      <w:r w:rsidRPr="00321CCB">
        <w:rPr>
          <w:noProof/>
          <w:szCs w:val="18"/>
        </w:rPr>
        <w:instrText xml:space="preserve"> BIBLIOGRAPHY  \l 1040 </w:instrText>
      </w:r>
      <w:r w:rsidRPr="00321CCB">
        <w:rPr>
          <w:noProof/>
          <w:szCs w:val="18"/>
        </w:rPr>
        <w:fldChar w:fldCharType="separate"/>
      </w:r>
      <w:r w:rsidR="00927678" w:rsidRPr="00321CCB">
        <w:rPr>
          <w:noProof/>
          <w:szCs w:val="18"/>
        </w:rPr>
        <w:t xml:space="preserve">Anh, T. H., Goldfarb, J. L., Foley, A. M., Lichtfouse, E., Kumar, M., Xiao, L., . . . al., e. (2022). Production of biochar from crop residues and its application for anaerobic digestion. </w:t>
      </w:r>
      <w:r w:rsidR="00927678" w:rsidRPr="00321CCB">
        <w:rPr>
          <w:i/>
          <w:iCs/>
          <w:noProof/>
          <w:szCs w:val="18"/>
          <w:lang w:val="it-IT"/>
        </w:rPr>
        <w:t>Bioresource Technology</w:t>
      </w:r>
      <w:r w:rsidR="00927678" w:rsidRPr="00321CCB">
        <w:rPr>
          <w:noProof/>
          <w:szCs w:val="18"/>
          <w:lang w:val="it-IT"/>
        </w:rPr>
        <w:t>, 363, pp. 127970.</w:t>
      </w:r>
    </w:p>
    <w:p w14:paraId="4BA48833" w14:textId="77777777" w:rsidR="00927678" w:rsidRPr="00321CCB" w:rsidRDefault="00927678" w:rsidP="00927678">
      <w:pPr>
        <w:pStyle w:val="Bibliografia"/>
        <w:rPr>
          <w:noProof/>
          <w:szCs w:val="18"/>
        </w:rPr>
      </w:pPr>
      <w:r w:rsidRPr="00321CCB">
        <w:rPr>
          <w:noProof/>
          <w:szCs w:val="18"/>
          <w:lang w:val="it-IT"/>
        </w:rPr>
        <w:t xml:space="preserve">Ferrentino, R., Merzari, F., Fiori, L., &amp; Andreottola, G. (2020). </w:t>
      </w:r>
      <w:r w:rsidRPr="00321CCB">
        <w:rPr>
          <w:noProof/>
          <w:szCs w:val="18"/>
        </w:rPr>
        <w:t xml:space="preserve">Coupling Hydrothermal Carbonization with Anaerobic Digestion for Sewage Sludge Treatment: Influence of HTC Liquor and Hydrochar on Biomethane Production. </w:t>
      </w:r>
      <w:r w:rsidRPr="00321CCB">
        <w:rPr>
          <w:i/>
          <w:iCs/>
          <w:noProof/>
          <w:szCs w:val="18"/>
        </w:rPr>
        <w:t>Energies</w:t>
      </w:r>
      <w:r w:rsidRPr="00321CCB">
        <w:rPr>
          <w:noProof/>
          <w:szCs w:val="18"/>
        </w:rPr>
        <w:t>, 13, 6262.</w:t>
      </w:r>
    </w:p>
    <w:p w14:paraId="0209DFA0" w14:textId="77777777" w:rsidR="00927678" w:rsidRPr="00321CCB" w:rsidRDefault="00927678" w:rsidP="00927678">
      <w:pPr>
        <w:pStyle w:val="Bibliografia"/>
        <w:rPr>
          <w:noProof/>
          <w:szCs w:val="18"/>
        </w:rPr>
      </w:pPr>
      <w:r w:rsidRPr="00321CCB">
        <w:rPr>
          <w:noProof/>
          <w:szCs w:val="18"/>
        </w:rPr>
        <w:t xml:space="preserve">Khawer, M. U., Naqvi, S. R., Ali, I., Arshad, M., Juchelkov, D., Anjum, M. W., &amp; Naqvi, M. (2022). Anaerobic digestion of sewage sludge for biogas &amp; biohydrogen production: State-of-the-art trends and prospects. </w:t>
      </w:r>
      <w:r w:rsidRPr="00321CCB">
        <w:rPr>
          <w:i/>
          <w:iCs/>
          <w:noProof/>
          <w:szCs w:val="18"/>
        </w:rPr>
        <w:t>Fuel</w:t>
      </w:r>
      <w:r w:rsidRPr="00321CCB">
        <w:rPr>
          <w:noProof/>
          <w:szCs w:val="18"/>
        </w:rPr>
        <w:t>.</w:t>
      </w:r>
    </w:p>
    <w:p w14:paraId="4FD4C175" w14:textId="77777777" w:rsidR="00927678" w:rsidRPr="00321CCB" w:rsidRDefault="00927678" w:rsidP="00927678">
      <w:pPr>
        <w:pStyle w:val="Bibliografia"/>
        <w:rPr>
          <w:noProof/>
          <w:szCs w:val="18"/>
        </w:rPr>
      </w:pPr>
      <w:r w:rsidRPr="00321CCB">
        <w:rPr>
          <w:noProof/>
          <w:szCs w:val="18"/>
        </w:rPr>
        <w:t xml:space="preserve">S. Harirchi, S. W. (2022). Microbiological insights into anaerobic digestion for biogas, hydrogen or volatile fatty acids (VFAs): a review. </w:t>
      </w:r>
      <w:r w:rsidRPr="00321CCB">
        <w:rPr>
          <w:i/>
          <w:iCs/>
          <w:noProof/>
          <w:szCs w:val="18"/>
        </w:rPr>
        <w:t>Bioengineered</w:t>
      </w:r>
      <w:r w:rsidRPr="00321CCB">
        <w:rPr>
          <w:noProof/>
          <w:szCs w:val="18"/>
        </w:rPr>
        <w:t>, 13:3, 6521-6557.</w:t>
      </w:r>
    </w:p>
    <w:p w14:paraId="300E9886" w14:textId="77777777" w:rsidR="00927678" w:rsidRPr="00321CCB" w:rsidRDefault="00927678" w:rsidP="00927678">
      <w:pPr>
        <w:pStyle w:val="Bibliografia"/>
        <w:rPr>
          <w:noProof/>
          <w:szCs w:val="18"/>
        </w:rPr>
      </w:pPr>
      <w:r w:rsidRPr="00321CCB">
        <w:rPr>
          <w:noProof/>
          <w:szCs w:val="18"/>
        </w:rPr>
        <w:t xml:space="preserve">X. Wang, J. Z. (2017). Evaluating the potential impact of hydrochar on the production of short-chain fatty acid from sludge anaerobic digestion. </w:t>
      </w:r>
      <w:r w:rsidRPr="00321CCB">
        <w:rPr>
          <w:i/>
          <w:iCs/>
          <w:noProof/>
          <w:szCs w:val="18"/>
        </w:rPr>
        <w:t>Bioresource Technology</w:t>
      </w:r>
      <w:r w:rsidRPr="00321CCB">
        <w:rPr>
          <w:noProof/>
          <w:szCs w:val="18"/>
        </w:rPr>
        <w:t>, 234-241.</w:t>
      </w:r>
    </w:p>
    <w:p w14:paraId="3AFE1031" w14:textId="77777777" w:rsidR="00927678" w:rsidRPr="00321CCB" w:rsidRDefault="00927678" w:rsidP="00927678">
      <w:pPr>
        <w:pStyle w:val="Bibliografia"/>
        <w:rPr>
          <w:noProof/>
          <w:szCs w:val="18"/>
        </w:rPr>
      </w:pPr>
      <w:r w:rsidRPr="00321CCB">
        <w:rPr>
          <w:noProof/>
          <w:szCs w:val="18"/>
        </w:rPr>
        <w:t xml:space="preserve">Y. Shen, J. L.-D. (2015). Producing Pipeline-Quality Biomethane via Anaerobic Digestion of Sludge Amended with Corn Stover Biochar with in-Situ CO2 Removal. </w:t>
      </w:r>
      <w:r w:rsidRPr="00321CCB">
        <w:rPr>
          <w:i/>
          <w:iCs/>
          <w:noProof/>
          <w:szCs w:val="18"/>
        </w:rPr>
        <w:t>Appl. Energy, 158</w:t>
      </w:r>
      <w:r w:rsidRPr="00321CCB">
        <w:rPr>
          <w:noProof/>
          <w:szCs w:val="18"/>
        </w:rPr>
        <w:t>, 300-309.</w:t>
      </w:r>
    </w:p>
    <w:p w14:paraId="19C4FC68" w14:textId="2CBE661E" w:rsidR="004628D2" w:rsidRPr="00321CCB" w:rsidRDefault="00930DA1" w:rsidP="001E43E1">
      <w:pPr>
        <w:pStyle w:val="Bibliografia"/>
        <w:ind w:left="0" w:firstLine="0"/>
        <w:rPr>
          <w:noProof/>
          <w:szCs w:val="18"/>
        </w:rPr>
      </w:pPr>
      <w:r w:rsidRPr="00321CCB">
        <w:rPr>
          <w:noProof/>
          <w:szCs w:val="18"/>
        </w:rPr>
        <w:fldChar w:fldCharType="end"/>
      </w:r>
    </w:p>
    <w:p w14:paraId="4B8D0B57" w14:textId="04AC89ED" w:rsidR="005E37A6" w:rsidRDefault="005E37A6" w:rsidP="003E6C62">
      <w:pPr>
        <w:pStyle w:val="Bibliografia"/>
      </w:pPr>
    </w:p>
    <w:sectPr w:rsidR="005E37A6" w:rsidSect="00A97298">
      <w:type w:val="continuous"/>
      <w:pgSz w:w="11906" w:h="16838" w:code="9"/>
      <w:pgMar w:top="1701" w:right="1418" w:bottom="1701" w:left="1701" w:header="1701" w:footer="0"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viewer" w:date="2024-01-31T23:59:00Z" w:initials="MAA">
    <w:p w14:paraId="61C2A6A0" w14:textId="117D5A4D" w:rsidR="006C5014" w:rsidRDefault="006C5014">
      <w:pPr>
        <w:pStyle w:val="Testocommento"/>
      </w:pPr>
      <w:r>
        <w:rPr>
          <w:rStyle w:val="Rimandocommento"/>
        </w:rPr>
        <w:annotationRef/>
      </w:r>
      <w:r>
        <w:t xml:space="preserve">Biochar and hydro char fabrication </w:t>
      </w:r>
      <w:r w:rsidR="00077793">
        <w:t>details</w:t>
      </w:r>
      <w:r>
        <w:t xml:space="preserve"> and types are not clea</w:t>
      </w:r>
      <w:r w:rsidR="00077793">
        <w:t>rly</w:t>
      </w:r>
      <w:r>
        <w:t xml:space="preserve"> explained</w:t>
      </w:r>
      <w:r w:rsidR="00077793">
        <w:t xml:space="preserve"> here. Biomass feedstock and fabrication is crucial for regeneration of work to prepare char. Because its physical and chemical properties vary a lot depending on process and feedstock. </w:t>
      </w:r>
      <w:r>
        <w:t xml:space="preserve"> </w:t>
      </w:r>
    </w:p>
  </w:comment>
  <w:comment w:id="3" w:author="Reviewer" w:date="2024-01-31T23:45:00Z" w:initials="MAA">
    <w:p w14:paraId="50B9BEE5" w14:textId="7FD78E76" w:rsidR="00D25AA9" w:rsidRDefault="00D25AA9" w:rsidP="002C71B7">
      <w:pPr>
        <w:pStyle w:val="Testocommento"/>
      </w:pPr>
      <w:r>
        <w:rPr>
          <w:rStyle w:val="Rimandocommento"/>
        </w:rPr>
        <w:annotationRef/>
      </w:r>
      <w:r w:rsidR="002C71B7">
        <w:t>Please define VS</w:t>
      </w:r>
      <w:r w:rsidR="002C71B7" w:rsidRPr="002C71B7">
        <w:rPr>
          <w:vertAlign w:val="subscript"/>
        </w:rPr>
        <w:t>I</w:t>
      </w:r>
      <w:r w:rsidR="002C71B7">
        <w:t xml:space="preserve"> and VS </w:t>
      </w:r>
      <w:r w:rsidR="002C71B7" w:rsidRPr="002C71B7">
        <w:rPr>
          <w:vertAlign w:val="subscript"/>
        </w:rPr>
        <w:t>S</w:t>
      </w:r>
      <w:r w:rsidR="002C71B7">
        <w:t xml:space="preserve"> in text </w:t>
      </w:r>
    </w:p>
  </w:comment>
  <w:comment w:id="5" w:author="Reviewer" w:date="2024-02-01T00:06:00Z" w:initials="MAA">
    <w:p w14:paraId="0C381D7A" w14:textId="63382ED6" w:rsidR="00737793" w:rsidRDefault="00737793">
      <w:pPr>
        <w:pStyle w:val="Testocommento"/>
      </w:pPr>
      <w:r>
        <w:rPr>
          <w:rStyle w:val="Rimandocommento"/>
        </w:rPr>
        <w:annotationRef/>
      </w:r>
      <w:r>
        <w:t>Rather than discussing char</w:t>
      </w:r>
      <w:r w:rsidR="00E2494C">
        <w:t xml:space="preserve"> general</w:t>
      </w:r>
      <w:r>
        <w:t xml:space="preserve"> physical and chemical properties here. It better to use this section for describing </w:t>
      </w:r>
      <w:r w:rsidR="00E2494C">
        <w:t xml:space="preserve">characterization of char, properties of char that you chosed for process and </w:t>
      </w:r>
      <w:r>
        <w:t xml:space="preserve">how </w:t>
      </w:r>
      <w:r w:rsidR="00E2494C">
        <w:t>it was obtained/</w:t>
      </w:r>
      <w:r>
        <w:t>produce</w:t>
      </w:r>
      <w:r w:rsidR="00E2494C">
        <w:t>d</w:t>
      </w:r>
    </w:p>
  </w:comment>
  <w:comment w:id="6" w:author="Reviewer" w:date="2024-02-01T00:13:00Z" w:initials="MAA">
    <w:p w14:paraId="67D5E668" w14:textId="55403EA3" w:rsidR="006E0D18" w:rsidRDefault="006E0D18">
      <w:pPr>
        <w:pStyle w:val="Testocommento"/>
      </w:pPr>
      <w:r>
        <w:rPr>
          <w:rStyle w:val="Rimandocommento"/>
        </w:rPr>
        <w:annotationRef/>
      </w:r>
      <w:r>
        <w:t xml:space="preserve">It might be good if you also provide elemental and proximate </w:t>
      </w:r>
      <w:r w:rsidR="00F74734">
        <w:t>analysis of char used in your process just like hydrochar below.</w:t>
      </w:r>
    </w:p>
  </w:comment>
  <w:comment w:id="7" w:author="Annalinda Capone" w:date="2024-03-30T20:06:00Z" w:initials="AC">
    <w:p w14:paraId="30139348" w14:textId="77777777" w:rsidR="003766E9" w:rsidRDefault="003766E9" w:rsidP="003766E9">
      <w:pPr>
        <w:pStyle w:val="Testocommento"/>
        <w:jc w:val="left"/>
      </w:pPr>
      <w:r>
        <w:rPr>
          <w:rStyle w:val="Rimandocommento"/>
        </w:rPr>
        <w:annotationRef/>
      </w:r>
      <w:r>
        <w:t>Many analysis still are proceding.. We will provide you this data in the next months, please</w:t>
      </w:r>
    </w:p>
  </w:comment>
  <w:comment w:id="9" w:author="Reviewer" w:date="2024-02-01T00:17:00Z" w:initials="MAA">
    <w:p w14:paraId="7D8A7139" w14:textId="0304A440" w:rsidR="003C118D" w:rsidRDefault="003C118D">
      <w:pPr>
        <w:pStyle w:val="Testocommento"/>
      </w:pPr>
      <w:r>
        <w:rPr>
          <w:rStyle w:val="Rimandocommento"/>
        </w:rPr>
        <w:annotationRef/>
      </w:r>
      <w:r>
        <w:t>Explain a bit more how.</w:t>
      </w:r>
    </w:p>
  </w:comment>
  <w:comment w:id="10" w:author="Reviewer" w:date="2024-02-01T00:46:00Z" w:initials="MAA">
    <w:p w14:paraId="6AB24F52" w14:textId="64A5C3D1" w:rsidR="00C56CD0" w:rsidRDefault="00C56CD0">
      <w:pPr>
        <w:pStyle w:val="Testocommento"/>
      </w:pPr>
      <w:r>
        <w:rPr>
          <w:rStyle w:val="Rimandocommento"/>
        </w:rPr>
        <w:annotationRef/>
      </w:r>
      <w:r>
        <w:t xml:space="preserve">Author didn’t discuss the reasons why these trends came from experiments. What chemical of physical phenomenon causes these trends in results discussion. </w:t>
      </w:r>
    </w:p>
  </w:comment>
  <w:comment w:id="11" w:author="Reviewer" w:date="2024-02-01T00:20:00Z" w:initials="MAA">
    <w:p w14:paraId="5BF37283" w14:textId="3A2FB569" w:rsidR="00F57FA9" w:rsidRDefault="00F57FA9">
      <w:pPr>
        <w:pStyle w:val="Testocommento"/>
      </w:pPr>
      <w:r>
        <w:rPr>
          <w:rStyle w:val="Rimandocommento"/>
        </w:rPr>
        <w:annotationRef/>
      </w:r>
      <w:r>
        <w:t xml:space="preserve">Use  same font size in both figures </w:t>
      </w:r>
    </w:p>
  </w:comment>
  <w:comment w:id="14" w:author="Reviewer" w:date="2024-02-01T00:44:00Z" w:initials="MAA">
    <w:p w14:paraId="55F2F135" w14:textId="16919949" w:rsidR="00AC6718" w:rsidRDefault="00AC6718">
      <w:pPr>
        <w:pStyle w:val="Testocommento"/>
      </w:pPr>
      <w:r>
        <w:rPr>
          <w:rStyle w:val="Rimandocommento"/>
        </w:rPr>
        <w:annotationRef/>
      </w:r>
      <w:r w:rsidR="00C56CD0">
        <w:t xml:space="preserve">First para is useless in results and discussion section, it better to discuss the chemical or physical phenomenon involve behind these results. It totally blind to reader so far how the biochar and hydro char helped in this pross.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C2A6A0" w15:done="0"/>
  <w15:commentEx w15:paraId="50B9BEE5" w15:done="0"/>
  <w15:commentEx w15:paraId="0C381D7A" w15:done="0"/>
  <w15:commentEx w15:paraId="67D5E668" w15:done="0"/>
  <w15:commentEx w15:paraId="30139348" w15:paraIdParent="67D5E668" w15:done="0"/>
  <w15:commentEx w15:paraId="7D8A7139" w15:done="0"/>
  <w15:commentEx w15:paraId="6AB24F52" w15:done="0"/>
  <w15:commentEx w15:paraId="5BF37283" w15:done="0"/>
  <w15:commentEx w15:paraId="55F2F1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655D7D">
    <w16cex:extLst>
      <w16:ext w16:uri="{CE6994B0-6A32-4C9F-8C6B-6E91EDA988CE}">
        <cr:reactions xmlns:cr="http://schemas.microsoft.com/office/comments/2020/reactions">
          <cr:reaction reactionType="1">
            <cr:reactionInfo dateUtc="2024-03-30T19:06:35Z">
              <cr:user userId="S::annalinda.capone@unicampania.it::d4aac300-7fbc-4c5a-a087-81c512ed4ec3" userProvider="AD" userName="Annalinda Capone"/>
            </cr:reactionInfo>
          </cr:reaction>
        </cr:reactions>
      </w16:ext>
    </w16cex:extLst>
  </w16cex:commentExtensible>
  <w16cex:commentExtensible w16cex:durableId="29655A34">
    <w16cex:extLst>
      <w16:ext w16:uri="{CE6994B0-6A32-4C9F-8C6B-6E91EDA988CE}">
        <cr:reactions xmlns:cr="http://schemas.microsoft.com/office/comments/2020/reactions">
          <cr:reaction reactionType="1">
            <cr:reactionInfo dateUtc="2024-03-30T19:00:29Z">
              <cr:user userId="S::annalinda.capone@unicampania.it::d4aac300-7fbc-4c5a-a087-81c512ed4ec3" userProvider="AD" userName="Annalinda Capone"/>
            </cr:reactionInfo>
          </cr:reaction>
        </cr:reactions>
      </w16:ext>
    </w16cex:extLst>
  </w16cex:commentExtensible>
  <w16cex:commentExtensible w16cex:durableId="29655EEA">
    <w16cex:extLst>
      <w16:ext w16:uri="{CE6994B0-6A32-4C9F-8C6B-6E91EDA988CE}">
        <cr:reactions xmlns:cr="http://schemas.microsoft.com/office/comments/2020/reactions">
          <cr:reaction reactionType="1">
            <cr:reactionInfo dateUtc="2024-03-30T19:05:34Z">
              <cr:user userId="S::annalinda.capone@unicampania.it::d4aac300-7fbc-4c5a-a087-81c512ed4ec3" userProvider="AD" userName="Annalinda Capone"/>
            </cr:reactionInfo>
          </cr:reaction>
        </cr:reactions>
      </w16:ext>
    </w16cex:extLst>
  </w16cex:commentExtensible>
  <w16cex:commentExtensible w16cex:durableId="51FE9C49" w16cex:dateUtc="2024-03-30T19:06:00Z"/>
  <w16cex:commentExtensible w16cex:durableId="29656186">
    <w16cex:extLst>
      <w16:ext w16:uri="{CE6994B0-6A32-4C9F-8C6B-6E91EDA988CE}">
        <cr:reactions xmlns:cr="http://schemas.microsoft.com/office/comments/2020/reactions">
          <cr:reaction reactionType="1">
            <cr:reactionInfo dateUtc="2024-03-30T19:09:59Z">
              <cr:user userId="S::annalinda.capone@unicampania.it::d4aac300-7fbc-4c5a-a087-81c512ed4ec3" userProvider="AD" userName="Annalinda Capone"/>
            </cr:reactionInfo>
          </cr:reaction>
        </cr:reactions>
      </w16:ext>
    </w16cex:extLst>
  </w16cex:commentExtensible>
  <w16cex:commentExtensible w16cex:durableId="29656872">
    <w16cex:extLst>
      <w16:ext w16:uri="{CE6994B0-6A32-4C9F-8C6B-6E91EDA988CE}">
        <cr:reactions xmlns:cr="http://schemas.microsoft.com/office/comments/2020/reactions">
          <cr:reaction reactionType="1">
            <cr:reactionInfo dateUtc="2024-03-30T19:24:58Z">
              <cr:user userId="S::annalinda.capone@unicampania.it::d4aac300-7fbc-4c5a-a087-81c512ed4ec3" userProvider="AD" userName="Annalinda Capone"/>
            </cr:reactionInfo>
          </cr:reaction>
        </cr:reactions>
      </w16:ext>
    </w16cex:extLst>
  </w16cex:commentExtensible>
  <w16cex:commentExtensible w16cex:durableId="29656267">
    <w16cex:extLst>
      <w16:ext w16:uri="{CE6994B0-6A32-4C9F-8C6B-6E91EDA988CE}">
        <cr:reactions xmlns:cr="http://schemas.microsoft.com/office/comments/2020/reactions">
          <cr:reaction reactionType="1">
            <cr:reactionInfo dateUtc="2024-03-30T19:19:19Z">
              <cr:user userId="S::annalinda.capone@unicampania.it::d4aac300-7fbc-4c5a-a087-81c512ed4ec3" userProvider="AD" userName="Annalinda Capone"/>
            </cr:reactionInfo>
          </cr:reaction>
        </cr:reactions>
      </w16:ext>
    </w16cex:extLst>
  </w16cex:commentExtensible>
  <w16cex:commentExtensible w16cex:durableId="29656801">
    <w16cex:extLst>
      <w16:ext w16:uri="{CE6994B0-6A32-4C9F-8C6B-6E91EDA988CE}">
        <cr:reactions xmlns:cr="http://schemas.microsoft.com/office/comments/2020/reactions">
          <cr:reaction reactionType="1">
            <cr:reactionInfo dateUtc="2024-03-30T19:30:42Z">
              <cr:user userId="S::annalinda.capone@unicampania.it::d4aac300-7fbc-4c5a-a087-81c512ed4ec3" userProvider="AD" userName="Annalinda Capon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C2A6A0" w16cid:durableId="29655D7D"/>
  <w16cid:commentId w16cid:paraId="50B9BEE5" w16cid:durableId="29655A34"/>
  <w16cid:commentId w16cid:paraId="0C381D7A" w16cid:durableId="29655EEA"/>
  <w16cid:commentId w16cid:paraId="67D5E668" w16cid:durableId="296560A7"/>
  <w16cid:commentId w16cid:paraId="30139348" w16cid:durableId="51FE9C49"/>
  <w16cid:commentId w16cid:paraId="7D8A7139" w16cid:durableId="29656186"/>
  <w16cid:commentId w16cid:paraId="6AB24F52" w16cid:durableId="29656872"/>
  <w16cid:commentId w16cid:paraId="5BF37283" w16cid:durableId="29656267"/>
  <w16cid:commentId w16cid:paraId="55F2F135" w16cid:durableId="296568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59AF" w14:textId="77777777" w:rsidR="00A97298" w:rsidRDefault="00A97298" w:rsidP="004F5E36">
      <w:r>
        <w:separator/>
      </w:r>
    </w:p>
  </w:endnote>
  <w:endnote w:type="continuationSeparator" w:id="0">
    <w:p w14:paraId="1994E1BE" w14:textId="77777777" w:rsidR="00A97298" w:rsidRDefault="00A9729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2A0DF" w14:textId="77777777" w:rsidR="00A97298" w:rsidRDefault="00A97298" w:rsidP="004F5E36">
      <w:r>
        <w:separator/>
      </w:r>
    </w:p>
  </w:footnote>
  <w:footnote w:type="continuationSeparator" w:id="0">
    <w:p w14:paraId="7CD194A1" w14:textId="77777777" w:rsidR="00A97298" w:rsidRDefault="00A97298" w:rsidP="004F5E36">
      <w:r>
        <w:continuationSeparator/>
      </w:r>
    </w:p>
  </w:footnote>
  <w:footnote w:id="1">
    <w:p w14:paraId="10FA114A" w14:textId="77777777" w:rsidR="00904E3C" w:rsidRPr="00904E3C" w:rsidRDefault="00904E3C" w:rsidP="00904E3C">
      <w:pPr>
        <w:pStyle w:val="Testonotaapidipagina"/>
        <w:rPr>
          <w:sz w:val="14"/>
          <w:szCs w:val="14"/>
          <w:lang w:val="it-IT"/>
        </w:rPr>
      </w:pPr>
      <w:r w:rsidRPr="00904E3C">
        <w:rPr>
          <w:rStyle w:val="Rimandonotaapidipagina"/>
          <w:sz w:val="14"/>
          <w:szCs w:val="14"/>
        </w:rPr>
        <w:footnoteRef/>
      </w:r>
      <w:r w:rsidRPr="00904E3C">
        <w:rPr>
          <w:sz w:val="14"/>
          <w:szCs w:val="14"/>
        </w:rPr>
        <w:t xml:space="preserve"> </w:t>
      </w:r>
      <w:r w:rsidRPr="00904E3C">
        <w:rPr>
          <w:sz w:val="14"/>
          <w:szCs w:val="14"/>
          <w:lang w:val="it-IT"/>
        </w:rPr>
        <w:t xml:space="preserve">“ave” </w:t>
      </w:r>
      <w:proofErr w:type="spellStart"/>
      <w:r w:rsidRPr="00904E3C">
        <w:rPr>
          <w:sz w:val="14"/>
          <w:szCs w:val="14"/>
          <w:lang w:val="it-IT"/>
        </w:rPr>
        <w:t>is</w:t>
      </w:r>
      <w:proofErr w:type="spellEnd"/>
      <w:r w:rsidRPr="00904E3C">
        <w:rPr>
          <w:sz w:val="14"/>
          <w:szCs w:val="14"/>
          <w:lang w:val="it-IT"/>
        </w:rPr>
        <w:t xml:space="preserve"> for </w:t>
      </w:r>
      <w:proofErr w:type="spellStart"/>
      <w:r w:rsidRPr="00904E3C">
        <w:rPr>
          <w:sz w:val="14"/>
          <w:szCs w:val="14"/>
          <w:lang w:val="it-IT"/>
        </w:rPr>
        <w:t>Average</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114832B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3283116">
    <w:abstractNumId w:val="10"/>
  </w:num>
  <w:num w:numId="2" w16cid:durableId="1068070735">
    <w:abstractNumId w:val="8"/>
  </w:num>
  <w:num w:numId="3" w16cid:durableId="1583224889">
    <w:abstractNumId w:val="3"/>
  </w:num>
  <w:num w:numId="4" w16cid:durableId="385032954">
    <w:abstractNumId w:val="2"/>
  </w:num>
  <w:num w:numId="5" w16cid:durableId="339937738">
    <w:abstractNumId w:val="1"/>
  </w:num>
  <w:num w:numId="6" w16cid:durableId="1138184876">
    <w:abstractNumId w:val="0"/>
  </w:num>
  <w:num w:numId="7" w16cid:durableId="2075270648">
    <w:abstractNumId w:val="9"/>
  </w:num>
  <w:num w:numId="8" w16cid:durableId="1346206998">
    <w:abstractNumId w:val="7"/>
  </w:num>
  <w:num w:numId="9" w16cid:durableId="1551572601">
    <w:abstractNumId w:val="6"/>
  </w:num>
  <w:num w:numId="10" w16cid:durableId="602109173">
    <w:abstractNumId w:val="5"/>
  </w:num>
  <w:num w:numId="11" w16cid:durableId="1860192670">
    <w:abstractNumId w:val="4"/>
  </w:num>
  <w:num w:numId="12" w16cid:durableId="763040824">
    <w:abstractNumId w:val="17"/>
  </w:num>
  <w:num w:numId="13" w16cid:durableId="557666375">
    <w:abstractNumId w:val="12"/>
  </w:num>
  <w:num w:numId="14" w16cid:durableId="83916875">
    <w:abstractNumId w:val="18"/>
  </w:num>
  <w:num w:numId="15" w16cid:durableId="1878853796">
    <w:abstractNumId w:val="20"/>
  </w:num>
  <w:num w:numId="16" w16cid:durableId="804932229">
    <w:abstractNumId w:val="19"/>
  </w:num>
  <w:num w:numId="17" w16cid:durableId="1693411341">
    <w:abstractNumId w:val="11"/>
  </w:num>
  <w:num w:numId="18" w16cid:durableId="47998875">
    <w:abstractNumId w:val="12"/>
    <w:lvlOverride w:ilvl="0">
      <w:startOverride w:val="1"/>
    </w:lvlOverride>
  </w:num>
  <w:num w:numId="19" w16cid:durableId="1470780545">
    <w:abstractNumId w:val="16"/>
  </w:num>
  <w:num w:numId="20" w16cid:durableId="1184201107">
    <w:abstractNumId w:val="15"/>
  </w:num>
  <w:num w:numId="21" w16cid:durableId="2049337093">
    <w:abstractNumId w:val="14"/>
  </w:num>
  <w:num w:numId="22" w16cid:durableId="185329634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ewer">
    <w15:presenceInfo w15:providerId="None" w15:userId="Reviewer"/>
  </w15:person>
  <w15:person w15:author="Annalinda Capone">
    <w15:presenceInfo w15:providerId="AD" w15:userId="S::annalinda.capone@unicampania.it::d4aac300-7fbc-4c5a-a087-81c512ed4e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FC2"/>
    <w:rsid w:val="000117CB"/>
    <w:rsid w:val="00011EE1"/>
    <w:rsid w:val="000133FE"/>
    <w:rsid w:val="0001711A"/>
    <w:rsid w:val="00022BE6"/>
    <w:rsid w:val="0003148D"/>
    <w:rsid w:val="00031EEC"/>
    <w:rsid w:val="00036C82"/>
    <w:rsid w:val="00044197"/>
    <w:rsid w:val="000462BB"/>
    <w:rsid w:val="00051566"/>
    <w:rsid w:val="000562A9"/>
    <w:rsid w:val="00062A9A"/>
    <w:rsid w:val="00065058"/>
    <w:rsid w:val="000746C1"/>
    <w:rsid w:val="00077793"/>
    <w:rsid w:val="00086C39"/>
    <w:rsid w:val="00091D7C"/>
    <w:rsid w:val="00097AC9"/>
    <w:rsid w:val="000A03B2"/>
    <w:rsid w:val="000B1065"/>
    <w:rsid w:val="000D0268"/>
    <w:rsid w:val="000D1874"/>
    <w:rsid w:val="000D34BE"/>
    <w:rsid w:val="000D5FBF"/>
    <w:rsid w:val="000E102F"/>
    <w:rsid w:val="000E2074"/>
    <w:rsid w:val="000E2C4D"/>
    <w:rsid w:val="000E36F1"/>
    <w:rsid w:val="000E3A73"/>
    <w:rsid w:val="000E414A"/>
    <w:rsid w:val="000E7353"/>
    <w:rsid w:val="000E7428"/>
    <w:rsid w:val="000F093C"/>
    <w:rsid w:val="000F25E2"/>
    <w:rsid w:val="000F787B"/>
    <w:rsid w:val="00101B84"/>
    <w:rsid w:val="00113A0F"/>
    <w:rsid w:val="001171C8"/>
    <w:rsid w:val="00117691"/>
    <w:rsid w:val="0012091F"/>
    <w:rsid w:val="00120A28"/>
    <w:rsid w:val="00122F3E"/>
    <w:rsid w:val="00126BC2"/>
    <w:rsid w:val="001301F4"/>
    <w:rsid w:val="001308B6"/>
    <w:rsid w:val="0013097F"/>
    <w:rsid w:val="0013121F"/>
    <w:rsid w:val="00131FE6"/>
    <w:rsid w:val="0013263F"/>
    <w:rsid w:val="001331DF"/>
    <w:rsid w:val="00134DE4"/>
    <w:rsid w:val="0014034D"/>
    <w:rsid w:val="00140FBA"/>
    <w:rsid w:val="00143B75"/>
    <w:rsid w:val="00144D16"/>
    <w:rsid w:val="00150387"/>
    <w:rsid w:val="00150E59"/>
    <w:rsid w:val="00152DE3"/>
    <w:rsid w:val="00153C78"/>
    <w:rsid w:val="00156F74"/>
    <w:rsid w:val="001635B1"/>
    <w:rsid w:val="00164CF9"/>
    <w:rsid w:val="001667A6"/>
    <w:rsid w:val="0017100A"/>
    <w:rsid w:val="00182568"/>
    <w:rsid w:val="00184AD6"/>
    <w:rsid w:val="00187614"/>
    <w:rsid w:val="001A2636"/>
    <w:rsid w:val="001A412A"/>
    <w:rsid w:val="001A4AF7"/>
    <w:rsid w:val="001B0349"/>
    <w:rsid w:val="001B1E93"/>
    <w:rsid w:val="001B2F2E"/>
    <w:rsid w:val="001B65C1"/>
    <w:rsid w:val="001C684B"/>
    <w:rsid w:val="001D0CFB"/>
    <w:rsid w:val="001D21AF"/>
    <w:rsid w:val="001D53FC"/>
    <w:rsid w:val="001E43E1"/>
    <w:rsid w:val="001E54D9"/>
    <w:rsid w:val="001E5C31"/>
    <w:rsid w:val="001E7B71"/>
    <w:rsid w:val="001F3583"/>
    <w:rsid w:val="001F42A5"/>
    <w:rsid w:val="001F6190"/>
    <w:rsid w:val="001F7B9D"/>
    <w:rsid w:val="00201C93"/>
    <w:rsid w:val="00204C88"/>
    <w:rsid w:val="0020555E"/>
    <w:rsid w:val="002057A2"/>
    <w:rsid w:val="00210C7A"/>
    <w:rsid w:val="002129F2"/>
    <w:rsid w:val="002224B4"/>
    <w:rsid w:val="00222B55"/>
    <w:rsid w:val="00231EA4"/>
    <w:rsid w:val="002332D7"/>
    <w:rsid w:val="002361CC"/>
    <w:rsid w:val="00242271"/>
    <w:rsid w:val="002447EF"/>
    <w:rsid w:val="00251550"/>
    <w:rsid w:val="0025397F"/>
    <w:rsid w:val="00256C1F"/>
    <w:rsid w:val="00263B05"/>
    <w:rsid w:val="00270A60"/>
    <w:rsid w:val="0027221A"/>
    <w:rsid w:val="00275B61"/>
    <w:rsid w:val="00280F1B"/>
    <w:rsid w:val="00280FAF"/>
    <w:rsid w:val="00282656"/>
    <w:rsid w:val="00286598"/>
    <w:rsid w:val="002906E9"/>
    <w:rsid w:val="00294270"/>
    <w:rsid w:val="00296B83"/>
    <w:rsid w:val="002A1B64"/>
    <w:rsid w:val="002A4733"/>
    <w:rsid w:val="002B01DC"/>
    <w:rsid w:val="002B4015"/>
    <w:rsid w:val="002B61B9"/>
    <w:rsid w:val="002B6483"/>
    <w:rsid w:val="002B78CE"/>
    <w:rsid w:val="002C2FB6"/>
    <w:rsid w:val="002C3CF1"/>
    <w:rsid w:val="002C5A1D"/>
    <w:rsid w:val="002C71B7"/>
    <w:rsid w:val="002E1F03"/>
    <w:rsid w:val="002E31FA"/>
    <w:rsid w:val="002E3540"/>
    <w:rsid w:val="002E5FA7"/>
    <w:rsid w:val="002F3309"/>
    <w:rsid w:val="002F4AC8"/>
    <w:rsid w:val="003008CE"/>
    <w:rsid w:val="003009B7"/>
    <w:rsid w:val="00300E56"/>
    <w:rsid w:val="0030152C"/>
    <w:rsid w:val="0030469C"/>
    <w:rsid w:val="00304D62"/>
    <w:rsid w:val="003058CA"/>
    <w:rsid w:val="00316025"/>
    <w:rsid w:val="00320045"/>
    <w:rsid w:val="00321CA6"/>
    <w:rsid w:val="00321CCB"/>
    <w:rsid w:val="00323763"/>
    <w:rsid w:val="00323C5F"/>
    <w:rsid w:val="003271CA"/>
    <w:rsid w:val="003274EE"/>
    <w:rsid w:val="003300B4"/>
    <w:rsid w:val="00334C09"/>
    <w:rsid w:val="00335C35"/>
    <w:rsid w:val="0034423E"/>
    <w:rsid w:val="00344628"/>
    <w:rsid w:val="00347C1A"/>
    <w:rsid w:val="00356848"/>
    <w:rsid w:val="003609C8"/>
    <w:rsid w:val="00362285"/>
    <w:rsid w:val="00364200"/>
    <w:rsid w:val="00371854"/>
    <w:rsid w:val="003723D4"/>
    <w:rsid w:val="00374A52"/>
    <w:rsid w:val="003766E9"/>
    <w:rsid w:val="00376F6D"/>
    <w:rsid w:val="00381905"/>
    <w:rsid w:val="00384CC8"/>
    <w:rsid w:val="003871FD"/>
    <w:rsid w:val="00390FB2"/>
    <w:rsid w:val="00393A3F"/>
    <w:rsid w:val="00393FF2"/>
    <w:rsid w:val="00395016"/>
    <w:rsid w:val="003A16B3"/>
    <w:rsid w:val="003A1E30"/>
    <w:rsid w:val="003A2829"/>
    <w:rsid w:val="003A5E5B"/>
    <w:rsid w:val="003A6FC6"/>
    <w:rsid w:val="003A7D1C"/>
    <w:rsid w:val="003B2B4F"/>
    <w:rsid w:val="003B304B"/>
    <w:rsid w:val="003B3146"/>
    <w:rsid w:val="003C0601"/>
    <w:rsid w:val="003C118D"/>
    <w:rsid w:val="003C4C89"/>
    <w:rsid w:val="003D270F"/>
    <w:rsid w:val="003E6C62"/>
    <w:rsid w:val="003E7A13"/>
    <w:rsid w:val="003F015E"/>
    <w:rsid w:val="003F28BA"/>
    <w:rsid w:val="003F5A11"/>
    <w:rsid w:val="003F7AE0"/>
    <w:rsid w:val="00400414"/>
    <w:rsid w:val="004046DC"/>
    <w:rsid w:val="00405EFB"/>
    <w:rsid w:val="0041446B"/>
    <w:rsid w:val="0042753C"/>
    <w:rsid w:val="0043028D"/>
    <w:rsid w:val="00430786"/>
    <w:rsid w:val="00431477"/>
    <w:rsid w:val="004334FD"/>
    <w:rsid w:val="00434EDE"/>
    <w:rsid w:val="00435838"/>
    <w:rsid w:val="0044071E"/>
    <w:rsid w:val="0044329C"/>
    <w:rsid w:val="0045388C"/>
    <w:rsid w:val="00453E24"/>
    <w:rsid w:val="00456CBD"/>
    <w:rsid w:val="00457209"/>
    <w:rsid w:val="00457456"/>
    <w:rsid w:val="004577FE"/>
    <w:rsid w:val="00457B9C"/>
    <w:rsid w:val="0046164A"/>
    <w:rsid w:val="0046192F"/>
    <w:rsid w:val="004628D2"/>
    <w:rsid w:val="00462DCD"/>
    <w:rsid w:val="004648AD"/>
    <w:rsid w:val="00466083"/>
    <w:rsid w:val="004666EB"/>
    <w:rsid w:val="004703A9"/>
    <w:rsid w:val="004742A3"/>
    <w:rsid w:val="004760DE"/>
    <w:rsid w:val="004761E9"/>
    <w:rsid w:val="004763D7"/>
    <w:rsid w:val="00486564"/>
    <w:rsid w:val="00490A37"/>
    <w:rsid w:val="00493E16"/>
    <w:rsid w:val="004A004E"/>
    <w:rsid w:val="004A24CF"/>
    <w:rsid w:val="004A6F34"/>
    <w:rsid w:val="004B651B"/>
    <w:rsid w:val="004C3D1D"/>
    <w:rsid w:val="004C3D84"/>
    <w:rsid w:val="004C7913"/>
    <w:rsid w:val="004D7BE0"/>
    <w:rsid w:val="004E01CA"/>
    <w:rsid w:val="004E203F"/>
    <w:rsid w:val="004E4DD6"/>
    <w:rsid w:val="004E60DF"/>
    <w:rsid w:val="004F5D61"/>
    <w:rsid w:val="004F5E36"/>
    <w:rsid w:val="0050771A"/>
    <w:rsid w:val="00507B47"/>
    <w:rsid w:val="00507BEF"/>
    <w:rsid w:val="00507CC9"/>
    <w:rsid w:val="005119A5"/>
    <w:rsid w:val="00516AAC"/>
    <w:rsid w:val="005251BA"/>
    <w:rsid w:val="005278B7"/>
    <w:rsid w:val="00532016"/>
    <w:rsid w:val="005341C3"/>
    <w:rsid w:val="005346C8"/>
    <w:rsid w:val="00543DC3"/>
    <w:rsid w:val="00543E7D"/>
    <w:rsid w:val="0054524C"/>
    <w:rsid w:val="0054561D"/>
    <w:rsid w:val="00547A68"/>
    <w:rsid w:val="005531C9"/>
    <w:rsid w:val="00563002"/>
    <w:rsid w:val="0057012B"/>
    <w:rsid w:val="00570C43"/>
    <w:rsid w:val="00571362"/>
    <w:rsid w:val="00575000"/>
    <w:rsid w:val="005760A8"/>
    <w:rsid w:val="00577CB0"/>
    <w:rsid w:val="00580438"/>
    <w:rsid w:val="00582B40"/>
    <w:rsid w:val="005968C3"/>
    <w:rsid w:val="00596A64"/>
    <w:rsid w:val="005B2110"/>
    <w:rsid w:val="005B42C5"/>
    <w:rsid w:val="005B61E6"/>
    <w:rsid w:val="005C2151"/>
    <w:rsid w:val="005C77E1"/>
    <w:rsid w:val="005D186A"/>
    <w:rsid w:val="005D33B5"/>
    <w:rsid w:val="005D668A"/>
    <w:rsid w:val="005D6A2F"/>
    <w:rsid w:val="005D6C93"/>
    <w:rsid w:val="005E1A82"/>
    <w:rsid w:val="005E37A6"/>
    <w:rsid w:val="005E566C"/>
    <w:rsid w:val="005E794C"/>
    <w:rsid w:val="005F0A28"/>
    <w:rsid w:val="005F0D4E"/>
    <w:rsid w:val="005F0E5E"/>
    <w:rsid w:val="005F2CA5"/>
    <w:rsid w:val="005F666A"/>
    <w:rsid w:val="00600535"/>
    <w:rsid w:val="00604E3F"/>
    <w:rsid w:val="0061078F"/>
    <w:rsid w:val="00610CD6"/>
    <w:rsid w:val="00620DEE"/>
    <w:rsid w:val="00621F92"/>
    <w:rsid w:val="0062280A"/>
    <w:rsid w:val="006249F4"/>
    <w:rsid w:val="00625639"/>
    <w:rsid w:val="0062784B"/>
    <w:rsid w:val="00631B33"/>
    <w:rsid w:val="00636511"/>
    <w:rsid w:val="00640D45"/>
    <w:rsid w:val="0064184D"/>
    <w:rsid w:val="006422CC"/>
    <w:rsid w:val="0064581A"/>
    <w:rsid w:val="006501BF"/>
    <w:rsid w:val="00660E3E"/>
    <w:rsid w:val="00662E74"/>
    <w:rsid w:val="00672FFA"/>
    <w:rsid w:val="00676EA0"/>
    <w:rsid w:val="00680342"/>
    <w:rsid w:val="00680C02"/>
    <w:rsid w:val="00680C23"/>
    <w:rsid w:val="00681855"/>
    <w:rsid w:val="00693766"/>
    <w:rsid w:val="006A23E9"/>
    <w:rsid w:val="006A3250"/>
    <w:rsid w:val="006A3281"/>
    <w:rsid w:val="006B2922"/>
    <w:rsid w:val="006B4888"/>
    <w:rsid w:val="006B5016"/>
    <w:rsid w:val="006B666B"/>
    <w:rsid w:val="006C2E45"/>
    <w:rsid w:val="006C359C"/>
    <w:rsid w:val="006C5014"/>
    <w:rsid w:val="006C5579"/>
    <w:rsid w:val="006D4FDC"/>
    <w:rsid w:val="006D6E8B"/>
    <w:rsid w:val="006E0D18"/>
    <w:rsid w:val="006E2A99"/>
    <w:rsid w:val="006E576C"/>
    <w:rsid w:val="006E6A5D"/>
    <w:rsid w:val="006E737D"/>
    <w:rsid w:val="006F347A"/>
    <w:rsid w:val="00700ADD"/>
    <w:rsid w:val="00704849"/>
    <w:rsid w:val="00710DCD"/>
    <w:rsid w:val="00713973"/>
    <w:rsid w:val="00720A24"/>
    <w:rsid w:val="007278BE"/>
    <w:rsid w:val="00732386"/>
    <w:rsid w:val="0073514D"/>
    <w:rsid w:val="00735C3C"/>
    <w:rsid w:val="00737793"/>
    <w:rsid w:val="00737EB4"/>
    <w:rsid w:val="00740318"/>
    <w:rsid w:val="00741A40"/>
    <w:rsid w:val="00742CC3"/>
    <w:rsid w:val="007447F3"/>
    <w:rsid w:val="00752F69"/>
    <w:rsid w:val="00754742"/>
    <w:rsid w:val="0075499F"/>
    <w:rsid w:val="00764EC2"/>
    <w:rsid w:val="00764F48"/>
    <w:rsid w:val="007661C8"/>
    <w:rsid w:val="0077098D"/>
    <w:rsid w:val="00770EC0"/>
    <w:rsid w:val="0077282C"/>
    <w:rsid w:val="00773975"/>
    <w:rsid w:val="00775A35"/>
    <w:rsid w:val="00792549"/>
    <w:rsid w:val="007931FA"/>
    <w:rsid w:val="00797C5E"/>
    <w:rsid w:val="007A0725"/>
    <w:rsid w:val="007A4861"/>
    <w:rsid w:val="007A7BBA"/>
    <w:rsid w:val="007B0C50"/>
    <w:rsid w:val="007B3967"/>
    <w:rsid w:val="007B48F9"/>
    <w:rsid w:val="007B4D0B"/>
    <w:rsid w:val="007B5FB6"/>
    <w:rsid w:val="007B68F9"/>
    <w:rsid w:val="007C1A43"/>
    <w:rsid w:val="007D0951"/>
    <w:rsid w:val="007D0F7B"/>
    <w:rsid w:val="007E15CF"/>
    <w:rsid w:val="007E636E"/>
    <w:rsid w:val="007E6D3C"/>
    <w:rsid w:val="0080013E"/>
    <w:rsid w:val="00802A4C"/>
    <w:rsid w:val="00804353"/>
    <w:rsid w:val="00813288"/>
    <w:rsid w:val="0081368F"/>
    <w:rsid w:val="008168FC"/>
    <w:rsid w:val="00830996"/>
    <w:rsid w:val="0083274D"/>
    <w:rsid w:val="008345F1"/>
    <w:rsid w:val="00837C27"/>
    <w:rsid w:val="00843EAC"/>
    <w:rsid w:val="00852DAD"/>
    <w:rsid w:val="00864037"/>
    <w:rsid w:val="00864373"/>
    <w:rsid w:val="00865B07"/>
    <w:rsid w:val="008667EA"/>
    <w:rsid w:val="008669DF"/>
    <w:rsid w:val="008671A8"/>
    <w:rsid w:val="008675BB"/>
    <w:rsid w:val="0087637F"/>
    <w:rsid w:val="008766A7"/>
    <w:rsid w:val="00881C45"/>
    <w:rsid w:val="008840A1"/>
    <w:rsid w:val="00892AD5"/>
    <w:rsid w:val="008A0231"/>
    <w:rsid w:val="008A1512"/>
    <w:rsid w:val="008A4F17"/>
    <w:rsid w:val="008A5C12"/>
    <w:rsid w:val="008A6075"/>
    <w:rsid w:val="008B7C03"/>
    <w:rsid w:val="008D32B9"/>
    <w:rsid w:val="008D433B"/>
    <w:rsid w:val="008D4A16"/>
    <w:rsid w:val="008D56E0"/>
    <w:rsid w:val="008D5CC1"/>
    <w:rsid w:val="008E566E"/>
    <w:rsid w:val="008F1CC0"/>
    <w:rsid w:val="008F695A"/>
    <w:rsid w:val="0090161A"/>
    <w:rsid w:val="009017B1"/>
    <w:rsid w:val="00901EB6"/>
    <w:rsid w:val="00902EDA"/>
    <w:rsid w:val="00904C62"/>
    <w:rsid w:val="00904E3C"/>
    <w:rsid w:val="00905534"/>
    <w:rsid w:val="0091096F"/>
    <w:rsid w:val="0091114D"/>
    <w:rsid w:val="00922010"/>
    <w:rsid w:val="00922BA8"/>
    <w:rsid w:val="00924DAC"/>
    <w:rsid w:val="00927058"/>
    <w:rsid w:val="00927678"/>
    <w:rsid w:val="00927D77"/>
    <w:rsid w:val="00930DA1"/>
    <w:rsid w:val="0093293F"/>
    <w:rsid w:val="00933148"/>
    <w:rsid w:val="00936CAF"/>
    <w:rsid w:val="00937579"/>
    <w:rsid w:val="00942750"/>
    <w:rsid w:val="009450CE"/>
    <w:rsid w:val="009459BB"/>
    <w:rsid w:val="00947179"/>
    <w:rsid w:val="0095164B"/>
    <w:rsid w:val="00953DB7"/>
    <w:rsid w:val="00954090"/>
    <w:rsid w:val="00956740"/>
    <w:rsid w:val="009573E7"/>
    <w:rsid w:val="009573EF"/>
    <w:rsid w:val="0096178A"/>
    <w:rsid w:val="00963E05"/>
    <w:rsid w:val="00964A45"/>
    <w:rsid w:val="00967843"/>
    <w:rsid w:val="00967D54"/>
    <w:rsid w:val="00970E77"/>
    <w:rsid w:val="00971028"/>
    <w:rsid w:val="00976298"/>
    <w:rsid w:val="0098601F"/>
    <w:rsid w:val="009912CB"/>
    <w:rsid w:val="00993B84"/>
    <w:rsid w:val="009942E4"/>
    <w:rsid w:val="00996483"/>
    <w:rsid w:val="00996F5A"/>
    <w:rsid w:val="00997525"/>
    <w:rsid w:val="009B041A"/>
    <w:rsid w:val="009B3A7D"/>
    <w:rsid w:val="009C37C3"/>
    <w:rsid w:val="009C7C86"/>
    <w:rsid w:val="009D2FF7"/>
    <w:rsid w:val="009D4EB6"/>
    <w:rsid w:val="009D6BAC"/>
    <w:rsid w:val="009E1B89"/>
    <w:rsid w:val="009E2849"/>
    <w:rsid w:val="009E3533"/>
    <w:rsid w:val="009E7884"/>
    <w:rsid w:val="009E788A"/>
    <w:rsid w:val="009F0BDC"/>
    <w:rsid w:val="009F0E08"/>
    <w:rsid w:val="009F3396"/>
    <w:rsid w:val="009F6231"/>
    <w:rsid w:val="009F7C79"/>
    <w:rsid w:val="00A126A7"/>
    <w:rsid w:val="00A12BE8"/>
    <w:rsid w:val="00A1763D"/>
    <w:rsid w:val="00A17CEC"/>
    <w:rsid w:val="00A248C7"/>
    <w:rsid w:val="00A27EF0"/>
    <w:rsid w:val="00A3531C"/>
    <w:rsid w:val="00A35616"/>
    <w:rsid w:val="00A3724B"/>
    <w:rsid w:val="00A42361"/>
    <w:rsid w:val="00A5029C"/>
    <w:rsid w:val="00A50B20"/>
    <w:rsid w:val="00A51390"/>
    <w:rsid w:val="00A51DE3"/>
    <w:rsid w:val="00A52138"/>
    <w:rsid w:val="00A522B6"/>
    <w:rsid w:val="00A560F4"/>
    <w:rsid w:val="00A5781B"/>
    <w:rsid w:val="00A60D13"/>
    <w:rsid w:val="00A704E7"/>
    <w:rsid w:val="00A7223D"/>
    <w:rsid w:val="00A72745"/>
    <w:rsid w:val="00A76EFC"/>
    <w:rsid w:val="00A83868"/>
    <w:rsid w:val="00A874D6"/>
    <w:rsid w:val="00A87D50"/>
    <w:rsid w:val="00A91010"/>
    <w:rsid w:val="00A93A14"/>
    <w:rsid w:val="00A97298"/>
    <w:rsid w:val="00A97F29"/>
    <w:rsid w:val="00AA067D"/>
    <w:rsid w:val="00AA3D09"/>
    <w:rsid w:val="00AA5DBF"/>
    <w:rsid w:val="00AA702E"/>
    <w:rsid w:val="00AA7D26"/>
    <w:rsid w:val="00AB0604"/>
    <w:rsid w:val="00AB0610"/>
    <w:rsid w:val="00AB0964"/>
    <w:rsid w:val="00AB5011"/>
    <w:rsid w:val="00AC294D"/>
    <w:rsid w:val="00AC4063"/>
    <w:rsid w:val="00AC6718"/>
    <w:rsid w:val="00AC7368"/>
    <w:rsid w:val="00AD0743"/>
    <w:rsid w:val="00AD093E"/>
    <w:rsid w:val="00AD0A52"/>
    <w:rsid w:val="00AD16B9"/>
    <w:rsid w:val="00AE377D"/>
    <w:rsid w:val="00AE66E6"/>
    <w:rsid w:val="00AF0EBA"/>
    <w:rsid w:val="00AF484C"/>
    <w:rsid w:val="00AF6ADE"/>
    <w:rsid w:val="00B00F75"/>
    <w:rsid w:val="00B02C8A"/>
    <w:rsid w:val="00B034DD"/>
    <w:rsid w:val="00B0713F"/>
    <w:rsid w:val="00B13E75"/>
    <w:rsid w:val="00B15EBF"/>
    <w:rsid w:val="00B17114"/>
    <w:rsid w:val="00B17FBD"/>
    <w:rsid w:val="00B21654"/>
    <w:rsid w:val="00B2450F"/>
    <w:rsid w:val="00B30023"/>
    <w:rsid w:val="00B315A6"/>
    <w:rsid w:val="00B31813"/>
    <w:rsid w:val="00B33365"/>
    <w:rsid w:val="00B45D51"/>
    <w:rsid w:val="00B55720"/>
    <w:rsid w:val="00B57B36"/>
    <w:rsid w:val="00B57E6F"/>
    <w:rsid w:val="00B61E95"/>
    <w:rsid w:val="00B638A2"/>
    <w:rsid w:val="00B645C5"/>
    <w:rsid w:val="00B83D60"/>
    <w:rsid w:val="00B83E59"/>
    <w:rsid w:val="00B8686D"/>
    <w:rsid w:val="00B93F69"/>
    <w:rsid w:val="00BA2964"/>
    <w:rsid w:val="00BA3B75"/>
    <w:rsid w:val="00BB1DDC"/>
    <w:rsid w:val="00BC0582"/>
    <w:rsid w:val="00BC30C9"/>
    <w:rsid w:val="00BC549A"/>
    <w:rsid w:val="00BC5BB7"/>
    <w:rsid w:val="00BD077D"/>
    <w:rsid w:val="00BE1219"/>
    <w:rsid w:val="00BE3763"/>
    <w:rsid w:val="00BE3845"/>
    <w:rsid w:val="00BE3E58"/>
    <w:rsid w:val="00BF2B6A"/>
    <w:rsid w:val="00BF7EED"/>
    <w:rsid w:val="00C005B9"/>
    <w:rsid w:val="00C01616"/>
    <w:rsid w:val="00C0162B"/>
    <w:rsid w:val="00C028FA"/>
    <w:rsid w:val="00C068ED"/>
    <w:rsid w:val="00C116AC"/>
    <w:rsid w:val="00C15A5C"/>
    <w:rsid w:val="00C15C3D"/>
    <w:rsid w:val="00C22E0C"/>
    <w:rsid w:val="00C23F48"/>
    <w:rsid w:val="00C27C4A"/>
    <w:rsid w:val="00C31779"/>
    <w:rsid w:val="00C345B1"/>
    <w:rsid w:val="00C374B4"/>
    <w:rsid w:val="00C40142"/>
    <w:rsid w:val="00C40FE9"/>
    <w:rsid w:val="00C4165A"/>
    <w:rsid w:val="00C4323B"/>
    <w:rsid w:val="00C440A7"/>
    <w:rsid w:val="00C52C3C"/>
    <w:rsid w:val="00C531E5"/>
    <w:rsid w:val="00C56CD0"/>
    <w:rsid w:val="00C57182"/>
    <w:rsid w:val="00C57863"/>
    <w:rsid w:val="00C640AF"/>
    <w:rsid w:val="00C655FD"/>
    <w:rsid w:val="00C71421"/>
    <w:rsid w:val="00C75407"/>
    <w:rsid w:val="00C77236"/>
    <w:rsid w:val="00C82E5D"/>
    <w:rsid w:val="00C85EFA"/>
    <w:rsid w:val="00C85F87"/>
    <w:rsid w:val="00C870A8"/>
    <w:rsid w:val="00C939A6"/>
    <w:rsid w:val="00C94434"/>
    <w:rsid w:val="00CA082C"/>
    <w:rsid w:val="00CA0D4A"/>
    <w:rsid w:val="00CA0D75"/>
    <w:rsid w:val="00CA1055"/>
    <w:rsid w:val="00CA1C95"/>
    <w:rsid w:val="00CA28D3"/>
    <w:rsid w:val="00CA5A9C"/>
    <w:rsid w:val="00CB0880"/>
    <w:rsid w:val="00CB1358"/>
    <w:rsid w:val="00CB3ECC"/>
    <w:rsid w:val="00CB7395"/>
    <w:rsid w:val="00CC4C20"/>
    <w:rsid w:val="00CD3517"/>
    <w:rsid w:val="00CD5FE2"/>
    <w:rsid w:val="00CD755F"/>
    <w:rsid w:val="00CD7992"/>
    <w:rsid w:val="00CE74AA"/>
    <w:rsid w:val="00CE7C68"/>
    <w:rsid w:val="00CF35A3"/>
    <w:rsid w:val="00CF4D20"/>
    <w:rsid w:val="00CF6241"/>
    <w:rsid w:val="00D0291E"/>
    <w:rsid w:val="00D02B4C"/>
    <w:rsid w:val="00D040C4"/>
    <w:rsid w:val="00D04931"/>
    <w:rsid w:val="00D10CE7"/>
    <w:rsid w:val="00D1500A"/>
    <w:rsid w:val="00D20AD1"/>
    <w:rsid w:val="00D214E6"/>
    <w:rsid w:val="00D25AA9"/>
    <w:rsid w:val="00D314CC"/>
    <w:rsid w:val="00D33069"/>
    <w:rsid w:val="00D342AC"/>
    <w:rsid w:val="00D36463"/>
    <w:rsid w:val="00D44E39"/>
    <w:rsid w:val="00D44E9A"/>
    <w:rsid w:val="00D46B7E"/>
    <w:rsid w:val="00D56A56"/>
    <w:rsid w:val="00D56D97"/>
    <w:rsid w:val="00D57C84"/>
    <w:rsid w:val="00D6057D"/>
    <w:rsid w:val="00D648EC"/>
    <w:rsid w:val="00D652E0"/>
    <w:rsid w:val="00D6702C"/>
    <w:rsid w:val="00D6795C"/>
    <w:rsid w:val="00D71640"/>
    <w:rsid w:val="00D74D43"/>
    <w:rsid w:val="00D755B9"/>
    <w:rsid w:val="00D836C5"/>
    <w:rsid w:val="00D83752"/>
    <w:rsid w:val="00D84576"/>
    <w:rsid w:val="00D9462B"/>
    <w:rsid w:val="00DA1399"/>
    <w:rsid w:val="00DA24C6"/>
    <w:rsid w:val="00DA4D7B"/>
    <w:rsid w:val="00DB00E7"/>
    <w:rsid w:val="00DB1435"/>
    <w:rsid w:val="00DB3233"/>
    <w:rsid w:val="00DB5856"/>
    <w:rsid w:val="00DC5519"/>
    <w:rsid w:val="00DD0A93"/>
    <w:rsid w:val="00DD271C"/>
    <w:rsid w:val="00DD2CF1"/>
    <w:rsid w:val="00DD2F02"/>
    <w:rsid w:val="00DD5888"/>
    <w:rsid w:val="00DE264A"/>
    <w:rsid w:val="00DE3175"/>
    <w:rsid w:val="00DF0816"/>
    <w:rsid w:val="00DF1B1E"/>
    <w:rsid w:val="00DF5072"/>
    <w:rsid w:val="00E01CA1"/>
    <w:rsid w:val="00E02D18"/>
    <w:rsid w:val="00E041E7"/>
    <w:rsid w:val="00E05FE8"/>
    <w:rsid w:val="00E11ED1"/>
    <w:rsid w:val="00E23CA1"/>
    <w:rsid w:val="00E2494C"/>
    <w:rsid w:val="00E26A42"/>
    <w:rsid w:val="00E33DD7"/>
    <w:rsid w:val="00E33FDA"/>
    <w:rsid w:val="00E34CE3"/>
    <w:rsid w:val="00E362C8"/>
    <w:rsid w:val="00E409A8"/>
    <w:rsid w:val="00E50C12"/>
    <w:rsid w:val="00E5123B"/>
    <w:rsid w:val="00E5592C"/>
    <w:rsid w:val="00E56C4D"/>
    <w:rsid w:val="00E57F2B"/>
    <w:rsid w:val="00E631B9"/>
    <w:rsid w:val="00E65B91"/>
    <w:rsid w:val="00E666ED"/>
    <w:rsid w:val="00E7209D"/>
    <w:rsid w:val="00E72EAD"/>
    <w:rsid w:val="00E77223"/>
    <w:rsid w:val="00E83D23"/>
    <w:rsid w:val="00E849E7"/>
    <w:rsid w:val="00E8528B"/>
    <w:rsid w:val="00E85B94"/>
    <w:rsid w:val="00E93015"/>
    <w:rsid w:val="00E978D0"/>
    <w:rsid w:val="00EA237B"/>
    <w:rsid w:val="00EA3D37"/>
    <w:rsid w:val="00EA4613"/>
    <w:rsid w:val="00EA7BCC"/>
    <w:rsid w:val="00EA7F91"/>
    <w:rsid w:val="00EB1523"/>
    <w:rsid w:val="00EB15BB"/>
    <w:rsid w:val="00EC0E49"/>
    <w:rsid w:val="00EC101F"/>
    <w:rsid w:val="00EC1D9F"/>
    <w:rsid w:val="00EC735F"/>
    <w:rsid w:val="00EC7628"/>
    <w:rsid w:val="00ED5702"/>
    <w:rsid w:val="00EE0131"/>
    <w:rsid w:val="00EE17B0"/>
    <w:rsid w:val="00EE4AB3"/>
    <w:rsid w:val="00EF06D9"/>
    <w:rsid w:val="00EF42CF"/>
    <w:rsid w:val="00EF6A60"/>
    <w:rsid w:val="00EF6AED"/>
    <w:rsid w:val="00F1195D"/>
    <w:rsid w:val="00F168A8"/>
    <w:rsid w:val="00F21995"/>
    <w:rsid w:val="00F263EA"/>
    <w:rsid w:val="00F27307"/>
    <w:rsid w:val="00F3049E"/>
    <w:rsid w:val="00F30C64"/>
    <w:rsid w:val="00F32BA2"/>
    <w:rsid w:val="00F32CDB"/>
    <w:rsid w:val="00F33D9E"/>
    <w:rsid w:val="00F3614F"/>
    <w:rsid w:val="00F41ADD"/>
    <w:rsid w:val="00F42926"/>
    <w:rsid w:val="00F51B2D"/>
    <w:rsid w:val="00F5438D"/>
    <w:rsid w:val="00F54B81"/>
    <w:rsid w:val="00F565FE"/>
    <w:rsid w:val="00F57FA9"/>
    <w:rsid w:val="00F63A70"/>
    <w:rsid w:val="00F63D8C"/>
    <w:rsid w:val="00F64D37"/>
    <w:rsid w:val="00F74734"/>
    <w:rsid w:val="00F7534E"/>
    <w:rsid w:val="00F87C0E"/>
    <w:rsid w:val="00F91838"/>
    <w:rsid w:val="00F93EDF"/>
    <w:rsid w:val="00F9609B"/>
    <w:rsid w:val="00F96282"/>
    <w:rsid w:val="00FA1802"/>
    <w:rsid w:val="00FA21D0"/>
    <w:rsid w:val="00FA5F5F"/>
    <w:rsid w:val="00FB0421"/>
    <w:rsid w:val="00FB0F3F"/>
    <w:rsid w:val="00FB3AEF"/>
    <w:rsid w:val="00FB593B"/>
    <w:rsid w:val="00FB66FD"/>
    <w:rsid w:val="00FB730C"/>
    <w:rsid w:val="00FB777C"/>
    <w:rsid w:val="00FC2695"/>
    <w:rsid w:val="00FC2A6A"/>
    <w:rsid w:val="00FC3E03"/>
    <w:rsid w:val="00FC3FC1"/>
    <w:rsid w:val="00FD161C"/>
    <w:rsid w:val="00FD3A44"/>
    <w:rsid w:val="00FE383C"/>
    <w:rsid w:val="00FE6417"/>
    <w:rsid w:val="00FF340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E3540"/>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E3540"/>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unhideWhenUsed/>
    <w:rsid w:val="0003148D"/>
    <w:pPr>
      <w:spacing w:after="120"/>
    </w:pPr>
  </w:style>
  <w:style w:type="character" w:customStyle="1" w:styleId="CorpotestoCarattere">
    <w:name w:val="Corpo testo Carattere"/>
    <w:basedOn w:val="Carpredefinitoparagrafo"/>
    <w:link w:val="Corpotesto"/>
    <w:uiPriority w:val="1"/>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D755B9"/>
    <w:rPr>
      <w:color w:val="666666"/>
    </w:rPr>
  </w:style>
  <w:style w:type="table" w:styleId="Tabellasemplice-2">
    <w:name w:val="Plain Table 2"/>
    <w:basedOn w:val="Tabellanormale"/>
    <w:uiPriority w:val="42"/>
    <w:rsid w:val="00AA5DBF"/>
    <w:pPr>
      <w:widowControl w:val="0"/>
      <w:autoSpaceDE w:val="0"/>
      <w:autoSpaceDN w:val="0"/>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e">
    <w:name w:val="Revision"/>
    <w:hidden/>
    <w:uiPriority w:val="99"/>
    <w:semiHidden/>
    <w:rsid w:val="00364200"/>
    <w:pPr>
      <w:spacing w:after="0" w:line="240" w:lineRule="auto"/>
    </w:pPr>
    <w:rPr>
      <w:rFonts w:ascii="Arial" w:eastAsia="Times New Roman" w:hAnsi="Arial" w:cs="Times New Roman"/>
      <w:sz w:val="18"/>
      <w:szCs w:val="20"/>
      <w:lang w:val="en-GB"/>
    </w:rPr>
  </w:style>
  <w:style w:type="character" w:styleId="Rimandonotaapidipagina">
    <w:name w:val="footnote reference"/>
    <w:basedOn w:val="Carpredefinitoparagrafo"/>
    <w:uiPriority w:val="99"/>
    <w:semiHidden/>
    <w:unhideWhenUsed/>
    <w:rsid w:val="006F34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893">
      <w:bodyDiv w:val="1"/>
      <w:marLeft w:val="0"/>
      <w:marRight w:val="0"/>
      <w:marTop w:val="0"/>
      <w:marBottom w:val="0"/>
      <w:divBdr>
        <w:top w:val="none" w:sz="0" w:space="0" w:color="auto"/>
        <w:left w:val="none" w:sz="0" w:space="0" w:color="auto"/>
        <w:bottom w:val="none" w:sz="0" w:space="0" w:color="auto"/>
        <w:right w:val="none" w:sz="0" w:space="0" w:color="auto"/>
      </w:divBdr>
    </w:div>
    <w:div w:id="61366391">
      <w:bodyDiv w:val="1"/>
      <w:marLeft w:val="0"/>
      <w:marRight w:val="0"/>
      <w:marTop w:val="0"/>
      <w:marBottom w:val="0"/>
      <w:divBdr>
        <w:top w:val="none" w:sz="0" w:space="0" w:color="auto"/>
        <w:left w:val="none" w:sz="0" w:space="0" w:color="auto"/>
        <w:bottom w:val="none" w:sz="0" w:space="0" w:color="auto"/>
        <w:right w:val="none" w:sz="0" w:space="0" w:color="auto"/>
      </w:divBdr>
    </w:div>
    <w:div w:id="178275829">
      <w:bodyDiv w:val="1"/>
      <w:marLeft w:val="0"/>
      <w:marRight w:val="0"/>
      <w:marTop w:val="0"/>
      <w:marBottom w:val="0"/>
      <w:divBdr>
        <w:top w:val="none" w:sz="0" w:space="0" w:color="auto"/>
        <w:left w:val="none" w:sz="0" w:space="0" w:color="auto"/>
        <w:bottom w:val="none" w:sz="0" w:space="0" w:color="auto"/>
        <w:right w:val="none" w:sz="0" w:space="0" w:color="auto"/>
      </w:divBdr>
    </w:div>
    <w:div w:id="178351910">
      <w:bodyDiv w:val="1"/>
      <w:marLeft w:val="0"/>
      <w:marRight w:val="0"/>
      <w:marTop w:val="0"/>
      <w:marBottom w:val="0"/>
      <w:divBdr>
        <w:top w:val="none" w:sz="0" w:space="0" w:color="auto"/>
        <w:left w:val="none" w:sz="0" w:space="0" w:color="auto"/>
        <w:bottom w:val="none" w:sz="0" w:space="0" w:color="auto"/>
        <w:right w:val="none" w:sz="0" w:space="0" w:color="auto"/>
      </w:divBdr>
    </w:div>
    <w:div w:id="184635930">
      <w:bodyDiv w:val="1"/>
      <w:marLeft w:val="0"/>
      <w:marRight w:val="0"/>
      <w:marTop w:val="0"/>
      <w:marBottom w:val="0"/>
      <w:divBdr>
        <w:top w:val="none" w:sz="0" w:space="0" w:color="auto"/>
        <w:left w:val="none" w:sz="0" w:space="0" w:color="auto"/>
        <w:bottom w:val="none" w:sz="0" w:space="0" w:color="auto"/>
        <w:right w:val="none" w:sz="0" w:space="0" w:color="auto"/>
      </w:divBdr>
    </w:div>
    <w:div w:id="187574195">
      <w:bodyDiv w:val="1"/>
      <w:marLeft w:val="0"/>
      <w:marRight w:val="0"/>
      <w:marTop w:val="0"/>
      <w:marBottom w:val="0"/>
      <w:divBdr>
        <w:top w:val="none" w:sz="0" w:space="0" w:color="auto"/>
        <w:left w:val="none" w:sz="0" w:space="0" w:color="auto"/>
        <w:bottom w:val="none" w:sz="0" w:space="0" w:color="auto"/>
        <w:right w:val="none" w:sz="0" w:space="0" w:color="auto"/>
      </w:divBdr>
    </w:div>
    <w:div w:id="281573490">
      <w:bodyDiv w:val="1"/>
      <w:marLeft w:val="0"/>
      <w:marRight w:val="0"/>
      <w:marTop w:val="0"/>
      <w:marBottom w:val="0"/>
      <w:divBdr>
        <w:top w:val="none" w:sz="0" w:space="0" w:color="auto"/>
        <w:left w:val="none" w:sz="0" w:space="0" w:color="auto"/>
        <w:bottom w:val="none" w:sz="0" w:space="0" w:color="auto"/>
        <w:right w:val="none" w:sz="0" w:space="0" w:color="auto"/>
      </w:divBdr>
    </w:div>
    <w:div w:id="282154519">
      <w:bodyDiv w:val="1"/>
      <w:marLeft w:val="0"/>
      <w:marRight w:val="0"/>
      <w:marTop w:val="0"/>
      <w:marBottom w:val="0"/>
      <w:divBdr>
        <w:top w:val="none" w:sz="0" w:space="0" w:color="auto"/>
        <w:left w:val="none" w:sz="0" w:space="0" w:color="auto"/>
        <w:bottom w:val="none" w:sz="0" w:space="0" w:color="auto"/>
        <w:right w:val="none" w:sz="0" w:space="0" w:color="auto"/>
      </w:divBdr>
    </w:div>
    <w:div w:id="345406089">
      <w:bodyDiv w:val="1"/>
      <w:marLeft w:val="0"/>
      <w:marRight w:val="0"/>
      <w:marTop w:val="0"/>
      <w:marBottom w:val="0"/>
      <w:divBdr>
        <w:top w:val="none" w:sz="0" w:space="0" w:color="auto"/>
        <w:left w:val="none" w:sz="0" w:space="0" w:color="auto"/>
        <w:bottom w:val="none" w:sz="0" w:space="0" w:color="auto"/>
        <w:right w:val="none" w:sz="0" w:space="0" w:color="auto"/>
      </w:divBdr>
    </w:div>
    <w:div w:id="361246287">
      <w:bodyDiv w:val="1"/>
      <w:marLeft w:val="0"/>
      <w:marRight w:val="0"/>
      <w:marTop w:val="0"/>
      <w:marBottom w:val="0"/>
      <w:divBdr>
        <w:top w:val="none" w:sz="0" w:space="0" w:color="auto"/>
        <w:left w:val="none" w:sz="0" w:space="0" w:color="auto"/>
        <w:bottom w:val="none" w:sz="0" w:space="0" w:color="auto"/>
        <w:right w:val="none" w:sz="0" w:space="0" w:color="auto"/>
      </w:divBdr>
    </w:div>
    <w:div w:id="394086489">
      <w:bodyDiv w:val="1"/>
      <w:marLeft w:val="0"/>
      <w:marRight w:val="0"/>
      <w:marTop w:val="0"/>
      <w:marBottom w:val="0"/>
      <w:divBdr>
        <w:top w:val="none" w:sz="0" w:space="0" w:color="auto"/>
        <w:left w:val="none" w:sz="0" w:space="0" w:color="auto"/>
        <w:bottom w:val="none" w:sz="0" w:space="0" w:color="auto"/>
        <w:right w:val="none" w:sz="0" w:space="0" w:color="auto"/>
      </w:divBdr>
    </w:div>
    <w:div w:id="411855105">
      <w:bodyDiv w:val="1"/>
      <w:marLeft w:val="0"/>
      <w:marRight w:val="0"/>
      <w:marTop w:val="0"/>
      <w:marBottom w:val="0"/>
      <w:divBdr>
        <w:top w:val="none" w:sz="0" w:space="0" w:color="auto"/>
        <w:left w:val="none" w:sz="0" w:space="0" w:color="auto"/>
        <w:bottom w:val="none" w:sz="0" w:space="0" w:color="auto"/>
        <w:right w:val="none" w:sz="0" w:space="0" w:color="auto"/>
      </w:divBdr>
    </w:div>
    <w:div w:id="415516319">
      <w:bodyDiv w:val="1"/>
      <w:marLeft w:val="0"/>
      <w:marRight w:val="0"/>
      <w:marTop w:val="0"/>
      <w:marBottom w:val="0"/>
      <w:divBdr>
        <w:top w:val="none" w:sz="0" w:space="0" w:color="auto"/>
        <w:left w:val="none" w:sz="0" w:space="0" w:color="auto"/>
        <w:bottom w:val="none" w:sz="0" w:space="0" w:color="auto"/>
        <w:right w:val="none" w:sz="0" w:space="0" w:color="auto"/>
      </w:divBdr>
    </w:div>
    <w:div w:id="463357246">
      <w:bodyDiv w:val="1"/>
      <w:marLeft w:val="0"/>
      <w:marRight w:val="0"/>
      <w:marTop w:val="0"/>
      <w:marBottom w:val="0"/>
      <w:divBdr>
        <w:top w:val="none" w:sz="0" w:space="0" w:color="auto"/>
        <w:left w:val="none" w:sz="0" w:space="0" w:color="auto"/>
        <w:bottom w:val="none" w:sz="0" w:space="0" w:color="auto"/>
        <w:right w:val="none" w:sz="0" w:space="0" w:color="auto"/>
      </w:divBdr>
    </w:div>
    <w:div w:id="527841939">
      <w:bodyDiv w:val="1"/>
      <w:marLeft w:val="0"/>
      <w:marRight w:val="0"/>
      <w:marTop w:val="0"/>
      <w:marBottom w:val="0"/>
      <w:divBdr>
        <w:top w:val="none" w:sz="0" w:space="0" w:color="auto"/>
        <w:left w:val="none" w:sz="0" w:space="0" w:color="auto"/>
        <w:bottom w:val="none" w:sz="0" w:space="0" w:color="auto"/>
        <w:right w:val="none" w:sz="0" w:space="0" w:color="auto"/>
      </w:divBdr>
    </w:div>
    <w:div w:id="589125009">
      <w:bodyDiv w:val="1"/>
      <w:marLeft w:val="0"/>
      <w:marRight w:val="0"/>
      <w:marTop w:val="0"/>
      <w:marBottom w:val="0"/>
      <w:divBdr>
        <w:top w:val="none" w:sz="0" w:space="0" w:color="auto"/>
        <w:left w:val="none" w:sz="0" w:space="0" w:color="auto"/>
        <w:bottom w:val="none" w:sz="0" w:space="0" w:color="auto"/>
        <w:right w:val="none" w:sz="0" w:space="0" w:color="auto"/>
      </w:divBdr>
    </w:div>
    <w:div w:id="614945172">
      <w:bodyDiv w:val="1"/>
      <w:marLeft w:val="0"/>
      <w:marRight w:val="0"/>
      <w:marTop w:val="0"/>
      <w:marBottom w:val="0"/>
      <w:divBdr>
        <w:top w:val="none" w:sz="0" w:space="0" w:color="auto"/>
        <w:left w:val="none" w:sz="0" w:space="0" w:color="auto"/>
        <w:bottom w:val="none" w:sz="0" w:space="0" w:color="auto"/>
        <w:right w:val="none" w:sz="0" w:space="0" w:color="auto"/>
      </w:divBdr>
    </w:div>
    <w:div w:id="626786422">
      <w:bodyDiv w:val="1"/>
      <w:marLeft w:val="0"/>
      <w:marRight w:val="0"/>
      <w:marTop w:val="0"/>
      <w:marBottom w:val="0"/>
      <w:divBdr>
        <w:top w:val="none" w:sz="0" w:space="0" w:color="auto"/>
        <w:left w:val="none" w:sz="0" w:space="0" w:color="auto"/>
        <w:bottom w:val="none" w:sz="0" w:space="0" w:color="auto"/>
        <w:right w:val="none" w:sz="0" w:space="0" w:color="auto"/>
      </w:divBdr>
    </w:div>
    <w:div w:id="640303265">
      <w:bodyDiv w:val="1"/>
      <w:marLeft w:val="0"/>
      <w:marRight w:val="0"/>
      <w:marTop w:val="0"/>
      <w:marBottom w:val="0"/>
      <w:divBdr>
        <w:top w:val="none" w:sz="0" w:space="0" w:color="auto"/>
        <w:left w:val="none" w:sz="0" w:space="0" w:color="auto"/>
        <w:bottom w:val="none" w:sz="0" w:space="0" w:color="auto"/>
        <w:right w:val="none" w:sz="0" w:space="0" w:color="auto"/>
      </w:divBdr>
    </w:div>
    <w:div w:id="750733521">
      <w:bodyDiv w:val="1"/>
      <w:marLeft w:val="0"/>
      <w:marRight w:val="0"/>
      <w:marTop w:val="0"/>
      <w:marBottom w:val="0"/>
      <w:divBdr>
        <w:top w:val="none" w:sz="0" w:space="0" w:color="auto"/>
        <w:left w:val="none" w:sz="0" w:space="0" w:color="auto"/>
        <w:bottom w:val="none" w:sz="0" w:space="0" w:color="auto"/>
        <w:right w:val="none" w:sz="0" w:space="0" w:color="auto"/>
      </w:divBdr>
    </w:div>
    <w:div w:id="760838116">
      <w:bodyDiv w:val="1"/>
      <w:marLeft w:val="0"/>
      <w:marRight w:val="0"/>
      <w:marTop w:val="0"/>
      <w:marBottom w:val="0"/>
      <w:divBdr>
        <w:top w:val="none" w:sz="0" w:space="0" w:color="auto"/>
        <w:left w:val="none" w:sz="0" w:space="0" w:color="auto"/>
        <w:bottom w:val="none" w:sz="0" w:space="0" w:color="auto"/>
        <w:right w:val="none" w:sz="0" w:space="0" w:color="auto"/>
      </w:divBdr>
    </w:div>
    <w:div w:id="770201549">
      <w:bodyDiv w:val="1"/>
      <w:marLeft w:val="0"/>
      <w:marRight w:val="0"/>
      <w:marTop w:val="0"/>
      <w:marBottom w:val="0"/>
      <w:divBdr>
        <w:top w:val="none" w:sz="0" w:space="0" w:color="auto"/>
        <w:left w:val="none" w:sz="0" w:space="0" w:color="auto"/>
        <w:bottom w:val="none" w:sz="0" w:space="0" w:color="auto"/>
        <w:right w:val="none" w:sz="0" w:space="0" w:color="auto"/>
      </w:divBdr>
    </w:div>
    <w:div w:id="77355157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76581">
      <w:bodyDiv w:val="1"/>
      <w:marLeft w:val="0"/>
      <w:marRight w:val="0"/>
      <w:marTop w:val="0"/>
      <w:marBottom w:val="0"/>
      <w:divBdr>
        <w:top w:val="none" w:sz="0" w:space="0" w:color="auto"/>
        <w:left w:val="none" w:sz="0" w:space="0" w:color="auto"/>
        <w:bottom w:val="none" w:sz="0" w:space="0" w:color="auto"/>
        <w:right w:val="none" w:sz="0" w:space="0" w:color="auto"/>
      </w:divBdr>
    </w:div>
    <w:div w:id="801578705">
      <w:bodyDiv w:val="1"/>
      <w:marLeft w:val="0"/>
      <w:marRight w:val="0"/>
      <w:marTop w:val="0"/>
      <w:marBottom w:val="0"/>
      <w:divBdr>
        <w:top w:val="none" w:sz="0" w:space="0" w:color="auto"/>
        <w:left w:val="none" w:sz="0" w:space="0" w:color="auto"/>
        <w:bottom w:val="none" w:sz="0" w:space="0" w:color="auto"/>
        <w:right w:val="none" w:sz="0" w:space="0" w:color="auto"/>
      </w:divBdr>
    </w:div>
    <w:div w:id="807749153">
      <w:bodyDiv w:val="1"/>
      <w:marLeft w:val="0"/>
      <w:marRight w:val="0"/>
      <w:marTop w:val="0"/>
      <w:marBottom w:val="0"/>
      <w:divBdr>
        <w:top w:val="none" w:sz="0" w:space="0" w:color="auto"/>
        <w:left w:val="none" w:sz="0" w:space="0" w:color="auto"/>
        <w:bottom w:val="none" w:sz="0" w:space="0" w:color="auto"/>
        <w:right w:val="none" w:sz="0" w:space="0" w:color="auto"/>
      </w:divBdr>
    </w:div>
    <w:div w:id="824009684">
      <w:bodyDiv w:val="1"/>
      <w:marLeft w:val="0"/>
      <w:marRight w:val="0"/>
      <w:marTop w:val="0"/>
      <w:marBottom w:val="0"/>
      <w:divBdr>
        <w:top w:val="none" w:sz="0" w:space="0" w:color="auto"/>
        <w:left w:val="none" w:sz="0" w:space="0" w:color="auto"/>
        <w:bottom w:val="none" w:sz="0" w:space="0" w:color="auto"/>
        <w:right w:val="none" w:sz="0" w:space="0" w:color="auto"/>
      </w:divBdr>
    </w:div>
    <w:div w:id="828063313">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665003">
      <w:bodyDiv w:val="1"/>
      <w:marLeft w:val="0"/>
      <w:marRight w:val="0"/>
      <w:marTop w:val="0"/>
      <w:marBottom w:val="0"/>
      <w:divBdr>
        <w:top w:val="none" w:sz="0" w:space="0" w:color="auto"/>
        <w:left w:val="none" w:sz="0" w:space="0" w:color="auto"/>
        <w:bottom w:val="none" w:sz="0" w:space="0" w:color="auto"/>
        <w:right w:val="none" w:sz="0" w:space="0" w:color="auto"/>
      </w:divBdr>
    </w:div>
    <w:div w:id="898638625">
      <w:bodyDiv w:val="1"/>
      <w:marLeft w:val="0"/>
      <w:marRight w:val="0"/>
      <w:marTop w:val="0"/>
      <w:marBottom w:val="0"/>
      <w:divBdr>
        <w:top w:val="none" w:sz="0" w:space="0" w:color="auto"/>
        <w:left w:val="none" w:sz="0" w:space="0" w:color="auto"/>
        <w:bottom w:val="none" w:sz="0" w:space="0" w:color="auto"/>
        <w:right w:val="none" w:sz="0" w:space="0" w:color="auto"/>
      </w:divBdr>
    </w:div>
    <w:div w:id="916480240">
      <w:bodyDiv w:val="1"/>
      <w:marLeft w:val="0"/>
      <w:marRight w:val="0"/>
      <w:marTop w:val="0"/>
      <w:marBottom w:val="0"/>
      <w:divBdr>
        <w:top w:val="none" w:sz="0" w:space="0" w:color="auto"/>
        <w:left w:val="none" w:sz="0" w:space="0" w:color="auto"/>
        <w:bottom w:val="none" w:sz="0" w:space="0" w:color="auto"/>
        <w:right w:val="none" w:sz="0" w:space="0" w:color="auto"/>
      </w:divBdr>
    </w:div>
    <w:div w:id="926963756">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8539">
      <w:bodyDiv w:val="1"/>
      <w:marLeft w:val="0"/>
      <w:marRight w:val="0"/>
      <w:marTop w:val="0"/>
      <w:marBottom w:val="0"/>
      <w:divBdr>
        <w:top w:val="none" w:sz="0" w:space="0" w:color="auto"/>
        <w:left w:val="none" w:sz="0" w:space="0" w:color="auto"/>
        <w:bottom w:val="none" w:sz="0" w:space="0" w:color="auto"/>
        <w:right w:val="none" w:sz="0" w:space="0" w:color="auto"/>
      </w:divBdr>
    </w:div>
    <w:div w:id="943994401">
      <w:bodyDiv w:val="1"/>
      <w:marLeft w:val="0"/>
      <w:marRight w:val="0"/>
      <w:marTop w:val="0"/>
      <w:marBottom w:val="0"/>
      <w:divBdr>
        <w:top w:val="none" w:sz="0" w:space="0" w:color="auto"/>
        <w:left w:val="none" w:sz="0" w:space="0" w:color="auto"/>
        <w:bottom w:val="none" w:sz="0" w:space="0" w:color="auto"/>
        <w:right w:val="none" w:sz="0" w:space="0" w:color="auto"/>
      </w:divBdr>
    </w:div>
    <w:div w:id="1010065833">
      <w:bodyDiv w:val="1"/>
      <w:marLeft w:val="0"/>
      <w:marRight w:val="0"/>
      <w:marTop w:val="0"/>
      <w:marBottom w:val="0"/>
      <w:divBdr>
        <w:top w:val="none" w:sz="0" w:space="0" w:color="auto"/>
        <w:left w:val="none" w:sz="0" w:space="0" w:color="auto"/>
        <w:bottom w:val="none" w:sz="0" w:space="0" w:color="auto"/>
        <w:right w:val="none" w:sz="0" w:space="0" w:color="auto"/>
      </w:divBdr>
    </w:div>
    <w:div w:id="1103914736">
      <w:bodyDiv w:val="1"/>
      <w:marLeft w:val="0"/>
      <w:marRight w:val="0"/>
      <w:marTop w:val="0"/>
      <w:marBottom w:val="0"/>
      <w:divBdr>
        <w:top w:val="none" w:sz="0" w:space="0" w:color="auto"/>
        <w:left w:val="none" w:sz="0" w:space="0" w:color="auto"/>
        <w:bottom w:val="none" w:sz="0" w:space="0" w:color="auto"/>
        <w:right w:val="none" w:sz="0" w:space="0" w:color="auto"/>
      </w:divBdr>
    </w:div>
    <w:div w:id="1161581925">
      <w:bodyDiv w:val="1"/>
      <w:marLeft w:val="0"/>
      <w:marRight w:val="0"/>
      <w:marTop w:val="0"/>
      <w:marBottom w:val="0"/>
      <w:divBdr>
        <w:top w:val="none" w:sz="0" w:space="0" w:color="auto"/>
        <w:left w:val="none" w:sz="0" w:space="0" w:color="auto"/>
        <w:bottom w:val="none" w:sz="0" w:space="0" w:color="auto"/>
        <w:right w:val="none" w:sz="0" w:space="0" w:color="auto"/>
      </w:divBdr>
    </w:div>
    <w:div w:id="1266353094">
      <w:bodyDiv w:val="1"/>
      <w:marLeft w:val="0"/>
      <w:marRight w:val="0"/>
      <w:marTop w:val="0"/>
      <w:marBottom w:val="0"/>
      <w:divBdr>
        <w:top w:val="none" w:sz="0" w:space="0" w:color="auto"/>
        <w:left w:val="none" w:sz="0" w:space="0" w:color="auto"/>
        <w:bottom w:val="none" w:sz="0" w:space="0" w:color="auto"/>
        <w:right w:val="none" w:sz="0" w:space="0" w:color="auto"/>
      </w:divBdr>
    </w:div>
    <w:div w:id="1268777761">
      <w:bodyDiv w:val="1"/>
      <w:marLeft w:val="0"/>
      <w:marRight w:val="0"/>
      <w:marTop w:val="0"/>
      <w:marBottom w:val="0"/>
      <w:divBdr>
        <w:top w:val="none" w:sz="0" w:space="0" w:color="auto"/>
        <w:left w:val="none" w:sz="0" w:space="0" w:color="auto"/>
        <w:bottom w:val="none" w:sz="0" w:space="0" w:color="auto"/>
        <w:right w:val="none" w:sz="0" w:space="0" w:color="auto"/>
      </w:divBdr>
    </w:div>
    <w:div w:id="1304118948">
      <w:bodyDiv w:val="1"/>
      <w:marLeft w:val="0"/>
      <w:marRight w:val="0"/>
      <w:marTop w:val="0"/>
      <w:marBottom w:val="0"/>
      <w:divBdr>
        <w:top w:val="none" w:sz="0" w:space="0" w:color="auto"/>
        <w:left w:val="none" w:sz="0" w:space="0" w:color="auto"/>
        <w:bottom w:val="none" w:sz="0" w:space="0" w:color="auto"/>
        <w:right w:val="none" w:sz="0" w:space="0" w:color="auto"/>
      </w:divBdr>
    </w:div>
    <w:div w:id="1307323800">
      <w:bodyDiv w:val="1"/>
      <w:marLeft w:val="0"/>
      <w:marRight w:val="0"/>
      <w:marTop w:val="0"/>
      <w:marBottom w:val="0"/>
      <w:divBdr>
        <w:top w:val="none" w:sz="0" w:space="0" w:color="auto"/>
        <w:left w:val="none" w:sz="0" w:space="0" w:color="auto"/>
        <w:bottom w:val="none" w:sz="0" w:space="0" w:color="auto"/>
        <w:right w:val="none" w:sz="0" w:space="0" w:color="auto"/>
      </w:divBdr>
    </w:div>
    <w:div w:id="1318650672">
      <w:bodyDiv w:val="1"/>
      <w:marLeft w:val="0"/>
      <w:marRight w:val="0"/>
      <w:marTop w:val="0"/>
      <w:marBottom w:val="0"/>
      <w:divBdr>
        <w:top w:val="none" w:sz="0" w:space="0" w:color="auto"/>
        <w:left w:val="none" w:sz="0" w:space="0" w:color="auto"/>
        <w:bottom w:val="none" w:sz="0" w:space="0" w:color="auto"/>
        <w:right w:val="none" w:sz="0" w:space="0" w:color="auto"/>
      </w:divBdr>
    </w:div>
    <w:div w:id="1412118492">
      <w:bodyDiv w:val="1"/>
      <w:marLeft w:val="0"/>
      <w:marRight w:val="0"/>
      <w:marTop w:val="0"/>
      <w:marBottom w:val="0"/>
      <w:divBdr>
        <w:top w:val="none" w:sz="0" w:space="0" w:color="auto"/>
        <w:left w:val="none" w:sz="0" w:space="0" w:color="auto"/>
        <w:bottom w:val="none" w:sz="0" w:space="0" w:color="auto"/>
        <w:right w:val="none" w:sz="0" w:space="0" w:color="auto"/>
      </w:divBdr>
    </w:div>
    <w:div w:id="142811011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9080329">
      <w:bodyDiv w:val="1"/>
      <w:marLeft w:val="0"/>
      <w:marRight w:val="0"/>
      <w:marTop w:val="0"/>
      <w:marBottom w:val="0"/>
      <w:divBdr>
        <w:top w:val="none" w:sz="0" w:space="0" w:color="auto"/>
        <w:left w:val="none" w:sz="0" w:space="0" w:color="auto"/>
        <w:bottom w:val="none" w:sz="0" w:space="0" w:color="auto"/>
        <w:right w:val="none" w:sz="0" w:space="0" w:color="auto"/>
      </w:divBdr>
    </w:div>
    <w:div w:id="1459909847">
      <w:bodyDiv w:val="1"/>
      <w:marLeft w:val="0"/>
      <w:marRight w:val="0"/>
      <w:marTop w:val="0"/>
      <w:marBottom w:val="0"/>
      <w:divBdr>
        <w:top w:val="none" w:sz="0" w:space="0" w:color="auto"/>
        <w:left w:val="none" w:sz="0" w:space="0" w:color="auto"/>
        <w:bottom w:val="none" w:sz="0" w:space="0" w:color="auto"/>
        <w:right w:val="none" w:sz="0" w:space="0" w:color="auto"/>
      </w:divBdr>
    </w:div>
    <w:div w:id="1475370854">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1141388">
      <w:bodyDiv w:val="1"/>
      <w:marLeft w:val="0"/>
      <w:marRight w:val="0"/>
      <w:marTop w:val="0"/>
      <w:marBottom w:val="0"/>
      <w:divBdr>
        <w:top w:val="none" w:sz="0" w:space="0" w:color="auto"/>
        <w:left w:val="none" w:sz="0" w:space="0" w:color="auto"/>
        <w:bottom w:val="none" w:sz="0" w:space="0" w:color="auto"/>
        <w:right w:val="none" w:sz="0" w:space="0" w:color="auto"/>
      </w:divBdr>
    </w:div>
    <w:div w:id="1597328203">
      <w:bodyDiv w:val="1"/>
      <w:marLeft w:val="0"/>
      <w:marRight w:val="0"/>
      <w:marTop w:val="0"/>
      <w:marBottom w:val="0"/>
      <w:divBdr>
        <w:top w:val="none" w:sz="0" w:space="0" w:color="auto"/>
        <w:left w:val="none" w:sz="0" w:space="0" w:color="auto"/>
        <w:bottom w:val="none" w:sz="0" w:space="0" w:color="auto"/>
        <w:right w:val="none" w:sz="0" w:space="0" w:color="auto"/>
      </w:divBdr>
    </w:div>
    <w:div w:id="163486767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39283">
      <w:bodyDiv w:val="1"/>
      <w:marLeft w:val="0"/>
      <w:marRight w:val="0"/>
      <w:marTop w:val="0"/>
      <w:marBottom w:val="0"/>
      <w:divBdr>
        <w:top w:val="none" w:sz="0" w:space="0" w:color="auto"/>
        <w:left w:val="none" w:sz="0" w:space="0" w:color="auto"/>
        <w:bottom w:val="none" w:sz="0" w:space="0" w:color="auto"/>
        <w:right w:val="none" w:sz="0" w:space="0" w:color="auto"/>
      </w:divBdr>
    </w:div>
    <w:div w:id="1713336573">
      <w:bodyDiv w:val="1"/>
      <w:marLeft w:val="0"/>
      <w:marRight w:val="0"/>
      <w:marTop w:val="0"/>
      <w:marBottom w:val="0"/>
      <w:divBdr>
        <w:top w:val="none" w:sz="0" w:space="0" w:color="auto"/>
        <w:left w:val="none" w:sz="0" w:space="0" w:color="auto"/>
        <w:bottom w:val="none" w:sz="0" w:space="0" w:color="auto"/>
        <w:right w:val="none" w:sz="0" w:space="0" w:color="auto"/>
      </w:divBdr>
    </w:div>
    <w:div w:id="1720477489">
      <w:bodyDiv w:val="1"/>
      <w:marLeft w:val="0"/>
      <w:marRight w:val="0"/>
      <w:marTop w:val="0"/>
      <w:marBottom w:val="0"/>
      <w:divBdr>
        <w:top w:val="none" w:sz="0" w:space="0" w:color="auto"/>
        <w:left w:val="none" w:sz="0" w:space="0" w:color="auto"/>
        <w:bottom w:val="none" w:sz="0" w:space="0" w:color="auto"/>
        <w:right w:val="none" w:sz="0" w:space="0" w:color="auto"/>
      </w:divBdr>
    </w:div>
    <w:div w:id="1727753154">
      <w:bodyDiv w:val="1"/>
      <w:marLeft w:val="0"/>
      <w:marRight w:val="0"/>
      <w:marTop w:val="0"/>
      <w:marBottom w:val="0"/>
      <w:divBdr>
        <w:top w:val="none" w:sz="0" w:space="0" w:color="auto"/>
        <w:left w:val="none" w:sz="0" w:space="0" w:color="auto"/>
        <w:bottom w:val="none" w:sz="0" w:space="0" w:color="auto"/>
        <w:right w:val="none" w:sz="0" w:space="0" w:color="auto"/>
      </w:divBdr>
    </w:div>
    <w:div w:id="1727945921">
      <w:bodyDiv w:val="1"/>
      <w:marLeft w:val="0"/>
      <w:marRight w:val="0"/>
      <w:marTop w:val="0"/>
      <w:marBottom w:val="0"/>
      <w:divBdr>
        <w:top w:val="none" w:sz="0" w:space="0" w:color="auto"/>
        <w:left w:val="none" w:sz="0" w:space="0" w:color="auto"/>
        <w:bottom w:val="none" w:sz="0" w:space="0" w:color="auto"/>
        <w:right w:val="none" w:sz="0" w:space="0" w:color="auto"/>
      </w:divBdr>
    </w:div>
    <w:div w:id="1740054528">
      <w:bodyDiv w:val="1"/>
      <w:marLeft w:val="0"/>
      <w:marRight w:val="0"/>
      <w:marTop w:val="0"/>
      <w:marBottom w:val="0"/>
      <w:divBdr>
        <w:top w:val="none" w:sz="0" w:space="0" w:color="auto"/>
        <w:left w:val="none" w:sz="0" w:space="0" w:color="auto"/>
        <w:bottom w:val="none" w:sz="0" w:space="0" w:color="auto"/>
        <w:right w:val="none" w:sz="0" w:space="0" w:color="auto"/>
      </w:divBdr>
    </w:div>
    <w:div w:id="1781140928">
      <w:bodyDiv w:val="1"/>
      <w:marLeft w:val="0"/>
      <w:marRight w:val="0"/>
      <w:marTop w:val="0"/>
      <w:marBottom w:val="0"/>
      <w:divBdr>
        <w:top w:val="none" w:sz="0" w:space="0" w:color="auto"/>
        <w:left w:val="none" w:sz="0" w:space="0" w:color="auto"/>
        <w:bottom w:val="none" w:sz="0" w:space="0" w:color="auto"/>
        <w:right w:val="none" w:sz="0" w:space="0" w:color="auto"/>
      </w:divBdr>
    </w:div>
    <w:div w:id="1781753151">
      <w:bodyDiv w:val="1"/>
      <w:marLeft w:val="0"/>
      <w:marRight w:val="0"/>
      <w:marTop w:val="0"/>
      <w:marBottom w:val="0"/>
      <w:divBdr>
        <w:top w:val="none" w:sz="0" w:space="0" w:color="auto"/>
        <w:left w:val="none" w:sz="0" w:space="0" w:color="auto"/>
        <w:bottom w:val="none" w:sz="0" w:space="0" w:color="auto"/>
        <w:right w:val="none" w:sz="0" w:space="0" w:color="auto"/>
      </w:divBdr>
    </w:div>
    <w:div w:id="1823353448">
      <w:bodyDiv w:val="1"/>
      <w:marLeft w:val="0"/>
      <w:marRight w:val="0"/>
      <w:marTop w:val="0"/>
      <w:marBottom w:val="0"/>
      <w:divBdr>
        <w:top w:val="none" w:sz="0" w:space="0" w:color="auto"/>
        <w:left w:val="none" w:sz="0" w:space="0" w:color="auto"/>
        <w:bottom w:val="none" w:sz="0" w:space="0" w:color="auto"/>
        <w:right w:val="none" w:sz="0" w:space="0" w:color="auto"/>
      </w:divBdr>
    </w:div>
    <w:div w:id="1828478225">
      <w:bodyDiv w:val="1"/>
      <w:marLeft w:val="0"/>
      <w:marRight w:val="0"/>
      <w:marTop w:val="0"/>
      <w:marBottom w:val="0"/>
      <w:divBdr>
        <w:top w:val="none" w:sz="0" w:space="0" w:color="auto"/>
        <w:left w:val="none" w:sz="0" w:space="0" w:color="auto"/>
        <w:bottom w:val="none" w:sz="0" w:space="0" w:color="auto"/>
        <w:right w:val="none" w:sz="0" w:space="0" w:color="auto"/>
      </w:divBdr>
    </w:div>
    <w:div w:id="1939605666">
      <w:bodyDiv w:val="1"/>
      <w:marLeft w:val="0"/>
      <w:marRight w:val="0"/>
      <w:marTop w:val="0"/>
      <w:marBottom w:val="0"/>
      <w:divBdr>
        <w:top w:val="none" w:sz="0" w:space="0" w:color="auto"/>
        <w:left w:val="none" w:sz="0" w:space="0" w:color="auto"/>
        <w:bottom w:val="none" w:sz="0" w:space="0" w:color="auto"/>
        <w:right w:val="none" w:sz="0" w:space="0" w:color="auto"/>
      </w:divBdr>
    </w:div>
    <w:div w:id="1959986365">
      <w:bodyDiv w:val="1"/>
      <w:marLeft w:val="0"/>
      <w:marRight w:val="0"/>
      <w:marTop w:val="0"/>
      <w:marBottom w:val="0"/>
      <w:divBdr>
        <w:top w:val="none" w:sz="0" w:space="0" w:color="auto"/>
        <w:left w:val="none" w:sz="0" w:space="0" w:color="auto"/>
        <w:bottom w:val="none" w:sz="0" w:space="0" w:color="auto"/>
        <w:right w:val="none" w:sz="0" w:space="0" w:color="auto"/>
      </w:divBdr>
    </w:div>
    <w:div w:id="1973973243">
      <w:bodyDiv w:val="1"/>
      <w:marLeft w:val="0"/>
      <w:marRight w:val="0"/>
      <w:marTop w:val="0"/>
      <w:marBottom w:val="0"/>
      <w:divBdr>
        <w:top w:val="none" w:sz="0" w:space="0" w:color="auto"/>
        <w:left w:val="none" w:sz="0" w:space="0" w:color="auto"/>
        <w:bottom w:val="none" w:sz="0" w:space="0" w:color="auto"/>
        <w:right w:val="none" w:sz="0" w:space="0" w:color="auto"/>
      </w:divBdr>
    </w:div>
    <w:div w:id="2025478831">
      <w:bodyDiv w:val="1"/>
      <w:marLeft w:val="0"/>
      <w:marRight w:val="0"/>
      <w:marTop w:val="0"/>
      <w:marBottom w:val="0"/>
      <w:divBdr>
        <w:top w:val="none" w:sz="0" w:space="0" w:color="auto"/>
        <w:left w:val="none" w:sz="0" w:space="0" w:color="auto"/>
        <w:bottom w:val="none" w:sz="0" w:space="0" w:color="auto"/>
        <w:right w:val="none" w:sz="0" w:space="0" w:color="auto"/>
      </w:divBdr>
    </w:div>
    <w:div w:id="206086331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44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Muh22</b:Tag>
    <b:SourceType>JournalArticle</b:SourceType>
    <b:Guid>{1C356AB9-7278-4AA9-9BA9-6C0E3A2C0B39}</b:Guid>
    <b:Author>
      <b:Author>
        <b:NameList>
          <b:Person>
            <b:Last>Khawer</b:Last>
            <b:First>Muhammad</b:First>
            <b:Middle>Usmaan Bin</b:Middle>
          </b:Person>
          <b:Person>
            <b:Last>Naqvi</b:Last>
            <b:First>Salman</b:First>
            <b:Middle>Raza</b:Middle>
          </b:Person>
          <b:Person>
            <b:Last>Ali</b:Last>
            <b:First>Imtiaz</b:First>
          </b:Person>
          <b:Person>
            <b:Last>Arshad</b:Last>
            <b:First>Muazzam</b:First>
          </b:Person>
          <b:Person>
            <b:Last>Juchelkov</b:Last>
            <b:First>Dagmar</b:First>
          </b:Person>
          <b:Person>
            <b:Last>Anjum</b:Last>
            <b:First>Muhammad</b:First>
            <b:Middle>Waqas</b:Middle>
          </b:Person>
          <b:Person>
            <b:Last>Naqvi</b:Last>
            <b:First>Muhammad</b:First>
          </b:Person>
        </b:NameList>
      </b:Author>
    </b:Author>
    <b:Title>Anaerobic digestion of sewage sludge for biogas &amp; biohydrogen production: State-of-the-art trends and prospects</b:Title>
    <b:JournalName>Fuel</b:JournalName>
    <b:Year>2022</b:Year>
    <b:RefOrder>1</b:RefOrder>
  </b:Source>
  <b:Source>
    <b:Tag>Tua221</b:Tag>
    <b:SourceType>JournalArticle</b:SourceType>
    <b:Guid>{52C7C78A-5238-4A4D-8588-98C1F42DDCB6}</b:Guid>
    <b:Author>
      <b:Author>
        <b:NameList>
          <b:Person>
            <b:Last>Anh</b:Last>
            <b:First>Tuan</b:First>
            <b:Middle>Hoang</b:Middle>
          </b:Person>
          <b:Person>
            <b:Last>Goldfarb</b:Last>
            <b:First>Jillian</b:First>
            <b:Middle>L.</b:Middle>
          </b:Person>
          <b:Person>
            <b:Last>Foley</b:Last>
            <b:First>Aoife</b:First>
            <b:Middle>M.</b:Middle>
          </b:Person>
          <b:Person>
            <b:Last>Lichtfouse</b:Last>
            <b:First>Eric</b:First>
          </b:Person>
          <b:Person>
            <b:Last>Kumar</b:Last>
            <b:First>Manish</b:First>
          </b:Person>
          <b:Person>
            <b:Last>Xiao</b:Last>
            <b:First>Leilei</b:First>
          </b:Person>
          <b:Person>
            <b:Last>Forruque</b:Last>
            <b:First>Shams</b:First>
          </b:Person>
          <b:Person>
            <b:Last>Said</b:Last>
            <b:First>Ahmed</b:First>
            <b:Middle>Zafar</b:Middle>
          </b:Person>
          <b:Person>
            <b:Last>Luque</b:Last>
            <b:First>Rafael</b:First>
          </b:Person>
          <b:Person>
            <b:Last>Bui</b:Last>
            <b:First>Van</b:First>
            <b:Middle>Ga</b:Middle>
          </b:Person>
          <b:Person>
            <b:Last>al.</b:Last>
            <b:First>et</b:First>
          </b:Person>
        </b:NameList>
      </b:Author>
    </b:Author>
    <b:Title>Production of biochar from crop residues and its application for anaerobic digestion</b:Title>
    <b:JournalName>Bioresource Technology</b:JournalName>
    <b:Year>2022</b:Year>
    <b:Pages>363, pp. 127970</b:Pages>
    <b:RefOrder>4</b:RefOrder>
  </b:Source>
  <b:Source>
    <b:Tag>Rob20</b:Tag>
    <b:SourceType>JournalArticle</b:SourceType>
    <b:Guid>{FBCCCF00-962C-4333-B7D8-35D518583886}</b:Guid>
    <b:Author>
      <b:Author>
        <b:NameList>
          <b:Person>
            <b:Last>Ferrentino</b:Last>
            <b:First>Roberta</b:First>
          </b:Person>
          <b:Person>
            <b:Last>Merzari</b:Last>
            <b:First>Fabio</b:First>
          </b:Person>
          <b:Person>
            <b:Last>Fiori</b:Last>
            <b:First>Luca</b:First>
          </b:Person>
          <b:Person>
            <b:Last>Andreottola</b:Last>
            <b:First>Gianni</b:First>
          </b:Person>
        </b:NameList>
      </b:Author>
    </b:Author>
    <b:Title>Coupling Hydrothermal Carbonization with Anaerobic Digestion for Sewage Sludge Treatment: Influence of HTC Liquor and Hydrochar on Biomethane Production</b:Title>
    <b:JournalName>Energies</b:JournalName>
    <b:Year>2020</b:Year>
    <b:Pages>13, 6262</b:Pages>
    <b:RefOrder>2</b:RefOrder>
  </b:Source>
  <b:Source>
    <b:Tag>SHa</b:Tag>
    <b:SourceType>JournalArticle</b:SourceType>
    <b:Guid>{4A0BFE9A-829E-4AEF-A1DE-FCC943BB0170}</b:Guid>
    <b:Author>
      <b:Author>
        <b:NameList>
          <b:Person>
            <b:Last>S. Harirchi</b:Last>
            <b:First>S.</b:First>
            <b:Middle>Wainaina, T. Sar, S. A. Nojoumi, M. Parchami, S. Varjani, S. K. Khanal, J. Wong, M. K. Awasthi, M. J. Taherzadeh</b:Middle>
          </b:Person>
        </b:NameList>
      </b:Author>
    </b:Author>
    <b:Title>Microbiological insights into anaerobic digestion for biogas, hydrogen or volatile fatty acids (VFAs): a review</b:Title>
    <b:JournalName>Bioengineered</b:JournalName>
    <b:Year>2022</b:Year>
    <b:Pages>13:3, 6521-6557</b:Pages>
    <b:RefOrder>3</b:RefOrder>
  </b:Source>
  <b:Source>
    <b:Tag>XWa17</b:Tag>
    <b:SourceType>JournalArticle</b:SourceType>
    <b:Guid>{307C91E7-8C2F-4224-A8B8-F9E0F6C8469A}</b:Guid>
    <b:Author>
      <b:Author>
        <b:NameList>
          <b:Person>
            <b:Last>X. Wang</b:Last>
            <b:First>J.</b:First>
            <b:Middle>Zhao, Q. Yang, J. Sun, C. Peng, F. Chen, Q. Xu, S. Wang, D. Wang, X. Li and G. Zeng</b:Middle>
          </b:Person>
        </b:NameList>
      </b:Author>
    </b:Author>
    <b:Title>Evaluating the potential impact of hydrochar on the production of short-chain fatty acid from sludge anaerobic digestion</b:Title>
    <b:JournalName>Bioresource Technology</b:JournalName>
    <b:Year>2017</b:Year>
    <b:Pages>234-241</b:Pages>
    <b:RefOrder>5</b:RefOrder>
  </b:Source>
  <b:Source>
    <b:Tag>YSh15</b:Tag>
    <b:SourceType>JournalArticle</b:SourceType>
    <b:Guid>{AC474A34-2378-4C98-9CBA-D21EB3DDC63F}</b:Guid>
    <b:Author>
      <b:Author>
        <b:NameList>
          <b:Person>
            <b:Last>Y. Shen</b:Last>
            <b:First>J.</b:First>
            <b:Middle>L. Linville, M. Urgun-Demirtas, R. P. Schoene, S. W. Synder</b:Middle>
          </b:Person>
        </b:NameList>
      </b:Author>
    </b:Author>
    <b:Title>Producing Pipeline-Quality Biomethane via Anaerobic Digestion of Sludge Amended with Corn Stover Biochar with in-Situ CO2 Removal</b:Title>
    <b:JournalName>Appl. Energy, 158</b:JournalName>
    <b:Year>2015</b:Year>
    <b:Pages>300-309</b:Pages>
    <b:RefOrder>6</b:RefOrder>
  </b:Source>
</b:Sources>
</file>

<file path=customXml/itemProps1.xml><?xml version="1.0" encoding="utf-8"?>
<ds:datastoreItem xmlns:ds="http://schemas.openxmlformats.org/officeDocument/2006/customXml" ds:itemID="{787D832E-04D1-40BD-92A1-E40A4672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3469</Words>
  <Characters>20228</Characters>
  <Application>Microsoft Office Word</Application>
  <DocSecurity>0</DocSecurity>
  <Lines>321</Lines>
  <Paragraphs>147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Annalinda Capone</cp:lastModifiedBy>
  <cp:revision>8</cp:revision>
  <cp:lastPrinted>2015-05-12T18:31:00Z</cp:lastPrinted>
  <dcterms:created xsi:type="dcterms:W3CDTF">2024-03-30T19:35:00Z</dcterms:created>
  <dcterms:modified xsi:type="dcterms:W3CDTF">2024-03-30T19:41:00Z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54d54f4c2a21bcf2c8e0cdbf314c2332b2defcfa12463b6eaad0ac4c0137d5e3</vt:lpwstr>
  </property>
</Properties>
</file>