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F5432"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F5432" w:rsidRDefault="000A03B2" w:rsidP="00DE264A">
            <w:pPr>
              <w:tabs>
                <w:tab w:val="left" w:pos="-108"/>
              </w:tabs>
              <w:ind w:left="-108"/>
              <w:jc w:val="left"/>
              <w:rPr>
                <w:rFonts w:cs="Arial"/>
                <w:b/>
                <w:bCs/>
                <w:i/>
                <w:iCs/>
                <w:color w:val="000066"/>
                <w:sz w:val="12"/>
                <w:szCs w:val="12"/>
                <w:lang w:eastAsia="it-IT"/>
              </w:rPr>
            </w:pPr>
            <w:r w:rsidRPr="004F5432">
              <w:rPr>
                <w:rFonts w:ascii="AdvP6960" w:hAnsi="AdvP6960" w:cs="AdvP6960"/>
                <w:color w:val="241F20"/>
                <w:szCs w:val="18"/>
                <w:lang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F5432">
              <w:rPr>
                <w:rFonts w:ascii="AdvP6960" w:hAnsi="AdvP6960" w:cs="AdvP6960"/>
                <w:color w:val="241F20"/>
                <w:szCs w:val="18"/>
                <w:lang w:eastAsia="it-IT"/>
              </w:rPr>
              <w:t xml:space="preserve"> </w:t>
            </w:r>
            <w:r w:rsidRPr="004F5432">
              <w:rPr>
                <w:rFonts w:cs="Arial"/>
                <w:b/>
                <w:bCs/>
                <w:i/>
                <w:iCs/>
                <w:color w:val="000066"/>
                <w:sz w:val="24"/>
                <w:szCs w:val="24"/>
                <w:lang w:eastAsia="it-IT"/>
              </w:rPr>
              <w:t>CHEMICAL ENGINEERING</w:t>
            </w:r>
            <w:r w:rsidRPr="004F5432">
              <w:rPr>
                <w:rFonts w:cs="Arial"/>
                <w:b/>
                <w:bCs/>
                <w:i/>
                <w:iCs/>
                <w:color w:val="0033FF"/>
                <w:sz w:val="24"/>
                <w:szCs w:val="24"/>
                <w:lang w:eastAsia="it-IT"/>
              </w:rPr>
              <w:t xml:space="preserve"> </w:t>
            </w:r>
            <w:r w:rsidRPr="004F5432">
              <w:rPr>
                <w:rFonts w:cs="Arial"/>
                <w:b/>
                <w:bCs/>
                <w:i/>
                <w:iCs/>
                <w:color w:val="666666"/>
                <w:sz w:val="24"/>
                <w:szCs w:val="24"/>
                <w:lang w:eastAsia="it-IT"/>
              </w:rPr>
              <w:t>TRANSACTIONS</w:t>
            </w:r>
            <w:r w:rsidRPr="004F5432">
              <w:rPr>
                <w:color w:val="333333"/>
                <w:sz w:val="24"/>
                <w:szCs w:val="24"/>
                <w:lang w:eastAsia="it-IT"/>
              </w:rPr>
              <w:t xml:space="preserve"> </w:t>
            </w:r>
            <w:r w:rsidRPr="004F5432">
              <w:rPr>
                <w:rFonts w:cs="Arial"/>
                <w:b/>
                <w:bCs/>
                <w:i/>
                <w:iCs/>
                <w:color w:val="000066"/>
                <w:sz w:val="27"/>
                <w:szCs w:val="27"/>
                <w:lang w:eastAsia="it-IT"/>
              </w:rPr>
              <w:br/>
            </w:r>
          </w:p>
          <w:p w14:paraId="4B780582" w14:textId="15DAE12D" w:rsidR="000A03B2" w:rsidRPr="004F5432" w:rsidRDefault="00A76EFC" w:rsidP="001D21AF">
            <w:pPr>
              <w:tabs>
                <w:tab w:val="left" w:pos="-108"/>
              </w:tabs>
              <w:ind w:left="-108"/>
              <w:rPr>
                <w:rFonts w:cs="Arial"/>
                <w:b/>
                <w:bCs/>
                <w:i/>
                <w:iCs/>
                <w:color w:val="000066"/>
                <w:sz w:val="22"/>
                <w:szCs w:val="22"/>
                <w:lang w:eastAsia="it-IT"/>
              </w:rPr>
            </w:pPr>
            <w:r w:rsidRPr="004F5432">
              <w:rPr>
                <w:rFonts w:cs="Arial"/>
                <w:b/>
                <w:bCs/>
                <w:i/>
                <w:iCs/>
                <w:color w:val="000066"/>
                <w:sz w:val="22"/>
                <w:szCs w:val="22"/>
                <w:lang w:eastAsia="it-IT"/>
              </w:rPr>
              <w:t>VOL.</w:t>
            </w:r>
            <w:r w:rsidR="00843EAC" w:rsidRPr="004F5432">
              <w:rPr>
                <w:rFonts w:cs="Arial"/>
                <w:b/>
                <w:bCs/>
                <w:i/>
                <w:iCs/>
                <w:color w:val="000066"/>
                <w:sz w:val="22"/>
                <w:szCs w:val="22"/>
                <w:lang w:eastAsia="it-IT"/>
              </w:rPr>
              <w:t xml:space="preserve">    </w:t>
            </w:r>
            <w:r w:rsidR="004761E9" w:rsidRPr="004F5432">
              <w:rPr>
                <w:rFonts w:cs="Arial"/>
                <w:b/>
                <w:bCs/>
                <w:i/>
                <w:iCs/>
                <w:color w:val="000066"/>
                <w:sz w:val="22"/>
                <w:szCs w:val="22"/>
                <w:lang w:eastAsia="it-IT"/>
              </w:rPr>
              <w:t xml:space="preserve"> </w:t>
            </w:r>
            <w:r w:rsidR="007B48F9" w:rsidRPr="004F5432">
              <w:rPr>
                <w:rFonts w:cs="Arial"/>
                <w:b/>
                <w:bCs/>
                <w:i/>
                <w:iCs/>
                <w:color w:val="000066"/>
                <w:sz w:val="22"/>
                <w:szCs w:val="22"/>
                <w:lang w:eastAsia="it-IT"/>
              </w:rPr>
              <w:t>,</w:t>
            </w:r>
            <w:r w:rsidR="00FA5F5F" w:rsidRPr="004F5432">
              <w:rPr>
                <w:rFonts w:cs="Arial"/>
                <w:b/>
                <w:bCs/>
                <w:i/>
                <w:iCs/>
                <w:color w:val="000066"/>
                <w:sz w:val="22"/>
                <w:szCs w:val="22"/>
                <w:lang w:eastAsia="it-IT"/>
              </w:rPr>
              <w:t xml:space="preserve"> </w:t>
            </w:r>
            <w:r w:rsidR="0030152C" w:rsidRPr="004F5432">
              <w:rPr>
                <w:rFonts w:cs="Arial"/>
                <w:b/>
                <w:bCs/>
                <w:i/>
                <w:iCs/>
                <w:color w:val="000066"/>
                <w:sz w:val="22"/>
                <w:szCs w:val="22"/>
                <w:lang w:eastAsia="it-IT"/>
              </w:rPr>
              <w:t>202</w:t>
            </w:r>
            <w:r w:rsidR="00DB3233" w:rsidRPr="004F5432">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4F5432" w:rsidRDefault="000A03B2" w:rsidP="00CD5FE2">
            <w:pPr>
              <w:spacing w:line="140" w:lineRule="atLeast"/>
              <w:jc w:val="right"/>
              <w:rPr>
                <w:rFonts w:cs="Arial"/>
                <w:sz w:val="14"/>
                <w:szCs w:val="14"/>
              </w:rPr>
            </w:pPr>
            <w:r w:rsidRPr="004F5432">
              <w:rPr>
                <w:rFonts w:cs="Arial"/>
                <w:sz w:val="14"/>
                <w:szCs w:val="14"/>
              </w:rPr>
              <w:t>A publication of</w:t>
            </w:r>
          </w:p>
          <w:p w14:paraId="599E5441" w14:textId="77777777" w:rsidR="000A03B2" w:rsidRPr="004F5432" w:rsidRDefault="000A03B2" w:rsidP="00CD5FE2">
            <w:pPr>
              <w:jc w:val="right"/>
            </w:pPr>
            <w:r w:rsidRPr="004F5432">
              <w:rPr>
                <w:lang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F5432" w14:paraId="380FA3CD" w14:textId="77777777" w:rsidTr="00DE264A">
        <w:trPr>
          <w:trHeight w:val="567"/>
          <w:jc w:val="center"/>
        </w:trPr>
        <w:tc>
          <w:tcPr>
            <w:tcW w:w="6946" w:type="dxa"/>
            <w:vMerge/>
            <w:tcBorders>
              <w:right w:val="single" w:sz="4" w:space="0" w:color="auto"/>
            </w:tcBorders>
          </w:tcPr>
          <w:p w14:paraId="39E5E4C1" w14:textId="77777777" w:rsidR="000A03B2" w:rsidRPr="004F5432"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F5432" w:rsidRDefault="000A03B2" w:rsidP="00CD5FE2">
            <w:pPr>
              <w:spacing w:line="140" w:lineRule="atLeast"/>
              <w:jc w:val="right"/>
              <w:rPr>
                <w:rFonts w:cs="Arial"/>
                <w:sz w:val="14"/>
                <w:szCs w:val="14"/>
              </w:rPr>
            </w:pPr>
            <w:r w:rsidRPr="004F5432">
              <w:rPr>
                <w:rFonts w:cs="Arial"/>
                <w:sz w:val="14"/>
                <w:szCs w:val="14"/>
              </w:rPr>
              <w:t>The Italian Association</w:t>
            </w:r>
          </w:p>
          <w:p w14:paraId="7522B1D2" w14:textId="77777777" w:rsidR="000A03B2" w:rsidRPr="004F5432" w:rsidRDefault="000A03B2" w:rsidP="00CD5FE2">
            <w:pPr>
              <w:spacing w:line="140" w:lineRule="atLeast"/>
              <w:jc w:val="right"/>
              <w:rPr>
                <w:rFonts w:cs="Arial"/>
                <w:sz w:val="14"/>
                <w:szCs w:val="14"/>
              </w:rPr>
            </w:pPr>
            <w:r w:rsidRPr="004F5432">
              <w:rPr>
                <w:rFonts w:cs="Arial"/>
                <w:sz w:val="14"/>
                <w:szCs w:val="14"/>
              </w:rPr>
              <w:t>of Chemical Engineering</w:t>
            </w:r>
          </w:p>
          <w:p w14:paraId="4F0CC5DE" w14:textId="47FDB2FC" w:rsidR="000A03B2" w:rsidRPr="004F5432" w:rsidRDefault="000D0268" w:rsidP="00CD5FE2">
            <w:pPr>
              <w:spacing w:line="140" w:lineRule="atLeast"/>
              <w:jc w:val="right"/>
              <w:rPr>
                <w:rFonts w:cs="Arial"/>
                <w:sz w:val="13"/>
                <w:szCs w:val="13"/>
              </w:rPr>
            </w:pPr>
            <w:r w:rsidRPr="004F5432">
              <w:rPr>
                <w:rFonts w:cs="Arial"/>
                <w:sz w:val="13"/>
                <w:szCs w:val="13"/>
              </w:rPr>
              <w:t>Online at www.cetjournal.it</w:t>
            </w:r>
          </w:p>
        </w:tc>
      </w:tr>
      <w:tr w:rsidR="000A03B2" w:rsidRPr="004F5432" w14:paraId="2D1B7169" w14:textId="77777777" w:rsidTr="00DE264A">
        <w:trPr>
          <w:trHeight w:val="68"/>
          <w:jc w:val="center"/>
        </w:trPr>
        <w:tc>
          <w:tcPr>
            <w:tcW w:w="8789" w:type="dxa"/>
            <w:gridSpan w:val="2"/>
          </w:tcPr>
          <w:p w14:paraId="1D8DD3C9" w14:textId="475D992A" w:rsidR="00AA7D26" w:rsidRPr="004F5432" w:rsidRDefault="00AA7D26" w:rsidP="00AA7D26">
            <w:pPr>
              <w:ind w:left="-107"/>
              <w:outlineLvl w:val="2"/>
              <w:rPr>
                <w:rFonts w:ascii="Tahoma" w:hAnsi="Tahoma" w:cs="Tahoma"/>
                <w:bCs/>
                <w:color w:val="000000"/>
                <w:sz w:val="14"/>
                <w:szCs w:val="14"/>
                <w:lang w:eastAsia="it-IT"/>
              </w:rPr>
            </w:pPr>
            <w:r w:rsidRPr="004F5432">
              <w:rPr>
                <w:rFonts w:ascii="Tahoma" w:hAnsi="Tahoma" w:cs="Tahoma"/>
                <w:iCs/>
                <w:color w:val="333333"/>
                <w:sz w:val="14"/>
                <w:szCs w:val="14"/>
                <w:lang w:eastAsia="it-IT"/>
              </w:rPr>
              <w:t>Guest Editors:</w:t>
            </w:r>
            <w:r w:rsidRPr="004F5432">
              <w:rPr>
                <w:rFonts w:ascii="Tahoma" w:hAnsi="Tahoma" w:cs="Tahoma"/>
                <w:color w:val="000000"/>
                <w:sz w:val="14"/>
                <w:szCs w:val="14"/>
                <w:shd w:val="clear" w:color="auto" w:fill="FFFFFF"/>
              </w:rPr>
              <w:t xml:space="preserve"> </w:t>
            </w:r>
            <w:r w:rsidR="006A23E9" w:rsidRPr="004F5432">
              <w:rPr>
                <w:rFonts w:ascii="Tahoma" w:hAnsi="Tahoma" w:cs="Tahoma"/>
                <w:color w:val="000000"/>
                <w:sz w:val="14"/>
                <w:szCs w:val="14"/>
                <w:shd w:val="clear" w:color="auto" w:fill="FFFFFF"/>
              </w:rPr>
              <w:t xml:space="preserve">Leonardo Tognotti, </w:t>
            </w:r>
            <w:r w:rsidR="006A23E9" w:rsidRPr="004F5432">
              <w:rPr>
                <w:rFonts w:ascii="Tahoma" w:hAnsi="Tahoma" w:cs="Tahoma"/>
                <w:color w:val="000000"/>
                <w:sz w:val="14"/>
                <w:szCs w:val="14"/>
              </w:rPr>
              <w:t>Rubens Maciel Filho</w:t>
            </w:r>
            <w:r w:rsidR="006A23E9" w:rsidRPr="004F5432">
              <w:rPr>
                <w:rFonts w:ascii="Tahoma" w:hAnsi="Tahoma" w:cs="Tahoma"/>
                <w:color w:val="000000"/>
                <w:sz w:val="14"/>
                <w:szCs w:val="14"/>
                <w:shd w:val="clear" w:color="auto" w:fill="FFFFFF"/>
              </w:rPr>
              <w:t xml:space="preserve">, </w:t>
            </w:r>
            <w:r w:rsidR="006A23E9" w:rsidRPr="004F5432">
              <w:rPr>
                <w:rFonts w:ascii="Tahoma" w:hAnsi="Tahoma" w:cs="Tahoma"/>
                <w:color w:val="000000"/>
                <w:sz w:val="14"/>
                <w:szCs w:val="14"/>
              </w:rPr>
              <w:t>Viatcheslav Kafarov</w:t>
            </w:r>
          </w:p>
          <w:p w14:paraId="1B0F1814" w14:textId="3AD74145" w:rsidR="000A03B2" w:rsidRPr="004F5432" w:rsidRDefault="00AA7D26" w:rsidP="00AA7D26">
            <w:pPr>
              <w:tabs>
                <w:tab w:val="left" w:pos="-108"/>
              </w:tabs>
              <w:spacing w:line="140" w:lineRule="atLeast"/>
              <w:ind w:left="-107"/>
              <w:jc w:val="left"/>
            </w:pPr>
            <w:r w:rsidRPr="004F5432">
              <w:rPr>
                <w:rFonts w:ascii="Tahoma" w:hAnsi="Tahoma" w:cs="Tahoma"/>
                <w:iCs/>
                <w:color w:val="333333"/>
                <w:sz w:val="14"/>
                <w:szCs w:val="14"/>
                <w:lang w:eastAsia="it-IT"/>
              </w:rPr>
              <w:t>Copyright © 202</w:t>
            </w:r>
            <w:r w:rsidR="00843EAC" w:rsidRPr="004F5432">
              <w:rPr>
                <w:rFonts w:ascii="Tahoma" w:hAnsi="Tahoma" w:cs="Tahoma"/>
                <w:iCs/>
                <w:color w:val="333333"/>
                <w:sz w:val="14"/>
                <w:szCs w:val="14"/>
                <w:lang w:eastAsia="it-IT"/>
              </w:rPr>
              <w:t>4</w:t>
            </w:r>
            <w:r w:rsidRPr="004F5432">
              <w:rPr>
                <w:rFonts w:ascii="Tahoma" w:hAnsi="Tahoma" w:cs="Tahoma"/>
                <w:iCs/>
                <w:color w:val="333333"/>
                <w:sz w:val="14"/>
                <w:szCs w:val="14"/>
                <w:lang w:eastAsia="it-IT"/>
              </w:rPr>
              <w:t>, AIDIC Servizi S.r.l.</w:t>
            </w:r>
            <w:r w:rsidRPr="004F5432">
              <w:rPr>
                <w:rFonts w:ascii="Tahoma" w:hAnsi="Tahoma" w:cs="Tahoma"/>
                <w:iCs/>
                <w:color w:val="333333"/>
                <w:sz w:val="14"/>
                <w:szCs w:val="14"/>
                <w:lang w:eastAsia="it-IT"/>
              </w:rPr>
              <w:br/>
            </w:r>
            <w:r w:rsidRPr="004F5432">
              <w:rPr>
                <w:rFonts w:ascii="Tahoma" w:hAnsi="Tahoma" w:cs="Tahoma"/>
                <w:b/>
                <w:iCs/>
                <w:color w:val="000000"/>
                <w:sz w:val="14"/>
                <w:szCs w:val="14"/>
                <w:lang w:eastAsia="it-IT"/>
              </w:rPr>
              <w:t>ISBN</w:t>
            </w:r>
            <w:r w:rsidRPr="004F5432">
              <w:rPr>
                <w:rFonts w:ascii="Tahoma" w:hAnsi="Tahoma" w:cs="Tahoma"/>
                <w:iCs/>
                <w:color w:val="000000"/>
                <w:sz w:val="14"/>
                <w:szCs w:val="14"/>
                <w:lang w:eastAsia="it-IT"/>
              </w:rPr>
              <w:t xml:space="preserve"> </w:t>
            </w:r>
            <w:r w:rsidR="008B7C03" w:rsidRPr="004F5432">
              <w:rPr>
                <w:rFonts w:ascii="Tahoma" w:hAnsi="Tahoma" w:cs="Tahoma"/>
                <w:sz w:val="14"/>
                <w:szCs w:val="14"/>
              </w:rPr>
              <w:t>979-12-81206</w:t>
            </w:r>
            <w:r w:rsidRPr="004F5432">
              <w:rPr>
                <w:rFonts w:ascii="Tahoma" w:hAnsi="Tahoma" w:cs="Tahoma"/>
                <w:sz w:val="14"/>
                <w:szCs w:val="14"/>
              </w:rPr>
              <w:t>-</w:t>
            </w:r>
            <w:r w:rsidR="00DB3233" w:rsidRPr="004F5432">
              <w:rPr>
                <w:rFonts w:ascii="Tahoma" w:hAnsi="Tahoma" w:cs="Tahoma"/>
                <w:sz w:val="14"/>
                <w:szCs w:val="14"/>
              </w:rPr>
              <w:t>09</w:t>
            </w:r>
            <w:r w:rsidRPr="004F5432">
              <w:rPr>
                <w:rFonts w:ascii="Tahoma" w:hAnsi="Tahoma" w:cs="Tahoma"/>
                <w:sz w:val="14"/>
                <w:szCs w:val="14"/>
              </w:rPr>
              <w:t>-</w:t>
            </w:r>
            <w:r w:rsidR="00DB3233" w:rsidRPr="004F5432">
              <w:rPr>
                <w:rFonts w:ascii="Tahoma" w:hAnsi="Tahoma" w:cs="Tahoma"/>
                <w:sz w:val="14"/>
                <w:szCs w:val="14"/>
              </w:rPr>
              <w:t>0</w:t>
            </w:r>
            <w:r w:rsidRPr="004F5432">
              <w:rPr>
                <w:rFonts w:ascii="Tahoma" w:hAnsi="Tahoma" w:cs="Tahoma"/>
                <w:iCs/>
                <w:color w:val="333333"/>
                <w:sz w:val="14"/>
                <w:szCs w:val="14"/>
                <w:lang w:eastAsia="it-IT"/>
              </w:rPr>
              <w:t xml:space="preserve">; </w:t>
            </w:r>
            <w:r w:rsidRPr="004F5432">
              <w:rPr>
                <w:rFonts w:ascii="Tahoma" w:hAnsi="Tahoma" w:cs="Tahoma"/>
                <w:b/>
                <w:iCs/>
                <w:color w:val="333333"/>
                <w:sz w:val="14"/>
                <w:szCs w:val="14"/>
                <w:lang w:eastAsia="it-IT"/>
              </w:rPr>
              <w:t>ISSN</w:t>
            </w:r>
            <w:r w:rsidRPr="004F5432">
              <w:rPr>
                <w:rFonts w:ascii="Tahoma" w:hAnsi="Tahoma" w:cs="Tahoma"/>
                <w:iCs/>
                <w:color w:val="333333"/>
                <w:sz w:val="14"/>
                <w:szCs w:val="14"/>
                <w:lang w:eastAsia="it-IT"/>
              </w:rPr>
              <w:t xml:space="preserve"> 2283-9216</w:t>
            </w:r>
          </w:p>
        </w:tc>
      </w:tr>
    </w:tbl>
    <w:p w14:paraId="2E667253" w14:textId="5BC3D5FD" w:rsidR="00E978D0" w:rsidRPr="004F5432" w:rsidRDefault="00BB297A" w:rsidP="00E978D0">
      <w:pPr>
        <w:pStyle w:val="CETTitle"/>
      </w:pPr>
      <w:r w:rsidRPr="004F5432">
        <w:t xml:space="preserve">Residual </w:t>
      </w:r>
      <w:r w:rsidR="00A90844" w:rsidRPr="004F5432">
        <w:t>L</w:t>
      </w:r>
      <w:r w:rsidRPr="004F5432">
        <w:t xml:space="preserve">ignocellulosic </w:t>
      </w:r>
      <w:r w:rsidR="00A90844" w:rsidRPr="004F5432">
        <w:t>B</w:t>
      </w:r>
      <w:r w:rsidRPr="004F5432">
        <w:t>iomass</w:t>
      </w:r>
      <w:r w:rsidR="00A90844" w:rsidRPr="004F5432">
        <w:t>-b</w:t>
      </w:r>
      <w:r w:rsidRPr="004F5432">
        <w:t xml:space="preserve">ased </w:t>
      </w:r>
      <w:r w:rsidR="00A90844" w:rsidRPr="004F5432">
        <w:t>A</w:t>
      </w:r>
      <w:r w:rsidRPr="004F5432">
        <w:t xml:space="preserve">ctivated </w:t>
      </w:r>
      <w:r w:rsidR="00A90844" w:rsidRPr="004F5432">
        <w:t>B</w:t>
      </w:r>
      <w:r w:rsidRPr="004F5432">
        <w:t xml:space="preserve">iochar: </w:t>
      </w:r>
      <w:r w:rsidR="00A90844" w:rsidRPr="004F5432">
        <w:t>C</w:t>
      </w:r>
      <w:r w:rsidRPr="004F5432">
        <w:t xml:space="preserve">omparison </w:t>
      </w:r>
      <w:r w:rsidR="00A90844" w:rsidRPr="004F5432">
        <w:t>B</w:t>
      </w:r>
      <w:r w:rsidRPr="004F5432">
        <w:t xml:space="preserve">etween </w:t>
      </w:r>
      <w:r w:rsidR="00A90844" w:rsidRPr="004F5432">
        <w:t>S</w:t>
      </w:r>
      <w:r w:rsidRPr="004F5432">
        <w:t xml:space="preserve">ingle and </w:t>
      </w:r>
      <w:r w:rsidR="00A90844" w:rsidRPr="004F5432">
        <w:t>T</w:t>
      </w:r>
      <w:r w:rsidRPr="004F5432">
        <w:t>wo</w:t>
      </w:r>
      <w:r w:rsidR="003562A1" w:rsidRPr="004F5432">
        <w:t>-</w:t>
      </w:r>
      <w:r w:rsidRPr="004F5432">
        <w:t xml:space="preserve">step </w:t>
      </w:r>
      <w:r w:rsidR="00A90844" w:rsidRPr="004F5432">
        <w:t>T</w:t>
      </w:r>
      <w:r w:rsidRPr="004F5432">
        <w:t xml:space="preserve">hermochemical and </w:t>
      </w:r>
      <w:r w:rsidR="00A90844" w:rsidRPr="004F5432">
        <w:t>A</w:t>
      </w:r>
      <w:r w:rsidRPr="004F5432">
        <w:t xml:space="preserve">ctivation </w:t>
      </w:r>
      <w:r w:rsidR="00A90844" w:rsidRPr="004F5432">
        <w:t>P</w:t>
      </w:r>
      <w:r w:rsidRPr="004F5432">
        <w:t>rocesses.</w:t>
      </w:r>
    </w:p>
    <w:p w14:paraId="0488FED2" w14:textId="2C9CF184" w:rsidR="00B57E6F" w:rsidRPr="004F5432" w:rsidRDefault="00BB297A" w:rsidP="00B57E6F">
      <w:pPr>
        <w:pStyle w:val="CETAuthors"/>
        <w:rPr>
          <w:noProof w:val="0"/>
        </w:rPr>
      </w:pPr>
      <w:r w:rsidRPr="004F5432">
        <w:rPr>
          <w:noProof w:val="0"/>
        </w:rPr>
        <w:t>Corro E., Antxustegi M.</w:t>
      </w:r>
      <w:r w:rsidR="007355D6" w:rsidRPr="004F5432">
        <w:rPr>
          <w:noProof w:val="0"/>
        </w:rPr>
        <w:t>M.</w:t>
      </w:r>
      <w:r w:rsidRPr="004F5432">
        <w:rPr>
          <w:noProof w:val="0"/>
        </w:rPr>
        <w:t>, Murua Berrio J., Gonzalez Alriols M.*</w:t>
      </w:r>
    </w:p>
    <w:p w14:paraId="3D72B0B0" w14:textId="37FE5FAE" w:rsidR="00B57E6F" w:rsidRPr="004F5432" w:rsidRDefault="00BB297A" w:rsidP="00BB297A">
      <w:pPr>
        <w:pStyle w:val="CETAddress"/>
        <w:rPr>
          <w:noProof w:val="0"/>
        </w:rPr>
      </w:pPr>
      <w:r w:rsidRPr="004F5432">
        <w:rPr>
          <w:noProof w:val="0"/>
        </w:rPr>
        <w:t xml:space="preserve">Biorefinery Processes Research Group (BioRP), Chemical and Environmental Engineering Department, University of the Basque Country (UPV/EHU), Avda. Otaola 29, 20600, Eibar, Spain </w:t>
      </w:r>
    </w:p>
    <w:p w14:paraId="73F1267A" w14:textId="6027ED59" w:rsidR="00B57E6F" w:rsidRPr="004F5432" w:rsidRDefault="00BB297A" w:rsidP="00B57E6F">
      <w:pPr>
        <w:pStyle w:val="CETemail"/>
        <w:rPr>
          <w:noProof w:val="0"/>
        </w:rPr>
      </w:pPr>
      <w:r w:rsidRPr="004F5432">
        <w:rPr>
          <w:noProof w:val="0"/>
        </w:rPr>
        <w:t>maria.gonzalez</w:t>
      </w:r>
      <w:r w:rsidR="00390AA8" w:rsidRPr="004F5432">
        <w:rPr>
          <w:noProof w:val="0"/>
        </w:rPr>
        <w:t>@</w:t>
      </w:r>
      <w:r w:rsidRPr="004F5432">
        <w:rPr>
          <w:noProof w:val="0"/>
        </w:rPr>
        <w:t>ehu.eus</w:t>
      </w:r>
    </w:p>
    <w:p w14:paraId="48E35FD0" w14:textId="10C58B1E" w:rsidR="00390AA8" w:rsidRPr="004F5432" w:rsidRDefault="00390AA8" w:rsidP="00390AA8">
      <w:pPr>
        <w:pStyle w:val="CETBodytext"/>
        <w:rPr>
          <w:lang w:val="en-GB"/>
        </w:rPr>
      </w:pPr>
      <w:r w:rsidRPr="004F5432">
        <w:rPr>
          <w:lang w:val="en-GB"/>
        </w:rPr>
        <w:t>Lignocellulosic biochar ha</w:t>
      </w:r>
      <w:r w:rsidR="00BF6DD6" w:rsidRPr="004F5432">
        <w:rPr>
          <w:lang w:val="en-GB"/>
        </w:rPr>
        <w:t>s</w:t>
      </w:r>
      <w:r w:rsidRPr="004F5432">
        <w:rPr>
          <w:lang w:val="en-GB"/>
        </w:rPr>
        <w:t xml:space="preserve"> become a research hotspot recently due to its versatility in several applications for environmental remediation. It is a sustainable material, which has been proven to offer high performance in applications such as effluent treatment (through the adsorption of organic and inorganic compounds), CO</w:t>
      </w:r>
      <w:r w:rsidRPr="004F5432">
        <w:rPr>
          <w:vertAlign w:val="subscript"/>
          <w:lang w:val="en-GB"/>
        </w:rPr>
        <w:t>2</w:t>
      </w:r>
      <w:r w:rsidRPr="004F5432">
        <w:rPr>
          <w:lang w:val="en-GB"/>
        </w:rPr>
        <w:t xml:space="preserve"> capture, air cleaning or silage agent. Typically, a chemical activation is applied to biochars after the thermochemical process</w:t>
      </w:r>
      <w:r w:rsidR="00F77175" w:rsidRPr="004F5432">
        <w:rPr>
          <w:lang w:val="en-GB"/>
        </w:rPr>
        <w:t>,</w:t>
      </w:r>
      <w:r w:rsidRPr="004F5432">
        <w:rPr>
          <w:lang w:val="en-GB"/>
        </w:rPr>
        <w:t xml:space="preserve"> </w:t>
      </w:r>
      <w:r w:rsidR="00F77175" w:rsidRPr="004F5432">
        <w:rPr>
          <w:lang w:val="en-GB"/>
        </w:rPr>
        <w:t>to</w:t>
      </w:r>
      <w:r w:rsidRPr="004F5432">
        <w:rPr>
          <w:lang w:val="en-GB"/>
        </w:rPr>
        <w:t xml:space="preserve"> increase the porosity of this solid in terms of active surface area as well as pore size and distribution, to improve its performance as adsorbent. Activation with KOH has been proved to achieve well developed pore structure and active functional groups on the biochar surface. Excellent adsorption results for the removal of different pollutants have been reported with biochars produced by the mentioned method. Focusing on a potential scale and industrialization of the lignocellulosic biochar production process, the combination of the thermochemical and chemical activation processes in one step could be interesting in terms of simplicity and time saving. In this work, activated biochars were prepared using a lignocellulosic </w:t>
      </w:r>
      <w:r w:rsidR="007355D6" w:rsidRPr="004F5432">
        <w:rPr>
          <w:lang w:val="en-GB"/>
        </w:rPr>
        <w:t xml:space="preserve">agricultural </w:t>
      </w:r>
      <w:r w:rsidRPr="004F5432">
        <w:rPr>
          <w:lang w:val="en-GB"/>
        </w:rPr>
        <w:t>waste (apple pruning) as precursor and KOH as a chemical activator, by two different processes: a single and a two-step route</w:t>
      </w:r>
      <w:r w:rsidR="00F77175" w:rsidRPr="004F5432">
        <w:rPr>
          <w:lang w:val="en-GB"/>
        </w:rPr>
        <w:t>,</w:t>
      </w:r>
      <w:r w:rsidRPr="004F5432">
        <w:rPr>
          <w:lang w:val="en-GB"/>
        </w:rPr>
        <w:t xml:space="preserve"> </w:t>
      </w:r>
      <w:r w:rsidR="00F77175" w:rsidRPr="004F5432">
        <w:rPr>
          <w:lang w:val="en-GB"/>
        </w:rPr>
        <w:t>to</w:t>
      </w:r>
      <w:r w:rsidRPr="004F5432">
        <w:rPr>
          <w:lang w:val="en-GB"/>
        </w:rPr>
        <w:t xml:space="preserve"> compare the properties of the biochars generated by both processes. The obtained </w:t>
      </w:r>
      <w:r w:rsidR="0057095A" w:rsidRPr="004F5432">
        <w:rPr>
          <w:lang w:val="en-GB"/>
        </w:rPr>
        <w:t>materials</w:t>
      </w:r>
      <w:r w:rsidRPr="004F5432">
        <w:rPr>
          <w:lang w:val="en-GB"/>
        </w:rPr>
        <w:t xml:space="preserve"> were characterized in terms of proximal analysis, active surface area, pore size and pore distribution. Furthermore, adsorption capacity </w:t>
      </w:r>
      <w:r w:rsidR="007355D6" w:rsidRPr="004F5432">
        <w:rPr>
          <w:lang w:val="en-GB"/>
        </w:rPr>
        <w:t xml:space="preserve">ABCs </w:t>
      </w:r>
      <w:r w:rsidRPr="004F5432">
        <w:rPr>
          <w:lang w:val="en-GB"/>
        </w:rPr>
        <w:t xml:space="preserve">was tested and compared. </w:t>
      </w:r>
    </w:p>
    <w:p w14:paraId="476B2F2E" w14:textId="77777777" w:rsidR="00600535" w:rsidRPr="004F5432" w:rsidRDefault="00600535" w:rsidP="00600535">
      <w:pPr>
        <w:pStyle w:val="CETHeading1"/>
        <w:rPr>
          <w:lang w:val="en-GB"/>
        </w:rPr>
      </w:pPr>
      <w:r w:rsidRPr="004F5432">
        <w:rPr>
          <w:lang w:val="en-GB"/>
        </w:rPr>
        <w:t>Introduction</w:t>
      </w:r>
    </w:p>
    <w:p w14:paraId="60BE2670" w14:textId="77777777" w:rsidR="006C3652" w:rsidRPr="004F5432" w:rsidRDefault="006C3652" w:rsidP="00600535">
      <w:pPr>
        <w:pStyle w:val="CETBodytext"/>
        <w:rPr>
          <w:lang w:val="en-GB"/>
        </w:rPr>
      </w:pPr>
    </w:p>
    <w:p w14:paraId="7384A286" w14:textId="38D39AAF" w:rsidR="0082437B" w:rsidRPr="004F5432" w:rsidRDefault="006E7B4B" w:rsidP="006C3652">
      <w:pPr>
        <w:pStyle w:val="CETBodytext"/>
        <w:rPr>
          <w:lang w:val="en-GB"/>
        </w:rPr>
      </w:pPr>
      <w:r w:rsidRPr="004F5432">
        <w:rPr>
          <w:lang w:val="en-GB"/>
        </w:rPr>
        <w:t xml:space="preserve">The use of heavy metals and synthetic dyes in several </w:t>
      </w:r>
      <w:r w:rsidR="004E4F9F" w:rsidRPr="004F5432">
        <w:rPr>
          <w:lang w:val="en-GB"/>
        </w:rPr>
        <w:t xml:space="preserve">industrial activities and its harmful consequences for the environment and human health has been the focus on numerous research efforts </w:t>
      </w:r>
      <w:r w:rsidR="00A455F9" w:rsidRPr="004F5432">
        <w:rPr>
          <w:lang w:val="en-GB"/>
        </w:rPr>
        <w:t xml:space="preserve">with the aim of finding effective solutions for the remediation of wastewater (Sun and Wang, 2023). </w:t>
      </w:r>
      <w:r w:rsidR="00C0521E" w:rsidRPr="004F5432">
        <w:rPr>
          <w:lang w:val="en-GB"/>
        </w:rPr>
        <w:t xml:space="preserve">Lignocellulosic biochar, </w:t>
      </w:r>
      <w:r w:rsidR="006C3652" w:rsidRPr="004F5432">
        <w:rPr>
          <w:lang w:val="en-GB"/>
        </w:rPr>
        <w:t xml:space="preserve">a carbon-rich </w:t>
      </w:r>
      <w:r w:rsidR="007609FF" w:rsidRPr="004F5432">
        <w:rPr>
          <w:lang w:val="en-GB"/>
        </w:rPr>
        <w:t>substrate</w:t>
      </w:r>
      <w:r w:rsidR="006C3652" w:rsidRPr="004F5432">
        <w:rPr>
          <w:lang w:val="en-GB"/>
        </w:rPr>
        <w:t xml:space="preserve"> obtained </w:t>
      </w:r>
      <w:r w:rsidR="007609FF" w:rsidRPr="004F5432">
        <w:rPr>
          <w:lang w:val="en-GB"/>
        </w:rPr>
        <w:t>by</w:t>
      </w:r>
      <w:r w:rsidR="006C3652" w:rsidRPr="004F5432">
        <w:rPr>
          <w:lang w:val="en-GB"/>
        </w:rPr>
        <w:t xml:space="preserve"> thermochemical conversion of </w:t>
      </w:r>
      <w:r w:rsidR="00C0521E" w:rsidRPr="004F5432">
        <w:rPr>
          <w:lang w:val="en-GB"/>
        </w:rPr>
        <w:t xml:space="preserve">lignocellulosic </w:t>
      </w:r>
      <w:r w:rsidR="006C3652" w:rsidRPr="004F5432">
        <w:rPr>
          <w:lang w:val="en-GB"/>
        </w:rPr>
        <w:t>biomass</w:t>
      </w:r>
      <w:r w:rsidR="00C0521E" w:rsidRPr="004F5432">
        <w:rPr>
          <w:lang w:val="en-GB"/>
        </w:rPr>
        <w:t xml:space="preserve">, </w:t>
      </w:r>
      <w:r w:rsidR="006C3652" w:rsidRPr="004F5432">
        <w:rPr>
          <w:lang w:val="en-GB"/>
        </w:rPr>
        <w:t xml:space="preserve">has </w:t>
      </w:r>
      <w:r w:rsidR="007609FF" w:rsidRPr="004F5432">
        <w:rPr>
          <w:lang w:val="en-GB"/>
        </w:rPr>
        <w:t>positioned high as adsorbent for</w:t>
      </w:r>
      <w:r w:rsidR="006C3652" w:rsidRPr="004F5432">
        <w:rPr>
          <w:lang w:val="en-GB"/>
        </w:rPr>
        <w:t xml:space="preserve"> the treatment of </w:t>
      </w:r>
      <w:r w:rsidR="00C0521E" w:rsidRPr="004F5432">
        <w:rPr>
          <w:lang w:val="en-GB"/>
        </w:rPr>
        <w:t>water effluents</w:t>
      </w:r>
      <w:r w:rsidR="006C3652" w:rsidRPr="004F5432">
        <w:rPr>
          <w:lang w:val="en-GB"/>
        </w:rPr>
        <w:t xml:space="preserve"> due to its advantages</w:t>
      </w:r>
      <w:r w:rsidR="007609FF" w:rsidRPr="004F5432">
        <w:rPr>
          <w:lang w:val="en-GB"/>
        </w:rPr>
        <w:t>,</w:t>
      </w:r>
      <w:r w:rsidR="006C3652" w:rsidRPr="004F5432">
        <w:rPr>
          <w:lang w:val="en-GB"/>
        </w:rPr>
        <w:t xml:space="preserve"> such as </w:t>
      </w:r>
      <w:r w:rsidR="007609FF" w:rsidRPr="004F5432">
        <w:rPr>
          <w:lang w:val="en-GB"/>
        </w:rPr>
        <w:t>world-wide availability, low cost, large specific surface area</w:t>
      </w:r>
      <w:r w:rsidR="00C53800" w:rsidRPr="004F5432">
        <w:rPr>
          <w:lang w:val="en-GB"/>
        </w:rPr>
        <w:t xml:space="preserve">, well-distributed </w:t>
      </w:r>
      <w:r w:rsidR="006406DC" w:rsidRPr="004F5432">
        <w:rPr>
          <w:lang w:val="en-GB"/>
        </w:rPr>
        <w:t>pores,</w:t>
      </w:r>
      <w:r w:rsidR="006C3652" w:rsidRPr="004F5432">
        <w:rPr>
          <w:lang w:val="en-GB"/>
        </w:rPr>
        <w:t xml:space="preserve"> and </w:t>
      </w:r>
      <w:r w:rsidR="00CF4CB2" w:rsidRPr="004F5432">
        <w:rPr>
          <w:lang w:val="en-GB"/>
        </w:rPr>
        <w:t xml:space="preserve">strong interaction between the functional groups </w:t>
      </w:r>
      <w:r w:rsidR="00013E00" w:rsidRPr="004F5432">
        <w:rPr>
          <w:lang w:val="en-GB"/>
        </w:rPr>
        <w:t>(Gallego-Ramírez et al., 2022)</w:t>
      </w:r>
      <w:r w:rsidR="006C3652" w:rsidRPr="004F5432">
        <w:rPr>
          <w:lang w:val="en-GB"/>
        </w:rPr>
        <w:t>.</w:t>
      </w:r>
      <w:r w:rsidR="00D7315B" w:rsidRPr="004F5432">
        <w:rPr>
          <w:lang w:val="en-GB"/>
        </w:rPr>
        <w:t xml:space="preserve"> </w:t>
      </w:r>
      <w:r w:rsidR="00C53800" w:rsidRPr="004F5432">
        <w:rPr>
          <w:lang w:val="en-GB"/>
        </w:rPr>
        <w:t>Research in the field of biochar is progressing non-stop in the last decade, covering aspects such as the used raw material, experimental processing c</w:t>
      </w:r>
      <w:r w:rsidR="008836A0" w:rsidRPr="004F5432">
        <w:rPr>
          <w:lang w:val="en-GB"/>
        </w:rPr>
        <w:t>onditions</w:t>
      </w:r>
      <w:r w:rsidR="00E60B21" w:rsidRPr="004F5432">
        <w:rPr>
          <w:lang w:val="en-GB"/>
        </w:rPr>
        <w:t xml:space="preserve"> (heating rate, temperature, pressure)</w:t>
      </w:r>
      <w:r w:rsidR="0099144F" w:rsidRPr="004F5432">
        <w:rPr>
          <w:lang w:val="en-GB"/>
        </w:rPr>
        <w:t xml:space="preserve">, biochar </w:t>
      </w:r>
      <w:r w:rsidR="004A1349" w:rsidRPr="004F5432">
        <w:rPr>
          <w:lang w:val="en-GB"/>
        </w:rPr>
        <w:t>physic</w:t>
      </w:r>
      <w:r w:rsidR="007F6655" w:rsidRPr="004F5432">
        <w:rPr>
          <w:lang w:val="en-GB"/>
        </w:rPr>
        <w:t>al</w:t>
      </w:r>
      <w:r w:rsidR="0099144F" w:rsidRPr="004F5432">
        <w:rPr>
          <w:lang w:val="en-GB"/>
        </w:rPr>
        <w:t>-chemical properties</w:t>
      </w:r>
      <w:r w:rsidR="00CE2113" w:rsidRPr="004F5432">
        <w:rPr>
          <w:lang w:val="en-GB"/>
        </w:rPr>
        <w:t xml:space="preserve">, </w:t>
      </w:r>
      <w:r w:rsidR="00C53800" w:rsidRPr="004F5432">
        <w:rPr>
          <w:lang w:val="en-GB"/>
        </w:rPr>
        <w:t xml:space="preserve">or </w:t>
      </w:r>
      <w:r w:rsidR="0099144F" w:rsidRPr="004F5432">
        <w:rPr>
          <w:lang w:val="en-GB"/>
        </w:rPr>
        <w:t xml:space="preserve">its </w:t>
      </w:r>
      <w:r w:rsidR="00C53800" w:rsidRPr="004F5432">
        <w:rPr>
          <w:lang w:val="en-GB"/>
        </w:rPr>
        <w:t xml:space="preserve">applications. </w:t>
      </w:r>
      <w:r w:rsidR="008836A0" w:rsidRPr="004F5432">
        <w:rPr>
          <w:lang w:val="en-GB"/>
        </w:rPr>
        <w:t>Extensive</w:t>
      </w:r>
      <w:r w:rsidR="00C30F7E" w:rsidRPr="004F5432">
        <w:rPr>
          <w:lang w:val="en-GB"/>
        </w:rPr>
        <w:t xml:space="preserve"> review works have been published summarizing the </w:t>
      </w:r>
      <w:r w:rsidR="00E04536" w:rsidRPr="004F5432">
        <w:rPr>
          <w:lang w:val="en-GB"/>
        </w:rPr>
        <w:t>influence of</w:t>
      </w:r>
      <w:r w:rsidR="00E02630" w:rsidRPr="004F5432">
        <w:rPr>
          <w:lang w:val="en-GB"/>
        </w:rPr>
        <w:t xml:space="preserve"> </w:t>
      </w:r>
      <w:r w:rsidR="004C192D" w:rsidRPr="004F5432">
        <w:rPr>
          <w:lang w:val="en-GB"/>
        </w:rPr>
        <w:t xml:space="preserve">the </w:t>
      </w:r>
      <w:r w:rsidR="00E04536" w:rsidRPr="004F5432">
        <w:rPr>
          <w:lang w:val="en-GB"/>
        </w:rPr>
        <w:t xml:space="preserve">type of </w:t>
      </w:r>
      <w:r w:rsidR="004C192D" w:rsidRPr="004F5432">
        <w:rPr>
          <w:lang w:val="en-GB"/>
        </w:rPr>
        <w:t>substrate</w:t>
      </w:r>
      <w:r w:rsidR="00E04536" w:rsidRPr="004F5432">
        <w:rPr>
          <w:lang w:val="en-GB"/>
        </w:rPr>
        <w:t xml:space="preserve"> and </w:t>
      </w:r>
      <w:r w:rsidR="00E60B21" w:rsidRPr="004F5432">
        <w:rPr>
          <w:lang w:val="en-GB"/>
        </w:rPr>
        <w:t>process</w:t>
      </w:r>
      <w:r w:rsidR="00B04941" w:rsidRPr="004F5432">
        <w:rPr>
          <w:lang w:val="en-GB"/>
        </w:rPr>
        <w:t>ing</w:t>
      </w:r>
      <w:r w:rsidR="001C2668" w:rsidRPr="004F5432">
        <w:rPr>
          <w:lang w:val="en-GB"/>
        </w:rPr>
        <w:t xml:space="preserve"> technology</w:t>
      </w:r>
      <w:r w:rsidR="004C192D" w:rsidRPr="004F5432">
        <w:rPr>
          <w:lang w:val="en-GB"/>
        </w:rPr>
        <w:t xml:space="preserve"> </w:t>
      </w:r>
      <w:r w:rsidR="00E04536" w:rsidRPr="004F5432">
        <w:rPr>
          <w:lang w:val="en-GB"/>
        </w:rPr>
        <w:t xml:space="preserve">on the yield and </w:t>
      </w:r>
      <w:r w:rsidR="00742662" w:rsidRPr="004F5432">
        <w:rPr>
          <w:lang w:val="en-GB"/>
        </w:rPr>
        <w:t xml:space="preserve">performance of </w:t>
      </w:r>
      <w:r w:rsidR="00E04536" w:rsidRPr="004F5432">
        <w:rPr>
          <w:lang w:val="en-GB"/>
        </w:rPr>
        <w:t xml:space="preserve">the obtained biochars </w:t>
      </w:r>
      <w:r w:rsidR="00C53800" w:rsidRPr="004F5432">
        <w:rPr>
          <w:lang w:val="en-GB"/>
        </w:rPr>
        <w:t>(Liu et al.,</w:t>
      </w:r>
      <w:r w:rsidR="007F224C" w:rsidRPr="004F5432">
        <w:rPr>
          <w:lang w:val="en-GB"/>
        </w:rPr>
        <w:t xml:space="preserve"> 2023).</w:t>
      </w:r>
      <w:r w:rsidR="00190890" w:rsidRPr="004F5432">
        <w:rPr>
          <w:lang w:val="en-GB"/>
        </w:rPr>
        <w:t xml:space="preserve"> </w:t>
      </w:r>
      <w:r w:rsidR="00ED6477" w:rsidRPr="004F5432">
        <w:rPr>
          <w:lang w:val="en-GB"/>
        </w:rPr>
        <w:t xml:space="preserve">Focusing on biochar’s </w:t>
      </w:r>
      <w:r w:rsidR="00865D5A" w:rsidRPr="004F5432">
        <w:rPr>
          <w:lang w:val="en-GB"/>
        </w:rPr>
        <w:t>adsorption properties</w:t>
      </w:r>
      <w:r w:rsidR="00F067CB" w:rsidRPr="004F5432">
        <w:rPr>
          <w:lang w:val="en-GB"/>
        </w:rPr>
        <w:t>,</w:t>
      </w:r>
      <w:r w:rsidR="00761830" w:rsidRPr="004F5432">
        <w:rPr>
          <w:lang w:val="en-GB"/>
        </w:rPr>
        <w:t xml:space="preserve"> its surface and por</w:t>
      </w:r>
      <w:r w:rsidR="003D2FCF" w:rsidRPr="004F5432">
        <w:rPr>
          <w:lang w:val="en-GB"/>
        </w:rPr>
        <w:t xml:space="preserve">e </w:t>
      </w:r>
      <w:r w:rsidR="009E3555" w:rsidRPr="004F5432">
        <w:rPr>
          <w:lang w:val="en-GB"/>
        </w:rPr>
        <w:t>accessibility</w:t>
      </w:r>
      <w:r w:rsidR="00795ACB" w:rsidRPr="004F5432">
        <w:rPr>
          <w:lang w:val="en-GB"/>
        </w:rPr>
        <w:t xml:space="preserve"> are</w:t>
      </w:r>
      <w:r w:rsidR="00761830" w:rsidRPr="004F5432">
        <w:rPr>
          <w:lang w:val="en-GB"/>
        </w:rPr>
        <w:t xml:space="preserve"> enhanced </w:t>
      </w:r>
      <w:r w:rsidR="009E3555" w:rsidRPr="004F5432">
        <w:rPr>
          <w:lang w:val="en-GB"/>
        </w:rPr>
        <w:t xml:space="preserve">by </w:t>
      </w:r>
      <w:r w:rsidR="00865D5A" w:rsidRPr="004F5432">
        <w:rPr>
          <w:lang w:val="en-GB"/>
        </w:rPr>
        <w:t>physical or chemical activation.</w:t>
      </w:r>
      <w:r w:rsidR="00CA7639" w:rsidRPr="004F5432">
        <w:rPr>
          <w:lang w:val="en-GB"/>
        </w:rPr>
        <w:t xml:space="preserve"> </w:t>
      </w:r>
      <w:r w:rsidR="00795ACB" w:rsidRPr="004F5432">
        <w:rPr>
          <w:lang w:val="en-GB"/>
        </w:rPr>
        <w:t xml:space="preserve">The latter </w:t>
      </w:r>
      <w:r w:rsidR="00CA7639" w:rsidRPr="004F5432">
        <w:rPr>
          <w:lang w:val="en-GB"/>
        </w:rPr>
        <w:t xml:space="preserve">is more efficient than physical one </w:t>
      </w:r>
      <w:r w:rsidR="00291905" w:rsidRPr="004F5432">
        <w:rPr>
          <w:lang w:val="en-GB"/>
        </w:rPr>
        <w:t xml:space="preserve">reaching </w:t>
      </w:r>
      <w:r w:rsidR="00CA7639" w:rsidRPr="004F5432">
        <w:rPr>
          <w:lang w:val="en-GB"/>
        </w:rPr>
        <w:t xml:space="preserve">larger surface areas and </w:t>
      </w:r>
      <w:r w:rsidR="00291905" w:rsidRPr="004F5432">
        <w:rPr>
          <w:lang w:val="en-GB"/>
        </w:rPr>
        <w:t>a</w:t>
      </w:r>
      <w:r w:rsidR="00CA7639" w:rsidRPr="004F5432">
        <w:rPr>
          <w:lang w:val="en-GB"/>
        </w:rPr>
        <w:t xml:space="preserve"> more developed porous </w:t>
      </w:r>
      <w:r w:rsidR="002D2488" w:rsidRPr="004F5432">
        <w:rPr>
          <w:lang w:val="en-GB"/>
        </w:rPr>
        <w:t>structure</w:t>
      </w:r>
      <w:r w:rsidR="00037E91" w:rsidRPr="004F5432">
        <w:rPr>
          <w:lang w:val="en-GB"/>
        </w:rPr>
        <w:t xml:space="preserve"> in a faster process with lower activation </w:t>
      </w:r>
      <w:r w:rsidR="00EA0BA0" w:rsidRPr="004F5432">
        <w:rPr>
          <w:lang w:val="en-GB"/>
        </w:rPr>
        <w:t>temperatures (</w:t>
      </w:r>
      <w:r w:rsidR="005B36D0" w:rsidRPr="004F5432">
        <w:rPr>
          <w:lang w:val="en-GB"/>
        </w:rPr>
        <w:t xml:space="preserve">Hui </w:t>
      </w:r>
      <w:r w:rsidR="004052EB" w:rsidRPr="004F5432">
        <w:rPr>
          <w:lang w:val="en-GB"/>
        </w:rPr>
        <w:t xml:space="preserve">and </w:t>
      </w:r>
      <w:r w:rsidR="005B36D0" w:rsidRPr="004F5432">
        <w:rPr>
          <w:lang w:val="en-GB"/>
        </w:rPr>
        <w:t>Zaini</w:t>
      </w:r>
      <w:r w:rsidR="004052EB" w:rsidRPr="004F5432">
        <w:rPr>
          <w:lang w:val="en-GB"/>
        </w:rPr>
        <w:t>, 20</w:t>
      </w:r>
      <w:r w:rsidR="001C6DA9" w:rsidRPr="004F5432">
        <w:rPr>
          <w:lang w:val="en-GB"/>
        </w:rPr>
        <w:t>15</w:t>
      </w:r>
      <w:r w:rsidR="004052EB" w:rsidRPr="004F5432">
        <w:rPr>
          <w:lang w:val="en-GB"/>
        </w:rPr>
        <w:t xml:space="preserve">). </w:t>
      </w:r>
      <w:r w:rsidR="007355D6" w:rsidRPr="004F5432">
        <w:rPr>
          <w:lang w:val="en-GB"/>
        </w:rPr>
        <w:t xml:space="preserve">Usually, chemical activation is </w:t>
      </w:r>
      <w:r w:rsidR="00D612BE" w:rsidRPr="004F5432">
        <w:rPr>
          <w:lang w:val="en-GB"/>
        </w:rPr>
        <w:t>performed</w:t>
      </w:r>
      <w:r w:rsidR="007355D6" w:rsidRPr="004F5432">
        <w:rPr>
          <w:lang w:val="en-GB"/>
        </w:rPr>
        <w:t xml:space="preserve"> i</w:t>
      </w:r>
      <w:r w:rsidR="00542B4A" w:rsidRPr="004F5432">
        <w:rPr>
          <w:lang w:val="en-GB"/>
        </w:rPr>
        <w:t xml:space="preserve">n </w:t>
      </w:r>
      <w:r w:rsidR="007355D6" w:rsidRPr="004F5432">
        <w:rPr>
          <w:lang w:val="en-GB"/>
        </w:rPr>
        <w:t>a</w:t>
      </w:r>
      <w:r w:rsidR="00D612BE" w:rsidRPr="004F5432">
        <w:rPr>
          <w:lang w:val="en-GB"/>
        </w:rPr>
        <w:t xml:space="preserve"> </w:t>
      </w:r>
      <w:r w:rsidR="00463412" w:rsidRPr="004F5432">
        <w:rPr>
          <w:lang w:val="en-GB"/>
        </w:rPr>
        <w:t>double-step route</w:t>
      </w:r>
      <w:r w:rsidR="00542B4A" w:rsidRPr="004F5432">
        <w:rPr>
          <w:lang w:val="en-GB"/>
        </w:rPr>
        <w:t xml:space="preserve">, </w:t>
      </w:r>
      <w:r w:rsidR="00463412" w:rsidRPr="004F5432">
        <w:rPr>
          <w:lang w:val="en-GB"/>
        </w:rPr>
        <w:t>the substrate</w:t>
      </w:r>
      <w:r w:rsidR="00542B4A" w:rsidRPr="004F5432">
        <w:rPr>
          <w:lang w:val="en-GB"/>
        </w:rPr>
        <w:t xml:space="preserve"> </w:t>
      </w:r>
      <w:r w:rsidR="00DA5F30" w:rsidRPr="004F5432">
        <w:rPr>
          <w:lang w:val="en-GB"/>
        </w:rPr>
        <w:t xml:space="preserve">is </w:t>
      </w:r>
      <w:r w:rsidR="00542B4A" w:rsidRPr="004F5432">
        <w:rPr>
          <w:lang w:val="en-GB"/>
        </w:rPr>
        <w:t xml:space="preserve">firstly </w:t>
      </w:r>
      <w:r w:rsidR="00DA5F30" w:rsidRPr="004F5432">
        <w:rPr>
          <w:lang w:val="en-GB"/>
        </w:rPr>
        <w:t xml:space="preserve">submitted to </w:t>
      </w:r>
      <w:r w:rsidR="005B2ED2" w:rsidRPr="004F5432">
        <w:rPr>
          <w:lang w:val="en-GB"/>
        </w:rPr>
        <w:t xml:space="preserve">a pyrolysis process and the generated biochar is then </w:t>
      </w:r>
      <w:r w:rsidR="00463412" w:rsidRPr="004F5432">
        <w:rPr>
          <w:lang w:val="en-GB"/>
        </w:rPr>
        <w:t xml:space="preserve">impregnated with a chemical </w:t>
      </w:r>
      <w:r w:rsidR="005B2ED2" w:rsidRPr="004F5432">
        <w:rPr>
          <w:lang w:val="en-GB"/>
        </w:rPr>
        <w:t>product</w:t>
      </w:r>
      <w:r w:rsidR="00463412" w:rsidRPr="004F5432">
        <w:rPr>
          <w:lang w:val="en-GB"/>
        </w:rPr>
        <w:t xml:space="preserve"> and then </w:t>
      </w:r>
      <w:r w:rsidR="005043CD" w:rsidRPr="004F5432">
        <w:rPr>
          <w:lang w:val="en-GB"/>
        </w:rPr>
        <w:t xml:space="preserve">submitted again to a second thermochemical step for its activation </w:t>
      </w:r>
      <w:r w:rsidR="00463412" w:rsidRPr="004F5432">
        <w:rPr>
          <w:lang w:val="en-GB"/>
        </w:rPr>
        <w:t>(Oginni et al., 2019).</w:t>
      </w:r>
      <w:r w:rsidR="00F5223F" w:rsidRPr="004F5432">
        <w:rPr>
          <w:lang w:val="en-GB"/>
        </w:rPr>
        <w:t xml:space="preserve"> The applied chemical agent significantly influences the characteristics of the resulting activated carbon.</w:t>
      </w:r>
      <w:r w:rsidR="00CF2A75" w:rsidRPr="004F5432">
        <w:rPr>
          <w:lang w:val="en-GB"/>
        </w:rPr>
        <w:t xml:space="preserve"> </w:t>
      </w:r>
      <w:r w:rsidR="002D2488" w:rsidRPr="004F5432">
        <w:rPr>
          <w:lang w:val="en-GB"/>
        </w:rPr>
        <w:t>Activation with KOH has been proved to achieve well developed pore structure and active functional groups on the biochar surface</w:t>
      </w:r>
      <w:r w:rsidR="000164F7" w:rsidRPr="004F5432">
        <w:rPr>
          <w:lang w:val="en-GB"/>
        </w:rPr>
        <w:t xml:space="preserve"> </w:t>
      </w:r>
      <w:r w:rsidR="000164F7" w:rsidRPr="004F5432">
        <w:rPr>
          <w:lang w:val="en-GB"/>
        </w:rPr>
        <w:lastRenderedPageBreak/>
        <w:t>(Lü et al., 2022)</w:t>
      </w:r>
      <w:r w:rsidR="002D2488" w:rsidRPr="004F5432">
        <w:rPr>
          <w:lang w:val="en-GB"/>
        </w:rPr>
        <w:t xml:space="preserve"> Excellent adsorption results for the removal of different pollutants have been reported with biochars produced by pyrolysis followed by KOH activation, in a two-step </w:t>
      </w:r>
      <w:r w:rsidR="00773FB9" w:rsidRPr="004F5432">
        <w:rPr>
          <w:lang w:val="en-GB"/>
        </w:rPr>
        <w:t xml:space="preserve">process </w:t>
      </w:r>
      <w:r w:rsidR="002D2488" w:rsidRPr="004F5432">
        <w:rPr>
          <w:lang w:val="en-GB"/>
        </w:rPr>
        <w:t>(Jedynak and Charmas, 2023).</w:t>
      </w:r>
      <w:r w:rsidR="00773FB9" w:rsidRPr="004F5432">
        <w:rPr>
          <w:lang w:val="en-GB"/>
        </w:rPr>
        <w:t xml:space="preserve"> In this route, </w:t>
      </w:r>
      <w:r w:rsidR="00422789" w:rsidRPr="004F5432">
        <w:rPr>
          <w:lang w:val="en-GB"/>
        </w:rPr>
        <w:t xml:space="preserve">the pre-carbonization </w:t>
      </w:r>
      <w:r w:rsidR="00BB645E" w:rsidRPr="004F5432">
        <w:rPr>
          <w:lang w:val="en-GB"/>
        </w:rPr>
        <w:t xml:space="preserve">makes the biochar more susceptible to chemical reaction with KOH, </w:t>
      </w:r>
      <w:r w:rsidR="00644881" w:rsidRPr="004F5432">
        <w:rPr>
          <w:lang w:val="en-GB"/>
        </w:rPr>
        <w:t xml:space="preserve">which </w:t>
      </w:r>
      <w:r w:rsidR="00BB645E" w:rsidRPr="004F5432">
        <w:rPr>
          <w:lang w:val="en-GB"/>
        </w:rPr>
        <w:t xml:space="preserve">leads to </w:t>
      </w:r>
      <w:r w:rsidR="00463BF5" w:rsidRPr="004F5432">
        <w:rPr>
          <w:lang w:val="en-GB"/>
        </w:rPr>
        <w:t>larger specific surface area and the</w:t>
      </w:r>
      <w:r w:rsidR="00BB645E" w:rsidRPr="004F5432">
        <w:rPr>
          <w:lang w:val="en-GB"/>
        </w:rPr>
        <w:t xml:space="preserve"> formation of a higher degree of mesopores and micropores</w:t>
      </w:r>
      <w:r w:rsidR="00DE3EF3" w:rsidRPr="004F5432">
        <w:rPr>
          <w:lang w:val="en-GB"/>
        </w:rPr>
        <w:t xml:space="preserve">. </w:t>
      </w:r>
      <w:r w:rsidR="0030518A" w:rsidRPr="004F5432">
        <w:rPr>
          <w:lang w:val="en-GB"/>
        </w:rPr>
        <w:t>Nevertheless</w:t>
      </w:r>
      <w:r w:rsidR="00F35F53" w:rsidRPr="004F5432">
        <w:rPr>
          <w:lang w:val="en-GB"/>
        </w:rPr>
        <w:t>,</w:t>
      </w:r>
      <w:r w:rsidR="00B25A8F" w:rsidRPr="004F5432">
        <w:rPr>
          <w:lang w:val="en-GB"/>
        </w:rPr>
        <w:t xml:space="preserve"> </w:t>
      </w:r>
      <w:r w:rsidR="00583091" w:rsidRPr="004F5432">
        <w:rPr>
          <w:lang w:val="en-GB"/>
        </w:rPr>
        <w:t xml:space="preserve">yields associated to the two-step route </w:t>
      </w:r>
      <w:r w:rsidR="00E46E73" w:rsidRPr="004F5432">
        <w:rPr>
          <w:lang w:val="en-GB"/>
        </w:rPr>
        <w:t>are typically low (around 12-20%)</w:t>
      </w:r>
      <w:r w:rsidR="00F35F53" w:rsidRPr="004F5432">
        <w:rPr>
          <w:lang w:val="en-GB"/>
        </w:rPr>
        <w:t xml:space="preserve"> so, </w:t>
      </w:r>
      <w:r w:rsidR="00DC75F2" w:rsidRPr="004F5432">
        <w:rPr>
          <w:lang w:val="en-GB"/>
        </w:rPr>
        <w:t xml:space="preserve">following </w:t>
      </w:r>
      <w:r w:rsidR="007F224C" w:rsidRPr="004F5432">
        <w:rPr>
          <w:lang w:val="en-GB"/>
        </w:rPr>
        <w:t xml:space="preserve">the </w:t>
      </w:r>
      <w:r w:rsidR="00DC75F2" w:rsidRPr="004F5432">
        <w:rPr>
          <w:lang w:val="en-GB"/>
        </w:rPr>
        <w:t xml:space="preserve">current </w:t>
      </w:r>
      <w:r w:rsidR="00D56D1E" w:rsidRPr="004F5432">
        <w:rPr>
          <w:lang w:val="en-GB"/>
        </w:rPr>
        <w:t xml:space="preserve">research interest </w:t>
      </w:r>
      <w:r w:rsidR="00B66ECA" w:rsidRPr="004F5432">
        <w:rPr>
          <w:lang w:val="en-GB"/>
        </w:rPr>
        <w:t xml:space="preserve">oriented to </w:t>
      </w:r>
      <w:r w:rsidR="009F2E8A" w:rsidRPr="004F5432">
        <w:rPr>
          <w:lang w:val="en-GB"/>
        </w:rPr>
        <w:t>advance in the</w:t>
      </w:r>
      <w:r w:rsidR="00B66ECA" w:rsidRPr="004F5432">
        <w:rPr>
          <w:lang w:val="en-GB"/>
        </w:rPr>
        <w:t xml:space="preserve"> </w:t>
      </w:r>
      <w:r w:rsidR="00C53800" w:rsidRPr="004F5432">
        <w:rPr>
          <w:lang w:val="en-GB"/>
        </w:rPr>
        <w:t xml:space="preserve">upscale </w:t>
      </w:r>
      <w:r w:rsidR="007F224C" w:rsidRPr="004F5432">
        <w:rPr>
          <w:lang w:val="en-GB"/>
        </w:rPr>
        <w:t xml:space="preserve">of </w:t>
      </w:r>
      <w:r w:rsidR="00C53800" w:rsidRPr="004F5432">
        <w:rPr>
          <w:lang w:val="en-GB"/>
        </w:rPr>
        <w:t xml:space="preserve">experiments </w:t>
      </w:r>
      <w:r w:rsidR="007F224C" w:rsidRPr="004F5432">
        <w:rPr>
          <w:lang w:val="en-GB"/>
        </w:rPr>
        <w:t>from</w:t>
      </w:r>
      <w:r w:rsidR="00C53800" w:rsidRPr="004F5432">
        <w:rPr>
          <w:lang w:val="en-GB"/>
        </w:rPr>
        <w:t xml:space="preserve"> laboratory conditions to </w:t>
      </w:r>
      <w:r w:rsidR="007F224C" w:rsidRPr="004F5432">
        <w:rPr>
          <w:lang w:val="en-GB"/>
        </w:rPr>
        <w:t>industrial ones</w:t>
      </w:r>
      <w:r w:rsidR="009F2E8A" w:rsidRPr="004F5432">
        <w:rPr>
          <w:lang w:val="en-GB"/>
        </w:rPr>
        <w:t xml:space="preserve">, </w:t>
      </w:r>
      <w:r w:rsidR="003E42D0" w:rsidRPr="004F5432">
        <w:rPr>
          <w:lang w:val="en-GB"/>
        </w:rPr>
        <w:t>it is of great significance to increase the competitiveness of the biochar production process</w:t>
      </w:r>
      <w:r w:rsidR="00F51052" w:rsidRPr="004F5432">
        <w:rPr>
          <w:lang w:val="en-GB"/>
        </w:rPr>
        <w:t xml:space="preserve"> (Chen et al., 2022). That means to </w:t>
      </w:r>
      <w:r w:rsidR="00B66ECA" w:rsidRPr="004F5432">
        <w:rPr>
          <w:lang w:val="en-GB"/>
        </w:rPr>
        <w:t>design a</w:t>
      </w:r>
      <w:r w:rsidR="00C9306A" w:rsidRPr="004F5432">
        <w:rPr>
          <w:lang w:val="en-GB"/>
        </w:rPr>
        <w:t>n efficient</w:t>
      </w:r>
      <w:r w:rsidR="00E80E70" w:rsidRPr="004F5432">
        <w:rPr>
          <w:lang w:val="en-GB"/>
        </w:rPr>
        <w:t xml:space="preserve"> route for </w:t>
      </w:r>
      <w:r w:rsidR="00B66ECA" w:rsidRPr="004F5432">
        <w:rPr>
          <w:lang w:val="en-GB"/>
        </w:rPr>
        <w:t xml:space="preserve">biochar production at industrial scale, </w:t>
      </w:r>
      <w:r w:rsidR="00E80E70" w:rsidRPr="004F5432">
        <w:rPr>
          <w:lang w:val="en-GB"/>
        </w:rPr>
        <w:t xml:space="preserve">in terms of </w:t>
      </w:r>
      <w:r w:rsidR="00917981" w:rsidRPr="004F5432">
        <w:rPr>
          <w:lang w:val="en-GB"/>
        </w:rPr>
        <w:t xml:space="preserve">product yield, </w:t>
      </w:r>
      <w:r w:rsidR="00E80E70" w:rsidRPr="004F5432">
        <w:rPr>
          <w:lang w:val="en-GB"/>
        </w:rPr>
        <w:t xml:space="preserve">time, </w:t>
      </w:r>
      <w:r w:rsidR="00B66ECA" w:rsidRPr="004F5432">
        <w:rPr>
          <w:lang w:val="en-GB"/>
        </w:rPr>
        <w:t>energy and chemicals consumptions</w:t>
      </w:r>
      <w:r w:rsidR="00D12E10" w:rsidRPr="004F5432">
        <w:rPr>
          <w:lang w:val="en-GB"/>
        </w:rPr>
        <w:t xml:space="preserve"> (Luo et al., 2022)</w:t>
      </w:r>
      <w:r w:rsidR="00E80E70" w:rsidRPr="004F5432">
        <w:rPr>
          <w:lang w:val="en-GB"/>
        </w:rPr>
        <w:t>.</w:t>
      </w:r>
      <w:r w:rsidR="00B66ECA" w:rsidRPr="004F5432">
        <w:rPr>
          <w:lang w:val="en-GB"/>
        </w:rPr>
        <w:t xml:space="preserve"> </w:t>
      </w:r>
      <w:r w:rsidR="007355D6" w:rsidRPr="004F5432">
        <w:rPr>
          <w:lang w:val="en-GB"/>
        </w:rPr>
        <w:t xml:space="preserve">The one step process consists </w:t>
      </w:r>
      <w:r w:rsidR="000164F7" w:rsidRPr="004F5432">
        <w:rPr>
          <w:lang w:val="en-GB"/>
        </w:rPr>
        <w:t>of the</w:t>
      </w:r>
      <w:r w:rsidR="007355D6" w:rsidRPr="004F5432">
        <w:rPr>
          <w:lang w:val="en-GB"/>
        </w:rPr>
        <w:t xml:space="preserve"> impregnation of the precursor with the chemical product and the application of a subsequent thermochemical process to the impregnated carbon source. </w:t>
      </w:r>
      <w:r w:rsidR="0055633A" w:rsidRPr="004F5432">
        <w:rPr>
          <w:lang w:val="en-GB"/>
        </w:rPr>
        <w:t>T</w:t>
      </w:r>
      <w:r w:rsidR="00190890" w:rsidRPr="004F5432">
        <w:rPr>
          <w:lang w:val="en-GB"/>
        </w:rPr>
        <w:t xml:space="preserve">he use of a one-step technology combining the thermochemical and chemical activation treatments in one step process could be interesting in terms of simplicity and time saving. </w:t>
      </w:r>
      <w:r w:rsidR="00C9293D" w:rsidRPr="004F5432">
        <w:rPr>
          <w:lang w:val="en-GB"/>
        </w:rPr>
        <w:t>Therefore</w:t>
      </w:r>
      <w:r w:rsidR="00733FCE" w:rsidRPr="004F5432">
        <w:rPr>
          <w:lang w:val="en-GB"/>
        </w:rPr>
        <w:t>,</w:t>
      </w:r>
      <w:r w:rsidR="008F0B03" w:rsidRPr="004F5432">
        <w:rPr>
          <w:lang w:val="en-GB"/>
        </w:rPr>
        <w:t xml:space="preserve"> in this work, </w:t>
      </w:r>
      <w:r w:rsidR="00C440BF" w:rsidRPr="004F5432">
        <w:rPr>
          <w:lang w:val="en-GB"/>
        </w:rPr>
        <w:t>apple pruning</w:t>
      </w:r>
      <w:r w:rsidR="00AE57D6" w:rsidRPr="004F5432">
        <w:rPr>
          <w:lang w:val="en-GB"/>
        </w:rPr>
        <w:t xml:space="preserve"> (</w:t>
      </w:r>
      <w:r w:rsidR="008E5CD9" w:rsidRPr="004F5432">
        <w:rPr>
          <w:lang w:val="en-GB"/>
        </w:rPr>
        <w:t>a</w:t>
      </w:r>
      <w:r w:rsidR="00C440BF" w:rsidRPr="004F5432">
        <w:rPr>
          <w:lang w:val="en-GB"/>
        </w:rPr>
        <w:t xml:space="preserve"> </w:t>
      </w:r>
      <w:r w:rsidR="008E5CD9" w:rsidRPr="004F5432">
        <w:rPr>
          <w:lang w:val="en-GB"/>
        </w:rPr>
        <w:t>lignocellulosic waste</w:t>
      </w:r>
      <w:r w:rsidR="00AE57D6" w:rsidRPr="004F5432">
        <w:rPr>
          <w:lang w:val="en-GB"/>
        </w:rPr>
        <w:t>)</w:t>
      </w:r>
      <w:r w:rsidR="008E5CD9" w:rsidRPr="004F5432">
        <w:rPr>
          <w:lang w:val="en-GB"/>
        </w:rPr>
        <w:t xml:space="preserve"> </w:t>
      </w:r>
      <w:r w:rsidR="004270A7" w:rsidRPr="004F5432">
        <w:rPr>
          <w:lang w:val="en-GB"/>
        </w:rPr>
        <w:t xml:space="preserve">as </w:t>
      </w:r>
      <w:r w:rsidR="008E5CD9" w:rsidRPr="004F5432">
        <w:rPr>
          <w:lang w:val="en-GB"/>
        </w:rPr>
        <w:t xml:space="preserve">precursor </w:t>
      </w:r>
      <w:r w:rsidR="004270A7" w:rsidRPr="004F5432">
        <w:rPr>
          <w:lang w:val="en-GB"/>
        </w:rPr>
        <w:t xml:space="preserve">and KOH as chemical activator </w:t>
      </w:r>
      <w:r w:rsidR="00AE57D6" w:rsidRPr="004F5432">
        <w:rPr>
          <w:lang w:val="en-GB"/>
        </w:rPr>
        <w:t xml:space="preserve">were used </w:t>
      </w:r>
      <w:r w:rsidR="008E5CD9" w:rsidRPr="004F5432">
        <w:rPr>
          <w:lang w:val="en-GB"/>
        </w:rPr>
        <w:t xml:space="preserve">for the obtaining of activated biochar </w:t>
      </w:r>
      <w:r w:rsidR="008F0B03" w:rsidRPr="004F5432">
        <w:rPr>
          <w:lang w:val="en-GB"/>
        </w:rPr>
        <w:t>by a single and a two-step routes.</w:t>
      </w:r>
      <w:r w:rsidR="00D3288F" w:rsidRPr="004F5432">
        <w:rPr>
          <w:lang w:val="en-GB"/>
        </w:rPr>
        <w:t xml:space="preserve"> </w:t>
      </w:r>
      <w:r w:rsidR="00E46A34" w:rsidRPr="004F5432">
        <w:rPr>
          <w:lang w:val="en-GB"/>
        </w:rPr>
        <w:t xml:space="preserve">The resulting </w:t>
      </w:r>
      <w:r w:rsidR="00505419" w:rsidRPr="004F5432">
        <w:rPr>
          <w:lang w:val="en-GB"/>
        </w:rPr>
        <w:t>carbonaceous materials</w:t>
      </w:r>
      <w:r w:rsidR="00993B1E" w:rsidRPr="004F5432">
        <w:rPr>
          <w:lang w:val="en-GB"/>
        </w:rPr>
        <w:t xml:space="preserve"> (activated </w:t>
      </w:r>
      <w:r w:rsidR="001E2D3D" w:rsidRPr="004F5432">
        <w:rPr>
          <w:lang w:val="en-GB"/>
        </w:rPr>
        <w:t xml:space="preserve">apple pruning </w:t>
      </w:r>
      <w:r w:rsidR="00993B1E" w:rsidRPr="004F5432">
        <w:rPr>
          <w:lang w:val="en-GB"/>
        </w:rPr>
        <w:t>biochar</w:t>
      </w:r>
      <w:r w:rsidR="001E2D3D" w:rsidRPr="004F5432">
        <w:rPr>
          <w:lang w:val="en-GB"/>
        </w:rPr>
        <w:t xml:space="preserve">-1step, </w:t>
      </w:r>
      <w:r w:rsidR="00505419" w:rsidRPr="004F5432">
        <w:rPr>
          <w:lang w:val="en-GB"/>
        </w:rPr>
        <w:t>AP</w:t>
      </w:r>
      <w:r w:rsidR="001E2D3D" w:rsidRPr="004F5432">
        <w:rPr>
          <w:lang w:val="en-GB"/>
        </w:rPr>
        <w:t>B</w:t>
      </w:r>
      <w:r w:rsidR="00505419" w:rsidRPr="004F5432">
        <w:rPr>
          <w:lang w:val="en-GB"/>
        </w:rPr>
        <w:t>C</w:t>
      </w:r>
      <w:r w:rsidR="006C1148" w:rsidRPr="004F5432">
        <w:rPr>
          <w:lang w:val="en-GB"/>
        </w:rPr>
        <w:t>-1</w:t>
      </w:r>
      <w:r w:rsidR="001E2D3D" w:rsidRPr="004F5432">
        <w:rPr>
          <w:lang w:val="en-GB"/>
        </w:rPr>
        <w:t>S</w:t>
      </w:r>
      <w:r w:rsidR="004517FE" w:rsidRPr="004F5432">
        <w:rPr>
          <w:lang w:val="en-GB"/>
        </w:rPr>
        <w:t xml:space="preserve"> and two-step, APBC-2S)</w:t>
      </w:r>
      <w:r w:rsidR="00E46A34" w:rsidRPr="004F5432">
        <w:rPr>
          <w:lang w:val="en-GB"/>
        </w:rPr>
        <w:t xml:space="preserve"> were characterised </w:t>
      </w:r>
      <w:r w:rsidR="00A24BEE" w:rsidRPr="004F5432">
        <w:rPr>
          <w:lang w:val="en-GB"/>
        </w:rPr>
        <w:t xml:space="preserve">and its </w:t>
      </w:r>
      <w:r w:rsidR="0082437B" w:rsidRPr="004F5432">
        <w:rPr>
          <w:lang w:val="en-GB"/>
        </w:rPr>
        <w:t>performance as adsorbents of an organic dye (methylene blue)</w:t>
      </w:r>
      <w:r w:rsidR="00634F88" w:rsidRPr="004F5432">
        <w:rPr>
          <w:lang w:val="en-GB"/>
        </w:rPr>
        <w:t xml:space="preserve"> from an aqueous stream was</w:t>
      </w:r>
      <w:r w:rsidR="0082437B" w:rsidRPr="004F5432">
        <w:rPr>
          <w:lang w:val="en-GB"/>
        </w:rPr>
        <w:t xml:space="preserve"> </w:t>
      </w:r>
      <w:r w:rsidR="00830763" w:rsidRPr="004F5432">
        <w:rPr>
          <w:lang w:val="en-GB"/>
        </w:rPr>
        <w:t xml:space="preserve">compared </w:t>
      </w:r>
      <w:r w:rsidR="004517FE" w:rsidRPr="004F5432">
        <w:rPr>
          <w:lang w:val="en-GB"/>
        </w:rPr>
        <w:t xml:space="preserve">with the aim of </w:t>
      </w:r>
      <w:r w:rsidR="00E46A34" w:rsidRPr="004F5432">
        <w:rPr>
          <w:lang w:val="en-GB"/>
        </w:rPr>
        <w:t>evaluat</w:t>
      </w:r>
      <w:r w:rsidR="004517FE" w:rsidRPr="004F5432">
        <w:rPr>
          <w:lang w:val="en-GB"/>
        </w:rPr>
        <w:t>ing</w:t>
      </w:r>
      <w:r w:rsidR="00E46A34" w:rsidRPr="004F5432">
        <w:rPr>
          <w:lang w:val="en-GB"/>
        </w:rPr>
        <w:t xml:space="preserve"> the impact of </w:t>
      </w:r>
      <w:r w:rsidR="004517FE" w:rsidRPr="004F5432">
        <w:rPr>
          <w:lang w:val="en-GB"/>
        </w:rPr>
        <w:t>the biochar</w:t>
      </w:r>
      <w:r w:rsidR="003656CE" w:rsidRPr="004F5432">
        <w:rPr>
          <w:lang w:val="en-GB"/>
        </w:rPr>
        <w:t xml:space="preserve"> obtaining </w:t>
      </w:r>
      <w:r w:rsidR="0082437B" w:rsidRPr="004F5432">
        <w:rPr>
          <w:lang w:val="en-GB"/>
        </w:rPr>
        <w:t xml:space="preserve">route. </w:t>
      </w:r>
    </w:p>
    <w:p w14:paraId="2B8DFBEA" w14:textId="77777777" w:rsidR="00097BEC" w:rsidRPr="004F5432" w:rsidRDefault="00097BEC" w:rsidP="00097BEC">
      <w:pPr>
        <w:pStyle w:val="CETHeading1"/>
        <w:rPr>
          <w:lang w:val="en-GB"/>
        </w:rPr>
      </w:pPr>
      <w:r w:rsidRPr="004F5432">
        <w:rPr>
          <w:lang w:val="en-GB"/>
        </w:rPr>
        <w:t>Materials and methods</w:t>
      </w:r>
    </w:p>
    <w:p w14:paraId="5EB18EBF" w14:textId="77777777" w:rsidR="002F66BE" w:rsidRPr="004F5432" w:rsidRDefault="00500F75" w:rsidP="00242134">
      <w:pPr>
        <w:pStyle w:val="CETBodytext"/>
        <w:rPr>
          <w:lang w:val="en-GB"/>
        </w:rPr>
      </w:pPr>
      <w:r w:rsidRPr="004F5432">
        <w:rPr>
          <w:lang w:val="en-GB"/>
        </w:rPr>
        <w:t>Apple tree pruning</w:t>
      </w:r>
      <w:r w:rsidR="00097BEC" w:rsidRPr="004F5432">
        <w:rPr>
          <w:lang w:val="en-GB"/>
        </w:rPr>
        <w:t xml:space="preserve"> (</w:t>
      </w:r>
      <w:r w:rsidRPr="004F5432">
        <w:rPr>
          <w:lang w:val="en-GB"/>
        </w:rPr>
        <w:t>A</w:t>
      </w:r>
      <w:r w:rsidR="0046764E" w:rsidRPr="004F5432">
        <w:rPr>
          <w:lang w:val="en-GB"/>
        </w:rPr>
        <w:t>P</w:t>
      </w:r>
      <w:r w:rsidR="00097BEC" w:rsidRPr="004F5432">
        <w:rPr>
          <w:lang w:val="en-GB"/>
        </w:rPr>
        <w:t xml:space="preserve">) provided from local suppliers </w:t>
      </w:r>
      <w:r w:rsidRPr="004F5432">
        <w:rPr>
          <w:lang w:val="en-GB"/>
        </w:rPr>
        <w:t xml:space="preserve">was the selected lignocellulosic biomass substrate </w:t>
      </w:r>
      <w:r w:rsidR="00FD7470" w:rsidRPr="004F5432">
        <w:rPr>
          <w:lang w:val="en-GB"/>
        </w:rPr>
        <w:t xml:space="preserve">for </w:t>
      </w:r>
      <w:r w:rsidR="00097BEC" w:rsidRPr="004F5432">
        <w:rPr>
          <w:lang w:val="en-GB"/>
        </w:rPr>
        <w:t xml:space="preserve">this work. </w:t>
      </w:r>
      <w:r w:rsidR="001B0F74" w:rsidRPr="004F5432">
        <w:rPr>
          <w:lang w:val="en-GB"/>
        </w:rPr>
        <w:t xml:space="preserve">Proximate and ultimate analysis of the </w:t>
      </w:r>
      <w:r w:rsidR="008B0F99" w:rsidRPr="004F5432">
        <w:rPr>
          <w:lang w:val="en-GB"/>
        </w:rPr>
        <w:t xml:space="preserve">raw material as well as of the obtained </w:t>
      </w:r>
      <w:r w:rsidR="0046764E" w:rsidRPr="004F5432">
        <w:rPr>
          <w:lang w:val="en-GB"/>
        </w:rPr>
        <w:t>biochar samples</w:t>
      </w:r>
      <w:r w:rsidR="008B0F99" w:rsidRPr="004F5432">
        <w:rPr>
          <w:lang w:val="en-GB"/>
        </w:rPr>
        <w:t xml:space="preserve"> </w:t>
      </w:r>
      <w:r w:rsidR="001B0F74" w:rsidRPr="004F5432">
        <w:rPr>
          <w:lang w:val="en-GB"/>
        </w:rPr>
        <w:t xml:space="preserve">was done </w:t>
      </w:r>
      <w:r w:rsidR="008B0F99" w:rsidRPr="004F5432">
        <w:rPr>
          <w:lang w:val="en-GB"/>
        </w:rPr>
        <w:t xml:space="preserve">following </w:t>
      </w:r>
      <w:r w:rsidR="007D599A" w:rsidRPr="004F5432">
        <w:rPr>
          <w:lang w:val="en-GB"/>
        </w:rPr>
        <w:t>the standards and equipment indicated in a previous publication (</w:t>
      </w:r>
      <w:r w:rsidR="00DB5FE2" w:rsidRPr="004F5432">
        <w:rPr>
          <w:lang w:val="en-GB"/>
        </w:rPr>
        <w:t>Antxustegi et al., 2022).</w:t>
      </w:r>
      <w:r w:rsidR="00B662BB" w:rsidRPr="004F5432">
        <w:rPr>
          <w:lang w:val="en-GB"/>
        </w:rPr>
        <w:t xml:space="preserve"> </w:t>
      </w:r>
      <w:r w:rsidR="00E91411" w:rsidRPr="004F5432">
        <w:rPr>
          <w:lang w:val="en-GB"/>
        </w:rPr>
        <w:t xml:space="preserve">The microscopic structure and morphology of the samples were examined by Scanning Electron Microscopy (SEM) using a JEOL JSM-7000F microscope. </w:t>
      </w:r>
      <w:r w:rsidR="002A403B" w:rsidRPr="004F5432">
        <w:rPr>
          <w:lang w:val="en-GB"/>
        </w:rPr>
        <w:t>The available functional groups on each material surface were analysed by Attenuated Total Reflection-Fourier Transformed Infrared Spectroscopy (ATR-FTIR) using a Perking Elmer Spectrum Two Spectrometer equipped with a Universal Attenuated Total Reflectance accessory provided with an internal reflection diamond crystal. The spectra were collected in the 4000-600 cm</w:t>
      </w:r>
      <w:r w:rsidR="002A403B" w:rsidRPr="004F5432">
        <w:rPr>
          <w:vertAlign w:val="superscript"/>
          <w:lang w:val="en-GB"/>
        </w:rPr>
        <w:t>-1</w:t>
      </w:r>
      <w:r w:rsidR="002A403B" w:rsidRPr="004F5432">
        <w:rPr>
          <w:lang w:val="en-GB"/>
        </w:rPr>
        <w:t xml:space="preserve"> range with 4 cm</w:t>
      </w:r>
      <w:r w:rsidR="002A403B" w:rsidRPr="004F5432">
        <w:rPr>
          <w:vertAlign w:val="superscript"/>
          <w:lang w:val="en-GB"/>
        </w:rPr>
        <w:t>-1</w:t>
      </w:r>
      <w:r w:rsidR="002A403B" w:rsidRPr="004F5432">
        <w:rPr>
          <w:lang w:val="en-GB"/>
        </w:rPr>
        <w:t xml:space="preserve"> resolution and 20 scans per spectrum in transmission mode. The textural properties (specific surface area, micropore volume and average pore width) of carbon materials were determined by gas adsorption/desorption experiments. Nitrogen isotherms (-196 ºC) were collected in a Micrometrics ASAP 2010 after outgassing the sample under vacuum at 150 ºC overnight. Adsorption-desorption and pore size distribution curves were obtained applying the non-local density functional theory (NLDFT).</w:t>
      </w:r>
      <w:r w:rsidR="00435667" w:rsidRPr="004F5432">
        <w:rPr>
          <w:lang w:val="en-GB"/>
        </w:rPr>
        <w:t xml:space="preserve"> </w:t>
      </w:r>
    </w:p>
    <w:p w14:paraId="0340EB66" w14:textId="77777777" w:rsidR="002F66BE" w:rsidRPr="004F5432" w:rsidRDefault="002F66BE" w:rsidP="00242134">
      <w:pPr>
        <w:pStyle w:val="CETBodytext"/>
        <w:rPr>
          <w:lang w:val="en-GB"/>
        </w:rPr>
      </w:pPr>
    </w:p>
    <w:p w14:paraId="562277A5" w14:textId="1A9EA254" w:rsidR="002F66BE" w:rsidRPr="004F5432" w:rsidRDefault="002F66BE" w:rsidP="002F66BE">
      <w:pPr>
        <w:pStyle w:val="CETheadingx"/>
        <w:rPr>
          <w:lang w:val="en-GB"/>
        </w:rPr>
      </w:pPr>
      <w:r w:rsidRPr="004F5432">
        <w:rPr>
          <w:lang w:val="en-GB"/>
        </w:rPr>
        <w:t xml:space="preserve">One and two-step routes definition </w:t>
      </w:r>
    </w:p>
    <w:p w14:paraId="500A9B91" w14:textId="081F3F75" w:rsidR="00E53C9A" w:rsidRPr="004F5432" w:rsidRDefault="003778CC" w:rsidP="006A68C2">
      <w:pPr>
        <w:pStyle w:val="CETBodytext"/>
        <w:rPr>
          <w:lang w:val="en-GB"/>
        </w:rPr>
      </w:pPr>
      <w:r w:rsidRPr="004F5432">
        <w:rPr>
          <w:lang w:val="en-GB"/>
        </w:rPr>
        <w:t xml:space="preserve">Pyrolysis and activation </w:t>
      </w:r>
      <w:r w:rsidR="001E2C57" w:rsidRPr="004F5432">
        <w:rPr>
          <w:lang w:val="en-GB"/>
        </w:rPr>
        <w:t>procedures</w:t>
      </w:r>
      <w:r w:rsidRPr="004F5432">
        <w:rPr>
          <w:lang w:val="en-GB"/>
        </w:rPr>
        <w:t xml:space="preserve"> for the </w:t>
      </w:r>
      <w:r w:rsidR="001E2C57" w:rsidRPr="004F5432">
        <w:rPr>
          <w:lang w:val="en-GB"/>
        </w:rPr>
        <w:t xml:space="preserve">two-step route were done following a previously optimized experimental route (Antxustegi et al., 2022). </w:t>
      </w:r>
      <w:r w:rsidR="006A68C2" w:rsidRPr="004F5432">
        <w:rPr>
          <w:lang w:val="en-GB"/>
        </w:rPr>
        <w:t xml:space="preserve">Experimental conditions of the one-step route were: </w:t>
      </w:r>
      <w:r w:rsidR="0036025C" w:rsidRPr="004F5432">
        <w:rPr>
          <w:lang w:val="en-GB"/>
        </w:rPr>
        <w:t>AP was impregnated with the activation agent (</w:t>
      </w:r>
      <w:r w:rsidR="006A68C2" w:rsidRPr="004F5432">
        <w:rPr>
          <w:lang w:val="en-GB"/>
        </w:rPr>
        <w:t>KOH</w:t>
      </w:r>
      <w:r w:rsidR="0036025C" w:rsidRPr="004F5432">
        <w:rPr>
          <w:lang w:val="en-GB"/>
        </w:rPr>
        <w:t xml:space="preserve">) </w:t>
      </w:r>
      <w:r w:rsidR="006A68C2" w:rsidRPr="004F5432">
        <w:rPr>
          <w:lang w:val="en-GB"/>
        </w:rPr>
        <w:t>in a 1/3 wt. ratio</w:t>
      </w:r>
      <w:r w:rsidR="0036025C" w:rsidRPr="004F5432">
        <w:rPr>
          <w:lang w:val="en-GB"/>
        </w:rPr>
        <w:t>. Then, they were</w:t>
      </w:r>
      <w:r w:rsidR="006A68C2" w:rsidRPr="004F5432">
        <w:rPr>
          <w:lang w:val="en-GB"/>
        </w:rPr>
        <w:t xml:space="preserve"> </w:t>
      </w:r>
      <w:r w:rsidR="0036025C" w:rsidRPr="004F5432">
        <w:rPr>
          <w:lang w:val="en-GB"/>
        </w:rPr>
        <w:t>introduced to the tubular furnace under N</w:t>
      </w:r>
      <w:r w:rsidR="0036025C" w:rsidRPr="004F5432">
        <w:rPr>
          <w:vertAlign w:val="subscript"/>
          <w:lang w:val="en-GB"/>
        </w:rPr>
        <w:t>2</w:t>
      </w:r>
      <w:r w:rsidR="0036025C" w:rsidRPr="004F5432">
        <w:rPr>
          <w:lang w:val="en-GB"/>
        </w:rPr>
        <w:t xml:space="preserve"> atmosphere (20L/min continuous flow), </w:t>
      </w:r>
      <w:r w:rsidR="006A68C2" w:rsidRPr="004F5432">
        <w:rPr>
          <w:lang w:val="en-GB"/>
        </w:rPr>
        <w:t xml:space="preserve">at a heating rate of 20K/min </w:t>
      </w:r>
      <w:r w:rsidR="00E53C9A" w:rsidRPr="004F5432">
        <w:rPr>
          <w:lang w:val="en-GB"/>
        </w:rPr>
        <w:t xml:space="preserve">up </w:t>
      </w:r>
      <w:r w:rsidR="006A68C2" w:rsidRPr="004F5432">
        <w:rPr>
          <w:lang w:val="en-GB"/>
        </w:rPr>
        <w:t>to 900ºC</w:t>
      </w:r>
      <w:r w:rsidR="00E83A94" w:rsidRPr="004F5432">
        <w:rPr>
          <w:lang w:val="en-GB"/>
        </w:rPr>
        <w:t>, reaction time at 900ºC:</w:t>
      </w:r>
      <w:r w:rsidR="00317C48" w:rsidRPr="004F5432">
        <w:rPr>
          <w:lang w:val="en-GB"/>
        </w:rPr>
        <w:t xml:space="preserve"> 2</w:t>
      </w:r>
      <w:r w:rsidR="00E83A94" w:rsidRPr="004F5432">
        <w:rPr>
          <w:lang w:val="en-GB"/>
        </w:rPr>
        <w:t xml:space="preserve"> h</w:t>
      </w:r>
      <w:r w:rsidR="00BA3600" w:rsidRPr="004F5432">
        <w:rPr>
          <w:lang w:val="en-GB"/>
        </w:rPr>
        <w:t>.</w:t>
      </w:r>
      <w:r w:rsidR="007355D6" w:rsidRPr="004F5432">
        <w:rPr>
          <w:lang w:val="en-GB"/>
        </w:rPr>
        <w:t xml:space="preserve"> Samples were subsequently washed using the same method and the 2 step samples</w:t>
      </w:r>
      <w:r w:rsidR="00D612BE" w:rsidRPr="004F5432">
        <w:rPr>
          <w:lang w:val="en-GB"/>
        </w:rPr>
        <w:t xml:space="preserve"> (Antxustegi et al., 2022)</w:t>
      </w:r>
      <w:r w:rsidR="007355D6" w:rsidRPr="004F5432">
        <w:rPr>
          <w:lang w:val="en-GB"/>
        </w:rPr>
        <w:t>.</w:t>
      </w:r>
    </w:p>
    <w:p w14:paraId="510CA005" w14:textId="77777777" w:rsidR="0004787B" w:rsidRPr="004F5432" w:rsidRDefault="0004787B" w:rsidP="0004787B">
      <w:pPr>
        <w:rPr>
          <w:rFonts w:cs="Arial"/>
        </w:rPr>
      </w:pPr>
    </w:p>
    <w:p w14:paraId="5A4EA1CD" w14:textId="3FE85C87" w:rsidR="00BA3600" w:rsidRPr="004F5432" w:rsidRDefault="00BA3600" w:rsidP="00BA3600">
      <w:pPr>
        <w:pStyle w:val="CETheadingx"/>
        <w:rPr>
          <w:lang w:val="en-GB"/>
        </w:rPr>
      </w:pPr>
      <w:r w:rsidRPr="004F5432">
        <w:rPr>
          <w:lang w:val="en-GB"/>
        </w:rPr>
        <w:t xml:space="preserve">Adsorption experiments  </w:t>
      </w:r>
    </w:p>
    <w:p w14:paraId="7DC5F8EB" w14:textId="664C24A9" w:rsidR="004F5F06" w:rsidRPr="004F5432" w:rsidRDefault="00F91CC2" w:rsidP="00F91CC2">
      <w:pPr>
        <w:pStyle w:val="CETBodytext"/>
        <w:rPr>
          <w:lang w:val="en-GB"/>
        </w:rPr>
      </w:pPr>
      <w:r w:rsidRPr="004F5432">
        <w:rPr>
          <w:lang w:val="en-GB"/>
        </w:rPr>
        <w:t xml:space="preserve">Adsorption tests were carried </w:t>
      </w:r>
      <w:r w:rsidR="004F5F06" w:rsidRPr="004F5432">
        <w:rPr>
          <w:lang w:val="en-GB"/>
        </w:rPr>
        <w:t>following an optimized experimental procedure (</w:t>
      </w:r>
      <w:r w:rsidR="00DA42D4" w:rsidRPr="004F5432">
        <w:rPr>
          <w:lang w:val="en-GB"/>
        </w:rPr>
        <w:t xml:space="preserve">Martelo et al., 2022). </w:t>
      </w:r>
    </w:p>
    <w:p w14:paraId="63B823C8" w14:textId="77777777" w:rsidR="000D3C09" w:rsidRPr="004F5432" w:rsidRDefault="000D3C09" w:rsidP="000D3C09">
      <w:pPr>
        <w:pStyle w:val="CETHeading1"/>
        <w:rPr>
          <w:lang w:val="en-GB"/>
        </w:rPr>
      </w:pPr>
      <w:r w:rsidRPr="004F5432">
        <w:rPr>
          <w:lang w:val="en-GB"/>
        </w:rPr>
        <w:t>Results</w:t>
      </w:r>
    </w:p>
    <w:p w14:paraId="120053A6" w14:textId="39C0A621" w:rsidR="00F83A6D" w:rsidRPr="004F5432" w:rsidRDefault="00652BA4" w:rsidP="00494633">
      <w:pPr>
        <w:pStyle w:val="Sinespaciado"/>
      </w:pPr>
      <w:r w:rsidRPr="004F5432">
        <w:t>Table 1 presents the results in terms of proximate and ultimate analyses</w:t>
      </w:r>
      <w:r w:rsidR="002140F1" w:rsidRPr="004F5432">
        <w:t xml:space="preserve"> </w:t>
      </w:r>
      <w:r w:rsidRPr="004F5432">
        <w:t xml:space="preserve">of samples. </w:t>
      </w:r>
      <w:r w:rsidR="00F83A6D" w:rsidRPr="004F5432">
        <w:t>O/C index</w:t>
      </w:r>
      <w:r w:rsidR="00726DFA" w:rsidRPr="004F5432">
        <w:t>es for</w:t>
      </w:r>
      <w:r w:rsidR="00F83A6D" w:rsidRPr="004F5432">
        <w:t xml:space="preserve"> </w:t>
      </w:r>
      <w:r w:rsidR="00753DD4" w:rsidRPr="004F5432">
        <w:t xml:space="preserve">APBC-1S </w:t>
      </w:r>
      <w:r w:rsidR="00575EED" w:rsidRPr="004F5432">
        <w:t xml:space="preserve">and APBC-2S were </w:t>
      </w:r>
      <w:r w:rsidR="00DA024E" w:rsidRPr="004F5432">
        <w:t>0.17</w:t>
      </w:r>
      <w:r w:rsidR="00575EED" w:rsidRPr="004F5432">
        <w:t xml:space="preserve"> and </w:t>
      </w:r>
      <w:r w:rsidR="008E40AC" w:rsidRPr="004F5432">
        <w:t>0.33</w:t>
      </w:r>
      <w:r w:rsidR="00575EED" w:rsidRPr="004F5432">
        <w:t xml:space="preserve">. </w:t>
      </w:r>
      <w:r w:rsidR="00F83A6D" w:rsidRPr="004F5432">
        <w:t xml:space="preserve">O/C index </w:t>
      </w:r>
      <w:r w:rsidR="00D612BE" w:rsidRPr="004F5432">
        <w:t>is</w:t>
      </w:r>
      <w:r w:rsidR="00F83A6D" w:rsidRPr="004F5432">
        <w:t xml:space="preserve"> typically calculated as an indirect measurement of aromaticity because the </w:t>
      </w:r>
      <w:r w:rsidR="00677841">
        <w:t xml:space="preserve">sample’s carbon </w:t>
      </w:r>
      <w:r w:rsidR="00AB621E" w:rsidRPr="004F5432">
        <w:t>percentage</w:t>
      </w:r>
      <w:r w:rsidR="00D153DA" w:rsidRPr="004F5432">
        <w:t xml:space="preserve"> </w:t>
      </w:r>
      <w:r w:rsidR="00F83A6D" w:rsidRPr="004F5432">
        <w:t>increases as the thermochemical treatment goes by due to dehydration and depolymerization reactions as well as volatilization, eventually leading to the formation of H and O depleted aromatic C structures (Wang et al., 2013).</w:t>
      </w:r>
      <w:r w:rsidR="00064B29" w:rsidRPr="004F5432">
        <w:t xml:space="preserve"> </w:t>
      </w:r>
      <w:r w:rsidR="002C06F7" w:rsidRPr="004F5432">
        <w:t xml:space="preserve">Thus, </w:t>
      </w:r>
      <w:r w:rsidR="00186F6E" w:rsidRPr="004F5432">
        <w:t xml:space="preserve">the one-step route leaded to biochar samples with higher percentages of carbon, as the </w:t>
      </w:r>
      <w:r w:rsidR="004B4700" w:rsidRPr="004F5432">
        <w:t xml:space="preserve">total thermochemical treatment was considerable shorter than the </w:t>
      </w:r>
      <w:r w:rsidR="00006210" w:rsidRPr="004F5432">
        <w:t>one of the 2-step route</w:t>
      </w:r>
      <w:r w:rsidR="006E57A0" w:rsidRPr="004F5432">
        <w:t>. The proportion of aromatic rings</w:t>
      </w:r>
      <w:r w:rsidR="00FE2DB4" w:rsidRPr="004F5432">
        <w:t xml:space="preserve"> increases with temperature and </w:t>
      </w:r>
      <w:r w:rsidR="006616E4" w:rsidRPr="004F5432">
        <w:t xml:space="preserve">residence time at the highest temperature. </w:t>
      </w:r>
      <w:r w:rsidR="006869A0" w:rsidRPr="004F5432">
        <w:t xml:space="preserve">In fact, the longer residence times of </w:t>
      </w:r>
      <w:r w:rsidR="00FD135D" w:rsidRPr="004F5432">
        <w:t xml:space="preserve">the </w:t>
      </w:r>
      <w:r w:rsidR="006869A0" w:rsidRPr="004F5432">
        <w:t xml:space="preserve">pyrolysis </w:t>
      </w:r>
      <w:r w:rsidR="00FD135D" w:rsidRPr="004F5432">
        <w:t>process the higher carbon percentage as char</w:t>
      </w:r>
      <w:r w:rsidR="00B54E58" w:rsidRPr="004F5432">
        <w:t xml:space="preserve"> in the samples </w:t>
      </w:r>
      <w:r w:rsidR="006869A0" w:rsidRPr="004F5432">
        <w:t xml:space="preserve">at the same </w:t>
      </w:r>
      <w:r w:rsidR="00B54E58" w:rsidRPr="004F5432">
        <w:t xml:space="preserve">heating temperature. </w:t>
      </w:r>
      <w:r w:rsidR="006616E4" w:rsidRPr="004F5432">
        <w:t>Furthermore</w:t>
      </w:r>
      <w:r w:rsidR="005E2187" w:rsidRPr="004F5432">
        <w:t xml:space="preserve">, H is also lost during condensation of </w:t>
      </w:r>
      <w:r w:rsidR="005E2187" w:rsidRPr="004F5432">
        <w:lastRenderedPageBreak/>
        <w:t>aromatic structures at high</w:t>
      </w:r>
      <w:r w:rsidR="00481F89" w:rsidRPr="004F5432">
        <w:t xml:space="preserve"> temperature</w:t>
      </w:r>
      <w:r w:rsidR="00477868" w:rsidRPr="004F5432">
        <w:t>s</w:t>
      </w:r>
      <w:r w:rsidR="00523C22" w:rsidRPr="004F5432">
        <w:t xml:space="preserve"> so, </w:t>
      </w:r>
      <w:r w:rsidR="00481F89" w:rsidRPr="004F5432">
        <w:t>H</w:t>
      </w:r>
      <w:r w:rsidR="00523C22" w:rsidRPr="004F5432">
        <w:t>/</w:t>
      </w:r>
      <w:r w:rsidR="00481F89" w:rsidRPr="004F5432">
        <w:t>C</w:t>
      </w:r>
      <w:r w:rsidR="00523C22" w:rsidRPr="004F5432">
        <w:t xml:space="preserve"> </w:t>
      </w:r>
      <w:r w:rsidR="00481F89" w:rsidRPr="004F5432">
        <w:t xml:space="preserve">index </w:t>
      </w:r>
      <w:r w:rsidR="00523C22" w:rsidRPr="004F5432">
        <w:t xml:space="preserve">values </w:t>
      </w:r>
      <w:r w:rsidR="00481F89" w:rsidRPr="004F5432">
        <w:t xml:space="preserve">probably indicates both an increasing </w:t>
      </w:r>
      <w:r w:rsidR="00C236C3" w:rsidRPr="004F5432">
        <w:t>number</w:t>
      </w:r>
      <w:r w:rsidR="00481F89" w:rsidRPr="004F5432">
        <w:t xml:space="preserve"> of aromatic rings</w:t>
      </w:r>
      <w:r w:rsidR="006520BC" w:rsidRPr="004F5432">
        <w:t xml:space="preserve"> </w:t>
      </w:r>
      <w:r w:rsidR="00481F89" w:rsidRPr="004F5432">
        <w:t xml:space="preserve">and </w:t>
      </w:r>
      <w:r w:rsidR="006520BC" w:rsidRPr="004F5432">
        <w:t>an</w:t>
      </w:r>
      <w:r w:rsidR="00481F89" w:rsidRPr="004F5432">
        <w:t xml:space="preserve"> increasingly condensed nature of the aromatic rings</w:t>
      </w:r>
      <w:r w:rsidR="004E3B7E" w:rsidRPr="004F5432">
        <w:t xml:space="preserve"> (Wiedemeier et al., 2015)</w:t>
      </w:r>
      <w:r w:rsidR="006520BC" w:rsidRPr="004F5432">
        <w:t>.</w:t>
      </w:r>
    </w:p>
    <w:p w14:paraId="55905232" w14:textId="3E81AF61" w:rsidR="002140F1" w:rsidRPr="004F5432" w:rsidRDefault="002140F1" w:rsidP="003E5431">
      <w:pPr>
        <w:pStyle w:val="Sinespaciado"/>
      </w:pPr>
      <w:r w:rsidRPr="004F5432">
        <w:t>Table 1: Proximate and ultimate analys</w:t>
      </w:r>
      <w:r w:rsidR="003631BD" w:rsidRPr="004F5432">
        <w:t>i</w:t>
      </w:r>
      <w:r w:rsidRPr="004F5432">
        <w:t xml:space="preserve">s, (dry basis, wt. %) of apple tree pruning (AP) and the obtained </w:t>
      </w:r>
      <w:r w:rsidR="00354F23" w:rsidRPr="004F5432">
        <w:t xml:space="preserve">activated </w:t>
      </w:r>
      <w:r w:rsidRPr="004F5432">
        <w:t>bio-chars from one (A</w:t>
      </w:r>
      <w:r w:rsidR="00354F23" w:rsidRPr="004F5432">
        <w:t>P</w:t>
      </w:r>
      <w:r w:rsidRPr="004F5432">
        <w:t>BC-1S) and two-step (A</w:t>
      </w:r>
      <w:r w:rsidR="00354F23" w:rsidRPr="004F5432">
        <w:t>P</w:t>
      </w:r>
      <w:r w:rsidRPr="004F5432">
        <w:t xml:space="preserve">BC-2S) routes.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843"/>
        <w:gridCol w:w="851"/>
        <w:gridCol w:w="992"/>
        <w:gridCol w:w="992"/>
      </w:tblGrid>
      <w:tr w:rsidR="002140F1" w:rsidRPr="004F5432" w14:paraId="4F983FAE" w14:textId="77777777" w:rsidTr="00354F23">
        <w:tc>
          <w:tcPr>
            <w:tcW w:w="3686" w:type="dxa"/>
            <w:gridSpan w:val="2"/>
            <w:tcBorders>
              <w:top w:val="single" w:sz="12" w:space="0" w:color="008000"/>
              <w:bottom w:val="single" w:sz="4" w:space="0" w:color="008000"/>
            </w:tcBorders>
            <w:shd w:val="clear" w:color="auto" w:fill="FFFFFF"/>
          </w:tcPr>
          <w:p w14:paraId="1CAE230E" w14:textId="77777777" w:rsidR="002140F1" w:rsidRPr="004F5432" w:rsidRDefault="002140F1" w:rsidP="00DC0533">
            <w:pPr>
              <w:pStyle w:val="CETBodytext"/>
              <w:rPr>
                <w:lang w:val="en-GB"/>
              </w:rPr>
            </w:pPr>
            <w:bookmarkStart w:id="0" w:name="_Hlk153989367"/>
            <w:r w:rsidRPr="004F5432">
              <w:rPr>
                <w:lang w:val="en-GB"/>
              </w:rPr>
              <w:t>Parameter</w:t>
            </w:r>
          </w:p>
        </w:tc>
        <w:tc>
          <w:tcPr>
            <w:tcW w:w="851" w:type="dxa"/>
            <w:tcBorders>
              <w:top w:val="single" w:sz="12" w:space="0" w:color="008000"/>
              <w:bottom w:val="single" w:sz="4" w:space="0" w:color="008000"/>
            </w:tcBorders>
            <w:shd w:val="clear" w:color="auto" w:fill="FFFFFF"/>
          </w:tcPr>
          <w:p w14:paraId="5F839039" w14:textId="678D9BD6" w:rsidR="002140F1" w:rsidRPr="004F5432" w:rsidRDefault="002140F1" w:rsidP="00DC0533">
            <w:pPr>
              <w:pStyle w:val="CETBodytext"/>
              <w:rPr>
                <w:lang w:val="en-GB"/>
              </w:rPr>
            </w:pPr>
            <w:r w:rsidRPr="004F5432">
              <w:rPr>
                <w:lang w:val="en-GB"/>
              </w:rPr>
              <w:t>A</w:t>
            </w:r>
            <w:r w:rsidR="00D55FBC" w:rsidRPr="004F5432">
              <w:rPr>
                <w:lang w:val="en-GB"/>
              </w:rPr>
              <w:t>P</w:t>
            </w:r>
          </w:p>
        </w:tc>
        <w:tc>
          <w:tcPr>
            <w:tcW w:w="992" w:type="dxa"/>
            <w:tcBorders>
              <w:top w:val="single" w:sz="12" w:space="0" w:color="008000"/>
              <w:bottom w:val="single" w:sz="4" w:space="0" w:color="008000"/>
            </w:tcBorders>
            <w:shd w:val="clear" w:color="auto" w:fill="FFFFFF"/>
          </w:tcPr>
          <w:p w14:paraId="5540C721" w14:textId="496520E8" w:rsidR="002140F1" w:rsidRPr="004F5432" w:rsidRDefault="002140F1" w:rsidP="00DC0533">
            <w:pPr>
              <w:pStyle w:val="CETBodytext"/>
              <w:rPr>
                <w:lang w:val="en-GB"/>
              </w:rPr>
            </w:pPr>
            <w:r w:rsidRPr="004F5432">
              <w:rPr>
                <w:lang w:val="en-GB"/>
              </w:rPr>
              <w:t>A</w:t>
            </w:r>
            <w:r w:rsidR="00354F23" w:rsidRPr="004F5432">
              <w:rPr>
                <w:lang w:val="en-GB"/>
              </w:rPr>
              <w:t>P</w:t>
            </w:r>
            <w:r w:rsidRPr="004F5432">
              <w:rPr>
                <w:lang w:val="en-GB"/>
              </w:rPr>
              <w:t>BC-1S</w:t>
            </w:r>
          </w:p>
        </w:tc>
        <w:tc>
          <w:tcPr>
            <w:tcW w:w="992" w:type="dxa"/>
            <w:tcBorders>
              <w:top w:val="single" w:sz="12" w:space="0" w:color="008000"/>
              <w:bottom w:val="single" w:sz="4" w:space="0" w:color="008000"/>
            </w:tcBorders>
            <w:shd w:val="clear" w:color="auto" w:fill="FFFFFF"/>
          </w:tcPr>
          <w:p w14:paraId="31241076" w14:textId="47AC3DF8" w:rsidR="002140F1" w:rsidRPr="004F5432" w:rsidRDefault="002140F1" w:rsidP="00DC0533">
            <w:pPr>
              <w:pStyle w:val="CETBodytext"/>
              <w:rPr>
                <w:lang w:val="en-GB"/>
              </w:rPr>
            </w:pPr>
            <w:r w:rsidRPr="004F5432">
              <w:rPr>
                <w:lang w:val="en-GB"/>
              </w:rPr>
              <w:t>A</w:t>
            </w:r>
            <w:r w:rsidR="00354F23" w:rsidRPr="004F5432">
              <w:rPr>
                <w:lang w:val="en-GB"/>
              </w:rPr>
              <w:t>P</w:t>
            </w:r>
            <w:r w:rsidRPr="004F5432">
              <w:rPr>
                <w:lang w:val="en-GB"/>
              </w:rPr>
              <w:t>BC-2S</w:t>
            </w:r>
          </w:p>
        </w:tc>
      </w:tr>
      <w:tr w:rsidR="002140F1" w:rsidRPr="004F5432" w14:paraId="006C75F0" w14:textId="77777777" w:rsidTr="00127D48">
        <w:tc>
          <w:tcPr>
            <w:tcW w:w="1843" w:type="dxa"/>
            <w:vMerge w:val="restart"/>
            <w:tcBorders>
              <w:top w:val="single" w:sz="4" w:space="0" w:color="008000"/>
              <w:bottom w:val="nil"/>
            </w:tcBorders>
            <w:shd w:val="clear" w:color="auto" w:fill="FFFFFF"/>
          </w:tcPr>
          <w:p w14:paraId="1ECFD49F" w14:textId="77777777" w:rsidR="002140F1" w:rsidRPr="004F5432" w:rsidRDefault="002140F1" w:rsidP="00DC0533">
            <w:pPr>
              <w:pStyle w:val="CETBodytext"/>
              <w:rPr>
                <w:rFonts w:cs="Arial"/>
                <w:color w:val="000000"/>
                <w:szCs w:val="18"/>
                <w:lang w:val="en-GB"/>
              </w:rPr>
            </w:pPr>
          </w:p>
          <w:p w14:paraId="261CAC82" w14:textId="77777777" w:rsidR="002140F1" w:rsidRPr="004F5432" w:rsidRDefault="002140F1" w:rsidP="00DC0533">
            <w:pPr>
              <w:pStyle w:val="CETBodytext"/>
              <w:rPr>
                <w:rFonts w:cs="Arial"/>
                <w:color w:val="000000"/>
                <w:szCs w:val="18"/>
                <w:lang w:val="en-GB"/>
              </w:rPr>
            </w:pPr>
            <w:r w:rsidRPr="004F5432">
              <w:rPr>
                <w:rFonts w:cs="Arial"/>
                <w:color w:val="000000"/>
                <w:szCs w:val="18"/>
                <w:lang w:val="en-GB"/>
              </w:rPr>
              <w:t>Proximate analysis</w:t>
            </w:r>
          </w:p>
          <w:p w14:paraId="3512BB6A" w14:textId="77777777" w:rsidR="002140F1" w:rsidRPr="004F5432" w:rsidRDefault="002140F1" w:rsidP="00DC0533">
            <w:pPr>
              <w:pStyle w:val="CETBodytext"/>
              <w:rPr>
                <w:rFonts w:cs="Arial"/>
                <w:color w:val="000000"/>
                <w:szCs w:val="18"/>
                <w:lang w:val="en-GB"/>
              </w:rPr>
            </w:pPr>
            <w:r w:rsidRPr="004F5432">
              <w:rPr>
                <w:rFonts w:cs="Arial"/>
                <w:lang w:val="en-GB"/>
              </w:rPr>
              <w:t>(wt.%)</w:t>
            </w:r>
          </w:p>
        </w:tc>
        <w:tc>
          <w:tcPr>
            <w:tcW w:w="1843" w:type="dxa"/>
            <w:tcBorders>
              <w:top w:val="single" w:sz="4" w:space="0" w:color="008000"/>
              <w:bottom w:val="nil"/>
            </w:tcBorders>
            <w:shd w:val="clear" w:color="auto" w:fill="FFFFFF"/>
            <w:vAlign w:val="center"/>
          </w:tcPr>
          <w:p w14:paraId="2AAC9039" w14:textId="77777777" w:rsidR="002140F1" w:rsidRPr="004F5432" w:rsidRDefault="002140F1" w:rsidP="00DC0533">
            <w:pPr>
              <w:pStyle w:val="CETBodytext"/>
              <w:rPr>
                <w:rFonts w:cs="Arial"/>
                <w:color w:val="000000"/>
                <w:szCs w:val="18"/>
                <w:lang w:val="en-GB"/>
              </w:rPr>
            </w:pPr>
            <w:r w:rsidRPr="004F5432">
              <w:rPr>
                <w:rFonts w:cs="Arial"/>
                <w:color w:val="000000"/>
                <w:szCs w:val="18"/>
                <w:lang w:val="en-GB"/>
              </w:rPr>
              <w:t>Fixed carbon (%)</w:t>
            </w:r>
          </w:p>
        </w:tc>
        <w:tc>
          <w:tcPr>
            <w:tcW w:w="851" w:type="dxa"/>
            <w:tcBorders>
              <w:top w:val="single" w:sz="4" w:space="0" w:color="008000"/>
              <w:bottom w:val="nil"/>
            </w:tcBorders>
            <w:shd w:val="clear" w:color="auto" w:fill="FFFFFF"/>
            <w:vAlign w:val="center"/>
          </w:tcPr>
          <w:p w14:paraId="3925B5D2" w14:textId="77777777" w:rsidR="002140F1" w:rsidRPr="004F5432" w:rsidRDefault="002140F1" w:rsidP="00DC0533">
            <w:pPr>
              <w:pStyle w:val="CETBodytext"/>
              <w:rPr>
                <w:lang w:val="en-GB"/>
              </w:rPr>
            </w:pPr>
            <w:r w:rsidRPr="004F5432">
              <w:rPr>
                <w:lang w:val="en-GB"/>
              </w:rPr>
              <w:t>14.86</w:t>
            </w:r>
          </w:p>
        </w:tc>
        <w:tc>
          <w:tcPr>
            <w:tcW w:w="992" w:type="dxa"/>
            <w:tcBorders>
              <w:top w:val="single" w:sz="4" w:space="0" w:color="008000"/>
              <w:bottom w:val="nil"/>
            </w:tcBorders>
            <w:shd w:val="clear" w:color="auto" w:fill="FFFFFF"/>
            <w:vAlign w:val="center"/>
          </w:tcPr>
          <w:p w14:paraId="76BD0E54" w14:textId="215B02A7" w:rsidR="002140F1" w:rsidRPr="004F5432" w:rsidRDefault="00CC53E4" w:rsidP="000414E7">
            <w:pPr>
              <w:pStyle w:val="CETBodytext"/>
              <w:jc w:val="center"/>
              <w:rPr>
                <w:rFonts w:cs="Arial"/>
                <w:color w:val="000000"/>
                <w:szCs w:val="18"/>
                <w:lang w:val="en-GB"/>
              </w:rPr>
            </w:pPr>
            <w:r w:rsidRPr="004F5432">
              <w:rPr>
                <w:rFonts w:cs="Arial"/>
                <w:color w:val="000000"/>
                <w:szCs w:val="18"/>
                <w:lang w:val="en-GB"/>
              </w:rPr>
              <w:t>-</w:t>
            </w:r>
          </w:p>
        </w:tc>
        <w:tc>
          <w:tcPr>
            <w:tcW w:w="992" w:type="dxa"/>
            <w:tcBorders>
              <w:top w:val="single" w:sz="4" w:space="0" w:color="008000"/>
              <w:bottom w:val="nil"/>
            </w:tcBorders>
            <w:shd w:val="clear" w:color="auto" w:fill="FFFFFF"/>
          </w:tcPr>
          <w:p w14:paraId="4DDBB2F0" w14:textId="282B54A5" w:rsidR="002140F1" w:rsidRPr="004F5432" w:rsidRDefault="00CC53E4" w:rsidP="000414E7">
            <w:pPr>
              <w:pStyle w:val="CETBodytext"/>
              <w:jc w:val="center"/>
              <w:rPr>
                <w:rFonts w:cs="Arial"/>
                <w:color w:val="000000"/>
                <w:szCs w:val="18"/>
                <w:lang w:val="en-GB"/>
              </w:rPr>
            </w:pPr>
            <w:r w:rsidRPr="004F5432">
              <w:rPr>
                <w:rFonts w:cs="Arial"/>
                <w:color w:val="000000"/>
                <w:szCs w:val="18"/>
                <w:lang w:val="en-GB"/>
              </w:rPr>
              <w:t>-</w:t>
            </w:r>
          </w:p>
        </w:tc>
      </w:tr>
      <w:tr w:rsidR="002140F1" w:rsidRPr="004F5432" w14:paraId="201CA074" w14:textId="77777777" w:rsidTr="00127D48">
        <w:tc>
          <w:tcPr>
            <w:tcW w:w="1843" w:type="dxa"/>
            <w:vMerge/>
            <w:tcBorders>
              <w:top w:val="nil"/>
              <w:bottom w:val="nil"/>
            </w:tcBorders>
            <w:shd w:val="clear" w:color="auto" w:fill="FFFFFF"/>
          </w:tcPr>
          <w:p w14:paraId="5BF51602" w14:textId="77777777" w:rsidR="002140F1" w:rsidRPr="004F5432" w:rsidRDefault="002140F1" w:rsidP="00DC0533">
            <w:pPr>
              <w:pStyle w:val="CETBodytext"/>
              <w:rPr>
                <w:rFonts w:cs="Arial"/>
                <w:color w:val="000000"/>
                <w:szCs w:val="18"/>
                <w:lang w:val="en-GB"/>
              </w:rPr>
            </w:pPr>
          </w:p>
        </w:tc>
        <w:tc>
          <w:tcPr>
            <w:tcW w:w="1843" w:type="dxa"/>
            <w:tcBorders>
              <w:top w:val="nil"/>
              <w:bottom w:val="nil"/>
            </w:tcBorders>
            <w:shd w:val="clear" w:color="auto" w:fill="FFFFFF"/>
            <w:vAlign w:val="center"/>
          </w:tcPr>
          <w:p w14:paraId="645A2FCE" w14:textId="77777777" w:rsidR="002140F1" w:rsidRPr="004F5432" w:rsidRDefault="002140F1" w:rsidP="00DC0533">
            <w:pPr>
              <w:pStyle w:val="CETBodytext"/>
              <w:rPr>
                <w:lang w:val="en-GB"/>
              </w:rPr>
            </w:pPr>
            <w:r w:rsidRPr="004F5432">
              <w:rPr>
                <w:rFonts w:cs="Arial"/>
                <w:color w:val="000000"/>
                <w:szCs w:val="18"/>
                <w:lang w:val="en-GB"/>
              </w:rPr>
              <w:t>Volatile matter (%)</w:t>
            </w:r>
          </w:p>
        </w:tc>
        <w:tc>
          <w:tcPr>
            <w:tcW w:w="851" w:type="dxa"/>
            <w:tcBorders>
              <w:top w:val="nil"/>
              <w:bottom w:val="nil"/>
            </w:tcBorders>
            <w:shd w:val="clear" w:color="auto" w:fill="FFFFFF"/>
            <w:vAlign w:val="center"/>
          </w:tcPr>
          <w:p w14:paraId="72E8D869" w14:textId="77777777" w:rsidR="002140F1" w:rsidRPr="004F5432" w:rsidRDefault="002140F1" w:rsidP="00DC0533">
            <w:pPr>
              <w:pStyle w:val="CETBodytext"/>
              <w:rPr>
                <w:lang w:val="en-GB"/>
              </w:rPr>
            </w:pPr>
            <w:r w:rsidRPr="004F5432">
              <w:rPr>
                <w:lang w:val="en-GB"/>
              </w:rPr>
              <w:t>79.69</w:t>
            </w:r>
          </w:p>
        </w:tc>
        <w:tc>
          <w:tcPr>
            <w:tcW w:w="992" w:type="dxa"/>
            <w:tcBorders>
              <w:top w:val="nil"/>
              <w:bottom w:val="nil"/>
            </w:tcBorders>
            <w:shd w:val="clear" w:color="auto" w:fill="FFFFFF"/>
            <w:vAlign w:val="center"/>
          </w:tcPr>
          <w:p w14:paraId="69C32788" w14:textId="10E2A44E" w:rsidR="002140F1" w:rsidRPr="004F5432" w:rsidRDefault="000C64EB" w:rsidP="000414E7">
            <w:pPr>
              <w:pStyle w:val="CETBodytext"/>
              <w:jc w:val="center"/>
              <w:rPr>
                <w:lang w:val="en-GB"/>
              </w:rPr>
            </w:pPr>
            <w:r w:rsidRPr="004F5432">
              <w:rPr>
                <w:lang w:val="en-GB"/>
              </w:rPr>
              <w:t>-</w:t>
            </w:r>
          </w:p>
        </w:tc>
        <w:tc>
          <w:tcPr>
            <w:tcW w:w="992" w:type="dxa"/>
            <w:tcBorders>
              <w:top w:val="nil"/>
              <w:bottom w:val="nil"/>
            </w:tcBorders>
            <w:shd w:val="clear" w:color="auto" w:fill="FFFFFF"/>
          </w:tcPr>
          <w:p w14:paraId="7ED0821D" w14:textId="61C606CC" w:rsidR="002140F1" w:rsidRPr="004F5432" w:rsidRDefault="000C64EB" w:rsidP="000414E7">
            <w:pPr>
              <w:pStyle w:val="CETBodytext"/>
              <w:jc w:val="center"/>
              <w:rPr>
                <w:rFonts w:cs="Arial"/>
                <w:color w:val="000000"/>
                <w:szCs w:val="18"/>
                <w:lang w:val="en-GB"/>
              </w:rPr>
            </w:pPr>
            <w:r w:rsidRPr="004F5432">
              <w:rPr>
                <w:rFonts w:cs="Arial"/>
                <w:color w:val="000000"/>
                <w:szCs w:val="18"/>
                <w:lang w:val="en-GB"/>
              </w:rPr>
              <w:t>-</w:t>
            </w:r>
          </w:p>
        </w:tc>
      </w:tr>
      <w:tr w:rsidR="002140F1" w:rsidRPr="004F5432" w14:paraId="6AA9CEC7" w14:textId="77777777" w:rsidTr="00127D48">
        <w:tc>
          <w:tcPr>
            <w:tcW w:w="1843" w:type="dxa"/>
            <w:vMerge/>
            <w:tcBorders>
              <w:top w:val="nil"/>
              <w:bottom w:val="nil"/>
            </w:tcBorders>
            <w:shd w:val="clear" w:color="auto" w:fill="FFFFFF"/>
          </w:tcPr>
          <w:p w14:paraId="054436D2" w14:textId="77777777" w:rsidR="002140F1" w:rsidRPr="004F5432" w:rsidRDefault="002140F1" w:rsidP="00DC0533">
            <w:pPr>
              <w:pStyle w:val="CETBodytext"/>
              <w:ind w:right="-1"/>
              <w:rPr>
                <w:rFonts w:cs="Arial"/>
                <w:color w:val="000000"/>
                <w:szCs w:val="18"/>
                <w:lang w:val="en-GB"/>
              </w:rPr>
            </w:pPr>
          </w:p>
        </w:tc>
        <w:tc>
          <w:tcPr>
            <w:tcW w:w="1843" w:type="dxa"/>
            <w:tcBorders>
              <w:top w:val="nil"/>
              <w:bottom w:val="nil"/>
            </w:tcBorders>
            <w:shd w:val="clear" w:color="auto" w:fill="FFFFFF"/>
            <w:vAlign w:val="center"/>
          </w:tcPr>
          <w:p w14:paraId="24F7BE01" w14:textId="77777777" w:rsidR="002140F1" w:rsidRPr="004F5432" w:rsidRDefault="002140F1" w:rsidP="00DC0533">
            <w:pPr>
              <w:pStyle w:val="CETBodytext"/>
              <w:ind w:right="-1"/>
              <w:rPr>
                <w:rFonts w:cs="Arial"/>
                <w:szCs w:val="18"/>
                <w:lang w:val="en-GB"/>
              </w:rPr>
            </w:pPr>
            <w:r w:rsidRPr="004F5432">
              <w:rPr>
                <w:rFonts w:cs="Arial"/>
                <w:color w:val="000000"/>
                <w:szCs w:val="18"/>
                <w:lang w:val="en-GB"/>
              </w:rPr>
              <w:t>Inorganic matter (%)</w:t>
            </w:r>
          </w:p>
        </w:tc>
        <w:tc>
          <w:tcPr>
            <w:tcW w:w="851" w:type="dxa"/>
            <w:tcBorders>
              <w:top w:val="nil"/>
              <w:bottom w:val="nil"/>
            </w:tcBorders>
            <w:shd w:val="clear" w:color="auto" w:fill="FFFFFF"/>
            <w:vAlign w:val="center"/>
          </w:tcPr>
          <w:p w14:paraId="4F40EA2E" w14:textId="77777777" w:rsidR="002140F1" w:rsidRPr="004F5432" w:rsidRDefault="002140F1" w:rsidP="00DC0533">
            <w:pPr>
              <w:pStyle w:val="CETBodytext"/>
              <w:ind w:right="-1"/>
              <w:rPr>
                <w:rFonts w:cs="Arial"/>
                <w:szCs w:val="18"/>
                <w:lang w:val="en-GB"/>
              </w:rPr>
            </w:pPr>
            <w:r w:rsidRPr="004F5432">
              <w:rPr>
                <w:lang w:val="en-GB"/>
              </w:rPr>
              <w:t>5.45</w:t>
            </w:r>
          </w:p>
        </w:tc>
        <w:tc>
          <w:tcPr>
            <w:tcW w:w="992" w:type="dxa"/>
            <w:tcBorders>
              <w:top w:val="nil"/>
              <w:bottom w:val="nil"/>
            </w:tcBorders>
            <w:shd w:val="clear" w:color="auto" w:fill="FFFFFF"/>
            <w:vAlign w:val="center"/>
          </w:tcPr>
          <w:p w14:paraId="0864BAEF" w14:textId="3B8189CC" w:rsidR="002140F1" w:rsidRPr="004F5432" w:rsidRDefault="00CC53E4" w:rsidP="000414E7">
            <w:pPr>
              <w:pStyle w:val="CETBodytext"/>
              <w:ind w:right="-1"/>
              <w:jc w:val="center"/>
              <w:rPr>
                <w:rFonts w:cs="Arial"/>
                <w:szCs w:val="18"/>
                <w:lang w:val="en-GB"/>
              </w:rPr>
            </w:pPr>
            <w:r w:rsidRPr="004F5432">
              <w:rPr>
                <w:rFonts w:cs="Arial"/>
                <w:szCs w:val="18"/>
                <w:lang w:val="en-GB"/>
              </w:rPr>
              <w:t>-</w:t>
            </w:r>
          </w:p>
        </w:tc>
        <w:tc>
          <w:tcPr>
            <w:tcW w:w="992" w:type="dxa"/>
            <w:tcBorders>
              <w:top w:val="nil"/>
              <w:bottom w:val="nil"/>
            </w:tcBorders>
            <w:shd w:val="clear" w:color="auto" w:fill="FFFFFF"/>
          </w:tcPr>
          <w:p w14:paraId="1B641C99" w14:textId="73903BBC" w:rsidR="002140F1" w:rsidRPr="004F5432" w:rsidRDefault="00CC53E4" w:rsidP="000414E7">
            <w:pPr>
              <w:pStyle w:val="CETBodytext"/>
              <w:ind w:right="-1"/>
              <w:jc w:val="center"/>
              <w:rPr>
                <w:rFonts w:cs="Arial"/>
                <w:color w:val="000000"/>
                <w:szCs w:val="18"/>
                <w:lang w:val="en-GB"/>
              </w:rPr>
            </w:pPr>
            <w:r w:rsidRPr="004F5432">
              <w:rPr>
                <w:rFonts w:cs="Arial"/>
                <w:color w:val="000000"/>
                <w:szCs w:val="18"/>
                <w:lang w:val="en-GB"/>
              </w:rPr>
              <w:t>-</w:t>
            </w:r>
          </w:p>
        </w:tc>
      </w:tr>
      <w:tr w:rsidR="002140F1" w:rsidRPr="004F5432" w14:paraId="18AC8244" w14:textId="77777777" w:rsidTr="00127D48">
        <w:tc>
          <w:tcPr>
            <w:tcW w:w="1843" w:type="dxa"/>
            <w:vMerge/>
            <w:tcBorders>
              <w:top w:val="nil"/>
              <w:bottom w:val="single" w:sz="4" w:space="0" w:color="008000"/>
            </w:tcBorders>
            <w:shd w:val="clear" w:color="auto" w:fill="FFFFFF"/>
          </w:tcPr>
          <w:p w14:paraId="0F6EA726" w14:textId="77777777" w:rsidR="002140F1" w:rsidRPr="004F5432" w:rsidRDefault="002140F1" w:rsidP="00DC0533">
            <w:pPr>
              <w:pStyle w:val="CETBodytext"/>
              <w:ind w:right="-1"/>
              <w:rPr>
                <w:rFonts w:cs="Arial"/>
                <w:color w:val="000000"/>
                <w:szCs w:val="18"/>
                <w:lang w:val="en-GB"/>
              </w:rPr>
            </w:pPr>
          </w:p>
        </w:tc>
        <w:tc>
          <w:tcPr>
            <w:tcW w:w="1843" w:type="dxa"/>
            <w:tcBorders>
              <w:top w:val="nil"/>
              <w:bottom w:val="single" w:sz="4" w:space="0" w:color="008000"/>
            </w:tcBorders>
            <w:shd w:val="clear" w:color="auto" w:fill="FFFFFF"/>
            <w:vAlign w:val="center"/>
          </w:tcPr>
          <w:p w14:paraId="230F2423" w14:textId="77777777" w:rsidR="002140F1" w:rsidRPr="004F5432" w:rsidRDefault="002140F1" w:rsidP="00DC0533">
            <w:pPr>
              <w:pStyle w:val="CETBodytext"/>
              <w:ind w:right="-1"/>
              <w:rPr>
                <w:rFonts w:cs="Arial"/>
                <w:szCs w:val="18"/>
                <w:lang w:val="en-GB"/>
              </w:rPr>
            </w:pPr>
            <w:r w:rsidRPr="004F5432">
              <w:rPr>
                <w:rFonts w:cs="Arial"/>
                <w:color w:val="000000"/>
                <w:szCs w:val="18"/>
                <w:lang w:val="en-GB"/>
              </w:rPr>
              <w:t>Moisture (%)</w:t>
            </w:r>
          </w:p>
        </w:tc>
        <w:tc>
          <w:tcPr>
            <w:tcW w:w="851" w:type="dxa"/>
            <w:tcBorders>
              <w:top w:val="nil"/>
              <w:bottom w:val="single" w:sz="4" w:space="0" w:color="008000"/>
            </w:tcBorders>
            <w:shd w:val="clear" w:color="auto" w:fill="FFFFFF"/>
            <w:vAlign w:val="center"/>
          </w:tcPr>
          <w:p w14:paraId="16EA298F" w14:textId="77777777" w:rsidR="002140F1" w:rsidRPr="004F5432" w:rsidRDefault="002140F1" w:rsidP="00DC0533">
            <w:pPr>
              <w:pStyle w:val="CETBodytext"/>
              <w:ind w:right="-1"/>
              <w:rPr>
                <w:rFonts w:cs="Arial"/>
                <w:szCs w:val="18"/>
                <w:lang w:val="en-GB"/>
              </w:rPr>
            </w:pPr>
            <w:r w:rsidRPr="004F5432">
              <w:rPr>
                <w:lang w:val="en-GB"/>
              </w:rPr>
              <w:t>8.68</w:t>
            </w:r>
          </w:p>
        </w:tc>
        <w:tc>
          <w:tcPr>
            <w:tcW w:w="992" w:type="dxa"/>
            <w:tcBorders>
              <w:top w:val="nil"/>
              <w:bottom w:val="single" w:sz="4" w:space="0" w:color="008000"/>
            </w:tcBorders>
            <w:shd w:val="clear" w:color="auto" w:fill="FFFFFF"/>
            <w:vAlign w:val="center"/>
          </w:tcPr>
          <w:p w14:paraId="30491A6F" w14:textId="5C651B07" w:rsidR="002140F1" w:rsidRPr="004F5432" w:rsidRDefault="000C64EB" w:rsidP="000414E7">
            <w:pPr>
              <w:pStyle w:val="CETBodytext"/>
              <w:ind w:right="-1"/>
              <w:jc w:val="center"/>
              <w:rPr>
                <w:rFonts w:cs="Arial"/>
                <w:szCs w:val="18"/>
                <w:lang w:val="en-GB"/>
              </w:rPr>
            </w:pPr>
            <w:r w:rsidRPr="004F5432">
              <w:rPr>
                <w:rFonts w:cs="Arial"/>
                <w:szCs w:val="18"/>
                <w:lang w:val="en-GB"/>
              </w:rPr>
              <w:t>-</w:t>
            </w:r>
          </w:p>
        </w:tc>
        <w:tc>
          <w:tcPr>
            <w:tcW w:w="992" w:type="dxa"/>
            <w:tcBorders>
              <w:top w:val="nil"/>
              <w:bottom w:val="single" w:sz="4" w:space="0" w:color="008000"/>
            </w:tcBorders>
            <w:shd w:val="clear" w:color="auto" w:fill="FFFFFF"/>
          </w:tcPr>
          <w:p w14:paraId="7F87D2BC" w14:textId="2DCABA7B" w:rsidR="002140F1" w:rsidRPr="004F5432" w:rsidRDefault="000C64EB" w:rsidP="000414E7">
            <w:pPr>
              <w:pStyle w:val="CETBodytext"/>
              <w:ind w:right="-1"/>
              <w:jc w:val="center"/>
              <w:rPr>
                <w:rFonts w:cs="Arial"/>
                <w:color w:val="000000"/>
                <w:szCs w:val="18"/>
                <w:lang w:val="en-GB"/>
              </w:rPr>
            </w:pPr>
            <w:r w:rsidRPr="004F5432">
              <w:rPr>
                <w:rFonts w:cs="Arial"/>
                <w:color w:val="000000"/>
                <w:szCs w:val="18"/>
                <w:lang w:val="en-GB"/>
              </w:rPr>
              <w:t>-</w:t>
            </w:r>
          </w:p>
        </w:tc>
      </w:tr>
      <w:tr w:rsidR="005D2071" w:rsidRPr="004F5432" w14:paraId="547119C1" w14:textId="77777777" w:rsidTr="00127D48">
        <w:trPr>
          <w:trHeight w:val="1246"/>
        </w:trPr>
        <w:tc>
          <w:tcPr>
            <w:tcW w:w="1843" w:type="dxa"/>
            <w:tcBorders>
              <w:top w:val="single" w:sz="4" w:space="0" w:color="008000"/>
            </w:tcBorders>
            <w:shd w:val="clear" w:color="auto" w:fill="FFFFFF"/>
          </w:tcPr>
          <w:p w14:paraId="2D0E29DF" w14:textId="77777777" w:rsidR="005D2071" w:rsidRPr="004F5432" w:rsidRDefault="005D2071" w:rsidP="00DC0533">
            <w:pPr>
              <w:pStyle w:val="CETBodytext"/>
              <w:rPr>
                <w:rFonts w:cs="Arial"/>
                <w:color w:val="000000"/>
                <w:szCs w:val="18"/>
                <w:lang w:val="en-GB"/>
              </w:rPr>
            </w:pPr>
          </w:p>
          <w:p w14:paraId="13690836" w14:textId="77777777" w:rsidR="005D2071" w:rsidRPr="004F5432" w:rsidRDefault="005D2071" w:rsidP="00DC0533">
            <w:pPr>
              <w:pStyle w:val="CETBodytext"/>
              <w:rPr>
                <w:rFonts w:cs="Arial"/>
                <w:color w:val="000000"/>
                <w:szCs w:val="18"/>
                <w:lang w:val="en-GB"/>
              </w:rPr>
            </w:pPr>
            <w:r w:rsidRPr="004F5432">
              <w:rPr>
                <w:rFonts w:cs="Arial"/>
                <w:color w:val="000000"/>
                <w:szCs w:val="18"/>
                <w:lang w:val="en-GB"/>
              </w:rPr>
              <w:t>Ultimate analysis</w:t>
            </w:r>
          </w:p>
          <w:p w14:paraId="3F6CBBEF" w14:textId="5B08D163" w:rsidR="005D2071" w:rsidRPr="004F5432" w:rsidRDefault="005D2071" w:rsidP="00DC0533">
            <w:pPr>
              <w:pStyle w:val="CETBodytext"/>
              <w:ind w:right="-1"/>
              <w:rPr>
                <w:rFonts w:cs="Arial"/>
                <w:color w:val="000000"/>
                <w:szCs w:val="18"/>
                <w:lang w:val="en-GB"/>
              </w:rPr>
            </w:pPr>
            <w:r w:rsidRPr="004F5432">
              <w:rPr>
                <w:rFonts w:cs="Arial"/>
                <w:lang w:val="en-GB"/>
              </w:rPr>
              <w:t>(wt.%</w:t>
            </w:r>
            <w:r w:rsidR="00D612BE" w:rsidRPr="004F5432">
              <w:rPr>
                <w:rFonts w:cs="Arial"/>
                <w:lang w:val="en-GB"/>
              </w:rPr>
              <w:t>, ash free</w:t>
            </w:r>
            <w:r w:rsidRPr="004F5432">
              <w:rPr>
                <w:rFonts w:cs="Arial"/>
                <w:lang w:val="en-GB"/>
              </w:rPr>
              <w:t>)</w:t>
            </w:r>
          </w:p>
        </w:tc>
        <w:tc>
          <w:tcPr>
            <w:tcW w:w="1843" w:type="dxa"/>
            <w:tcBorders>
              <w:top w:val="single" w:sz="4" w:space="0" w:color="008000"/>
            </w:tcBorders>
            <w:shd w:val="clear" w:color="auto" w:fill="FFFFFF"/>
          </w:tcPr>
          <w:p w14:paraId="4972A221" w14:textId="77777777" w:rsidR="005D2071" w:rsidRPr="004F5432" w:rsidRDefault="005D2071" w:rsidP="00DC0533">
            <w:pPr>
              <w:pStyle w:val="CETBodytext"/>
              <w:ind w:right="-1"/>
              <w:rPr>
                <w:rFonts w:cs="Arial"/>
                <w:szCs w:val="18"/>
                <w:lang w:val="en-GB"/>
              </w:rPr>
            </w:pPr>
            <w:r w:rsidRPr="004F5432">
              <w:rPr>
                <w:rFonts w:cs="Arial"/>
                <w:color w:val="000000"/>
                <w:szCs w:val="18"/>
                <w:lang w:val="en-GB"/>
              </w:rPr>
              <w:t>C (%)</w:t>
            </w:r>
          </w:p>
          <w:p w14:paraId="4DC2B1D1" w14:textId="77777777" w:rsidR="005D2071" w:rsidRPr="004F5432" w:rsidRDefault="005D2071" w:rsidP="00DC0533">
            <w:pPr>
              <w:pStyle w:val="CETBodytext"/>
              <w:ind w:right="-1"/>
              <w:rPr>
                <w:rFonts w:cs="Arial"/>
                <w:szCs w:val="18"/>
                <w:lang w:val="en-GB"/>
              </w:rPr>
            </w:pPr>
            <w:r w:rsidRPr="004F5432">
              <w:rPr>
                <w:rFonts w:cs="Arial"/>
                <w:color w:val="000000"/>
                <w:szCs w:val="18"/>
                <w:lang w:val="en-GB"/>
              </w:rPr>
              <w:t>H (%)</w:t>
            </w:r>
          </w:p>
          <w:p w14:paraId="412C72FF" w14:textId="77777777" w:rsidR="005D2071" w:rsidRPr="004F5432" w:rsidRDefault="005D2071" w:rsidP="00DC0533">
            <w:pPr>
              <w:pStyle w:val="CETBodytext"/>
              <w:ind w:right="-1"/>
              <w:rPr>
                <w:rFonts w:cs="Arial"/>
                <w:szCs w:val="18"/>
                <w:lang w:val="en-GB"/>
              </w:rPr>
            </w:pPr>
            <w:r w:rsidRPr="004F5432">
              <w:rPr>
                <w:rFonts w:cs="Arial"/>
                <w:color w:val="000000"/>
                <w:szCs w:val="18"/>
                <w:lang w:val="en-GB"/>
              </w:rPr>
              <w:t>N (%)</w:t>
            </w:r>
          </w:p>
          <w:p w14:paraId="614472D5" w14:textId="77777777" w:rsidR="005D2071" w:rsidRPr="004F5432" w:rsidRDefault="005D2071" w:rsidP="00DC0533">
            <w:pPr>
              <w:pStyle w:val="CETBodytext"/>
              <w:ind w:right="-1"/>
              <w:rPr>
                <w:rFonts w:cs="Arial"/>
                <w:szCs w:val="18"/>
                <w:lang w:val="en-GB"/>
              </w:rPr>
            </w:pPr>
            <w:r w:rsidRPr="004F5432">
              <w:rPr>
                <w:rFonts w:cs="Arial"/>
                <w:color w:val="000000"/>
                <w:szCs w:val="18"/>
                <w:lang w:val="en-GB"/>
              </w:rPr>
              <w:t>S (%)</w:t>
            </w:r>
          </w:p>
          <w:p w14:paraId="19F63930" w14:textId="659B8B9A" w:rsidR="005D2071" w:rsidRPr="004F5432" w:rsidRDefault="005D2071" w:rsidP="00DC0533">
            <w:pPr>
              <w:pStyle w:val="CETBodytext"/>
              <w:ind w:right="-1"/>
              <w:rPr>
                <w:rFonts w:cs="Arial"/>
                <w:szCs w:val="18"/>
                <w:lang w:val="en-GB"/>
              </w:rPr>
            </w:pPr>
            <w:r w:rsidRPr="004F5432">
              <w:rPr>
                <w:rFonts w:cs="Arial"/>
                <w:color w:val="000000"/>
                <w:szCs w:val="18"/>
                <w:lang w:val="en-GB"/>
              </w:rPr>
              <w:t>O</w:t>
            </w:r>
            <w:r w:rsidR="00D612BE" w:rsidRPr="004F5432">
              <w:rPr>
                <w:rFonts w:cs="Arial"/>
                <w:color w:val="000000"/>
                <w:szCs w:val="18"/>
                <w:lang w:val="en-GB"/>
              </w:rPr>
              <w:t>*</w:t>
            </w:r>
            <w:r w:rsidRPr="004F5432">
              <w:rPr>
                <w:rFonts w:cs="Arial"/>
                <w:color w:val="000000"/>
                <w:szCs w:val="18"/>
                <w:lang w:val="en-GB"/>
              </w:rPr>
              <w:t xml:space="preserve"> (%)</w:t>
            </w:r>
          </w:p>
        </w:tc>
        <w:tc>
          <w:tcPr>
            <w:tcW w:w="851" w:type="dxa"/>
            <w:tcBorders>
              <w:top w:val="single" w:sz="4" w:space="0" w:color="008000"/>
            </w:tcBorders>
            <w:shd w:val="clear" w:color="auto" w:fill="FFFFFF"/>
          </w:tcPr>
          <w:p w14:paraId="15FC97D1" w14:textId="77777777" w:rsidR="005D2071" w:rsidRPr="004F5432" w:rsidRDefault="005D2071" w:rsidP="00DC0533">
            <w:pPr>
              <w:pStyle w:val="CETBodytext"/>
              <w:ind w:right="-1"/>
              <w:rPr>
                <w:rFonts w:cs="Arial"/>
                <w:szCs w:val="18"/>
                <w:lang w:val="en-GB"/>
              </w:rPr>
            </w:pPr>
            <w:r w:rsidRPr="004F5432">
              <w:rPr>
                <w:rFonts w:cs="Arial"/>
                <w:szCs w:val="18"/>
                <w:lang w:val="en-GB"/>
              </w:rPr>
              <w:t>45.04</w:t>
            </w:r>
          </w:p>
          <w:p w14:paraId="1658FB4E" w14:textId="77777777" w:rsidR="005D2071" w:rsidRPr="004F5432" w:rsidRDefault="005D2071" w:rsidP="00DC0533">
            <w:pPr>
              <w:pStyle w:val="CETBodytext"/>
              <w:ind w:right="-1"/>
              <w:rPr>
                <w:rFonts w:cs="Arial"/>
                <w:szCs w:val="18"/>
                <w:lang w:val="en-GB"/>
              </w:rPr>
            </w:pPr>
            <w:r w:rsidRPr="004F5432">
              <w:rPr>
                <w:rFonts w:cs="Arial"/>
                <w:szCs w:val="18"/>
                <w:lang w:val="en-GB"/>
              </w:rPr>
              <w:t>5.71</w:t>
            </w:r>
          </w:p>
          <w:p w14:paraId="6EAD92A9" w14:textId="77777777" w:rsidR="005D2071" w:rsidRPr="004F5432" w:rsidRDefault="005D2071" w:rsidP="00DC0533">
            <w:pPr>
              <w:pStyle w:val="CETBodytext"/>
              <w:ind w:right="-1"/>
              <w:rPr>
                <w:rFonts w:cs="Arial"/>
                <w:szCs w:val="18"/>
                <w:lang w:val="en-GB"/>
              </w:rPr>
            </w:pPr>
            <w:r w:rsidRPr="004F5432">
              <w:rPr>
                <w:rFonts w:cs="Arial"/>
                <w:szCs w:val="18"/>
                <w:lang w:val="en-GB"/>
              </w:rPr>
              <w:t>0.73</w:t>
            </w:r>
          </w:p>
          <w:p w14:paraId="13E0477F" w14:textId="77777777" w:rsidR="005D2071" w:rsidRPr="004F5432" w:rsidRDefault="005D2071" w:rsidP="00DC0533">
            <w:pPr>
              <w:pStyle w:val="CETBodytext"/>
              <w:ind w:right="-1"/>
              <w:rPr>
                <w:rFonts w:cs="Arial"/>
                <w:szCs w:val="18"/>
                <w:lang w:val="en-GB"/>
              </w:rPr>
            </w:pPr>
            <w:r w:rsidRPr="004F5432">
              <w:rPr>
                <w:rFonts w:cs="Arial"/>
                <w:szCs w:val="18"/>
                <w:lang w:val="en-GB"/>
              </w:rPr>
              <w:t>0.72</w:t>
            </w:r>
          </w:p>
          <w:p w14:paraId="1E238E68" w14:textId="77777777" w:rsidR="005D2071" w:rsidRPr="004F5432" w:rsidRDefault="005D2071" w:rsidP="00DC0533">
            <w:pPr>
              <w:pStyle w:val="CETBodytext"/>
              <w:ind w:right="-1"/>
              <w:rPr>
                <w:rFonts w:cs="Arial"/>
                <w:szCs w:val="18"/>
                <w:lang w:val="en-GB"/>
              </w:rPr>
            </w:pPr>
            <w:r w:rsidRPr="004F5432">
              <w:rPr>
                <w:rFonts w:cs="Arial"/>
                <w:szCs w:val="18"/>
                <w:lang w:val="en-GB"/>
              </w:rPr>
              <w:t>42.35</w:t>
            </w:r>
          </w:p>
        </w:tc>
        <w:tc>
          <w:tcPr>
            <w:tcW w:w="992" w:type="dxa"/>
            <w:tcBorders>
              <w:top w:val="single" w:sz="4" w:space="0" w:color="008000"/>
            </w:tcBorders>
            <w:shd w:val="clear" w:color="auto" w:fill="FFFFFF"/>
          </w:tcPr>
          <w:p w14:paraId="3C22EC00" w14:textId="77777777" w:rsidR="005D2071" w:rsidRPr="004F5432" w:rsidRDefault="005D2071" w:rsidP="008C75FA">
            <w:pPr>
              <w:pStyle w:val="CETBodytext"/>
              <w:ind w:right="-1"/>
              <w:jc w:val="center"/>
              <w:rPr>
                <w:rFonts w:cs="Arial"/>
                <w:szCs w:val="18"/>
                <w:lang w:val="en-GB"/>
              </w:rPr>
            </w:pPr>
            <w:r w:rsidRPr="004F5432">
              <w:rPr>
                <w:rFonts w:cs="Arial"/>
                <w:szCs w:val="18"/>
                <w:lang w:val="en-GB"/>
              </w:rPr>
              <w:t>85.05</w:t>
            </w:r>
          </w:p>
          <w:p w14:paraId="22C49192" w14:textId="77777777" w:rsidR="005D2071" w:rsidRPr="004F5432" w:rsidRDefault="005D2071" w:rsidP="008C75FA">
            <w:pPr>
              <w:pStyle w:val="CETBodytext"/>
              <w:ind w:right="-1"/>
              <w:jc w:val="center"/>
              <w:rPr>
                <w:rFonts w:cs="Arial"/>
                <w:szCs w:val="18"/>
                <w:lang w:val="en-GB"/>
              </w:rPr>
            </w:pPr>
            <w:r w:rsidRPr="004F5432">
              <w:rPr>
                <w:rFonts w:cs="Arial"/>
                <w:szCs w:val="18"/>
                <w:lang w:val="en-GB"/>
              </w:rPr>
              <w:t>-</w:t>
            </w:r>
          </w:p>
          <w:p w14:paraId="6A115226" w14:textId="77777777" w:rsidR="005D2071" w:rsidRPr="004F5432" w:rsidRDefault="005D2071" w:rsidP="008C75FA">
            <w:pPr>
              <w:pStyle w:val="CETBodytext"/>
              <w:ind w:right="-1"/>
              <w:jc w:val="center"/>
              <w:rPr>
                <w:rFonts w:cs="Arial"/>
                <w:szCs w:val="18"/>
                <w:lang w:val="en-GB"/>
              </w:rPr>
            </w:pPr>
            <w:r w:rsidRPr="004F5432">
              <w:rPr>
                <w:rFonts w:cs="Arial"/>
                <w:szCs w:val="18"/>
                <w:lang w:val="en-GB"/>
              </w:rPr>
              <w:t>0.40</w:t>
            </w:r>
          </w:p>
          <w:p w14:paraId="358959EA" w14:textId="77777777" w:rsidR="005D2071" w:rsidRPr="004F5432" w:rsidRDefault="005D2071" w:rsidP="008C75FA">
            <w:pPr>
              <w:pStyle w:val="CETBodytext"/>
              <w:ind w:right="-1"/>
              <w:jc w:val="center"/>
              <w:rPr>
                <w:rFonts w:cs="Arial"/>
                <w:szCs w:val="18"/>
                <w:lang w:val="en-GB"/>
              </w:rPr>
            </w:pPr>
            <w:r w:rsidRPr="004F5432">
              <w:rPr>
                <w:rFonts w:cs="Arial"/>
                <w:szCs w:val="18"/>
                <w:lang w:val="en-GB"/>
              </w:rPr>
              <w:t>0.11</w:t>
            </w:r>
          </w:p>
          <w:p w14:paraId="551AF942" w14:textId="714B453D" w:rsidR="005D2071" w:rsidRPr="004F5432" w:rsidRDefault="005D2071" w:rsidP="008C75FA">
            <w:pPr>
              <w:pStyle w:val="CETBodytext"/>
              <w:ind w:right="-1"/>
              <w:jc w:val="center"/>
              <w:rPr>
                <w:rFonts w:cs="Arial"/>
                <w:szCs w:val="18"/>
                <w:lang w:val="en-GB"/>
              </w:rPr>
            </w:pPr>
            <w:r w:rsidRPr="004F5432">
              <w:rPr>
                <w:rFonts w:cs="Arial"/>
                <w:szCs w:val="18"/>
                <w:lang w:val="en-GB"/>
              </w:rPr>
              <w:t>14.44</w:t>
            </w:r>
          </w:p>
        </w:tc>
        <w:tc>
          <w:tcPr>
            <w:tcW w:w="992" w:type="dxa"/>
            <w:tcBorders>
              <w:top w:val="single" w:sz="4" w:space="0" w:color="008000"/>
            </w:tcBorders>
            <w:shd w:val="clear" w:color="auto" w:fill="FFFFFF"/>
          </w:tcPr>
          <w:p w14:paraId="2D391508" w14:textId="77777777" w:rsidR="005D2071" w:rsidRPr="004F5432" w:rsidRDefault="005D2071" w:rsidP="008C75FA">
            <w:pPr>
              <w:pStyle w:val="CETBodytext"/>
              <w:ind w:right="-1"/>
              <w:jc w:val="center"/>
              <w:rPr>
                <w:rFonts w:cs="Arial"/>
                <w:color w:val="000000"/>
                <w:szCs w:val="18"/>
                <w:lang w:val="en-GB"/>
              </w:rPr>
            </w:pPr>
            <w:r w:rsidRPr="004F5432">
              <w:rPr>
                <w:rFonts w:cs="Arial"/>
                <w:color w:val="000000"/>
                <w:szCs w:val="18"/>
                <w:lang w:val="en-GB"/>
              </w:rPr>
              <w:t>74.87</w:t>
            </w:r>
          </w:p>
          <w:p w14:paraId="01E89F5D" w14:textId="77777777" w:rsidR="005D2071" w:rsidRPr="004F5432" w:rsidRDefault="005D2071" w:rsidP="008C75FA">
            <w:pPr>
              <w:pStyle w:val="CETBodytext"/>
              <w:ind w:right="-1"/>
              <w:jc w:val="center"/>
              <w:rPr>
                <w:rFonts w:cs="Arial"/>
                <w:color w:val="000000"/>
                <w:szCs w:val="18"/>
                <w:lang w:val="en-GB"/>
              </w:rPr>
            </w:pPr>
            <w:r w:rsidRPr="004F5432">
              <w:rPr>
                <w:rFonts w:cs="Arial"/>
                <w:color w:val="000000"/>
                <w:szCs w:val="18"/>
                <w:lang w:val="en-GB"/>
              </w:rPr>
              <w:t>-</w:t>
            </w:r>
          </w:p>
          <w:p w14:paraId="543662E3" w14:textId="77777777" w:rsidR="005D2071" w:rsidRPr="004F5432" w:rsidRDefault="005D2071" w:rsidP="008C75FA">
            <w:pPr>
              <w:pStyle w:val="CETBodytext"/>
              <w:ind w:right="-1"/>
              <w:jc w:val="center"/>
              <w:rPr>
                <w:rFonts w:cs="Arial"/>
                <w:color w:val="000000"/>
                <w:szCs w:val="18"/>
                <w:lang w:val="en-GB"/>
              </w:rPr>
            </w:pPr>
            <w:r w:rsidRPr="004F5432">
              <w:rPr>
                <w:rFonts w:cs="Arial"/>
                <w:color w:val="000000"/>
                <w:szCs w:val="18"/>
                <w:lang w:val="en-GB"/>
              </w:rPr>
              <w:t>-</w:t>
            </w:r>
          </w:p>
          <w:p w14:paraId="457C8FD5" w14:textId="77777777" w:rsidR="005D2071" w:rsidRPr="004F5432" w:rsidRDefault="005D2071" w:rsidP="008C75FA">
            <w:pPr>
              <w:pStyle w:val="CETBodytext"/>
              <w:ind w:right="-1"/>
              <w:jc w:val="center"/>
              <w:rPr>
                <w:rFonts w:cs="Arial"/>
                <w:color w:val="000000"/>
                <w:szCs w:val="18"/>
                <w:lang w:val="en-GB"/>
              </w:rPr>
            </w:pPr>
            <w:r w:rsidRPr="004F5432">
              <w:rPr>
                <w:rFonts w:cs="Arial"/>
                <w:color w:val="000000"/>
                <w:szCs w:val="18"/>
                <w:lang w:val="en-GB"/>
              </w:rPr>
              <w:t>0.48</w:t>
            </w:r>
          </w:p>
          <w:p w14:paraId="06D92BC7" w14:textId="56A6C867" w:rsidR="005D2071" w:rsidRPr="004F5432" w:rsidRDefault="005D2071" w:rsidP="008C75FA">
            <w:pPr>
              <w:pStyle w:val="CETBodytext"/>
              <w:ind w:right="-1"/>
              <w:jc w:val="center"/>
              <w:rPr>
                <w:rFonts w:cs="Arial"/>
                <w:color w:val="000000"/>
                <w:szCs w:val="18"/>
                <w:lang w:val="en-GB"/>
              </w:rPr>
            </w:pPr>
            <w:r w:rsidRPr="004F5432">
              <w:rPr>
                <w:rFonts w:cs="Arial"/>
                <w:color w:val="000000"/>
                <w:szCs w:val="18"/>
                <w:lang w:val="en-GB"/>
              </w:rPr>
              <w:t>24.65</w:t>
            </w:r>
          </w:p>
        </w:tc>
      </w:tr>
    </w:tbl>
    <w:bookmarkEnd w:id="0"/>
    <w:p w14:paraId="4516553C" w14:textId="374FCA25" w:rsidR="002140F1" w:rsidRPr="004F5432" w:rsidRDefault="00BE45A5" w:rsidP="00BE45A5">
      <w:pPr>
        <w:pStyle w:val="CETBodytext"/>
        <w:rPr>
          <w:lang w:val="en-GB"/>
        </w:rPr>
      </w:pPr>
      <w:r w:rsidRPr="004F5432">
        <w:rPr>
          <w:lang w:val="en-GB"/>
        </w:rPr>
        <w:t xml:space="preserve">* </w:t>
      </w:r>
      <w:r w:rsidR="00D612BE" w:rsidRPr="004F5432">
        <w:rPr>
          <w:lang w:val="en-GB"/>
        </w:rPr>
        <w:t>O was calculated by difference</w:t>
      </w:r>
      <w:r w:rsidR="00B024DD" w:rsidRPr="004F5432">
        <w:rPr>
          <w:lang w:val="en-GB"/>
        </w:rPr>
        <w:t>.</w:t>
      </w:r>
    </w:p>
    <w:p w14:paraId="2A419E8D" w14:textId="1B97F817" w:rsidR="000D3C09" w:rsidRPr="004F5432" w:rsidRDefault="008E2FA0" w:rsidP="000D3C09">
      <w:pPr>
        <w:pStyle w:val="CETheadingx"/>
        <w:rPr>
          <w:lang w:val="en-GB"/>
        </w:rPr>
      </w:pPr>
      <w:r w:rsidRPr="004F5432">
        <w:rPr>
          <w:lang w:val="en-GB"/>
        </w:rPr>
        <w:t>Characterization</w:t>
      </w:r>
      <w:r w:rsidR="006D721D" w:rsidRPr="004F5432">
        <w:rPr>
          <w:lang w:val="en-GB"/>
        </w:rPr>
        <w:t xml:space="preserve"> of a</w:t>
      </w:r>
      <w:r w:rsidR="007F255F" w:rsidRPr="004F5432">
        <w:rPr>
          <w:lang w:val="en-GB"/>
        </w:rPr>
        <w:t xml:space="preserve">dsorbents </w:t>
      </w:r>
    </w:p>
    <w:p w14:paraId="2D2D0534" w14:textId="405894FF" w:rsidR="000A0BF8" w:rsidRPr="004F5432" w:rsidRDefault="007F255F" w:rsidP="007A3108">
      <w:pPr>
        <w:pStyle w:val="Sinespaciado"/>
      </w:pPr>
      <w:r w:rsidRPr="004F5432">
        <w:t xml:space="preserve">Morphology of activated biochar samples was analysed by </w:t>
      </w:r>
      <w:r w:rsidR="004A5220" w:rsidRPr="004F5432">
        <w:t>scanning electron microscopy (</w:t>
      </w:r>
      <w:r w:rsidR="007A3108" w:rsidRPr="004F5432">
        <w:t>SEM</w:t>
      </w:r>
      <w:r w:rsidR="004A5220" w:rsidRPr="004F5432">
        <w:t>) and the obtained</w:t>
      </w:r>
      <w:r w:rsidR="007A3108" w:rsidRPr="004F5432">
        <w:t xml:space="preserve"> images</w:t>
      </w:r>
      <w:r w:rsidR="000A0BF8" w:rsidRPr="004F5432">
        <w:t xml:space="preserve"> </w:t>
      </w:r>
      <w:r w:rsidR="004A5220" w:rsidRPr="004F5432">
        <w:t>corresponding to APBC-1S and APBC-2S</w:t>
      </w:r>
      <w:r w:rsidR="000A0BF8" w:rsidRPr="004F5432">
        <w:t xml:space="preserve"> are presented in Figure </w:t>
      </w:r>
      <w:r w:rsidR="007A3108" w:rsidRPr="004F5432">
        <w:t>1</w:t>
      </w:r>
      <w:r w:rsidR="000A0BF8" w:rsidRPr="004F5432">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267"/>
      </w:tblGrid>
      <w:tr w:rsidR="001F7D88" w:rsidRPr="004F5432" w14:paraId="0443272D" w14:textId="77777777" w:rsidTr="00F261D9">
        <w:tc>
          <w:tcPr>
            <w:tcW w:w="4237" w:type="dxa"/>
          </w:tcPr>
          <w:p w14:paraId="733C4BFE" w14:textId="77777777" w:rsidR="001F7D88" w:rsidRPr="004F5432" w:rsidRDefault="001F7D88" w:rsidP="00F261D9">
            <w:r w:rsidRPr="004F5432">
              <w:rPr>
                <w:lang w:eastAsia="es-ES"/>
              </w:rPr>
              <mc:AlternateContent>
                <mc:Choice Requires="wps">
                  <w:drawing>
                    <wp:anchor distT="0" distB="0" distL="114300" distR="114300" simplePos="0" relativeHeight="251663360" behindDoc="0" locked="0" layoutInCell="1" allowOverlap="1" wp14:anchorId="6CDAD535" wp14:editId="38590144">
                      <wp:simplePos x="0" y="0"/>
                      <wp:positionH relativeFrom="column">
                        <wp:posOffset>69215</wp:posOffset>
                      </wp:positionH>
                      <wp:positionV relativeFrom="paragraph">
                        <wp:posOffset>1360805</wp:posOffset>
                      </wp:positionV>
                      <wp:extent cx="393700" cy="285750"/>
                      <wp:effectExtent l="0" t="0" r="0" b="0"/>
                      <wp:wrapNone/>
                      <wp:docPr id="8" name="Testu-koadroa 8"/>
                      <wp:cNvGraphicFramePr/>
                      <a:graphic xmlns:a="http://schemas.openxmlformats.org/drawingml/2006/main">
                        <a:graphicData uri="http://schemas.microsoft.com/office/word/2010/wordprocessingShape">
                          <wps:wsp>
                            <wps:cNvSpPr txBox="1"/>
                            <wps:spPr>
                              <a:xfrm>
                                <a:off x="0" y="0"/>
                                <a:ext cx="393700" cy="285750"/>
                              </a:xfrm>
                              <a:prstGeom prst="rect">
                                <a:avLst/>
                              </a:prstGeom>
                              <a:noFill/>
                              <a:ln w="6350">
                                <a:noFill/>
                              </a:ln>
                            </wps:spPr>
                            <wps:txbx>
                              <w:txbxContent>
                                <w:p w14:paraId="3F825FB3" w14:textId="77777777" w:rsidR="001F7D88" w:rsidRPr="004F5432" w:rsidRDefault="001F7D88" w:rsidP="001F7D88">
                                  <w:pPr>
                                    <w:rPr>
                                      <w:b/>
                                      <w:sz w:val="32"/>
                                      <w:szCs w:val="32"/>
                                    </w:rPr>
                                  </w:pPr>
                                  <w:r w:rsidRPr="004F5432">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AD535" id="_x0000_t202" coordsize="21600,21600" o:spt="202" path="m,l,21600r21600,l21600,xe">
                      <v:stroke joinstyle="miter"/>
                      <v:path gradientshapeok="t" o:connecttype="rect"/>
                    </v:shapetype>
                    <v:shape id="Testu-koadroa 8" o:spid="_x0000_s1026" type="#_x0000_t202" style="position:absolute;left:0;text-align:left;margin-left:5.45pt;margin-top:107.15pt;width:3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" filled="f" stroked="f" strokeweight=".5pt">
                      <v:textbox>
                        <w:txbxContent>
                          <w:p w14:paraId="3F825FB3" w14:textId="77777777" w:rsidR="001F7D88" w:rsidRPr="004F5432" w:rsidRDefault="001F7D88" w:rsidP="001F7D88">
                            <w:pPr>
                              <w:rPr>
                                <w:b/>
                                <w:sz w:val="32"/>
                                <w:szCs w:val="32"/>
                              </w:rPr>
                            </w:pPr>
                            <w:r w:rsidRPr="004F5432">
                              <w:rPr>
                                <w:b/>
                                <w:sz w:val="32"/>
                                <w:szCs w:val="32"/>
                              </w:rPr>
                              <w:t>a</w:t>
                            </w:r>
                          </w:p>
                        </w:txbxContent>
                      </v:textbox>
                    </v:shape>
                  </w:pict>
                </mc:Fallback>
              </mc:AlternateContent>
            </w:r>
            <w:r w:rsidRPr="004F5432">
              <w:rPr>
                <w:lang w:eastAsia="es-ES"/>
              </w:rPr>
              <w:drawing>
                <wp:inline distT="0" distB="0" distL="0" distR="0" wp14:anchorId="7AA43CF2" wp14:editId="61704FF6">
                  <wp:extent cx="2400300" cy="1800226"/>
                  <wp:effectExtent l="0" t="0" r="0" b="9525"/>
                  <wp:docPr id="2" name="Irudia 2"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 2" descr="Imagen en blanco y negro&#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7769" cy="1820828"/>
                          </a:xfrm>
                          <a:prstGeom prst="rect">
                            <a:avLst/>
                          </a:prstGeom>
                        </pic:spPr>
                      </pic:pic>
                    </a:graphicData>
                  </a:graphic>
                </wp:inline>
              </w:drawing>
            </w:r>
          </w:p>
        </w:tc>
        <w:tc>
          <w:tcPr>
            <w:tcW w:w="4267" w:type="dxa"/>
          </w:tcPr>
          <w:p w14:paraId="6B3C52D8" w14:textId="77777777" w:rsidR="001F7D88" w:rsidRPr="004F5432" w:rsidRDefault="001F7D88" w:rsidP="00F261D9">
            <w:r w:rsidRPr="004F5432">
              <w:rPr>
                <w:lang w:eastAsia="es-ES"/>
              </w:rPr>
              <mc:AlternateContent>
                <mc:Choice Requires="wps">
                  <w:drawing>
                    <wp:anchor distT="0" distB="0" distL="114300" distR="114300" simplePos="0" relativeHeight="251664384" behindDoc="0" locked="0" layoutInCell="1" allowOverlap="1" wp14:anchorId="1C25B706" wp14:editId="2E2B731F">
                      <wp:simplePos x="0" y="0"/>
                      <wp:positionH relativeFrom="column">
                        <wp:posOffset>45720</wp:posOffset>
                      </wp:positionH>
                      <wp:positionV relativeFrom="paragraph">
                        <wp:posOffset>1355090</wp:posOffset>
                      </wp:positionV>
                      <wp:extent cx="393700" cy="285750"/>
                      <wp:effectExtent l="0" t="0" r="0" b="0"/>
                      <wp:wrapNone/>
                      <wp:docPr id="2082843081" name="Testu-koadroa 9"/>
                      <wp:cNvGraphicFramePr/>
                      <a:graphic xmlns:a="http://schemas.openxmlformats.org/drawingml/2006/main">
                        <a:graphicData uri="http://schemas.microsoft.com/office/word/2010/wordprocessingShape">
                          <wps:wsp>
                            <wps:cNvSpPr txBox="1"/>
                            <wps:spPr>
                              <a:xfrm>
                                <a:off x="0" y="0"/>
                                <a:ext cx="393700" cy="285750"/>
                              </a:xfrm>
                              <a:prstGeom prst="rect">
                                <a:avLst/>
                              </a:prstGeom>
                              <a:noFill/>
                              <a:ln w="6350">
                                <a:noFill/>
                              </a:ln>
                            </wps:spPr>
                            <wps:txbx>
                              <w:txbxContent>
                                <w:p w14:paraId="5885A181" w14:textId="77777777" w:rsidR="001F7D88" w:rsidRPr="004F5432" w:rsidRDefault="001F7D88" w:rsidP="001F7D88">
                                  <w:pPr>
                                    <w:rPr>
                                      <w:b/>
                                      <w:sz w:val="32"/>
                                      <w:szCs w:val="32"/>
                                    </w:rPr>
                                  </w:pPr>
                                  <w:r w:rsidRPr="004F5432">
                                    <w:rPr>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B706" id="Testu-koadroa 9" o:spid="_x0000_s1027" type="#_x0000_t202" style="position:absolute;left:0;text-align:left;margin-left:3.6pt;margin-top:106.7pt;width:3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" filled="f" stroked="f" strokeweight=".5pt">
                      <v:textbox>
                        <w:txbxContent>
                          <w:p w14:paraId="5885A181" w14:textId="77777777" w:rsidR="001F7D88" w:rsidRPr="004F5432" w:rsidRDefault="001F7D88" w:rsidP="001F7D88">
                            <w:pPr>
                              <w:rPr>
                                <w:b/>
                                <w:sz w:val="32"/>
                                <w:szCs w:val="32"/>
                              </w:rPr>
                            </w:pPr>
                            <w:r w:rsidRPr="004F5432">
                              <w:rPr>
                                <w:b/>
                                <w:sz w:val="32"/>
                                <w:szCs w:val="32"/>
                              </w:rPr>
                              <w:t>b</w:t>
                            </w:r>
                          </w:p>
                        </w:txbxContent>
                      </v:textbox>
                    </v:shape>
                  </w:pict>
                </mc:Fallback>
              </mc:AlternateContent>
            </w:r>
            <w:r w:rsidRPr="004F5432">
              <w:rPr>
                <w:lang w:eastAsia="es-ES"/>
              </w:rPr>
              <w:drawing>
                <wp:inline distT="0" distB="0" distL="0" distR="0" wp14:anchorId="70364F2C" wp14:editId="12C3CCC0">
                  <wp:extent cx="2387600" cy="1790700"/>
                  <wp:effectExtent l="0" t="0" r="0" b="0"/>
                  <wp:docPr id="1" name="Irudia 1"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 1" descr="Imagen en blanco y negro&#10;&#10;Descripción generada automáticamente con confianza baj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3415" cy="1802561"/>
                          </a:xfrm>
                          <a:prstGeom prst="rect">
                            <a:avLst/>
                          </a:prstGeom>
                        </pic:spPr>
                      </pic:pic>
                    </a:graphicData>
                  </a:graphic>
                </wp:inline>
              </w:drawing>
            </w:r>
          </w:p>
        </w:tc>
      </w:tr>
      <w:tr w:rsidR="001F7D88" w:rsidRPr="004F5432" w14:paraId="25578CCC" w14:textId="77777777" w:rsidTr="00F261D9">
        <w:tc>
          <w:tcPr>
            <w:tcW w:w="4237" w:type="dxa"/>
          </w:tcPr>
          <w:p w14:paraId="1F42A2D2" w14:textId="77777777" w:rsidR="001F7D88" w:rsidRPr="004F5432" w:rsidRDefault="001F7D88" w:rsidP="00F261D9">
            <w:r w:rsidRPr="004F5432">
              <w:rPr>
                <w:lang w:eastAsia="es-ES"/>
              </w:rPr>
              <mc:AlternateContent>
                <mc:Choice Requires="wps">
                  <w:drawing>
                    <wp:anchor distT="0" distB="0" distL="114300" distR="114300" simplePos="0" relativeHeight="251662336" behindDoc="0" locked="0" layoutInCell="1" allowOverlap="1" wp14:anchorId="7C661171" wp14:editId="2603482D">
                      <wp:simplePos x="0" y="0"/>
                      <wp:positionH relativeFrom="column">
                        <wp:posOffset>13335</wp:posOffset>
                      </wp:positionH>
                      <wp:positionV relativeFrom="paragraph">
                        <wp:posOffset>1372235</wp:posOffset>
                      </wp:positionV>
                      <wp:extent cx="393700" cy="285750"/>
                      <wp:effectExtent l="0" t="0" r="0" b="0"/>
                      <wp:wrapNone/>
                      <wp:docPr id="7" name="Testu-koadroa 7"/>
                      <wp:cNvGraphicFramePr/>
                      <a:graphic xmlns:a="http://schemas.openxmlformats.org/drawingml/2006/main">
                        <a:graphicData uri="http://schemas.microsoft.com/office/word/2010/wordprocessingShape">
                          <wps:wsp>
                            <wps:cNvSpPr txBox="1"/>
                            <wps:spPr>
                              <a:xfrm>
                                <a:off x="0" y="0"/>
                                <a:ext cx="393700" cy="285750"/>
                              </a:xfrm>
                              <a:prstGeom prst="rect">
                                <a:avLst/>
                              </a:prstGeom>
                              <a:noFill/>
                              <a:ln w="6350">
                                <a:noFill/>
                              </a:ln>
                            </wps:spPr>
                            <wps:txbx>
                              <w:txbxContent>
                                <w:p w14:paraId="04E50506" w14:textId="77777777" w:rsidR="001F7D88" w:rsidRPr="004F5432" w:rsidRDefault="001F7D88" w:rsidP="001F7D88">
                                  <w:pPr>
                                    <w:rPr>
                                      <w:b/>
                                      <w:sz w:val="32"/>
                                      <w:szCs w:val="32"/>
                                    </w:rPr>
                                  </w:pPr>
                                  <w:r w:rsidRPr="004F5432">
                                    <w:rPr>
                                      <w:b/>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1171" id="Testu-koadroa 7" o:spid="_x0000_s1028" type="#_x0000_t202" style="position:absolute;left:0;text-align:left;margin-left:1.05pt;margin-top:108.05pt;width:3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" filled="f" stroked="f" strokeweight=".5pt">
                      <v:textbox>
                        <w:txbxContent>
                          <w:p w14:paraId="04E50506" w14:textId="77777777" w:rsidR="001F7D88" w:rsidRPr="004F5432" w:rsidRDefault="001F7D88" w:rsidP="001F7D88">
                            <w:pPr>
                              <w:rPr>
                                <w:b/>
                                <w:sz w:val="32"/>
                                <w:szCs w:val="32"/>
                              </w:rPr>
                            </w:pPr>
                            <w:r w:rsidRPr="004F5432">
                              <w:rPr>
                                <w:b/>
                                <w:sz w:val="32"/>
                                <w:szCs w:val="32"/>
                              </w:rPr>
                              <w:t>c</w:t>
                            </w:r>
                          </w:p>
                        </w:txbxContent>
                      </v:textbox>
                    </v:shape>
                  </w:pict>
                </mc:Fallback>
              </mc:AlternateContent>
            </w:r>
            <w:r w:rsidRPr="004F5432">
              <w:rPr>
                <w:lang w:eastAsia="es-ES"/>
              </w:rPr>
              <w:drawing>
                <wp:inline distT="0" distB="0" distL="0" distR="0" wp14:anchorId="1B408573" wp14:editId="704712C1">
                  <wp:extent cx="2406650" cy="1804987"/>
                  <wp:effectExtent l="0" t="0" r="0" b="5080"/>
                  <wp:docPr id="3" name="Irudia 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 3" descr="Imagen en blanco y negro&#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5108" cy="1818830"/>
                          </a:xfrm>
                          <a:prstGeom prst="rect">
                            <a:avLst/>
                          </a:prstGeom>
                        </pic:spPr>
                      </pic:pic>
                    </a:graphicData>
                  </a:graphic>
                </wp:inline>
              </w:drawing>
            </w:r>
          </w:p>
        </w:tc>
        <w:tc>
          <w:tcPr>
            <w:tcW w:w="4267" w:type="dxa"/>
          </w:tcPr>
          <w:p w14:paraId="5A6D11FA" w14:textId="77777777" w:rsidR="001F7D88" w:rsidRPr="004F5432" w:rsidRDefault="001F7D88" w:rsidP="00F261D9">
            <w:r w:rsidRPr="004F5432">
              <w:rPr>
                <w:lang w:eastAsia="es-ES"/>
              </w:rPr>
              <mc:AlternateContent>
                <mc:Choice Requires="wps">
                  <w:drawing>
                    <wp:anchor distT="0" distB="0" distL="114300" distR="114300" simplePos="0" relativeHeight="251661312" behindDoc="0" locked="0" layoutInCell="1" allowOverlap="1" wp14:anchorId="2C746AD1" wp14:editId="3CCC4E28">
                      <wp:simplePos x="0" y="0"/>
                      <wp:positionH relativeFrom="column">
                        <wp:posOffset>26035</wp:posOffset>
                      </wp:positionH>
                      <wp:positionV relativeFrom="paragraph">
                        <wp:posOffset>1393825</wp:posOffset>
                      </wp:positionV>
                      <wp:extent cx="393700" cy="285750"/>
                      <wp:effectExtent l="0" t="0" r="0" b="0"/>
                      <wp:wrapNone/>
                      <wp:docPr id="81177402" name="Testu-koadroa 5"/>
                      <wp:cNvGraphicFramePr/>
                      <a:graphic xmlns:a="http://schemas.openxmlformats.org/drawingml/2006/main">
                        <a:graphicData uri="http://schemas.microsoft.com/office/word/2010/wordprocessingShape">
                          <wps:wsp>
                            <wps:cNvSpPr txBox="1"/>
                            <wps:spPr>
                              <a:xfrm>
                                <a:off x="0" y="0"/>
                                <a:ext cx="393700" cy="285750"/>
                              </a:xfrm>
                              <a:prstGeom prst="rect">
                                <a:avLst/>
                              </a:prstGeom>
                              <a:noFill/>
                              <a:ln w="6350">
                                <a:noFill/>
                              </a:ln>
                            </wps:spPr>
                            <wps:txbx>
                              <w:txbxContent>
                                <w:p w14:paraId="1A266E07" w14:textId="77777777" w:rsidR="001F7D88" w:rsidRPr="004F5432" w:rsidRDefault="001F7D88" w:rsidP="001F7D88">
                                  <w:pPr>
                                    <w:rPr>
                                      <w:b/>
                                      <w:sz w:val="32"/>
                                      <w:szCs w:val="32"/>
                                    </w:rPr>
                                  </w:pPr>
                                  <w:r w:rsidRPr="004F5432">
                                    <w:rPr>
                                      <w:b/>
                                      <w:sz w:val="32"/>
                                      <w:szCs w:val="3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46AD1" id="Testu-koadroa 5" o:spid="_x0000_s1029" type="#_x0000_t202" style="position:absolute;left:0;text-align:left;margin-left:2.05pt;margin-top:109.75pt;width:3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" filled="f" stroked="f" strokeweight=".5pt">
                      <v:textbox>
                        <w:txbxContent>
                          <w:p w14:paraId="1A266E07" w14:textId="77777777" w:rsidR="001F7D88" w:rsidRPr="004F5432" w:rsidRDefault="001F7D88" w:rsidP="001F7D88">
                            <w:pPr>
                              <w:rPr>
                                <w:b/>
                                <w:sz w:val="32"/>
                                <w:szCs w:val="32"/>
                              </w:rPr>
                            </w:pPr>
                            <w:r w:rsidRPr="004F5432">
                              <w:rPr>
                                <w:b/>
                                <w:sz w:val="32"/>
                                <w:szCs w:val="32"/>
                              </w:rPr>
                              <w:t>d</w:t>
                            </w:r>
                          </w:p>
                        </w:txbxContent>
                      </v:textbox>
                    </v:shape>
                  </w:pict>
                </mc:Fallback>
              </mc:AlternateContent>
            </w:r>
            <w:r w:rsidRPr="004F5432">
              <w:rPr>
                <w:lang w:eastAsia="es-ES"/>
              </w:rPr>
              <w:drawing>
                <wp:inline distT="0" distB="0" distL="0" distR="0" wp14:anchorId="76809E0C" wp14:editId="08345E37">
                  <wp:extent cx="2406650" cy="1804988"/>
                  <wp:effectExtent l="0" t="0" r="0" b="5080"/>
                  <wp:docPr id="4" name="Irudia 4"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udia 4" descr="Imagen que contiene alimentos&#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2533" cy="1824400"/>
                          </a:xfrm>
                          <a:prstGeom prst="rect">
                            <a:avLst/>
                          </a:prstGeom>
                        </pic:spPr>
                      </pic:pic>
                    </a:graphicData>
                  </a:graphic>
                </wp:inline>
              </w:drawing>
            </w:r>
          </w:p>
        </w:tc>
      </w:tr>
    </w:tbl>
    <w:p w14:paraId="2AC133F2" w14:textId="77777777" w:rsidR="001F7D88" w:rsidRPr="004F5432" w:rsidRDefault="001F7D88" w:rsidP="001F7D88">
      <w:pPr>
        <w:pStyle w:val="CETBodytext"/>
        <w:jc w:val="center"/>
        <w:rPr>
          <w:rStyle w:val="CETCaptionCarattere"/>
        </w:rPr>
      </w:pPr>
    </w:p>
    <w:p w14:paraId="50F2897A" w14:textId="3F97FA16" w:rsidR="001F7D88" w:rsidRPr="004F5432" w:rsidRDefault="001F7D88" w:rsidP="001F7D88">
      <w:pPr>
        <w:pStyle w:val="CETBodytext"/>
        <w:spacing w:after="120"/>
        <w:jc w:val="center"/>
        <w:rPr>
          <w:i/>
          <w:lang w:val="en-GB"/>
        </w:rPr>
      </w:pPr>
      <w:r w:rsidRPr="004F5432">
        <w:rPr>
          <w:rStyle w:val="CETCaptionCarattere"/>
        </w:rPr>
        <w:t>Figure 1: SEM images of A</w:t>
      </w:r>
      <w:r w:rsidR="00387865" w:rsidRPr="004F5432">
        <w:rPr>
          <w:rStyle w:val="CETCaptionCarattere"/>
        </w:rPr>
        <w:t>P</w:t>
      </w:r>
      <w:r w:rsidRPr="004F5432">
        <w:rPr>
          <w:rStyle w:val="CETCaptionCarattere"/>
        </w:rPr>
        <w:t>BC-1S (a, b) and A</w:t>
      </w:r>
      <w:r w:rsidR="00387865" w:rsidRPr="004F5432">
        <w:rPr>
          <w:rStyle w:val="CETCaptionCarattere"/>
        </w:rPr>
        <w:t>P</w:t>
      </w:r>
      <w:r w:rsidRPr="004F5432">
        <w:rPr>
          <w:rStyle w:val="CETCaptionCarattere"/>
        </w:rPr>
        <w:t>BC-2S (c, d)</w:t>
      </w:r>
      <w:r w:rsidRPr="004F5432">
        <w:rPr>
          <w:i/>
          <w:lang w:val="en-GB"/>
        </w:rPr>
        <w:t>.</w:t>
      </w:r>
    </w:p>
    <w:p w14:paraId="039100DD" w14:textId="7ED23D66" w:rsidR="001F7D88" w:rsidRPr="004F5432" w:rsidRDefault="001F7D88" w:rsidP="001F7D88">
      <w:pPr>
        <w:spacing w:after="120"/>
        <w:rPr>
          <w:highlight w:val="cyan"/>
        </w:rPr>
      </w:pPr>
      <w:r w:rsidRPr="004F5432">
        <w:t>The morphology of both samples’ surfaces is different, with smaller pore sizes and a rougher surface texture in A</w:t>
      </w:r>
      <w:r w:rsidR="00387865" w:rsidRPr="004F5432">
        <w:t>P</w:t>
      </w:r>
      <w:r w:rsidRPr="004F5432">
        <w:t>BC-2S sample, in which some of the AP original structure of irregular polyhedral cells was partially conserved. On the contrary, A</w:t>
      </w:r>
      <w:r w:rsidR="00387865" w:rsidRPr="004F5432">
        <w:t>P</w:t>
      </w:r>
      <w:r w:rsidRPr="004F5432">
        <w:t xml:space="preserve">BC-1S sample presented a flat surface with no texture, maybe related to the more explosive treatment performed in the simultaneous pyrolysis and chemical activation. </w:t>
      </w:r>
    </w:p>
    <w:p w14:paraId="4F3D89E4" w14:textId="5251ED03" w:rsidR="00F00CF8" w:rsidRPr="004F5432" w:rsidRDefault="00446418" w:rsidP="00446418">
      <w:pPr>
        <w:rPr>
          <w:rFonts w:cs="Arial"/>
          <w:szCs w:val="18"/>
          <w:shd w:val="clear" w:color="auto" w:fill="FCFCFC"/>
        </w:rPr>
      </w:pPr>
      <w:r w:rsidRPr="004F5432">
        <w:rPr>
          <w:rFonts w:cs="Arial"/>
          <w:szCs w:val="18"/>
          <w:shd w:val="clear" w:color="auto" w:fill="FCFCFC"/>
        </w:rPr>
        <w:t xml:space="preserve">The </w:t>
      </w:r>
      <w:r w:rsidR="004B1C2D" w:rsidRPr="004F5432">
        <w:t>Attenuated Total Reflection-Fourier Transformed Infrared Spectroscopy</w:t>
      </w:r>
      <w:r w:rsidR="004B1C2D" w:rsidRPr="004F5432">
        <w:rPr>
          <w:shd w:val="clear" w:color="auto" w:fill="FCFCFC"/>
        </w:rPr>
        <w:t xml:space="preserve"> (</w:t>
      </w:r>
      <w:r w:rsidRPr="004F5432">
        <w:rPr>
          <w:rFonts w:cs="Arial"/>
          <w:szCs w:val="18"/>
          <w:shd w:val="clear" w:color="auto" w:fill="FCFCFC"/>
        </w:rPr>
        <w:t>ATR-FTIR</w:t>
      </w:r>
      <w:r w:rsidR="004B1C2D" w:rsidRPr="004F5432">
        <w:rPr>
          <w:rFonts w:cs="Arial"/>
          <w:szCs w:val="18"/>
          <w:shd w:val="clear" w:color="auto" w:fill="FCFCFC"/>
        </w:rPr>
        <w:t>)</w:t>
      </w:r>
      <w:r w:rsidRPr="004F5432">
        <w:rPr>
          <w:rFonts w:cs="Arial"/>
          <w:szCs w:val="18"/>
          <w:shd w:val="clear" w:color="auto" w:fill="FCFCFC"/>
        </w:rPr>
        <w:t xml:space="preserve"> spectra of</w:t>
      </w:r>
      <w:r w:rsidR="00DF2140" w:rsidRPr="004F5432">
        <w:rPr>
          <w:rFonts w:cs="Arial"/>
          <w:szCs w:val="18"/>
          <w:shd w:val="clear" w:color="auto" w:fill="FCFCFC"/>
        </w:rPr>
        <w:t xml:space="preserve"> AP</w:t>
      </w:r>
      <w:r w:rsidRPr="004F5432">
        <w:rPr>
          <w:rFonts w:cs="Arial"/>
          <w:szCs w:val="18"/>
          <w:shd w:val="clear" w:color="auto" w:fill="FCFCFC"/>
        </w:rPr>
        <w:t xml:space="preserve"> biomass (Figure 2) revealed </w:t>
      </w:r>
      <w:r w:rsidRPr="004F5432">
        <w:rPr>
          <w:rFonts w:cs="Arial"/>
          <w:szCs w:val="18"/>
        </w:rPr>
        <w:t>transmittance bands of functional group characteristics of lignocellulosic materials, including cellulose, </w:t>
      </w:r>
      <w:r w:rsidR="006406DC" w:rsidRPr="004F5432">
        <w:rPr>
          <w:rFonts w:cs="Arial"/>
          <w:szCs w:val="18"/>
        </w:rPr>
        <w:t>hemicellulose,</w:t>
      </w:r>
      <w:r w:rsidRPr="004F5432">
        <w:rPr>
          <w:rFonts w:cs="Arial"/>
          <w:szCs w:val="18"/>
        </w:rPr>
        <w:t> and lignin</w:t>
      </w:r>
      <w:r w:rsidRPr="004F5432">
        <w:rPr>
          <w:rFonts w:cs="Arial"/>
          <w:szCs w:val="18"/>
          <w:shd w:val="clear" w:color="auto" w:fill="FCFCFC"/>
        </w:rPr>
        <w:t>. Thus, the most prominent peaks in the spectrum were originated from –OH stretching vibration (3350 cm</w:t>
      </w:r>
      <w:r w:rsidRPr="004F5432">
        <w:rPr>
          <w:rFonts w:cs="Arial"/>
          <w:szCs w:val="18"/>
          <w:shd w:val="clear" w:color="auto" w:fill="FCFCFC"/>
          <w:vertAlign w:val="superscript"/>
        </w:rPr>
        <w:t>−1</w:t>
      </w:r>
      <w:r w:rsidRPr="004F5432">
        <w:rPr>
          <w:rFonts w:cs="Arial"/>
          <w:szCs w:val="18"/>
          <w:shd w:val="clear" w:color="auto" w:fill="FCFCFC"/>
        </w:rPr>
        <w:t xml:space="preserve">) and </w:t>
      </w:r>
      <w:r w:rsidRPr="004F5432">
        <w:rPr>
          <w:rFonts w:cs="Arial"/>
          <w:szCs w:val="18"/>
        </w:rPr>
        <w:t>C-O (primary alcohols), C=C and C-O-C stretching</w:t>
      </w:r>
      <w:r w:rsidRPr="004F5432">
        <w:rPr>
          <w:rFonts w:cs="Arial"/>
          <w:szCs w:val="18"/>
          <w:shd w:val="clear" w:color="auto" w:fill="FCFCFC"/>
        </w:rPr>
        <w:t xml:space="preserve"> symmetric stretching vibrations (1042 cm</w:t>
      </w:r>
      <w:r w:rsidRPr="004F5432">
        <w:rPr>
          <w:rFonts w:cs="Arial"/>
          <w:szCs w:val="18"/>
          <w:shd w:val="clear" w:color="auto" w:fill="FCFCFC"/>
          <w:vertAlign w:val="superscript"/>
        </w:rPr>
        <w:t>−1</w:t>
      </w:r>
      <w:r w:rsidRPr="004F5432">
        <w:rPr>
          <w:rFonts w:cs="Arial"/>
          <w:szCs w:val="18"/>
          <w:shd w:val="clear" w:color="auto" w:fill="FCFCFC"/>
        </w:rPr>
        <w:t>).</w:t>
      </w:r>
      <w:r w:rsidR="00BF2793" w:rsidRPr="004F5432">
        <w:rPr>
          <w:rFonts w:cs="Arial"/>
          <w:szCs w:val="18"/>
          <w:shd w:val="clear" w:color="auto" w:fill="FCFCFC"/>
        </w:rPr>
        <w:t xml:space="preserve"> </w:t>
      </w:r>
      <w:r w:rsidR="00B17A19" w:rsidRPr="004F5432">
        <w:rPr>
          <w:rFonts w:cs="Arial"/>
          <w:szCs w:val="18"/>
          <w:shd w:val="clear" w:color="auto" w:fill="FCFCFC"/>
        </w:rPr>
        <w:t>The peak at 1421 cm</w:t>
      </w:r>
      <w:r w:rsidR="00B17A19" w:rsidRPr="004F5432">
        <w:rPr>
          <w:rFonts w:eastAsia="Arial" w:cs="Arial"/>
          <w:szCs w:val="18"/>
          <w:shd w:val="clear" w:color="auto" w:fill="FCFCFC"/>
          <w:vertAlign w:val="superscript"/>
        </w:rPr>
        <w:t>-1</w:t>
      </w:r>
      <w:r w:rsidR="00B17A19" w:rsidRPr="004F5432">
        <w:rPr>
          <w:rFonts w:cs="Arial"/>
          <w:szCs w:val="18"/>
          <w:shd w:val="clear" w:color="auto" w:fill="FCFCFC"/>
        </w:rPr>
        <w:t xml:space="preserve"> </w:t>
      </w:r>
      <w:r w:rsidR="00D55CE4" w:rsidRPr="004F5432">
        <w:rPr>
          <w:rFonts w:cs="Arial"/>
          <w:szCs w:val="18"/>
          <w:shd w:val="clear" w:color="auto" w:fill="FCFCFC"/>
        </w:rPr>
        <w:t>is attributed to</w:t>
      </w:r>
      <w:r w:rsidR="00B17A19" w:rsidRPr="004F5432">
        <w:rPr>
          <w:rFonts w:cs="Arial"/>
          <w:szCs w:val="18"/>
          <w:shd w:val="clear" w:color="auto" w:fill="FCFCFC"/>
        </w:rPr>
        <w:t xml:space="preserve"> the skeletal vibration of the aromatic </w:t>
      </w:r>
      <w:r w:rsidR="00B17A19" w:rsidRPr="004F5432">
        <w:rPr>
          <w:rFonts w:cs="Arial"/>
          <w:szCs w:val="18"/>
          <w:shd w:val="clear" w:color="auto" w:fill="FCFCFC"/>
        </w:rPr>
        <w:lastRenderedPageBreak/>
        <w:t>ring in lignin carbon, and peaks at 12</w:t>
      </w:r>
      <w:r w:rsidR="0084256D" w:rsidRPr="004F5432">
        <w:rPr>
          <w:rFonts w:cs="Arial"/>
          <w:szCs w:val="18"/>
          <w:shd w:val="clear" w:color="auto" w:fill="FCFCFC"/>
        </w:rPr>
        <w:t>3</w:t>
      </w:r>
      <w:r w:rsidR="00B17A19" w:rsidRPr="004F5432">
        <w:rPr>
          <w:rFonts w:cs="Arial"/>
          <w:szCs w:val="18"/>
          <w:shd w:val="clear" w:color="auto" w:fill="FCFCFC"/>
        </w:rPr>
        <w:t>4 and 110</w:t>
      </w:r>
      <w:r w:rsidR="002A1AF2" w:rsidRPr="004F5432">
        <w:rPr>
          <w:rFonts w:cs="Arial"/>
          <w:szCs w:val="18"/>
          <w:shd w:val="clear" w:color="auto" w:fill="FCFCFC"/>
        </w:rPr>
        <w:t>8</w:t>
      </w:r>
      <w:r w:rsidR="00B17A19" w:rsidRPr="004F5432">
        <w:rPr>
          <w:rFonts w:cs="Arial"/>
          <w:szCs w:val="18"/>
          <w:shd w:val="clear" w:color="auto" w:fill="FCFCFC"/>
        </w:rPr>
        <w:t xml:space="preserve"> cm</w:t>
      </w:r>
      <w:r w:rsidR="00B17A19" w:rsidRPr="004F5432">
        <w:rPr>
          <w:rFonts w:eastAsia="Arial" w:cs="Arial"/>
          <w:szCs w:val="18"/>
          <w:shd w:val="clear" w:color="auto" w:fill="FCFCFC"/>
          <w:vertAlign w:val="superscript"/>
        </w:rPr>
        <w:t>-1</w:t>
      </w:r>
      <w:r w:rsidR="00B17A19" w:rsidRPr="004F5432">
        <w:rPr>
          <w:rFonts w:cs="Arial"/>
          <w:szCs w:val="18"/>
          <w:shd w:val="clear" w:color="auto" w:fill="FCFCFC"/>
        </w:rPr>
        <w:t xml:space="preserve"> corresponded to C–O stretching vibration and the aromatic C–H stretching in </w:t>
      </w:r>
      <w:r w:rsidR="002A1AF2" w:rsidRPr="004F5432">
        <w:rPr>
          <w:rFonts w:cs="Arial"/>
          <w:szCs w:val="18"/>
          <w:shd w:val="clear" w:color="auto" w:fill="FCFCFC"/>
        </w:rPr>
        <w:t>guaiac</w:t>
      </w:r>
      <w:r w:rsidR="003E7597" w:rsidRPr="004F5432">
        <w:rPr>
          <w:rFonts w:cs="Arial"/>
          <w:szCs w:val="18"/>
          <w:shd w:val="clear" w:color="auto" w:fill="FCFCFC"/>
        </w:rPr>
        <w:t>y</w:t>
      </w:r>
      <w:r w:rsidR="002A1AF2" w:rsidRPr="004F5432">
        <w:rPr>
          <w:rFonts w:cs="Arial"/>
          <w:szCs w:val="18"/>
          <w:shd w:val="clear" w:color="auto" w:fill="FCFCFC"/>
        </w:rPr>
        <w:t>l</w:t>
      </w:r>
      <w:r w:rsidR="00B17A19" w:rsidRPr="004F5432">
        <w:rPr>
          <w:rFonts w:cs="Arial"/>
          <w:szCs w:val="18"/>
          <w:shd w:val="clear" w:color="auto" w:fill="FCFCFC"/>
        </w:rPr>
        <w:t xml:space="preserve"> units of lignin</w:t>
      </w:r>
      <w:r w:rsidR="00EB253F" w:rsidRPr="004F5432">
        <w:rPr>
          <w:rFonts w:cs="Arial"/>
          <w:szCs w:val="18"/>
          <w:shd w:val="clear" w:color="auto" w:fill="FCFCFC"/>
        </w:rPr>
        <w:t>. In addition, the heterogeneity of functional groups and,</w:t>
      </w:r>
      <w:r w:rsidR="00EB253F" w:rsidRPr="004F5432">
        <w:rPr>
          <w:rFonts w:cs="Arial"/>
          <w:szCs w:val="18"/>
        </w:rPr>
        <w:t xml:space="preserve"> </w:t>
      </w:r>
      <w:r w:rsidR="00EB253F" w:rsidRPr="004F5432">
        <w:rPr>
          <w:rFonts w:cs="Arial"/>
          <w:szCs w:val="18"/>
          <w:shd w:val="clear" w:color="auto" w:fill="FCFCFC"/>
        </w:rPr>
        <w:t>consequently, of components on the surface of the material was demonstrated by the high number of sharp peaks between 1100-1800 cm</w:t>
      </w:r>
      <w:r w:rsidR="00EB253F" w:rsidRPr="004F5432">
        <w:rPr>
          <w:rFonts w:cs="Arial"/>
          <w:szCs w:val="18"/>
          <w:shd w:val="clear" w:color="auto" w:fill="FCFCFC"/>
          <w:vertAlign w:val="superscript"/>
        </w:rPr>
        <w:t>-1</w:t>
      </w:r>
      <w:r w:rsidR="006B034E" w:rsidRPr="004F5432">
        <w:rPr>
          <w:rFonts w:cs="Arial"/>
          <w:szCs w:val="18"/>
        </w:rPr>
        <w:t xml:space="preserve"> </w:t>
      </w:r>
      <w:r w:rsidR="00B17A19" w:rsidRPr="004F5432">
        <w:rPr>
          <w:rFonts w:cs="Arial"/>
          <w:szCs w:val="18"/>
          <w:shd w:val="clear" w:color="auto" w:fill="FCFCFC"/>
        </w:rPr>
        <w:t>(</w:t>
      </w:r>
      <w:r w:rsidR="006B034E" w:rsidRPr="004F5432">
        <w:rPr>
          <w:rFonts w:cs="Arial"/>
          <w:szCs w:val="18"/>
        </w:rPr>
        <w:t>Kundu</w:t>
      </w:r>
      <w:r w:rsidR="00B17A19" w:rsidRPr="004F5432">
        <w:rPr>
          <w:rFonts w:cs="Arial"/>
          <w:szCs w:val="18"/>
          <w:shd w:val="clear" w:color="auto" w:fill="FCFCFC"/>
        </w:rPr>
        <w:t xml:space="preserve"> et al., 202</w:t>
      </w:r>
      <w:r w:rsidR="006B034E" w:rsidRPr="004F5432">
        <w:rPr>
          <w:rFonts w:cs="Arial"/>
          <w:szCs w:val="18"/>
          <w:shd w:val="clear" w:color="auto" w:fill="FCFCFC"/>
        </w:rPr>
        <w:t>3</w:t>
      </w:r>
      <w:r w:rsidR="00B17A19" w:rsidRPr="004F5432">
        <w:rPr>
          <w:rFonts w:cs="Arial"/>
          <w:szCs w:val="18"/>
          <w:shd w:val="clear" w:color="auto" w:fill="FCFCFC"/>
        </w:rPr>
        <w:t xml:space="preserve">). </w:t>
      </w:r>
      <w:r w:rsidR="00B31AF9" w:rsidRPr="004F5432">
        <w:rPr>
          <w:rFonts w:cs="Arial"/>
          <w:szCs w:val="18"/>
          <w:shd w:val="clear" w:color="auto" w:fill="FCFCFC"/>
        </w:rPr>
        <w:t>Some of t</w:t>
      </w:r>
      <w:r w:rsidR="006577B8" w:rsidRPr="004F5432">
        <w:rPr>
          <w:rFonts w:cs="Arial"/>
          <w:szCs w:val="18"/>
          <w:shd w:val="clear" w:color="auto" w:fill="FCFCFC"/>
        </w:rPr>
        <w:t>he peak</w:t>
      </w:r>
      <w:r w:rsidR="00C75430" w:rsidRPr="004F5432">
        <w:rPr>
          <w:rFonts w:cs="Arial"/>
          <w:szCs w:val="18"/>
          <w:shd w:val="clear" w:color="auto" w:fill="FCFCFC"/>
        </w:rPr>
        <w:t>s</w:t>
      </w:r>
      <w:r w:rsidR="006577B8" w:rsidRPr="004F5432">
        <w:rPr>
          <w:rFonts w:cs="Arial"/>
          <w:szCs w:val="18"/>
          <w:shd w:val="clear" w:color="auto" w:fill="FCFCFC"/>
        </w:rPr>
        <w:t xml:space="preserve"> a</w:t>
      </w:r>
      <w:r w:rsidR="00F10240" w:rsidRPr="004F5432">
        <w:rPr>
          <w:rFonts w:cs="Arial"/>
          <w:szCs w:val="18"/>
          <w:shd w:val="clear" w:color="auto" w:fill="FCFCFC"/>
        </w:rPr>
        <w:t>round</w:t>
      </w:r>
      <w:r w:rsidR="006577B8" w:rsidRPr="004F5432">
        <w:rPr>
          <w:rFonts w:cs="Arial"/>
          <w:szCs w:val="18"/>
          <w:shd w:val="clear" w:color="auto" w:fill="FCFCFC"/>
        </w:rPr>
        <w:t xml:space="preserve"> 16</w:t>
      </w:r>
      <w:r w:rsidR="00F10240" w:rsidRPr="004F5432">
        <w:rPr>
          <w:rFonts w:cs="Arial"/>
          <w:szCs w:val="18"/>
          <w:shd w:val="clear" w:color="auto" w:fill="FCFCFC"/>
        </w:rPr>
        <w:t>00</w:t>
      </w:r>
      <w:r w:rsidR="006577B8" w:rsidRPr="004F5432">
        <w:rPr>
          <w:rFonts w:cs="Arial"/>
          <w:szCs w:val="18"/>
          <w:shd w:val="clear" w:color="auto" w:fill="FCFCFC"/>
        </w:rPr>
        <w:t xml:space="preserve"> cm</w:t>
      </w:r>
      <w:r w:rsidR="006577B8" w:rsidRPr="004F5432">
        <w:rPr>
          <w:rFonts w:eastAsia="Arial" w:cs="Arial"/>
          <w:szCs w:val="18"/>
          <w:shd w:val="clear" w:color="auto" w:fill="FCFCFC"/>
          <w:vertAlign w:val="superscript"/>
        </w:rPr>
        <w:t>-1</w:t>
      </w:r>
      <w:r w:rsidR="006577B8" w:rsidRPr="004F5432">
        <w:rPr>
          <w:rFonts w:cs="Arial"/>
          <w:szCs w:val="18"/>
          <w:shd w:val="clear" w:color="auto" w:fill="FCFCFC"/>
        </w:rPr>
        <w:t xml:space="preserve"> </w:t>
      </w:r>
      <w:r w:rsidR="00264145" w:rsidRPr="004F5432">
        <w:rPr>
          <w:rFonts w:cs="Arial"/>
          <w:szCs w:val="18"/>
          <w:shd w:val="clear" w:color="auto" w:fill="FCFCFC"/>
        </w:rPr>
        <w:t>(aromatic C=C stretching in lignin)</w:t>
      </w:r>
      <w:r w:rsidR="007E2D78" w:rsidRPr="004F5432">
        <w:rPr>
          <w:rFonts w:cs="Arial"/>
          <w:szCs w:val="18"/>
          <w:shd w:val="clear" w:color="auto" w:fill="FCFCFC"/>
        </w:rPr>
        <w:t xml:space="preserve">, 1450 </w:t>
      </w:r>
      <w:r w:rsidR="00D13078" w:rsidRPr="004F5432">
        <w:rPr>
          <w:rFonts w:cs="Arial"/>
          <w:szCs w:val="18"/>
          <w:shd w:val="clear" w:color="auto" w:fill="FCFCFC"/>
        </w:rPr>
        <w:t>cm</w:t>
      </w:r>
      <w:r w:rsidR="00D13078" w:rsidRPr="004F5432">
        <w:rPr>
          <w:rFonts w:eastAsia="Arial" w:cs="Arial"/>
          <w:szCs w:val="18"/>
          <w:shd w:val="clear" w:color="auto" w:fill="FCFCFC"/>
          <w:vertAlign w:val="superscript"/>
        </w:rPr>
        <w:t>-1</w:t>
      </w:r>
      <w:r w:rsidR="00D13078" w:rsidRPr="004F5432">
        <w:rPr>
          <w:rFonts w:cs="Arial"/>
          <w:szCs w:val="18"/>
          <w:shd w:val="clear" w:color="auto" w:fill="FCFCFC"/>
        </w:rPr>
        <w:t xml:space="preserve"> </w:t>
      </w:r>
      <w:r w:rsidR="007E2D78" w:rsidRPr="004F5432">
        <w:rPr>
          <w:rFonts w:cs="Arial"/>
          <w:szCs w:val="18"/>
          <w:shd w:val="clear" w:color="auto" w:fill="FCFCFC"/>
        </w:rPr>
        <w:t>(</w:t>
      </w:r>
      <w:r w:rsidR="00F00CF8" w:rsidRPr="004F5432">
        <w:rPr>
          <w:rFonts w:cs="Arial"/>
          <w:szCs w:val="18"/>
          <w:shd w:val="clear" w:color="auto" w:fill="FCFCFC"/>
        </w:rPr>
        <w:t>C-H deformation in lignin and carbohydrates), 12</w:t>
      </w:r>
      <w:r w:rsidR="00290743" w:rsidRPr="004F5432">
        <w:rPr>
          <w:rFonts w:cs="Arial"/>
          <w:szCs w:val="18"/>
          <w:shd w:val="clear" w:color="auto" w:fill="FCFCFC"/>
        </w:rPr>
        <w:t>3</w:t>
      </w:r>
      <w:r w:rsidR="00F00CF8" w:rsidRPr="004F5432">
        <w:rPr>
          <w:rFonts w:cs="Arial"/>
          <w:szCs w:val="18"/>
          <w:shd w:val="clear" w:color="auto" w:fill="FCFCFC"/>
        </w:rPr>
        <w:t xml:space="preserve">0 </w:t>
      </w:r>
      <w:r w:rsidR="00092A55" w:rsidRPr="004F5432">
        <w:rPr>
          <w:rFonts w:cs="Arial"/>
          <w:szCs w:val="18"/>
          <w:shd w:val="clear" w:color="auto" w:fill="FCFCFC"/>
        </w:rPr>
        <w:t>cm</w:t>
      </w:r>
      <w:r w:rsidR="00092A55" w:rsidRPr="004F5432">
        <w:rPr>
          <w:rFonts w:eastAsia="Arial" w:cs="Arial"/>
          <w:szCs w:val="18"/>
          <w:shd w:val="clear" w:color="auto" w:fill="FCFCFC"/>
          <w:vertAlign w:val="superscript"/>
        </w:rPr>
        <w:t>-1</w:t>
      </w:r>
      <w:r w:rsidR="00092A55" w:rsidRPr="004F5432">
        <w:rPr>
          <w:rFonts w:cs="Arial"/>
          <w:szCs w:val="18"/>
          <w:shd w:val="clear" w:color="auto" w:fill="FCFCFC"/>
        </w:rPr>
        <w:t xml:space="preserve"> </w:t>
      </w:r>
      <w:r w:rsidR="00D13078" w:rsidRPr="004F5432">
        <w:rPr>
          <w:rFonts w:cs="Arial"/>
          <w:szCs w:val="18"/>
          <w:shd w:val="clear" w:color="auto" w:fill="FCFCFC"/>
        </w:rPr>
        <w:t>(C-O stretching in lignin)</w:t>
      </w:r>
      <w:r w:rsidR="0033094D" w:rsidRPr="004F5432">
        <w:rPr>
          <w:rFonts w:cs="Arial"/>
          <w:szCs w:val="18"/>
          <w:shd w:val="clear" w:color="auto" w:fill="FCFCFC"/>
        </w:rPr>
        <w:t xml:space="preserve">, 1040 </w:t>
      </w:r>
      <w:r w:rsidR="00092A55" w:rsidRPr="004F5432">
        <w:rPr>
          <w:rFonts w:cs="Arial"/>
          <w:szCs w:val="18"/>
          <w:shd w:val="clear" w:color="auto" w:fill="FCFCFC"/>
        </w:rPr>
        <w:t>cm</w:t>
      </w:r>
      <w:r w:rsidR="00092A55" w:rsidRPr="004F5432">
        <w:rPr>
          <w:rFonts w:eastAsia="Arial" w:cs="Arial"/>
          <w:szCs w:val="18"/>
          <w:shd w:val="clear" w:color="auto" w:fill="FCFCFC"/>
          <w:vertAlign w:val="superscript"/>
        </w:rPr>
        <w:t xml:space="preserve">-1 </w:t>
      </w:r>
      <w:r w:rsidR="00092A55" w:rsidRPr="004F5432">
        <w:rPr>
          <w:rFonts w:eastAsia="Arial" w:cs="Arial"/>
          <w:szCs w:val="18"/>
          <w:shd w:val="clear" w:color="auto" w:fill="FCFCFC"/>
        </w:rPr>
        <w:t>(</w:t>
      </w:r>
      <w:r w:rsidR="00092A55" w:rsidRPr="004F5432">
        <w:rPr>
          <w:rFonts w:cs="Arial"/>
          <w:szCs w:val="18"/>
          <w:shd w:val="clear" w:color="auto" w:fill="FCFCFC"/>
        </w:rPr>
        <w:t>C-O stretching of carboxylic</w:t>
      </w:r>
      <w:r w:rsidR="00983A5F" w:rsidRPr="004F5432">
        <w:rPr>
          <w:rFonts w:cs="Arial"/>
          <w:szCs w:val="18"/>
          <w:shd w:val="clear" w:color="auto" w:fill="FCFCFC"/>
        </w:rPr>
        <w:t>, ester and ether groups in cellulose and hemicelluloses)</w:t>
      </w:r>
      <w:r w:rsidR="009343F2" w:rsidRPr="004F5432">
        <w:rPr>
          <w:rFonts w:cs="Arial"/>
          <w:szCs w:val="18"/>
          <w:shd w:val="clear" w:color="auto" w:fill="FCFCFC"/>
        </w:rPr>
        <w:t>, clearly visible in AP spectra</w:t>
      </w:r>
      <w:r w:rsidR="00B31AF9" w:rsidRPr="004F5432">
        <w:rPr>
          <w:rFonts w:cs="Arial"/>
          <w:szCs w:val="18"/>
          <w:shd w:val="clear" w:color="auto" w:fill="FCFCFC"/>
        </w:rPr>
        <w:t>,</w:t>
      </w:r>
      <w:r w:rsidR="009343F2" w:rsidRPr="004F5432">
        <w:rPr>
          <w:rFonts w:cs="Arial"/>
          <w:szCs w:val="18"/>
          <w:shd w:val="clear" w:color="auto" w:fill="FCFCFC"/>
        </w:rPr>
        <w:t xml:space="preserve"> </w:t>
      </w:r>
      <w:r w:rsidR="00CD5243" w:rsidRPr="004F5432">
        <w:rPr>
          <w:rFonts w:cs="Arial"/>
          <w:szCs w:val="18"/>
          <w:shd w:val="clear" w:color="auto" w:fill="FCFCFC"/>
        </w:rPr>
        <w:t xml:space="preserve">could be found in </w:t>
      </w:r>
      <w:r w:rsidR="00B31AF9" w:rsidRPr="004F5432">
        <w:rPr>
          <w:rFonts w:cs="Arial"/>
          <w:szCs w:val="18"/>
          <w:shd w:val="clear" w:color="auto" w:fill="FCFCFC"/>
        </w:rPr>
        <w:t>A</w:t>
      </w:r>
      <w:r w:rsidR="005D5363" w:rsidRPr="004F5432">
        <w:rPr>
          <w:rFonts w:cs="Arial"/>
          <w:szCs w:val="18"/>
          <w:shd w:val="clear" w:color="auto" w:fill="FCFCFC"/>
        </w:rPr>
        <w:t>P</w:t>
      </w:r>
      <w:r w:rsidR="00B31AF9" w:rsidRPr="004F5432">
        <w:rPr>
          <w:rFonts w:cs="Arial"/>
          <w:szCs w:val="18"/>
          <w:shd w:val="clear" w:color="auto" w:fill="FCFCFC"/>
        </w:rPr>
        <w:t>BC-2S</w:t>
      </w:r>
      <w:r w:rsidR="006651C1" w:rsidRPr="004F5432">
        <w:rPr>
          <w:rFonts w:cs="Arial"/>
          <w:szCs w:val="18"/>
          <w:shd w:val="clear" w:color="auto" w:fill="FCFCFC"/>
        </w:rPr>
        <w:t xml:space="preserve"> one but not so much in A</w:t>
      </w:r>
      <w:r w:rsidR="005D5363" w:rsidRPr="004F5432">
        <w:rPr>
          <w:rFonts w:cs="Arial"/>
          <w:szCs w:val="18"/>
          <w:shd w:val="clear" w:color="auto" w:fill="FCFCFC"/>
        </w:rPr>
        <w:t>P</w:t>
      </w:r>
      <w:r w:rsidR="006651C1" w:rsidRPr="004F5432">
        <w:rPr>
          <w:rFonts w:cs="Arial"/>
          <w:szCs w:val="18"/>
          <w:shd w:val="clear" w:color="auto" w:fill="FCFCFC"/>
        </w:rPr>
        <w:t xml:space="preserve">BC-1S spectra, evidencing differences in the abundancy of chemical groups </w:t>
      </w:r>
      <w:r w:rsidR="00EB253F" w:rsidRPr="004F5432">
        <w:rPr>
          <w:rFonts w:cs="Arial"/>
          <w:szCs w:val="18"/>
          <w:shd w:val="clear" w:color="auto" w:fill="FCFCFC"/>
        </w:rPr>
        <w:t>of both biochars</w:t>
      </w:r>
      <w:r w:rsidR="00261512" w:rsidRPr="004F5432">
        <w:rPr>
          <w:rFonts w:cs="Arial"/>
          <w:szCs w:val="18"/>
          <w:shd w:val="clear" w:color="auto" w:fill="FCFCFC"/>
        </w:rPr>
        <w:t xml:space="preserve"> (</w:t>
      </w:r>
      <w:r w:rsidR="00261512" w:rsidRPr="004F5432">
        <w:rPr>
          <w:rFonts w:cs="Arial"/>
          <w:szCs w:val="18"/>
        </w:rPr>
        <w:t>Siipola et al., 20</w:t>
      </w:r>
      <w:r w:rsidR="00FD2F60" w:rsidRPr="004F5432">
        <w:rPr>
          <w:rFonts w:cs="Arial"/>
          <w:szCs w:val="18"/>
        </w:rPr>
        <w:t>18)</w:t>
      </w:r>
      <w:r w:rsidR="00EB253F" w:rsidRPr="004F5432">
        <w:rPr>
          <w:rFonts w:cs="Arial"/>
          <w:szCs w:val="18"/>
          <w:shd w:val="clear" w:color="auto" w:fill="FCFCFC"/>
        </w:rPr>
        <w:t>.</w:t>
      </w:r>
    </w:p>
    <w:p w14:paraId="615B3C36" w14:textId="15F6B1ED" w:rsidR="004A1BE1" w:rsidRPr="004F5432" w:rsidRDefault="00055FBD" w:rsidP="00F25F1F">
      <w:pPr>
        <w:jc w:val="center"/>
        <w:rPr>
          <w:rFonts w:cs="Arial"/>
          <w:szCs w:val="18"/>
          <w:shd w:val="clear" w:color="auto" w:fill="FCFCFC"/>
        </w:rPr>
      </w:pPr>
      <w:r w:rsidRPr="004F5432">
        <w:rPr>
          <w:lang w:eastAsia="es-ES"/>
        </w:rPr>
        <w:drawing>
          <wp:inline distT="0" distB="0" distL="0" distR="0" wp14:anchorId="4CC1F568" wp14:editId="0C90C8A0">
            <wp:extent cx="3829685" cy="2971800"/>
            <wp:effectExtent l="0" t="0" r="0" b="0"/>
            <wp:docPr id="308003175"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03175" name="Imagen 1" descr="Gráfico&#10;&#10;Descripción generada automáticamente"/>
                    <pic:cNvPicPr>
                      <a:picLocks noChangeAspect="1" noChangeArrowheads="1"/>
                    </pic:cNvPicPr>
                  </pic:nvPicPr>
                  <pic:blipFill rotWithShape="1">
                    <a:blip r:embed="rId17">
                      <a:extLst>
                        <a:ext uri="{28A0092B-C50C-407E-A947-70E740481C1C}">
                          <a14:useLocalDpi xmlns:a14="http://schemas.microsoft.com/office/drawing/2010/main" val="0"/>
                        </a:ext>
                      </a:extLst>
                    </a:blip>
                    <a:srcRect l="10449" t="9530" r="9653" b="2786"/>
                    <a:stretch/>
                  </pic:blipFill>
                  <pic:spPr bwMode="auto">
                    <a:xfrm>
                      <a:off x="0" y="0"/>
                      <a:ext cx="3856318" cy="2992467"/>
                    </a:xfrm>
                    <a:prstGeom prst="rect">
                      <a:avLst/>
                    </a:prstGeom>
                    <a:noFill/>
                    <a:ln>
                      <a:noFill/>
                    </a:ln>
                    <a:extLst>
                      <a:ext uri="{53640926-AAD7-44D8-BBD7-CCE9431645EC}">
                        <a14:shadowObscured xmlns:a14="http://schemas.microsoft.com/office/drawing/2010/main"/>
                      </a:ext>
                    </a:extLst>
                  </pic:spPr>
                </pic:pic>
              </a:graphicData>
            </a:graphic>
          </wp:inline>
        </w:drawing>
      </w:r>
    </w:p>
    <w:p w14:paraId="0421DF07" w14:textId="3832D152" w:rsidR="004A1BE1" w:rsidRPr="004F5432" w:rsidRDefault="004A1BE1" w:rsidP="004A1BE1">
      <w:pPr>
        <w:pStyle w:val="CETBodytext"/>
        <w:jc w:val="center"/>
        <w:rPr>
          <w:i/>
          <w:lang w:val="en-GB"/>
        </w:rPr>
      </w:pPr>
      <w:r w:rsidRPr="004F5432">
        <w:rPr>
          <w:rStyle w:val="CETCaptionCarattere"/>
        </w:rPr>
        <w:t xml:space="preserve">Figure </w:t>
      </w:r>
      <w:r w:rsidR="00446418" w:rsidRPr="004F5432">
        <w:rPr>
          <w:rStyle w:val="CETCaptionCarattere"/>
        </w:rPr>
        <w:t>2</w:t>
      </w:r>
      <w:r w:rsidRPr="004F5432">
        <w:rPr>
          <w:rStyle w:val="CETCaptionCarattere"/>
        </w:rPr>
        <w:t xml:space="preserve">: ATR-FTIR spectra of </w:t>
      </w:r>
      <w:r w:rsidR="00F25F1F" w:rsidRPr="004F5432">
        <w:rPr>
          <w:rStyle w:val="CETCaptionCarattere"/>
        </w:rPr>
        <w:t xml:space="preserve">apple pruning (AP), </w:t>
      </w:r>
      <w:r w:rsidR="00E855CA" w:rsidRPr="004F5432">
        <w:rPr>
          <w:rStyle w:val="CETCaptionCarattere"/>
        </w:rPr>
        <w:t>A</w:t>
      </w:r>
      <w:r w:rsidR="00387865" w:rsidRPr="004F5432">
        <w:rPr>
          <w:rStyle w:val="CETCaptionCarattere"/>
        </w:rPr>
        <w:t>P</w:t>
      </w:r>
      <w:r w:rsidR="00E855CA" w:rsidRPr="004F5432">
        <w:rPr>
          <w:rStyle w:val="CETCaptionCarattere"/>
        </w:rPr>
        <w:t>BC-1S and A</w:t>
      </w:r>
      <w:r w:rsidR="00387865" w:rsidRPr="004F5432">
        <w:rPr>
          <w:rStyle w:val="CETCaptionCarattere"/>
        </w:rPr>
        <w:t>P</w:t>
      </w:r>
      <w:r w:rsidR="00E855CA" w:rsidRPr="004F5432">
        <w:rPr>
          <w:rStyle w:val="CETCaptionCarattere"/>
        </w:rPr>
        <w:t>BC-2S samples</w:t>
      </w:r>
      <w:r w:rsidR="00F25F1F" w:rsidRPr="004F5432">
        <w:rPr>
          <w:rStyle w:val="CETCaptionCarattere"/>
        </w:rPr>
        <w:t>.</w:t>
      </w:r>
    </w:p>
    <w:p w14:paraId="5506F297" w14:textId="4622301C" w:rsidR="00A7211F" w:rsidRPr="004F5432" w:rsidRDefault="004F37CA" w:rsidP="004F37CA">
      <w:pPr>
        <w:pStyle w:val="Sinespaciado"/>
      </w:pPr>
      <w:r w:rsidRPr="004F5432">
        <w:t xml:space="preserve">As for textural properties of </w:t>
      </w:r>
      <w:r w:rsidR="00D41F9E" w:rsidRPr="004F5432">
        <w:t>A</w:t>
      </w:r>
      <w:r w:rsidR="005D5363" w:rsidRPr="004F5432">
        <w:t>P</w:t>
      </w:r>
      <w:r w:rsidR="00D41F9E" w:rsidRPr="004F5432">
        <w:t>BC-1S and A</w:t>
      </w:r>
      <w:r w:rsidR="005D5363" w:rsidRPr="004F5432">
        <w:t>P</w:t>
      </w:r>
      <w:r w:rsidR="00D41F9E" w:rsidRPr="004F5432">
        <w:t>BC-2S</w:t>
      </w:r>
      <w:r w:rsidR="00835DB2" w:rsidRPr="004F5432">
        <w:t>, the</w:t>
      </w:r>
      <w:r w:rsidR="005879BA" w:rsidRPr="004F5432">
        <w:t xml:space="preserve"> porosity and surface properties are presented in Table 2</w:t>
      </w:r>
      <w:r w:rsidR="00A7211F" w:rsidRPr="004F5432">
        <w:t xml:space="preserve">, </w:t>
      </w:r>
      <w:r w:rsidR="00835DB2" w:rsidRPr="004F5432">
        <w:t>while</w:t>
      </w:r>
      <w:r w:rsidR="00A7211F" w:rsidRPr="004F5432">
        <w:t xml:space="preserve"> </w:t>
      </w:r>
      <w:r w:rsidRPr="004F5432">
        <w:t>N</w:t>
      </w:r>
      <w:r w:rsidRPr="004F5432">
        <w:rPr>
          <w:vertAlign w:val="subscript"/>
        </w:rPr>
        <w:t>2</w:t>
      </w:r>
      <w:r w:rsidRPr="004F5432">
        <w:t xml:space="preserve"> adsorption-desorption curves at -196 ºC and pore size distribution curves are shown in Figure </w:t>
      </w:r>
      <w:r w:rsidR="00CF1002" w:rsidRPr="004F5432">
        <w:t>3</w:t>
      </w:r>
      <w:r w:rsidRPr="004F5432">
        <w:t xml:space="preserve">. </w:t>
      </w:r>
    </w:p>
    <w:p w14:paraId="232D60DB" w14:textId="2BCEC827" w:rsidR="004F37CA" w:rsidRPr="004F5432" w:rsidRDefault="004F37CA" w:rsidP="00127D48">
      <w:pPr>
        <w:pStyle w:val="CETTabletitle"/>
        <w:spacing w:after="0"/>
      </w:pPr>
      <w:r w:rsidRPr="004F5432">
        <w:t xml:space="preserve">Table </w:t>
      </w:r>
      <w:r w:rsidR="00AA352E" w:rsidRPr="004F5432">
        <w:t>2</w:t>
      </w:r>
      <w:r w:rsidRPr="004F5432">
        <w:t>: Porosity and surface properties (Dubinin-Radushkevich).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417"/>
        <w:gridCol w:w="2269"/>
        <w:gridCol w:w="1648"/>
      </w:tblGrid>
      <w:tr w:rsidR="006918B3" w:rsidRPr="004F5432" w14:paraId="5512C9A1" w14:textId="77777777" w:rsidTr="006918B3">
        <w:tc>
          <w:tcPr>
            <w:tcW w:w="851" w:type="dxa"/>
            <w:tcBorders>
              <w:top w:val="single" w:sz="12" w:space="0" w:color="008000"/>
              <w:bottom w:val="single" w:sz="4" w:space="0" w:color="008000"/>
            </w:tcBorders>
            <w:shd w:val="clear" w:color="auto" w:fill="FFFFFF"/>
          </w:tcPr>
          <w:p w14:paraId="56806475" w14:textId="77777777" w:rsidR="006918B3" w:rsidRPr="004F5432" w:rsidRDefault="006918B3" w:rsidP="00127D48">
            <w:pPr>
              <w:pStyle w:val="CETBodytext"/>
              <w:rPr>
                <w:lang w:val="en-GB"/>
              </w:rPr>
            </w:pPr>
            <w:r w:rsidRPr="004F5432">
              <w:rPr>
                <w:lang w:val="en-GB"/>
              </w:rPr>
              <w:t>Sample</w:t>
            </w:r>
          </w:p>
        </w:tc>
        <w:tc>
          <w:tcPr>
            <w:tcW w:w="1417" w:type="dxa"/>
            <w:tcBorders>
              <w:top w:val="single" w:sz="12" w:space="0" w:color="008000"/>
              <w:bottom w:val="single" w:sz="4" w:space="0" w:color="008000"/>
            </w:tcBorders>
            <w:shd w:val="clear" w:color="auto" w:fill="FFFFFF"/>
          </w:tcPr>
          <w:p w14:paraId="1BF5D538" w14:textId="62D38695" w:rsidR="006918B3" w:rsidRPr="004F5432" w:rsidRDefault="006918B3" w:rsidP="006918B3">
            <w:pPr>
              <w:pStyle w:val="CETBodytext"/>
              <w:jc w:val="center"/>
              <w:rPr>
                <w:lang w:val="en-GB"/>
              </w:rPr>
            </w:pPr>
            <w:r w:rsidRPr="004F5432">
              <w:rPr>
                <w:lang w:val="en-GB"/>
              </w:rPr>
              <w:t>Specific surface (m</w:t>
            </w:r>
            <w:r w:rsidRPr="004F5432">
              <w:rPr>
                <w:vertAlign w:val="superscript"/>
                <w:lang w:val="en-GB"/>
              </w:rPr>
              <w:t>2</w:t>
            </w:r>
            <w:r w:rsidRPr="004F5432">
              <w:rPr>
                <w:lang w:val="en-GB"/>
              </w:rPr>
              <w:t>/g)</w:t>
            </w:r>
          </w:p>
        </w:tc>
        <w:tc>
          <w:tcPr>
            <w:tcW w:w="2269" w:type="dxa"/>
            <w:tcBorders>
              <w:top w:val="single" w:sz="12" w:space="0" w:color="008000"/>
              <w:bottom w:val="single" w:sz="4" w:space="0" w:color="008000"/>
            </w:tcBorders>
            <w:shd w:val="clear" w:color="auto" w:fill="FFFFFF"/>
          </w:tcPr>
          <w:p w14:paraId="08D906B5" w14:textId="77777777" w:rsidR="006918B3" w:rsidRPr="004F5432" w:rsidRDefault="006918B3" w:rsidP="006918B3">
            <w:pPr>
              <w:pStyle w:val="CETBodytext"/>
              <w:jc w:val="center"/>
              <w:rPr>
                <w:lang w:val="en-GB"/>
              </w:rPr>
            </w:pPr>
            <w:r w:rsidRPr="004F5432">
              <w:rPr>
                <w:lang w:val="en-GB"/>
              </w:rPr>
              <w:t>Micropore volume</w:t>
            </w:r>
          </w:p>
          <w:p w14:paraId="41019273" w14:textId="08E2FC7A" w:rsidR="006918B3" w:rsidRPr="004F5432" w:rsidRDefault="006918B3" w:rsidP="006918B3">
            <w:pPr>
              <w:pStyle w:val="CETBodytext"/>
              <w:jc w:val="center"/>
              <w:rPr>
                <w:lang w:val="en-GB"/>
              </w:rPr>
            </w:pPr>
            <w:r w:rsidRPr="004F5432">
              <w:rPr>
                <w:lang w:val="en-GB"/>
              </w:rPr>
              <w:t>(cm</w:t>
            </w:r>
            <w:r w:rsidRPr="004F5432">
              <w:rPr>
                <w:vertAlign w:val="superscript"/>
                <w:lang w:val="en-GB"/>
              </w:rPr>
              <w:t>3</w:t>
            </w:r>
            <w:r w:rsidRPr="004F5432">
              <w:rPr>
                <w:lang w:val="en-GB"/>
              </w:rPr>
              <w:t>/g)</w:t>
            </w:r>
          </w:p>
        </w:tc>
        <w:tc>
          <w:tcPr>
            <w:tcW w:w="1648" w:type="dxa"/>
            <w:tcBorders>
              <w:top w:val="single" w:sz="12" w:space="0" w:color="008000"/>
              <w:bottom w:val="single" w:sz="4" w:space="0" w:color="008000"/>
            </w:tcBorders>
            <w:shd w:val="clear" w:color="auto" w:fill="FFFFFF"/>
          </w:tcPr>
          <w:p w14:paraId="3A7A2792" w14:textId="77777777" w:rsidR="006918B3" w:rsidRPr="004F5432" w:rsidRDefault="006918B3" w:rsidP="006918B3">
            <w:pPr>
              <w:pStyle w:val="CETBodytext"/>
              <w:jc w:val="center"/>
              <w:rPr>
                <w:lang w:val="en-GB"/>
              </w:rPr>
            </w:pPr>
            <w:r w:rsidRPr="004F5432">
              <w:rPr>
                <w:lang w:val="en-GB"/>
              </w:rPr>
              <w:t>Average pore width</w:t>
            </w:r>
          </w:p>
          <w:p w14:paraId="745C0CBB" w14:textId="7B4CE2BA" w:rsidR="006918B3" w:rsidRPr="004F5432" w:rsidRDefault="006918B3" w:rsidP="006918B3">
            <w:pPr>
              <w:pStyle w:val="CETBodytext"/>
              <w:jc w:val="center"/>
              <w:rPr>
                <w:lang w:val="en-GB"/>
              </w:rPr>
            </w:pPr>
            <w:r w:rsidRPr="004F5432">
              <w:rPr>
                <w:lang w:val="en-GB"/>
              </w:rPr>
              <w:t>(nm)</w:t>
            </w:r>
          </w:p>
        </w:tc>
      </w:tr>
      <w:tr w:rsidR="006918B3" w:rsidRPr="004F5432" w14:paraId="5A6D6AB0" w14:textId="77777777" w:rsidTr="006918B3">
        <w:trPr>
          <w:trHeight w:val="342"/>
        </w:trPr>
        <w:tc>
          <w:tcPr>
            <w:tcW w:w="851" w:type="dxa"/>
            <w:tcBorders>
              <w:top w:val="single" w:sz="4" w:space="0" w:color="008000"/>
              <w:bottom w:val="nil"/>
            </w:tcBorders>
            <w:shd w:val="clear" w:color="auto" w:fill="FFFFFF"/>
            <w:vAlign w:val="center"/>
          </w:tcPr>
          <w:p w14:paraId="1B300643" w14:textId="2461AB11" w:rsidR="006918B3" w:rsidRPr="004F5432" w:rsidRDefault="006918B3" w:rsidP="00127D48">
            <w:pPr>
              <w:pStyle w:val="CETBodytext"/>
              <w:rPr>
                <w:lang w:val="en-GB"/>
              </w:rPr>
            </w:pPr>
            <w:r w:rsidRPr="004F5432">
              <w:rPr>
                <w:lang w:val="en-GB"/>
              </w:rPr>
              <w:t>APBC-1S</w:t>
            </w:r>
          </w:p>
        </w:tc>
        <w:tc>
          <w:tcPr>
            <w:tcW w:w="1417" w:type="dxa"/>
            <w:tcBorders>
              <w:top w:val="single" w:sz="4" w:space="0" w:color="008000"/>
            </w:tcBorders>
            <w:shd w:val="clear" w:color="auto" w:fill="FFFFFF"/>
            <w:vAlign w:val="center"/>
          </w:tcPr>
          <w:p w14:paraId="1C6D067E" w14:textId="36171B1A" w:rsidR="006918B3" w:rsidRPr="004F5432" w:rsidRDefault="00C53CC2" w:rsidP="002847D9">
            <w:pPr>
              <w:pStyle w:val="CETBodytext"/>
              <w:jc w:val="center"/>
              <w:rPr>
                <w:lang w:val="en-GB"/>
              </w:rPr>
            </w:pPr>
            <w:r w:rsidRPr="004F5432">
              <w:rPr>
                <w:lang w:val="en-GB"/>
              </w:rPr>
              <w:t>1,297</w:t>
            </w:r>
            <w:r w:rsidR="007C1D1B" w:rsidRPr="004F5432">
              <w:rPr>
                <w:lang w:val="en-GB"/>
              </w:rPr>
              <w:t>.2</w:t>
            </w:r>
          </w:p>
        </w:tc>
        <w:tc>
          <w:tcPr>
            <w:tcW w:w="2269" w:type="dxa"/>
            <w:tcBorders>
              <w:top w:val="single" w:sz="4" w:space="0" w:color="008000"/>
            </w:tcBorders>
            <w:shd w:val="clear" w:color="auto" w:fill="FFFFFF"/>
            <w:vAlign w:val="center"/>
          </w:tcPr>
          <w:p w14:paraId="1D9ED48F" w14:textId="6DA2029D" w:rsidR="006918B3" w:rsidRPr="004F5432" w:rsidRDefault="009760DC" w:rsidP="009760DC">
            <w:pPr>
              <w:pStyle w:val="CETBodytext"/>
              <w:jc w:val="center"/>
              <w:rPr>
                <w:lang w:val="en-GB"/>
              </w:rPr>
            </w:pPr>
            <w:r w:rsidRPr="004F5432">
              <w:rPr>
                <w:lang w:val="en-GB"/>
              </w:rPr>
              <w:t>0.569</w:t>
            </w:r>
          </w:p>
        </w:tc>
        <w:tc>
          <w:tcPr>
            <w:tcW w:w="1648" w:type="dxa"/>
            <w:tcBorders>
              <w:top w:val="single" w:sz="4" w:space="0" w:color="008000"/>
            </w:tcBorders>
            <w:shd w:val="clear" w:color="auto" w:fill="FFFFFF"/>
            <w:vAlign w:val="center"/>
          </w:tcPr>
          <w:p w14:paraId="714D420B" w14:textId="4D9D42CE" w:rsidR="006918B3" w:rsidRPr="004F5432" w:rsidRDefault="0011604A" w:rsidP="0011604A">
            <w:pPr>
              <w:pStyle w:val="CETBodytext"/>
              <w:jc w:val="center"/>
              <w:rPr>
                <w:lang w:val="en-GB"/>
              </w:rPr>
            </w:pPr>
            <w:r w:rsidRPr="004F5432">
              <w:rPr>
                <w:lang w:val="en-GB"/>
              </w:rPr>
              <w:t>1.7</w:t>
            </w:r>
            <w:r w:rsidR="003C3266" w:rsidRPr="004F5432">
              <w:rPr>
                <w:lang w:val="en-GB"/>
              </w:rPr>
              <w:t>53</w:t>
            </w:r>
          </w:p>
        </w:tc>
      </w:tr>
      <w:tr w:rsidR="00127D48" w:rsidRPr="004F5432" w14:paraId="151A013C" w14:textId="77777777" w:rsidTr="006918B3">
        <w:trPr>
          <w:trHeight w:val="276"/>
        </w:trPr>
        <w:tc>
          <w:tcPr>
            <w:tcW w:w="851" w:type="dxa"/>
            <w:tcBorders>
              <w:top w:val="single" w:sz="4" w:space="0" w:color="008000"/>
            </w:tcBorders>
            <w:shd w:val="clear" w:color="auto" w:fill="FFFFFF"/>
            <w:vAlign w:val="center"/>
          </w:tcPr>
          <w:p w14:paraId="4A1C41BD" w14:textId="452FEFE3" w:rsidR="00127D48" w:rsidRPr="004F5432" w:rsidRDefault="00127D48" w:rsidP="00127D48">
            <w:pPr>
              <w:pStyle w:val="CETBodytext"/>
              <w:rPr>
                <w:lang w:val="en-GB"/>
              </w:rPr>
            </w:pPr>
            <w:r w:rsidRPr="004F5432">
              <w:rPr>
                <w:lang w:val="en-GB"/>
              </w:rPr>
              <w:t>APBC-</w:t>
            </w:r>
            <w:r w:rsidR="006918B3" w:rsidRPr="004F5432">
              <w:rPr>
                <w:lang w:val="en-GB"/>
              </w:rPr>
              <w:t>2</w:t>
            </w:r>
            <w:r w:rsidRPr="004F5432">
              <w:rPr>
                <w:lang w:val="en-GB"/>
              </w:rPr>
              <w:t>S</w:t>
            </w:r>
          </w:p>
        </w:tc>
        <w:tc>
          <w:tcPr>
            <w:tcW w:w="1417" w:type="dxa"/>
            <w:tcBorders>
              <w:top w:val="single" w:sz="4" w:space="0" w:color="008000"/>
            </w:tcBorders>
            <w:shd w:val="clear" w:color="auto" w:fill="FFFFFF"/>
          </w:tcPr>
          <w:p w14:paraId="498FD251" w14:textId="0F74F07E" w:rsidR="00127D48" w:rsidRPr="004F5432" w:rsidRDefault="006918B3" w:rsidP="006918B3">
            <w:pPr>
              <w:pStyle w:val="CETBodytext"/>
              <w:jc w:val="center"/>
              <w:rPr>
                <w:lang w:val="en-GB"/>
              </w:rPr>
            </w:pPr>
            <w:r w:rsidRPr="004F5432">
              <w:rPr>
                <w:lang w:val="en-GB"/>
              </w:rPr>
              <w:t>1</w:t>
            </w:r>
            <w:r w:rsidR="00C53CC2" w:rsidRPr="004F5432">
              <w:rPr>
                <w:lang w:val="en-GB"/>
              </w:rPr>
              <w:t>,</w:t>
            </w:r>
            <w:r w:rsidRPr="004F5432">
              <w:rPr>
                <w:lang w:val="en-GB"/>
              </w:rPr>
              <w:t>176</w:t>
            </w:r>
            <w:r w:rsidR="007C1D1B" w:rsidRPr="004F5432">
              <w:rPr>
                <w:lang w:val="en-GB"/>
              </w:rPr>
              <w:t>.5</w:t>
            </w:r>
          </w:p>
        </w:tc>
        <w:tc>
          <w:tcPr>
            <w:tcW w:w="2269" w:type="dxa"/>
            <w:tcBorders>
              <w:top w:val="single" w:sz="4" w:space="0" w:color="008000"/>
            </w:tcBorders>
            <w:shd w:val="clear" w:color="auto" w:fill="FFFFFF"/>
          </w:tcPr>
          <w:p w14:paraId="17F32228" w14:textId="42403C01" w:rsidR="00127D48" w:rsidRPr="004F5432" w:rsidRDefault="006918B3" w:rsidP="006918B3">
            <w:pPr>
              <w:pStyle w:val="CETBodytext"/>
              <w:jc w:val="center"/>
              <w:rPr>
                <w:lang w:val="en-GB"/>
              </w:rPr>
            </w:pPr>
            <w:r w:rsidRPr="004F5432">
              <w:rPr>
                <w:lang w:val="en-GB"/>
              </w:rPr>
              <w:t>0.503</w:t>
            </w:r>
          </w:p>
        </w:tc>
        <w:tc>
          <w:tcPr>
            <w:tcW w:w="1648" w:type="dxa"/>
            <w:tcBorders>
              <w:top w:val="single" w:sz="4" w:space="0" w:color="008000"/>
            </w:tcBorders>
            <w:shd w:val="clear" w:color="auto" w:fill="FFFFFF"/>
          </w:tcPr>
          <w:p w14:paraId="0E7823E9" w14:textId="2518A6C3" w:rsidR="00127D48" w:rsidRPr="004F5432" w:rsidRDefault="006918B3" w:rsidP="006918B3">
            <w:pPr>
              <w:pStyle w:val="CETBodytext"/>
              <w:jc w:val="center"/>
              <w:rPr>
                <w:lang w:val="en-GB"/>
              </w:rPr>
            </w:pPr>
            <w:r w:rsidRPr="004F5432">
              <w:rPr>
                <w:lang w:val="en-GB"/>
              </w:rPr>
              <w:t>1.71</w:t>
            </w:r>
            <w:r w:rsidR="003C3266" w:rsidRPr="004F5432">
              <w:rPr>
                <w:lang w:val="en-GB"/>
              </w:rPr>
              <w:t>6</w:t>
            </w:r>
          </w:p>
        </w:tc>
      </w:tr>
    </w:tbl>
    <w:p w14:paraId="7B431706" w14:textId="77777777" w:rsidR="004F37CA" w:rsidRPr="004F5432" w:rsidRDefault="004F37CA" w:rsidP="004F37CA">
      <w:pPr>
        <w:pStyle w:val="CETBodytext"/>
        <w:rPr>
          <w:lang w:val="en-GB"/>
        </w:rPr>
      </w:pPr>
    </w:p>
    <w:p w14:paraId="3A5C8CBF" w14:textId="7C4558B7" w:rsidR="00044B4F" w:rsidRPr="004F5432" w:rsidRDefault="00052552" w:rsidP="00641DB2">
      <w:pPr>
        <w:pStyle w:val="Sinespaciado"/>
      </w:pPr>
      <w:r w:rsidRPr="004F5432">
        <w:t xml:space="preserve">APBC-1S sample presented </w:t>
      </w:r>
      <w:r w:rsidR="00F84EA4" w:rsidRPr="004F5432">
        <w:t xml:space="preserve">1.1 times </w:t>
      </w:r>
      <w:r w:rsidRPr="004F5432">
        <w:t xml:space="preserve">higher specific surface </w:t>
      </w:r>
      <w:r w:rsidR="00FD0B44" w:rsidRPr="004F5432">
        <w:t xml:space="preserve">and micropore volume </w:t>
      </w:r>
      <w:r w:rsidR="00F84EA4" w:rsidRPr="004F5432">
        <w:t>than APBC-2S one, as well as higher average pore wi</w:t>
      </w:r>
      <w:r w:rsidR="00CE1318" w:rsidRPr="004F5432">
        <w:t>d</w:t>
      </w:r>
      <w:r w:rsidR="00F84EA4" w:rsidRPr="004F5432">
        <w:t xml:space="preserve">th. </w:t>
      </w:r>
      <w:r w:rsidR="00EB1C34" w:rsidRPr="004F5432">
        <w:t>Both APBC-1S and AP</w:t>
      </w:r>
      <w:r w:rsidR="000D6EA1" w:rsidRPr="004F5432">
        <w:t>BC-2S</w:t>
      </w:r>
      <w:r w:rsidR="00641DB2" w:rsidRPr="004F5432">
        <w:t xml:space="preserve"> curve</w:t>
      </w:r>
      <w:r w:rsidR="000D6EA1" w:rsidRPr="004F5432">
        <w:t>s</w:t>
      </w:r>
      <w:r w:rsidR="00641DB2" w:rsidRPr="004F5432">
        <w:t xml:space="preserve"> met the type I adsorption isotherm, with a pronounced rise at low relative pressure p/p</w:t>
      </w:r>
      <w:r w:rsidR="00641DB2" w:rsidRPr="004F5432">
        <w:rPr>
          <w:vertAlign w:val="subscript"/>
        </w:rPr>
        <w:t>0</w:t>
      </w:r>
      <w:r w:rsidR="00641DB2" w:rsidRPr="004F5432">
        <w:t>, indicating micropore filling, followed by a stabilization</w:t>
      </w:r>
      <w:r w:rsidR="00EB1C34" w:rsidRPr="004F5432">
        <w:t xml:space="preserve"> (Muttakin et al., 2018)</w:t>
      </w:r>
      <w:r w:rsidR="00641DB2" w:rsidRPr="004F5432">
        <w:t xml:space="preserve">. </w:t>
      </w:r>
      <w:r w:rsidR="00B96A10" w:rsidRPr="004F5432">
        <w:t xml:space="preserve">Moreover, the presence of a </w:t>
      </w:r>
      <w:r w:rsidR="00641DB2" w:rsidRPr="004F5432">
        <w:t xml:space="preserve">little hysteresis loop </w:t>
      </w:r>
      <w:r w:rsidR="00B96A10" w:rsidRPr="004F5432">
        <w:t>indicated</w:t>
      </w:r>
      <w:r w:rsidR="00641DB2" w:rsidRPr="004F5432">
        <w:t xml:space="preserve"> the presence of mesopores.</w:t>
      </w:r>
      <w:r w:rsidR="007A7071" w:rsidRPr="004F5432">
        <w:t xml:space="preserve"> APBC-</w:t>
      </w:r>
      <w:r w:rsidR="00944AA5" w:rsidRPr="004F5432">
        <w:t>2</w:t>
      </w:r>
      <w:r w:rsidR="007A7071" w:rsidRPr="004F5432">
        <w:t xml:space="preserve">S sample showed </w:t>
      </w:r>
      <w:r w:rsidR="00D52A28" w:rsidRPr="004F5432">
        <w:t xml:space="preserve">its main </w:t>
      </w:r>
      <w:r w:rsidR="00641DB2" w:rsidRPr="004F5432">
        <w:t xml:space="preserve">porosity </w:t>
      </w:r>
      <w:r w:rsidR="00D52A28" w:rsidRPr="004F5432">
        <w:t xml:space="preserve">in the </w:t>
      </w:r>
      <w:r w:rsidR="003C6B21" w:rsidRPr="004F5432">
        <w:t>micropore region</w:t>
      </w:r>
      <w:r w:rsidR="00DE68E2" w:rsidRPr="004F5432">
        <w:t xml:space="preserve"> (maximum at 0.6</w:t>
      </w:r>
      <w:r w:rsidR="00963B1C" w:rsidRPr="004F5432">
        <w:t>1</w:t>
      </w:r>
      <w:r w:rsidR="00DE68E2" w:rsidRPr="004F5432">
        <w:t xml:space="preserve"> nm)</w:t>
      </w:r>
      <w:r w:rsidR="003C6B21" w:rsidRPr="004F5432">
        <w:t xml:space="preserve">, </w:t>
      </w:r>
      <w:r w:rsidR="00727D24" w:rsidRPr="004F5432">
        <w:t>but</w:t>
      </w:r>
      <w:r w:rsidR="00641DB2" w:rsidRPr="004F5432">
        <w:t xml:space="preserve"> some important peaks </w:t>
      </w:r>
      <w:r w:rsidR="00965393" w:rsidRPr="004F5432">
        <w:t>in the range of mesopores appeared</w:t>
      </w:r>
      <w:r w:rsidR="00641DB2" w:rsidRPr="004F5432">
        <w:t xml:space="preserve"> </w:t>
      </w:r>
      <w:r w:rsidR="00965393" w:rsidRPr="004F5432">
        <w:t>(</w:t>
      </w:r>
      <w:r w:rsidR="005855E0" w:rsidRPr="004F5432">
        <w:t>10</w:t>
      </w:r>
      <w:r w:rsidR="00641DB2" w:rsidRPr="004F5432">
        <w:t>-14 nm</w:t>
      </w:r>
      <w:r w:rsidR="00965393" w:rsidRPr="004F5432">
        <w:t>)</w:t>
      </w:r>
      <w:r w:rsidR="005855E0" w:rsidRPr="004F5432">
        <w:t>, followed by</w:t>
      </w:r>
      <w:r w:rsidR="00641DB2" w:rsidRPr="004F5432">
        <w:t xml:space="preserve"> residual meso-porosity </w:t>
      </w:r>
      <w:r w:rsidR="00BF1BB5" w:rsidRPr="004F5432">
        <w:t xml:space="preserve">until </w:t>
      </w:r>
      <w:r w:rsidR="00641DB2" w:rsidRPr="004F5432">
        <w:t xml:space="preserve">50 nm. </w:t>
      </w:r>
      <w:r w:rsidR="002C19C4" w:rsidRPr="004F5432">
        <w:t>The cum</w:t>
      </w:r>
      <w:r w:rsidR="005B6DCB" w:rsidRPr="004F5432">
        <w:t xml:space="preserve">ulative pore volume of APBC-2S sample was </w:t>
      </w:r>
      <w:r w:rsidR="00977A1F" w:rsidRPr="004F5432">
        <w:t>close to 0,5 cm</w:t>
      </w:r>
      <w:r w:rsidR="00977A1F" w:rsidRPr="004F5432">
        <w:rPr>
          <w:vertAlign w:val="superscript"/>
        </w:rPr>
        <w:t>3</w:t>
      </w:r>
      <w:r w:rsidR="00977A1F" w:rsidRPr="004F5432">
        <w:t xml:space="preserve">/g). </w:t>
      </w:r>
      <w:r w:rsidR="0031622A" w:rsidRPr="004F5432">
        <w:t xml:space="preserve">Some differences can be observed in the </w:t>
      </w:r>
      <w:r w:rsidR="005855E0" w:rsidRPr="004F5432">
        <w:t>A</w:t>
      </w:r>
      <w:r w:rsidR="00226DB8" w:rsidRPr="004F5432">
        <w:t>PCB-1S</w:t>
      </w:r>
      <w:r w:rsidR="0031622A" w:rsidRPr="004F5432">
        <w:t xml:space="preserve"> sample</w:t>
      </w:r>
      <w:r w:rsidR="003C15DF" w:rsidRPr="004F5432">
        <w:t xml:space="preserve">; </w:t>
      </w:r>
      <w:r w:rsidR="002363BC" w:rsidRPr="004F5432">
        <w:t>even if its main porosity is located as well in the micropore region (maximum at 0.6</w:t>
      </w:r>
      <w:r w:rsidR="00963B1C" w:rsidRPr="004F5432">
        <w:t>5</w:t>
      </w:r>
      <w:r w:rsidR="002363BC" w:rsidRPr="004F5432">
        <w:t xml:space="preserve"> nm)</w:t>
      </w:r>
      <w:r w:rsidR="00963B1C" w:rsidRPr="004F5432">
        <w:t xml:space="preserve">, </w:t>
      </w:r>
      <w:r w:rsidR="00581FD0" w:rsidRPr="004F5432">
        <w:t xml:space="preserve">relevant peaks </w:t>
      </w:r>
      <w:r w:rsidR="00F331FB" w:rsidRPr="004F5432">
        <w:t>can be seen</w:t>
      </w:r>
      <w:r w:rsidR="00581FD0" w:rsidRPr="004F5432">
        <w:t xml:space="preserve"> from 12 to 40 nm</w:t>
      </w:r>
      <w:r w:rsidR="006C0EFB" w:rsidRPr="004F5432">
        <w:t xml:space="preserve"> (maximum at 12 nm)</w:t>
      </w:r>
      <w:r w:rsidR="00385FE2" w:rsidRPr="004F5432">
        <w:t xml:space="preserve"> indicating </w:t>
      </w:r>
      <w:r w:rsidR="00F331FB" w:rsidRPr="004F5432">
        <w:t xml:space="preserve">higher </w:t>
      </w:r>
      <w:r w:rsidR="009533EC" w:rsidRPr="004F5432">
        <w:t xml:space="preserve">percentage in the </w:t>
      </w:r>
      <w:r w:rsidR="00F331FB" w:rsidRPr="004F5432">
        <w:t>mesopor</w:t>
      </w:r>
      <w:r w:rsidR="009533EC" w:rsidRPr="004F5432">
        <w:t>e region</w:t>
      </w:r>
      <w:r w:rsidR="00F331FB" w:rsidRPr="004F5432">
        <w:t>.</w:t>
      </w:r>
      <w:r w:rsidR="009533EC" w:rsidRPr="004F5432">
        <w:t xml:space="preserve"> </w:t>
      </w:r>
      <w:r w:rsidR="00DB5D06" w:rsidRPr="004F5432">
        <w:t xml:space="preserve">This fact could have a relevant influence, as it enhances the availability of the micropores than, in the case of APBC-2S were </w:t>
      </w:r>
      <w:r w:rsidR="00E334AA" w:rsidRPr="004F5432">
        <w:t xml:space="preserve">partially inaccessible. </w:t>
      </w:r>
      <w:r w:rsidR="00F331FB" w:rsidRPr="004F5432">
        <w:t xml:space="preserve"> </w:t>
      </w:r>
      <w:r w:rsidR="00D30516" w:rsidRPr="004F5432">
        <w:t xml:space="preserve"> </w:t>
      </w:r>
      <w:r w:rsidR="00977A1F" w:rsidRPr="004F5432">
        <w:t xml:space="preserve"> </w:t>
      </w:r>
      <w:r w:rsidR="00226DB8" w:rsidRPr="004F5432">
        <w:t xml:space="preserve"> </w:t>
      </w:r>
    </w:p>
    <w:p w14:paraId="187CD089" w14:textId="77777777" w:rsidR="007D7B59" w:rsidRPr="004F5432" w:rsidRDefault="007D7B59" w:rsidP="00641DB2">
      <w:pPr>
        <w:pStyle w:val="Sinespaciado"/>
      </w:pPr>
    </w:p>
    <w:p w14:paraId="73B0CA9C" w14:textId="77777777" w:rsidR="007D7B59" w:rsidRPr="004F5432" w:rsidRDefault="007D7B59" w:rsidP="00641DB2">
      <w:pPr>
        <w:pStyle w:val="Sinespaciado"/>
      </w:pPr>
    </w:p>
    <w:p w14:paraId="6BC17DB6" w14:textId="77777777" w:rsidR="007D7B59" w:rsidRPr="004F5432" w:rsidRDefault="007D7B59" w:rsidP="00641DB2">
      <w:pPr>
        <w:pStyle w:val="Sinespaciado"/>
      </w:pPr>
    </w:p>
    <w:p w14:paraId="25F480EC" w14:textId="77777777" w:rsidR="007D7B59" w:rsidRPr="004F5432" w:rsidRDefault="007D7B59" w:rsidP="00641DB2">
      <w:pPr>
        <w:pStyle w:val="Sinespaciado"/>
      </w:pPr>
    </w:p>
    <w:p w14:paraId="38484497" w14:textId="1B6627CE" w:rsidR="00044B4F" w:rsidRPr="004F5432" w:rsidRDefault="001915CA" w:rsidP="00641DB2">
      <w:pPr>
        <w:pStyle w:val="Sinespaciado"/>
        <w:rPr>
          <w:highlight w:val="cyan"/>
        </w:rPr>
      </w:pPr>
      <w:r w:rsidRPr="004F5432">
        <w:rPr>
          <w:lang w:eastAsia="es-ES"/>
        </w:rPr>
        <w:lastRenderedPageBreak/>
        <mc:AlternateContent>
          <mc:Choice Requires="wps">
            <w:drawing>
              <wp:anchor distT="0" distB="0" distL="114300" distR="114300" simplePos="0" relativeHeight="251665408" behindDoc="0" locked="0" layoutInCell="1" allowOverlap="1" wp14:anchorId="3911C75A" wp14:editId="2C8F1054">
                <wp:simplePos x="0" y="0"/>
                <wp:positionH relativeFrom="column">
                  <wp:posOffset>-6985</wp:posOffset>
                </wp:positionH>
                <wp:positionV relativeFrom="paragraph">
                  <wp:posOffset>584835</wp:posOffset>
                </wp:positionV>
                <wp:extent cx="146050" cy="882650"/>
                <wp:effectExtent l="0" t="0" r="25400" b="12700"/>
                <wp:wrapNone/>
                <wp:docPr id="101454878" name="Rectángulo 2"/>
                <wp:cNvGraphicFramePr/>
                <a:graphic xmlns:a="http://schemas.openxmlformats.org/drawingml/2006/main">
                  <a:graphicData uri="http://schemas.microsoft.com/office/word/2010/wordprocessingShape">
                    <wps:wsp>
                      <wps:cNvSpPr/>
                      <wps:spPr>
                        <a:xfrm>
                          <a:off x="0" y="0"/>
                          <a:ext cx="146050" cy="882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C2293" id="Rectángulo 2" o:spid="_x0000_s1026" style="position:absolute;margin-left:-.55pt;margin-top:46.05pt;width:11.5pt;height:6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" fillcolor="white [3212]" strokecolor="white [3212]" strokeweight="2pt"/>
            </w:pict>
          </mc:Fallback>
        </mc:AlternateContent>
      </w:r>
      <w:r w:rsidR="0014479B" w:rsidRPr="004F5432">
        <w:rPr>
          <w:lang w:eastAsia="es-ES"/>
        </w:rPr>
        <w:drawing>
          <wp:inline distT="0" distB="0" distL="0" distR="0" wp14:anchorId="0D4EC66E" wp14:editId="09D165CB">
            <wp:extent cx="5600700" cy="3807058"/>
            <wp:effectExtent l="0" t="0" r="0" b="3175"/>
            <wp:docPr id="307021060"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21060" name="Imagen 1" descr="Diagrama&#10;&#10;Descripción generada automáticamente con confianza baja"/>
                    <pic:cNvPicPr>
                      <a:picLocks noChangeAspect="1" noChangeArrowheads="1"/>
                    </pic:cNvPicPr>
                  </pic:nvPicPr>
                  <pic:blipFill rotWithShape="1">
                    <a:blip r:embed="rId18">
                      <a:extLst>
                        <a:ext uri="{28A0092B-C50C-407E-A947-70E740481C1C}">
                          <a14:useLocalDpi xmlns:a14="http://schemas.microsoft.com/office/drawing/2010/main" val="0"/>
                        </a:ext>
                      </a:extLst>
                    </a:blip>
                    <a:srcRect l="7397" t="4185" r="2697" b="9383"/>
                    <a:stretch/>
                  </pic:blipFill>
                  <pic:spPr bwMode="auto">
                    <a:xfrm>
                      <a:off x="0" y="0"/>
                      <a:ext cx="5610409" cy="3813657"/>
                    </a:xfrm>
                    <a:prstGeom prst="rect">
                      <a:avLst/>
                    </a:prstGeom>
                    <a:noFill/>
                    <a:ln>
                      <a:noFill/>
                    </a:ln>
                    <a:extLst>
                      <a:ext uri="{53640926-AAD7-44D8-BBD7-CCE9431645EC}">
                        <a14:shadowObscured xmlns:a14="http://schemas.microsoft.com/office/drawing/2010/main"/>
                      </a:ext>
                    </a:extLst>
                  </pic:spPr>
                </pic:pic>
              </a:graphicData>
            </a:graphic>
          </wp:inline>
        </w:drawing>
      </w:r>
    </w:p>
    <w:p w14:paraId="5FB99120" w14:textId="77777777" w:rsidR="00983CCB" w:rsidRPr="004F5432" w:rsidRDefault="00983CCB" w:rsidP="00983CCB">
      <w:pPr>
        <w:pStyle w:val="CETBodytext"/>
        <w:jc w:val="center"/>
        <w:rPr>
          <w:i/>
          <w:lang w:val="en-GB"/>
        </w:rPr>
      </w:pPr>
      <w:r w:rsidRPr="004F5432">
        <w:rPr>
          <w:rStyle w:val="CETCaptionCarattere"/>
        </w:rPr>
        <w:t>Figure 3: N</w:t>
      </w:r>
      <w:r w:rsidRPr="004F5432">
        <w:rPr>
          <w:rStyle w:val="CETCaptionCarattere"/>
          <w:vertAlign w:val="subscript"/>
        </w:rPr>
        <w:t>2</w:t>
      </w:r>
      <w:r w:rsidRPr="004F5432">
        <w:rPr>
          <w:rStyle w:val="CETCaptionCarattere"/>
        </w:rPr>
        <w:t xml:space="preserve"> adsorption-desorption isotherms at -196 ºC for APBC-1S (left-up) and APBC-2S (right-up) and </w:t>
      </w:r>
      <w:r w:rsidRPr="004F5432">
        <w:rPr>
          <w:i/>
          <w:lang w:val="en-GB"/>
        </w:rPr>
        <w:t xml:space="preserve">calculated (NDFT) pore size distribution curves for </w:t>
      </w:r>
      <w:r w:rsidRPr="004F5432">
        <w:rPr>
          <w:rStyle w:val="CETCaptionCarattere"/>
        </w:rPr>
        <w:t>APBC-1S</w:t>
      </w:r>
      <w:r w:rsidRPr="004F5432">
        <w:rPr>
          <w:i/>
          <w:lang w:val="en-GB"/>
        </w:rPr>
        <w:t xml:space="preserve"> (left-down) and </w:t>
      </w:r>
      <w:r w:rsidRPr="004F5432">
        <w:rPr>
          <w:rStyle w:val="CETCaptionCarattere"/>
        </w:rPr>
        <w:t>APBC-2S</w:t>
      </w:r>
      <w:r w:rsidRPr="004F5432">
        <w:rPr>
          <w:i/>
          <w:lang w:val="en-GB"/>
        </w:rPr>
        <w:t xml:space="preserve"> (right-down).</w:t>
      </w:r>
    </w:p>
    <w:p w14:paraId="30153D62" w14:textId="32EFE001" w:rsidR="008E2FA0" w:rsidRPr="004F5432" w:rsidRDefault="001E0A4C" w:rsidP="008E2FA0">
      <w:pPr>
        <w:pStyle w:val="CETheadingx"/>
        <w:rPr>
          <w:lang w:val="en-GB"/>
        </w:rPr>
      </w:pPr>
      <w:r w:rsidRPr="004F5432">
        <w:rPr>
          <w:lang w:val="en-GB"/>
        </w:rPr>
        <w:t>Adsorption results</w:t>
      </w:r>
      <w:r w:rsidR="008E2FA0" w:rsidRPr="004F5432">
        <w:rPr>
          <w:lang w:val="en-GB"/>
        </w:rPr>
        <w:t xml:space="preserve"> </w:t>
      </w:r>
    </w:p>
    <w:p w14:paraId="196B17B7" w14:textId="6B2227E9" w:rsidR="00F23518" w:rsidRPr="004F5432" w:rsidRDefault="004F17FE" w:rsidP="004F37CA">
      <w:pPr>
        <w:pStyle w:val="Sinespaciado"/>
      </w:pPr>
      <w:r w:rsidRPr="004F5432">
        <w:t xml:space="preserve">The performance of both </w:t>
      </w:r>
      <w:r w:rsidR="00A00173" w:rsidRPr="004F5432">
        <w:t>biochars</w:t>
      </w:r>
      <w:r w:rsidR="00A67D18" w:rsidRPr="004F5432">
        <w:t xml:space="preserve"> as adsorbents of methylene blue (MB) </w:t>
      </w:r>
      <w:r w:rsidR="00A00173" w:rsidRPr="004F5432">
        <w:t>was measured</w:t>
      </w:r>
      <w:r w:rsidR="00A67D18" w:rsidRPr="004F5432">
        <w:t xml:space="preserve">. </w:t>
      </w:r>
      <w:r w:rsidR="00C02E66" w:rsidRPr="004F5432">
        <w:t xml:space="preserve">This </w:t>
      </w:r>
      <w:r w:rsidR="00905548" w:rsidRPr="004F5432">
        <w:t>cationic water-soluble dye</w:t>
      </w:r>
      <w:r w:rsidR="00C02E66" w:rsidRPr="004F5432">
        <w:t xml:space="preserve"> is </w:t>
      </w:r>
      <w:r w:rsidR="00905548" w:rsidRPr="004F5432">
        <w:t xml:space="preserve">extensively used in textiles, plastic, paper, pharmaceuticals, and cosmetics </w:t>
      </w:r>
      <w:r w:rsidR="00D43AEE" w:rsidRPr="004F5432">
        <w:t>industries</w:t>
      </w:r>
      <w:r w:rsidR="00905548" w:rsidRPr="004F5432">
        <w:t xml:space="preserve"> (</w:t>
      </w:r>
      <w:r w:rsidR="00612323" w:rsidRPr="004F5432">
        <w:t xml:space="preserve">Ashem et al., </w:t>
      </w:r>
      <w:r w:rsidR="00905548" w:rsidRPr="004F5432">
        <w:t>20</w:t>
      </w:r>
      <w:r w:rsidR="00612323" w:rsidRPr="004F5432">
        <w:t>20</w:t>
      </w:r>
      <w:r w:rsidR="00905548" w:rsidRPr="004F5432">
        <w:t>).</w:t>
      </w:r>
      <w:r w:rsidR="00612323" w:rsidRPr="004F5432">
        <w:t xml:space="preserve"> </w:t>
      </w:r>
      <w:r w:rsidR="004F37CA" w:rsidRPr="004F5432">
        <w:t xml:space="preserve">Figure </w:t>
      </w:r>
      <w:r w:rsidR="00CF1002" w:rsidRPr="004F5432">
        <w:t>4</w:t>
      </w:r>
      <w:r w:rsidR="004F37CA" w:rsidRPr="004F5432">
        <w:t xml:space="preserve"> shows the results of the adsorption of </w:t>
      </w:r>
      <w:r w:rsidRPr="004F5432">
        <w:t>MB</w:t>
      </w:r>
      <w:r w:rsidR="004F37CA" w:rsidRPr="004F5432">
        <w:t xml:space="preserve"> by </w:t>
      </w:r>
      <w:r w:rsidR="002D62A9" w:rsidRPr="004F5432">
        <w:t>APBC-1S and APBC-2S</w:t>
      </w:r>
      <w:r w:rsidR="004F37CA" w:rsidRPr="004F5432">
        <w:t xml:space="preserve"> samples</w:t>
      </w:r>
      <w:r w:rsidR="00470F87" w:rsidRPr="004F5432">
        <w:t>.</w:t>
      </w:r>
      <w:r w:rsidR="004F37CA" w:rsidRPr="004F5432">
        <w:t xml:space="preserve"> </w:t>
      </w:r>
    </w:p>
    <w:p w14:paraId="1A107431" w14:textId="40C67385" w:rsidR="005D41C8" w:rsidRPr="004F5432" w:rsidRDefault="005D41C8" w:rsidP="00470F87">
      <w:pPr>
        <w:pStyle w:val="CETBodytext"/>
        <w:jc w:val="center"/>
        <w:rPr>
          <w:highlight w:val="lightGray"/>
          <w:lang w:val="en-GB"/>
        </w:rPr>
      </w:pPr>
      <w:r w:rsidRPr="004F5432">
        <w:rPr>
          <w:lang w:val="en-GB" w:eastAsia="es-ES"/>
        </w:rPr>
        <w:drawing>
          <wp:inline distT="0" distB="0" distL="0" distR="0" wp14:anchorId="2A1E96A3" wp14:editId="22A86C48">
            <wp:extent cx="3120894" cy="1874520"/>
            <wp:effectExtent l="0" t="0" r="3810" b="0"/>
            <wp:docPr id="425386262" name="Imagen 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6262" name="Imagen 3" descr="Gráfico&#10;&#10;Descripción generada automáticamente"/>
                    <pic:cNvPicPr>
                      <a:picLocks noChangeAspect="1" noChangeArrowheads="1"/>
                    </pic:cNvPicPr>
                  </pic:nvPicPr>
                  <pic:blipFill rotWithShape="1">
                    <a:blip r:embed="rId19">
                      <a:extLst>
                        <a:ext uri="{28A0092B-C50C-407E-A947-70E740481C1C}">
                          <a14:useLocalDpi xmlns:a14="http://schemas.microsoft.com/office/drawing/2010/main" val="0"/>
                        </a:ext>
                      </a:extLst>
                    </a:blip>
                    <a:srcRect t="10888" b="3656"/>
                    <a:stretch/>
                  </pic:blipFill>
                  <pic:spPr bwMode="auto">
                    <a:xfrm>
                      <a:off x="0" y="0"/>
                      <a:ext cx="3136388" cy="1883826"/>
                    </a:xfrm>
                    <a:prstGeom prst="rect">
                      <a:avLst/>
                    </a:prstGeom>
                    <a:noFill/>
                    <a:ln>
                      <a:noFill/>
                    </a:ln>
                    <a:extLst>
                      <a:ext uri="{53640926-AAD7-44D8-BBD7-CCE9431645EC}">
                        <a14:shadowObscured xmlns:a14="http://schemas.microsoft.com/office/drawing/2010/main"/>
                      </a:ext>
                    </a:extLst>
                  </pic:spPr>
                </pic:pic>
              </a:graphicData>
            </a:graphic>
          </wp:inline>
        </w:drawing>
      </w:r>
    </w:p>
    <w:p w14:paraId="2F18AF93" w14:textId="1767916B" w:rsidR="004F37CA" w:rsidRPr="004F5432" w:rsidRDefault="004F37CA" w:rsidP="004F37CA">
      <w:pPr>
        <w:pStyle w:val="CETBodytext"/>
        <w:spacing w:after="240"/>
        <w:jc w:val="center"/>
        <w:rPr>
          <w:i/>
          <w:lang w:val="en-GB"/>
        </w:rPr>
      </w:pPr>
      <w:r w:rsidRPr="004F5432">
        <w:rPr>
          <w:i/>
          <w:lang w:val="en-GB"/>
        </w:rPr>
        <w:t xml:space="preserve">Figure </w:t>
      </w:r>
      <w:r w:rsidR="00CF1002" w:rsidRPr="004F5432">
        <w:rPr>
          <w:i/>
          <w:lang w:val="en-GB"/>
        </w:rPr>
        <w:t>4</w:t>
      </w:r>
      <w:r w:rsidRPr="004F5432">
        <w:rPr>
          <w:i/>
          <w:lang w:val="en-GB"/>
        </w:rPr>
        <w:t>: MB adsorption results</w:t>
      </w:r>
      <w:r w:rsidR="00470F87" w:rsidRPr="004F5432">
        <w:rPr>
          <w:i/>
          <w:lang w:val="en-GB"/>
        </w:rPr>
        <w:t xml:space="preserve"> for APBC-1S and APBC-2S samples</w:t>
      </w:r>
      <w:r w:rsidRPr="004F5432">
        <w:rPr>
          <w:i/>
          <w:lang w:val="en-GB"/>
        </w:rPr>
        <w:t>.</w:t>
      </w:r>
    </w:p>
    <w:p w14:paraId="73F7D31A" w14:textId="083B7F0F" w:rsidR="007908F8" w:rsidRPr="004F5432" w:rsidRDefault="007908F8" w:rsidP="005F040E">
      <w:pPr>
        <w:pStyle w:val="Sinespaciado"/>
        <w:rPr>
          <w:iCs/>
        </w:rPr>
      </w:pPr>
      <w:r w:rsidRPr="004F5432">
        <w:t xml:space="preserve">The biochar obtained by the 1-step procedure reached the best performance, achieving nearly 100% (96%) of MB removal in 4 h, while the </w:t>
      </w:r>
      <w:r w:rsidR="00BE45A5" w:rsidRPr="004F5432">
        <w:t xml:space="preserve">adsorbent </w:t>
      </w:r>
      <w:r w:rsidRPr="004F5432">
        <w:t xml:space="preserve">processed in 2 steps </w:t>
      </w:r>
      <w:r w:rsidR="00BE45A5" w:rsidRPr="004F5432">
        <w:t>needed 8 h to achieve the same MB removal rate.</w:t>
      </w:r>
      <w:r w:rsidRPr="004F5432">
        <w:t xml:space="preserve"> Thus, the simultaneous use of thermochemical and activation processes enhanced better MB adsorption performance related mainly with the increase of the availability of accessible porosity due to </w:t>
      </w:r>
      <w:r w:rsidR="00156A1F" w:rsidRPr="004F5432">
        <w:t xml:space="preserve">higher pore volume in the mesopore region and the </w:t>
      </w:r>
      <w:r w:rsidR="007C13B7" w:rsidRPr="004F5432">
        <w:t>enhancing of accessibility to micropores</w:t>
      </w:r>
      <w:r w:rsidRPr="004F5432">
        <w:t xml:space="preserve">. The </w:t>
      </w:r>
      <w:r w:rsidR="00CA5B1A" w:rsidRPr="004F5432">
        <w:t>adsorption capacity of</w:t>
      </w:r>
      <w:r w:rsidR="00BE45A5" w:rsidRPr="004F5432">
        <w:t xml:space="preserve"> both adsorbents was </w:t>
      </w:r>
      <w:r w:rsidR="00CE43AC" w:rsidRPr="004F5432">
        <w:t>similar (</w:t>
      </w:r>
      <w:r w:rsidR="00BA56CA" w:rsidRPr="004F5432">
        <w:t xml:space="preserve">around </w:t>
      </w:r>
      <w:r w:rsidR="00BE45A5" w:rsidRPr="004F5432">
        <w:t xml:space="preserve">6 </w:t>
      </w:r>
      <w:r w:rsidR="00BA56CA" w:rsidRPr="004F5432">
        <w:t xml:space="preserve">mg MB adsorbed / g </w:t>
      </w:r>
      <w:r w:rsidR="005F040E" w:rsidRPr="004F5432">
        <w:t xml:space="preserve">biochar, </w:t>
      </w:r>
      <w:r w:rsidR="00BA56CA" w:rsidRPr="004F5432">
        <w:t>BC)</w:t>
      </w:r>
      <w:r w:rsidR="005F040E" w:rsidRPr="004F5432">
        <w:t>.</w:t>
      </w:r>
      <w:r w:rsidR="00BE45A5" w:rsidRPr="004F5432">
        <w:t xml:space="preserve"> A complete removal of MB from the original solution was reached by both materials. </w:t>
      </w:r>
      <w:r w:rsidR="00CE43AC" w:rsidRPr="004F5432">
        <w:t>As</w:t>
      </w:r>
      <w:r w:rsidR="00BE45A5" w:rsidRPr="004F5432">
        <w:t xml:space="preserve"> the selected initial concentration of the MB solution (35 mg/L</w:t>
      </w:r>
      <w:r w:rsidR="00CE43AC" w:rsidRPr="004F5432">
        <w:t xml:space="preserve">) </w:t>
      </w:r>
      <w:r w:rsidR="00BE45A5" w:rsidRPr="004F5432">
        <w:t xml:space="preserve">was </w:t>
      </w:r>
      <w:r w:rsidR="00CE43AC" w:rsidRPr="004F5432">
        <w:t xml:space="preserve">the one </w:t>
      </w:r>
      <w:r w:rsidR="00BE45A5" w:rsidRPr="004F5432">
        <w:t>typically found in the dyes industry</w:t>
      </w:r>
      <w:r w:rsidR="00CE43AC" w:rsidRPr="004F5432">
        <w:t>, that supports the successful performance of both adsorbents at actual conditions.</w:t>
      </w:r>
    </w:p>
    <w:p w14:paraId="68D26B83" w14:textId="77777777" w:rsidR="00600535" w:rsidRPr="004F5432" w:rsidRDefault="00600535" w:rsidP="00600535">
      <w:pPr>
        <w:pStyle w:val="CETHeading1"/>
        <w:rPr>
          <w:lang w:val="en-GB"/>
        </w:rPr>
      </w:pPr>
      <w:r w:rsidRPr="004F5432">
        <w:rPr>
          <w:lang w:val="en-GB"/>
        </w:rPr>
        <w:lastRenderedPageBreak/>
        <w:t>Conclusions</w:t>
      </w:r>
    </w:p>
    <w:p w14:paraId="772F2B9C" w14:textId="35BC805E" w:rsidR="00BF1BB5" w:rsidRPr="004F5432" w:rsidRDefault="00BF1BB5" w:rsidP="00BF1BB5">
      <w:pPr>
        <w:pStyle w:val="Prrafodelista"/>
        <w:suppressAutoHyphens/>
        <w:ind w:left="0"/>
      </w:pPr>
      <w:r w:rsidRPr="004F5432">
        <w:t xml:space="preserve">Activated biochars were prepared by two different methods. It was found that the chemical and physical characteristics of the activated carbons obtained varied depending on the conditions of the applied thermochemical and activation processes, influencing the surface area development, pore size distributions and surface chemistry. The biochar prepared in one step (APBC-1S) showed a slightly higher surface area and wider pore size distribution with higher levels of mesoporosity, which improved accessibility of the dye to the available surface area of the </w:t>
      </w:r>
      <w:r w:rsidR="00272188" w:rsidRPr="004F5432">
        <w:t>adsorbent</w:t>
      </w:r>
      <w:r w:rsidRPr="004F5432">
        <w:t>. This can be seen at the dye adsorption experiments, with removal percentages close to 96% in four hours for APBC-1S, and a complete removal of MB from a solution with a concentration in the range of actual ones of the dyes industry. Furthermore, this opens an opportunity to produce adsorbents by a simultaneous thermochemical and chemical activation processes in one step with no loss of adsorption properties that would be beneficial in terms of time saving and simplicity towards an industrialization of the process.</w:t>
      </w:r>
    </w:p>
    <w:p w14:paraId="459D05E6" w14:textId="232193F3" w:rsidR="00600535" w:rsidRPr="004F5432" w:rsidRDefault="00093A12" w:rsidP="00600535">
      <w:pPr>
        <w:pStyle w:val="CETAcknowledgementstitle"/>
      </w:pPr>
      <w:r w:rsidRPr="004F5432">
        <w:t xml:space="preserve"> A</w:t>
      </w:r>
      <w:r w:rsidR="005E154D" w:rsidRPr="004F5432">
        <w:t>ck</w:t>
      </w:r>
      <w:r w:rsidR="00600535" w:rsidRPr="004F5432">
        <w:t>nowledgments</w:t>
      </w:r>
    </w:p>
    <w:p w14:paraId="33F8138F" w14:textId="376D78CE" w:rsidR="00600535" w:rsidRPr="004F5432" w:rsidRDefault="00C0288A" w:rsidP="00600535">
      <w:pPr>
        <w:pStyle w:val="CETBodytext"/>
        <w:rPr>
          <w:lang w:val="en-GB"/>
        </w:rPr>
      </w:pPr>
      <w:r w:rsidRPr="004F5432">
        <w:rPr>
          <w:lang w:val="en-GB"/>
        </w:rPr>
        <w:t xml:space="preserve">This research has been founded by the Gipuzkoa’s Provincial Government under the program “Etorkizuna Eraikiz” 2022/2023. </w:t>
      </w:r>
    </w:p>
    <w:p w14:paraId="4F1327F8" w14:textId="77777777" w:rsidR="00600535" w:rsidRPr="004F5432" w:rsidRDefault="00600535" w:rsidP="00600535">
      <w:pPr>
        <w:pStyle w:val="CETReference"/>
      </w:pPr>
      <w:r w:rsidRPr="004F5432">
        <w:t>References</w:t>
      </w:r>
    </w:p>
    <w:p w14:paraId="7F675E75" w14:textId="77777777" w:rsidR="00DB5FE2" w:rsidRPr="004F5432" w:rsidRDefault="00DB5FE2" w:rsidP="00DB5FE2">
      <w:pPr>
        <w:pStyle w:val="CETReferencetext"/>
      </w:pPr>
      <w:r w:rsidRPr="004F5432">
        <w:t>Antxustegi M., Corro E., Baloch M., Volpe R., Gonzalez Alriols M., 2022, Production of Activated Bio-chars for Wastewater Treatment: Characterization, Activation and Evaluation of the Adsorption Capacity, Chemical Engineering Transactions, 92, 547-552.</w:t>
      </w:r>
    </w:p>
    <w:p w14:paraId="61AAED24" w14:textId="5935F36C" w:rsidR="00612323" w:rsidRPr="004F5432" w:rsidRDefault="00612323" w:rsidP="00DB5FE2">
      <w:pPr>
        <w:pStyle w:val="CETReferencetext"/>
      </w:pPr>
      <w:r w:rsidRPr="004F5432">
        <w:t>Ashem A.H., Saied E., Hasanin M.S., 2020, Green and ecofriendly bio-removal of methylene blue dye from aqueous solution using biologically activated banana peel waste. Sustain. Chem. Pharm., 18, 100333.</w:t>
      </w:r>
    </w:p>
    <w:p w14:paraId="28A85D8A" w14:textId="77777777" w:rsidR="00402D55" w:rsidRPr="004F5432" w:rsidRDefault="00402D55" w:rsidP="00402D55">
      <w:pPr>
        <w:pStyle w:val="CETReferencetext"/>
      </w:pPr>
      <w:r w:rsidRPr="004F5432">
        <w:t>Chen H., Yuan J., Chen G., Zhao X., Wang S., Wang D., Wang Y., 2022. Long-term biochar addition significantly decreases rice rhizosphere available phosphorus and its release risk to the environment. Biochar, 4, 1, 54.</w:t>
      </w:r>
    </w:p>
    <w:p w14:paraId="44C2319E" w14:textId="77777777" w:rsidR="00F55340" w:rsidRPr="004F5432" w:rsidRDefault="00F55340" w:rsidP="00F55340">
      <w:pPr>
        <w:pStyle w:val="CETReferencetext"/>
      </w:pPr>
      <w:r w:rsidRPr="004F5432">
        <w:t xml:space="preserve">Gallego-Ramírez, C., Chica, E., Rubio- Clemente, A. Coupling of Advanced Oxidation Technologies and Biochar </w:t>
      </w:r>
    </w:p>
    <w:p w14:paraId="68F66312" w14:textId="77777777" w:rsidR="00F55340" w:rsidRPr="004F5432" w:rsidRDefault="00F55340" w:rsidP="00F55340">
      <w:pPr>
        <w:pStyle w:val="CETReferencetext"/>
        <w:ind w:firstLine="0"/>
      </w:pPr>
      <w:r w:rsidRPr="004F5432">
        <w:t>for the Removal of Dyes in Water. Water 2022,14,2531.</w:t>
      </w:r>
    </w:p>
    <w:p w14:paraId="110CCC14" w14:textId="77777777" w:rsidR="005B36D0" w:rsidRPr="004F5432" w:rsidRDefault="005B36D0" w:rsidP="00234ABC">
      <w:pPr>
        <w:pStyle w:val="CETReferencetext"/>
      </w:pPr>
      <w:r w:rsidRPr="004F5432">
        <w:t xml:space="preserve">Hui T.S., Zaini M.A.A. 2015. Potassium hydroxide activation of activated carbon: a commentary. Carbon letters 16, 4, 275-280. </w:t>
      </w:r>
    </w:p>
    <w:p w14:paraId="3099E8FC" w14:textId="3ED35E94" w:rsidR="00344423" w:rsidRPr="004F5432" w:rsidRDefault="00344423" w:rsidP="00344423">
      <w:pPr>
        <w:pStyle w:val="CETReferencetext"/>
      </w:pPr>
      <w:r w:rsidRPr="004F5432">
        <w:t xml:space="preserve">Jedynak K., Charmas B. 2023. Adsorption properties of biochars obtained by KOH activation. Adsorption. </w:t>
      </w:r>
      <w:hyperlink r:id="rId20" w:history="1">
        <w:r w:rsidR="006B034E" w:rsidRPr="004F5432">
          <w:rPr>
            <w:rStyle w:val="Hipervnculo"/>
          </w:rPr>
          <w:t>https://doi.org/10.1007/s10450-023-00399-7</w:t>
        </w:r>
      </w:hyperlink>
      <w:r w:rsidRPr="004F5432">
        <w:t>.</w:t>
      </w:r>
    </w:p>
    <w:p w14:paraId="73231EF3" w14:textId="4263B56B" w:rsidR="006B034E" w:rsidRPr="004F5432" w:rsidRDefault="006B034E" w:rsidP="00344423">
      <w:pPr>
        <w:pStyle w:val="CETReferencetext"/>
      </w:pPr>
      <w:r w:rsidRPr="004F5432">
        <w:t>Kundu Ch., Biswas S., Thomas B.S., Appadoo D., Duan A., Bhattacharya S., 2023, Evolution of functional group of lignocellulosic biomass and its delignified form during thermal conversion using synchrotron-based THz and laboratory-based in-situ DRIFT spectroscopy, Fuel, 348, 128579.</w:t>
      </w:r>
    </w:p>
    <w:p w14:paraId="60F67005" w14:textId="432400B7" w:rsidR="008B5DA4" w:rsidRPr="004F5432" w:rsidRDefault="008B5DA4" w:rsidP="008B5DA4">
      <w:pPr>
        <w:pStyle w:val="CETReferencetext"/>
      </w:pPr>
      <w:r w:rsidRPr="004F5432">
        <w:t>Liu Y., Weng Z., Han B., Guo Z., Tian H., Tang Y., Cai Y., Yang Z. 2023. Recent studies on the comprehensive application of biochar in multiple environmental fields, Journal of Cleaner Production, 421, 138495.</w:t>
      </w:r>
    </w:p>
    <w:p w14:paraId="0D4CCBFF" w14:textId="221106B5" w:rsidR="000164F7" w:rsidRPr="004F5432" w:rsidRDefault="000164F7" w:rsidP="000164F7">
      <w:pPr>
        <w:pStyle w:val="CETReferencetext"/>
      </w:pPr>
      <w:r w:rsidRPr="004F5432">
        <w:t>Lü F., Lu X., Li S., Zhang H., Shao L., He P., 2022, Dozens-fold improvement of biochar redox properties by KOH activation. Chem. Eng. J. 429, 132203.</w:t>
      </w:r>
    </w:p>
    <w:p w14:paraId="0855ECA0" w14:textId="59F4ADF6" w:rsidR="00D12E10" w:rsidRPr="004F5432" w:rsidRDefault="00D12E10" w:rsidP="008B5DA4">
      <w:pPr>
        <w:pStyle w:val="CETReferencetext"/>
      </w:pPr>
      <w:r w:rsidRPr="004F5432">
        <w:t>Luo Z., Yao B., Yang X., Wang L., Xu</w:t>
      </w:r>
      <w:r w:rsidR="007C3E7A" w:rsidRPr="004F5432">
        <w:t xml:space="preserve"> </w:t>
      </w:r>
      <w:r w:rsidRPr="004F5432">
        <w:t>Z., Yan X., Zhou Y., 2022. Novel insights into the adsorption of organic contaminants by biochar: a review. Chemosphere 287, 132113.</w:t>
      </w:r>
    </w:p>
    <w:p w14:paraId="5F9D4568" w14:textId="6A014E64" w:rsidR="00DA42D4" w:rsidRPr="004F5432" w:rsidRDefault="00DA42D4" w:rsidP="008B5DA4">
      <w:pPr>
        <w:pStyle w:val="CETReferencetext"/>
      </w:pPr>
      <w:r w:rsidRPr="004F5432">
        <w:t>Martelo N., Antxustegi M., Corro E., Baloch M., Volpe R., Gagliano A., Fichera A., Gonzalez Alriols M., 2022, Use of residual lignocellulosic biomass for energetic uses and environmental remediation through pyrolysis, Energy Storage and Saving, 1, 3, 129-135.</w:t>
      </w:r>
    </w:p>
    <w:p w14:paraId="6F302BA0" w14:textId="3D2BF35E" w:rsidR="00EB1C34" w:rsidRPr="004F5432" w:rsidRDefault="00EB1C34" w:rsidP="00EB1C34">
      <w:pPr>
        <w:pStyle w:val="CETReferencetext"/>
      </w:pPr>
      <w:r w:rsidRPr="004F5432">
        <w:t>Muttakin M., Mitra S., Thu K., Ito K., Saha B.B., 2018, Theoretical framework to evaluate minimum desorption temperature for IUPAC classified adsorption isotherms, Int. J. Heat Mass Transf., 122, 795–805.</w:t>
      </w:r>
    </w:p>
    <w:p w14:paraId="6742E6BD" w14:textId="77777777" w:rsidR="00B03AAA" w:rsidRPr="004F5432" w:rsidRDefault="00B03AAA" w:rsidP="008B5DA4">
      <w:pPr>
        <w:pStyle w:val="CETReferencetext"/>
      </w:pPr>
      <w:r w:rsidRPr="004F5432">
        <w:t>Oginni O., Singh K., Oporto G., Dawson-Andoh B., McDonald L., Sabolsky E. 2019. Influence of one-step and two-step KOH activation on activated carbon characteristics. Bioresour. Technol. Rep. 7, 100266–100275.</w:t>
      </w:r>
    </w:p>
    <w:p w14:paraId="4DDEF250" w14:textId="534C6D38" w:rsidR="00FD2F60" w:rsidRPr="004F5432" w:rsidRDefault="00FD2F60" w:rsidP="008B5DA4">
      <w:pPr>
        <w:pStyle w:val="CETReferencetext"/>
      </w:pPr>
      <w:r w:rsidRPr="004F5432">
        <w:t>Siipola V., Tamminen T., Källi A., Lahti R., Romar H., Rasa K., Keskinen R., Hyväluoma J., Hannula M., Wikberg H.</w:t>
      </w:r>
      <w:r w:rsidR="00BF2793" w:rsidRPr="004F5432">
        <w:t>,</w:t>
      </w:r>
      <w:r w:rsidRPr="004F5432">
        <w:t xml:space="preserve"> 2018. Effects of biomass type, carbonization process, and activation method on the properties of bio-based activated carbons" BioRes. 13 (3), 5976-6002.</w:t>
      </w:r>
    </w:p>
    <w:p w14:paraId="19C4FC68" w14:textId="7E5EDBE6" w:rsidR="004628D2" w:rsidRPr="004F5432" w:rsidRDefault="00C30F7E" w:rsidP="00315898">
      <w:pPr>
        <w:pStyle w:val="CETReferencetext"/>
      </w:pPr>
      <w:r w:rsidRPr="004F5432">
        <w:t>Sun Y., Wang T., 2023, Application of Biochar, Adsorbent and Nanomaterials in Wastewater Treatment. Water, 15,</w:t>
      </w:r>
      <w:r w:rsidR="00F55340" w:rsidRPr="004F5432">
        <w:t xml:space="preserve"> </w:t>
      </w:r>
      <w:r w:rsidRPr="004F5432">
        <w:t xml:space="preserve">1320. </w:t>
      </w:r>
    </w:p>
    <w:p w14:paraId="271B4C23" w14:textId="4962D696" w:rsidR="005D5D4D" w:rsidRPr="004F5432" w:rsidRDefault="005D5D4D" w:rsidP="005D5D4D">
      <w:pPr>
        <w:pStyle w:val="CETReferencetext"/>
      </w:pPr>
      <w:r w:rsidRPr="004F5432">
        <w:t>Wang, T., Camps-Arbestain, M., Hedley, M., 2013. Predicting C aromaticity of biochars based on their elemental composition. Organic Geochemistry 62, 1-6.</w:t>
      </w:r>
    </w:p>
    <w:p w14:paraId="66D69ED7" w14:textId="4D0C84F2" w:rsidR="00C40622" w:rsidRDefault="004E3B7E" w:rsidP="005D5D4D">
      <w:pPr>
        <w:pStyle w:val="CETReferencetext"/>
      </w:pPr>
      <w:r w:rsidRPr="004F5432">
        <w:t>Wiedemeier D.B., Abiven S., Hockaday W.C., Keiluweit M., Kleber M., Masiello C.A., McBeath A.V., Nico P.S., Pyle L.A., Schneider M.P.W., Smernik R.J., Wiesenberg G.L.B., Schmidt M.W.I., 2015, Aromaticity and degree of aromatic condensation of char, Organic Geochemistry, 78, 135-143.</w:t>
      </w:r>
    </w:p>
    <w:sectPr w:rsidR="00C40622" w:rsidSect="00E01EE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8371" w14:textId="77777777" w:rsidR="00AC3E12" w:rsidRPr="004F5432" w:rsidRDefault="00AC3E12" w:rsidP="004F5E36">
      <w:r w:rsidRPr="004F5432">
        <w:separator/>
      </w:r>
    </w:p>
  </w:endnote>
  <w:endnote w:type="continuationSeparator" w:id="0">
    <w:p w14:paraId="5BC47D7C" w14:textId="77777777" w:rsidR="00AC3E12" w:rsidRPr="004F5432" w:rsidRDefault="00AC3E12" w:rsidP="004F5E36">
      <w:r w:rsidRPr="004F54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1D6A" w14:textId="77777777" w:rsidR="00AC3E12" w:rsidRPr="004F5432" w:rsidRDefault="00AC3E12" w:rsidP="004F5E36">
      <w:r w:rsidRPr="004F5432">
        <w:separator/>
      </w:r>
    </w:p>
  </w:footnote>
  <w:footnote w:type="continuationSeparator" w:id="0">
    <w:p w14:paraId="66BE3197" w14:textId="77777777" w:rsidR="00AC3E12" w:rsidRPr="004F5432" w:rsidRDefault="00AC3E12" w:rsidP="004F5E36">
      <w:r w:rsidRPr="004F543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9752FA3"/>
    <w:multiLevelType w:val="hybridMultilevel"/>
    <w:tmpl w:val="C8366184"/>
    <w:lvl w:ilvl="0" w:tplc="0C0A0001">
      <w:start w:val="2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D50D15"/>
    <w:multiLevelType w:val="hybridMultilevel"/>
    <w:tmpl w:val="ED348AEC"/>
    <w:lvl w:ilvl="0" w:tplc="0C0A0001">
      <w:start w:val="2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692560">
    <w:abstractNumId w:val="10"/>
  </w:num>
  <w:num w:numId="2" w16cid:durableId="70012263">
    <w:abstractNumId w:val="8"/>
  </w:num>
  <w:num w:numId="3" w16cid:durableId="665472715">
    <w:abstractNumId w:val="3"/>
  </w:num>
  <w:num w:numId="4" w16cid:durableId="121728083">
    <w:abstractNumId w:val="2"/>
  </w:num>
  <w:num w:numId="5" w16cid:durableId="1646352044">
    <w:abstractNumId w:val="1"/>
  </w:num>
  <w:num w:numId="6" w16cid:durableId="597251599">
    <w:abstractNumId w:val="0"/>
  </w:num>
  <w:num w:numId="7" w16cid:durableId="1101727373">
    <w:abstractNumId w:val="9"/>
  </w:num>
  <w:num w:numId="8" w16cid:durableId="32124550">
    <w:abstractNumId w:val="7"/>
  </w:num>
  <w:num w:numId="9" w16cid:durableId="1938293068">
    <w:abstractNumId w:val="6"/>
  </w:num>
  <w:num w:numId="10" w16cid:durableId="1927884400">
    <w:abstractNumId w:val="5"/>
  </w:num>
  <w:num w:numId="11" w16cid:durableId="242298820">
    <w:abstractNumId w:val="4"/>
  </w:num>
  <w:num w:numId="12" w16cid:durableId="1879469244">
    <w:abstractNumId w:val="17"/>
  </w:num>
  <w:num w:numId="13" w16cid:durableId="2048988130">
    <w:abstractNumId w:val="12"/>
  </w:num>
  <w:num w:numId="14" w16cid:durableId="981808896">
    <w:abstractNumId w:val="19"/>
  </w:num>
  <w:num w:numId="15" w16cid:durableId="383333144">
    <w:abstractNumId w:val="21"/>
  </w:num>
  <w:num w:numId="16" w16cid:durableId="1347560382">
    <w:abstractNumId w:val="20"/>
  </w:num>
  <w:num w:numId="17" w16cid:durableId="2069723828">
    <w:abstractNumId w:val="11"/>
  </w:num>
  <w:num w:numId="18" w16cid:durableId="1879006070">
    <w:abstractNumId w:val="12"/>
    <w:lvlOverride w:ilvl="0">
      <w:startOverride w:val="1"/>
    </w:lvlOverride>
  </w:num>
  <w:num w:numId="19" w16cid:durableId="1887133540">
    <w:abstractNumId w:val="16"/>
  </w:num>
  <w:num w:numId="20" w16cid:durableId="263149124">
    <w:abstractNumId w:val="15"/>
  </w:num>
  <w:num w:numId="21" w16cid:durableId="1714773541">
    <w:abstractNumId w:val="14"/>
  </w:num>
  <w:num w:numId="22" w16cid:durableId="953748444">
    <w:abstractNumId w:val="13"/>
  </w:num>
  <w:num w:numId="23" w16cid:durableId="258684551">
    <w:abstractNumId w:val="18"/>
  </w:num>
  <w:num w:numId="24" w16cid:durableId="1448038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210"/>
    <w:rsid w:val="000117CB"/>
    <w:rsid w:val="00013E00"/>
    <w:rsid w:val="000164F7"/>
    <w:rsid w:val="00024A7F"/>
    <w:rsid w:val="000312DF"/>
    <w:rsid w:val="0003148D"/>
    <w:rsid w:val="00031EEC"/>
    <w:rsid w:val="000320E1"/>
    <w:rsid w:val="00036778"/>
    <w:rsid w:val="00037E91"/>
    <w:rsid w:val="000414E7"/>
    <w:rsid w:val="00044B4F"/>
    <w:rsid w:val="0004787B"/>
    <w:rsid w:val="00050599"/>
    <w:rsid w:val="00051566"/>
    <w:rsid w:val="00052552"/>
    <w:rsid w:val="000526BF"/>
    <w:rsid w:val="00055FBD"/>
    <w:rsid w:val="000562A9"/>
    <w:rsid w:val="000603C5"/>
    <w:rsid w:val="00062A9A"/>
    <w:rsid w:val="00064B29"/>
    <w:rsid w:val="00065058"/>
    <w:rsid w:val="0006776A"/>
    <w:rsid w:val="0007656E"/>
    <w:rsid w:val="00084155"/>
    <w:rsid w:val="00086C39"/>
    <w:rsid w:val="00092A55"/>
    <w:rsid w:val="00093A12"/>
    <w:rsid w:val="00097BEC"/>
    <w:rsid w:val="000A03B2"/>
    <w:rsid w:val="000A0BF8"/>
    <w:rsid w:val="000A2B06"/>
    <w:rsid w:val="000A6D9F"/>
    <w:rsid w:val="000A76ED"/>
    <w:rsid w:val="000B7E01"/>
    <w:rsid w:val="000C64EB"/>
    <w:rsid w:val="000D0268"/>
    <w:rsid w:val="000D34BE"/>
    <w:rsid w:val="000D3C09"/>
    <w:rsid w:val="000D6EA1"/>
    <w:rsid w:val="000E0B57"/>
    <w:rsid w:val="000E102F"/>
    <w:rsid w:val="000E36F1"/>
    <w:rsid w:val="000E3A73"/>
    <w:rsid w:val="000E414A"/>
    <w:rsid w:val="000F093C"/>
    <w:rsid w:val="000F787B"/>
    <w:rsid w:val="0010455C"/>
    <w:rsid w:val="0011604A"/>
    <w:rsid w:val="0012091F"/>
    <w:rsid w:val="00126BC2"/>
    <w:rsid w:val="00127D48"/>
    <w:rsid w:val="001308B6"/>
    <w:rsid w:val="0013121F"/>
    <w:rsid w:val="00131FE6"/>
    <w:rsid w:val="0013263F"/>
    <w:rsid w:val="001331DF"/>
    <w:rsid w:val="00134DE4"/>
    <w:rsid w:val="00136854"/>
    <w:rsid w:val="0014034D"/>
    <w:rsid w:val="0014479B"/>
    <w:rsid w:val="00144D16"/>
    <w:rsid w:val="0015049C"/>
    <w:rsid w:val="00150E59"/>
    <w:rsid w:val="00152DE3"/>
    <w:rsid w:val="00156A1F"/>
    <w:rsid w:val="00156F74"/>
    <w:rsid w:val="00164CF9"/>
    <w:rsid w:val="001667A6"/>
    <w:rsid w:val="001671C6"/>
    <w:rsid w:val="00167E20"/>
    <w:rsid w:val="001721E2"/>
    <w:rsid w:val="00172C24"/>
    <w:rsid w:val="00184AD6"/>
    <w:rsid w:val="00186F6E"/>
    <w:rsid w:val="00190890"/>
    <w:rsid w:val="001915CA"/>
    <w:rsid w:val="001A4AF7"/>
    <w:rsid w:val="001A69B1"/>
    <w:rsid w:val="001B0349"/>
    <w:rsid w:val="001B0F74"/>
    <w:rsid w:val="001B1E93"/>
    <w:rsid w:val="001B442D"/>
    <w:rsid w:val="001B65C1"/>
    <w:rsid w:val="001C040C"/>
    <w:rsid w:val="001C2668"/>
    <w:rsid w:val="001C684B"/>
    <w:rsid w:val="001C6DA9"/>
    <w:rsid w:val="001D0CFB"/>
    <w:rsid w:val="001D21AF"/>
    <w:rsid w:val="001D53FC"/>
    <w:rsid w:val="001E0A4C"/>
    <w:rsid w:val="001E2C57"/>
    <w:rsid w:val="001E2D3D"/>
    <w:rsid w:val="001E2FC5"/>
    <w:rsid w:val="001F42A5"/>
    <w:rsid w:val="001F5C3C"/>
    <w:rsid w:val="001F7B9D"/>
    <w:rsid w:val="001F7D88"/>
    <w:rsid w:val="00201C93"/>
    <w:rsid w:val="002102B6"/>
    <w:rsid w:val="002140F1"/>
    <w:rsid w:val="00220293"/>
    <w:rsid w:val="002224B4"/>
    <w:rsid w:val="00226999"/>
    <w:rsid w:val="00226DB8"/>
    <w:rsid w:val="00234ABC"/>
    <w:rsid w:val="002363BC"/>
    <w:rsid w:val="00242134"/>
    <w:rsid w:val="002447EF"/>
    <w:rsid w:val="00251550"/>
    <w:rsid w:val="00251B79"/>
    <w:rsid w:val="00261512"/>
    <w:rsid w:val="00261BB0"/>
    <w:rsid w:val="00263B05"/>
    <w:rsid w:val="00264145"/>
    <w:rsid w:val="00267BFF"/>
    <w:rsid w:val="00272188"/>
    <w:rsid w:val="0027221A"/>
    <w:rsid w:val="00275B61"/>
    <w:rsid w:val="0028011A"/>
    <w:rsid w:val="00280FAF"/>
    <w:rsid w:val="00282656"/>
    <w:rsid w:val="002847D9"/>
    <w:rsid w:val="00285BE3"/>
    <w:rsid w:val="00290743"/>
    <w:rsid w:val="002915F1"/>
    <w:rsid w:val="00291905"/>
    <w:rsid w:val="00296B83"/>
    <w:rsid w:val="002A1AF2"/>
    <w:rsid w:val="002A403B"/>
    <w:rsid w:val="002A4ABE"/>
    <w:rsid w:val="002A6A7B"/>
    <w:rsid w:val="002B4015"/>
    <w:rsid w:val="002B78CE"/>
    <w:rsid w:val="002C06F7"/>
    <w:rsid w:val="002C19C4"/>
    <w:rsid w:val="002C2FB6"/>
    <w:rsid w:val="002C6E30"/>
    <w:rsid w:val="002D1426"/>
    <w:rsid w:val="002D2488"/>
    <w:rsid w:val="002D62A9"/>
    <w:rsid w:val="002E5FA7"/>
    <w:rsid w:val="002F3309"/>
    <w:rsid w:val="002F66BE"/>
    <w:rsid w:val="003008CE"/>
    <w:rsid w:val="003009B7"/>
    <w:rsid w:val="00300E56"/>
    <w:rsid w:val="0030152C"/>
    <w:rsid w:val="0030469C"/>
    <w:rsid w:val="0030475F"/>
    <w:rsid w:val="0030518A"/>
    <w:rsid w:val="00305314"/>
    <w:rsid w:val="0031126F"/>
    <w:rsid w:val="00315898"/>
    <w:rsid w:val="0031622A"/>
    <w:rsid w:val="00317C48"/>
    <w:rsid w:val="00321CA6"/>
    <w:rsid w:val="00323763"/>
    <w:rsid w:val="00323C5F"/>
    <w:rsid w:val="00324B88"/>
    <w:rsid w:val="0033094D"/>
    <w:rsid w:val="00334C09"/>
    <w:rsid w:val="00344423"/>
    <w:rsid w:val="00354F23"/>
    <w:rsid w:val="003562A1"/>
    <w:rsid w:val="0035777D"/>
    <w:rsid w:val="0036025C"/>
    <w:rsid w:val="003631BD"/>
    <w:rsid w:val="003656CE"/>
    <w:rsid w:val="003723D4"/>
    <w:rsid w:val="003778CC"/>
    <w:rsid w:val="00381905"/>
    <w:rsid w:val="00384831"/>
    <w:rsid w:val="00384CC8"/>
    <w:rsid w:val="00385FE2"/>
    <w:rsid w:val="003871FD"/>
    <w:rsid w:val="00387865"/>
    <w:rsid w:val="00390AA8"/>
    <w:rsid w:val="00397BA1"/>
    <w:rsid w:val="003A1E30"/>
    <w:rsid w:val="003A20EC"/>
    <w:rsid w:val="003A2829"/>
    <w:rsid w:val="003A6FC6"/>
    <w:rsid w:val="003A7D1C"/>
    <w:rsid w:val="003B304B"/>
    <w:rsid w:val="003B3146"/>
    <w:rsid w:val="003C15DF"/>
    <w:rsid w:val="003C3266"/>
    <w:rsid w:val="003C6B21"/>
    <w:rsid w:val="003D2FCF"/>
    <w:rsid w:val="003E42D0"/>
    <w:rsid w:val="003E5431"/>
    <w:rsid w:val="003E6EEF"/>
    <w:rsid w:val="003E7597"/>
    <w:rsid w:val="003F015E"/>
    <w:rsid w:val="003F044C"/>
    <w:rsid w:val="003F2988"/>
    <w:rsid w:val="00400414"/>
    <w:rsid w:val="00402D55"/>
    <w:rsid w:val="004052EB"/>
    <w:rsid w:val="0041446B"/>
    <w:rsid w:val="00415EC7"/>
    <w:rsid w:val="00422789"/>
    <w:rsid w:val="00426216"/>
    <w:rsid w:val="004270A7"/>
    <w:rsid w:val="00430B7A"/>
    <w:rsid w:val="004336A6"/>
    <w:rsid w:val="00433AE8"/>
    <w:rsid w:val="00435667"/>
    <w:rsid w:val="0044071E"/>
    <w:rsid w:val="0044329C"/>
    <w:rsid w:val="004457F7"/>
    <w:rsid w:val="00446418"/>
    <w:rsid w:val="004517FE"/>
    <w:rsid w:val="00453E24"/>
    <w:rsid w:val="00454F80"/>
    <w:rsid w:val="00457456"/>
    <w:rsid w:val="004577FE"/>
    <w:rsid w:val="00457B9C"/>
    <w:rsid w:val="00460964"/>
    <w:rsid w:val="0046164A"/>
    <w:rsid w:val="004628D2"/>
    <w:rsid w:val="00462DCD"/>
    <w:rsid w:val="00463412"/>
    <w:rsid w:val="00463BF5"/>
    <w:rsid w:val="004648AD"/>
    <w:rsid w:val="00465ED2"/>
    <w:rsid w:val="0046764E"/>
    <w:rsid w:val="004703A9"/>
    <w:rsid w:val="00470F87"/>
    <w:rsid w:val="004760DE"/>
    <w:rsid w:val="004761E9"/>
    <w:rsid w:val="004763D7"/>
    <w:rsid w:val="00477868"/>
    <w:rsid w:val="004803C5"/>
    <w:rsid w:val="004804BB"/>
    <w:rsid w:val="00481F89"/>
    <w:rsid w:val="0049402C"/>
    <w:rsid w:val="00494633"/>
    <w:rsid w:val="004A004E"/>
    <w:rsid w:val="004A09E4"/>
    <w:rsid w:val="004A1349"/>
    <w:rsid w:val="004A1BD0"/>
    <w:rsid w:val="004A1BE1"/>
    <w:rsid w:val="004A24CF"/>
    <w:rsid w:val="004A5220"/>
    <w:rsid w:val="004B1C2D"/>
    <w:rsid w:val="004B4700"/>
    <w:rsid w:val="004C192D"/>
    <w:rsid w:val="004C3D1D"/>
    <w:rsid w:val="004C3D84"/>
    <w:rsid w:val="004C7913"/>
    <w:rsid w:val="004D3336"/>
    <w:rsid w:val="004D7C2B"/>
    <w:rsid w:val="004E3B7E"/>
    <w:rsid w:val="004E4DD6"/>
    <w:rsid w:val="004E4F9F"/>
    <w:rsid w:val="004F08FD"/>
    <w:rsid w:val="004F17FE"/>
    <w:rsid w:val="004F37CA"/>
    <w:rsid w:val="004F5432"/>
    <w:rsid w:val="004F5E36"/>
    <w:rsid w:val="004F5F06"/>
    <w:rsid w:val="00500F75"/>
    <w:rsid w:val="005038BF"/>
    <w:rsid w:val="005043CD"/>
    <w:rsid w:val="00505419"/>
    <w:rsid w:val="00507B47"/>
    <w:rsid w:val="00507BEF"/>
    <w:rsid w:val="00507CC9"/>
    <w:rsid w:val="005119A5"/>
    <w:rsid w:val="00512E99"/>
    <w:rsid w:val="00516AAC"/>
    <w:rsid w:val="00523C22"/>
    <w:rsid w:val="00523F6F"/>
    <w:rsid w:val="005246BE"/>
    <w:rsid w:val="005272EB"/>
    <w:rsid w:val="005278B7"/>
    <w:rsid w:val="00532016"/>
    <w:rsid w:val="005346C8"/>
    <w:rsid w:val="005358EA"/>
    <w:rsid w:val="0053674D"/>
    <w:rsid w:val="005415BE"/>
    <w:rsid w:val="00542B4A"/>
    <w:rsid w:val="005436C4"/>
    <w:rsid w:val="00543E7D"/>
    <w:rsid w:val="00547A68"/>
    <w:rsid w:val="005531C9"/>
    <w:rsid w:val="00554131"/>
    <w:rsid w:val="0055633A"/>
    <w:rsid w:val="0057095A"/>
    <w:rsid w:val="00570C43"/>
    <w:rsid w:val="00570DF6"/>
    <w:rsid w:val="00573FF0"/>
    <w:rsid w:val="00574801"/>
    <w:rsid w:val="00575EED"/>
    <w:rsid w:val="00577F73"/>
    <w:rsid w:val="00581FD0"/>
    <w:rsid w:val="00583091"/>
    <w:rsid w:val="005855E0"/>
    <w:rsid w:val="005879BA"/>
    <w:rsid w:val="005903D4"/>
    <w:rsid w:val="00592F10"/>
    <w:rsid w:val="005B2110"/>
    <w:rsid w:val="005B2ED2"/>
    <w:rsid w:val="005B36D0"/>
    <w:rsid w:val="005B48F8"/>
    <w:rsid w:val="005B61E6"/>
    <w:rsid w:val="005B6DCB"/>
    <w:rsid w:val="005C35C8"/>
    <w:rsid w:val="005C3DD0"/>
    <w:rsid w:val="005C77E1"/>
    <w:rsid w:val="005D2071"/>
    <w:rsid w:val="005D41C8"/>
    <w:rsid w:val="005D5363"/>
    <w:rsid w:val="005D5D4D"/>
    <w:rsid w:val="005D668A"/>
    <w:rsid w:val="005D6A2F"/>
    <w:rsid w:val="005E154D"/>
    <w:rsid w:val="005E1A82"/>
    <w:rsid w:val="005E2187"/>
    <w:rsid w:val="005E4141"/>
    <w:rsid w:val="005E4CF2"/>
    <w:rsid w:val="005E794C"/>
    <w:rsid w:val="005F040E"/>
    <w:rsid w:val="005F0A28"/>
    <w:rsid w:val="005F0E5E"/>
    <w:rsid w:val="00600535"/>
    <w:rsid w:val="00610CD6"/>
    <w:rsid w:val="00612323"/>
    <w:rsid w:val="00620DEE"/>
    <w:rsid w:val="00621AD6"/>
    <w:rsid w:val="00621F92"/>
    <w:rsid w:val="0062280A"/>
    <w:rsid w:val="00625639"/>
    <w:rsid w:val="00631B33"/>
    <w:rsid w:val="00634F88"/>
    <w:rsid w:val="006406DC"/>
    <w:rsid w:val="0064184D"/>
    <w:rsid w:val="00641DB2"/>
    <w:rsid w:val="006422CC"/>
    <w:rsid w:val="00644881"/>
    <w:rsid w:val="006520BC"/>
    <w:rsid w:val="00652BA4"/>
    <w:rsid w:val="006577B8"/>
    <w:rsid w:val="00660E3E"/>
    <w:rsid w:val="006616E4"/>
    <w:rsid w:val="00662E74"/>
    <w:rsid w:val="006651C1"/>
    <w:rsid w:val="00671078"/>
    <w:rsid w:val="00677841"/>
    <w:rsid w:val="00680C23"/>
    <w:rsid w:val="006869A0"/>
    <w:rsid w:val="006918B3"/>
    <w:rsid w:val="00693766"/>
    <w:rsid w:val="00695D2D"/>
    <w:rsid w:val="00697E70"/>
    <w:rsid w:val="006A23E9"/>
    <w:rsid w:val="006A3281"/>
    <w:rsid w:val="006A4905"/>
    <w:rsid w:val="006A63B8"/>
    <w:rsid w:val="006A68C2"/>
    <w:rsid w:val="006A7F2D"/>
    <w:rsid w:val="006B034E"/>
    <w:rsid w:val="006B4294"/>
    <w:rsid w:val="006B4888"/>
    <w:rsid w:val="006C0EFB"/>
    <w:rsid w:val="006C1148"/>
    <w:rsid w:val="006C2E45"/>
    <w:rsid w:val="006C359C"/>
    <w:rsid w:val="006C3652"/>
    <w:rsid w:val="006C5579"/>
    <w:rsid w:val="006D6E8B"/>
    <w:rsid w:val="006D721D"/>
    <w:rsid w:val="006E57A0"/>
    <w:rsid w:val="006E737D"/>
    <w:rsid w:val="006E7B4B"/>
    <w:rsid w:val="006F2BCE"/>
    <w:rsid w:val="006F483C"/>
    <w:rsid w:val="00713973"/>
    <w:rsid w:val="00714B76"/>
    <w:rsid w:val="00715314"/>
    <w:rsid w:val="00715509"/>
    <w:rsid w:val="00720A24"/>
    <w:rsid w:val="0072138B"/>
    <w:rsid w:val="00726DFA"/>
    <w:rsid w:val="00727D24"/>
    <w:rsid w:val="00732386"/>
    <w:rsid w:val="00733FCE"/>
    <w:rsid w:val="0073514D"/>
    <w:rsid w:val="007355D6"/>
    <w:rsid w:val="00735800"/>
    <w:rsid w:val="00742662"/>
    <w:rsid w:val="007447F3"/>
    <w:rsid w:val="0074778D"/>
    <w:rsid w:val="00753DD4"/>
    <w:rsid w:val="0075499F"/>
    <w:rsid w:val="007609FF"/>
    <w:rsid w:val="00761830"/>
    <w:rsid w:val="00761E25"/>
    <w:rsid w:val="00762CED"/>
    <w:rsid w:val="00762EFB"/>
    <w:rsid w:val="007661C8"/>
    <w:rsid w:val="0077098D"/>
    <w:rsid w:val="00773FB9"/>
    <w:rsid w:val="007908F8"/>
    <w:rsid w:val="00790A75"/>
    <w:rsid w:val="007931FA"/>
    <w:rsid w:val="00795ACB"/>
    <w:rsid w:val="00797C5E"/>
    <w:rsid w:val="007A3108"/>
    <w:rsid w:val="007A4861"/>
    <w:rsid w:val="007A7071"/>
    <w:rsid w:val="007A7BBA"/>
    <w:rsid w:val="007B0C50"/>
    <w:rsid w:val="007B48F9"/>
    <w:rsid w:val="007C0297"/>
    <w:rsid w:val="007C13B7"/>
    <w:rsid w:val="007C1A43"/>
    <w:rsid w:val="007C1D1B"/>
    <w:rsid w:val="007C33E1"/>
    <w:rsid w:val="007C3E7A"/>
    <w:rsid w:val="007C78D7"/>
    <w:rsid w:val="007D0951"/>
    <w:rsid w:val="007D2C5A"/>
    <w:rsid w:val="007D577B"/>
    <w:rsid w:val="007D599A"/>
    <w:rsid w:val="007D7B59"/>
    <w:rsid w:val="007E2D78"/>
    <w:rsid w:val="007E7CB4"/>
    <w:rsid w:val="007F145C"/>
    <w:rsid w:val="007F224C"/>
    <w:rsid w:val="007F255F"/>
    <w:rsid w:val="007F3310"/>
    <w:rsid w:val="007F6655"/>
    <w:rsid w:val="007F6DDE"/>
    <w:rsid w:val="0080013E"/>
    <w:rsid w:val="00802E2A"/>
    <w:rsid w:val="00813288"/>
    <w:rsid w:val="00815377"/>
    <w:rsid w:val="008168FC"/>
    <w:rsid w:val="00821088"/>
    <w:rsid w:val="0082437B"/>
    <w:rsid w:val="00827E60"/>
    <w:rsid w:val="00830763"/>
    <w:rsid w:val="00830996"/>
    <w:rsid w:val="008345F1"/>
    <w:rsid w:val="00835DB2"/>
    <w:rsid w:val="0084256D"/>
    <w:rsid w:val="00843EAC"/>
    <w:rsid w:val="00845035"/>
    <w:rsid w:val="00861109"/>
    <w:rsid w:val="00864760"/>
    <w:rsid w:val="00865B07"/>
    <w:rsid w:val="00865D5A"/>
    <w:rsid w:val="008667EA"/>
    <w:rsid w:val="0087637F"/>
    <w:rsid w:val="008836A0"/>
    <w:rsid w:val="00883F27"/>
    <w:rsid w:val="0089066E"/>
    <w:rsid w:val="00892AD5"/>
    <w:rsid w:val="0089483A"/>
    <w:rsid w:val="00895A55"/>
    <w:rsid w:val="00896C69"/>
    <w:rsid w:val="008A1512"/>
    <w:rsid w:val="008A2879"/>
    <w:rsid w:val="008B0F99"/>
    <w:rsid w:val="008B163C"/>
    <w:rsid w:val="008B5DA4"/>
    <w:rsid w:val="008B5F4A"/>
    <w:rsid w:val="008B7C03"/>
    <w:rsid w:val="008C75FA"/>
    <w:rsid w:val="008D0BB8"/>
    <w:rsid w:val="008D2340"/>
    <w:rsid w:val="008D32B9"/>
    <w:rsid w:val="008D433B"/>
    <w:rsid w:val="008D4A16"/>
    <w:rsid w:val="008E2FA0"/>
    <w:rsid w:val="008E40AC"/>
    <w:rsid w:val="008E4E07"/>
    <w:rsid w:val="008E566E"/>
    <w:rsid w:val="008E5CD9"/>
    <w:rsid w:val="008F0B03"/>
    <w:rsid w:val="008F37AE"/>
    <w:rsid w:val="0090161A"/>
    <w:rsid w:val="00901EB6"/>
    <w:rsid w:val="00902EDA"/>
    <w:rsid w:val="00904C62"/>
    <w:rsid w:val="00905548"/>
    <w:rsid w:val="00917981"/>
    <w:rsid w:val="00922BA8"/>
    <w:rsid w:val="009237B2"/>
    <w:rsid w:val="00924DAC"/>
    <w:rsid w:val="00927058"/>
    <w:rsid w:val="009343F2"/>
    <w:rsid w:val="00934E33"/>
    <w:rsid w:val="00942750"/>
    <w:rsid w:val="00942914"/>
    <w:rsid w:val="00944AA5"/>
    <w:rsid w:val="009450CE"/>
    <w:rsid w:val="009459BB"/>
    <w:rsid w:val="009459ED"/>
    <w:rsid w:val="00947179"/>
    <w:rsid w:val="00950CA5"/>
    <w:rsid w:val="0095164B"/>
    <w:rsid w:val="009533EC"/>
    <w:rsid w:val="00954090"/>
    <w:rsid w:val="009573E7"/>
    <w:rsid w:val="0096178A"/>
    <w:rsid w:val="00963B1C"/>
    <w:rsid w:val="00963E05"/>
    <w:rsid w:val="00964A45"/>
    <w:rsid w:val="00965393"/>
    <w:rsid w:val="00967843"/>
    <w:rsid w:val="00967D54"/>
    <w:rsid w:val="00970F2C"/>
    <w:rsid w:val="00971028"/>
    <w:rsid w:val="009760DC"/>
    <w:rsid w:val="00977A1F"/>
    <w:rsid w:val="00983A5F"/>
    <w:rsid w:val="00983CCB"/>
    <w:rsid w:val="0099144F"/>
    <w:rsid w:val="0099152F"/>
    <w:rsid w:val="00993A64"/>
    <w:rsid w:val="00993B1E"/>
    <w:rsid w:val="00993B84"/>
    <w:rsid w:val="00996483"/>
    <w:rsid w:val="00996F5A"/>
    <w:rsid w:val="009A596A"/>
    <w:rsid w:val="009B041A"/>
    <w:rsid w:val="009B7E3B"/>
    <w:rsid w:val="009C37C3"/>
    <w:rsid w:val="009C78FE"/>
    <w:rsid w:val="009C7C86"/>
    <w:rsid w:val="009D2FF7"/>
    <w:rsid w:val="009E3555"/>
    <w:rsid w:val="009E7298"/>
    <w:rsid w:val="009E7884"/>
    <w:rsid w:val="009E788A"/>
    <w:rsid w:val="009F0E08"/>
    <w:rsid w:val="009F1DC9"/>
    <w:rsid w:val="009F2E8A"/>
    <w:rsid w:val="009F307F"/>
    <w:rsid w:val="009F4A3F"/>
    <w:rsid w:val="009F5AE0"/>
    <w:rsid w:val="009F6FCB"/>
    <w:rsid w:val="00A00173"/>
    <w:rsid w:val="00A03ADE"/>
    <w:rsid w:val="00A03C14"/>
    <w:rsid w:val="00A11EB6"/>
    <w:rsid w:val="00A1763D"/>
    <w:rsid w:val="00A17CEC"/>
    <w:rsid w:val="00A24BEE"/>
    <w:rsid w:val="00A27B55"/>
    <w:rsid w:val="00A27EF0"/>
    <w:rsid w:val="00A42361"/>
    <w:rsid w:val="00A455F9"/>
    <w:rsid w:val="00A50B20"/>
    <w:rsid w:val="00A51390"/>
    <w:rsid w:val="00A54083"/>
    <w:rsid w:val="00A5482B"/>
    <w:rsid w:val="00A553AD"/>
    <w:rsid w:val="00A60D13"/>
    <w:rsid w:val="00A662CD"/>
    <w:rsid w:val="00A67D18"/>
    <w:rsid w:val="00A70C44"/>
    <w:rsid w:val="00A7211F"/>
    <w:rsid w:val="00A7223D"/>
    <w:rsid w:val="00A72745"/>
    <w:rsid w:val="00A76EFC"/>
    <w:rsid w:val="00A7722D"/>
    <w:rsid w:val="00A8071B"/>
    <w:rsid w:val="00A82E83"/>
    <w:rsid w:val="00A87D50"/>
    <w:rsid w:val="00A90844"/>
    <w:rsid w:val="00A91010"/>
    <w:rsid w:val="00A952B0"/>
    <w:rsid w:val="00A9652F"/>
    <w:rsid w:val="00A97F29"/>
    <w:rsid w:val="00AA352E"/>
    <w:rsid w:val="00AA702E"/>
    <w:rsid w:val="00AA7D26"/>
    <w:rsid w:val="00AB0964"/>
    <w:rsid w:val="00AB5011"/>
    <w:rsid w:val="00AB621E"/>
    <w:rsid w:val="00AC3E12"/>
    <w:rsid w:val="00AC7368"/>
    <w:rsid w:val="00AD16B9"/>
    <w:rsid w:val="00AE0EBB"/>
    <w:rsid w:val="00AE377D"/>
    <w:rsid w:val="00AE57D6"/>
    <w:rsid w:val="00AF0EBA"/>
    <w:rsid w:val="00AF1ACA"/>
    <w:rsid w:val="00AF3525"/>
    <w:rsid w:val="00AF6D0A"/>
    <w:rsid w:val="00AF71CE"/>
    <w:rsid w:val="00B024DD"/>
    <w:rsid w:val="00B02C8A"/>
    <w:rsid w:val="00B03AAA"/>
    <w:rsid w:val="00B04941"/>
    <w:rsid w:val="00B0581D"/>
    <w:rsid w:val="00B15EBF"/>
    <w:rsid w:val="00B17A19"/>
    <w:rsid w:val="00B17FBD"/>
    <w:rsid w:val="00B25A8F"/>
    <w:rsid w:val="00B315A6"/>
    <w:rsid w:val="00B31813"/>
    <w:rsid w:val="00B31AF9"/>
    <w:rsid w:val="00B31D21"/>
    <w:rsid w:val="00B33365"/>
    <w:rsid w:val="00B4171C"/>
    <w:rsid w:val="00B50BAB"/>
    <w:rsid w:val="00B54699"/>
    <w:rsid w:val="00B54E58"/>
    <w:rsid w:val="00B57B36"/>
    <w:rsid w:val="00B57E6F"/>
    <w:rsid w:val="00B618AD"/>
    <w:rsid w:val="00B662BB"/>
    <w:rsid w:val="00B66ECA"/>
    <w:rsid w:val="00B8686D"/>
    <w:rsid w:val="00B87548"/>
    <w:rsid w:val="00B93F69"/>
    <w:rsid w:val="00B96A10"/>
    <w:rsid w:val="00BA3600"/>
    <w:rsid w:val="00BA56CA"/>
    <w:rsid w:val="00BB1DDC"/>
    <w:rsid w:val="00BB297A"/>
    <w:rsid w:val="00BB645E"/>
    <w:rsid w:val="00BB6596"/>
    <w:rsid w:val="00BC01EF"/>
    <w:rsid w:val="00BC30C9"/>
    <w:rsid w:val="00BD0534"/>
    <w:rsid w:val="00BD077D"/>
    <w:rsid w:val="00BD186D"/>
    <w:rsid w:val="00BD361F"/>
    <w:rsid w:val="00BE3E58"/>
    <w:rsid w:val="00BE45A5"/>
    <w:rsid w:val="00BE4D13"/>
    <w:rsid w:val="00BE5F1E"/>
    <w:rsid w:val="00BF1BB5"/>
    <w:rsid w:val="00BF2793"/>
    <w:rsid w:val="00BF4B75"/>
    <w:rsid w:val="00BF6DD6"/>
    <w:rsid w:val="00BF7006"/>
    <w:rsid w:val="00C01616"/>
    <w:rsid w:val="00C0162B"/>
    <w:rsid w:val="00C0288A"/>
    <w:rsid w:val="00C02E66"/>
    <w:rsid w:val="00C0521E"/>
    <w:rsid w:val="00C068ED"/>
    <w:rsid w:val="00C14E41"/>
    <w:rsid w:val="00C2081A"/>
    <w:rsid w:val="00C22E0C"/>
    <w:rsid w:val="00C236C3"/>
    <w:rsid w:val="00C25073"/>
    <w:rsid w:val="00C30F7E"/>
    <w:rsid w:val="00C345B1"/>
    <w:rsid w:val="00C40142"/>
    <w:rsid w:val="00C40622"/>
    <w:rsid w:val="00C407D5"/>
    <w:rsid w:val="00C4165A"/>
    <w:rsid w:val="00C440BF"/>
    <w:rsid w:val="00C46087"/>
    <w:rsid w:val="00C52C3C"/>
    <w:rsid w:val="00C53800"/>
    <w:rsid w:val="00C53CC2"/>
    <w:rsid w:val="00C57182"/>
    <w:rsid w:val="00C57863"/>
    <w:rsid w:val="00C640AF"/>
    <w:rsid w:val="00C655FD"/>
    <w:rsid w:val="00C66F9C"/>
    <w:rsid w:val="00C702FE"/>
    <w:rsid w:val="00C734D3"/>
    <w:rsid w:val="00C75407"/>
    <w:rsid w:val="00C75430"/>
    <w:rsid w:val="00C870A8"/>
    <w:rsid w:val="00C9293D"/>
    <w:rsid w:val="00C9306A"/>
    <w:rsid w:val="00C94434"/>
    <w:rsid w:val="00CA0D4A"/>
    <w:rsid w:val="00CA0D75"/>
    <w:rsid w:val="00CA12DC"/>
    <w:rsid w:val="00CA1C95"/>
    <w:rsid w:val="00CA31FA"/>
    <w:rsid w:val="00CA5A9C"/>
    <w:rsid w:val="00CA5B1A"/>
    <w:rsid w:val="00CA7639"/>
    <w:rsid w:val="00CA77A4"/>
    <w:rsid w:val="00CC4C20"/>
    <w:rsid w:val="00CC53E4"/>
    <w:rsid w:val="00CC7DB1"/>
    <w:rsid w:val="00CD1FC8"/>
    <w:rsid w:val="00CD3517"/>
    <w:rsid w:val="00CD5243"/>
    <w:rsid w:val="00CD5FE2"/>
    <w:rsid w:val="00CE1318"/>
    <w:rsid w:val="00CE2113"/>
    <w:rsid w:val="00CE43AC"/>
    <w:rsid w:val="00CE7184"/>
    <w:rsid w:val="00CE7C68"/>
    <w:rsid w:val="00CF1002"/>
    <w:rsid w:val="00CF2A75"/>
    <w:rsid w:val="00CF3660"/>
    <w:rsid w:val="00CF4CB2"/>
    <w:rsid w:val="00D02B4C"/>
    <w:rsid w:val="00D040C4"/>
    <w:rsid w:val="00D12E10"/>
    <w:rsid w:val="00D13078"/>
    <w:rsid w:val="00D153DA"/>
    <w:rsid w:val="00D20AD1"/>
    <w:rsid w:val="00D30516"/>
    <w:rsid w:val="00D3288F"/>
    <w:rsid w:val="00D353AE"/>
    <w:rsid w:val="00D41F9E"/>
    <w:rsid w:val="00D43AEE"/>
    <w:rsid w:val="00D46B7E"/>
    <w:rsid w:val="00D52A28"/>
    <w:rsid w:val="00D55CE4"/>
    <w:rsid w:val="00D55FBC"/>
    <w:rsid w:val="00D56D1E"/>
    <w:rsid w:val="00D57C84"/>
    <w:rsid w:val="00D6057D"/>
    <w:rsid w:val="00D612BE"/>
    <w:rsid w:val="00D63D5C"/>
    <w:rsid w:val="00D648EC"/>
    <w:rsid w:val="00D70861"/>
    <w:rsid w:val="00D71640"/>
    <w:rsid w:val="00D72A1D"/>
    <w:rsid w:val="00D7315B"/>
    <w:rsid w:val="00D836C5"/>
    <w:rsid w:val="00D84576"/>
    <w:rsid w:val="00D8775D"/>
    <w:rsid w:val="00DA024E"/>
    <w:rsid w:val="00DA1399"/>
    <w:rsid w:val="00DA24C6"/>
    <w:rsid w:val="00DA315C"/>
    <w:rsid w:val="00DA42D4"/>
    <w:rsid w:val="00DA4D7B"/>
    <w:rsid w:val="00DA5F30"/>
    <w:rsid w:val="00DB278C"/>
    <w:rsid w:val="00DB3233"/>
    <w:rsid w:val="00DB5D06"/>
    <w:rsid w:val="00DB5FE2"/>
    <w:rsid w:val="00DC75F2"/>
    <w:rsid w:val="00DD271C"/>
    <w:rsid w:val="00DE264A"/>
    <w:rsid w:val="00DE3EF3"/>
    <w:rsid w:val="00DE68E2"/>
    <w:rsid w:val="00DF2140"/>
    <w:rsid w:val="00DF5072"/>
    <w:rsid w:val="00E01EEC"/>
    <w:rsid w:val="00E02630"/>
    <w:rsid w:val="00E02D18"/>
    <w:rsid w:val="00E0406C"/>
    <w:rsid w:val="00E041E7"/>
    <w:rsid w:val="00E04536"/>
    <w:rsid w:val="00E06A80"/>
    <w:rsid w:val="00E16102"/>
    <w:rsid w:val="00E23CA1"/>
    <w:rsid w:val="00E3066F"/>
    <w:rsid w:val="00E334AA"/>
    <w:rsid w:val="00E33DD7"/>
    <w:rsid w:val="00E409A8"/>
    <w:rsid w:val="00E41831"/>
    <w:rsid w:val="00E46A34"/>
    <w:rsid w:val="00E46E73"/>
    <w:rsid w:val="00E50C12"/>
    <w:rsid w:val="00E53C9A"/>
    <w:rsid w:val="00E56500"/>
    <w:rsid w:val="00E60B21"/>
    <w:rsid w:val="00E65B91"/>
    <w:rsid w:val="00E7209D"/>
    <w:rsid w:val="00E72EAD"/>
    <w:rsid w:val="00E77223"/>
    <w:rsid w:val="00E80E70"/>
    <w:rsid w:val="00E81D86"/>
    <w:rsid w:val="00E839D3"/>
    <w:rsid w:val="00E83A94"/>
    <w:rsid w:val="00E8528B"/>
    <w:rsid w:val="00E855CA"/>
    <w:rsid w:val="00E85B94"/>
    <w:rsid w:val="00E91411"/>
    <w:rsid w:val="00E978D0"/>
    <w:rsid w:val="00EA0BA0"/>
    <w:rsid w:val="00EA4613"/>
    <w:rsid w:val="00EA7F91"/>
    <w:rsid w:val="00EB0C77"/>
    <w:rsid w:val="00EB1523"/>
    <w:rsid w:val="00EB1C34"/>
    <w:rsid w:val="00EB253F"/>
    <w:rsid w:val="00EB4773"/>
    <w:rsid w:val="00EC0E49"/>
    <w:rsid w:val="00EC101F"/>
    <w:rsid w:val="00EC1D9F"/>
    <w:rsid w:val="00EC2475"/>
    <w:rsid w:val="00ED3CAD"/>
    <w:rsid w:val="00ED6477"/>
    <w:rsid w:val="00EE0131"/>
    <w:rsid w:val="00EE09CF"/>
    <w:rsid w:val="00EE17B0"/>
    <w:rsid w:val="00EF06D9"/>
    <w:rsid w:val="00F00CF8"/>
    <w:rsid w:val="00F021D1"/>
    <w:rsid w:val="00F054A9"/>
    <w:rsid w:val="00F067CB"/>
    <w:rsid w:val="00F076A4"/>
    <w:rsid w:val="00F10240"/>
    <w:rsid w:val="00F23518"/>
    <w:rsid w:val="00F25F1F"/>
    <w:rsid w:val="00F3049E"/>
    <w:rsid w:val="00F30C64"/>
    <w:rsid w:val="00F32BA2"/>
    <w:rsid w:val="00F32BD7"/>
    <w:rsid w:val="00F32CDB"/>
    <w:rsid w:val="00F331FB"/>
    <w:rsid w:val="00F35F53"/>
    <w:rsid w:val="00F41C6F"/>
    <w:rsid w:val="00F4413B"/>
    <w:rsid w:val="00F51052"/>
    <w:rsid w:val="00F5223F"/>
    <w:rsid w:val="00F55340"/>
    <w:rsid w:val="00F565FE"/>
    <w:rsid w:val="00F62E81"/>
    <w:rsid w:val="00F63A70"/>
    <w:rsid w:val="00F63D8C"/>
    <w:rsid w:val="00F74BA9"/>
    <w:rsid w:val="00F7534E"/>
    <w:rsid w:val="00F77175"/>
    <w:rsid w:val="00F83A6D"/>
    <w:rsid w:val="00F84EA4"/>
    <w:rsid w:val="00F91CC2"/>
    <w:rsid w:val="00F93EDF"/>
    <w:rsid w:val="00F95167"/>
    <w:rsid w:val="00FA1802"/>
    <w:rsid w:val="00FA21D0"/>
    <w:rsid w:val="00FA5F5F"/>
    <w:rsid w:val="00FB730C"/>
    <w:rsid w:val="00FC2695"/>
    <w:rsid w:val="00FC3E03"/>
    <w:rsid w:val="00FC3FC1"/>
    <w:rsid w:val="00FD0B44"/>
    <w:rsid w:val="00FD135D"/>
    <w:rsid w:val="00FD2F60"/>
    <w:rsid w:val="00FD7470"/>
    <w:rsid w:val="00FE2DB4"/>
    <w:rsid w:val="00FF60F8"/>
    <w:rsid w:val="00FF71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Hipervnculovisitado">
    <w:name w:val="FollowedHyperlink"/>
    <w:basedOn w:val="Fuentedeprrafopredeter"/>
    <w:uiPriority w:val="99"/>
    <w:semiHidden/>
    <w:unhideWhenUsed/>
    <w:rsid w:val="006C3652"/>
    <w:rPr>
      <w:color w:val="800080" w:themeColor="followedHyperlink"/>
      <w:u w:val="single"/>
    </w:rPr>
  </w:style>
  <w:style w:type="paragraph" w:styleId="Sinespaciado">
    <w:name w:val="No Spacing"/>
    <w:uiPriority w:val="1"/>
    <w:qFormat/>
    <w:rsid w:val="00652BA4"/>
    <w:pPr>
      <w:tabs>
        <w:tab w:val="right" w:pos="7100"/>
      </w:tabs>
      <w:spacing w:before="120" w:after="120" w:line="264" w:lineRule="auto"/>
      <w:jc w:val="both"/>
    </w:pPr>
    <w:rPr>
      <w:rFonts w:ascii="Arial" w:eastAsia="Times New Roman" w:hAnsi="Arial" w:cs="Times New Roman"/>
      <w:sz w:val="18"/>
      <w:szCs w:val="20"/>
      <w:lang w:val="en-GB"/>
    </w:rPr>
  </w:style>
  <w:style w:type="character" w:customStyle="1" w:styleId="Mencinsinresolver1">
    <w:name w:val="Mención sin resolver1"/>
    <w:basedOn w:val="Fuentedeprrafopredeter"/>
    <w:uiPriority w:val="99"/>
    <w:semiHidden/>
    <w:unhideWhenUsed/>
    <w:rsid w:val="006B034E"/>
    <w:rPr>
      <w:color w:val="605E5C"/>
      <w:shd w:val="clear" w:color="auto" w:fill="E1DFDD"/>
    </w:rPr>
  </w:style>
  <w:style w:type="paragraph" w:styleId="Revisin">
    <w:name w:val="Revision"/>
    <w:hidden/>
    <w:uiPriority w:val="99"/>
    <w:semiHidden/>
    <w:rsid w:val="00D612B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045">
      <w:bodyDiv w:val="1"/>
      <w:marLeft w:val="0"/>
      <w:marRight w:val="0"/>
      <w:marTop w:val="0"/>
      <w:marBottom w:val="0"/>
      <w:divBdr>
        <w:top w:val="none" w:sz="0" w:space="0" w:color="auto"/>
        <w:left w:val="none" w:sz="0" w:space="0" w:color="auto"/>
        <w:bottom w:val="none" w:sz="0" w:space="0" w:color="auto"/>
        <w:right w:val="none" w:sz="0" w:space="0" w:color="auto"/>
      </w:divBdr>
      <w:divsChild>
        <w:div w:id="2016836869">
          <w:marLeft w:val="0"/>
          <w:marRight w:val="0"/>
          <w:marTop w:val="0"/>
          <w:marBottom w:val="0"/>
          <w:divBdr>
            <w:top w:val="none" w:sz="0" w:space="0" w:color="auto"/>
            <w:left w:val="none" w:sz="0" w:space="0" w:color="auto"/>
            <w:bottom w:val="none" w:sz="0" w:space="0" w:color="auto"/>
            <w:right w:val="none" w:sz="0" w:space="0" w:color="auto"/>
          </w:divBdr>
        </w:div>
        <w:div w:id="1170830389">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tiff"/><Relationship Id="rId20" Type="http://schemas.openxmlformats.org/officeDocument/2006/relationships/hyperlink" Target="https://doi.org/10.1007/s10450-023-0039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tiff"/><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261C668C1ADB4C88B00BC31CE99114" ma:contentTypeVersion="17" ma:contentTypeDescription="Crear nuevo documento." ma:contentTypeScope="" ma:versionID="ba9d00730362a89266b91493c2f87f9e">
  <xsd:schema xmlns:xsd="http://www.w3.org/2001/XMLSchema" xmlns:xs="http://www.w3.org/2001/XMLSchema" xmlns:p="http://schemas.microsoft.com/office/2006/metadata/properties" xmlns:ns3="a8ef0d45-e108-4668-a6c2-b94d093e4a7b" xmlns:ns4="ba25ee7a-8e14-442a-bb77-76f36a1b4539" targetNamespace="http://schemas.microsoft.com/office/2006/metadata/properties" ma:root="true" ma:fieldsID="2402fca6013a4db3313f9d6378fee8ea" ns3:_="" ns4:_="">
    <xsd:import namespace="a8ef0d45-e108-4668-a6c2-b94d093e4a7b"/>
    <xsd:import namespace="ba25ee7a-8e14-442a-bb77-76f36a1b45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f0d45-e108-4668-a6c2-b94d093e4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25ee7a-8e14-442a-bb77-76f36a1b453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8ef0d45-e108-4668-a6c2-b94d093e4a7b" xsi:nil="true"/>
  </documentManagement>
</p:properties>
</file>

<file path=customXml/itemProps1.xml><?xml version="1.0" encoding="utf-8"?>
<ds:datastoreItem xmlns:ds="http://schemas.openxmlformats.org/officeDocument/2006/customXml" ds:itemID="{C9370E95-3522-4DBC-9992-E793967B3C4F}">
  <ds:schemaRefs>
    <ds:schemaRef ds:uri="http://schemas.microsoft.com/sharepoint/v3/contenttype/forms"/>
  </ds:schemaRefs>
</ds:datastoreItem>
</file>

<file path=customXml/itemProps2.xml><?xml version="1.0" encoding="utf-8"?>
<ds:datastoreItem xmlns:ds="http://schemas.openxmlformats.org/officeDocument/2006/customXml" ds:itemID="{EAF6C541-84C8-4145-9678-81382F446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f0d45-e108-4668-a6c2-b94d093e4a7b"/>
    <ds:schemaRef ds:uri="ba25ee7a-8e14-442a-bb77-76f36a1b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B9D81-AA20-4E03-A55E-39A9A080D3CB}">
  <ds:schemaRefs>
    <ds:schemaRef ds:uri="http://schemas.openxmlformats.org/officeDocument/2006/bibliography"/>
  </ds:schemaRefs>
</ds:datastoreItem>
</file>

<file path=customXml/itemProps4.xml><?xml version="1.0" encoding="utf-8"?>
<ds:datastoreItem xmlns:ds="http://schemas.openxmlformats.org/officeDocument/2006/customXml" ds:itemID="{44F752D5-D47E-4860-ADB7-9C2F0DEC0FF9}">
  <ds:schemaRefs>
    <ds:schemaRef ds:uri="http://schemas.microsoft.com/office/2006/metadata/properties"/>
    <ds:schemaRef ds:uri="http://schemas.microsoft.com/office/infopath/2007/PartnerControls"/>
    <ds:schemaRef ds:uri="a8ef0d45-e108-4668-a6c2-b94d093e4a7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3049</Words>
  <Characters>16772</Characters>
  <Application>Microsoft Office Word</Application>
  <DocSecurity>0</DocSecurity>
  <Lines>139</Lines>
  <Paragraphs>39</Paragraphs>
  <ScaleCrop>false</ScaleCrop>
  <HeadingPairs>
    <vt:vector size="8" baseType="variant">
      <vt:variant>
        <vt:lpstr>Titulua</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GONZALEZ</cp:lastModifiedBy>
  <cp:revision>8</cp:revision>
  <cp:lastPrinted>2024-01-15T08:06:00Z</cp:lastPrinted>
  <dcterms:created xsi:type="dcterms:W3CDTF">2024-02-20T10:26:00Z</dcterms:created>
  <dcterms:modified xsi:type="dcterms:W3CDTF">2024-02-20T10:30:00Z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0x01010085261C668C1ADB4C88B00BC31CE99114</vt:lpwstr>
  </property>
</Properties>
</file>