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E8510A">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5DAE12D"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843EAC">
              <w:rPr>
                <w:rFonts w:cs="Arial"/>
                <w:b/>
                <w:bCs/>
                <w:i/>
                <w:iCs/>
                <w:color w:val="000066"/>
                <w:sz w:val="22"/>
                <w:szCs w:val="22"/>
                <w:lang w:eastAsia="it-IT"/>
              </w:rPr>
              <w:t xml:space="preserve">    </w:t>
            </w:r>
            <w:r w:rsidR="004761E9">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DB3233">
              <w:rPr>
                <w:rFonts w:cs="Arial"/>
                <w:b/>
                <w:bCs/>
                <w:i/>
                <w:iCs/>
                <w:color w:val="000066"/>
                <w:sz w:val="22"/>
                <w:szCs w:val="22"/>
                <w:lang w:eastAsia="it-IT"/>
              </w:rPr>
              <w:t>4</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E8510A">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E8510A">
        <w:trPr>
          <w:trHeight w:val="68"/>
          <w:jc w:val="center"/>
        </w:trPr>
        <w:tc>
          <w:tcPr>
            <w:tcW w:w="8782" w:type="dxa"/>
            <w:gridSpan w:val="2"/>
          </w:tcPr>
          <w:p w14:paraId="1D8DD3C9" w14:textId="475D992A" w:rsidR="00AA7D26" w:rsidRPr="00E8510A" w:rsidRDefault="00AA7D26" w:rsidP="00AA7D26">
            <w:pPr>
              <w:ind w:left="-107"/>
              <w:outlineLvl w:val="2"/>
              <w:rPr>
                <w:rFonts w:ascii="Tahoma" w:hAnsi="Tahoma" w:cs="Tahoma"/>
                <w:bCs/>
                <w:color w:val="000000"/>
                <w:sz w:val="14"/>
                <w:szCs w:val="14"/>
                <w:lang w:val="it-IT" w:eastAsia="it-IT"/>
              </w:rPr>
            </w:pPr>
            <w:r w:rsidRPr="00E8510A">
              <w:rPr>
                <w:rFonts w:ascii="Tahoma" w:hAnsi="Tahoma" w:cs="Tahoma"/>
                <w:iCs/>
                <w:color w:val="333333"/>
                <w:sz w:val="14"/>
                <w:szCs w:val="14"/>
                <w:lang w:val="it-IT" w:eastAsia="it-IT"/>
              </w:rPr>
              <w:t>Guest Editors:</w:t>
            </w:r>
            <w:r w:rsidRPr="00E8510A">
              <w:rPr>
                <w:rFonts w:ascii="Tahoma" w:hAnsi="Tahoma" w:cs="Tahoma"/>
                <w:color w:val="000000"/>
                <w:sz w:val="14"/>
                <w:szCs w:val="14"/>
                <w:shd w:val="clear" w:color="auto" w:fill="FFFFFF"/>
                <w:lang w:val="it-IT"/>
              </w:rPr>
              <w:t xml:space="preserve"> </w:t>
            </w:r>
            <w:r w:rsidR="006A23E9" w:rsidRPr="00E8510A">
              <w:rPr>
                <w:rFonts w:ascii="Tahoma" w:hAnsi="Tahoma" w:cs="Tahoma"/>
                <w:color w:val="000000"/>
                <w:sz w:val="14"/>
                <w:szCs w:val="14"/>
                <w:shd w:val="clear" w:color="auto" w:fill="FFFFFF"/>
                <w:lang w:val="it-IT"/>
              </w:rPr>
              <w:t xml:space="preserve">Leonardo </w:t>
            </w:r>
            <w:proofErr w:type="spellStart"/>
            <w:r w:rsidR="006A23E9" w:rsidRPr="00E8510A">
              <w:rPr>
                <w:rFonts w:ascii="Tahoma" w:hAnsi="Tahoma" w:cs="Tahoma"/>
                <w:color w:val="000000"/>
                <w:sz w:val="14"/>
                <w:szCs w:val="14"/>
                <w:shd w:val="clear" w:color="auto" w:fill="FFFFFF"/>
                <w:lang w:val="it-IT"/>
              </w:rPr>
              <w:t>Tognotti</w:t>
            </w:r>
            <w:proofErr w:type="spellEnd"/>
            <w:r w:rsidR="006A23E9" w:rsidRPr="00E8510A">
              <w:rPr>
                <w:rFonts w:ascii="Tahoma" w:hAnsi="Tahoma" w:cs="Tahoma"/>
                <w:color w:val="000000"/>
                <w:sz w:val="14"/>
                <w:szCs w:val="14"/>
                <w:shd w:val="clear" w:color="auto" w:fill="FFFFFF"/>
                <w:lang w:val="it-IT"/>
              </w:rPr>
              <w:t xml:space="preserve">, </w:t>
            </w:r>
            <w:r w:rsidR="006A23E9" w:rsidRPr="00E8510A">
              <w:rPr>
                <w:rFonts w:ascii="Tahoma" w:hAnsi="Tahoma" w:cs="Tahoma"/>
                <w:color w:val="000000"/>
                <w:sz w:val="14"/>
                <w:szCs w:val="14"/>
                <w:lang w:val="it-IT"/>
              </w:rPr>
              <w:t xml:space="preserve">Rubens Maciel </w:t>
            </w:r>
            <w:proofErr w:type="spellStart"/>
            <w:r w:rsidR="006A23E9" w:rsidRPr="00E8510A">
              <w:rPr>
                <w:rFonts w:ascii="Tahoma" w:hAnsi="Tahoma" w:cs="Tahoma"/>
                <w:color w:val="000000"/>
                <w:sz w:val="14"/>
                <w:szCs w:val="14"/>
                <w:lang w:val="it-IT"/>
              </w:rPr>
              <w:t>Filho</w:t>
            </w:r>
            <w:proofErr w:type="spellEnd"/>
            <w:r w:rsidR="006A23E9" w:rsidRPr="00E8510A">
              <w:rPr>
                <w:rFonts w:ascii="Tahoma" w:hAnsi="Tahoma" w:cs="Tahoma"/>
                <w:color w:val="000000"/>
                <w:sz w:val="14"/>
                <w:szCs w:val="14"/>
                <w:shd w:val="clear" w:color="auto" w:fill="FFFFFF"/>
                <w:lang w:val="it-IT"/>
              </w:rPr>
              <w:t xml:space="preserve">, </w:t>
            </w:r>
            <w:proofErr w:type="spellStart"/>
            <w:r w:rsidR="006A23E9" w:rsidRPr="00E8510A">
              <w:rPr>
                <w:rFonts w:ascii="Tahoma" w:hAnsi="Tahoma" w:cs="Tahoma"/>
                <w:color w:val="000000"/>
                <w:sz w:val="14"/>
                <w:szCs w:val="14"/>
                <w:lang w:val="it-IT"/>
              </w:rPr>
              <w:t>Viatcheslav</w:t>
            </w:r>
            <w:proofErr w:type="spellEnd"/>
            <w:r w:rsidR="006A23E9" w:rsidRPr="00E8510A">
              <w:rPr>
                <w:rFonts w:ascii="Tahoma" w:hAnsi="Tahoma" w:cs="Tahoma"/>
                <w:color w:val="000000"/>
                <w:sz w:val="14"/>
                <w:szCs w:val="14"/>
                <w:lang w:val="it-IT"/>
              </w:rPr>
              <w:t xml:space="preserve"> </w:t>
            </w:r>
            <w:proofErr w:type="spellStart"/>
            <w:r w:rsidR="006A23E9" w:rsidRPr="00E8510A">
              <w:rPr>
                <w:rFonts w:ascii="Tahoma" w:hAnsi="Tahoma" w:cs="Tahoma"/>
                <w:color w:val="000000"/>
                <w:sz w:val="14"/>
                <w:szCs w:val="14"/>
                <w:lang w:val="it-IT"/>
              </w:rPr>
              <w:t>Kafarov</w:t>
            </w:r>
            <w:proofErr w:type="spellEnd"/>
          </w:p>
          <w:p w14:paraId="1B0F1814" w14:textId="3AD74145"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DB3233">
              <w:rPr>
                <w:rFonts w:ascii="Tahoma" w:hAnsi="Tahoma" w:cs="Tahoma"/>
                <w:sz w:val="14"/>
                <w:szCs w:val="14"/>
              </w:rPr>
              <w:t>09</w:t>
            </w:r>
            <w:r>
              <w:rPr>
                <w:rFonts w:ascii="Tahoma" w:hAnsi="Tahoma" w:cs="Tahoma"/>
                <w:sz w:val="14"/>
                <w:szCs w:val="14"/>
              </w:rPr>
              <w:t>-</w:t>
            </w:r>
            <w:r w:rsidR="00DB3233">
              <w:rPr>
                <w:rFonts w:ascii="Tahoma" w:hAnsi="Tahoma" w:cs="Tahoma"/>
                <w:sz w:val="14"/>
                <w:szCs w:val="14"/>
              </w:rPr>
              <w:t>0</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1F9D39FB" w:rsidR="00E978D0" w:rsidRPr="00B57B36" w:rsidRDefault="0041505E" w:rsidP="00E978D0">
      <w:pPr>
        <w:pStyle w:val="CETTitle"/>
      </w:pPr>
      <w:r w:rsidRPr="00E8510A">
        <w:t>Sustainable Heating Fuels And Technologies For Households Not Connected To Natural Gas Grid In Po Valley, Italy</w:t>
      </w:r>
    </w:p>
    <w:p w14:paraId="0488FED2" w14:textId="4EDF2071" w:rsidR="00B57E6F" w:rsidRPr="007D5565" w:rsidRDefault="00121024" w:rsidP="00B57E6F">
      <w:pPr>
        <w:pStyle w:val="CETAuthors"/>
        <w:rPr>
          <w:lang w:val="it-IT"/>
        </w:rPr>
      </w:pPr>
      <w:r w:rsidRPr="007D5565">
        <w:rPr>
          <w:lang w:val="it-IT"/>
        </w:rPr>
        <w:t>Senem Ozgen</w:t>
      </w:r>
      <w:r w:rsidR="00B57E6F" w:rsidRPr="007D5565">
        <w:rPr>
          <w:vertAlign w:val="superscript"/>
          <w:lang w:val="it-IT"/>
        </w:rPr>
        <w:t>a</w:t>
      </w:r>
      <w:r w:rsidR="00811836" w:rsidRPr="007D5565">
        <w:rPr>
          <w:vertAlign w:val="superscript"/>
          <w:lang w:val="it-IT"/>
        </w:rPr>
        <w:t>,</w:t>
      </w:r>
      <w:r w:rsidR="00811836" w:rsidRPr="007D5565">
        <w:rPr>
          <w:lang w:val="it-IT"/>
        </w:rPr>
        <w:t>*</w:t>
      </w:r>
      <w:r w:rsidR="00B57E6F" w:rsidRPr="007D5565">
        <w:rPr>
          <w:lang w:val="it-IT"/>
        </w:rPr>
        <w:t xml:space="preserve">, </w:t>
      </w:r>
      <w:r w:rsidR="0058048F" w:rsidRPr="007D5565">
        <w:rPr>
          <w:lang w:val="it-IT"/>
        </w:rPr>
        <w:t>Giulio Bortoluzzi</w:t>
      </w:r>
      <w:r w:rsidR="00811836">
        <w:rPr>
          <w:vertAlign w:val="superscript"/>
          <w:lang w:val="it-IT"/>
        </w:rPr>
        <w:t>a</w:t>
      </w:r>
      <w:r w:rsidR="00B57E6F" w:rsidRPr="007D5565">
        <w:rPr>
          <w:lang w:val="it-IT"/>
        </w:rPr>
        <w:t xml:space="preserve">, </w:t>
      </w:r>
      <w:r w:rsidR="007D5565" w:rsidRPr="00AF4E0B">
        <w:rPr>
          <w:lang w:val="it-IT"/>
        </w:rPr>
        <w:t>Michele Giugliano</w:t>
      </w:r>
      <w:r w:rsidR="00D64E77">
        <w:rPr>
          <w:vertAlign w:val="superscript"/>
          <w:lang w:val="it-IT"/>
        </w:rPr>
        <w:t>a</w:t>
      </w:r>
      <w:r w:rsidR="007D5565">
        <w:rPr>
          <w:lang w:val="it-IT"/>
        </w:rPr>
        <w:t>,</w:t>
      </w:r>
      <w:r w:rsidR="00B57E6F" w:rsidRPr="007D5565">
        <w:rPr>
          <w:lang w:val="it-IT"/>
        </w:rPr>
        <w:t xml:space="preserve"> </w:t>
      </w:r>
      <w:r w:rsidR="00733428" w:rsidRPr="00733428">
        <w:rPr>
          <w:lang w:val="it-IT"/>
        </w:rPr>
        <w:t>Stefano Consonni</w:t>
      </w:r>
      <w:r w:rsidR="00674F48" w:rsidRPr="00674F48">
        <w:rPr>
          <w:vertAlign w:val="superscript"/>
          <w:lang w:val="it-IT"/>
        </w:rPr>
        <w:t>b</w:t>
      </w:r>
    </w:p>
    <w:p w14:paraId="6B2D21B3" w14:textId="6C2BDAB0" w:rsidR="00B57E6F" w:rsidRPr="00CF07D1" w:rsidRDefault="00B57E6F" w:rsidP="00B57E6F">
      <w:pPr>
        <w:pStyle w:val="CETAddress"/>
        <w:rPr>
          <w:lang w:val="it-IT"/>
        </w:rPr>
      </w:pPr>
      <w:r w:rsidRPr="00D81513">
        <w:rPr>
          <w:vertAlign w:val="superscript"/>
          <w:lang w:val="it-IT"/>
        </w:rPr>
        <w:t>a</w:t>
      </w:r>
      <w:r w:rsidR="00D81513" w:rsidRPr="00D81513">
        <w:rPr>
          <w:lang w:val="it-IT"/>
        </w:rPr>
        <w:t xml:space="preserve"> LEAP s.c.a r.l. – Laboratorio Energia e Ambiente Piacenza. </w:t>
      </w:r>
      <w:r w:rsidR="00D81513" w:rsidRPr="00CF07D1">
        <w:rPr>
          <w:lang w:val="it-IT"/>
        </w:rPr>
        <w:t>Via  Nino Bixio 27/C, 29121, Piacenza</w:t>
      </w:r>
      <w:r w:rsidR="00EA5D65">
        <w:rPr>
          <w:lang w:val="it-IT"/>
        </w:rPr>
        <w:t>, Italy.</w:t>
      </w:r>
      <w:r w:rsidRPr="00CF07D1">
        <w:rPr>
          <w:lang w:val="it-IT"/>
        </w:rPr>
        <w:t xml:space="preserve"> </w:t>
      </w:r>
    </w:p>
    <w:p w14:paraId="3D72B0B0" w14:textId="697177EA" w:rsidR="00B57E6F" w:rsidRPr="00CF07D1" w:rsidRDefault="00B57E6F" w:rsidP="00B57E6F">
      <w:pPr>
        <w:pStyle w:val="CETAddress"/>
        <w:rPr>
          <w:lang w:val="it-IT"/>
        </w:rPr>
      </w:pPr>
      <w:r w:rsidRPr="00CF07D1">
        <w:rPr>
          <w:vertAlign w:val="superscript"/>
          <w:lang w:val="it-IT"/>
        </w:rPr>
        <w:t>b</w:t>
      </w:r>
      <w:r w:rsidR="00CF07D1" w:rsidRPr="00CF07D1">
        <w:rPr>
          <w:lang w:val="it-IT"/>
        </w:rPr>
        <w:t xml:space="preserve"> Politecnico di Milano, Dipartimento di energia</w:t>
      </w:r>
      <w:r w:rsidR="008B161D">
        <w:rPr>
          <w:lang w:val="it-IT"/>
        </w:rPr>
        <w:t xml:space="preserve">. </w:t>
      </w:r>
      <w:r w:rsidR="009A4797" w:rsidRPr="009A4797">
        <w:rPr>
          <w:lang w:val="it-IT"/>
        </w:rPr>
        <w:t>Via Lambruschini, 4, 20156 Milano</w:t>
      </w:r>
      <w:r w:rsidR="00EA5D65">
        <w:rPr>
          <w:lang w:val="it-IT"/>
        </w:rPr>
        <w:t>, Italy.</w:t>
      </w:r>
      <w:r w:rsidR="00CF07D1" w:rsidRPr="00CF07D1">
        <w:rPr>
          <w:lang w:val="it-IT"/>
        </w:rPr>
        <w:t xml:space="preserve"> </w:t>
      </w:r>
    </w:p>
    <w:p w14:paraId="73F1267A" w14:textId="663F472D" w:rsidR="00B57E6F" w:rsidRPr="00EA5D65" w:rsidRDefault="00CF07D1" w:rsidP="00B57E6F">
      <w:pPr>
        <w:pStyle w:val="CETemail"/>
        <w:rPr>
          <w:lang w:val="it-IT"/>
        </w:rPr>
      </w:pPr>
      <w:r w:rsidRPr="00EA5D65">
        <w:rPr>
          <w:lang w:val="it-IT"/>
        </w:rPr>
        <w:t>senem.ozgen</w:t>
      </w:r>
      <w:r w:rsidR="00B57E6F" w:rsidRPr="00EA5D65">
        <w:rPr>
          <w:lang w:val="it-IT"/>
        </w:rPr>
        <w:t>@</w:t>
      </w:r>
      <w:r w:rsidRPr="00EA5D65">
        <w:rPr>
          <w:lang w:val="it-IT"/>
        </w:rPr>
        <w:t>polimi.it</w:t>
      </w:r>
    </w:p>
    <w:p w14:paraId="3D41EE48" w14:textId="5836BEE6" w:rsidR="002D1B88" w:rsidRDefault="00F6631C" w:rsidP="002D1B88">
      <w:pPr>
        <w:pStyle w:val="CETBodytext"/>
        <w:rPr>
          <w:lang w:val="en-GB"/>
        </w:rPr>
      </w:pPr>
      <w:r w:rsidRPr="00F6631C">
        <w:t xml:space="preserve">Po Valley in Italy is </w:t>
      </w:r>
      <w:r w:rsidR="00AC396F">
        <w:t>characterized by severe air pollution problems in terms of particulate matter (PM) and nitrogen oxides (NOx)</w:t>
      </w:r>
      <w:r w:rsidR="00721EAF">
        <w:t xml:space="preserve">. </w:t>
      </w:r>
      <w:r w:rsidR="00F748EB" w:rsidRPr="007E0F24">
        <w:rPr>
          <w:lang w:val="en-GB"/>
        </w:rPr>
        <w:t xml:space="preserve">The study focuses on small mountain municipalities </w:t>
      </w:r>
      <w:r w:rsidR="00DF1F3B">
        <w:rPr>
          <w:lang w:val="en-GB"/>
        </w:rPr>
        <w:t xml:space="preserve">in this territory </w:t>
      </w:r>
      <w:r w:rsidR="00F748EB" w:rsidRPr="007E0F24">
        <w:rPr>
          <w:lang w:val="en-GB"/>
        </w:rPr>
        <w:t xml:space="preserve">that are not connected to the natural gas grid and F-climate zones that are eligible for </w:t>
      </w:r>
      <w:r w:rsidR="00C771F1" w:rsidRPr="00CA3850">
        <w:rPr>
          <w:lang w:val="en-GB"/>
        </w:rPr>
        <w:t>liquefied petroleum gas</w:t>
      </w:r>
      <w:r w:rsidR="00C771F1">
        <w:rPr>
          <w:lang w:val="en-GB"/>
        </w:rPr>
        <w:t xml:space="preserve"> (LPG) </w:t>
      </w:r>
      <w:r w:rsidR="00F748EB" w:rsidRPr="007E0F24">
        <w:rPr>
          <w:lang w:val="en-GB"/>
        </w:rPr>
        <w:t>subsidies</w:t>
      </w:r>
      <w:r w:rsidR="00721EAF">
        <w:rPr>
          <w:lang w:val="en-GB"/>
        </w:rPr>
        <w:t>.</w:t>
      </w:r>
      <w:r w:rsidR="008A2F70">
        <w:rPr>
          <w:lang w:val="en-GB"/>
        </w:rPr>
        <w:t xml:space="preserve"> </w:t>
      </w:r>
      <w:r w:rsidR="00720E3F">
        <w:rPr>
          <w:lang w:val="en-GB"/>
        </w:rPr>
        <w:t xml:space="preserve">The sustainability of the main two </w:t>
      </w:r>
      <w:r w:rsidR="00CA4A32">
        <w:rPr>
          <w:lang w:val="en-GB"/>
        </w:rPr>
        <w:t xml:space="preserve">residential heating fuel </w:t>
      </w:r>
      <w:r w:rsidR="008A2F70">
        <w:rPr>
          <w:lang w:val="en-GB"/>
        </w:rPr>
        <w:t>alternatives in the area (i.e., biomass and LPG) is invest</w:t>
      </w:r>
      <w:r w:rsidR="00861441">
        <w:rPr>
          <w:lang w:val="en-GB"/>
        </w:rPr>
        <w:t>igated in terms of primary PM and NOx emissions by studying t</w:t>
      </w:r>
      <w:r w:rsidR="00376BB8">
        <w:rPr>
          <w:lang w:val="en-GB"/>
        </w:rPr>
        <w:t>wo</w:t>
      </w:r>
      <w:r w:rsidR="00861441">
        <w:rPr>
          <w:lang w:val="en-GB"/>
        </w:rPr>
        <w:t xml:space="preserve"> emission reductions scenarios where the heating demand currently </w:t>
      </w:r>
      <w:r w:rsidR="00376BB8">
        <w:rPr>
          <w:lang w:val="en-GB"/>
        </w:rPr>
        <w:t>provided by solid biomass</w:t>
      </w:r>
      <w:r w:rsidR="00242677">
        <w:rPr>
          <w:lang w:val="en-GB"/>
        </w:rPr>
        <w:t xml:space="preserve"> combustion is hypothesized to be covered with advanced </w:t>
      </w:r>
      <w:r w:rsidR="00AD183E">
        <w:rPr>
          <w:lang w:val="en-GB"/>
        </w:rPr>
        <w:t>wood pellet appliances</w:t>
      </w:r>
      <w:r w:rsidR="00242677">
        <w:rPr>
          <w:lang w:val="en-GB"/>
        </w:rPr>
        <w:t xml:space="preserve"> </w:t>
      </w:r>
      <w:r w:rsidR="00DC220E">
        <w:rPr>
          <w:lang w:val="en-GB"/>
        </w:rPr>
        <w:t xml:space="preserve">or by LPG. </w:t>
      </w:r>
      <w:r w:rsidR="00326C4B">
        <w:rPr>
          <w:lang w:val="en-GB"/>
        </w:rPr>
        <w:t>T</w:t>
      </w:r>
      <w:r w:rsidR="00DC220E">
        <w:rPr>
          <w:lang w:val="en-GB"/>
        </w:rPr>
        <w:t xml:space="preserve">he </w:t>
      </w:r>
      <w:r w:rsidR="00552FD8">
        <w:rPr>
          <w:lang w:val="en-GB"/>
        </w:rPr>
        <w:t xml:space="preserve">associated </w:t>
      </w:r>
      <w:r w:rsidR="00E67C27">
        <w:rPr>
          <w:lang w:val="en-GB"/>
        </w:rPr>
        <w:t>equivalent CO</w:t>
      </w:r>
      <w:r w:rsidR="00E67C27" w:rsidRPr="00552FD8">
        <w:rPr>
          <w:vertAlign w:val="subscript"/>
          <w:lang w:val="en-GB"/>
        </w:rPr>
        <w:t>2</w:t>
      </w:r>
      <w:r w:rsidR="00E67C27">
        <w:rPr>
          <w:lang w:val="en-GB"/>
        </w:rPr>
        <w:t xml:space="preserve"> emissions are also calculated.</w:t>
      </w:r>
      <w:r w:rsidR="002D1B88" w:rsidRPr="002D1B88">
        <w:rPr>
          <w:lang w:val="en-GB"/>
        </w:rPr>
        <w:t xml:space="preserve"> </w:t>
      </w:r>
      <w:r w:rsidR="002D1B88" w:rsidRPr="00C16480">
        <w:rPr>
          <w:lang w:val="en-GB"/>
        </w:rPr>
        <w:t xml:space="preserve">The study concluded that the turnover of biomass appliances </w:t>
      </w:r>
      <w:r w:rsidR="00385F03">
        <w:rPr>
          <w:lang w:val="en-GB"/>
        </w:rPr>
        <w:t xml:space="preserve">reduces significantly </w:t>
      </w:r>
      <w:r w:rsidR="00591493">
        <w:rPr>
          <w:lang w:val="en-GB"/>
        </w:rPr>
        <w:t xml:space="preserve">the PM emissions but </w:t>
      </w:r>
      <w:r w:rsidR="002D1B88" w:rsidRPr="00C16480">
        <w:rPr>
          <w:lang w:val="en-GB"/>
        </w:rPr>
        <w:t xml:space="preserve">may not be an effective way to reduce NOx emissions in the area. </w:t>
      </w:r>
      <w:r w:rsidR="002D1B88">
        <w:rPr>
          <w:lang w:val="en-GB"/>
        </w:rPr>
        <w:t>Gaseous fuel (e.g., LPG)</w:t>
      </w:r>
      <w:r w:rsidR="002D1B88" w:rsidRPr="00C16480">
        <w:rPr>
          <w:lang w:val="en-GB"/>
        </w:rPr>
        <w:t xml:space="preserve"> </w:t>
      </w:r>
      <w:r w:rsidR="00591493">
        <w:rPr>
          <w:lang w:val="en-GB"/>
        </w:rPr>
        <w:t xml:space="preserve">combustion </w:t>
      </w:r>
      <w:r w:rsidR="002D1B88" w:rsidRPr="00C16480">
        <w:rPr>
          <w:lang w:val="en-GB"/>
        </w:rPr>
        <w:t xml:space="preserve"> may bring more benefits in this respect</w:t>
      </w:r>
      <w:r w:rsidR="002D1B88" w:rsidRPr="00B57B36">
        <w:rPr>
          <w:lang w:val="en-GB"/>
        </w:rPr>
        <w:t>.</w:t>
      </w:r>
      <w:r w:rsidR="00591493">
        <w:rPr>
          <w:lang w:val="en-GB"/>
        </w:rPr>
        <w:t xml:space="preserve"> </w:t>
      </w:r>
      <w:r w:rsidR="00AD183E">
        <w:rPr>
          <w:lang w:val="en-GB"/>
        </w:rPr>
        <w:t>Both</w:t>
      </w:r>
      <w:r w:rsidR="00B56498">
        <w:rPr>
          <w:lang w:val="en-GB"/>
        </w:rPr>
        <w:t xml:space="preserve"> wood pellets and LPG </w:t>
      </w:r>
      <w:r w:rsidR="004265AB">
        <w:rPr>
          <w:lang w:val="en-GB"/>
        </w:rPr>
        <w:t>cause fossil CO</w:t>
      </w:r>
      <w:r w:rsidR="004265AB" w:rsidRPr="00552FD8">
        <w:rPr>
          <w:vertAlign w:val="subscript"/>
          <w:lang w:val="en-GB"/>
        </w:rPr>
        <w:t>2</w:t>
      </w:r>
      <w:r w:rsidR="004265AB">
        <w:rPr>
          <w:lang w:val="en-GB"/>
        </w:rPr>
        <w:t xml:space="preserve"> emissions to some extent</w:t>
      </w:r>
      <w:r w:rsidR="005E6160">
        <w:rPr>
          <w:lang w:val="en-GB"/>
        </w:rPr>
        <w:t xml:space="preserve">. </w:t>
      </w:r>
    </w:p>
    <w:p w14:paraId="476B2F2E" w14:textId="4E2150FF" w:rsidR="00600535" w:rsidRPr="00B57B36" w:rsidRDefault="00600535" w:rsidP="00600535">
      <w:pPr>
        <w:pStyle w:val="CETHeading1"/>
        <w:rPr>
          <w:lang w:val="en-GB"/>
        </w:rPr>
      </w:pPr>
      <w:r w:rsidRPr="00B57B36">
        <w:rPr>
          <w:lang w:val="en-GB"/>
        </w:rPr>
        <w:t>Introduction</w:t>
      </w:r>
    </w:p>
    <w:p w14:paraId="1B1A691D" w14:textId="571DF7AC" w:rsidR="00091837" w:rsidRDefault="008F0A3F" w:rsidP="008F0A3F">
      <w:pPr>
        <w:pStyle w:val="CETBodytext"/>
        <w:rPr>
          <w:lang w:val="en-GB"/>
        </w:rPr>
      </w:pPr>
      <w:r w:rsidRPr="008F0A3F">
        <w:rPr>
          <w:lang w:val="en-GB"/>
        </w:rPr>
        <w:t>Over the past few years, the European Commission initiated infringement proce</w:t>
      </w:r>
      <w:r w:rsidR="00195904">
        <w:rPr>
          <w:lang w:val="en-GB"/>
        </w:rPr>
        <w:t>dures</w:t>
      </w:r>
      <w:r w:rsidRPr="008F0A3F">
        <w:rPr>
          <w:lang w:val="en-GB"/>
        </w:rPr>
        <w:t xml:space="preserve"> against Italy due to its consistent and systematic violations of the particulate matter</w:t>
      </w:r>
      <w:r w:rsidR="006722D0">
        <w:rPr>
          <w:lang w:val="en-GB"/>
        </w:rPr>
        <w:t xml:space="preserve"> (PM)</w:t>
      </w:r>
      <w:r w:rsidRPr="008F0A3F">
        <w:rPr>
          <w:lang w:val="en-GB"/>
        </w:rPr>
        <w:t xml:space="preserve"> and nitrogen dioxide</w:t>
      </w:r>
      <w:r w:rsidR="006722D0">
        <w:rPr>
          <w:lang w:val="en-GB"/>
        </w:rPr>
        <w:t xml:space="preserve"> (NOx)</w:t>
      </w:r>
      <w:r w:rsidRPr="008F0A3F">
        <w:rPr>
          <w:lang w:val="en-GB"/>
        </w:rPr>
        <w:t xml:space="preserve"> limit values established by the Air Quality Directive. One of the areas where these breaches have been particularly problematic is the river Po basin. Especially regarding the  particulate matter emissions, the non-industrial combustion of biomass in small domestic appliances is the main source of primary PM10 in the Po-basin</w:t>
      </w:r>
      <w:r w:rsidR="00F26382">
        <w:rPr>
          <w:lang w:val="en-GB"/>
        </w:rPr>
        <w:t xml:space="preserve"> (</w:t>
      </w:r>
      <w:r w:rsidR="00F26382" w:rsidRPr="005D195B">
        <w:rPr>
          <w:lang w:val="en-GB"/>
        </w:rPr>
        <w:t xml:space="preserve">ARPA </w:t>
      </w:r>
      <w:proofErr w:type="spellStart"/>
      <w:r w:rsidR="00F26382" w:rsidRPr="005D195B">
        <w:rPr>
          <w:lang w:val="en-GB"/>
        </w:rPr>
        <w:t>Lombardia</w:t>
      </w:r>
      <w:proofErr w:type="spellEnd"/>
      <w:r w:rsidR="00F26382" w:rsidRPr="005D195B">
        <w:rPr>
          <w:lang w:val="en-GB"/>
        </w:rPr>
        <w:t>, 2022</w:t>
      </w:r>
      <w:r w:rsidR="00F26382">
        <w:rPr>
          <w:lang w:val="en-GB"/>
        </w:rPr>
        <w:t>)</w:t>
      </w:r>
      <w:r w:rsidRPr="008F0A3F">
        <w:rPr>
          <w:lang w:val="en-GB"/>
        </w:rPr>
        <w:t>. Residential natural gas burning systems are highly prevalent in the Po basin, except for certain mountainous</w:t>
      </w:r>
      <w:r w:rsidR="00497AA1">
        <w:rPr>
          <w:lang w:val="en-GB"/>
        </w:rPr>
        <w:t xml:space="preserve"> and hillside</w:t>
      </w:r>
      <w:r w:rsidRPr="008F0A3F">
        <w:rPr>
          <w:lang w:val="en-GB"/>
        </w:rPr>
        <w:t xml:space="preserve"> municipalities that are either not connected or only partially connected to the natural gas grid. </w:t>
      </w:r>
      <w:r w:rsidRPr="002D0915">
        <w:rPr>
          <w:lang w:val="en-GB"/>
        </w:rPr>
        <w:t>These specific territories, with respect to the low land areas of Po basin, are no</w:t>
      </w:r>
      <w:r w:rsidR="00A309D8">
        <w:rPr>
          <w:lang w:val="en-GB"/>
        </w:rPr>
        <w:t>t</w:t>
      </w:r>
      <w:r w:rsidRPr="002D0915">
        <w:rPr>
          <w:lang w:val="en-GB"/>
        </w:rPr>
        <w:t xml:space="preserve"> particularly interested by air quality problems in terms of average concentration values and exceedances.</w:t>
      </w:r>
      <w:r w:rsidR="00CB003D">
        <w:rPr>
          <w:lang w:val="en-GB"/>
        </w:rPr>
        <w:t xml:space="preserve"> However</w:t>
      </w:r>
      <w:r w:rsidR="00F233EA">
        <w:rPr>
          <w:lang w:val="en-GB"/>
        </w:rPr>
        <w:t>, t</w:t>
      </w:r>
      <w:r w:rsidR="00BC7D21">
        <w:rPr>
          <w:lang w:val="en-GB"/>
        </w:rPr>
        <w:t xml:space="preserve">he particulate matter </w:t>
      </w:r>
      <w:r w:rsidR="007D7EAA" w:rsidRPr="007D7EAA">
        <w:rPr>
          <w:lang w:val="en-GB"/>
        </w:rPr>
        <w:t xml:space="preserve">in the Po Valley is </w:t>
      </w:r>
      <w:r w:rsidR="00BC7D21">
        <w:rPr>
          <w:lang w:val="en-GB"/>
        </w:rPr>
        <w:t>re</w:t>
      </w:r>
      <w:r w:rsidR="00402C3C">
        <w:rPr>
          <w:lang w:val="en-GB"/>
        </w:rPr>
        <w:t xml:space="preserve">ported to be largely </w:t>
      </w:r>
      <w:r w:rsidR="007D7EAA" w:rsidRPr="007D7EAA">
        <w:rPr>
          <w:lang w:val="en-GB"/>
        </w:rPr>
        <w:t>of secondary origin</w:t>
      </w:r>
      <w:r w:rsidR="00402C3C">
        <w:rPr>
          <w:lang w:val="en-GB"/>
        </w:rPr>
        <w:t xml:space="preserve"> that is generated</w:t>
      </w:r>
      <w:r w:rsidR="007D7EAA" w:rsidRPr="007D7EAA">
        <w:rPr>
          <w:lang w:val="en-GB"/>
        </w:rPr>
        <w:t xml:space="preserve"> from </w:t>
      </w:r>
      <w:r w:rsidR="00C634A2">
        <w:rPr>
          <w:lang w:val="en-GB"/>
        </w:rPr>
        <w:t>the atmosp</w:t>
      </w:r>
      <w:r w:rsidR="00E47A4B">
        <w:rPr>
          <w:lang w:val="en-GB"/>
        </w:rPr>
        <w:t xml:space="preserve">heric reactions of </w:t>
      </w:r>
      <w:r w:rsidR="007D7EAA" w:rsidRPr="007D7EAA">
        <w:rPr>
          <w:lang w:val="en-GB"/>
        </w:rPr>
        <w:t>precursors</w:t>
      </w:r>
      <w:r w:rsidR="00402C3C">
        <w:rPr>
          <w:lang w:val="en-GB"/>
        </w:rPr>
        <w:t xml:space="preserve"> (e.g.,</w:t>
      </w:r>
      <w:r w:rsidR="001D0616">
        <w:rPr>
          <w:lang w:val="en-GB"/>
        </w:rPr>
        <w:t xml:space="preserve"> NOx, SO</w:t>
      </w:r>
      <w:r w:rsidR="001D0616" w:rsidRPr="00E85FD4">
        <w:rPr>
          <w:vertAlign w:val="subscript"/>
          <w:lang w:val="en-GB"/>
        </w:rPr>
        <w:t>2</w:t>
      </w:r>
      <w:r w:rsidR="001D0616">
        <w:rPr>
          <w:lang w:val="en-GB"/>
        </w:rPr>
        <w:t>, non-methane hydrocarbon</w:t>
      </w:r>
      <w:r w:rsidR="00BE661E">
        <w:rPr>
          <w:lang w:val="en-GB"/>
        </w:rPr>
        <w:t>s</w:t>
      </w:r>
      <w:r w:rsidR="00402C3C">
        <w:rPr>
          <w:lang w:val="en-GB"/>
        </w:rPr>
        <w:t>)</w:t>
      </w:r>
      <w:r w:rsidR="007D7EAA" w:rsidRPr="007D7EAA">
        <w:rPr>
          <w:lang w:val="en-GB"/>
        </w:rPr>
        <w:t xml:space="preserve"> </w:t>
      </w:r>
      <w:r w:rsidR="0002454F">
        <w:rPr>
          <w:lang w:val="en-GB"/>
        </w:rPr>
        <w:t>a</w:t>
      </w:r>
      <w:r w:rsidR="003E3132">
        <w:rPr>
          <w:lang w:val="en-GB"/>
        </w:rPr>
        <w:t xml:space="preserve">ll found in </w:t>
      </w:r>
      <w:r w:rsidR="00E94C7B">
        <w:rPr>
          <w:lang w:val="en-GB"/>
        </w:rPr>
        <w:t xml:space="preserve">residential </w:t>
      </w:r>
      <w:r w:rsidR="00A73932">
        <w:rPr>
          <w:lang w:val="en-GB"/>
        </w:rPr>
        <w:t xml:space="preserve">biomass </w:t>
      </w:r>
      <w:r w:rsidR="00E94C7B">
        <w:rPr>
          <w:lang w:val="en-GB"/>
        </w:rPr>
        <w:t xml:space="preserve">combustion </w:t>
      </w:r>
      <w:r w:rsidR="00A30780">
        <w:rPr>
          <w:lang w:val="en-GB"/>
        </w:rPr>
        <w:t>primary emissions</w:t>
      </w:r>
      <w:r w:rsidR="004B7D49">
        <w:rPr>
          <w:lang w:val="en-GB"/>
        </w:rPr>
        <w:t xml:space="preserve"> (</w:t>
      </w:r>
      <w:proofErr w:type="spellStart"/>
      <w:r w:rsidR="004B7D49" w:rsidRPr="004B7D49">
        <w:rPr>
          <w:lang w:val="en-GB"/>
        </w:rPr>
        <w:t>Thunis</w:t>
      </w:r>
      <w:proofErr w:type="spellEnd"/>
      <w:r w:rsidR="004B7D49">
        <w:rPr>
          <w:lang w:val="en-GB"/>
        </w:rPr>
        <w:t xml:space="preserve"> et</w:t>
      </w:r>
      <w:r w:rsidR="006E705B">
        <w:rPr>
          <w:lang w:val="en-GB"/>
        </w:rPr>
        <w:t xml:space="preserve"> al., 2021</w:t>
      </w:r>
      <w:r w:rsidR="004B7D49">
        <w:rPr>
          <w:lang w:val="en-GB"/>
        </w:rPr>
        <w:t>)</w:t>
      </w:r>
      <w:r w:rsidR="00EE21D9">
        <w:rPr>
          <w:lang w:val="en-GB"/>
        </w:rPr>
        <w:t>.</w:t>
      </w:r>
      <w:r w:rsidR="00E94C7B">
        <w:rPr>
          <w:lang w:val="en-GB"/>
        </w:rPr>
        <w:t xml:space="preserve"> </w:t>
      </w:r>
      <w:r w:rsidR="00714F07">
        <w:rPr>
          <w:lang w:val="en-GB"/>
        </w:rPr>
        <w:t>Recent findings suggest that biomass combustion emissions i</w:t>
      </w:r>
      <w:r w:rsidR="00DA3DD4">
        <w:rPr>
          <w:lang w:val="en-GB"/>
        </w:rPr>
        <w:t xml:space="preserve">n winter months may </w:t>
      </w:r>
      <w:r w:rsidR="00714F07">
        <w:rPr>
          <w:lang w:val="en-GB"/>
        </w:rPr>
        <w:t>contribute</w:t>
      </w:r>
      <w:r w:rsidR="00A47C48">
        <w:rPr>
          <w:lang w:val="en-GB"/>
        </w:rPr>
        <w:t xml:space="preserve"> to </w:t>
      </w:r>
      <w:r w:rsidR="007E4D08">
        <w:rPr>
          <w:lang w:val="en-GB"/>
        </w:rPr>
        <w:t xml:space="preserve">the formation of </w:t>
      </w:r>
      <w:r w:rsidR="00A47C48" w:rsidRPr="00A47C48">
        <w:rPr>
          <w:lang w:val="en-GB"/>
        </w:rPr>
        <w:t>oxidized organic aerosol</w:t>
      </w:r>
      <w:r w:rsidR="00627DE3">
        <w:rPr>
          <w:lang w:val="en-GB"/>
        </w:rPr>
        <w:t xml:space="preserve"> in the atmosphere </w:t>
      </w:r>
      <w:r w:rsidR="007E4D08" w:rsidRPr="007E4D08">
        <w:rPr>
          <w:lang w:val="en-GB"/>
        </w:rPr>
        <w:t>without requiring any sunlight</w:t>
      </w:r>
      <w:r w:rsidR="00091837">
        <w:rPr>
          <w:lang w:val="en-GB"/>
        </w:rPr>
        <w:t xml:space="preserve"> (</w:t>
      </w:r>
      <w:proofErr w:type="spellStart"/>
      <w:r w:rsidR="00091837">
        <w:rPr>
          <w:lang w:val="en-GB"/>
        </w:rPr>
        <w:t>Kodros</w:t>
      </w:r>
      <w:proofErr w:type="spellEnd"/>
      <w:r w:rsidR="00091837">
        <w:rPr>
          <w:lang w:val="en-GB"/>
        </w:rPr>
        <w:t xml:space="preserve"> et al., 2020). </w:t>
      </w:r>
      <w:r w:rsidR="009B27D1">
        <w:rPr>
          <w:lang w:val="en-GB"/>
        </w:rPr>
        <w:t>In this respect</w:t>
      </w:r>
      <w:r w:rsidR="005C2AEC">
        <w:rPr>
          <w:lang w:val="en-GB"/>
        </w:rPr>
        <w:t xml:space="preserve">, </w:t>
      </w:r>
      <w:r w:rsidR="00D26330">
        <w:rPr>
          <w:lang w:val="en-GB"/>
        </w:rPr>
        <w:t>t</w:t>
      </w:r>
      <w:r w:rsidR="00EE20B8" w:rsidRPr="00EE20B8">
        <w:rPr>
          <w:lang w:val="en-GB"/>
        </w:rPr>
        <w:t xml:space="preserve">he local reduction of </w:t>
      </w:r>
      <w:r w:rsidR="00AD2AD2">
        <w:rPr>
          <w:lang w:val="en-GB"/>
        </w:rPr>
        <w:t xml:space="preserve">primary </w:t>
      </w:r>
      <w:r w:rsidR="00D26330">
        <w:rPr>
          <w:lang w:val="en-GB"/>
        </w:rPr>
        <w:t>PM and NOx emissions</w:t>
      </w:r>
      <w:r w:rsidR="00EE20B8" w:rsidRPr="00EE20B8">
        <w:rPr>
          <w:lang w:val="en-GB"/>
        </w:rPr>
        <w:t xml:space="preserve"> in mountainous areas could yield </w:t>
      </w:r>
      <w:r w:rsidR="00332575">
        <w:rPr>
          <w:lang w:val="en-GB"/>
        </w:rPr>
        <w:t xml:space="preserve">even </w:t>
      </w:r>
      <w:r w:rsidR="00EE20B8" w:rsidRPr="00EE20B8">
        <w:rPr>
          <w:lang w:val="en-GB"/>
        </w:rPr>
        <w:t xml:space="preserve">beneficial regional effects, as it would contribute to the removal of precursors for secondary PM. </w:t>
      </w:r>
    </w:p>
    <w:p w14:paraId="7FD9D051" w14:textId="69588A47" w:rsidR="005E6BC9" w:rsidRDefault="001B251A" w:rsidP="00AB7BB2">
      <w:pPr>
        <w:pStyle w:val="CETBodytext"/>
        <w:rPr>
          <w:lang w:val="en-GB"/>
        </w:rPr>
      </w:pPr>
      <w:r>
        <w:rPr>
          <w:lang w:val="en-GB"/>
        </w:rPr>
        <w:t xml:space="preserve">The present study </w:t>
      </w:r>
      <w:r w:rsidR="00557FBB">
        <w:rPr>
          <w:lang w:val="en-GB"/>
        </w:rPr>
        <w:t>determined</w:t>
      </w:r>
      <w:r>
        <w:rPr>
          <w:lang w:val="en-GB"/>
        </w:rPr>
        <w:t xml:space="preserve"> the </w:t>
      </w:r>
      <w:r w:rsidR="000F6C52">
        <w:rPr>
          <w:lang w:val="en-GB"/>
        </w:rPr>
        <w:t xml:space="preserve">annual </w:t>
      </w:r>
      <w:r>
        <w:rPr>
          <w:lang w:val="en-GB"/>
        </w:rPr>
        <w:t xml:space="preserve">PM and NOx emissions associated with residential biomass combustion in the small </w:t>
      </w:r>
      <w:r w:rsidRPr="00F220B9">
        <w:rPr>
          <w:lang w:val="en-GB"/>
        </w:rPr>
        <w:t xml:space="preserve">mountain municipalities </w:t>
      </w:r>
      <w:r>
        <w:rPr>
          <w:lang w:val="en-GB"/>
        </w:rPr>
        <w:t>of Po Valley, northern Italy</w:t>
      </w:r>
      <w:r w:rsidR="00B51AF6">
        <w:rPr>
          <w:lang w:val="en-GB"/>
        </w:rPr>
        <w:t>, where the households are not connected to natural gas grid</w:t>
      </w:r>
      <w:r>
        <w:rPr>
          <w:lang w:val="en-GB"/>
        </w:rPr>
        <w:t xml:space="preserve">. </w:t>
      </w:r>
      <w:r w:rsidR="003E733A">
        <w:rPr>
          <w:lang w:val="en-GB"/>
        </w:rPr>
        <w:t>Since</w:t>
      </w:r>
      <w:r w:rsidR="00251088">
        <w:rPr>
          <w:lang w:val="en-GB"/>
        </w:rPr>
        <w:t xml:space="preserve"> t</w:t>
      </w:r>
      <w:r w:rsidR="00D76E57">
        <w:rPr>
          <w:lang w:val="en-GB"/>
        </w:rPr>
        <w:t xml:space="preserve">he reduction of </w:t>
      </w:r>
      <w:r w:rsidR="003E733A">
        <w:rPr>
          <w:lang w:val="en-GB"/>
        </w:rPr>
        <w:t>primary emissions</w:t>
      </w:r>
      <w:r w:rsidR="00D76E57">
        <w:rPr>
          <w:lang w:val="en-GB"/>
        </w:rPr>
        <w:t xml:space="preserve"> will potentially increase</w:t>
      </w:r>
      <w:r w:rsidR="003E733A" w:rsidRPr="00607450">
        <w:rPr>
          <w:lang w:val="en-GB"/>
        </w:rPr>
        <w:t xml:space="preserve"> the </w:t>
      </w:r>
      <w:r w:rsidR="003E733A">
        <w:rPr>
          <w:lang w:val="en-GB"/>
        </w:rPr>
        <w:t xml:space="preserve">environmental </w:t>
      </w:r>
      <w:r w:rsidR="003E733A" w:rsidRPr="00607450">
        <w:rPr>
          <w:lang w:val="en-GB"/>
        </w:rPr>
        <w:t xml:space="preserve">sustainability of </w:t>
      </w:r>
      <w:r w:rsidR="00CE009F">
        <w:rPr>
          <w:lang w:val="en-GB"/>
        </w:rPr>
        <w:t xml:space="preserve">residential </w:t>
      </w:r>
      <w:r w:rsidR="003E733A" w:rsidRPr="00607450">
        <w:rPr>
          <w:lang w:val="en-GB"/>
        </w:rPr>
        <w:t>heating</w:t>
      </w:r>
      <w:r w:rsidR="003E733A">
        <w:rPr>
          <w:lang w:val="en-GB"/>
        </w:rPr>
        <w:t xml:space="preserve">, </w:t>
      </w:r>
      <w:r w:rsidR="00F0359B">
        <w:rPr>
          <w:lang w:val="en-GB"/>
        </w:rPr>
        <w:t xml:space="preserve">some </w:t>
      </w:r>
      <w:r w:rsidR="00790D9B">
        <w:rPr>
          <w:lang w:val="en-GB"/>
        </w:rPr>
        <w:t xml:space="preserve">emission reduction scenarios are studied for the identification of the potential benefits and </w:t>
      </w:r>
      <w:r w:rsidR="006B3CA2">
        <w:rPr>
          <w:lang w:val="en-GB"/>
        </w:rPr>
        <w:t>drawbacks</w:t>
      </w:r>
      <w:r w:rsidR="00EC23AD">
        <w:rPr>
          <w:lang w:val="en-GB"/>
        </w:rPr>
        <w:t xml:space="preserve"> of </w:t>
      </w:r>
      <w:r w:rsidR="001E50AA">
        <w:rPr>
          <w:lang w:val="en-GB"/>
        </w:rPr>
        <w:t xml:space="preserve">selecting </w:t>
      </w:r>
      <w:r w:rsidR="00CF4307" w:rsidRPr="00CF4307">
        <w:rPr>
          <w:lang w:val="en-GB"/>
        </w:rPr>
        <w:t>heating fuel and technology alternatives</w:t>
      </w:r>
      <w:r w:rsidR="006B3CA2">
        <w:rPr>
          <w:lang w:val="en-GB"/>
        </w:rPr>
        <w:t xml:space="preserve">. </w:t>
      </w:r>
      <w:r w:rsidR="00AB7BB2">
        <w:rPr>
          <w:lang w:val="en-GB"/>
        </w:rPr>
        <w:t>I</w:t>
      </w:r>
      <w:r w:rsidR="00AB7BB2" w:rsidRPr="008F0A3F">
        <w:rPr>
          <w:lang w:val="en-GB"/>
        </w:rPr>
        <w:t xml:space="preserve">n line with the main economic </w:t>
      </w:r>
      <w:r w:rsidR="00AB7BB2">
        <w:rPr>
          <w:lang w:val="en-GB"/>
        </w:rPr>
        <w:t xml:space="preserve">and fiscal </w:t>
      </w:r>
      <w:r w:rsidR="00AB7BB2" w:rsidRPr="008F0A3F">
        <w:rPr>
          <w:lang w:val="en-GB"/>
        </w:rPr>
        <w:t>incentive schemes</w:t>
      </w:r>
      <w:r w:rsidR="00AB7BB2">
        <w:rPr>
          <w:lang w:val="en-GB"/>
        </w:rPr>
        <w:t xml:space="preserve"> regarding the </w:t>
      </w:r>
      <w:r w:rsidR="0083494A">
        <w:rPr>
          <w:lang w:val="en-GB"/>
        </w:rPr>
        <w:t>heating fuel and technologies</w:t>
      </w:r>
      <w:r w:rsidR="00963E09">
        <w:rPr>
          <w:lang w:val="en-GB"/>
        </w:rPr>
        <w:t xml:space="preserve"> currently active in </w:t>
      </w:r>
      <w:r w:rsidR="002E6CF1">
        <w:rPr>
          <w:lang w:val="en-GB"/>
        </w:rPr>
        <w:t>Italy</w:t>
      </w:r>
      <w:r w:rsidR="00AB7BB2" w:rsidRPr="008F0A3F">
        <w:rPr>
          <w:lang w:val="en-GB"/>
        </w:rPr>
        <w:t xml:space="preserve">, the present study examined </w:t>
      </w:r>
      <w:r w:rsidR="00206B1A">
        <w:rPr>
          <w:lang w:val="en-GB"/>
        </w:rPr>
        <w:t>a first</w:t>
      </w:r>
      <w:r w:rsidR="00AB7BB2" w:rsidRPr="008F0A3F">
        <w:rPr>
          <w:lang w:val="en-GB"/>
        </w:rPr>
        <w:t xml:space="preserve"> emission reduction scenario</w:t>
      </w:r>
      <w:r w:rsidR="00D2430F">
        <w:rPr>
          <w:lang w:val="en-GB"/>
        </w:rPr>
        <w:t xml:space="preserve"> </w:t>
      </w:r>
      <w:r w:rsidR="00AB7BB2" w:rsidRPr="008F0A3F">
        <w:rPr>
          <w:lang w:val="en-GB"/>
        </w:rPr>
        <w:t>encompass</w:t>
      </w:r>
      <w:r w:rsidR="00D2430F">
        <w:rPr>
          <w:lang w:val="en-GB"/>
        </w:rPr>
        <w:t>ing</w:t>
      </w:r>
      <w:r w:rsidR="00AB7BB2" w:rsidRPr="008F0A3F">
        <w:rPr>
          <w:lang w:val="en-GB"/>
        </w:rPr>
        <w:t xml:space="preserve"> the complete replacement of all biomass appliances </w:t>
      </w:r>
      <w:r w:rsidR="001D73FD">
        <w:rPr>
          <w:lang w:val="en-GB"/>
        </w:rPr>
        <w:t xml:space="preserve">in the </w:t>
      </w:r>
      <w:r w:rsidR="00017A99">
        <w:rPr>
          <w:lang w:val="en-GB"/>
        </w:rPr>
        <w:t>study area</w:t>
      </w:r>
      <w:r w:rsidR="00244A81">
        <w:rPr>
          <w:lang w:val="en-GB"/>
        </w:rPr>
        <w:t xml:space="preserve"> with advanced </w:t>
      </w:r>
      <w:r w:rsidR="000B396E">
        <w:rPr>
          <w:lang w:val="en-GB"/>
        </w:rPr>
        <w:t xml:space="preserve">biomass </w:t>
      </w:r>
      <w:r w:rsidR="00244A81">
        <w:rPr>
          <w:lang w:val="en-GB"/>
        </w:rPr>
        <w:t>technolog</w:t>
      </w:r>
      <w:r w:rsidR="000B396E">
        <w:rPr>
          <w:lang w:val="en-GB"/>
        </w:rPr>
        <w:t>ies.</w:t>
      </w:r>
      <w:r w:rsidR="00394B37">
        <w:rPr>
          <w:lang w:val="en-GB"/>
        </w:rPr>
        <w:t xml:space="preserve"> </w:t>
      </w:r>
      <w:r w:rsidR="001D1FD5">
        <w:rPr>
          <w:lang w:val="en-GB"/>
        </w:rPr>
        <w:t>However</w:t>
      </w:r>
      <w:r w:rsidR="00394B37">
        <w:rPr>
          <w:lang w:val="en-GB"/>
        </w:rPr>
        <w:t>,</w:t>
      </w:r>
      <w:r w:rsidR="001D1FD5">
        <w:rPr>
          <w:lang w:val="en-GB"/>
        </w:rPr>
        <w:t xml:space="preserve"> taking into account </w:t>
      </w:r>
      <w:r w:rsidR="00DB141C" w:rsidRPr="00DB141C">
        <w:rPr>
          <w:lang w:val="en-GB"/>
        </w:rPr>
        <w:t>adverse effects</w:t>
      </w:r>
      <w:r w:rsidR="00F619B8">
        <w:rPr>
          <w:lang w:val="en-GB"/>
        </w:rPr>
        <w:t xml:space="preserve"> of</w:t>
      </w:r>
      <w:r w:rsidR="00DB141C" w:rsidRPr="00DB141C">
        <w:rPr>
          <w:lang w:val="en-GB"/>
        </w:rPr>
        <w:t xml:space="preserve"> </w:t>
      </w:r>
      <w:r w:rsidR="00F619B8">
        <w:rPr>
          <w:lang w:val="en-GB"/>
        </w:rPr>
        <w:t>biomass combustion emissions</w:t>
      </w:r>
      <w:r w:rsidR="00F619B8" w:rsidRPr="00DB141C">
        <w:rPr>
          <w:lang w:val="en-GB"/>
        </w:rPr>
        <w:t xml:space="preserve"> </w:t>
      </w:r>
      <w:r w:rsidR="00DB141C" w:rsidRPr="00DB141C">
        <w:rPr>
          <w:lang w:val="en-GB"/>
        </w:rPr>
        <w:t xml:space="preserve">on human health </w:t>
      </w:r>
      <w:r w:rsidR="00BC5219">
        <w:rPr>
          <w:lang w:val="en-GB"/>
        </w:rPr>
        <w:t>and</w:t>
      </w:r>
      <w:r w:rsidR="00DB141C" w:rsidRPr="00DB141C">
        <w:rPr>
          <w:lang w:val="en-GB"/>
        </w:rPr>
        <w:t xml:space="preserve"> heavy impact on air quality</w:t>
      </w:r>
      <w:r w:rsidR="00BC5219">
        <w:rPr>
          <w:lang w:val="en-GB"/>
        </w:rPr>
        <w:t xml:space="preserve"> </w:t>
      </w:r>
      <w:r w:rsidR="00BC5219">
        <w:rPr>
          <w:lang w:val="en-GB"/>
        </w:rPr>
        <w:lastRenderedPageBreak/>
        <w:t>(</w:t>
      </w:r>
      <w:r w:rsidR="00F619B8" w:rsidRPr="0022525A">
        <w:t>Naeher</w:t>
      </w:r>
      <w:r w:rsidR="00F619B8">
        <w:t xml:space="preserve"> et al., 2007</w:t>
      </w:r>
      <w:r w:rsidR="00BC5219">
        <w:rPr>
          <w:lang w:val="en-GB"/>
        </w:rPr>
        <w:t>)</w:t>
      </w:r>
      <w:r w:rsidR="00944A37">
        <w:rPr>
          <w:lang w:val="en-GB"/>
        </w:rPr>
        <w:t xml:space="preserve"> an alternative scenario</w:t>
      </w:r>
      <w:r w:rsidR="00BC6B2B">
        <w:rPr>
          <w:lang w:val="en-GB"/>
        </w:rPr>
        <w:t xml:space="preserve"> involving a fuel switch </w:t>
      </w:r>
      <w:r w:rsidR="0009327D">
        <w:rPr>
          <w:lang w:val="en-GB"/>
        </w:rPr>
        <w:t>(i.e., from solid biomass to gaseous fuel)</w:t>
      </w:r>
      <w:r w:rsidR="00944A37">
        <w:rPr>
          <w:lang w:val="en-GB"/>
        </w:rPr>
        <w:t xml:space="preserve"> is </w:t>
      </w:r>
      <w:r w:rsidR="00835C78">
        <w:rPr>
          <w:lang w:val="en-GB"/>
        </w:rPr>
        <w:t>also conceived.</w:t>
      </w:r>
      <w:r w:rsidR="00610CA6">
        <w:rPr>
          <w:lang w:val="en-GB"/>
        </w:rPr>
        <w:t xml:space="preserve"> Given the inherent characteristics of the h</w:t>
      </w:r>
      <w:r w:rsidR="00610CA6" w:rsidRPr="004418D8">
        <w:rPr>
          <w:lang w:val="en-GB"/>
        </w:rPr>
        <w:t>omogeneous combustion</w:t>
      </w:r>
      <w:r w:rsidR="00610CA6">
        <w:rPr>
          <w:lang w:val="en-GB"/>
        </w:rPr>
        <w:t xml:space="preserve"> (i.e., gas phase) particulate emissions are expected to decrease</w:t>
      </w:r>
      <w:r w:rsidR="008410E9">
        <w:rPr>
          <w:lang w:val="en-GB"/>
        </w:rPr>
        <w:t xml:space="preserve"> with gaseous fuel combustion</w:t>
      </w:r>
      <w:r w:rsidR="00CD399C" w:rsidRPr="00CD399C">
        <w:rPr>
          <w:lang w:val="en-GB"/>
        </w:rPr>
        <w:t xml:space="preserve"> </w:t>
      </w:r>
      <w:r w:rsidR="00CD399C">
        <w:rPr>
          <w:lang w:val="en-GB"/>
        </w:rPr>
        <w:t>in heating appliances</w:t>
      </w:r>
      <w:r w:rsidR="00610CA6">
        <w:rPr>
          <w:lang w:val="en-GB"/>
        </w:rPr>
        <w:t>.</w:t>
      </w:r>
      <w:r w:rsidR="00835C78">
        <w:rPr>
          <w:lang w:val="en-GB"/>
        </w:rPr>
        <w:t xml:space="preserve"> </w:t>
      </w:r>
      <w:r w:rsidR="000F6C52">
        <w:rPr>
          <w:lang w:val="en-GB"/>
        </w:rPr>
        <w:t>In this direction</w:t>
      </w:r>
      <w:r w:rsidR="00CB0C5E">
        <w:rPr>
          <w:lang w:val="en-GB"/>
        </w:rPr>
        <w:t>, t</w:t>
      </w:r>
      <w:r w:rsidR="00835C78">
        <w:rPr>
          <w:lang w:val="en-GB"/>
        </w:rPr>
        <w:t>h</w:t>
      </w:r>
      <w:r w:rsidR="00CB0C5E">
        <w:rPr>
          <w:lang w:val="en-GB"/>
        </w:rPr>
        <w:t>e second</w:t>
      </w:r>
      <w:r w:rsidR="00835C78">
        <w:rPr>
          <w:lang w:val="en-GB"/>
        </w:rPr>
        <w:t xml:space="preserve"> scenario involves the </w:t>
      </w:r>
      <w:r w:rsidR="00394B37">
        <w:rPr>
          <w:lang w:val="en-GB"/>
        </w:rPr>
        <w:t>replacement of the existing biomass appliances with</w:t>
      </w:r>
      <w:r w:rsidR="00CA3850">
        <w:rPr>
          <w:lang w:val="en-GB"/>
        </w:rPr>
        <w:t xml:space="preserve"> </w:t>
      </w:r>
      <w:r w:rsidR="00CA3850" w:rsidRPr="00CA3850">
        <w:rPr>
          <w:lang w:val="en-GB"/>
        </w:rPr>
        <w:t>liquefied petroleum gas</w:t>
      </w:r>
      <w:r w:rsidR="00394B37">
        <w:rPr>
          <w:lang w:val="en-GB"/>
        </w:rPr>
        <w:t xml:space="preserve"> </w:t>
      </w:r>
      <w:r w:rsidR="008F3F0A">
        <w:rPr>
          <w:lang w:val="en-GB"/>
        </w:rPr>
        <w:t>(</w:t>
      </w:r>
      <w:r w:rsidR="00394B37">
        <w:rPr>
          <w:lang w:val="en-GB"/>
        </w:rPr>
        <w:t>LPG</w:t>
      </w:r>
      <w:r w:rsidR="008F3F0A">
        <w:rPr>
          <w:lang w:val="en-GB"/>
        </w:rPr>
        <w:t>)</w:t>
      </w:r>
      <w:r w:rsidR="00394B37">
        <w:rPr>
          <w:lang w:val="en-GB"/>
        </w:rPr>
        <w:t xml:space="preserve"> appliances </w:t>
      </w:r>
      <w:r w:rsidR="00394B37" w:rsidRPr="008F0A3F">
        <w:rPr>
          <w:lang w:val="en-GB"/>
        </w:rPr>
        <w:t>(i.e., fuel switch)</w:t>
      </w:r>
      <w:r w:rsidR="00394B37">
        <w:rPr>
          <w:lang w:val="en-GB"/>
        </w:rPr>
        <w:t xml:space="preserve">. </w:t>
      </w:r>
      <w:r w:rsidR="007349A6">
        <w:rPr>
          <w:lang w:val="en-GB"/>
        </w:rPr>
        <w:t>LPG is chosen as a</w:t>
      </w:r>
      <w:r w:rsidR="00B71A73">
        <w:rPr>
          <w:lang w:val="en-GB"/>
        </w:rPr>
        <w:t>n alternative</w:t>
      </w:r>
      <w:r w:rsidR="00F43594">
        <w:rPr>
          <w:lang w:val="en-GB"/>
        </w:rPr>
        <w:t xml:space="preserve"> because</w:t>
      </w:r>
      <w:r w:rsidR="00F8368A">
        <w:rPr>
          <w:lang w:val="en-GB"/>
        </w:rPr>
        <w:t xml:space="preserve"> in the areas where natural gas connection is not available</w:t>
      </w:r>
      <w:r w:rsidR="008F27D2">
        <w:rPr>
          <w:lang w:val="en-GB"/>
        </w:rPr>
        <w:t>,</w:t>
      </w:r>
      <w:r w:rsidR="00F43594">
        <w:rPr>
          <w:lang w:val="en-GB"/>
        </w:rPr>
        <w:t xml:space="preserve"> </w:t>
      </w:r>
      <w:r w:rsidR="00F43594" w:rsidRPr="004A11BE">
        <w:rPr>
          <w:lang w:val="en-GB"/>
        </w:rPr>
        <w:t>a lower rate of excise duty</w:t>
      </w:r>
      <w:r w:rsidR="00F43594">
        <w:t xml:space="preserve"> </w:t>
      </w:r>
      <w:r w:rsidR="00F43594" w:rsidRPr="00290CBE">
        <w:rPr>
          <w:lang w:val="en-GB"/>
        </w:rPr>
        <w:t>appl</w:t>
      </w:r>
      <w:r w:rsidR="00F43594">
        <w:rPr>
          <w:lang w:val="en-GB"/>
        </w:rPr>
        <w:t>ies</w:t>
      </w:r>
      <w:r w:rsidR="00F43594" w:rsidRPr="00290CBE">
        <w:rPr>
          <w:lang w:val="en-GB"/>
        </w:rPr>
        <w:t xml:space="preserve"> to </w:t>
      </w:r>
      <w:r w:rsidR="00F43594">
        <w:rPr>
          <w:lang w:val="en-GB"/>
        </w:rPr>
        <w:t>LPG</w:t>
      </w:r>
      <w:r w:rsidR="007349A6">
        <w:rPr>
          <w:lang w:val="en-GB"/>
        </w:rPr>
        <w:t xml:space="preserve"> </w:t>
      </w:r>
      <w:r w:rsidR="00F43594" w:rsidRPr="004A11BE">
        <w:rPr>
          <w:lang w:val="en-GB"/>
        </w:rPr>
        <w:t xml:space="preserve">to make </w:t>
      </w:r>
      <w:r w:rsidR="00F43594">
        <w:rPr>
          <w:lang w:val="en-GB"/>
        </w:rPr>
        <w:t>it</w:t>
      </w:r>
      <w:r w:rsidR="00F43594" w:rsidRPr="004A11BE">
        <w:rPr>
          <w:lang w:val="en-GB"/>
        </w:rPr>
        <w:t xml:space="preserve"> more affordable</w:t>
      </w:r>
      <w:r w:rsidR="00F43594">
        <w:rPr>
          <w:lang w:val="en-GB"/>
        </w:rPr>
        <w:t xml:space="preserve"> (</w:t>
      </w:r>
      <w:r w:rsidR="00F43594" w:rsidRPr="00007825">
        <w:rPr>
          <w:lang w:val="en-GB"/>
        </w:rPr>
        <w:t>Council Implementing Decision (EU) 2019/814</w:t>
      </w:r>
      <w:r w:rsidR="00F43594">
        <w:rPr>
          <w:lang w:val="en-GB"/>
        </w:rPr>
        <w:t xml:space="preserve">). In addition, this fuel is also subject to </w:t>
      </w:r>
      <w:r w:rsidR="00F43594" w:rsidRPr="00CE4ED8">
        <w:rPr>
          <w:lang w:val="en-GB"/>
        </w:rPr>
        <w:t>reduced value-added tax (VAT)</w:t>
      </w:r>
      <w:r w:rsidR="00F43594">
        <w:rPr>
          <w:lang w:val="en-GB"/>
        </w:rPr>
        <w:t>.</w:t>
      </w:r>
      <w:r w:rsidR="00610CA6">
        <w:rPr>
          <w:lang w:val="en-GB"/>
        </w:rPr>
        <w:t xml:space="preserve"> </w:t>
      </w:r>
      <w:r w:rsidR="00F246DD">
        <w:rPr>
          <w:lang w:val="en-GB"/>
        </w:rPr>
        <w:t>Nevertheless,</w:t>
      </w:r>
      <w:r w:rsidR="00FB4DD4">
        <w:rPr>
          <w:lang w:val="en-GB"/>
        </w:rPr>
        <w:t xml:space="preserve"> the</w:t>
      </w:r>
      <w:r w:rsidR="00F246DD">
        <w:rPr>
          <w:lang w:val="en-GB"/>
        </w:rPr>
        <w:t xml:space="preserve"> </w:t>
      </w:r>
      <w:r w:rsidR="005F3DE6" w:rsidRPr="005F3DE6">
        <w:rPr>
          <w:lang w:val="en-GB"/>
        </w:rPr>
        <w:t xml:space="preserve">fossil origin </w:t>
      </w:r>
      <w:r w:rsidR="005F3DE6">
        <w:rPr>
          <w:lang w:val="en-GB"/>
        </w:rPr>
        <w:t xml:space="preserve">of LPG </w:t>
      </w:r>
      <w:r w:rsidR="005F3DE6" w:rsidRPr="005F3DE6">
        <w:rPr>
          <w:lang w:val="en-GB"/>
        </w:rPr>
        <w:t>contradicts</w:t>
      </w:r>
      <w:r w:rsidR="005F3DE6">
        <w:rPr>
          <w:lang w:val="en-GB"/>
        </w:rPr>
        <w:t xml:space="preserve"> with</w:t>
      </w:r>
      <w:r w:rsidR="005F3DE6" w:rsidRPr="005F3DE6">
        <w:rPr>
          <w:lang w:val="en-GB"/>
        </w:rPr>
        <w:t xml:space="preserve"> the ever-tightening policies aimed at reducing greenhouse gas emissions</w:t>
      </w:r>
      <w:r w:rsidR="005E2E88">
        <w:rPr>
          <w:lang w:val="en-GB"/>
        </w:rPr>
        <w:t>. For this reason equivalent CO</w:t>
      </w:r>
      <w:r w:rsidR="005E2E88" w:rsidRPr="00144D3D">
        <w:rPr>
          <w:vertAlign w:val="subscript"/>
          <w:lang w:val="en-GB"/>
        </w:rPr>
        <w:t>2</w:t>
      </w:r>
      <w:r w:rsidR="005E2E88">
        <w:rPr>
          <w:lang w:val="en-GB"/>
        </w:rPr>
        <w:t xml:space="preserve"> (CO</w:t>
      </w:r>
      <w:r w:rsidR="005E2E88" w:rsidRPr="00144D3D">
        <w:rPr>
          <w:vertAlign w:val="subscript"/>
          <w:lang w:val="en-GB"/>
        </w:rPr>
        <w:t>2eq</w:t>
      </w:r>
      <w:r w:rsidR="005E2E88">
        <w:rPr>
          <w:lang w:val="en-GB"/>
        </w:rPr>
        <w:t xml:space="preserve">) </w:t>
      </w:r>
      <w:r w:rsidR="00FB4DD4">
        <w:rPr>
          <w:lang w:val="en-GB"/>
        </w:rPr>
        <w:t xml:space="preserve">emissions of the different scenarios are also </w:t>
      </w:r>
      <w:r w:rsidR="00C140A8">
        <w:rPr>
          <w:lang w:val="en-GB"/>
        </w:rPr>
        <w:t>reported</w:t>
      </w:r>
      <w:r w:rsidR="000F6C52">
        <w:rPr>
          <w:lang w:val="en-GB"/>
        </w:rPr>
        <w:t xml:space="preserve">. </w:t>
      </w:r>
      <w:r w:rsidR="00017A99">
        <w:rPr>
          <w:lang w:val="en-GB"/>
        </w:rPr>
        <w:t xml:space="preserve"> </w:t>
      </w:r>
    </w:p>
    <w:p w14:paraId="5741900F" w14:textId="2422E753" w:rsidR="00453E24" w:rsidRPr="008F0A3F" w:rsidRDefault="002461BC" w:rsidP="00453E24">
      <w:pPr>
        <w:pStyle w:val="CETHeading1"/>
        <w:rPr>
          <w:lang w:val="en-GB"/>
        </w:rPr>
      </w:pPr>
      <w:r>
        <w:rPr>
          <w:lang w:val="en-GB"/>
        </w:rPr>
        <w:t>M</w:t>
      </w:r>
      <w:r w:rsidR="006C10D2">
        <w:rPr>
          <w:lang w:val="en-GB"/>
        </w:rPr>
        <w:t>ethodology</w:t>
      </w:r>
    </w:p>
    <w:p w14:paraId="4C7B7257" w14:textId="2EB0EF81" w:rsidR="007E0F24" w:rsidRPr="007E0F24" w:rsidRDefault="00884020" w:rsidP="007E0F24">
      <w:pPr>
        <w:pStyle w:val="CETheadingx"/>
      </w:pPr>
      <w:r w:rsidRPr="00884020">
        <w:t>Study area description</w:t>
      </w:r>
    </w:p>
    <w:p w14:paraId="234B5BDC" w14:textId="3AE7EB35" w:rsidR="007E0F24" w:rsidRPr="007E0F24" w:rsidRDefault="007E0F24" w:rsidP="007E0F24">
      <w:pPr>
        <w:pStyle w:val="CETBodytext"/>
        <w:rPr>
          <w:lang w:val="en-GB"/>
        </w:rPr>
      </w:pPr>
      <w:r w:rsidRPr="007E0F24">
        <w:rPr>
          <w:lang w:val="en-GB"/>
        </w:rPr>
        <w:t xml:space="preserve">The study focuses on a specific geographic area in the Po basin, which includes small mountain municipalities that are not connected to the natural gas grid and F-climate zones that are eligible for LPG subsidies. </w:t>
      </w:r>
    </w:p>
    <w:p w14:paraId="1D0FBD3F" w14:textId="77777777" w:rsidR="007E0F24" w:rsidRPr="007E0F24" w:rsidRDefault="007E0F24" w:rsidP="007E0F24">
      <w:pPr>
        <w:pStyle w:val="CETBodytext"/>
        <w:rPr>
          <w:lang w:val="en-GB"/>
        </w:rPr>
      </w:pPr>
      <w:r w:rsidRPr="007E0F24">
        <w:rPr>
          <w:lang w:val="en-GB"/>
        </w:rPr>
        <w:t xml:space="preserve">The study area encompasses 929 mountain municipalities with a population of less than 10,000 inhabitants, representing about 5% of the total population of the Po Basin. </w:t>
      </w:r>
    </w:p>
    <w:p w14:paraId="7FDBE7CF" w14:textId="77777777" w:rsidR="007E0F24" w:rsidRPr="007E0F24" w:rsidRDefault="007E0F24" w:rsidP="007E0F24">
      <w:pPr>
        <w:pStyle w:val="CETBodytext"/>
        <w:rPr>
          <w:lang w:val="en-GB"/>
        </w:rPr>
      </w:pPr>
      <w:r w:rsidRPr="007E0F24">
        <w:rPr>
          <w:lang w:val="en-GB"/>
        </w:rPr>
        <w:t xml:space="preserve">LPG consumption data for the study area is available only at a provincial level in the Po Valley but it can be said that the registered LPG consumption (Ministry for Business and Made in Italy 2021 data: 16.4 PJ) can be majorly attributed to use in the households not connected to natural gas grid, hence more or less representative of the study area. </w:t>
      </w:r>
    </w:p>
    <w:p w14:paraId="3258ECCE" w14:textId="078077B1" w:rsidR="007E0F24" w:rsidRPr="007E0F24" w:rsidRDefault="007E0F24" w:rsidP="007E0F24">
      <w:pPr>
        <w:pStyle w:val="CETBodytext"/>
        <w:rPr>
          <w:lang w:val="en-GB"/>
        </w:rPr>
      </w:pPr>
      <w:r w:rsidRPr="007E0F24">
        <w:rPr>
          <w:lang w:val="en-GB"/>
        </w:rPr>
        <w:t xml:space="preserve">Regarding the biomass fuel, there are about 392,000 biomass heating devices in the area, accounting for 13% of the total in the basin, and it is estimated that the biomass consumption is about 14.9 PJ (355.9 </w:t>
      </w:r>
      <w:proofErr w:type="spellStart"/>
      <w:r w:rsidRPr="007E0F24">
        <w:rPr>
          <w:lang w:val="en-GB"/>
        </w:rPr>
        <w:t>ktoe</w:t>
      </w:r>
      <w:proofErr w:type="spellEnd"/>
      <w:r w:rsidRPr="007E0F24">
        <w:rPr>
          <w:lang w:val="en-GB"/>
        </w:rPr>
        <w:t xml:space="preserve">) or 1.1 million tons, about 17% of the total consumption in the Po Basin (data elaborated from PREPAIR Project </w:t>
      </w:r>
      <w:r w:rsidR="00D91D23">
        <w:rPr>
          <w:lang w:val="en-GB"/>
        </w:rPr>
        <w:t>results</w:t>
      </w:r>
      <w:r w:rsidRPr="007E0F24">
        <w:rPr>
          <w:lang w:val="en-GB"/>
        </w:rPr>
        <w:t>- LIFE 15 IPE IT013). The majority of the appliances considered in the study, for both wood log and pellet, are classified with less than 3 stars according to</w:t>
      </w:r>
      <w:r w:rsidR="00823EAB">
        <w:rPr>
          <w:lang w:val="en-GB"/>
        </w:rPr>
        <w:t xml:space="preserve"> </w:t>
      </w:r>
      <w:r w:rsidRPr="007E0F24">
        <w:rPr>
          <w:lang w:val="en-GB"/>
        </w:rPr>
        <w:t>DM186/2017</w:t>
      </w:r>
      <w:r w:rsidR="00823EAB">
        <w:rPr>
          <w:lang w:val="en-GB"/>
        </w:rPr>
        <w:t xml:space="preserve"> categorizing the biomass appliances according to th</w:t>
      </w:r>
      <w:r w:rsidR="004D4F41">
        <w:rPr>
          <w:lang w:val="en-GB"/>
        </w:rPr>
        <w:t>eir environmental and energy performance. A</w:t>
      </w:r>
      <w:r w:rsidRPr="007E0F24">
        <w:rPr>
          <w:lang w:val="en-GB"/>
        </w:rPr>
        <w:t xml:space="preserve">ll the appliances </w:t>
      </w:r>
      <w:r w:rsidR="004D4F41">
        <w:rPr>
          <w:lang w:val="en-GB"/>
        </w:rPr>
        <w:t>result to be</w:t>
      </w:r>
      <w:r w:rsidRPr="007E0F24">
        <w:rPr>
          <w:lang w:val="en-GB"/>
        </w:rPr>
        <w:t xml:space="preserve"> over 4 years old, indicating a need for appliance replacement. </w:t>
      </w:r>
    </w:p>
    <w:p w14:paraId="1F56BFC9" w14:textId="668D7EE4" w:rsidR="00A21496" w:rsidRPr="00A21496" w:rsidRDefault="00A21496" w:rsidP="00A21496">
      <w:pPr>
        <w:pStyle w:val="CETheadingx"/>
      </w:pPr>
      <w:r w:rsidRPr="00A21496">
        <w:t>Emission estimation</w:t>
      </w:r>
    </w:p>
    <w:p w14:paraId="505592F6" w14:textId="39048E10" w:rsidR="00064AF3" w:rsidRDefault="00E06E17" w:rsidP="00E06E17">
      <w:pPr>
        <w:pStyle w:val="CETBodytext"/>
        <w:rPr>
          <w:lang w:val="en-GB"/>
        </w:rPr>
      </w:pPr>
      <w:r w:rsidRPr="00E06E17">
        <w:rPr>
          <w:lang w:val="en-GB"/>
        </w:rPr>
        <w:t xml:space="preserve">The assessment of emissions </w:t>
      </w:r>
      <w:r w:rsidR="00A535AB">
        <w:rPr>
          <w:lang w:val="en-GB"/>
        </w:rPr>
        <w:t>is performed f</w:t>
      </w:r>
      <w:r w:rsidR="008854BC">
        <w:rPr>
          <w:lang w:val="en-GB"/>
        </w:rPr>
        <w:t>ol</w:t>
      </w:r>
      <w:r w:rsidR="00BA24B1">
        <w:rPr>
          <w:lang w:val="en-GB"/>
        </w:rPr>
        <w:t>lowing</w:t>
      </w:r>
      <w:r w:rsidR="003652C4">
        <w:rPr>
          <w:lang w:val="en-GB"/>
        </w:rPr>
        <w:t xml:space="preserve"> </w:t>
      </w:r>
      <w:r w:rsidR="00BA24B1">
        <w:rPr>
          <w:lang w:val="en-GB"/>
        </w:rPr>
        <w:t xml:space="preserve">the </w:t>
      </w:r>
      <w:r w:rsidR="00BA24B1" w:rsidRPr="00BA24B1">
        <w:rPr>
          <w:lang w:val="en-GB"/>
        </w:rPr>
        <w:t xml:space="preserve">Tier 2 technology-specific approach for </w:t>
      </w:r>
      <w:r w:rsidR="00DD0AF0">
        <w:rPr>
          <w:lang w:val="en-GB"/>
        </w:rPr>
        <w:t xml:space="preserve">small </w:t>
      </w:r>
      <w:r w:rsidR="00363830">
        <w:rPr>
          <w:lang w:val="en-GB"/>
        </w:rPr>
        <w:t>combustion</w:t>
      </w:r>
      <w:r w:rsidR="00BA24B1">
        <w:rPr>
          <w:lang w:val="en-GB"/>
        </w:rPr>
        <w:t xml:space="preserve"> provided in </w:t>
      </w:r>
      <w:r w:rsidR="00300575">
        <w:rPr>
          <w:lang w:val="en-GB"/>
        </w:rPr>
        <w:t xml:space="preserve">the </w:t>
      </w:r>
      <w:r w:rsidR="0007113A" w:rsidRPr="0007113A">
        <w:rPr>
          <w:lang w:val="en-GB"/>
        </w:rPr>
        <w:t>EMEP/EEA air pollutant emission inventory gu</w:t>
      </w:r>
      <w:r w:rsidR="0007113A">
        <w:rPr>
          <w:lang w:val="en-GB"/>
        </w:rPr>
        <w:t>idebook (EE</w:t>
      </w:r>
      <w:r w:rsidR="00B11A57">
        <w:rPr>
          <w:lang w:val="en-GB"/>
        </w:rPr>
        <w:t>A</w:t>
      </w:r>
      <w:r w:rsidR="0007113A">
        <w:rPr>
          <w:lang w:val="en-GB"/>
        </w:rPr>
        <w:t>, 2023)</w:t>
      </w:r>
      <w:r w:rsidR="00BF7BD8">
        <w:rPr>
          <w:lang w:val="en-GB"/>
        </w:rPr>
        <w:t xml:space="preserve"> and</w:t>
      </w:r>
      <w:r w:rsidR="0007113A">
        <w:rPr>
          <w:lang w:val="en-GB"/>
        </w:rPr>
        <w:t xml:space="preserve"> the algorithm for the emission estimation is</w:t>
      </w:r>
      <w:r w:rsidR="006B0F6E">
        <w:rPr>
          <w:lang w:val="en-GB"/>
        </w:rPr>
        <w:t xml:space="preserve"> as follows: </w:t>
      </w:r>
    </w:p>
    <w:p w14:paraId="7DF3DA4E" w14:textId="77777777" w:rsidR="00064AF3" w:rsidRPr="00B57B36" w:rsidRDefault="00064AF3" w:rsidP="00064AF3">
      <w:pPr>
        <w:pStyle w:val="CETListbullets"/>
        <w:ind w:firstLine="0"/>
      </w:pPr>
    </w:p>
    <w:tbl>
      <w:tblPr>
        <w:tblW w:w="5000" w:type="pct"/>
        <w:tblLook w:val="04A0" w:firstRow="1" w:lastRow="0" w:firstColumn="1" w:lastColumn="0" w:noHBand="0" w:noVBand="1"/>
      </w:tblPr>
      <w:tblGrid>
        <w:gridCol w:w="7983"/>
        <w:gridCol w:w="804"/>
      </w:tblGrid>
      <w:tr w:rsidR="00064AF3" w:rsidRPr="00B57B36" w14:paraId="46703D6F" w14:textId="77777777" w:rsidTr="00995606">
        <w:tc>
          <w:tcPr>
            <w:tcW w:w="8188" w:type="dxa"/>
            <w:shd w:val="clear" w:color="auto" w:fill="auto"/>
            <w:vAlign w:val="center"/>
          </w:tcPr>
          <w:p w14:paraId="0F0AD49B" w14:textId="2C051130" w:rsidR="0008372B" w:rsidRPr="00DD0267" w:rsidRDefault="009B30A8" w:rsidP="005B4F93">
            <w:pPr>
              <w:pStyle w:val="CETBodytext"/>
              <w:rPr>
                <w:rFonts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i,f</m:t>
                    </m:r>
                  </m:sub>
                </m:sSub>
                <m:r>
                  <w:rPr>
                    <w:rFonts w:ascii="Cambria Math" w:hAnsi="Cambria Math" w:cs="Arial"/>
                  </w:rPr>
                  <m:t>=</m:t>
                </m:r>
                <m:nary>
                  <m:naryPr>
                    <m:chr m:val="∑"/>
                    <m:limLoc m:val="undOvr"/>
                    <m:supHide m:val="1"/>
                    <m:ctrlPr>
                      <w:rPr>
                        <w:rFonts w:ascii="Cambria Math" w:hAnsi="Cambria Math" w:cs="Arial"/>
                        <w:i/>
                      </w:rPr>
                    </m:ctrlPr>
                  </m:naryPr>
                  <m:sub>
                    <m:r>
                      <w:rPr>
                        <w:rFonts w:ascii="Cambria Math" w:hAnsi="Cambria Math" w:cs="Arial"/>
                      </w:rPr>
                      <m:t>i,j,k</m:t>
                    </m:r>
                  </m:sub>
                  <m:sup/>
                  <m:e>
                    <m:sSub>
                      <m:sSubPr>
                        <m:ctrlPr>
                          <w:rPr>
                            <w:rFonts w:ascii="Cambria Math" w:hAnsi="Cambria Math" w:cs="Arial"/>
                            <w:i/>
                          </w:rPr>
                        </m:ctrlPr>
                      </m:sSubPr>
                      <m:e>
                        <m:r>
                          <w:rPr>
                            <w:rFonts w:ascii="Cambria Math" w:hAnsi="Cambria Math" w:cs="Arial"/>
                          </w:rPr>
                          <m:t>EF</m:t>
                        </m:r>
                      </m:e>
                      <m:sub>
                        <m:r>
                          <w:rPr>
                            <w:rFonts w:ascii="Cambria Math" w:hAnsi="Cambria Math" w:cs="Arial"/>
                          </w:rPr>
                          <m:t>i.j,k,f</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j,k,f</m:t>
                        </m:r>
                      </m:sub>
                    </m:sSub>
                  </m:e>
                </m:nary>
              </m:oMath>
            </m:oMathPara>
          </w:p>
        </w:tc>
        <w:tc>
          <w:tcPr>
            <w:tcW w:w="815" w:type="dxa"/>
            <w:shd w:val="clear" w:color="auto" w:fill="auto"/>
            <w:vAlign w:val="center"/>
          </w:tcPr>
          <w:p w14:paraId="2D8AF1F0" w14:textId="77777777" w:rsidR="00064AF3" w:rsidRPr="00B57B36" w:rsidRDefault="00064AF3" w:rsidP="00995606">
            <w:pPr>
              <w:pStyle w:val="CETEquation"/>
              <w:jc w:val="right"/>
            </w:pPr>
            <w:r w:rsidRPr="00B57B36">
              <w:t>(1)</w:t>
            </w:r>
          </w:p>
        </w:tc>
      </w:tr>
    </w:tbl>
    <w:p w14:paraId="490BF163" w14:textId="3CFB23E6" w:rsidR="00E06E17" w:rsidRDefault="00E06E17" w:rsidP="00E06E17">
      <w:pPr>
        <w:pStyle w:val="CETBodytext"/>
        <w:rPr>
          <w:lang w:val="en-GB"/>
        </w:rPr>
      </w:pPr>
      <w:r w:rsidRPr="00E06E17">
        <w:rPr>
          <w:lang w:val="en-GB"/>
        </w:rPr>
        <w:t xml:space="preserve"> </w:t>
      </w:r>
      <w:r w:rsidR="00B11A57">
        <w:rPr>
          <w:lang w:val="en-GB"/>
        </w:rPr>
        <w:t>Where:</w:t>
      </w:r>
    </w:p>
    <w:p w14:paraId="394A974B" w14:textId="7B9BEE84" w:rsidR="00FC45C6" w:rsidRDefault="009B30A8" w:rsidP="00E06E17">
      <w:pPr>
        <w:pStyle w:val="CETBodytext"/>
        <w:rPr>
          <w:lang w:val="en-GB"/>
        </w:rPr>
      </w:pPr>
      <m:oMath>
        <m:sSub>
          <m:sSubPr>
            <m:ctrlPr>
              <w:rPr>
                <w:rFonts w:ascii="Cambria Math" w:hAnsi="Cambria Math"/>
                <w:i/>
              </w:rPr>
            </m:ctrlPr>
          </m:sSubPr>
          <m:e>
            <m:r>
              <w:rPr>
                <w:rFonts w:ascii="Cambria Math" w:hAnsi="Cambria Math"/>
              </w:rPr>
              <m:t>E</m:t>
            </m:r>
          </m:e>
          <m:sub>
            <m:r>
              <w:rPr>
                <w:rFonts w:ascii="Cambria Math" w:hAnsi="Cambria Math"/>
              </w:rPr>
              <m:t>i,f</m:t>
            </m:r>
          </m:sub>
        </m:sSub>
      </m:oMath>
      <w:r w:rsidR="00B11A57">
        <w:rPr>
          <w:lang w:val="en-GB"/>
        </w:rPr>
        <w:t xml:space="preserve">: </w:t>
      </w:r>
      <w:r w:rsidR="001D77A4">
        <w:rPr>
          <w:lang w:val="en-GB"/>
        </w:rPr>
        <w:t xml:space="preserve">annual emission of pollutant </w:t>
      </w:r>
      <w:proofErr w:type="spellStart"/>
      <w:r w:rsidR="00DD0267" w:rsidRPr="00DD0267">
        <w:rPr>
          <w:i/>
          <w:iCs/>
          <w:lang w:val="en-GB"/>
        </w:rPr>
        <w:t>i</w:t>
      </w:r>
      <w:proofErr w:type="spellEnd"/>
      <w:r w:rsidR="001D77A4">
        <w:rPr>
          <w:lang w:val="en-GB"/>
        </w:rPr>
        <w:t xml:space="preserve"> (i.e., PM10, NOx</w:t>
      </w:r>
      <w:r w:rsidR="00334786">
        <w:rPr>
          <w:lang w:val="en-GB"/>
        </w:rPr>
        <w:t>, CO</w:t>
      </w:r>
      <w:r w:rsidR="00334786" w:rsidRPr="00DD0267">
        <w:rPr>
          <w:vertAlign w:val="subscript"/>
          <w:lang w:val="en-GB"/>
        </w:rPr>
        <w:t>2eq</w:t>
      </w:r>
      <w:r w:rsidR="00334786">
        <w:rPr>
          <w:lang w:val="en-GB"/>
        </w:rPr>
        <w:t>)</w:t>
      </w:r>
      <w:r w:rsidR="00DD0AF0">
        <w:rPr>
          <w:lang w:val="en-GB"/>
        </w:rPr>
        <w:t xml:space="preserve"> for fuel </w:t>
      </w:r>
      <w:r w:rsidR="00DD0AF0" w:rsidRPr="00610B36">
        <w:rPr>
          <w:i/>
          <w:iCs/>
          <w:lang w:val="en-GB"/>
        </w:rPr>
        <w:t>f</w:t>
      </w:r>
      <w:r w:rsidR="00B1519C">
        <w:rPr>
          <w:lang w:val="en-GB"/>
        </w:rPr>
        <w:t xml:space="preserve"> (</w:t>
      </w:r>
      <w:r w:rsidR="00FC45C6">
        <w:rPr>
          <w:lang w:val="en-GB"/>
        </w:rPr>
        <w:t>i.e., wood logs, pellets, LPG),</w:t>
      </w:r>
    </w:p>
    <w:p w14:paraId="485D1C6C" w14:textId="2B52A0BB" w:rsidR="001C4738" w:rsidRDefault="009B30A8" w:rsidP="00E06E17">
      <w:pPr>
        <w:pStyle w:val="CETBodytext"/>
        <w:rPr>
          <w:lang w:val="en-GB"/>
        </w:rPr>
      </w:pPr>
      <m:oMath>
        <m:sSub>
          <m:sSubPr>
            <m:ctrlPr>
              <w:rPr>
                <w:rFonts w:ascii="Cambria Math" w:hAnsi="Cambria Math" w:cs="Arial"/>
                <w:i/>
              </w:rPr>
            </m:ctrlPr>
          </m:sSubPr>
          <m:e>
            <m:r>
              <w:rPr>
                <w:rFonts w:ascii="Cambria Math" w:hAnsi="Cambria Math" w:cs="Arial"/>
              </w:rPr>
              <m:t>EF</m:t>
            </m:r>
          </m:e>
          <m:sub>
            <m:r>
              <w:rPr>
                <w:rFonts w:ascii="Cambria Math" w:hAnsi="Cambria Math" w:cs="Arial"/>
              </w:rPr>
              <m:t>i.j,k</m:t>
            </m:r>
          </m:sub>
        </m:sSub>
      </m:oMath>
      <w:r w:rsidR="004C7F30">
        <w:rPr>
          <w:lang w:val="en-GB"/>
        </w:rPr>
        <w:t xml:space="preserve">: emission factor of pollutant </w:t>
      </w:r>
      <w:proofErr w:type="spellStart"/>
      <w:r w:rsidR="0054370A" w:rsidRPr="0054370A">
        <w:rPr>
          <w:i/>
          <w:iCs/>
          <w:lang w:val="en-GB"/>
        </w:rPr>
        <w:t>i</w:t>
      </w:r>
      <w:proofErr w:type="spellEnd"/>
      <w:r w:rsidR="004C7F30">
        <w:rPr>
          <w:lang w:val="en-GB"/>
        </w:rPr>
        <w:t xml:space="preserve"> for appliance type</w:t>
      </w:r>
      <w:r w:rsidR="004C7F30" w:rsidRPr="0054370A">
        <w:rPr>
          <w:i/>
          <w:iCs/>
          <w:lang w:val="en-GB"/>
        </w:rPr>
        <w:t xml:space="preserve"> j</w:t>
      </w:r>
      <w:r w:rsidR="004C7F30">
        <w:rPr>
          <w:lang w:val="en-GB"/>
        </w:rPr>
        <w:t xml:space="preserve"> (</w:t>
      </w:r>
      <w:r w:rsidR="00432CAB">
        <w:rPr>
          <w:lang w:val="en-GB"/>
        </w:rPr>
        <w:t>i.e., closed and open fireplaces, stoves, boilers</w:t>
      </w:r>
      <w:r w:rsidR="004C7F30">
        <w:rPr>
          <w:lang w:val="en-GB"/>
        </w:rPr>
        <w:t xml:space="preserve">) and </w:t>
      </w:r>
      <w:r w:rsidR="003652C4" w:rsidRPr="00432CAB">
        <w:rPr>
          <w:i/>
          <w:iCs/>
          <w:lang w:val="en-GB"/>
        </w:rPr>
        <w:t>k</w:t>
      </w:r>
      <w:r w:rsidR="003652C4">
        <w:rPr>
          <w:lang w:val="en-GB"/>
        </w:rPr>
        <w:t xml:space="preserve"> </w:t>
      </w:r>
      <w:r w:rsidR="001A65DB">
        <w:rPr>
          <w:lang w:val="en-GB"/>
        </w:rPr>
        <w:t xml:space="preserve"> </w:t>
      </w:r>
      <w:r w:rsidR="00247530">
        <w:rPr>
          <w:lang w:val="en-GB"/>
        </w:rPr>
        <w:t xml:space="preserve">performance category </w:t>
      </w:r>
      <w:r w:rsidR="007334C6" w:rsidRPr="007334C6">
        <w:rPr>
          <w:i/>
          <w:iCs/>
          <w:lang w:val="en-GB"/>
        </w:rPr>
        <w:t>k</w:t>
      </w:r>
      <w:r w:rsidR="007334C6">
        <w:rPr>
          <w:lang w:val="en-GB"/>
        </w:rPr>
        <w:t xml:space="preserve"> </w:t>
      </w:r>
      <w:r w:rsidR="00432CAB">
        <w:rPr>
          <w:lang w:val="en-GB"/>
        </w:rPr>
        <w:t>(</w:t>
      </w:r>
      <w:r w:rsidR="00B1519C">
        <w:rPr>
          <w:lang w:val="en-GB"/>
        </w:rPr>
        <w:t>i.e., 1-</w:t>
      </w:r>
      <w:r w:rsidR="002C24F0">
        <w:rPr>
          <w:lang w:val="en-GB"/>
        </w:rPr>
        <w:t xml:space="preserve">3 and </w:t>
      </w:r>
      <w:r w:rsidR="00B1519C">
        <w:rPr>
          <w:lang w:val="en-GB"/>
        </w:rPr>
        <w:t>5 star for biomass appliances, not pertinent for LPG appliances)</w:t>
      </w:r>
      <w:r w:rsidR="004F11A1">
        <w:rPr>
          <w:lang w:val="en-GB"/>
        </w:rPr>
        <w:t xml:space="preserve"> (Table 1)</w:t>
      </w:r>
      <w:r w:rsidR="002C5D30">
        <w:rPr>
          <w:lang w:val="en-GB"/>
        </w:rPr>
        <w:t>,</w:t>
      </w:r>
    </w:p>
    <w:p w14:paraId="78D2F3C1" w14:textId="26CAA0C6" w:rsidR="00F318D2" w:rsidRDefault="009B30A8" w:rsidP="00E06E17">
      <w:pPr>
        <w:pStyle w:val="CETBodytext"/>
        <w:rPr>
          <w:lang w:val="en-GB"/>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j,k,f</m:t>
            </m:r>
          </m:sub>
        </m:sSub>
      </m:oMath>
      <w:r w:rsidR="004F11A1">
        <w:rPr>
          <w:lang w:val="en-GB"/>
        </w:rPr>
        <w:t xml:space="preserve">: </w:t>
      </w:r>
      <w:r w:rsidR="00F318D2" w:rsidRPr="00F318D2">
        <w:rPr>
          <w:lang w:val="en-GB"/>
        </w:rPr>
        <w:t xml:space="preserve">annual consumption of fuel </w:t>
      </w:r>
      <w:r w:rsidR="00F318D2" w:rsidRPr="00247530">
        <w:rPr>
          <w:i/>
          <w:iCs/>
          <w:lang w:val="en-GB"/>
        </w:rPr>
        <w:t>f</w:t>
      </w:r>
      <w:r w:rsidR="00F318D2" w:rsidRPr="00F318D2">
        <w:rPr>
          <w:lang w:val="en-GB"/>
        </w:rPr>
        <w:t xml:space="preserve"> in appliance type</w:t>
      </w:r>
      <w:r w:rsidR="00F318D2" w:rsidRPr="00103D90">
        <w:rPr>
          <w:i/>
          <w:iCs/>
          <w:lang w:val="en-GB"/>
        </w:rPr>
        <w:t xml:space="preserve"> j</w:t>
      </w:r>
      <w:r w:rsidR="00644CD6">
        <w:rPr>
          <w:lang w:val="en-GB"/>
        </w:rPr>
        <w:t xml:space="preserve"> and performance category </w:t>
      </w:r>
      <w:r w:rsidR="00644CD6" w:rsidRPr="00103D90">
        <w:rPr>
          <w:i/>
          <w:iCs/>
          <w:lang w:val="en-GB"/>
        </w:rPr>
        <w:t>k</w:t>
      </w:r>
      <w:r w:rsidR="002C5D30">
        <w:rPr>
          <w:i/>
          <w:iCs/>
          <w:lang w:val="en-GB"/>
        </w:rPr>
        <w:t xml:space="preserve"> </w:t>
      </w:r>
      <w:r w:rsidR="002C5D30">
        <w:rPr>
          <w:lang w:val="en-GB"/>
        </w:rPr>
        <w:t>(Table 1)</w:t>
      </w:r>
      <w:r w:rsidR="00103D90">
        <w:rPr>
          <w:lang w:val="en-GB"/>
        </w:rPr>
        <w:t>.</w:t>
      </w:r>
    </w:p>
    <w:p w14:paraId="740FE3AA" w14:textId="77777777" w:rsidR="00607450" w:rsidRPr="00B94A80" w:rsidRDefault="00607450" w:rsidP="00476380">
      <w:pPr>
        <w:pStyle w:val="CETheadingx"/>
      </w:pPr>
      <w:r w:rsidRPr="00B94A80">
        <w:t>Emission reduction scenarios</w:t>
      </w:r>
    </w:p>
    <w:p w14:paraId="0503DD76" w14:textId="5B52B05A" w:rsidR="003D5397" w:rsidRDefault="00607450" w:rsidP="00A14A1F">
      <w:pPr>
        <w:pStyle w:val="CETBodytext"/>
        <w:rPr>
          <w:lang w:val="en-GB"/>
        </w:rPr>
      </w:pPr>
      <w:r w:rsidRPr="00607450">
        <w:rPr>
          <w:lang w:val="en-GB"/>
        </w:rPr>
        <w:t xml:space="preserve">The reduction of emissions </w:t>
      </w:r>
      <w:r w:rsidR="009A122A">
        <w:rPr>
          <w:lang w:val="en-GB"/>
        </w:rPr>
        <w:t>is</w:t>
      </w:r>
      <w:r w:rsidRPr="00607450">
        <w:rPr>
          <w:lang w:val="en-GB"/>
        </w:rPr>
        <w:t xml:space="preserve"> a key factor in the investigation of the sustainability of heating fuel alternatives in th</w:t>
      </w:r>
      <w:r w:rsidR="009A122A">
        <w:rPr>
          <w:lang w:val="en-GB"/>
        </w:rPr>
        <w:t>e area</w:t>
      </w:r>
      <w:r w:rsidRPr="00607450">
        <w:rPr>
          <w:lang w:val="en-GB"/>
        </w:rPr>
        <w:t>.</w:t>
      </w:r>
      <w:r w:rsidR="006F21D3">
        <w:rPr>
          <w:lang w:val="en-GB"/>
        </w:rPr>
        <w:t xml:space="preserve"> </w:t>
      </w:r>
      <w:r w:rsidR="003C00EE" w:rsidRPr="008140E5">
        <w:rPr>
          <w:lang w:val="en-GB"/>
        </w:rPr>
        <w:t xml:space="preserve">In light of the </w:t>
      </w:r>
      <w:r w:rsidR="00377277">
        <w:rPr>
          <w:lang w:val="en-GB"/>
        </w:rPr>
        <w:t xml:space="preserve">major </w:t>
      </w:r>
      <w:r w:rsidR="00A13AF6">
        <w:rPr>
          <w:lang w:val="en-GB"/>
        </w:rPr>
        <w:t xml:space="preserve">appliance oriented </w:t>
      </w:r>
      <w:r w:rsidR="003C00EE">
        <w:rPr>
          <w:lang w:val="en-GB"/>
        </w:rPr>
        <w:t xml:space="preserve">economic </w:t>
      </w:r>
      <w:r w:rsidR="003C00EE" w:rsidRPr="008140E5">
        <w:rPr>
          <w:lang w:val="en-GB"/>
        </w:rPr>
        <w:t>incentive schemes</w:t>
      </w:r>
      <w:r w:rsidR="00377277">
        <w:rPr>
          <w:lang w:val="en-GB"/>
        </w:rPr>
        <w:t xml:space="preserve"> (</w:t>
      </w:r>
      <w:r w:rsidR="00C13D8B">
        <w:rPr>
          <w:lang w:val="en-GB"/>
        </w:rPr>
        <w:t>e</w:t>
      </w:r>
      <w:r w:rsidR="00377277">
        <w:rPr>
          <w:lang w:val="en-GB"/>
        </w:rPr>
        <w:t>.</w:t>
      </w:r>
      <w:r w:rsidR="00C13D8B">
        <w:rPr>
          <w:lang w:val="en-GB"/>
        </w:rPr>
        <w:t>g</w:t>
      </w:r>
      <w:r w:rsidR="00377277">
        <w:rPr>
          <w:lang w:val="en-GB"/>
        </w:rPr>
        <w:t xml:space="preserve">., </w:t>
      </w:r>
      <w:r w:rsidR="00C13D8B">
        <w:rPr>
          <w:lang w:val="en-GB"/>
        </w:rPr>
        <w:t xml:space="preserve">state incentive </w:t>
      </w:r>
      <w:r w:rsidR="00377277">
        <w:rPr>
          <w:lang w:val="en-GB"/>
        </w:rPr>
        <w:t xml:space="preserve">Conto </w:t>
      </w:r>
      <w:proofErr w:type="spellStart"/>
      <w:r w:rsidR="00377277">
        <w:rPr>
          <w:lang w:val="en-GB"/>
        </w:rPr>
        <w:t>Termico</w:t>
      </w:r>
      <w:proofErr w:type="spellEnd"/>
      <w:r w:rsidR="00C13D8B">
        <w:rPr>
          <w:lang w:val="en-GB"/>
        </w:rPr>
        <w:t xml:space="preserve"> 2.0</w:t>
      </w:r>
      <w:r w:rsidR="007C6C7B">
        <w:rPr>
          <w:lang w:val="en-GB"/>
        </w:rPr>
        <w:t xml:space="preserve"> for the substitution </w:t>
      </w:r>
      <w:r w:rsidR="007C6C7B" w:rsidRPr="00B16EF5">
        <w:rPr>
          <w:lang w:val="en-GB"/>
        </w:rPr>
        <w:t>of</w:t>
      </w:r>
      <w:r w:rsidR="007C6C7B">
        <w:rPr>
          <w:lang w:val="en-GB"/>
        </w:rPr>
        <w:t xml:space="preserve"> existing </w:t>
      </w:r>
      <w:r w:rsidR="007C6C7B" w:rsidRPr="00B16EF5">
        <w:rPr>
          <w:lang w:val="en-GB"/>
        </w:rPr>
        <w:t>residential heating appliance with highly efficient low-emission biomass heating appliances</w:t>
      </w:r>
      <w:r w:rsidR="00373E10">
        <w:rPr>
          <w:lang w:val="en-GB"/>
        </w:rPr>
        <w:t xml:space="preserve">) and </w:t>
      </w:r>
      <w:r w:rsidR="009D058B">
        <w:rPr>
          <w:lang w:val="en-GB"/>
        </w:rPr>
        <w:t xml:space="preserve">fiscal incentives (i.e., lower taxes on </w:t>
      </w:r>
      <w:r w:rsidR="00F3573A">
        <w:rPr>
          <w:lang w:val="en-GB"/>
        </w:rPr>
        <w:t>LPG)</w:t>
      </w:r>
      <w:r w:rsidR="007F3429">
        <w:rPr>
          <w:lang w:val="en-GB"/>
        </w:rPr>
        <w:t xml:space="preserve">, </w:t>
      </w:r>
      <w:r w:rsidR="006F21D3">
        <w:rPr>
          <w:lang w:val="en-GB"/>
        </w:rPr>
        <w:t>two</w:t>
      </w:r>
      <w:r w:rsidR="003D5397" w:rsidRPr="003D5397">
        <w:rPr>
          <w:lang w:val="en-GB"/>
        </w:rPr>
        <w:t xml:space="preserve"> emission reduction </w:t>
      </w:r>
      <w:r w:rsidR="00A14A1F">
        <w:rPr>
          <w:lang w:val="en-GB"/>
        </w:rPr>
        <w:t xml:space="preserve">scenarios were </w:t>
      </w:r>
      <w:r w:rsidR="003D5397" w:rsidRPr="003D5397">
        <w:rPr>
          <w:lang w:val="en-GB"/>
        </w:rPr>
        <w:t xml:space="preserve">conceived. </w:t>
      </w:r>
      <w:r w:rsidR="00993E68">
        <w:rPr>
          <w:lang w:val="en-GB"/>
        </w:rPr>
        <w:t>Firstly</w:t>
      </w:r>
      <w:r w:rsidR="003D5397" w:rsidRPr="003D5397">
        <w:rPr>
          <w:lang w:val="en-GB"/>
        </w:rPr>
        <w:t xml:space="preserve">, the focus was on enhancing </w:t>
      </w:r>
      <w:r w:rsidR="000E051A">
        <w:rPr>
          <w:lang w:val="en-GB"/>
        </w:rPr>
        <w:t xml:space="preserve">biomass heating </w:t>
      </w:r>
      <w:r w:rsidR="003D5397" w:rsidRPr="003D5397">
        <w:rPr>
          <w:lang w:val="en-GB"/>
        </w:rPr>
        <w:t>technologies</w:t>
      </w:r>
      <w:r w:rsidR="00993E68">
        <w:rPr>
          <w:lang w:val="en-GB"/>
        </w:rPr>
        <w:t xml:space="preserve"> (technological turnover)</w:t>
      </w:r>
      <w:r w:rsidR="003D5397" w:rsidRPr="003D5397">
        <w:rPr>
          <w:lang w:val="en-GB"/>
        </w:rPr>
        <w:t>, and subsequently, considering the well-documented impact of biomass combustion on air quality, particularly in terms of particulate emissions, consideration was given to transitioning to an alternative fuel</w:t>
      </w:r>
      <w:r w:rsidR="000E051A">
        <w:rPr>
          <w:lang w:val="en-GB"/>
        </w:rPr>
        <w:t xml:space="preserve">, </w:t>
      </w:r>
      <w:r w:rsidR="00AA52BF">
        <w:rPr>
          <w:lang w:val="en-GB"/>
        </w:rPr>
        <w:t xml:space="preserve">LPG with less expected impact on local air quality </w:t>
      </w:r>
      <w:r w:rsidR="007E4A9C">
        <w:rPr>
          <w:lang w:val="en-GB"/>
        </w:rPr>
        <w:t>given lower emission factors for PM and NOx.</w:t>
      </w:r>
    </w:p>
    <w:p w14:paraId="52DAFDE0" w14:textId="467D5004" w:rsidR="001D0CFB" w:rsidRDefault="00993E68" w:rsidP="00600535">
      <w:pPr>
        <w:pStyle w:val="CETBodytext"/>
        <w:rPr>
          <w:lang w:val="en-GB"/>
        </w:rPr>
      </w:pPr>
      <w:r>
        <w:rPr>
          <w:lang w:val="en-GB"/>
        </w:rPr>
        <w:t xml:space="preserve">The </w:t>
      </w:r>
      <w:r w:rsidR="00D40E92" w:rsidRPr="00607450">
        <w:rPr>
          <w:lang w:val="en-GB"/>
        </w:rPr>
        <w:t xml:space="preserve"> </w:t>
      </w:r>
      <w:r w:rsidR="00D40E92">
        <w:rPr>
          <w:lang w:val="en-GB"/>
        </w:rPr>
        <w:t>“</w:t>
      </w:r>
      <w:r w:rsidR="00D40E92" w:rsidRPr="00607450">
        <w:rPr>
          <w:lang w:val="en-GB"/>
        </w:rPr>
        <w:t>technological turnover</w:t>
      </w:r>
      <w:r w:rsidR="00D40E92">
        <w:rPr>
          <w:lang w:val="en-GB"/>
        </w:rPr>
        <w:t>”</w:t>
      </w:r>
      <w:r>
        <w:rPr>
          <w:lang w:val="en-GB"/>
        </w:rPr>
        <w:t xml:space="preserve"> scenario</w:t>
      </w:r>
      <w:r w:rsidR="00607450" w:rsidRPr="00607450">
        <w:rPr>
          <w:lang w:val="en-GB"/>
        </w:rPr>
        <w:t xml:space="preserve"> entailed the replacement of all 392</w:t>
      </w:r>
      <w:r w:rsidR="00F040C1">
        <w:rPr>
          <w:lang w:val="en-GB"/>
        </w:rPr>
        <w:t>,</w:t>
      </w:r>
      <w:r w:rsidR="00607450" w:rsidRPr="00607450">
        <w:rPr>
          <w:lang w:val="en-GB"/>
        </w:rPr>
        <w:t>000 biomass appliances in the study area with 5-star pellet appliances</w:t>
      </w:r>
      <w:r w:rsidR="00F97F03">
        <w:rPr>
          <w:lang w:val="en-GB"/>
        </w:rPr>
        <w:t xml:space="preserve"> (</w:t>
      </w:r>
      <w:r w:rsidR="00FD0F67">
        <w:rPr>
          <w:lang w:val="en-GB"/>
        </w:rPr>
        <w:t>i.e., room heaters and boilers)</w:t>
      </w:r>
      <w:r w:rsidR="00607450" w:rsidRPr="00607450">
        <w:rPr>
          <w:lang w:val="en-GB"/>
        </w:rPr>
        <w:t xml:space="preserve">. </w:t>
      </w:r>
      <w:r w:rsidR="00B32BFF">
        <w:rPr>
          <w:lang w:val="en-GB"/>
        </w:rPr>
        <w:t>T</w:t>
      </w:r>
      <w:r w:rsidR="00DE3711" w:rsidRPr="00607450">
        <w:rPr>
          <w:lang w:val="en-GB"/>
        </w:rPr>
        <w:t xml:space="preserve">he </w:t>
      </w:r>
      <w:r w:rsidR="00DE3711">
        <w:rPr>
          <w:lang w:val="en-GB"/>
        </w:rPr>
        <w:t>“</w:t>
      </w:r>
      <w:r w:rsidR="00DE3711" w:rsidRPr="00607450">
        <w:rPr>
          <w:lang w:val="en-GB"/>
        </w:rPr>
        <w:t>fuel-switch</w:t>
      </w:r>
      <w:r w:rsidR="00DE3711">
        <w:rPr>
          <w:lang w:val="en-GB"/>
        </w:rPr>
        <w:t>”</w:t>
      </w:r>
      <w:r w:rsidR="00DE3711" w:rsidRPr="00607450">
        <w:rPr>
          <w:lang w:val="en-GB"/>
        </w:rPr>
        <w:t xml:space="preserve"> scenario</w:t>
      </w:r>
      <w:r w:rsidR="00DE3711">
        <w:rPr>
          <w:lang w:val="en-GB"/>
        </w:rPr>
        <w:t xml:space="preserve"> </w:t>
      </w:r>
      <w:r w:rsidR="00B32BFF">
        <w:rPr>
          <w:lang w:val="en-GB"/>
        </w:rPr>
        <w:t xml:space="preserve">on the other hand </w:t>
      </w:r>
      <w:r w:rsidR="00DE3711" w:rsidRPr="00607450">
        <w:rPr>
          <w:lang w:val="en-GB"/>
        </w:rPr>
        <w:t>involved replacing all biomass appliances in the study area with LPG appliances</w:t>
      </w:r>
      <w:r w:rsidR="006F2530">
        <w:rPr>
          <w:lang w:val="en-GB"/>
        </w:rPr>
        <w:t xml:space="preserve"> providing the same amount of </w:t>
      </w:r>
      <w:r w:rsidR="00F25D7F">
        <w:rPr>
          <w:lang w:val="en-GB"/>
        </w:rPr>
        <w:t xml:space="preserve">domestic </w:t>
      </w:r>
      <w:r w:rsidR="006F2530">
        <w:rPr>
          <w:lang w:val="en-GB"/>
        </w:rPr>
        <w:t>heat demand actually covered by biomass</w:t>
      </w:r>
      <w:r w:rsidR="00F25D7F">
        <w:rPr>
          <w:lang w:val="en-GB"/>
        </w:rPr>
        <w:t xml:space="preserve"> combustion</w:t>
      </w:r>
      <w:r w:rsidR="00DE3711">
        <w:rPr>
          <w:lang w:val="en-GB"/>
        </w:rPr>
        <w:t>. Th</w:t>
      </w:r>
      <w:r w:rsidR="00467A45">
        <w:rPr>
          <w:lang w:val="en-GB"/>
        </w:rPr>
        <w:t xml:space="preserve">e results are then compared </w:t>
      </w:r>
      <w:r w:rsidR="00083B1A">
        <w:rPr>
          <w:lang w:val="en-GB"/>
        </w:rPr>
        <w:t xml:space="preserve">to assess the </w:t>
      </w:r>
      <w:r w:rsidR="00083B1A">
        <w:rPr>
          <w:lang w:val="en-GB"/>
        </w:rPr>
        <w:lastRenderedPageBreak/>
        <w:t xml:space="preserve">potential benefits </w:t>
      </w:r>
      <w:r w:rsidR="0056435E">
        <w:rPr>
          <w:lang w:val="en-GB"/>
        </w:rPr>
        <w:t>or</w:t>
      </w:r>
      <w:r w:rsidR="00083B1A">
        <w:rPr>
          <w:lang w:val="en-GB"/>
        </w:rPr>
        <w:t xml:space="preserve"> drawbacks</w:t>
      </w:r>
      <w:r w:rsidR="00467A45">
        <w:rPr>
          <w:lang w:val="en-GB"/>
        </w:rPr>
        <w:t xml:space="preserve"> </w:t>
      </w:r>
      <w:r w:rsidR="0056435E">
        <w:rPr>
          <w:lang w:val="en-GB"/>
        </w:rPr>
        <w:t>of both scenarios</w:t>
      </w:r>
      <w:r w:rsidR="00A81A9C">
        <w:rPr>
          <w:lang w:val="en-GB"/>
        </w:rPr>
        <w:t xml:space="preserve"> with respect to the </w:t>
      </w:r>
      <w:r w:rsidR="00BD3A20">
        <w:rPr>
          <w:lang w:val="en-GB"/>
        </w:rPr>
        <w:t>“</w:t>
      </w:r>
      <w:r w:rsidR="00A81A9C">
        <w:rPr>
          <w:lang w:val="en-GB"/>
        </w:rPr>
        <w:t>reference case</w:t>
      </w:r>
      <w:r w:rsidR="00BD3A20">
        <w:rPr>
          <w:lang w:val="en-GB"/>
        </w:rPr>
        <w:t>”</w:t>
      </w:r>
      <w:r w:rsidR="00A81A9C">
        <w:rPr>
          <w:lang w:val="en-GB"/>
        </w:rPr>
        <w:t xml:space="preserve"> emissions</w:t>
      </w:r>
      <w:r w:rsidR="00F953DB">
        <w:rPr>
          <w:lang w:val="en-GB"/>
        </w:rPr>
        <w:t xml:space="preserve"> calculated based on the </w:t>
      </w:r>
      <w:r w:rsidR="0004003A">
        <w:rPr>
          <w:lang w:val="en-GB"/>
        </w:rPr>
        <w:t>current heating appliances</w:t>
      </w:r>
      <w:r w:rsidR="003F0A1E">
        <w:rPr>
          <w:lang w:val="en-GB"/>
        </w:rPr>
        <w:t xml:space="preserve"> in the area</w:t>
      </w:r>
      <w:r w:rsidR="0056435E">
        <w:rPr>
          <w:lang w:val="en-GB"/>
        </w:rPr>
        <w:t>.</w:t>
      </w:r>
    </w:p>
    <w:p w14:paraId="2B19E61D" w14:textId="3C98B546" w:rsidR="005B4F93" w:rsidRPr="003B0094" w:rsidRDefault="005B4F93" w:rsidP="005B4F93">
      <w:pPr>
        <w:pStyle w:val="CETTabletitle"/>
      </w:pPr>
      <w:r w:rsidRPr="00A21496">
        <w:t xml:space="preserve">Table 1: </w:t>
      </w:r>
      <w:r w:rsidR="001A21B9">
        <w:t>Fuel consumption data (GJ</w:t>
      </w:r>
      <w:r w:rsidR="001A21B9" w:rsidRPr="001A21B9">
        <w:rPr>
          <w:vertAlign w:val="subscript"/>
        </w:rPr>
        <w:t>in</w:t>
      </w:r>
      <w:r w:rsidR="001A21B9">
        <w:t>) and e</w:t>
      </w:r>
      <w:r w:rsidRPr="00A21496">
        <w:t>mission factors used in the study (g/GJ</w:t>
      </w:r>
      <w:r w:rsidRPr="00A516EB">
        <w:rPr>
          <w:vertAlign w:val="subscript"/>
        </w:rPr>
        <w:t>in</w:t>
      </w:r>
      <w:r w:rsidRPr="00A21496">
        <w:t>)</w:t>
      </w:r>
    </w:p>
    <w:tbl>
      <w:tblPr>
        <w:tblW w:w="5022" w:type="pct"/>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131"/>
        <w:gridCol w:w="994"/>
        <w:gridCol w:w="568"/>
        <w:gridCol w:w="568"/>
        <w:gridCol w:w="611"/>
        <w:gridCol w:w="704"/>
        <w:gridCol w:w="567"/>
        <w:gridCol w:w="710"/>
        <w:gridCol w:w="710"/>
        <w:gridCol w:w="708"/>
        <w:gridCol w:w="1555"/>
      </w:tblGrid>
      <w:tr w:rsidR="00C428F0" w:rsidRPr="00B57B36" w14:paraId="44ACBA3C" w14:textId="7A1E6855" w:rsidTr="00CB11C8">
        <w:tc>
          <w:tcPr>
            <w:tcW w:w="641" w:type="pct"/>
            <w:tcBorders>
              <w:top w:val="single" w:sz="12" w:space="0" w:color="008000"/>
              <w:bottom w:val="nil"/>
            </w:tcBorders>
            <w:shd w:val="clear" w:color="auto" w:fill="FFFFFF"/>
          </w:tcPr>
          <w:p w14:paraId="1B9DAC12" w14:textId="77777777" w:rsidR="00203E86" w:rsidRPr="00B57B36" w:rsidRDefault="00203E86" w:rsidP="00756C28">
            <w:pPr>
              <w:pStyle w:val="CETBodytext"/>
              <w:rPr>
                <w:lang w:val="en-GB"/>
              </w:rPr>
            </w:pPr>
            <w:r>
              <w:rPr>
                <w:lang w:val="en-GB"/>
              </w:rPr>
              <w:t>Fuel</w:t>
            </w:r>
          </w:p>
        </w:tc>
        <w:tc>
          <w:tcPr>
            <w:tcW w:w="563" w:type="pct"/>
            <w:tcBorders>
              <w:top w:val="single" w:sz="12" w:space="0" w:color="008000"/>
              <w:bottom w:val="nil"/>
            </w:tcBorders>
            <w:shd w:val="clear" w:color="auto" w:fill="FFFFFF"/>
          </w:tcPr>
          <w:p w14:paraId="0ADEF799" w14:textId="77777777" w:rsidR="00203E86" w:rsidRPr="00B57B36" w:rsidRDefault="00203E86" w:rsidP="00756C28">
            <w:pPr>
              <w:pStyle w:val="CETBodytext"/>
              <w:rPr>
                <w:lang w:val="en-GB"/>
              </w:rPr>
            </w:pPr>
            <w:r>
              <w:rPr>
                <w:lang w:val="en-GB"/>
              </w:rPr>
              <w:t>Technology</w:t>
            </w:r>
          </w:p>
        </w:tc>
        <w:tc>
          <w:tcPr>
            <w:tcW w:w="322" w:type="pct"/>
            <w:tcBorders>
              <w:top w:val="single" w:sz="12" w:space="0" w:color="008000"/>
              <w:bottom w:val="nil"/>
            </w:tcBorders>
            <w:shd w:val="clear" w:color="auto" w:fill="FFFFFF"/>
          </w:tcPr>
          <w:p w14:paraId="03B574F4" w14:textId="77777777" w:rsidR="00203E86" w:rsidRDefault="00203E86" w:rsidP="00756C28">
            <w:pPr>
              <w:pStyle w:val="CETBodytext"/>
              <w:ind w:right="-1"/>
              <w:jc w:val="center"/>
              <w:rPr>
                <w:lang w:val="en-GB"/>
              </w:rPr>
            </w:pPr>
          </w:p>
        </w:tc>
        <w:tc>
          <w:tcPr>
            <w:tcW w:w="322" w:type="pct"/>
            <w:tcBorders>
              <w:top w:val="single" w:sz="12" w:space="0" w:color="008000"/>
              <w:bottom w:val="nil"/>
            </w:tcBorders>
            <w:shd w:val="clear" w:color="auto" w:fill="FFFFFF"/>
          </w:tcPr>
          <w:p w14:paraId="210F4316" w14:textId="77777777" w:rsidR="00203E86" w:rsidRDefault="00203E86" w:rsidP="00756C28">
            <w:pPr>
              <w:pStyle w:val="CETBodytext"/>
              <w:ind w:right="-1"/>
              <w:jc w:val="center"/>
              <w:rPr>
                <w:lang w:val="en-GB"/>
              </w:rPr>
            </w:pPr>
          </w:p>
        </w:tc>
        <w:tc>
          <w:tcPr>
            <w:tcW w:w="346" w:type="pct"/>
            <w:tcBorders>
              <w:top w:val="single" w:sz="12" w:space="0" w:color="008000"/>
              <w:bottom w:val="nil"/>
            </w:tcBorders>
            <w:shd w:val="clear" w:color="auto" w:fill="FFFFFF"/>
          </w:tcPr>
          <w:p w14:paraId="233AE20D" w14:textId="4C6385C2" w:rsidR="00203E86" w:rsidRDefault="00203E86" w:rsidP="00756C28">
            <w:pPr>
              <w:pStyle w:val="CETBodytext"/>
              <w:ind w:right="-1"/>
              <w:jc w:val="center"/>
              <w:rPr>
                <w:lang w:val="en-GB"/>
              </w:rPr>
            </w:pPr>
          </w:p>
        </w:tc>
        <w:tc>
          <w:tcPr>
            <w:tcW w:w="1524" w:type="pct"/>
            <w:gridSpan w:val="4"/>
            <w:tcBorders>
              <w:top w:val="single" w:sz="12" w:space="0" w:color="008000"/>
              <w:bottom w:val="nil"/>
            </w:tcBorders>
            <w:shd w:val="clear" w:color="auto" w:fill="FFFFFF"/>
            <w:vAlign w:val="center"/>
          </w:tcPr>
          <w:p w14:paraId="2FE41687" w14:textId="73A5304D" w:rsidR="00203E86" w:rsidRPr="00B57B36" w:rsidRDefault="00203E86" w:rsidP="00756C28">
            <w:pPr>
              <w:pStyle w:val="CETBodytext"/>
              <w:ind w:right="-1"/>
              <w:jc w:val="center"/>
              <w:rPr>
                <w:rFonts w:cs="Arial"/>
                <w:szCs w:val="18"/>
                <w:lang w:val="en-GB"/>
              </w:rPr>
            </w:pPr>
            <w:r>
              <w:rPr>
                <w:lang w:val="en-GB"/>
              </w:rPr>
              <w:t>(</w:t>
            </w:r>
            <w:r w:rsidRPr="00BB1825">
              <w:rPr>
                <w:lang w:val="en-GB"/>
              </w:rPr>
              <w:t xml:space="preserve">ARPA </w:t>
            </w:r>
            <w:proofErr w:type="spellStart"/>
            <w:r w:rsidRPr="00BB1825">
              <w:rPr>
                <w:lang w:val="en-GB"/>
              </w:rPr>
              <w:t>Lombardia</w:t>
            </w:r>
            <w:proofErr w:type="spellEnd"/>
            <w:r w:rsidRPr="00BB1825">
              <w:rPr>
                <w:lang w:val="en-GB"/>
              </w:rPr>
              <w:t>, 2022</w:t>
            </w:r>
            <w:r>
              <w:rPr>
                <w:lang w:val="en-GB"/>
              </w:rPr>
              <w:t>)</w:t>
            </w:r>
          </w:p>
        </w:tc>
        <w:tc>
          <w:tcPr>
            <w:tcW w:w="401" w:type="pct"/>
            <w:tcBorders>
              <w:top w:val="single" w:sz="12" w:space="0" w:color="008000"/>
              <w:bottom w:val="nil"/>
            </w:tcBorders>
            <w:shd w:val="clear" w:color="auto" w:fill="FFFFFF"/>
          </w:tcPr>
          <w:p w14:paraId="7B958A53" w14:textId="260E172B" w:rsidR="00203E86" w:rsidRDefault="00203E86" w:rsidP="00756C28">
            <w:pPr>
              <w:pStyle w:val="CETBodytext"/>
              <w:ind w:right="-1"/>
              <w:rPr>
                <w:lang w:val="en-GB"/>
              </w:rPr>
            </w:pPr>
          </w:p>
        </w:tc>
        <w:tc>
          <w:tcPr>
            <w:tcW w:w="881" w:type="pct"/>
            <w:tcBorders>
              <w:top w:val="single" w:sz="12" w:space="0" w:color="008000"/>
              <w:bottom w:val="nil"/>
            </w:tcBorders>
            <w:shd w:val="clear" w:color="auto" w:fill="FFFFFF"/>
          </w:tcPr>
          <w:p w14:paraId="32E87F53" w14:textId="77777777" w:rsidR="00203E86" w:rsidRDefault="00203E86" w:rsidP="00756C28">
            <w:pPr>
              <w:pStyle w:val="CETBodytext"/>
              <w:ind w:right="-1"/>
              <w:rPr>
                <w:lang w:val="en-GB"/>
              </w:rPr>
            </w:pPr>
          </w:p>
        </w:tc>
      </w:tr>
      <w:tr w:rsidR="0000279A" w:rsidRPr="00B57B36" w14:paraId="7BDBFABF" w14:textId="77777777" w:rsidTr="00CB11C8">
        <w:tc>
          <w:tcPr>
            <w:tcW w:w="641" w:type="pct"/>
            <w:tcBorders>
              <w:top w:val="nil"/>
              <w:bottom w:val="nil"/>
            </w:tcBorders>
            <w:shd w:val="clear" w:color="auto" w:fill="auto"/>
          </w:tcPr>
          <w:p w14:paraId="1DE9F6A1" w14:textId="77777777" w:rsidR="00F81E59" w:rsidRDefault="00F81E59" w:rsidP="00756C28">
            <w:pPr>
              <w:pStyle w:val="CETBodytext"/>
              <w:rPr>
                <w:lang w:val="en-GB"/>
              </w:rPr>
            </w:pPr>
          </w:p>
        </w:tc>
        <w:tc>
          <w:tcPr>
            <w:tcW w:w="563" w:type="pct"/>
            <w:tcBorders>
              <w:top w:val="nil"/>
              <w:bottom w:val="nil"/>
            </w:tcBorders>
            <w:shd w:val="clear" w:color="auto" w:fill="auto"/>
          </w:tcPr>
          <w:p w14:paraId="33A73E8E" w14:textId="77777777" w:rsidR="00F81E59" w:rsidRDefault="00F81E59" w:rsidP="00756C28">
            <w:pPr>
              <w:pStyle w:val="CETBodytext"/>
              <w:rPr>
                <w:lang w:val="en-GB"/>
              </w:rPr>
            </w:pPr>
          </w:p>
        </w:tc>
        <w:tc>
          <w:tcPr>
            <w:tcW w:w="990" w:type="pct"/>
            <w:gridSpan w:val="3"/>
            <w:tcBorders>
              <w:top w:val="nil"/>
              <w:bottom w:val="nil"/>
            </w:tcBorders>
          </w:tcPr>
          <w:p w14:paraId="5F4013D2" w14:textId="74826185" w:rsidR="00F81E59" w:rsidRDefault="00AB50BD" w:rsidP="00756C28">
            <w:pPr>
              <w:pStyle w:val="CETBodytext"/>
              <w:ind w:right="-1"/>
              <w:jc w:val="center"/>
              <w:rPr>
                <w:lang w:val="en-GB"/>
              </w:rPr>
            </w:pPr>
            <w:r>
              <w:rPr>
                <w:lang w:val="en-GB"/>
              </w:rPr>
              <w:t>Fuel consumption</w:t>
            </w:r>
          </w:p>
        </w:tc>
        <w:tc>
          <w:tcPr>
            <w:tcW w:w="1122" w:type="pct"/>
            <w:gridSpan w:val="3"/>
            <w:tcBorders>
              <w:top w:val="nil"/>
              <w:bottom w:val="nil"/>
            </w:tcBorders>
            <w:shd w:val="clear" w:color="auto" w:fill="auto"/>
            <w:vAlign w:val="center"/>
          </w:tcPr>
          <w:p w14:paraId="6423CF7D" w14:textId="3127CF15" w:rsidR="00F81E59" w:rsidRDefault="00F81E59" w:rsidP="00756C28">
            <w:pPr>
              <w:pStyle w:val="CETBodytext"/>
              <w:ind w:right="-1"/>
              <w:jc w:val="center"/>
              <w:rPr>
                <w:lang w:val="en-GB"/>
              </w:rPr>
            </w:pPr>
            <w:r>
              <w:rPr>
                <w:lang w:val="en-GB"/>
              </w:rPr>
              <w:t>PM10</w:t>
            </w:r>
          </w:p>
        </w:tc>
        <w:tc>
          <w:tcPr>
            <w:tcW w:w="402" w:type="pct"/>
            <w:tcBorders>
              <w:top w:val="nil"/>
              <w:bottom w:val="nil"/>
            </w:tcBorders>
            <w:shd w:val="clear" w:color="auto" w:fill="auto"/>
          </w:tcPr>
          <w:p w14:paraId="4CDBD057" w14:textId="78EA87C5" w:rsidR="00F81E59" w:rsidRDefault="00F81E59" w:rsidP="00756C28">
            <w:pPr>
              <w:pStyle w:val="CETBodytext"/>
              <w:ind w:right="-1"/>
              <w:rPr>
                <w:lang w:val="en-GB"/>
              </w:rPr>
            </w:pPr>
            <w:r>
              <w:rPr>
                <w:lang w:val="en-GB"/>
              </w:rPr>
              <w:t>NOx</w:t>
            </w:r>
          </w:p>
        </w:tc>
        <w:tc>
          <w:tcPr>
            <w:tcW w:w="401" w:type="pct"/>
            <w:tcBorders>
              <w:top w:val="nil"/>
              <w:bottom w:val="nil"/>
            </w:tcBorders>
            <w:shd w:val="clear" w:color="auto" w:fill="auto"/>
          </w:tcPr>
          <w:p w14:paraId="27D482F5" w14:textId="4222211D" w:rsidR="00F81E59" w:rsidRDefault="00F81E59" w:rsidP="00756C28">
            <w:pPr>
              <w:pStyle w:val="CETBodytext"/>
              <w:ind w:right="-1"/>
              <w:rPr>
                <w:lang w:val="en-GB"/>
              </w:rPr>
            </w:pPr>
            <w:r w:rsidRPr="009C2FDC">
              <w:rPr>
                <w:rFonts w:cs="Arial"/>
                <w:szCs w:val="18"/>
                <w:lang w:val="en-GB"/>
              </w:rPr>
              <w:t>CO</w:t>
            </w:r>
            <w:r w:rsidRPr="009C2FDC">
              <w:rPr>
                <w:rFonts w:cs="Arial"/>
                <w:szCs w:val="18"/>
                <w:vertAlign w:val="subscript"/>
                <w:lang w:val="en-GB"/>
              </w:rPr>
              <w:t>2</w:t>
            </w:r>
            <w:r>
              <w:rPr>
                <w:rFonts w:cs="Arial"/>
                <w:szCs w:val="18"/>
                <w:vertAlign w:val="subscript"/>
                <w:lang w:val="en-GB"/>
              </w:rPr>
              <w:t>eq</w:t>
            </w:r>
          </w:p>
        </w:tc>
        <w:tc>
          <w:tcPr>
            <w:tcW w:w="881" w:type="pct"/>
            <w:tcBorders>
              <w:top w:val="nil"/>
              <w:bottom w:val="nil"/>
            </w:tcBorders>
            <w:shd w:val="clear" w:color="auto" w:fill="auto"/>
          </w:tcPr>
          <w:p w14:paraId="1EB0B351" w14:textId="77777777" w:rsidR="00F81E59" w:rsidRDefault="00F81E59" w:rsidP="00756C28">
            <w:pPr>
              <w:pStyle w:val="CETBodytext"/>
              <w:ind w:right="-1"/>
              <w:rPr>
                <w:lang w:val="en-GB"/>
              </w:rPr>
            </w:pPr>
          </w:p>
        </w:tc>
      </w:tr>
      <w:tr w:rsidR="0000279A" w:rsidRPr="00B57B36" w14:paraId="4797198C" w14:textId="149F05C5" w:rsidTr="00CB11C8">
        <w:tc>
          <w:tcPr>
            <w:tcW w:w="641" w:type="pct"/>
            <w:tcBorders>
              <w:top w:val="nil"/>
              <w:bottom w:val="single" w:sz="6" w:space="0" w:color="008000"/>
            </w:tcBorders>
            <w:shd w:val="clear" w:color="auto" w:fill="FFFFFF"/>
          </w:tcPr>
          <w:p w14:paraId="317167C4" w14:textId="77777777" w:rsidR="00AB50BD" w:rsidRDefault="00AB50BD" w:rsidP="00AB50BD">
            <w:pPr>
              <w:pStyle w:val="CETBodytext"/>
              <w:rPr>
                <w:lang w:val="en-GB"/>
              </w:rPr>
            </w:pPr>
          </w:p>
        </w:tc>
        <w:tc>
          <w:tcPr>
            <w:tcW w:w="563" w:type="pct"/>
            <w:tcBorders>
              <w:top w:val="nil"/>
              <w:bottom w:val="single" w:sz="6" w:space="0" w:color="008000"/>
            </w:tcBorders>
            <w:shd w:val="clear" w:color="auto" w:fill="FFFFFF"/>
          </w:tcPr>
          <w:p w14:paraId="66A6871E" w14:textId="77777777" w:rsidR="00AB50BD" w:rsidRDefault="00AB50BD" w:rsidP="00AB50BD">
            <w:pPr>
              <w:pStyle w:val="CETBodytext"/>
              <w:rPr>
                <w:lang w:val="en-GB"/>
              </w:rPr>
            </w:pPr>
          </w:p>
        </w:tc>
        <w:tc>
          <w:tcPr>
            <w:tcW w:w="322" w:type="pct"/>
            <w:tcBorders>
              <w:top w:val="nil"/>
              <w:bottom w:val="single" w:sz="6" w:space="0" w:color="008000"/>
            </w:tcBorders>
            <w:shd w:val="clear" w:color="auto" w:fill="FFFFFF"/>
          </w:tcPr>
          <w:p w14:paraId="30F34BB6" w14:textId="319B5F42" w:rsidR="00AB50BD" w:rsidRDefault="00AB50BD" w:rsidP="00AB50BD">
            <w:pPr>
              <w:pStyle w:val="CETBodytext"/>
              <w:ind w:right="-1"/>
              <w:rPr>
                <w:lang w:val="en-GB"/>
              </w:rPr>
            </w:pPr>
            <w:r>
              <w:rPr>
                <w:lang w:val="en-GB"/>
              </w:rPr>
              <w:t>1-star</w:t>
            </w:r>
          </w:p>
        </w:tc>
        <w:tc>
          <w:tcPr>
            <w:tcW w:w="322" w:type="pct"/>
            <w:tcBorders>
              <w:top w:val="nil"/>
              <w:bottom w:val="single" w:sz="6" w:space="0" w:color="008000"/>
            </w:tcBorders>
            <w:shd w:val="clear" w:color="auto" w:fill="FFFFFF"/>
          </w:tcPr>
          <w:p w14:paraId="0876CACD" w14:textId="30A22C96" w:rsidR="00AB50BD" w:rsidRDefault="00AB50BD" w:rsidP="00AB50BD">
            <w:pPr>
              <w:pStyle w:val="CETBodytext"/>
              <w:ind w:right="-1"/>
              <w:rPr>
                <w:lang w:val="en-GB"/>
              </w:rPr>
            </w:pPr>
            <w:r>
              <w:rPr>
                <w:lang w:val="en-GB"/>
              </w:rPr>
              <w:t>2-star</w:t>
            </w:r>
          </w:p>
        </w:tc>
        <w:tc>
          <w:tcPr>
            <w:tcW w:w="346" w:type="pct"/>
            <w:tcBorders>
              <w:top w:val="nil"/>
              <w:bottom w:val="single" w:sz="6" w:space="0" w:color="008000"/>
            </w:tcBorders>
            <w:shd w:val="clear" w:color="auto" w:fill="FFFFFF"/>
          </w:tcPr>
          <w:p w14:paraId="6C13B4BF" w14:textId="58954684" w:rsidR="00AB50BD" w:rsidRDefault="00AB50BD" w:rsidP="00AB50BD">
            <w:pPr>
              <w:pStyle w:val="CETBodytext"/>
              <w:ind w:right="-1"/>
              <w:rPr>
                <w:lang w:val="en-GB"/>
              </w:rPr>
            </w:pPr>
            <w:r>
              <w:rPr>
                <w:lang w:val="en-GB"/>
              </w:rPr>
              <w:t>3-star</w:t>
            </w:r>
          </w:p>
        </w:tc>
        <w:tc>
          <w:tcPr>
            <w:tcW w:w="399" w:type="pct"/>
            <w:tcBorders>
              <w:top w:val="nil"/>
              <w:bottom w:val="single" w:sz="6" w:space="0" w:color="008000"/>
            </w:tcBorders>
            <w:shd w:val="clear" w:color="auto" w:fill="FFFFFF"/>
          </w:tcPr>
          <w:p w14:paraId="3C884D09" w14:textId="4DD7D503" w:rsidR="00AB50BD" w:rsidRDefault="00AB50BD" w:rsidP="00AB50BD">
            <w:pPr>
              <w:pStyle w:val="CETBodytext"/>
              <w:ind w:right="-1"/>
              <w:rPr>
                <w:lang w:val="en-GB"/>
              </w:rPr>
            </w:pPr>
            <w:r>
              <w:rPr>
                <w:lang w:val="en-GB"/>
              </w:rPr>
              <w:t>1-star</w:t>
            </w:r>
          </w:p>
        </w:tc>
        <w:tc>
          <w:tcPr>
            <w:tcW w:w="321" w:type="pct"/>
            <w:tcBorders>
              <w:top w:val="nil"/>
              <w:bottom w:val="single" w:sz="6" w:space="0" w:color="008000"/>
            </w:tcBorders>
            <w:shd w:val="clear" w:color="auto" w:fill="FFFFFF"/>
          </w:tcPr>
          <w:p w14:paraId="420A4D3F" w14:textId="32D1A911" w:rsidR="00AB50BD" w:rsidRDefault="00AB50BD" w:rsidP="00AB50BD">
            <w:pPr>
              <w:pStyle w:val="CETBodytext"/>
              <w:ind w:right="-1"/>
              <w:rPr>
                <w:lang w:val="en-GB"/>
              </w:rPr>
            </w:pPr>
            <w:r>
              <w:rPr>
                <w:lang w:val="en-GB"/>
              </w:rPr>
              <w:t>2-star</w:t>
            </w:r>
          </w:p>
        </w:tc>
        <w:tc>
          <w:tcPr>
            <w:tcW w:w="402" w:type="pct"/>
            <w:tcBorders>
              <w:top w:val="nil"/>
              <w:bottom w:val="single" w:sz="6" w:space="0" w:color="008000"/>
            </w:tcBorders>
            <w:shd w:val="clear" w:color="auto" w:fill="FFFFFF"/>
          </w:tcPr>
          <w:p w14:paraId="20423651" w14:textId="304FBD74" w:rsidR="00AB50BD" w:rsidRDefault="00AB50BD" w:rsidP="00AB50BD">
            <w:pPr>
              <w:pStyle w:val="CETBodytext"/>
              <w:ind w:right="-1"/>
              <w:rPr>
                <w:lang w:val="en-GB"/>
              </w:rPr>
            </w:pPr>
            <w:r>
              <w:rPr>
                <w:lang w:val="en-GB"/>
              </w:rPr>
              <w:t>3-star</w:t>
            </w:r>
          </w:p>
        </w:tc>
        <w:tc>
          <w:tcPr>
            <w:tcW w:w="402" w:type="pct"/>
            <w:tcBorders>
              <w:top w:val="nil"/>
              <w:bottom w:val="single" w:sz="6" w:space="0" w:color="008000"/>
            </w:tcBorders>
            <w:shd w:val="clear" w:color="auto" w:fill="FFFFFF"/>
          </w:tcPr>
          <w:p w14:paraId="1D9A7D97" w14:textId="61E1D618" w:rsidR="00AB50BD" w:rsidRDefault="00AB50BD" w:rsidP="00AB50BD">
            <w:pPr>
              <w:pStyle w:val="CETBodytext"/>
              <w:ind w:right="-1"/>
              <w:rPr>
                <w:lang w:val="en-GB"/>
              </w:rPr>
            </w:pPr>
            <w:r>
              <w:rPr>
                <w:lang w:val="en-GB"/>
              </w:rPr>
              <w:t>1-3 star</w:t>
            </w:r>
          </w:p>
        </w:tc>
        <w:tc>
          <w:tcPr>
            <w:tcW w:w="401" w:type="pct"/>
            <w:tcBorders>
              <w:top w:val="nil"/>
              <w:bottom w:val="single" w:sz="6" w:space="0" w:color="008000"/>
            </w:tcBorders>
            <w:shd w:val="clear" w:color="auto" w:fill="FFFFFF"/>
          </w:tcPr>
          <w:p w14:paraId="33AD0878" w14:textId="77777777" w:rsidR="00AB50BD" w:rsidRDefault="00AB50BD" w:rsidP="00AB50BD">
            <w:pPr>
              <w:pStyle w:val="CETBodytext"/>
              <w:ind w:right="-1"/>
              <w:rPr>
                <w:lang w:val="en-GB"/>
              </w:rPr>
            </w:pPr>
          </w:p>
        </w:tc>
        <w:tc>
          <w:tcPr>
            <w:tcW w:w="881" w:type="pct"/>
            <w:tcBorders>
              <w:top w:val="nil"/>
              <w:bottom w:val="single" w:sz="6" w:space="0" w:color="008000"/>
            </w:tcBorders>
            <w:shd w:val="clear" w:color="auto" w:fill="FFFFFF"/>
          </w:tcPr>
          <w:p w14:paraId="102ABC63" w14:textId="77777777" w:rsidR="00AB50BD" w:rsidRDefault="00AB50BD" w:rsidP="00AB50BD">
            <w:pPr>
              <w:pStyle w:val="CETBodytext"/>
              <w:ind w:right="-1"/>
              <w:rPr>
                <w:lang w:val="en-GB"/>
              </w:rPr>
            </w:pPr>
          </w:p>
        </w:tc>
      </w:tr>
      <w:tr w:rsidR="0000279A" w:rsidRPr="00B57B36" w14:paraId="295BA3C3" w14:textId="335243EE" w:rsidTr="00CB11C8">
        <w:tc>
          <w:tcPr>
            <w:tcW w:w="641" w:type="pct"/>
            <w:shd w:val="clear" w:color="auto" w:fill="FFFFFF"/>
          </w:tcPr>
          <w:p w14:paraId="0ABBEC40" w14:textId="77777777" w:rsidR="00AB50BD" w:rsidRPr="00B57B36" w:rsidRDefault="00AB50BD" w:rsidP="00AB50BD">
            <w:pPr>
              <w:pStyle w:val="CETBodytext"/>
              <w:rPr>
                <w:lang w:val="en-GB"/>
              </w:rPr>
            </w:pPr>
            <w:proofErr w:type="spellStart"/>
            <w:r w:rsidRPr="007C1BAD">
              <w:rPr>
                <w:lang w:val="en-GB"/>
              </w:rPr>
              <w:t>Woodlog</w:t>
            </w:r>
            <w:proofErr w:type="spellEnd"/>
          </w:p>
        </w:tc>
        <w:tc>
          <w:tcPr>
            <w:tcW w:w="563" w:type="pct"/>
            <w:shd w:val="clear" w:color="auto" w:fill="FFFFFF"/>
          </w:tcPr>
          <w:p w14:paraId="6663054D" w14:textId="77777777" w:rsidR="00AB50BD" w:rsidRPr="00B57B36" w:rsidRDefault="00AB50BD" w:rsidP="00AB50BD">
            <w:pPr>
              <w:pStyle w:val="CETBodytext"/>
              <w:rPr>
                <w:lang w:val="en-GB"/>
              </w:rPr>
            </w:pPr>
            <w:r w:rsidRPr="007C1BAD">
              <w:rPr>
                <w:lang w:val="en-GB"/>
              </w:rPr>
              <w:t>OFP</w:t>
            </w:r>
          </w:p>
        </w:tc>
        <w:tc>
          <w:tcPr>
            <w:tcW w:w="322" w:type="pct"/>
            <w:shd w:val="clear" w:color="auto" w:fill="FFFFFF"/>
          </w:tcPr>
          <w:p w14:paraId="7939FDBD" w14:textId="11AE16F2" w:rsidR="00AB50BD" w:rsidRPr="00C136A9" w:rsidRDefault="00AB50BD" w:rsidP="00AB50BD">
            <w:pPr>
              <w:pStyle w:val="CETBodytext"/>
            </w:pPr>
            <w:r w:rsidRPr="00741DA1">
              <w:t>1.9</w:t>
            </w:r>
          </w:p>
        </w:tc>
        <w:tc>
          <w:tcPr>
            <w:tcW w:w="322" w:type="pct"/>
            <w:shd w:val="clear" w:color="auto" w:fill="FFFFFF"/>
          </w:tcPr>
          <w:p w14:paraId="57188468" w14:textId="5EB2EC9F" w:rsidR="00AB50BD" w:rsidRPr="00C136A9" w:rsidRDefault="00AB50BD" w:rsidP="00AB50BD">
            <w:pPr>
              <w:pStyle w:val="CETBodytext"/>
            </w:pPr>
            <w:r w:rsidRPr="00741DA1">
              <w:t>0.4</w:t>
            </w:r>
          </w:p>
        </w:tc>
        <w:tc>
          <w:tcPr>
            <w:tcW w:w="346" w:type="pct"/>
            <w:shd w:val="clear" w:color="auto" w:fill="FFFFFF"/>
          </w:tcPr>
          <w:p w14:paraId="1593087A" w14:textId="112C7E22" w:rsidR="00AB50BD" w:rsidRPr="00C136A9" w:rsidRDefault="00AB50BD" w:rsidP="00AB50BD">
            <w:pPr>
              <w:pStyle w:val="CETBodytext"/>
            </w:pPr>
            <w:r w:rsidRPr="00741DA1">
              <w:t>0.2</w:t>
            </w:r>
          </w:p>
        </w:tc>
        <w:tc>
          <w:tcPr>
            <w:tcW w:w="399" w:type="pct"/>
            <w:shd w:val="clear" w:color="auto" w:fill="FFFFFF"/>
          </w:tcPr>
          <w:p w14:paraId="5D8DB9C0" w14:textId="01BEF393" w:rsidR="00AB50BD" w:rsidRPr="007C1BAD" w:rsidRDefault="00AB50BD" w:rsidP="00AB50BD">
            <w:pPr>
              <w:pStyle w:val="CETBodytext"/>
              <w:rPr>
                <w:lang w:val="en-GB"/>
              </w:rPr>
            </w:pPr>
            <w:r w:rsidRPr="00C136A9">
              <w:t>847</w:t>
            </w:r>
          </w:p>
        </w:tc>
        <w:tc>
          <w:tcPr>
            <w:tcW w:w="321" w:type="pct"/>
            <w:shd w:val="clear" w:color="auto" w:fill="FFFFFF"/>
          </w:tcPr>
          <w:p w14:paraId="3AE47B6A" w14:textId="1474705B" w:rsidR="00AB50BD" w:rsidRPr="007C1BAD" w:rsidRDefault="00AB50BD" w:rsidP="00AB50BD">
            <w:pPr>
              <w:pStyle w:val="CETBodytext"/>
              <w:rPr>
                <w:lang w:val="en-GB"/>
              </w:rPr>
            </w:pPr>
            <w:r w:rsidRPr="00C136A9">
              <w:t>463</w:t>
            </w:r>
          </w:p>
        </w:tc>
        <w:tc>
          <w:tcPr>
            <w:tcW w:w="402" w:type="pct"/>
            <w:shd w:val="clear" w:color="auto" w:fill="FFFFFF"/>
          </w:tcPr>
          <w:p w14:paraId="7FCF41B2" w14:textId="52071465" w:rsidR="00AB50BD" w:rsidRPr="00B57B36" w:rsidRDefault="00AB50BD" w:rsidP="00AB50BD">
            <w:pPr>
              <w:pStyle w:val="CETBodytext"/>
              <w:rPr>
                <w:lang w:val="en-GB"/>
              </w:rPr>
            </w:pPr>
            <w:r w:rsidRPr="00C136A9">
              <w:t>284</w:t>
            </w:r>
          </w:p>
        </w:tc>
        <w:tc>
          <w:tcPr>
            <w:tcW w:w="402" w:type="pct"/>
            <w:shd w:val="clear" w:color="auto" w:fill="FFFFFF"/>
          </w:tcPr>
          <w:p w14:paraId="4D184AFD" w14:textId="77777777" w:rsidR="00AB50BD" w:rsidRPr="007C1BAD" w:rsidRDefault="00AB50BD" w:rsidP="00AB50BD">
            <w:pPr>
              <w:pStyle w:val="CETBodytext"/>
              <w:ind w:right="-1"/>
              <w:rPr>
                <w:lang w:val="en-GB"/>
              </w:rPr>
            </w:pPr>
            <w:r>
              <w:rPr>
                <w:lang w:val="en-GB"/>
              </w:rPr>
              <w:t>5</w:t>
            </w:r>
            <w:r>
              <w:t>0</w:t>
            </w:r>
          </w:p>
        </w:tc>
        <w:tc>
          <w:tcPr>
            <w:tcW w:w="401" w:type="pct"/>
            <w:vMerge w:val="restart"/>
            <w:shd w:val="clear" w:color="auto" w:fill="FFFFFF"/>
            <w:vAlign w:val="center"/>
          </w:tcPr>
          <w:p w14:paraId="7604D826" w14:textId="04260263" w:rsidR="00AB50BD" w:rsidRDefault="00AB50BD" w:rsidP="00AB50BD">
            <w:pPr>
              <w:pStyle w:val="CETBodytext"/>
              <w:ind w:right="-1"/>
              <w:rPr>
                <w:lang w:val="en-GB"/>
              </w:rPr>
            </w:pPr>
            <w:r w:rsidRPr="009C2FDC">
              <w:rPr>
                <w:lang w:val="en-GB"/>
              </w:rPr>
              <w:t>9.7</w:t>
            </w:r>
          </w:p>
        </w:tc>
        <w:tc>
          <w:tcPr>
            <w:tcW w:w="881" w:type="pct"/>
            <w:vMerge w:val="restart"/>
            <w:shd w:val="clear" w:color="auto" w:fill="FFFFFF"/>
            <w:vAlign w:val="center"/>
          </w:tcPr>
          <w:p w14:paraId="32E53014" w14:textId="4632BE46" w:rsidR="00AB50BD" w:rsidRDefault="00AB50BD" w:rsidP="00AB50BD">
            <w:pPr>
              <w:pStyle w:val="CETBodytext"/>
              <w:ind w:right="-1"/>
              <w:rPr>
                <w:lang w:val="en-GB"/>
              </w:rPr>
            </w:pPr>
            <w:r>
              <w:rPr>
                <w:lang w:val="en-GB"/>
              </w:rPr>
              <w:t>(</w:t>
            </w:r>
            <w:r w:rsidRPr="009C2FDC">
              <w:rPr>
                <w:lang w:val="en-GB"/>
              </w:rPr>
              <w:t>Pierobon et al., 2015</w:t>
            </w:r>
            <w:r>
              <w:rPr>
                <w:lang w:val="en-GB"/>
              </w:rPr>
              <w:t>)</w:t>
            </w:r>
          </w:p>
        </w:tc>
      </w:tr>
      <w:tr w:rsidR="0000279A" w:rsidRPr="00B57B36" w14:paraId="20202B62" w14:textId="2043FE11" w:rsidTr="00CB11C8">
        <w:tc>
          <w:tcPr>
            <w:tcW w:w="641" w:type="pct"/>
            <w:shd w:val="clear" w:color="auto" w:fill="FFFFFF"/>
          </w:tcPr>
          <w:p w14:paraId="3BA62DE2" w14:textId="77777777" w:rsidR="00AB50BD" w:rsidRPr="00B57B36" w:rsidRDefault="00AB50BD" w:rsidP="00AB50BD">
            <w:pPr>
              <w:pStyle w:val="CETBodytext"/>
              <w:rPr>
                <w:lang w:val="en-GB"/>
              </w:rPr>
            </w:pPr>
          </w:p>
        </w:tc>
        <w:tc>
          <w:tcPr>
            <w:tcW w:w="563" w:type="pct"/>
            <w:shd w:val="clear" w:color="auto" w:fill="FFFFFF"/>
          </w:tcPr>
          <w:p w14:paraId="713AF9DC" w14:textId="77777777" w:rsidR="00AB50BD" w:rsidRPr="00B57B36" w:rsidRDefault="00AB50BD" w:rsidP="00AB50BD">
            <w:pPr>
              <w:pStyle w:val="CETBodytext"/>
              <w:rPr>
                <w:lang w:val="en-GB"/>
              </w:rPr>
            </w:pPr>
            <w:r w:rsidRPr="007C1BAD">
              <w:rPr>
                <w:lang w:val="en-GB"/>
              </w:rPr>
              <w:t>CFP</w:t>
            </w:r>
          </w:p>
        </w:tc>
        <w:tc>
          <w:tcPr>
            <w:tcW w:w="322" w:type="pct"/>
            <w:shd w:val="clear" w:color="auto" w:fill="FFFFFF"/>
          </w:tcPr>
          <w:p w14:paraId="68AD10CC" w14:textId="72EFA72E" w:rsidR="00AB50BD" w:rsidRPr="00C136A9" w:rsidRDefault="00AB50BD" w:rsidP="00AB50BD">
            <w:pPr>
              <w:pStyle w:val="CETBodytext"/>
            </w:pPr>
            <w:r w:rsidRPr="00741DA1">
              <w:t>0.8</w:t>
            </w:r>
          </w:p>
        </w:tc>
        <w:tc>
          <w:tcPr>
            <w:tcW w:w="322" w:type="pct"/>
            <w:shd w:val="clear" w:color="auto" w:fill="FFFFFF"/>
          </w:tcPr>
          <w:p w14:paraId="56111A68" w14:textId="6EED7ED4" w:rsidR="00AB50BD" w:rsidRPr="00C136A9" w:rsidRDefault="00AB50BD" w:rsidP="00AB50BD">
            <w:pPr>
              <w:pStyle w:val="CETBodytext"/>
            </w:pPr>
            <w:r w:rsidRPr="00741DA1">
              <w:t>0.2</w:t>
            </w:r>
          </w:p>
        </w:tc>
        <w:tc>
          <w:tcPr>
            <w:tcW w:w="346" w:type="pct"/>
            <w:shd w:val="clear" w:color="auto" w:fill="FFFFFF"/>
          </w:tcPr>
          <w:p w14:paraId="151E62C9" w14:textId="2827733E" w:rsidR="00AB50BD" w:rsidRPr="00C136A9" w:rsidRDefault="00AB50BD" w:rsidP="00AB50BD">
            <w:pPr>
              <w:pStyle w:val="CETBodytext"/>
            </w:pPr>
            <w:r w:rsidRPr="00741DA1">
              <w:t>0.1</w:t>
            </w:r>
          </w:p>
        </w:tc>
        <w:tc>
          <w:tcPr>
            <w:tcW w:w="399" w:type="pct"/>
            <w:shd w:val="clear" w:color="auto" w:fill="FFFFFF"/>
          </w:tcPr>
          <w:p w14:paraId="04377A2B" w14:textId="2E087287" w:rsidR="00AB50BD" w:rsidRPr="007C1BAD" w:rsidRDefault="00AB50BD" w:rsidP="00AB50BD">
            <w:pPr>
              <w:pStyle w:val="CETBodytext"/>
              <w:rPr>
                <w:lang w:val="en-GB"/>
              </w:rPr>
            </w:pPr>
            <w:r w:rsidRPr="00C136A9">
              <w:t>380</w:t>
            </w:r>
          </w:p>
        </w:tc>
        <w:tc>
          <w:tcPr>
            <w:tcW w:w="321" w:type="pct"/>
            <w:shd w:val="clear" w:color="auto" w:fill="FFFFFF"/>
          </w:tcPr>
          <w:p w14:paraId="24725DE3" w14:textId="2B455937" w:rsidR="00AB50BD" w:rsidRPr="007C1BAD" w:rsidRDefault="00AB50BD" w:rsidP="00AB50BD">
            <w:pPr>
              <w:pStyle w:val="CETBodytext"/>
              <w:rPr>
                <w:lang w:val="en-GB"/>
              </w:rPr>
            </w:pPr>
            <w:r w:rsidRPr="00C136A9">
              <w:t>380</w:t>
            </w:r>
          </w:p>
        </w:tc>
        <w:tc>
          <w:tcPr>
            <w:tcW w:w="402" w:type="pct"/>
            <w:shd w:val="clear" w:color="auto" w:fill="FFFFFF"/>
          </w:tcPr>
          <w:p w14:paraId="7E90670D" w14:textId="1E7C59F1" w:rsidR="00AB50BD" w:rsidRPr="00B57B36" w:rsidRDefault="00AB50BD" w:rsidP="00AB50BD">
            <w:pPr>
              <w:pStyle w:val="CETBodytext"/>
              <w:rPr>
                <w:lang w:val="en-GB"/>
              </w:rPr>
            </w:pPr>
            <w:r w:rsidRPr="00C136A9">
              <w:t>284</w:t>
            </w:r>
          </w:p>
        </w:tc>
        <w:tc>
          <w:tcPr>
            <w:tcW w:w="402" w:type="pct"/>
            <w:shd w:val="clear" w:color="auto" w:fill="FFFFFF"/>
          </w:tcPr>
          <w:p w14:paraId="04CE60ED" w14:textId="77777777" w:rsidR="00AB50BD" w:rsidRPr="007C1BAD" w:rsidRDefault="00AB50BD" w:rsidP="00AB50BD">
            <w:pPr>
              <w:pStyle w:val="CETBodytext"/>
              <w:ind w:right="-1"/>
              <w:rPr>
                <w:lang w:val="en-GB"/>
              </w:rPr>
            </w:pPr>
            <w:r>
              <w:rPr>
                <w:lang w:val="en-GB"/>
              </w:rPr>
              <w:t>8</w:t>
            </w:r>
            <w:r>
              <w:t>0</w:t>
            </w:r>
          </w:p>
        </w:tc>
        <w:tc>
          <w:tcPr>
            <w:tcW w:w="401" w:type="pct"/>
            <w:vMerge/>
            <w:shd w:val="clear" w:color="auto" w:fill="FFFFFF"/>
            <w:vAlign w:val="center"/>
          </w:tcPr>
          <w:p w14:paraId="6B768D38" w14:textId="77777777" w:rsidR="00AB50BD" w:rsidRDefault="00AB50BD" w:rsidP="00AB50BD">
            <w:pPr>
              <w:pStyle w:val="CETBodytext"/>
              <w:ind w:right="-1"/>
              <w:rPr>
                <w:lang w:val="en-GB"/>
              </w:rPr>
            </w:pPr>
          </w:p>
        </w:tc>
        <w:tc>
          <w:tcPr>
            <w:tcW w:w="881" w:type="pct"/>
            <w:vMerge/>
            <w:shd w:val="clear" w:color="auto" w:fill="FFFFFF"/>
          </w:tcPr>
          <w:p w14:paraId="3E147C47" w14:textId="77777777" w:rsidR="00AB50BD" w:rsidRDefault="00AB50BD" w:rsidP="00AB50BD">
            <w:pPr>
              <w:pStyle w:val="CETBodytext"/>
              <w:ind w:right="-1"/>
              <w:rPr>
                <w:lang w:val="en-GB"/>
              </w:rPr>
            </w:pPr>
          </w:p>
        </w:tc>
      </w:tr>
      <w:tr w:rsidR="0000279A" w:rsidRPr="00B57B36" w14:paraId="459B4EE8" w14:textId="47F8FF32" w:rsidTr="00CB11C8">
        <w:tc>
          <w:tcPr>
            <w:tcW w:w="641" w:type="pct"/>
            <w:shd w:val="clear" w:color="auto" w:fill="FFFFFF"/>
          </w:tcPr>
          <w:p w14:paraId="0D2D0EE5" w14:textId="77777777" w:rsidR="00AB50BD" w:rsidRPr="00B57B36" w:rsidRDefault="00AB50BD" w:rsidP="00AB50BD">
            <w:pPr>
              <w:pStyle w:val="CETBodytext"/>
              <w:rPr>
                <w:lang w:val="en-GB"/>
              </w:rPr>
            </w:pPr>
          </w:p>
        </w:tc>
        <w:tc>
          <w:tcPr>
            <w:tcW w:w="563" w:type="pct"/>
            <w:shd w:val="clear" w:color="auto" w:fill="FFFFFF"/>
          </w:tcPr>
          <w:p w14:paraId="14A114D3" w14:textId="77777777" w:rsidR="00AB50BD" w:rsidRPr="00B57B36" w:rsidRDefault="00AB50BD" w:rsidP="00AB50BD">
            <w:pPr>
              <w:pStyle w:val="CETBodytext"/>
              <w:rPr>
                <w:lang w:val="en-GB"/>
              </w:rPr>
            </w:pPr>
            <w:r w:rsidRPr="007C1BAD">
              <w:rPr>
                <w:lang w:val="en-GB"/>
              </w:rPr>
              <w:t>WS</w:t>
            </w:r>
          </w:p>
        </w:tc>
        <w:tc>
          <w:tcPr>
            <w:tcW w:w="322" w:type="pct"/>
            <w:shd w:val="clear" w:color="auto" w:fill="FFFFFF"/>
          </w:tcPr>
          <w:p w14:paraId="320A3E45" w14:textId="0C7CDE7A" w:rsidR="00AB50BD" w:rsidRPr="00C136A9" w:rsidRDefault="00AB50BD" w:rsidP="00AB50BD">
            <w:pPr>
              <w:pStyle w:val="CETBodytext"/>
            </w:pPr>
            <w:r w:rsidRPr="00741DA1">
              <w:t>4.4</w:t>
            </w:r>
          </w:p>
        </w:tc>
        <w:tc>
          <w:tcPr>
            <w:tcW w:w="322" w:type="pct"/>
            <w:shd w:val="clear" w:color="auto" w:fill="FFFFFF"/>
          </w:tcPr>
          <w:p w14:paraId="0C17AD89" w14:textId="2D6FB6B4" w:rsidR="00AB50BD" w:rsidRPr="00C136A9" w:rsidRDefault="00AB50BD" w:rsidP="00AB50BD">
            <w:pPr>
              <w:pStyle w:val="CETBodytext"/>
            </w:pPr>
            <w:r w:rsidRPr="00741DA1">
              <w:t>1.4</w:t>
            </w:r>
          </w:p>
        </w:tc>
        <w:tc>
          <w:tcPr>
            <w:tcW w:w="346" w:type="pct"/>
            <w:shd w:val="clear" w:color="auto" w:fill="FFFFFF"/>
          </w:tcPr>
          <w:p w14:paraId="6AEB57E8" w14:textId="31C0DCB3" w:rsidR="00AB50BD" w:rsidRPr="00C136A9" w:rsidRDefault="00AB50BD" w:rsidP="00AB50BD">
            <w:pPr>
              <w:pStyle w:val="CETBodytext"/>
            </w:pPr>
            <w:r w:rsidRPr="00741DA1">
              <w:t>1.3</w:t>
            </w:r>
          </w:p>
        </w:tc>
        <w:tc>
          <w:tcPr>
            <w:tcW w:w="399" w:type="pct"/>
            <w:shd w:val="clear" w:color="auto" w:fill="FFFFFF"/>
          </w:tcPr>
          <w:p w14:paraId="360A39DF" w14:textId="6A62C9F9" w:rsidR="00AB50BD" w:rsidRPr="007C1BAD" w:rsidRDefault="00AB50BD" w:rsidP="00AB50BD">
            <w:pPr>
              <w:pStyle w:val="CETBodytext"/>
              <w:rPr>
                <w:lang w:val="en-GB"/>
              </w:rPr>
            </w:pPr>
            <w:r w:rsidRPr="00C136A9">
              <w:t>760</w:t>
            </w:r>
          </w:p>
        </w:tc>
        <w:tc>
          <w:tcPr>
            <w:tcW w:w="321" w:type="pct"/>
            <w:shd w:val="clear" w:color="auto" w:fill="FFFFFF"/>
          </w:tcPr>
          <w:p w14:paraId="24886665" w14:textId="5F3ACB4F" w:rsidR="00AB50BD" w:rsidRPr="007C1BAD" w:rsidRDefault="00AB50BD" w:rsidP="00AB50BD">
            <w:pPr>
              <w:pStyle w:val="CETBodytext"/>
              <w:rPr>
                <w:lang w:val="en-GB"/>
              </w:rPr>
            </w:pPr>
            <w:r w:rsidRPr="00C136A9">
              <w:t>463</w:t>
            </w:r>
          </w:p>
        </w:tc>
        <w:tc>
          <w:tcPr>
            <w:tcW w:w="402" w:type="pct"/>
            <w:shd w:val="clear" w:color="auto" w:fill="FFFFFF"/>
          </w:tcPr>
          <w:p w14:paraId="02A8ADE2" w14:textId="6D96789A" w:rsidR="00AB50BD" w:rsidRPr="00B57B36" w:rsidRDefault="00AB50BD" w:rsidP="00AB50BD">
            <w:pPr>
              <w:pStyle w:val="CETBodytext"/>
              <w:rPr>
                <w:lang w:val="en-GB"/>
              </w:rPr>
            </w:pPr>
            <w:r w:rsidRPr="00C136A9">
              <w:t>284</w:t>
            </w:r>
          </w:p>
        </w:tc>
        <w:tc>
          <w:tcPr>
            <w:tcW w:w="402" w:type="pct"/>
            <w:shd w:val="clear" w:color="auto" w:fill="FFFFFF"/>
          </w:tcPr>
          <w:p w14:paraId="1C2378AB" w14:textId="77777777" w:rsidR="00AB50BD" w:rsidRPr="007C1BAD" w:rsidRDefault="00AB50BD" w:rsidP="00AB50BD">
            <w:pPr>
              <w:pStyle w:val="CETBodytext"/>
              <w:ind w:right="-1"/>
              <w:rPr>
                <w:lang w:val="en-GB"/>
              </w:rPr>
            </w:pPr>
            <w:r>
              <w:rPr>
                <w:lang w:val="en-GB"/>
              </w:rPr>
              <w:t>5</w:t>
            </w:r>
            <w:r>
              <w:t>0</w:t>
            </w:r>
          </w:p>
        </w:tc>
        <w:tc>
          <w:tcPr>
            <w:tcW w:w="401" w:type="pct"/>
            <w:vMerge/>
            <w:shd w:val="clear" w:color="auto" w:fill="FFFFFF"/>
            <w:vAlign w:val="center"/>
          </w:tcPr>
          <w:p w14:paraId="36630A5D" w14:textId="77777777" w:rsidR="00AB50BD" w:rsidRDefault="00AB50BD" w:rsidP="00AB50BD">
            <w:pPr>
              <w:pStyle w:val="CETBodytext"/>
              <w:ind w:right="-1"/>
              <w:rPr>
                <w:lang w:val="en-GB"/>
              </w:rPr>
            </w:pPr>
          </w:p>
        </w:tc>
        <w:tc>
          <w:tcPr>
            <w:tcW w:w="881" w:type="pct"/>
            <w:vMerge/>
            <w:shd w:val="clear" w:color="auto" w:fill="FFFFFF"/>
          </w:tcPr>
          <w:p w14:paraId="10916C87" w14:textId="77777777" w:rsidR="00AB50BD" w:rsidRDefault="00AB50BD" w:rsidP="00AB50BD">
            <w:pPr>
              <w:pStyle w:val="CETBodytext"/>
              <w:ind w:right="-1"/>
              <w:rPr>
                <w:lang w:val="en-GB"/>
              </w:rPr>
            </w:pPr>
          </w:p>
        </w:tc>
      </w:tr>
      <w:tr w:rsidR="0000279A" w:rsidRPr="00B57B36" w14:paraId="22A7DD86" w14:textId="218D1829" w:rsidTr="00CB11C8">
        <w:tc>
          <w:tcPr>
            <w:tcW w:w="641" w:type="pct"/>
            <w:shd w:val="clear" w:color="auto" w:fill="FFFFFF"/>
          </w:tcPr>
          <w:p w14:paraId="722F0367" w14:textId="77777777" w:rsidR="00AB50BD" w:rsidRPr="00B57B36" w:rsidRDefault="00AB50BD" w:rsidP="00AB50BD">
            <w:pPr>
              <w:pStyle w:val="CETBodytext"/>
              <w:rPr>
                <w:lang w:val="en-GB"/>
              </w:rPr>
            </w:pPr>
          </w:p>
        </w:tc>
        <w:tc>
          <w:tcPr>
            <w:tcW w:w="563" w:type="pct"/>
            <w:shd w:val="clear" w:color="auto" w:fill="FFFFFF"/>
          </w:tcPr>
          <w:p w14:paraId="10A2808E" w14:textId="77777777" w:rsidR="00AB50BD" w:rsidRPr="00B57B36" w:rsidRDefault="00AB50BD" w:rsidP="00AB50BD">
            <w:pPr>
              <w:pStyle w:val="CETBodytext"/>
              <w:rPr>
                <w:lang w:val="en-GB"/>
              </w:rPr>
            </w:pPr>
            <w:r w:rsidRPr="007C1BAD">
              <w:rPr>
                <w:lang w:val="en-GB"/>
              </w:rPr>
              <w:t>WB</w:t>
            </w:r>
          </w:p>
        </w:tc>
        <w:tc>
          <w:tcPr>
            <w:tcW w:w="322" w:type="pct"/>
            <w:shd w:val="clear" w:color="auto" w:fill="FFFFFF"/>
          </w:tcPr>
          <w:p w14:paraId="65C8B6AF" w14:textId="4EDF998A" w:rsidR="00AB50BD" w:rsidRPr="00C136A9" w:rsidRDefault="00AB50BD" w:rsidP="00AB50BD">
            <w:pPr>
              <w:pStyle w:val="CETBodytext"/>
            </w:pPr>
            <w:r w:rsidRPr="00741DA1">
              <w:t>1.2</w:t>
            </w:r>
          </w:p>
        </w:tc>
        <w:tc>
          <w:tcPr>
            <w:tcW w:w="322" w:type="pct"/>
            <w:shd w:val="clear" w:color="auto" w:fill="FFFFFF"/>
          </w:tcPr>
          <w:p w14:paraId="5C75D4E8" w14:textId="73122D27" w:rsidR="00AB50BD" w:rsidRPr="00C136A9" w:rsidRDefault="00AB50BD" w:rsidP="00AB50BD">
            <w:pPr>
              <w:pStyle w:val="CETBodytext"/>
            </w:pPr>
            <w:r w:rsidRPr="00741DA1">
              <w:t>0.7</w:t>
            </w:r>
          </w:p>
        </w:tc>
        <w:tc>
          <w:tcPr>
            <w:tcW w:w="346" w:type="pct"/>
            <w:shd w:val="clear" w:color="auto" w:fill="FFFFFF"/>
          </w:tcPr>
          <w:p w14:paraId="426579BE" w14:textId="1B5B3232" w:rsidR="00AB50BD" w:rsidRPr="00C136A9" w:rsidRDefault="00AB50BD" w:rsidP="00AB50BD">
            <w:pPr>
              <w:pStyle w:val="CETBodytext"/>
            </w:pPr>
            <w:r w:rsidRPr="00741DA1">
              <w:t>0.4</w:t>
            </w:r>
          </w:p>
        </w:tc>
        <w:tc>
          <w:tcPr>
            <w:tcW w:w="399" w:type="pct"/>
            <w:shd w:val="clear" w:color="auto" w:fill="FFFFFF"/>
          </w:tcPr>
          <w:p w14:paraId="05A1079C" w14:textId="30EE55FC" w:rsidR="00AB50BD" w:rsidRPr="007C1BAD" w:rsidRDefault="00AB50BD" w:rsidP="00AB50BD">
            <w:pPr>
              <w:pStyle w:val="CETBodytext"/>
              <w:rPr>
                <w:lang w:val="en-GB"/>
              </w:rPr>
            </w:pPr>
            <w:r w:rsidRPr="00C136A9">
              <w:t>480</w:t>
            </w:r>
          </w:p>
        </w:tc>
        <w:tc>
          <w:tcPr>
            <w:tcW w:w="321" w:type="pct"/>
            <w:shd w:val="clear" w:color="auto" w:fill="FFFFFF"/>
          </w:tcPr>
          <w:p w14:paraId="5CD68C7E" w14:textId="7A890F11" w:rsidR="00AB50BD" w:rsidRPr="007C1BAD" w:rsidRDefault="00AB50BD" w:rsidP="00AB50BD">
            <w:pPr>
              <w:pStyle w:val="CETBodytext"/>
              <w:rPr>
                <w:lang w:val="en-GB"/>
              </w:rPr>
            </w:pPr>
            <w:r w:rsidRPr="00C136A9">
              <w:t>52</w:t>
            </w:r>
          </w:p>
        </w:tc>
        <w:tc>
          <w:tcPr>
            <w:tcW w:w="402" w:type="pct"/>
            <w:shd w:val="clear" w:color="auto" w:fill="FFFFFF"/>
          </w:tcPr>
          <w:p w14:paraId="452A7E0F" w14:textId="771401B3" w:rsidR="00AB50BD" w:rsidRPr="00B57B36" w:rsidRDefault="00AB50BD" w:rsidP="00AB50BD">
            <w:pPr>
              <w:pStyle w:val="CETBodytext"/>
              <w:rPr>
                <w:lang w:val="en-GB"/>
              </w:rPr>
            </w:pPr>
            <w:r w:rsidRPr="00C136A9">
              <w:t>26</w:t>
            </w:r>
          </w:p>
        </w:tc>
        <w:tc>
          <w:tcPr>
            <w:tcW w:w="402" w:type="pct"/>
            <w:shd w:val="clear" w:color="auto" w:fill="FFFFFF"/>
          </w:tcPr>
          <w:p w14:paraId="0A32E151" w14:textId="77777777" w:rsidR="00AB50BD" w:rsidRPr="007C1BAD" w:rsidRDefault="00AB50BD" w:rsidP="00AB50BD">
            <w:pPr>
              <w:pStyle w:val="CETBodytext"/>
              <w:ind w:right="-1"/>
              <w:rPr>
                <w:lang w:val="en-GB"/>
              </w:rPr>
            </w:pPr>
            <w:r>
              <w:rPr>
                <w:lang w:val="en-GB"/>
              </w:rPr>
              <w:t>8</w:t>
            </w:r>
            <w:r>
              <w:t>0</w:t>
            </w:r>
          </w:p>
        </w:tc>
        <w:tc>
          <w:tcPr>
            <w:tcW w:w="401" w:type="pct"/>
            <w:vMerge/>
            <w:shd w:val="clear" w:color="auto" w:fill="FFFFFF"/>
            <w:vAlign w:val="center"/>
          </w:tcPr>
          <w:p w14:paraId="3CE4A4C0" w14:textId="77777777" w:rsidR="00AB50BD" w:rsidRDefault="00AB50BD" w:rsidP="00AB50BD">
            <w:pPr>
              <w:pStyle w:val="CETBodytext"/>
              <w:ind w:right="-1"/>
              <w:rPr>
                <w:lang w:val="en-GB"/>
              </w:rPr>
            </w:pPr>
          </w:p>
        </w:tc>
        <w:tc>
          <w:tcPr>
            <w:tcW w:w="881" w:type="pct"/>
            <w:vMerge/>
            <w:shd w:val="clear" w:color="auto" w:fill="FFFFFF"/>
          </w:tcPr>
          <w:p w14:paraId="2A913B02" w14:textId="77777777" w:rsidR="00AB50BD" w:rsidRDefault="00AB50BD" w:rsidP="00AB50BD">
            <w:pPr>
              <w:pStyle w:val="CETBodytext"/>
              <w:ind w:right="-1"/>
              <w:rPr>
                <w:lang w:val="en-GB"/>
              </w:rPr>
            </w:pPr>
          </w:p>
        </w:tc>
      </w:tr>
      <w:tr w:rsidR="0000279A" w:rsidRPr="00B57B36" w14:paraId="6014EB65" w14:textId="7B49399F" w:rsidTr="00CB11C8">
        <w:tc>
          <w:tcPr>
            <w:tcW w:w="641" w:type="pct"/>
            <w:shd w:val="clear" w:color="auto" w:fill="FFFFFF"/>
          </w:tcPr>
          <w:p w14:paraId="1CEA1714" w14:textId="77777777" w:rsidR="00AB50BD" w:rsidRPr="00B57B36" w:rsidRDefault="00AB50BD" w:rsidP="00AB50BD">
            <w:pPr>
              <w:pStyle w:val="CETBodytext"/>
              <w:rPr>
                <w:lang w:val="en-GB"/>
              </w:rPr>
            </w:pPr>
            <w:r w:rsidRPr="007C1BAD">
              <w:rPr>
                <w:lang w:val="en-GB"/>
              </w:rPr>
              <w:t>Pellets</w:t>
            </w:r>
          </w:p>
        </w:tc>
        <w:tc>
          <w:tcPr>
            <w:tcW w:w="563" w:type="pct"/>
            <w:shd w:val="clear" w:color="auto" w:fill="FFFFFF"/>
          </w:tcPr>
          <w:p w14:paraId="5B8412FC" w14:textId="77777777" w:rsidR="00AB50BD" w:rsidRPr="00B57B36" w:rsidRDefault="00AB50BD" w:rsidP="00AB50BD">
            <w:pPr>
              <w:pStyle w:val="CETBodytext"/>
              <w:rPr>
                <w:lang w:val="en-GB"/>
              </w:rPr>
            </w:pPr>
            <w:r w:rsidRPr="007C1BAD">
              <w:rPr>
                <w:lang w:val="en-GB"/>
              </w:rPr>
              <w:t>PS</w:t>
            </w:r>
          </w:p>
        </w:tc>
        <w:tc>
          <w:tcPr>
            <w:tcW w:w="322" w:type="pct"/>
            <w:shd w:val="clear" w:color="auto" w:fill="FFFFFF"/>
          </w:tcPr>
          <w:p w14:paraId="053642BB" w14:textId="14A179EA" w:rsidR="00AB50BD" w:rsidRPr="00C136A9" w:rsidRDefault="00AB50BD" w:rsidP="00AB50BD">
            <w:pPr>
              <w:pStyle w:val="CETBodytext"/>
            </w:pPr>
            <w:r w:rsidRPr="00741DA1">
              <w:t>0.4</w:t>
            </w:r>
          </w:p>
        </w:tc>
        <w:tc>
          <w:tcPr>
            <w:tcW w:w="322" w:type="pct"/>
            <w:shd w:val="clear" w:color="auto" w:fill="FFFFFF"/>
          </w:tcPr>
          <w:p w14:paraId="4B8016ED" w14:textId="11CEC001" w:rsidR="00AB50BD" w:rsidRPr="00C136A9" w:rsidRDefault="00AB50BD" w:rsidP="00AB50BD">
            <w:pPr>
              <w:pStyle w:val="CETBodytext"/>
            </w:pPr>
            <w:r w:rsidRPr="00741DA1">
              <w:t>0.5</w:t>
            </w:r>
          </w:p>
        </w:tc>
        <w:tc>
          <w:tcPr>
            <w:tcW w:w="346" w:type="pct"/>
            <w:shd w:val="clear" w:color="auto" w:fill="FFFFFF"/>
          </w:tcPr>
          <w:p w14:paraId="55F629CB" w14:textId="43A8B078" w:rsidR="00AB50BD" w:rsidRPr="00C136A9" w:rsidRDefault="00AB50BD" w:rsidP="00AB50BD">
            <w:pPr>
              <w:pStyle w:val="CETBodytext"/>
            </w:pPr>
            <w:r w:rsidRPr="00741DA1">
              <w:t>0.6</w:t>
            </w:r>
          </w:p>
        </w:tc>
        <w:tc>
          <w:tcPr>
            <w:tcW w:w="399" w:type="pct"/>
            <w:shd w:val="clear" w:color="auto" w:fill="FFFFFF"/>
          </w:tcPr>
          <w:p w14:paraId="2ABFBF37" w14:textId="70039EF6" w:rsidR="00AB50BD" w:rsidRPr="007C1BAD" w:rsidRDefault="00AB50BD" w:rsidP="00AB50BD">
            <w:pPr>
              <w:pStyle w:val="CETBodytext"/>
              <w:rPr>
                <w:lang w:val="en-GB"/>
              </w:rPr>
            </w:pPr>
            <w:r w:rsidRPr="00C136A9">
              <w:t>60</w:t>
            </w:r>
          </w:p>
        </w:tc>
        <w:tc>
          <w:tcPr>
            <w:tcW w:w="321" w:type="pct"/>
            <w:shd w:val="clear" w:color="auto" w:fill="FFFFFF"/>
          </w:tcPr>
          <w:p w14:paraId="05E1AC79" w14:textId="60FE3F76" w:rsidR="00AB50BD" w:rsidRPr="007C1BAD" w:rsidRDefault="00AB50BD" w:rsidP="00AB50BD">
            <w:pPr>
              <w:pStyle w:val="CETBodytext"/>
              <w:rPr>
                <w:lang w:val="en-GB"/>
              </w:rPr>
            </w:pPr>
            <w:r w:rsidRPr="00C136A9">
              <w:t>60</w:t>
            </w:r>
          </w:p>
        </w:tc>
        <w:tc>
          <w:tcPr>
            <w:tcW w:w="402" w:type="pct"/>
            <w:shd w:val="clear" w:color="auto" w:fill="FFFFFF"/>
          </w:tcPr>
          <w:p w14:paraId="74D93AA4" w14:textId="14D56A6F" w:rsidR="00AB50BD" w:rsidRPr="00B57B36" w:rsidRDefault="00AB50BD" w:rsidP="00AB50BD">
            <w:pPr>
              <w:pStyle w:val="CETBodytext"/>
              <w:rPr>
                <w:lang w:val="en-GB"/>
              </w:rPr>
            </w:pPr>
            <w:r w:rsidRPr="00C136A9">
              <w:t>60</w:t>
            </w:r>
          </w:p>
        </w:tc>
        <w:tc>
          <w:tcPr>
            <w:tcW w:w="402" w:type="pct"/>
            <w:shd w:val="clear" w:color="auto" w:fill="FFFFFF"/>
          </w:tcPr>
          <w:p w14:paraId="4CAB9166" w14:textId="77777777" w:rsidR="00AB50BD" w:rsidRPr="007C1BAD" w:rsidRDefault="00AB50BD" w:rsidP="00AB50BD">
            <w:pPr>
              <w:pStyle w:val="CETBodytext"/>
              <w:ind w:right="-1"/>
              <w:rPr>
                <w:lang w:val="en-GB"/>
              </w:rPr>
            </w:pPr>
            <w:r>
              <w:rPr>
                <w:lang w:val="en-GB"/>
              </w:rPr>
              <w:t>8</w:t>
            </w:r>
            <w:r>
              <w:t>0</w:t>
            </w:r>
          </w:p>
        </w:tc>
        <w:tc>
          <w:tcPr>
            <w:tcW w:w="401" w:type="pct"/>
            <w:vMerge w:val="restart"/>
            <w:shd w:val="clear" w:color="auto" w:fill="FFFFFF"/>
            <w:vAlign w:val="center"/>
          </w:tcPr>
          <w:p w14:paraId="43347782" w14:textId="41363B0D" w:rsidR="00AB50BD" w:rsidRDefault="00AB50BD" w:rsidP="00AB50BD">
            <w:pPr>
              <w:pStyle w:val="CETBodytext"/>
              <w:ind w:right="-1"/>
              <w:rPr>
                <w:lang w:val="en-GB"/>
              </w:rPr>
            </w:pPr>
            <w:r w:rsidRPr="009C2FDC">
              <w:rPr>
                <w:lang w:val="en-GB"/>
              </w:rPr>
              <w:t>56.8</w:t>
            </w:r>
          </w:p>
        </w:tc>
        <w:tc>
          <w:tcPr>
            <w:tcW w:w="881" w:type="pct"/>
            <w:vMerge w:val="restart"/>
            <w:shd w:val="clear" w:color="auto" w:fill="FFFFFF"/>
          </w:tcPr>
          <w:p w14:paraId="4ED97BAF" w14:textId="3B923CE3" w:rsidR="00AB50BD" w:rsidRDefault="00AB50BD" w:rsidP="00AB50BD">
            <w:pPr>
              <w:pStyle w:val="CETBodytext"/>
              <w:ind w:right="-1"/>
              <w:rPr>
                <w:lang w:val="en-GB"/>
              </w:rPr>
            </w:pPr>
            <w:r>
              <w:rPr>
                <w:lang w:val="en-GB"/>
              </w:rPr>
              <w:t>(</w:t>
            </w:r>
            <w:proofErr w:type="spellStart"/>
            <w:r w:rsidRPr="00A84593">
              <w:rPr>
                <w:lang w:val="en-GB"/>
              </w:rPr>
              <w:t>PoliMI</w:t>
            </w:r>
            <w:proofErr w:type="spellEnd"/>
            <w:r w:rsidRPr="00A84593">
              <w:rPr>
                <w:lang w:val="en-GB"/>
              </w:rPr>
              <w:t xml:space="preserve"> AWARE, 2020</w:t>
            </w:r>
            <w:r>
              <w:rPr>
                <w:lang w:val="en-GB"/>
              </w:rPr>
              <w:t>)</w:t>
            </w:r>
          </w:p>
        </w:tc>
      </w:tr>
      <w:tr w:rsidR="0000279A" w:rsidRPr="00B57B36" w14:paraId="3793B685" w14:textId="61E81CC7" w:rsidTr="00CB11C8">
        <w:tc>
          <w:tcPr>
            <w:tcW w:w="641" w:type="pct"/>
            <w:shd w:val="clear" w:color="auto" w:fill="FFFFFF"/>
          </w:tcPr>
          <w:p w14:paraId="1D975A8F" w14:textId="77777777" w:rsidR="00AB50BD" w:rsidRPr="00B57B36" w:rsidRDefault="00AB50BD" w:rsidP="00AB50BD">
            <w:pPr>
              <w:pStyle w:val="CETBodytext"/>
              <w:rPr>
                <w:lang w:val="en-GB"/>
              </w:rPr>
            </w:pPr>
          </w:p>
        </w:tc>
        <w:tc>
          <w:tcPr>
            <w:tcW w:w="563" w:type="pct"/>
            <w:shd w:val="clear" w:color="auto" w:fill="FFFFFF"/>
          </w:tcPr>
          <w:p w14:paraId="5279E3C2" w14:textId="77777777" w:rsidR="00AB50BD" w:rsidRPr="00B57B36" w:rsidRDefault="00AB50BD" w:rsidP="00AB50BD">
            <w:pPr>
              <w:pStyle w:val="CETBodytext"/>
              <w:rPr>
                <w:lang w:val="en-GB"/>
              </w:rPr>
            </w:pPr>
            <w:r w:rsidRPr="007C1BAD">
              <w:rPr>
                <w:lang w:val="en-GB"/>
              </w:rPr>
              <w:t>PB</w:t>
            </w:r>
          </w:p>
        </w:tc>
        <w:tc>
          <w:tcPr>
            <w:tcW w:w="322" w:type="pct"/>
            <w:shd w:val="clear" w:color="auto" w:fill="FFFFFF"/>
          </w:tcPr>
          <w:p w14:paraId="75BC5814" w14:textId="3986B7B9" w:rsidR="00AB50BD" w:rsidRPr="00C136A9" w:rsidRDefault="00AB50BD" w:rsidP="00AB50BD">
            <w:pPr>
              <w:pStyle w:val="CETBodytext"/>
            </w:pPr>
            <w:r w:rsidRPr="00741DA1">
              <w:t>0.1</w:t>
            </w:r>
          </w:p>
        </w:tc>
        <w:tc>
          <w:tcPr>
            <w:tcW w:w="322" w:type="pct"/>
            <w:shd w:val="clear" w:color="auto" w:fill="FFFFFF"/>
          </w:tcPr>
          <w:p w14:paraId="2DC016A5" w14:textId="0042FCAB" w:rsidR="00AB50BD" w:rsidRPr="00C136A9" w:rsidRDefault="00AB50BD" w:rsidP="00AB50BD">
            <w:pPr>
              <w:pStyle w:val="CETBodytext"/>
            </w:pPr>
            <w:r w:rsidRPr="00741DA1">
              <w:t>0.1</w:t>
            </w:r>
          </w:p>
        </w:tc>
        <w:tc>
          <w:tcPr>
            <w:tcW w:w="346" w:type="pct"/>
            <w:shd w:val="clear" w:color="auto" w:fill="FFFFFF"/>
          </w:tcPr>
          <w:p w14:paraId="69FC2029" w14:textId="24E3D209" w:rsidR="00AB50BD" w:rsidRPr="00C136A9" w:rsidRDefault="00AB50BD" w:rsidP="00AB50BD">
            <w:pPr>
              <w:pStyle w:val="CETBodytext"/>
            </w:pPr>
            <w:r w:rsidRPr="00741DA1">
              <w:t>0.2</w:t>
            </w:r>
          </w:p>
        </w:tc>
        <w:tc>
          <w:tcPr>
            <w:tcW w:w="399" w:type="pct"/>
            <w:shd w:val="clear" w:color="auto" w:fill="FFFFFF"/>
          </w:tcPr>
          <w:p w14:paraId="554DE3E0" w14:textId="71D74197" w:rsidR="00AB50BD" w:rsidRPr="007C1BAD" w:rsidRDefault="00AB50BD" w:rsidP="00AB50BD">
            <w:pPr>
              <w:pStyle w:val="CETBodytext"/>
              <w:rPr>
                <w:lang w:val="en-GB"/>
              </w:rPr>
            </w:pPr>
            <w:r w:rsidRPr="00C136A9">
              <w:t>60</w:t>
            </w:r>
          </w:p>
        </w:tc>
        <w:tc>
          <w:tcPr>
            <w:tcW w:w="321" w:type="pct"/>
            <w:shd w:val="clear" w:color="auto" w:fill="FFFFFF"/>
          </w:tcPr>
          <w:p w14:paraId="0E9A8049" w14:textId="5448B6D8" w:rsidR="00AB50BD" w:rsidRPr="007C1BAD" w:rsidRDefault="00AB50BD" w:rsidP="00AB50BD">
            <w:pPr>
              <w:pStyle w:val="CETBodytext"/>
              <w:rPr>
                <w:lang w:val="en-GB"/>
              </w:rPr>
            </w:pPr>
            <w:r w:rsidRPr="00C136A9">
              <w:t>34</w:t>
            </w:r>
          </w:p>
        </w:tc>
        <w:tc>
          <w:tcPr>
            <w:tcW w:w="402" w:type="pct"/>
            <w:shd w:val="clear" w:color="auto" w:fill="FFFFFF"/>
          </w:tcPr>
          <w:p w14:paraId="29237214" w14:textId="049B6AB1" w:rsidR="00AB50BD" w:rsidRPr="00B57B36" w:rsidRDefault="00AB50BD" w:rsidP="00AB50BD">
            <w:pPr>
              <w:pStyle w:val="CETBodytext"/>
              <w:rPr>
                <w:lang w:val="en-GB"/>
              </w:rPr>
            </w:pPr>
            <w:r w:rsidRPr="00C136A9">
              <w:t>19</w:t>
            </w:r>
          </w:p>
        </w:tc>
        <w:tc>
          <w:tcPr>
            <w:tcW w:w="402" w:type="pct"/>
            <w:shd w:val="clear" w:color="auto" w:fill="FFFFFF"/>
          </w:tcPr>
          <w:p w14:paraId="4FDC329F" w14:textId="77777777" w:rsidR="00AB50BD" w:rsidRPr="007C1BAD" w:rsidRDefault="00AB50BD" w:rsidP="00AB50BD">
            <w:pPr>
              <w:pStyle w:val="CETBodytext"/>
              <w:ind w:right="-1"/>
              <w:rPr>
                <w:lang w:val="en-GB"/>
              </w:rPr>
            </w:pPr>
            <w:r>
              <w:rPr>
                <w:lang w:val="en-GB"/>
              </w:rPr>
              <w:t>8</w:t>
            </w:r>
            <w:r>
              <w:t>0</w:t>
            </w:r>
          </w:p>
        </w:tc>
        <w:tc>
          <w:tcPr>
            <w:tcW w:w="401" w:type="pct"/>
            <w:vMerge/>
            <w:shd w:val="clear" w:color="auto" w:fill="FFFFFF"/>
            <w:vAlign w:val="center"/>
          </w:tcPr>
          <w:p w14:paraId="20A4EF36" w14:textId="77777777" w:rsidR="00AB50BD" w:rsidRDefault="00AB50BD" w:rsidP="00AB50BD">
            <w:pPr>
              <w:pStyle w:val="CETBodytext"/>
              <w:ind w:right="-1"/>
              <w:rPr>
                <w:lang w:val="en-GB"/>
              </w:rPr>
            </w:pPr>
          </w:p>
        </w:tc>
        <w:tc>
          <w:tcPr>
            <w:tcW w:w="881" w:type="pct"/>
            <w:vMerge/>
            <w:shd w:val="clear" w:color="auto" w:fill="FFFFFF"/>
          </w:tcPr>
          <w:p w14:paraId="7279BA30" w14:textId="77777777" w:rsidR="00AB50BD" w:rsidRDefault="00AB50BD" w:rsidP="00AB50BD">
            <w:pPr>
              <w:pStyle w:val="CETBodytext"/>
              <w:ind w:right="-1"/>
              <w:rPr>
                <w:lang w:val="en-GB"/>
              </w:rPr>
            </w:pPr>
          </w:p>
        </w:tc>
      </w:tr>
      <w:tr w:rsidR="0000279A" w:rsidRPr="00B57B36" w14:paraId="124528B2" w14:textId="58A46DFA" w:rsidTr="00CB11C8">
        <w:tc>
          <w:tcPr>
            <w:tcW w:w="641" w:type="pct"/>
            <w:shd w:val="clear" w:color="auto" w:fill="FFFFFF"/>
          </w:tcPr>
          <w:p w14:paraId="73797968" w14:textId="70C40EB2" w:rsidR="0000279A" w:rsidRPr="00B57B36" w:rsidRDefault="0000279A" w:rsidP="0000279A">
            <w:pPr>
              <w:pStyle w:val="CETBodytext"/>
              <w:rPr>
                <w:lang w:val="en-GB"/>
              </w:rPr>
            </w:pPr>
            <w:r>
              <w:rPr>
                <w:lang w:val="en-GB"/>
              </w:rPr>
              <w:t>Pellet (5star)</w:t>
            </w:r>
          </w:p>
        </w:tc>
        <w:tc>
          <w:tcPr>
            <w:tcW w:w="563" w:type="pct"/>
            <w:shd w:val="clear" w:color="auto" w:fill="FFFFFF"/>
          </w:tcPr>
          <w:p w14:paraId="163370D6" w14:textId="16F45DEB" w:rsidR="0000279A" w:rsidRPr="007C1BAD" w:rsidRDefault="0000279A" w:rsidP="0000279A">
            <w:pPr>
              <w:pStyle w:val="CETBodytext"/>
              <w:rPr>
                <w:lang w:val="en-GB"/>
              </w:rPr>
            </w:pPr>
            <w:r w:rsidRPr="007C1BAD">
              <w:rPr>
                <w:lang w:val="en-GB"/>
              </w:rPr>
              <w:t>PS</w:t>
            </w:r>
          </w:p>
        </w:tc>
        <w:tc>
          <w:tcPr>
            <w:tcW w:w="990" w:type="pct"/>
            <w:gridSpan w:val="3"/>
            <w:shd w:val="clear" w:color="auto" w:fill="FFFFFF"/>
          </w:tcPr>
          <w:p w14:paraId="00EB55CB" w14:textId="41393ECE" w:rsidR="0000279A" w:rsidRPr="00F55A1D" w:rsidRDefault="0000279A" w:rsidP="0000279A">
            <w:pPr>
              <w:pStyle w:val="CETBodytext"/>
              <w:jc w:val="center"/>
            </w:pPr>
            <w:r w:rsidRPr="00774206">
              <w:t>10.6</w:t>
            </w:r>
          </w:p>
        </w:tc>
        <w:tc>
          <w:tcPr>
            <w:tcW w:w="1122" w:type="pct"/>
            <w:gridSpan w:val="3"/>
            <w:shd w:val="clear" w:color="auto" w:fill="FFFFFF"/>
          </w:tcPr>
          <w:p w14:paraId="19F41CA3" w14:textId="2F0228FE" w:rsidR="0000279A" w:rsidRPr="007C1BAD" w:rsidRDefault="0000279A" w:rsidP="0000279A">
            <w:pPr>
              <w:pStyle w:val="CETBodytext"/>
              <w:jc w:val="center"/>
              <w:rPr>
                <w:lang w:val="en-GB"/>
              </w:rPr>
            </w:pPr>
            <w:r w:rsidRPr="00F55A1D">
              <w:t>46.54</w:t>
            </w:r>
          </w:p>
        </w:tc>
        <w:tc>
          <w:tcPr>
            <w:tcW w:w="402" w:type="pct"/>
            <w:shd w:val="clear" w:color="auto" w:fill="FFFFFF"/>
          </w:tcPr>
          <w:p w14:paraId="44FB4F8A" w14:textId="1ECBD1C3" w:rsidR="0000279A" w:rsidRDefault="0000279A" w:rsidP="0000279A">
            <w:pPr>
              <w:pStyle w:val="CETBodytext"/>
              <w:ind w:right="-1"/>
              <w:rPr>
                <w:lang w:val="en-GB"/>
              </w:rPr>
            </w:pPr>
            <w:r>
              <w:rPr>
                <w:lang w:val="en-GB"/>
              </w:rPr>
              <w:t>66.8</w:t>
            </w:r>
          </w:p>
        </w:tc>
        <w:tc>
          <w:tcPr>
            <w:tcW w:w="401" w:type="pct"/>
            <w:vMerge/>
            <w:shd w:val="clear" w:color="auto" w:fill="FFFFFF"/>
          </w:tcPr>
          <w:p w14:paraId="371BED8E" w14:textId="77777777" w:rsidR="0000279A" w:rsidRDefault="0000279A" w:rsidP="0000279A">
            <w:pPr>
              <w:pStyle w:val="CETBodytext"/>
              <w:ind w:right="-1"/>
              <w:rPr>
                <w:lang w:val="en-GB"/>
              </w:rPr>
            </w:pPr>
          </w:p>
        </w:tc>
        <w:tc>
          <w:tcPr>
            <w:tcW w:w="881" w:type="pct"/>
            <w:vMerge/>
            <w:shd w:val="clear" w:color="auto" w:fill="FFFFFF"/>
          </w:tcPr>
          <w:p w14:paraId="45754357" w14:textId="77777777" w:rsidR="0000279A" w:rsidRDefault="0000279A" w:rsidP="0000279A">
            <w:pPr>
              <w:pStyle w:val="CETBodytext"/>
              <w:ind w:right="-1"/>
              <w:rPr>
                <w:lang w:val="en-GB"/>
              </w:rPr>
            </w:pPr>
          </w:p>
        </w:tc>
      </w:tr>
      <w:tr w:rsidR="0000279A" w:rsidRPr="00B57B36" w14:paraId="7DDBAAF9" w14:textId="136CCFDC" w:rsidTr="00CB11C8">
        <w:tc>
          <w:tcPr>
            <w:tcW w:w="641" w:type="pct"/>
            <w:shd w:val="clear" w:color="auto" w:fill="FFFFFF"/>
          </w:tcPr>
          <w:p w14:paraId="0DF027A6" w14:textId="77777777" w:rsidR="0000279A" w:rsidRPr="00B57B36" w:rsidRDefault="0000279A" w:rsidP="0000279A">
            <w:pPr>
              <w:pStyle w:val="CETBodytext"/>
              <w:rPr>
                <w:lang w:val="en-GB"/>
              </w:rPr>
            </w:pPr>
          </w:p>
        </w:tc>
        <w:tc>
          <w:tcPr>
            <w:tcW w:w="563" w:type="pct"/>
            <w:shd w:val="clear" w:color="auto" w:fill="FFFFFF"/>
          </w:tcPr>
          <w:p w14:paraId="512DCBBE" w14:textId="37C3BD37" w:rsidR="0000279A" w:rsidRPr="007C1BAD" w:rsidRDefault="0000279A" w:rsidP="0000279A">
            <w:pPr>
              <w:pStyle w:val="CETBodytext"/>
              <w:rPr>
                <w:lang w:val="en-GB"/>
              </w:rPr>
            </w:pPr>
            <w:r w:rsidRPr="007C1BAD">
              <w:rPr>
                <w:lang w:val="en-GB"/>
              </w:rPr>
              <w:t>PB</w:t>
            </w:r>
          </w:p>
        </w:tc>
        <w:tc>
          <w:tcPr>
            <w:tcW w:w="990" w:type="pct"/>
            <w:gridSpan w:val="3"/>
            <w:shd w:val="clear" w:color="auto" w:fill="FFFFFF"/>
          </w:tcPr>
          <w:p w14:paraId="5DCFEE1B" w14:textId="4C2B3B61" w:rsidR="0000279A" w:rsidRPr="00F55A1D" w:rsidRDefault="0000279A" w:rsidP="0000279A">
            <w:pPr>
              <w:pStyle w:val="CETBodytext"/>
              <w:jc w:val="center"/>
            </w:pPr>
            <w:r w:rsidRPr="00774206">
              <w:t>2.3</w:t>
            </w:r>
          </w:p>
        </w:tc>
        <w:tc>
          <w:tcPr>
            <w:tcW w:w="1122" w:type="pct"/>
            <w:gridSpan w:val="3"/>
            <w:shd w:val="clear" w:color="auto" w:fill="FFFFFF"/>
          </w:tcPr>
          <w:p w14:paraId="1D668EFE" w14:textId="5725BCFC" w:rsidR="0000279A" w:rsidRPr="007C1BAD" w:rsidRDefault="0000279A" w:rsidP="0000279A">
            <w:pPr>
              <w:pStyle w:val="CETBodytext"/>
              <w:jc w:val="center"/>
              <w:rPr>
                <w:lang w:val="en-GB"/>
              </w:rPr>
            </w:pPr>
            <w:r w:rsidRPr="00F55A1D">
              <w:t>8.594</w:t>
            </w:r>
          </w:p>
        </w:tc>
        <w:tc>
          <w:tcPr>
            <w:tcW w:w="402" w:type="pct"/>
            <w:shd w:val="clear" w:color="auto" w:fill="FFFFFF"/>
          </w:tcPr>
          <w:p w14:paraId="02886897" w14:textId="2C6C9DDF" w:rsidR="0000279A" w:rsidRDefault="0000279A" w:rsidP="0000279A">
            <w:pPr>
              <w:pStyle w:val="CETBodytext"/>
              <w:ind w:right="-1"/>
              <w:rPr>
                <w:lang w:val="en-GB"/>
              </w:rPr>
            </w:pPr>
            <w:r>
              <w:rPr>
                <w:lang w:val="en-GB"/>
              </w:rPr>
              <w:t>80</w:t>
            </w:r>
          </w:p>
        </w:tc>
        <w:tc>
          <w:tcPr>
            <w:tcW w:w="401" w:type="pct"/>
            <w:vMerge/>
            <w:shd w:val="clear" w:color="auto" w:fill="FFFFFF"/>
          </w:tcPr>
          <w:p w14:paraId="506EF999" w14:textId="77777777" w:rsidR="0000279A" w:rsidRDefault="0000279A" w:rsidP="0000279A">
            <w:pPr>
              <w:pStyle w:val="CETBodytext"/>
              <w:ind w:right="-1"/>
              <w:rPr>
                <w:lang w:val="en-GB"/>
              </w:rPr>
            </w:pPr>
          </w:p>
        </w:tc>
        <w:tc>
          <w:tcPr>
            <w:tcW w:w="881" w:type="pct"/>
            <w:vMerge/>
            <w:shd w:val="clear" w:color="auto" w:fill="FFFFFF"/>
          </w:tcPr>
          <w:p w14:paraId="4C6A31C8" w14:textId="77777777" w:rsidR="0000279A" w:rsidRDefault="0000279A" w:rsidP="0000279A">
            <w:pPr>
              <w:pStyle w:val="CETBodytext"/>
              <w:ind w:right="-1"/>
              <w:rPr>
                <w:lang w:val="en-GB"/>
              </w:rPr>
            </w:pPr>
          </w:p>
        </w:tc>
      </w:tr>
      <w:tr w:rsidR="0000279A" w:rsidRPr="00B57B36" w14:paraId="2694F490" w14:textId="5C244CEA" w:rsidTr="00CB11C8">
        <w:tc>
          <w:tcPr>
            <w:tcW w:w="641" w:type="pct"/>
            <w:shd w:val="clear" w:color="auto" w:fill="FFFFFF"/>
          </w:tcPr>
          <w:p w14:paraId="38CDDF90" w14:textId="77777777" w:rsidR="0000279A" w:rsidRPr="00B57B36" w:rsidRDefault="0000279A" w:rsidP="0000279A">
            <w:pPr>
              <w:pStyle w:val="CETBodytext"/>
              <w:rPr>
                <w:lang w:val="en-GB"/>
              </w:rPr>
            </w:pPr>
            <w:r w:rsidRPr="007C1BAD">
              <w:rPr>
                <w:lang w:val="en-GB"/>
              </w:rPr>
              <w:t>LPG</w:t>
            </w:r>
          </w:p>
        </w:tc>
        <w:tc>
          <w:tcPr>
            <w:tcW w:w="563" w:type="pct"/>
            <w:shd w:val="clear" w:color="auto" w:fill="FFFFFF"/>
          </w:tcPr>
          <w:p w14:paraId="4D066995" w14:textId="77777777" w:rsidR="0000279A" w:rsidRPr="00B57B36" w:rsidRDefault="0000279A" w:rsidP="0000279A">
            <w:pPr>
              <w:pStyle w:val="CETBodytext"/>
              <w:rPr>
                <w:lang w:val="en-GB"/>
              </w:rPr>
            </w:pPr>
            <w:r w:rsidRPr="007C1BAD">
              <w:rPr>
                <w:lang w:val="en-GB"/>
              </w:rPr>
              <w:t>FP</w:t>
            </w:r>
          </w:p>
        </w:tc>
        <w:tc>
          <w:tcPr>
            <w:tcW w:w="990" w:type="pct"/>
            <w:gridSpan w:val="3"/>
            <w:shd w:val="clear" w:color="auto" w:fill="FFFFFF"/>
          </w:tcPr>
          <w:p w14:paraId="256DADC5" w14:textId="3191CA36" w:rsidR="0000279A" w:rsidRDefault="0000279A" w:rsidP="0000279A">
            <w:pPr>
              <w:pStyle w:val="CETBodytext"/>
              <w:jc w:val="center"/>
              <w:rPr>
                <w:lang w:val="en-GB"/>
              </w:rPr>
            </w:pPr>
            <w:r w:rsidRPr="00774206">
              <w:t>10.2</w:t>
            </w:r>
          </w:p>
        </w:tc>
        <w:tc>
          <w:tcPr>
            <w:tcW w:w="1122" w:type="pct"/>
            <w:gridSpan w:val="3"/>
            <w:shd w:val="clear" w:color="auto" w:fill="FFFFFF"/>
          </w:tcPr>
          <w:p w14:paraId="0A0D63E8" w14:textId="69F2DF4E" w:rsidR="0000279A" w:rsidRPr="00B57B36" w:rsidRDefault="0000279A" w:rsidP="0000279A">
            <w:pPr>
              <w:pStyle w:val="CETBodytext"/>
              <w:jc w:val="center"/>
              <w:rPr>
                <w:lang w:val="en-GB"/>
              </w:rPr>
            </w:pPr>
            <w:r>
              <w:rPr>
                <w:lang w:val="en-GB"/>
              </w:rPr>
              <w:t>0.2</w:t>
            </w:r>
          </w:p>
        </w:tc>
        <w:tc>
          <w:tcPr>
            <w:tcW w:w="402" w:type="pct"/>
            <w:shd w:val="clear" w:color="auto" w:fill="FFFFFF"/>
          </w:tcPr>
          <w:p w14:paraId="3EBE688A" w14:textId="77777777" w:rsidR="0000279A" w:rsidRPr="007C1BAD" w:rsidRDefault="0000279A" w:rsidP="0000279A">
            <w:pPr>
              <w:pStyle w:val="CETBodytext"/>
              <w:ind w:right="-1"/>
              <w:rPr>
                <w:lang w:val="en-GB"/>
              </w:rPr>
            </w:pPr>
            <w:r w:rsidRPr="00212196">
              <w:rPr>
                <w:lang w:val="en-GB"/>
              </w:rPr>
              <w:t>39</w:t>
            </w:r>
            <w:r>
              <w:rPr>
                <w:lang w:val="en-GB"/>
              </w:rPr>
              <w:t>.</w:t>
            </w:r>
            <w:r w:rsidRPr="00212196">
              <w:rPr>
                <w:lang w:val="en-GB"/>
              </w:rPr>
              <w:t>9</w:t>
            </w:r>
          </w:p>
        </w:tc>
        <w:tc>
          <w:tcPr>
            <w:tcW w:w="401" w:type="pct"/>
            <w:vMerge w:val="restart"/>
            <w:shd w:val="clear" w:color="auto" w:fill="FFFFFF"/>
          </w:tcPr>
          <w:p w14:paraId="77A7A078" w14:textId="1F7ED36F" w:rsidR="0000279A" w:rsidRPr="00212196" w:rsidRDefault="0000279A" w:rsidP="0000279A">
            <w:pPr>
              <w:pStyle w:val="CETBodytext"/>
              <w:ind w:right="-1"/>
              <w:rPr>
                <w:lang w:val="en-GB"/>
              </w:rPr>
            </w:pPr>
            <w:r w:rsidRPr="009C2FDC">
              <w:rPr>
                <w:lang w:val="en-GB"/>
              </w:rPr>
              <w:t>94.83</w:t>
            </w:r>
          </w:p>
        </w:tc>
        <w:tc>
          <w:tcPr>
            <w:tcW w:w="881" w:type="pct"/>
            <w:vMerge w:val="restart"/>
            <w:shd w:val="clear" w:color="auto" w:fill="FFFFFF"/>
          </w:tcPr>
          <w:p w14:paraId="74C41846" w14:textId="03182799" w:rsidR="0000279A" w:rsidRPr="00212196" w:rsidRDefault="0000279A" w:rsidP="0000279A">
            <w:pPr>
              <w:pStyle w:val="CETBodytext"/>
              <w:ind w:right="-1"/>
              <w:rPr>
                <w:lang w:val="en-GB"/>
              </w:rPr>
            </w:pPr>
            <w:r>
              <w:rPr>
                <w:lang w:val="en-GB"/>
              </w:rPr>
              <w:t>(</w:t>
            </w:r>
            <w:r w:rsidRPr="00B33734">
              <w:rPr>
                <w:lang w:val="en-GB"/>
              </w:rPr>
              <w:t>Martín-Gamboa</w:t>
            </w:r>
            <w:r>
              <w:rPr>
                <w:lang w:val="en-GB"/>
              </w:rPr>
              <w:t xml:space="preserve"> et al., 2020)</w:t>
            </w:r>
          </w:p>
        </w:tc>
      </w:tr>
      <w:tr w:rsidR="0000279A" w:rsidRPr="00B57B36" w14:paraId="176B02E6" w14:textId="31DD4CED" w:rsidTr="00CB11C8">
        <w:tc>
          <w:tcPr>
            <w:tcW w:w="641" w:type="pct"/>
            <w:shd w:val="clear" w:color="auto" w:fill="FFFFFF"/>
          </w:tcPr>
          <w:p w14:paraId="3B76F574" w14:textId="77777777" w:rsidR="0000279A" w:rsidRPr="00B57B36" w:rsidRDefault="0000279A" w:rsidP="0000279A">
            <w:pPr>
              <w:pStyle w:val="CETBodytext"/>
              <w:ind w:right="-1"/>
              <w:rPr>
                <w:rFonts w:cs="Arial"/>
                <w:szCs w:val="18"/>
                <w:lang w:val="en-GB"/>
              </w:rPr>
            </w:pPr>
          </w:p>
        </w:tc>
        <w:tc>
          <w:tcPr>
            <w:tcW w:w="563" w:type="pct"/>
            <w:shd w:val="clear" w:color="auto" w:fill="FFFFFF"/>
          </w:tcPr>
          <w:p w14:paraId="5DB3455F" w14:textId="77777777" w:rsidR="0000279A" w:rsidRPr="00B57B36" w:rsidRDefault="0000279A" w:rsidP="0000279A">
            <w:pPr>
              <w:pStyle w:val="CETBodytext"/>
              <w:ind w:right="-1"/>
              <w:rPr>
                <w:rFonts w:cs="Arial"/>
                <w:szCs w:val="18"/>
                <w:lang w:val="en-GB"/>
              </w:rPr>
            </w:pPr>
            <w:r w:rsidRPr="007C1BAD">
              <w:rPr>
                <w:lang w:val="en-GB"/>
              </w:rPr>
              <w:t>B</w:t>
            </w:r>
          </w:p>
        </w:tc>
        <w:tc>
          <w:tcPr>
            <w:tcW w:w="990" w:type="pct"/>
            <w:gridSpan w:val="3"/>
            <w:shd w:val="clear" w:color="auto" w:fill="FFFFFF"/>
          </w:tcPr>
          <w:p w14:paraId="79FFA0F2" w14:textId="41074884" w:rsidR="0000279A" w:rsidRPr="007C1BAD" w:rsidRDefault="0000279A" w:rsidP="0000279A">
            <w:pPr>
              <w:pStyle w:val="CETBodytext"/>
              <w:ind w:right="-1"/>
              <w:jc w:val="center"/>
              <w:rPr>
                <w:lang w:val="en-GB"/>
              </w:rPr>
            </w:pPr>
            <w:r w:rsidRPr="00774206">
              <w:t>2.2</w:t>
            </w:r>
          </w:p>
        </w:tc>
        <w:tc>
          <w:tcPr>
            <w:tcW w:w="1122" w:type="pct"/>
            <w:gridSpan w:val="3"/>
            <w:shd w:val="clear" w:color="auto" w:fill="FFFFFF"/>
          </w:tcPr>
          <w:p w14:paraId="41792C5F" w14:textId="3A5F6DAF" w:rsidR="0000279A" w:rsidRPr="00B57B36" w:rsidRDefault="0000279A" w:rsidP="0000279A">
            <w:pPr>
              <w:pStyle w:val="CETBodytext"/>
              <w:ind w:right="-1"/>
              <w:jc w:val="center"/>
              <w:rPr>
                <w:rFonts w:cs="Arial"/>
                <w:szCs w:val="18"/>
                <w:lang w:val="en-GB"/>
              </w:rPr>
            </w:pPr>
            <w:r w:rsidRPr="007C1BAD">
              <w:rPr>
                <w:lang w:val="en-GB"/>
              </w:rPr>
              <w:t>0</w:t>
            </w:r>
            <w:r>
              <w:rPr>
                <w:lang w:val="en-GB"/>
              </w:rPr>
              <w:t>.</w:t>
            </w:r>
            <w:r w:rsidRPr="007C1BAD">
              <w:rPr>
                <w:lang w:val="en-GB"/>
              </w:rPr>
              <w:t>2</w:t>
            </w:r>
          </w:p>
        </w:tc>
        <w:tc>
          <w:tcPr>
            <w:tcW w:w="402" w:type="pct"/>
            <w:shd w:val="clear" w:color="auto" w:fill="FFFFFF"/>
          </w:tcPr>
          <w:p w14:paraId="60A810B3" w14:textId="77777777" w:rsidR="0000279A" w:rsidRPr="00B57B36" w:rsidRDefault="0000279A" w:rsidP="0000279A">
            <w:pPr>
              <w:pStyle w:val="CETBodytext"/>
              <w:ind w:right="-1"/>
              <w:rPr>
                <w:rFonts w:cs="Arial"/>
                <w:szCs w:val="18"/>
                <w:lang w:val="en-GB"/>
              </w:rPr>
            </w:pPr>
            <w:r>
              <w:rPr>
                <w:rFonts w:cs="Arial"/>
                <w:szCs w:val="18"/>
                <w:lang w:val="en-GB"/>
              </w:rPr>
              <w:t>50</w:t>
            </w:r>
          </w:p>
        </w:tc>
        <w:tc>
          <w:tcPr>
            <w:tcW w:w="401" w:type="pct"/>
            <w:vMerge/>
            <w:shd w:val="clear" w:color="auto" w:fill="FFFFFF"/>
          </w:tcPr>
          <w:p w14:paraId="11DCF3CC" w14:textId="77777777" w:rsidR="0000279A" w:rsidRDefault="0000279A" w:rsidP="0000279A">
            <w:pPr>
              <w:pStyle w:val="CETBodytext"/>
              <w:ind w:right="-1"/>
              <w:rPr>
                <w:rFonts w:cs="Arial"/>
                <w:szCs w:val="18"/>
                <w:lang w:val="en-GB"/>
              </w:rPr>
            </w:pPr>
          </w:p>
        </w:tc>
        <w:tc>
          <w:tcPr>
            <w:tcW w:w="881" w:type="pct"/>
            <w:vMerge/>
            <w:shd w:val="clear" w:color="auto" w:fill="FFFFFF"/>
          </w:tcPr>
          <w:p w14:paraId="64818876" w14:textId="77777777" w:rsidR="0000279A" w:rsidRDefault="0000279A" w:rsidP="0000279A">
            <w:pPr>
              <w:pStyle w:val="CETBodytext"/>
              <w:ind w:right="-1"/>
              <w:rPr>
                <w:rFonts w:cs="Arial"/>
                <w:szCs w:val="18"/>
                <w:lang w:val="en-GB"/>
              </w:rPr>
            </w:pPr>
          </w:p>
        </w:tc>
      </w:tr>
    </w:tbl>
    <w:p w14:paraId="103AAFCB" w14:textId="77777777" w:rsidR="00E14A93" w:rsidRDefault="00E14A93" w:rsidP="005B4F93">
      <w:pPr>
        <w:pStyle w:val="CETBodytext"/>
      </w:pPr>
    </w:p>
    <w:p w14:paraId="5650F08B" w14:textId="245E4FF7" w:rsidR="00827C41" w:rsidRDefault="00CE266F" w:rsidP="00827C41">
      <w:pPr>
        <w:pStyle w:val="CETHeading1"/>
        <w:tabs>
          <w:tab w:val="num" w:pos="360"/>
        </w:tabs>
        <w:rPr>
          <w:lang w:val="en-GB"/>
        </w:rPr>
      </w:pPr>
      <w:r>
        <w:rPr>
          <w:lang w:val="en-GB"/>
        </w:rPr>
        <w:t>Results and discussion</w:t>
      </w:r>
    </w:p>
    <w:p w14:paraId="0BCC4043" w14:textId="35B4735F" w:rsidR="00476380" w:rsidRPr="00476380" w:rsidRDefault="00476380" w:rsidP="00476380">
      <w:pPr>
        <w:pStyle w:val="CETheadingx"/>
        <w:rPr>
          <w:lang w:val="en-GB"/>
        </w:rPr>
      </w:pPr>
      <w:r>
        <w:t>F</w:t>
      </w:r>
      <w:r w:rsidRPr="00476380">
        <w:t xml:space="preserve">actors influencing the </w:t>
      </w:r>
      <w:r w:rsidR="00405C73">
        <w:t>primary emissions from</w:t>
      </w:r>
      <w:r w:rsidRPr="00476380">
        <w:t xml:space="preserve"> heating appliances</w:t>
      </w:r>
    </w:p>
    <w:p w14:paraId="17FB4F3E" w14:textId="26FF5C9C" w:rsidR="00A35A90" w:rsidRDefault="00BB2795" w:rsidP="00445C6D">
      <w:pPr>
        <w:pStyle w:val="CETBodytext"/>
        <w:rPr>
          <w:lang w:val="en-GB"/>
        </w:rPr>
      </w:pPr>
      <w:r>
        <w:rPr>
          <w:lang w:val="en-GB"/>
        </w:rPr>
        <w:t xml:space="preserve">Primary emissions </w:t>
      </w:r>
      <w:r w:rsidR="00BD48E9">
        <w:rPr>
          <w:lang w:val="en-GB"/>
        </w:rPr>
        <w:t>(e.g., PM, NOx)</w:t>
      </w:r>
      <w:r w:rsidR="000B1022">
        <w:rPr>
          <w:lang w:val="en-GB"/>
        </w:rPr>
        <w:t xml:space="preserve"> is </w:t>
      </w:r>
      <w:r w:rsidR="00BB1BC1">
        <w:rPr>
          <w:lang w:val="en-GB"/>
        </w:rPr>
        <w:t>a</w:t>
      </w:r>
      <w:r w:rsidR="000B1022">
        <w:rPr>
          <w:lang w:val="en-GB"/>
        </w:rPr>
        <w:t xml:space="preserve"> key factor </w:t>
      </w:r>
      <w:r w:rsidR="000B1022" w:rsidRPr="00607450">
        <w:rPr>
          <w:lang w:val="en-GB"/>
        </w:rPr>
        <w:t>in the investigation of the sustainability of heating fuel alternatives.</w:t>
      </w:r>
      <w:r w:rsidR="000B1022">
        <w:rPr>
          <w:lang w:val="en-GB"/>
        </w:rPr>
        <w:t xml:space="preserve"> </w:t>
      </w:r>
      <w:r w:rsidR="00BB1BC1">
        <w:rPr>
          <w:lang w:val="en-GB"/>
        </w:rPr>
        <w:t xml:space="preserve">There are several factors </w:t>
      </w:r>
      <w:r w:rsidR="00445C6D" w:rsidRPr="00CF1AA4">
        <w:rPr>
          <w:lang w:val="en-GB"/>
        </w:rPr>
        <w:t>influencing the environmental and energy performance of the residential heating appliances</w:t>
      </w:r>
      <w:r w:rsidR="00BB1BC1">
        <w:rPr>
          <w:lang w:val="en-GB"/>
        </w:rPr>
        <w:t xml:space="preserve"> such as f</w:t>
      </w:r>
      <w:r w:rsidR="00445C6D" w:rsidRPr="00CF1AA4">
        <w:rPr>
          <w:lang w:val="en-GB"/>
        </w:rPr>
        <w:t>uel quality</w:t>
      </w:r>
      <w:r w:rsidR="00BB1BC1">
        <w:rPr>
          <w:lang w:val="en-GB"/>
        </w:rPr>
        <w:t>, a</w:t>
      </w:r>
      <w:r w:rsidR="00445C6D" w:rsidRPr="00CF1AA4">
        <w:rPr>
          <w:lang w:val="en-GB"/>
        </w:rPr>
        <w:t>ppliance construction details (air and fuel control possibility)</w:t>
      </w:r>
      <w:r w:rsidR="00BB1BC1">
        <w:rPr>
          <w:lang w:val="en-GB"/>
        </w:rPr>
        <w:t>, o</w:t>
      </w:r>
      <w:r w:rsidR="00445C6D" w:rsidRPr="00CF1AA4">
        <w:rPr>
          <w:lang w:val="en-GB"/>
        </w:rPr>
        <w:t>perating conditions (cold and hot start, nominal and partial load)</w:t>
      </w:r>
      <w:r w:rsidR="00BB1BC1">
        <w:rPr>
          <w:lang w:val="en-GB"/>
        </w:rPr>
        <w:t>, u</w:t>
      </w:r>
      <w:r w:rsidR="00445C6D" w:rsidRPr="00CF1AA4">
        <w:rPr>
          <w:lang w:val="en-GB"/>
        </w:rPr>
        <w:t xml:space="preserve">ser </w:t>
      </w:r>
      <w:proofErr w:type="spellStart"/>
      <w:r w:rsidR="00445C6D" w:rsidRPr="00CF1AA4">
        <w:rPr>
          <w:lang w:val="en-GB"/>
        </w:rPr>
        <w:t>behavior</w:t>
      </w:r>
      <w:proofErr w:type="spellEnd"/>
      <w:r w:rsidR="00445C6D" w:rsidRPr="00CF1AA4">
        <w:rPr>
          <w:lang w:val="en-GB"/>
        </w:rPr>
        <w:t xml:space="preserve"> (especially for manually fed appliances)</w:t>
      </w:r>
      <w:r w:rsidR="00BB1BC1">
        <w:rPr>
          <w:lang w:val="en-GB"/>
        </w:rPr>
        <w:t>,</w:t>
      </w:r>
      <w:r w:rsidR="00892D0E">
        <w:rPr>
          <w:lang w:val="en-GB"/>
        </w:rPr>
        <w:t xml:space="preserve"> as well as</w:t>
      </w:r>
      <w:r w:rsidR="00BB1BC1">
        <w:rPr>
          <w:lang w:val="en-GB"/>
        </w:rPr>
        <w:t xml:space="preserve"> a</w:t>
      </w:r>
      <w:r w:rsidR="00445C6D" w:rsidRPr="00CF1AA4">
        <w:rPr>
          <w:lang w:val="en-GB"/>
        </w:rPr>
        <w:t>ging (appliance and stack maintenance conditions)</w:t>
      </w:r>
      <w:r w:rsidR="003D7EEE">
        <w:rPr>
          <w:lang w:val="en-GB"/>
        </w:rPr>
        <w:t xml:space="preserve">. </w:t>
      </w:r>
      <w:r w:rsidR="00445C6D" w:rsidRPr="00F13373">
        <w:rPr>
          <w:lang w:val="en-GB"/>
        </w:rPr>
        <w:t>Many of the</w:t>
      </w:r>
      <w:r w:rsidR="00D0061C" w:rsidRPr="00F13373">
        <w:rPr>
          <w:lang w:val="en-GB"/>
        </w:rPr>
        <w:t xml:space="preserve">se </w:t>
      </w:r>
      <w:r w:rsidR="00445C6D" w:rsidRPr="00F13373">
        <w:rPr>
          <w:lang w:val="en-GB"/>
        </w:rPr>
        <w:t xml:space="preserve">factors have less to no effects on the environmental and energy performance of </w:t>
      </w:r>
      <w:r w:rsidR="006668BE" w:rsidRPr="00F13373">
        <w:rPr>
          <w:lang w:val="en-GB"/>
        </w:rPr>
        <w:t xml:space="preserve">gaseous fuel </w:t>
      </w:r>
      <w:r w:rsidR="00DE02F1" w:rsidRPr="00F13373">
        <w:rPr>
          <w:lang w:val="en-GB"/>
        </w:rPr>
        <w:t xml:space="preserve">(e.g., </w:t>
      </w:r>
      <w:r w:rsidR="00445C6D" w:rsidRPr="00F13373">
        <w:rPr>
          <w:lang w:val="en-GB"/>
        </w:rPr>
        <w:t>LPG</w:t>
      </w:r>
      <w:r w:rsidR="00DE02F1" w:rsidRPr="00F13373">
        <w:rPr>
          <w:lang w:val="en-GB"/>
        </w:rPr>
        <w:t>)</w:t>
      </w:r>
      <w:r w:rsidR="00445C6D" w:rsidRPr="00F13373">
        <w:rPr>
          <w:lang w:val="en-GB"/>
        </w:rPr>
        <w:t xml:space="preserve"> fed appliances due to negligible variations in fuel quality, premixed burners for low NOx and incomplete combustion product emissions, </w:t>
      </w:r>
      <w:r w:rsidR="00CA6486">
        <w:rPr>
          <w:lang w:val="en-GB"/>
        </w:rPr>
        <w:t xml:space="preserve">as well as </w:t>
      </w:r>
      <w:r w:rsidR="00445C6D" w:rsidRPr="00F13373">
        <w:rPr>
          <w:lang w:val="en-GB"/>
        </w:rPr>
        <w:t>less influence of transient operation by power modulation</w:t>
      </w:r>
      <w:r w:rsidR="00445C6D" w:rsidRPr="00CF1AA4">
        <w:rPr>
          <w:lang w:val="en-GB"/>
        </w:rPr>
        <w:t xml:space="preserve">. </w:t>
      </w:r>
      <w:r w:rsidR="002A7B5A">
        <w:rPr>
          <w:lang w:val="en-GB"/>
        </w:rPr>
        <w:t xml:space="preserve">The influence of these factors on biomass appliances are more </w:t>
      </w:r>
      <w:r w:rsidR="00E0501C">
        <w:rPr>
          <w:lang w:val="en-GB"/>
        </w:rPr>
        <w:t>significant</w:t>
      </w:r>
      <w:r w:rsidR="00E115E2">
        <w:rPr>
          <w:lang w:val="en-GB"/>
        </w:rPr>
        <w:t xml:space="preserve"> and can be briefly </w:t>
      </w:r>
      <w:r w:rsidR="00EA5FE0">
        <w:rPr>
          <w:lang w:val="en-GB"/>
        </w:rPr>
        <w:t>described as follows</w:t>
      </w:r>
      <w:r w:rsidR="00E0501C">
        <w:rPr>
          <w:lang w:val="en-GB"/>
        </w:rPr>
        <w:t>.</w:t>
      </w:r>
      <w:r w:rsidR="00E115E2">
        <w:rPr>
          <w:lang w:val="en-GB"/>
        </w:rPr>
        <w:t xml:space="preserve"> </w:t>
      </w:r>
    </w:p>
    <w:p w14:paraId="043D684A" w14:textId="5597F387" w:rsidR="009852BA" w:rsidRPr="009852BA" w:rsidRDefault="00551F1C" w:rsidP="00EA3679">
      <w:pPr>
        <w:pStyle w:val="CETBodytext"/>
        <w:rPr>
          <w:highlight w:val="yellow"/>
          <w:lang w:val="en-GB"/>
        </w:rPr>
      </w:pPr>
      <w:r w:rsidRPr="00A52D0F">
        <w:rPr>
          <w:u w:val="single"/>
          <w:lang w:val="en-GB"/>
        </w:rPr>
        <w:t>Fuel quality</w:t>
      </w:r>
      <w:r w:rsidRPr="00A52D0F">
        <w:rPr>
          <w:lang w:val="en-GB"/>
        </w:rPr>
        <w:t>:</w:t>
      </w:r>
      <w:r>
        <w:rPr>
          <w:lang w:val="en-GB"/>
        </w:rPr>
        <w:t xml:space="preserve"> </w:t>
      </w:r>
      <w:r w:rsidR="009C681A" w:rsidRPr="009C681A">
        <w:rPr>
          <w:lang w:val="en-GB"/>
        </w:rPr>
        <w:t>in biomass-fed appliances</w:t>
      </w:r>
      <w:r w:rsidR="00452AB7">
        <w:rPr>
          <w:lang w:val="en-GB"/>
        </w:rPr>
        <w:t xml:space="preserve"> </w:t>
      </w:r>
      <w:r w:rsidR="00010D2F">
        <w:rPr>
          <w:lang w:val="en-GB"/>
        </w:rPr>
        <w:t xml:space="preserve">the environmental performance of the appliance </w:t>
      </w:r>
      <w:r w:rsidR="009C681A" w:rsidRPr="009C681A">
        <w:rPr>
          <w:lang w:val="en-GB"/>
        </w:rPr>
        <w:t xml:space="preserve">are closely linked to fuel composition, particularly moisture, aerosol-forming species, and nitrogen content. Fuel quality </w:t>
      </w:r>
      <w:r w:rsidR="006279C9">
        <w:rPr>
          <w:lang w:val="en-GB"/>
        </w:rPr>
        <w:t xml:space="preserve">depends </w:t>
      </w:r>
      <w:r w:rsidR="009C681A" w:rsidRPr="009C681A">
        <w:rPr>
          <w:lang w:val="en-GB"/>
        </w:rPr>
        <w:t xml:space="preserve">on biomass type, densification treatment, and storage conditions. The impact of fuel quality </w:t>
      </w:r>
      <w:r w:rsidR="00ED1F51">
        <w:rPr>
          <w:lang w:val="en-GB"/>
        </w:rPr>
        <w:t xml:space="preserve">has been shown </w:t>
      </w:r>
      <w:r w:rsidR="0075000E">
        <w:rPr>
          <w:lang w:val="en-GB"/>
        </w:rPr>
        <w:t xml:space="preserve">both </w:t>
      </w:r>
      <w:r w:rsidR="00111A67">
        <w:rPr>
          <w:lang w:val="en-GB"/>
        </w:rPr>
        <w:t>for</w:t>
      </w:r>
      <w:r w:rsidR="009C681A" w:rsidRPr="009C681A">
        <w:rPr>
          <w:lang w:val="en-GB"/>
        </w:rPr>
        <w:t xml:space="preserve"> pellet stoves, where emission factors double or triple with decreasing pellet quality </w:t>
      </w:r>
      <w:r w:rsidR="00910F78">
        <w:rPr>
          <w:lang w:val="en-GB"/>
        </w:rPr>
        <w:t>(</w:t>
      </w:r>
      <w:r w:rsidR="009C681A" w:rsidRPr="009C681A">
        <w:rPr>
          <w:lang w:val="en-GB"/>
        </w:rPr>
        <w:t>Venturini et al.</w:t>
      </w:r>
      <w:r w:rsidR="00910F78">
        <w:rPr>
          <w:lang w:val="en-GB"/>
        </w:rPr>
        <w:t xml:space="preserve">, </w:t>
      </w:r>
      <w:r w:rsidR="009C681A" w:rsidRPr="009C681A">
        <w:rPr>
          <w:lang w:val="en-GB"/>
        </w:rPr>
        <w:t>2018)</w:t>
      </w:r>
      <w:r w:rsidR="0075000E">
        <w:rPr>
          <w:lang w:val="en-GB"/>
        </w:rPr>
        <w:t xml:space="preserve"> and </w:t>
      </w:r>
      <w:r w:rsidR="00111A67">
        <w:rPr>
          <w:lang w:val="en-GB"/>
        </w:rPr>
        <w:t>for</w:t>
      </w:r>
      <w:r w:rsidR="00111A67" w:rsidRPr="009C681A">
        <w:rPr>
          <w:lang w:val="en-GB"/>
        </w:rPr>
        <w:t xml:space="preserve"> firewood room heaters</w:t>
      </w:r>
      <w:r w:rsidR="00AA097C">
        <w:rPr>
          <w:lang w:val="en-GB"/>
        </w:rPr>
        <w:t xml:space="preserve"> where</w:t>
      </w:r>
      <w:r w:rsidR="009C681A" w:rsidRPr="009C681A">
        <w:rPr>
          <w:lang w:val="en-GB"/>
        </w:rPr>
        <w:t xml:space="preserve"> increased emissions of particulate matter and carbon monoxide </w:t>
      </w:r>
      <w:r w:rsidR="00ED1F51">
        <w:rPr>
          <w:lang w:val="en-GB"/>
        </w:rPr>
        <w:t>we</w:t>
      </w:r>
      <w:r w:rsidR="009C681A" w:rsidRPr="009C681A">
        <w:rPr>
          <w:lang w:val="en-GB"/>
        </w:rPr>
        <w:t>re observed as fuel ash content rises</w:t>
      </w:r>
      <w:r w:rsidR="00ED1F51">
        <w:rPr>
          <w:lang w:val="en-GB"/>
        </w:rPr>
        <w:t xml:space="preserve"> (</w:t>
      </w:r>
      <w:r w:rsidR="009C681A" w:rsidRPr="00EA3679">
        <w:rPr>
          <w:lang w:val="en-GB"/>
        </w:rPr>
        <w:t>Ozgen et al.</w:t>
      </w:r>
      <w:r w:rsidR="00ED1F51" w:rsidRPr="00EA3679">
        <w:rPr>
          <w:lang w:val="en-GB"/>
        </w:rPr>
        <w:t xml:space="preserve">, </w:t>
      </w:r>
      <w:r w:rsidR="009C681A" w:rsidRPr="00EA3679">
        <w:rPr>
          <w:lang w:val="en-GB"/>
        </w:rPr>
        <w:t>2017</w:t>
      </w:r>
      <w:r w:rsidR="009C681A" w:rsidRPr="009C681A">
        <w:rPr>
          <w:lang w:val="en-GB"/>
        </w:rPr>
        <w:t>)</w:t>
      </w:r>
      <w:r w:rsidR="00DA11BA">
        <w:rPr>
          <w:lang w:val="en-GB"/>
        </w:rPr>
        <w:t>.</w:t>
      </w:r>
      <w:r w:rsidR="00DA11BA" w:rsidRPr="00DA11BA">
        <w:rPr>
          <w:lang w:val="en-GB"/>
        </w:rPr>
        <w:t xml:space="preserve"> </w:t>
      </w:r>
      <w:r w:rsidR="00FA6A8E" w:rsidRPr="00DE1BA7">
        <w:rPr>
          <w:lang w:val="en-GB"/>
        </w:rPr>
        <w:t>Currently, only virgin biomass raw material is permitted, with A1 quality pellets</w:t>
      </w:r>
      <w:r w:rsidR="003B6FB3" w:rsidRPr="00DE1BA7">
        <w:rPr>
          <w:lang w:val="en-GB"/>
        </w:rPr>
        <w:t xml:space="preserve"> (</w:t>
      </w:r>
      <w:r w:rsidR="00DE1BA7" w:rsidRPr="00DE1BA7">
        <w:rPr>
          <w:lang w:val="en-GB"/>
        </w:rPr>
        <w:t>UNI EN ISO 17225-2</w:t>
      </w:r>
      <w:r w:rsidR="003B6FB3" w:rsidRPr="00DE1BA7">
        <w:rPr>
          <w:lang w:val="en-GB"/>
        </w:rPr>
        <w:t>)</w:t>
      </w:r>
      <w:r w:rsidR="00FA6A8E" w:rsidRPr="00DE1BA7">
        <w:rPr>
          <w:lang w:val="en-GB"/>
        </w:rPr>
        <w:t xml:space="preserve"> mandated for residential heating</w:t>
      </w:r>
      <w:r w:rsidR="005E15AA" w:rsidRPr="00DE1BA7">
        <w:rPr>
          <w:lang w:val="en-GB"/>
        </w:rPr>
        <w:t xml:space="preserve">, however </w:t>
      </w:r>
      <w:r w:rsidR="00713DC5" w:rsidRPr="00DE1BA7">
        <w:rPr>
          <w:lang w:val="en-GB"/>
        </w:rPr>
        <w:t>the quality control over</w:t>
      </w:r>
      <w:r w:rsidR="00245180">
        <w:rPr>
          <w:lang w:val="en-GB"/>
        </w:rPr>
        <w:t xml:space="preserve"> </w:t>
      </w:r>
      <w:r w:rsidR="0028437B">
        <w:rPr>
          <w:lang w:val="en-GB"/>
        </w:rPr>
        <w:t>firewood</w:t>
      </w:r>
      <w:r w:rsidR="00245180">
        <w:rPr>
          <w:lang w:val="en-GB"/>
        </w:rPr>
        <w:t xml:space="preserve"> </w:t>
      </w:r>
      <w:r w:rsidR="003F316D">
        <w:rPr>
          <w:lang w:val="en-GB"/>
        </w:rPr>
        <w:t>may be difficult.</w:t>
      </w:r>
      <w:r w:rsidR="00667C3A">
        <w:rPr>
          <w:lang w:val="en-GB"/>
        </w:rPr>
        <w:t xml:space="preserve"> </w:t>
      </w:r>
      <w:r w:rsidR="008A6E8C" w:rsidRPr="008A6E8C">
        <w:rPr>
          <w:lang w:val="en-GB"/>
        </w:rPr>
        <w:t>For instance, some users may burn household waste</w:t>
      </w:r>
      <w:r w:rsidR="008A6E8C">
        <w:rPr>
          <w:lang w:val="en-GB"/>
        </w:rPr>
        <w:t xml:space="preserve"> as well as </w:t>
      </w:r>
      <w:r w:rsidR="00607A43">
        <w:rPr>
          <w:lang w:val="en-GB"/>
        </w:rPr>
        <w:t>waste wood</w:t>
      </w:r>
      <w:r w:rsidR="008A6E8C" w:rsidRPr="008A6E8C">
        <w:rPr>
          <w:lang w:val="en-GB"/>
        </w:rPr>
        <w:t xml:space="preserve"> in fireplaces and room heaters, which can negatively affect emissions.</w:t>
      </w:r>
      <w:r w:rsidR="00FF4D5D">
        <w:rPr>
          <w:lang w:val="en-GB"/>
        </w:rPr>
        <w:t xml:space="preserve"> </w:t>
      </w:r>
    </w:p>
    <w:p w14:paraId="3FDE64B0" w14:textId="538CCE49" w:rsidR="005753AF" w:rsidRPr="00A35A90" w:rsidRDefault="00B2654A" w:rsidP="005753AF">
      <w:pPr>
        <w:pStyle w:val="CETBodytext"/>
        <w:rPr>
          <w:lang w:val="en-GB"/>
        </w:rPr>
      </w:pPr>
      <w:r w:rsidRPr="00A52D0F">
        <w:rPr>
          <w:u w:val="single"/>
          <w:lang w:val="en-GB"/>
        </w:rPr>
        <w:t>Appliance construction details (air and fuel control possibility)</w:t>
      </w:r>
      <w:r w:rsidRPr="00A52D0F">
        <w:rPr>
          <w:lang w:val="en-GB"/>
        </w:rPr>
        <w:t>:</w:t>
      </w:r>
      <w:r w:rsidRPr="00B2654A">
        <w:rPr>
          <w:b/>
          <w:bCs/>
          <w:lang w:val="en-GB"/>
        </w:rPr>
        <w:t xml:space="preserve"> </w:t>
      </w:r>
      <w:r w:rsidR="00A35A90" w:rsidRPr="00A35A90">
        <w:rPr>
          <w:lang w:val="en-GB"/>
        </w:rPr>
        <w:t xml:space="preserve">The construction details of residential heating appliances, specifically in terms of air and fuel control possibilities, play a significant role in their performance. </w:t>
      </w:r>
      <w:r w:rsidR="008E3317" w:rsidRPr="008E3317">
        <w:rPr>
          <w:lang w:val="en-GB"/>
        </w:rPr>
        <w:t xml:space="preserve">Pre-mixed burners are widely employed in LPG </w:t>
      </w:r>
      <w:r w:rsidR="006948DC">
        <w:rPr>
          <w:lang w:val="en-GB"/>
        </w:rPr>
        <w:t xml:space="preserve">heating </w:t>
      </w:r>
      <w:r w:rsidR="008E3317" w:rsidRPr="008E3317">
        <w:rPr>
          <w:lang w:val="en-GB"/>
        </w:rPr>
        <w:t xml:space="preserve">appliances. The precise ratio of LPG to air is carefully controlled to ensure complete combustion and maximize energy efficiency. By achieving a homogeneous mixture of fuel and air prior to combustion, pre-mixed burners can produce a stable flame with minimal </w:t>
      </w:r>
      <w:r w:rsidR="00E43651" w:rsidRPr="00D80342">
        <w:rPr>
          <w:lang w:val="en-GB"/>
        </w:rPr>
        <w:t>incomplete combustion product emissions</w:t>
      </w:r>
      <w:r w:rsidR="008E3317" w:rsidRPr="008E3317">
        <w:rPr>
          <w:lang w:val="en-GB"/>
        </w:rPr>
        <w:t>.</w:t>
      </w:r>
      <w:r w:rsidR="00D80342">
        <w:rPr>
          <w:lang w:val="en-GB"/>
        </w:rPr>
        <w:t xml:space="preserve"> The a</w:t>
      </w:r>
      <w:r w:rsidR="00402175">
        <w:rPr>
          <w:lang w:val="en-GB"/>
        </w:rPr>
        <w:t>ppliance construction gains more importance for biomass heating appliances,</w:t>
      </w:r>
      <w:r w:rsidR="00E61605">
        <w:rPr>
          <w:lang w:val="en-GB"/>
        </w:rPr>
        <w:t xml:space="preserve"> given the </w:t>
      </w:r>
      <w:r w:rsidR="001979DA">
        <w:rPr>
          <w:lang w:val="en-GB"/>
        </w:rPr>
        <w:t xml:space="preserve">intrinsic difficulty </w:t>
      </w:r>
      <w:r w:rsidR="002025E7">
        <w:rPr>
          <w:lang w:val="en-GB"/>
        </w:rPr>
        <w:t xml:space="preserve">of obtaining </w:t>
      </w:r>
      <w:r w:rsidR="0092017F">
        <w:rPr>
          <w:lang w:val="en-GB"/>
        </w:rPr>
        <w:t xml:space="preserve">optimal operating conditions in heterogeneous combustion </w:t>
      </w:r>
      <w:r w:rsidR="00121ABD">
        <w:rPr>
          <w:lang w:val="en-GB"/>
        </w:rPr>
        <w:t>of solid fuels with respect the gaseous fuels</w:t>
      </w:r>
      <w:r w:rsidR="00DA600B">
        <w:rPr>
          <w:lang w:val="en-GB"/>
        </w:rPr>
        <w:t>. In this respect</w:t>
      </w:r>
      <w:r w:rsidR="00005DD4">
        <w:rPr>
          <w:lang w:val="en-GB"/>
        </w:rPr>
        <w:t xml:space="preserve">, </w:t>
      </w:r>
      <w:r w:rsidR="00DA600B">
        <w:rPr>
          <w:lang w:val="en-GB"/>
        </w:rPr>
        <w:t xml:space="preserve">appliances </w:t>
      </w:r>
      <w:r w:rsidR="0092017F">
        <w:rPr>
          <w:lang w:val="en-GB"/>
        </w:rPr>
        <w:t xml:space="preserve"> </w:t>
      </w:r>
      <w:r w:rsidR="00A35A90" w:rsidRPr="00005DD4">
        <w:rPr>
          <w:lang w:val="en-GB"/>
        </w:rPr>
        <w:t xml:space="preserve">with automatic fuel and air feeding mechanisms </w:t>
      </w:r>
      <w:r w:rsidR="00005DD4" w:rsidRPr="00005DD4">
        <w:rPr>
          <w:lang w:val="en-GB"/>
        </w:rPr>
        <w:t>(</w:t>
      </w:r>
      <w:r w:rsidR="0021480A">
        <w:rPr>
          <w:lang w:val="en-GB"/>
        </w:rPr>
        <w:t>i.e., pellet stoves and boilers</w:t>
      </w:r>
      <w:r w:rsidR="00005DD4" w:rsidRPr="00005DD4">
        <w:rPr>
          <w:lang w:val="en-GB"/>
        </w:rPr>
        <w:t xml:space="preserve">) </w:t>
      </w:r>
      <w:r w:rsidR="00A35A90" w:rsidRPr="00005DD4">
        <w:rPr>
          <w:lang w:val="en-GB"/>
        </w:rPr>
        <w:t>exhibit superior combustion performance compared to manually fed appliances</w:t>
      </w:r>
      <w:r w:rsidR="00005DD4" w:rsidRPr="00005DD4">
        <w:rPr>
          <w:lang w:val="en-GB"/>
        </w:rPr>
        <w:t xml:space="preserve"> (</w:t>
      </w:r>
      <w:r w:rsidR="0021480A">
        <w:rPr>
          <w:lang w:val="en-GB"/>
        </w:rPr>
        <w:t xml:space="preserve">e.g., firewood </w:t>
      </w:r>
      <w:proofErr w:type="spellStart"/>
      <w:r w:rsidR="0021480A">
        <w:rPr>
          <w:lang w:val="en-GB"/>
        </w:rPr>
        <w:t>roomheaters</w:t>
      </w:r>
      <w:proofErr w:type="spellEnd"/>
      <w:r w:rsidR="00005DD4" w:rsidRPr="00005DD4">
        <w:rPr>
          <w:lang w:val="en-GB"/>
        </w:rPr>
        <w:t>)</w:t>
      </w:r>
      <w:r w:rsidR="005C5D58">
        <w:rPr>
          <w:lang w:val="en-GB"/>
        </w:rPr>
        <w:t xml:space="preserve">, since these </w:t>
      </w:r>
      <w:r w:rsidR="00A35A90" w:rsidRPr="008C179E">
        <w:rPr>
          <w:lang w:val="en-GB"/>
        </w:rPr>
        <w:t xml:space="preserve">appliances achieve higher efficiencies, </w:t>
      </w:r>
      <w:r w:rsidR="005C5D58" w:rsidRPr="008C179E">
        <w:rPr>
          <w:lang w:val="en-GB"/>
        </w:rPr>
        <w:t xml:space="preserve">and </w:t>
      </w:r>
      <w:r w:rsidR="00A35A90" w:rsidRPr="008C179E">
        <w:rPr>
          <w:lang w:val="en-GB"/>
        </w:rPr>
        <w:t xml:space="preserve">reduce overall ignition and non-optimal operating </w:t>
      </w:r>
      <w:r w:rsidR="00296417" w:rsidRPr="008C179E">
        <w:rPr>
          <w:lang w:val="en-GB"/>
        </w:rPr>
        <w:t>periods</w:t>
      </w:r>
      <w:r w:rsidR="00A35A90" w:rsidRPr="008C179E">
        <w:rPr>
          <w:lang w:val="en-GB"/>
        </w:rPr>
        <w:t>, leading to lower emissions.</w:t>
      </w:r>
      <w:r w:rsidR="00A35A90" w:rsidRPr="00AD7154">
        <w:rPr>
          <w:lang w:val="en-GB"/>
        </w:rPr>
        <w:t xml:space="preserve"> </w:t>
      </w:r>
    </w:p>
    <w:p w14:paraId="01427D4F" w14:textId="30E3605A" w:rsidR="00C03E9D" w:rsidRDefault="00706736" w:rsidP="000E6297">
      <w:pPr>
        <w:pStyle w:val="CETBodytext"/>
        <w:rPr>
          <w:lang w:val="en-GB"/>
        </w:rPr>
      </w:pPr>
      <w:r w:rsidRPr="00A52D0F">
        <w:rPr>
          <w:u w:val="single"/>
          <w:lang w:val="en-GB"/>
        </w:rPr>
        <w:t>Operating conditions (cold and hot start, nominal and partial load)</w:t>
      </w:r>
      <w:r w:rsidR="00410F7A" w:rsidRPr="00A52D0F">
        <w:rPr>
          <w:lang w:val="en-GB"/>
        </w:rPr>
        <w:t>:</w:t>
      </w:r>
      <w:r w:rsidR="00410F7A">
        <w:rPr>
          <w:lang w:val="en-GB"/>
        </w:rPr>
        <w:t xml:space="preserve"> </w:t>
      </w:r>
      <w:r w:rsidR="00C03E9D" w:rsidRPr="00D063B7">
        <w:rPr>
          <w:lang w:val="en-GB"/>
        </w:rPr>
        <w:t>The operating conditions of residential heating appliances, including cold and hot start, as well as nominal and partial load conditions, play a significant role in their emission performance. This aspect is particularly crucial for conventional biomass heating appliances where the</w:t>
      </w:r>
      <w:r w:rsidR="00D063B7">
        <w:rPr>
          <w:lang w:val="en-GB"/>
        </w:rPr>
        <w:t xml:space="preserve"> limit</w:t>
      </w:r>
      <w:r w:rsidR="00597E20">
        <w:rPr>
          <w:lang w:val="en-GB"/>
        </w:rPr>
        <w:t>ed</w:t>
      </w:r>
      <w:r w:rsidR="00C03E9D" w:rsidRPr="00D063B7">
        <w:rPr>
          <w:lang w:val="en-GB"/>
        </w:rPr>
        <w:t xml:space="preserve"> adjustment</w:t>
      </w:r>
      <w:r w:rsidR="00D063B7">
        <w:rPr>
          <w:lang w:val="en-GB"/>
        </w:rPr>
        <w:t xml:space="preserve"> possibility for</w:t>
      </w:r>
      <w:r w:rsidR="00C03E9D" w:rsidRPr="00D063B7">
        <w:rPr>
          <w:lang w:val="en-GB"/>
        </w:rPr>
        <w:t xml:space="preserve"> air-fuel ratio </w:t>
      </w:r>
      <w:r w:rsidR="00FA2CEE" w:rsidRPr="00D063B7">
        <w:rPr>
          <w:lang w:val="en-GB"/>
        </w:rPr>
        <w:t>may cause non-optimal co</w:t>
      </w:r>
      <w:r w:rsidR="0039235A">
        <w:rPr>
          <w:lang w:val="en-GB"/>
        </w:rPr>
        <w:t>nditions and longer transitory periods characterized by higher incomplete combustion emissions</w:t>
      </w:r>
      <w:r w:rsidR="00C03E9D" w:rsidRPr="00D063B7">
        <w:rPr>
          <w:lang w:val="en-GB"/>
        </w:rPr>
        <w:t>.</w:t>
      </w:r>
      <w:r w:rsidR="00C51528">
        <w:rPr>
          <w:lang w:val="en-GB"/>
        </w:rPr>
        <w:t xml:space="preserve"> </w:t>
      </w:r>
    </w:p>
    <w:p w14:paraId="642F67F8" w14:textId="5D264664" w:rsidR="00CA4EA2" w:rsidRDefault="000742A8" w:rsidP="00A35A90">
      <w:pPr>
        <w:pStyle w:val="CETBodytext"/>
        <w:rPr>
          <w:lang w:val="en-GB"/>
        </w:rPr>
      </w:pPr>
      <w:r w:rsidRPr="00A52D0F">
        <w:rPr>
          <w:u w:val="single"/>
          <w:lang w:val="en-GB"/>
        </w:rPr>
        <w:lastRenderedPageBreak/>
        <w:t xml:space="preserve">User </w:t>
      </w:r>
      <w:proofErr w:type="spellStart"/>
      <w:r w:rsidRPr="00A52D0F">
        <w:rPr>
          <w:u w:val="single"/>
          <w:lang w:val="en-GB"/>
        </w:rPr>
        <w:t>behavior</w:t>
      </w:r>
      <w:proofErr w:type="spellEnd"/>
      <w:r w:rsidRPr="00A52D0F">
        <w:rPr>
          <w:lang w:val="en-GB"/>
        </w:rPr>
        <w:t>:</w:t>
      </w:r>
      <w:r>
        <w:rPr>
          <w:b/>
          <w:bCs/>
          <w:lang w:val="en-GB"/>
        </w:rPr>
        <w:t xml:space="preserve"> </w:t>
      </w:r>
      <w:r w:rsidR="00217757" w:rsidRPr="00217757">
        <w:rPr>
          <w:lang w:val="en-GB"/>
        </w:rPr>
        <w:t>On</w:t>
      </w:r>
      <w:r w:rsidR="00D41382">
        <w:rPr>
          <w:lang w:val="en-GB"/>
        </w:rPr>
        <w:t xml:space="preserve">e of the most important factor hindering the environmental sustainability of conventional </w:t>
      </w:r>
      <w:r w:rsidR="00CC303E">
        <w:rPr>
          <w:lang w:val="en-GB"/>
        </w:rPr>
        <w:t xml:space="preserve">batchwise </w:t>
      </w:r>
      <w:r w:rsidR="00D41382">
        <w:rPr>
          <w:lang w:val="en-GB"/>
        </w:rPr>
        <w:t>biomass heating appliances (</w:t>
      </w:r>
      <w:r w:rsidR="00CA4EA2">
        <w:rPr>
          <w:lang w:val="en-GB"/>
        </w:rPr>
        <w:t xml:space="preserve">i.e., firewood </w:t>
      </w:r>
      <w:proofErr w:type="spellStart"/>
      <w:r w:rsidR="00CA4EA2">
        <w:rPr>
          <w:lang w:val="en-GB"/>
        </w:rPr>
        <w:t>roomheaters</w:t>
      </w:r>
      <w:proofErr w:type="spellEnd"/>
      <w:r w:rsidR="00CA4EA2">
        <w:rPr>
          <w:lang w:val="en-GB"/>
        </w:rPr>
        <w:t xml:space="preserve">) is the strict dependence of the appliance emissions on the </w:t>
      </w:r>
      <w:r w:rsidR="00E56C44">
        <w:rPr>
          <w:lang w:val="en-GB"/>
        </w:rPr>
        <w:t xml:space="preserve">user actions </w:t>
      </w:r>
      <w:r w:rsidR="003600D9">
        <w:rPr>
          <w:lang w:val="en-GB"/>
        </w:rPr>
        <w:t xml:space="preserve">such as </w:t>
      </w:r>
      <w:r w:rsidR="007F307B">
        <w:rPr>
          <w:lang w:val="en-GB"/>
        </w:rPr>
        <w:t>the</w:t>
      </w:r>
      <w:r w:rsidR="003600D9" w:rsidRPr="00A35A90">
        <w:rPr>
          <w:lang w:val="en-GB"/>
        </w:rPr>
        <w:t xml:space="preserve"> ignition method</w:t>
      </w:r>
      <w:r w:rsidR="00551DE8">
        <w:rPr>
          <w:lang w:val="en-GB"/>
        </w:rPr>
        <w:t xml:space="preserve"> (i.e., </w:t>
      </w:r>
      <w:r w:rsidR="00551DE8" w:rsidRPr="00A35A90">
        <w:rPr>
          <w:lang w:val="en-GB"/>
        </w:rPr>
        <w:t>bottom-up or top-down</w:t>
      </w:r>
      <w:r w:rsidR="00551DE8">
        <w:rPr>
          <w:lang w:val="en-GB"/>
        </w:rPr>
        <w:t>)</w:t>
      </w:r>
      <w:r w:rsidR="003600D9" w:rsidRPr="00A35A90">
        <w:rPr>
          <w:lang w:val="en-GB"/>
        </w:rPr>
        <w:t xml:space="preserve">, fuel amount per batch, </w:t>
      </w:r>
      <w:r w:rsidR="00CC303E">
        <w:rPr>
          <w:lang w:val="en-GB"/>
        </w:rPr>
        <w:t>drau</w:t>
      </w:r>
      <w:r w:rsidR="00FC186F">
        <w:rPr>
          <w:lang w:val="en-GB"/>
        </w:rPr>
        <w:t xml:space="preserve">ght conditions, </w:t>
      </w:r>
      <w:r w:rsidR="003600D9" w:rsidRPr="00A35A90">
        <w:rPr>
          <w:lang w:val="en-GB"/>
        </w:rPr>
        <w:t>and adjustment of air valve settings for combustion air supply</w:t>
      </w:r>
      <w:r w:rsidR="009852BA">
        <w:rPr>
          <w:lang w:val="en-GB"/>
        </w:rPr>
        <w:t xml:space="preserve">. </w:t>
      </w:r>
      <w:r w:rsidR="002618EE">
        <w:rPr>
          <w:lang w:val="en-GB"/>
        </w:rPr>
        <w:t>The use of a</w:t>
      </w:r>
      <w:r w:rsidR="00790850">
        <w:rPr>
          <w:lang w:val="en-GB"/>
        </w:rPr>
        <w:t xml:space="preserve">utomatic appliances </w:t>
      </w:r>
      <w:r w:rsidR="002618EE">
        <w:rPr>
          <w:lang w:val="en-GB"/>
        </w:rPr>
        <w:t xml:space="preserve">would result </w:t>
      </w:r>
      <w:r w:rsidR="003600D9">
        <w:rPr>
          <w:lang w:val="en-GB"/>
        </w:rPr>
        <w:t xml:space="preserve"> </w:t>
      </w:r>
      <w:r w:rsidR="00733F42">
        <w:rPr>
          <w:lang w:val="en-GB"/>
        </w:rPr>
        <w:t xml:space="preserve">more environmentally sustainable than the </w:t>
      </w:r>
      <w:r w:rsidR="003F3D35">
        <w:rPr>
          <w:lang w:val="en-GB"/>
        </w:rPr>
        <w:t xml:space="preserve">firewood </w:t>
      </w:r>
      <w:proofErr w:type="spellStart"/>
      <w:r w:rsidR="003F3D35">
        <w:rPr>
          <w:lang w:val="en-GB"/>
        </w:rPr>
        <w:t>roomheaters</w:t>
      </w:r>
      <w:proofErr w:type="spellEnd"/>
      <w:r w:rsidR="003F3D35">
        <w:rPr>
          <w:lang w:val="en-GB"/>
        </w:rPr>
        <w:t>. (</w:t>
      </w:r>
      <w:r w:rsidR="005E7C97">
        <w:rPr>
          <w:lang w:val="en-GB"/>
        </w:rPr>
        <w:t>Reichart et al., 2016</w:t>
      </w:r>
      <w:r w:rsidR="003F3D35">
        <w:rPr>
          <w:lang w:val="en-GB"/>
        </w:rPr>
        <w:t>)</w:t>
      </w:r>
    </w:p>
    <w:p w14:paraId="154460DF" w14:textId="27E75395" w:rsidR="00A35A90" w:rsidRPr="00A35A90" w:rsidRDefault="00144CB4" w:rsidP="00A35A90">
      <w:pPr>
        <w:pStyle w:val="CETBodytext"/>
        <w:rPr>
          <w:lang w:val="en-GB"/>
        </w:rPr>
      </w:pPr>
      <w:r w:rsidRPr="00EF7BF5">
        <w:rPr>
          <w:u w:val="single"/>
        </w:rPr>
        <w:t>Aging (appliance and stack maintenance conditions)</w:t>
      </w:r>
      <w:r w:rsidRPr="00EF7BF5">
        <w:t>:</w:t>
      </w:r>
      <w:r>
        <w:rPr>
          <w:b/>
          <w:bCs/>
        </w:rPr>
        <w:t xml:space="preserve"> </w:t>
      </w:r>
      <w:r w:rsidR="00A35A90" w:rsidRPr="00A35A90">
        <w:rPr>
          <w:lang w:val="en-GB"/>
        </w:rPr>
        <w:t>Aging of biomass appliances and the associated maintenance conditions have</w:t>
      </w:r>
      <w:r w:rsidR="00EE5154">
        <w:rPr>
          <w:lang w:val="en-GB"/>
        </w:rPr>
        <w:t xml:space="preserve"> been shown </w:t>
      </w:r>
      <w:r w:rsidR="001C4473">
        <w:rPr>
          <w:lang w:val="en-GB"/>
        </w:rPr>
        <w:t xml:space="preserve">to have </w:t>
      </w:r>
      <w:r w:rsidR="00A35A90" w:rsidRPr="00A35A90">
        <w:rPr>
          <w:lang w:val="en-GB"/>
        </w:rPr>
        <w:t>a significant impact on their efficiency and environmental performance. Over time, fouling occurs in both the appliance and the flue gas stack, which adversely affects the draft and combustion conditions</w:t>
      </w:r>
      <w:r w:rsidR="00306F90">
        <w:rPr>
          <w:lang w:val="en-GB"/>
        </w:rPr>
        <w:t xml:space="preserve">, </w:t>
      </w:r>
      <w:r w:rsidR="00A35A90" w:rsidRPr="00A35A90">
        <w:rPr>
          <w:lang w:val="en-GB"/>
        </w:rPr>
        <w:t xml:space="preserve">leading to increased instability and unpredictability in combustion. This manifests as </w:t>
      </w:r>
      <w:r w:rsidR="000F26C0">
        <w:rPr>
          <w:lang w:val="en-GB"/>
        </w:rPr>
        <w:t>periods</w:t>
      </w:r>
      <w:r w:rsidR="00A35A90" w:rsidRPr="00A35A90">
        <w:rPr>
          <w:lang w:val="en-GB"/>
        </w:rPr>
        <w:t xml:space="preserve"> of poor combustion, characterized by excessive </w:t>
      </w:r>
      <w:r w:rsidR="00864EEB">
        <w:rPr>
          <w:lang w:val="en-GB"/>
        </w:rPr>
        <w:t>incomplete combustion products</w:t>
      </w:r>
      <w:r w:rsidR="00322C3A">
        <w:rPr>
          <w:lang w:val="en-GB"/>
        </w:rPr>
        <w:t xml:space="preserve"> </w:t>
      </w:r>
      <w:r w:rsidR="00322C3A" w:rsidRPr="00A35A90">
        <w:rPr>
          <w:lang w:val="en-GB"/>
        </w:rPr>
        <w:t>(such as PM, OGC, and CO)</w:t>
      </w:r>
      <w:r w:rsidR="00A35A90" w:rsidRPr="00A35A90">
        <w:rPr>
          <w:lang w:val="en-GB"/>
        </w:rPr>
        <w:t>, followed by regular combustion phases</w:t>
      </w:r>
      <w:r w:rsidR="00E6147C">
        <w:rPr>
          <w:lang w:val="en-GB"/>
        </w:rPr>
        <w:t xml:space="preserve"> </w:t>
      </w:r>
      <w:r w:rsidR="00A35A90" w:rsidRPr="00A35A90">
        <w:rPr>
          <w:lang w:val="en-GB"/>
        </w:rPr>
        <w:t>(</w:t>
      </w:r>
      <w:proofErr w:type="spellStart"/>
      <w:r w:rsidR="00A35A90" w:rsidRPr="00A35A90">
        <w:rPr>
          <w:lang w:val="en-GB"/>
        </w:rPr>
        <w:t>Innovhub</w:t>
      </w:r>
      <w:proofErr w:type="spellEnd"/>
      <w:r w:rsidR="00A35A90" w:rsidRPr="00A35A90">
        <w:rPr>
          <w:lang w:val="en-GB"/>
        </w:rPr>
        <w:t>, 2017).</w:t>
      </w:r>
      <w:r w:rsidR="00D65A6B">
        <w:rPr>
          <w:lang w:val="en-GB"/>
        </w:rPr>
        <w:t xml:space="preserve"> </w:t>
      </w:r>
    </w:p>
    <w:p w14:paraId="10A1CA11" w14:textId="6FDC8A1E" w:rsidR="009845BB" w:rsidRPr="00497ADC" w:rsidRDefault="007E3C9E" w:rsidP="00C54E76">
      <w:pPr>
        <w:pStyle w:val="CETheadingx"/>
        <w:rPr>
          <w:lang w:val="en-GB"/>
        </w:rPr>
      </w:pPr>
      <w:r>
        <w:t xml:space="preserve">Primary emissions and reduction </w:t>
      </w:r>
      <w:r w:rsidR="005606B1">
        <w:t>alternatives</w:t>
      </w:r>
    </w:p>
    <w:p w14:paraId="1DBDAC10" w14:textId="7792779F" w:rsidR="00516C53" w:rsidRDefault="007161B5" w:rsidP="00C72B5C">
      <w:pPr>
        <w:pStyle w:val="CETBodytext"/>
        <w:rPr>
          <w:lang w:val="en-GB"/>
        </w:rPr>
      </w:pPr>
      <w:r>
        <w:rPr>
          <w:lang w:val="en-GB"/>
        </w:rPr>
        <w:t xml:space="preserve">The </w:t>
      </w:r>
      <w:r w:rsidR="00C06D3F">
        <w:rPr>
          <w:lang w:val="en-GB"/>
        </w:rPr>
        <w:t xml:space="preserve">annual emission levels associated with the residential biomass combustion were calculated for the existing biomass heating </w:t>
      </w:r>
      <w:r w:rsidR="00450C16">
        <w:rPr>
          <w:lang w:val="en-GB"/>
        </w:rPr>
        <w:t xml:space="preserve">appliances in the </w:t>
      </w:r>
      <w:r w:rsidR="00C06D3F">
        <w:rPr>
          <w:lang w:val="en-GB"/>
        </w:rPr>
        <w:t xml:space="preserve">study area (“reference case”). The </w:t>
      </w:r>
      <w:r>
        <w:rPr>
          <w:lang w:val="en-GB"/>
        </w:rPr>
        <w:t>p</w:t>
      </w:r>
      <w:r w:rsidRPr="0035110B">
        <w:rPr>
          <w:lang w:val="en-GB"/>
        </w:rPr>
        <w:t>articulate matter emissions amount to approximately 7</w:t>
      </w:r>
      <w:r>
        <w:rPr>
          <w:lang w:val="en-GB"/>
        </w:rPr>
        <w:t>,</w:t>
      </w:r>
      <w:r w:rsidRPr="0035110B">
        <w:rPr>
          <w:lang w:val="en-GB"/>
        </w:rPr>
        <w:t>400 t</w:t>
      </w:r>
      <w:r>
        <w:rPr>
          <w:lang w:val="en-GB"/>
        </w:rPr>
        <w:t>/y</w:t>
      </w:r>
      <w:r w:rsidRPr="0035110B">
        <w:rPr>
          <w:lang w:val="en-GB"/>
        </w:rPr>
        <w:t>, while those of NOx are approximately 900 t/y, representing</w:t>
      </w:r>
      <w:r>
        <w:rPr>
          <w:lang w:val="en-GB"/>
        </w:rPr>
        <w:t xml:space="preserve"> each</w:t>
      </w:r>
      <w:r w:rsidRPr="0035110B">
        <w:rPr>
          <w:lang w:val="en-GB"/>
        </w:rPr>
        <w:t xml:space="preserve"> 17% of the </w:t>
      </w:r>
      <w:r>
        <w:rPr>
          <w:lang w:val="en-GB"/>
        </w:rPr>
        <w:t>respective</w:t>
      </w:r>
      <w:r w:rsidRPr="0035110B">
        <w:rPr>
          <w:lang w:val="en-GB"/>
        </w:rPr>
        <w:t xml:space="preserve"> emissions generated from biomass heating in the Po Valley.</w:t>
      </w:r>
      <w:r w:rsidR="0058601D">
        <w:rPr>
          <w:lang w:val="en-GB"/>
        </w:rPr>
        <w:t xml:space="preserve"> </w:t>
      </w:r>
      <w:r w:rsidR="00E70DA8">
        <w:rPr>
          <w:lang w:val="en-GB"/>
        </w:rPr>
        <w:t xml:space="preserve">The </w:t>
      </w:r>
      <w:r w:rsidR="002F133E">
        <w:rPr>
          <w:lang w:val="en-GB"/>
        </w:rPr>
        <w:t xml:space="preserve">information provided in section 3.1 </w:t>
      </w:r>
      <w:r w:rsidR="0058601D">
        <w:rPr>
          <w:lang w:val="en-GB"/>
        </w:rPr>
        <w:t>is</w:t>
      </w:r>
      <w:r w:rsidR="002F133E">
        <w:rPr>
          <w:lang w:val="en-GB"/>
        </w:rPr>
        <w:t xml:space="preserve"> confirmed </w:t>
      </w:r>
      <w:r w:rsidR="0058601D">
        <w:rPr>
          <w:lang w:val="en-GB"/>
        </w:rPr>
        <w:t>since t</w:t>
      </w:r>
      <w:r w:rsidR="00E112BC" w:rsidRPr="00E112BC">
        <w:rPr>
          <w:lang w:val="en-GB"/>
        </w:rPr>
        <w:t>he study reveal</w:t>
      </w:r>
      <w:r w:rsidR="0058601D">
        <w:rPr>
          <w:lang w:val="en-GB"/>
        </w:rPr>
        <w:t>ed</w:t>
      </w:r>
      <w:r w:rsidR="00E112BC" w:rsidRPr="00E112BC">
        <w:rPr>
          <w:lang w:val="en-GB"/>
        </w:rPr>
        <w:t xml:space="preserve"> that the majority of PM10, accounting for 99% of the total, are attributed to </w:t>
      </w:r>
      <w:r w:rsidR="004E16B3">
        <w:rPr>
          <w:lang w:val="en-GB"/>
        </w:rPr>
        <w:t>firewood room heaters</w:t>
      </w:r>
      <w:r w:rsidR="008B66D6">
        <w:rPr>
          <w:lang w:val="en-GB"/>
        </w:rPr>
        <w:t xml:space="preserve"> and d</w:t>
      </w:r>
      <w:r w:rsidR="00E112BC" w:rsidRPr="00E112BC">
        <w:rPr>
          <w:lang w:val="en-GB"/>
        </w:rPr>
        <w:t xml:space="preserve">espite representing 14% of the total number of appliances, pellet appliances contribute only 1% to the total </w:t>
      </w:r>
      <w:r w:rsidR="00460917">
        <w:rPr>
          <w:lang w:val="en-GB"/>
        </w:rPr>
        <w:t xml:space="preserve">PM10 </w:t>
      </w:r>
      <w:r w:rsidR="00E112BC" w:rsidRPr="00E112BC">
        <w:rPr>
          <w:lang w:val="en-GB"/>
        </w:rPr>
        <w:t xml:space="preserve">emissions, indicating </w:t>
      </w:r>
      <w:r w:rsidR="008E6C7C">
        <w:rPr>
          <w:lang w:val="en-GB"/>
        </w:rPr>
        <w:t xml:space="preserve">higher environmental sustainability </w:t>
      </w:r>
      <w:r w:rsidR="00780DE9">
        <w:rPr>
          <w:lang w:val="en-GB"/>
        </w:rPr>
        <w:t xml:space="preserve">given the </w:t>
      </w:r>
      <w:r w:rsidR="00E112BC" w:rsidRPr="00E112BC">
        <w:rPr>
          <w:lang w:val="en-GB"/>
        </w:rPr>
        <w:t xml:space="preserve">relatively low impact compared to </w:t>
      </w:r>
      <w:r w:rsidR="0024166A">
        <w:rPr>
          <w:lang w:val="en-GB"/>
        </w:rPr>
        <w:t>firewood room</w:t>
      </w:r>
      <w:r w:rsidR="0069779A">
        <w:rPr>
          <w:lang w:val="en-GB"/>
        </w:rPr>
        <w:t xml:space="preserve"> </w:t>
      </w:r>
      <w:r w:rsidR="0024166A">
        <w:rPr>
          <w:lang w:val="en-GB"/>
        </w:rPr>
        <w:t>heaters</w:t>
      </w:r>
      <w:r w:rsidR="00E112BC" w:rsidRPr="00E112BC">
        <w:rPr>
          <w:lang w:val="en-GB"/>
        </w:rPr>
        <w:t>.</w:t>
      </w:r>
      <w:r w:rsidR="00460917">
        <w:rPr>
          <w:lang w:val="en-GB"/>
        </w:rPr>
        <w:t xml:space="preserve"> </w:t>
      </w:r>
      <w:r w:rsidR="007F7CF7">
        <w:rPr>
          <w:lang w:val="en-GB"/>
        </w:rPr>
        <w:t>In this respect, t</w:t>
      </w:r>
      <w:r w:rsidR="002E7F65" w:rsidRPr="002E7F65">
        <w:rPr>
          <w:lang w:val="en-GB"/>
        </w:rPr>
        <w:t>he emission reduction scenario, known as the "technological turnover"</w:t>
      </w:r>
      <w:r w:rsidR="006215BE">
        <w:rPr>
          <w:lang w:val="en-GB"/>
        </w:rPr>
        <w:t xml:space="preserve"> </w:t>
      </w:r>
      <w:r w:rsidR="002E7F65" w:rsidRPr="002E7F65">
        <w:rPr>
          <w:lang w:val="en-GB"/>
        </w:rPr>
        <w:t>demonstrat</w:t>
      </w:r>
      <w:r w:rsidR="00AF3281">
        <w:rPr>
          <w:lang w:val="en-GB"/>
        </w:rPr>
        <w:t>es</w:t>
      </w:r>
      <w:r w:rsidR="002E7F65" w:rsidRPr="002E7F65">
        <w:rPr>
          <w:lang w:val="en-GB"/>
        </w:rPr>
        <w:t xml:space="preserve"> substantial reductions of 93% in PM10 emissions. </w:t>
      </w:r>
      <w:r w:rsidR="00D94510">
        <w:rPr>
          <w:lang w:val="en-GB"/>
        </w:rPr>
        <w:t xml:space="preserve">However, </w:t>
      </w:r>
      <w:r w:rsidR="00F85B18">
        <w:rPr>
          <w:lang w:val="en-GB"/>
        </w:rPr>
        <w:t>th</w:t>
      </w:r>
      <w:r w:rsidR="00A254DF">
        <w:rPr>
          <w:lang w:val="en-GB"/>
        </w:rPr>
        <w:t xml:space="preserve">is strategy of transitioning to advanced </w:t>
      </w:r>
      <w:r w:rsidR="006B7BFD">
        <w:rPr>
          <w:lang w:val="en-GB"/>
        </w:rPr>
        <w:t>biomass heating technologies</w:t>
      </w:r>
      <w:r w:rsidR="004E6FE0">
        <w:rPr>
          <w:lang w:val="en-GB"/>
        </w:rPr>
        <w:t xml:space="preserve"> fails to obtain</w:t>
      </w:r>
      <w:r w:rsidR="005967D2">
        <w:rPr>
          <w:lang w:val="en-GB"/>
        </w:rPr>
        <w:t xml:space="preserve"> any benefit </w:t>
      </w:r>
      <w:r w:rsidR="00C72B5C">
        <w:rPr>
          <w:lang w:val="en-GB"/>
        </w:rPr>
        <w:t xml:space="preserve">in terms of NOx emission reduction. This is due to the fact that </w:t>
      </w:r>
      <w:r w:rsidR="002E7F65" w:rsidRPr="002E7F65">
        <w:rPr>
          <w:lang w:val="en-GB"/>
        </w:rPr>
        <w:t>NOx emissions in biomass combustion primarily originate from the fuel nitrogen content</w:t>
      </w:r>
      <w:r w:rsidR="00865B1A">
        <w:rPr>
          <w:lang w:val="en-GB"/>
        </w:rPr>
        <w:t xml:space="preserve"> </w:t>
      </w:r>
      <w:r w:rsidR="000A54CB">
        <w:rPr>
          <w:lang w:val="en-GB"/>
        </w:rPr>
        <w:t>without a notable effect of appliance type and operation</w:t>
      </w:r>
      <w:r w:rsidR="00337ADD">
        <w:rPr>
          <w:lang w:val="en-GB"/>
        </w:rPr>
        <w:t xml:space="preserve"> </w:t>
      </w:r>
      <w:r w:rsidR="00337ADD" w:rsidRPr="00865B1A">
        <w:rPr>
          <w:lang w:val="en-GB"/>
        </w:rPr>
        <w:t>(Ozgen et al., 2021)</w:t>
      </w:r>
      <w:r w:rsidR="00C91A5C">
        <w:rPr>
          <w:lang w:val="en-GB"/>
        </w:rPr>
        <w:t xml:space="preserve">. </w:t>
      </w:r>
      <w:r w:rsidR="006F2530">
        <w:rPr>
          <w:lang w:val="en-GB"/>
        </w:rPr>
        <w:t>T</w:t>
      </w:r>
      <w:r w:rsidR="002E7F65" w:rsidRPr="002E7F65">
        <w:rPr>
          <w:lang w:val="en-GB"/>
        </w:rPr>
        <w:t>he "fuel-switch" scenario</w:t>
      </w:r>
      <w:r w:rsidR="00CA74BD">
        <w:rPr>
          <w:lang w:val="en-GB"/>
        </w:rPr>
        <w:t xml:space="preserve"> on the other hand</w:t>
      </w:r>
      <w:r w:rsidR="002E7F65" w:rsidRPr="002E7F65">
        <w:rPr>
          <w:lang w:val="en-GB"/>
        </w:rPr>
        <w:t xml:space="preserve">, which involved </w:t>
      </w:r>
      <w:r w:rsidR="00AC4BDC">
        <w:rPr>
          <w:lang w:val="en-GB"/>
        </w:rPr>
        <w:t>the transition</w:t>
      </w:r>
      <w:r w:rsidR="002E7F65" w:rsidRPr="002E7F65">
        <w:rPr>
          <w:lang w:val="en-GB"/>
        </w:rPr>
        <w:t xml:space="preserve"> to LPG fuel for residential heating instead of biomass, exhibited </w:t>
      </w:r>
      <w:r w:rsidR="00A855B6">
        <w:rPr>
          <w:lang w:val="en-GB"/>
        </w:rPr>
        <w:t xml:space="preserve">a </w:t>
      </w:r>
      <w:r w:rsidR="002E7F65" w:rsidRPr="002E7F65">
        <w:rPr>
          <w:lang w:val="en-GB"/>
        </w:rPr>
        <w:t>remarkable potential</w:t>
      </w:r>
      <w:r w:rsidR="0059771D">
        <w:rPr>
          <w:lang w:val="en-GB"/>
        </w:rPr>
        <w:t xml:space="preserve"> </w:t>
      </w:r>
      <w:r w:rsidR="002E7F65" w:rsidRPr="002E7F65">
        <w:rPr>
          <w:lang w:val="en-GB"/>
        </w:rPr>
        <w:t>nearly zeroing PM emissions</w:t>
      </w:r>
      <w:r w:rsidR="0059771D">
        <w:rPr>
          <w:lang w:val="en-GB"/>
        </w:rPr>
        <w:t xml:space="preserve"> an</w:t>
      </w:r>
      <w:r w:rsidR="00516C53">
        <w:rPr>
          <w:lang w:val="en-GB"/>
        </w:rPr>
        <w:t>d</w:t>
      </w:r>
      <w:r w:rsidR="0059771D">
        <w:rPr>
          <w:lang w:val="en-GB"/>
        </w:rPr>
        <w:t xml:space="preserve">, diversly from </w:t>
      </w:r>
      <w:r w:rsidR="00516C53">
        <w:rPr>
          <w:lang w:val="en-GB"/>
        </w:rPr>
        <w:t>“technological turnover”,</w:t>
      </w:r>
      <w:r w:rsidR="002E7F65" w:rsidRPr="002E7F65">
        <w:rPr>
          <w:lang w:val="en-GB"/>
        </w:rPr>
        <w:t xml:space="preserve"> achieving</w:t>
      </w:r>
      <w:r w:rsidR="00A855B6">
        <w:rPr>
          <w:lang w:val="en-GB"/>
        </w:rPr>
        <w:t xml:space="preserve"> also</w:t>
      </w:r>
      <w:r w:rsidR="002E7F65" w:rsidRPr="002E7F65">
        <w:rPr>
          <w:lang w:val="en-GB"/>
        </w:rPr>
        <w:t xml:space="preserve"> a 43% reduction in NOx emissions</w:t>
      </w:r>
      <w:r w:rsidR="0059771D">
        <w:rPr>
          <w:lang w:val="en-GB"/>
        </w:rPr>
        <w:t xml:space="preserve"> as well</w:t>
      </w:r>
      <w:r w:rsidR="002E7F65" w:rsidRPr="002E7F65">
        <w:rPr>
          <w:lang w:val="en-GB"/>
        </w:rPr>
        <w:t xml:space="preserve">. </w:t>
      </w:r>
    </w:p>
    <w:p w14:paraId="2D8A2403" w14:textId="14A8A2E9" w:rsidR="00A82B7E" w:rsidRDefault="00415EE4" w:rsidP="00110963">
      <w:pPr>
        <w:pStyle w:val="CETBodytext"/>
        <w:rPr>
          <w:lang w:val="en-GB"/>
        </w:rPr>
      </w:pPr>
      <w:r>
        <w:rPr>
          <w:lang w:val="en-GB"/>
        </w:rPr>
        <w:t>Regarding the greenhouse gas (GHG) emissions,</w:t>
      </w:r>
      <w:r w:rsidR="003033D3">
        <w:rPr>
          <w:lang w:val="en-GB"/>
        </w:rPr>
        <w:t xml:space="preserve"> one thing should be specified before reporting the assessed equivalent CO</w:t>
      </w:r>
      <w:r w:rsidR="003033D3" w:rsidRPr="0097509C">
        <w:rPr>
          <w:vertAlign w:val="subscript"/>
          <w:lang w:val="en-GB"/>
        </w:rPr>
        <w:t>2</w:t>
      </w:r>
      <w:r w:rsidR="003033D3">
        <w:rPr>
          <w:lang w:val="en-GB"/>
        </w:rPr>
        <w:t xml:space="preserve"> (CO</w:t>
      </w:r>
      <w:r w:rsidR="003033D3" w:rsidRPr="0097509C">
        <w:rPr>
          <w:vertAlign w:val="subscript"/>
          <w:lang w:val="en-GB"/>
        </w:rPr>
        <w:t>2eq</w:t>
      </w:r>
      <w:r w:rsidR="003033D3">
        <w:rPr>
          <w:lang w:val="en-GB"/>
        </w:rPr>
        <w:t>)</w:t>
      </w:r>
      <w:r w:rsidR="002C149C">
        <w:rPr>
          <w:lang w:val="en-GB"/>
        </w:rPr>
        <w:t xml:space="preserve"> emissions</w:t>
      </w:r>
      <w:r w:rsidR="003033D3">
        <w:rPr>
          <w:lang w:val="en-GB"/>
        </w:rPr>
        <w:t xml:space="preserve">. </w:t>
      </w:r>
      <w:r w:rsidR="00914E36">
        <w:rPr>
          <w:lang w:val="en-GB"/>
        </w:rPr>
        <w:t xml:space="preserve">The debate on </w:t>
      </w:r>
      <w:r w:rsidR="00376858">
        <w:rPr>
          <w:lang w:val="en-GB"/>
        </w:rPr>
        <w:t xml:space="preserve">the carbon </w:t>
      </w:r>
      <w:r w:rsidR="003D2004">
        <w:rPr>
          <w:lang w:val="en-GB"/>
        </w:rPr>
        <w:t xml:space="preserve">neutrality </w:t>
      </w:r>
      <w:r w:rsidR="00C37892">
        <w:rPr>
          <w:lang w:val="en-GB"/>
        </w:rPr>
        <w:t xml:space="preserve">of forest biomass is </w:t>
      </w:r>
      <w:r w:rsidR="00CD5C00">
        <w:rPr>
          <w:lang w:val="en-GB"/>
        </w:rPr>
        <w:t xml:space="preserve">still ongoing and there is not a consensus </w:t>
      </w:r>
      <w:r w:rsidR="00160DB8">
        <w:rPr>
          <w:lang w:val="en-GB"/>
        </w:rPr>
        <w:t xml:space="preserve">among scientists on </w:t>
      </w:r>
      <w:r w:rsidR="008D12CA">
        <w:rPr>
          <w:lang w:val="en-GB"/>
        </w:rPr>
        <w:t>this issue (</w:t>
      </w:r>
      <w:proofErr w:type="spellStart"/>
      <w:r w:rsidR="004805C1">
        <w:rPr>
          <w:lang w:val="en-GB"/>
        </w:rPr>
        <w:t>Berndes</w:t>
      </w:r>
      <w:proofErr w:type="spellEnd"/>
      <w:r w:rsidR="004805C1">
        <w:rPr>
          <w:lang w:val="en-GB"/>
        </w:rPr>
        <w:t xml:space="preserve"> et al., 2016</w:t>
      </w:r>
      <w:r w:rsidR="008D12CA">
        <w:rPr>
          <w:lang w:val="en-GB"/>
        </w:rPr>
        <w:t>).</w:t>
      </w:r>
      <w:r w:rsidR="00DB187A">
        <w:rPr>
          <w:lang w:val="en-GB"/>
        </w:rPr>
        <w:t xml:space="preserve"> </w:t>
      </w:r>
      <w:r w:rsidR="00C83FC8">
        <w:rPr>
          <w:lang w:val="en-GB"/>
        </w:rPr>
        <w:t>A</w:t>
      </w:r>
      <w:r w:rsidRPr="009026DD">
        <w:rPr>
          <w:lang w:val="en-GB"/>
        </w:rPr>
        <w:t xml:space="preserve"> significant portion of</w:t>
      </w:r>
      <w:r w:rsidR="00715F84">
        <w:rPr>
          <w:lang w:val="en-GB"/>
        </w:rPr>
        <w:t xml:space="preserve"> </w:t>
      </w:r>
      <w:r w:rsidR="00F224BE">
        <w:rPr>
          <w:lang w:val="en-GB"/>
        </w:rPr>
        <w:t xml:space="preserve">the </w:t>
      </w:r>
      <w:r w:rsidR="00715F84">
        <w:rPr>
          <w:lang w:val="en-GB"/>
        </w:rPr>
        <w:t>CO</w:t>
      </w:r>
      <w:r w:rsidR="00715F84" w:rsidRPr="00F07503">
        <w:rPr>
          <w:vertAlign w:val="subscript"/>
          <w:lang w:val="en-GB"/>
        </w:rPr>
        <w:t>2</w:t>
      </w:r>
      <w:r w:rsidR="00C83FC8">
        <w:rPr>
          <w:lang w:val="en-GB"/>
        </w:rPr>
        <w:t xml:space="preserve"> </w:t>
      </w:r>
      <w:r w:rsidRPr="009026DD">
        <w:rPr>
          <w:lang w:val="en-GB"/>
        </w:rPr>
        <w:t xml:space="preserve">emissions </w:t>
      </w:r>
      <w:r w:rsidR="00F224BE" w:rsidRPr="009026DD">
        <w:rPr>
          <w:lang w:val="en-GB"/>
        </w:rPr>
        <w:t xml:space="preserve">released </w:t>
      </w:r>
      <w:r w:rsidR="00F224BE">
        <w:rPr>
          <w:lang w:val="en-GB"/>
        </w:rPr>
        <w:t xml:space="preserve">firewood room heaters </w:t>
      </w:r>
      <w:r w:rsidRPr="009026DD">
        <w:rPr>
          <w:lang w:val="en-GB"/>
        </w:rPr>
        <w:t>is attributed to biogenic carbon dioxide</w:t>
      </w:r>
      <w:r w:rsidR="00F224BE">
        <w:rPr>
          <w:lang w:val="en-GB"/>
        </w:rPr>
        <w:t xml:space="preserve"> </w:t>
      </w:r>
      <w:r w:rsidR="00200CEF">
        <w:rPr>
          <w:lang w:val="en-GB"/>
        </w:rPr>
        <w:t>(</w:t>
      </w:r>
      <w:r w:rsidR="00200CEF" w:rsidRPr="009026DD">
        <w:rPr>
          <w:lang w:val="en-GB"/>
        </w:rPr>
        <w:t>Pierobon et al.</w:t>
      </w:r>
      <w:r w:rsidR="00200CEF">
        <w:rPr>
          <w:lang w:val="en-GB"/>
        </w:rPr>
        <w:t>,</w:t>
      </w:r>
      <w:r w:rsidR="00200CEF" w:rsidRPr="009026DD">
        <w:rPr>
          <w:lang w:val="en-GB"/>
        </w:rPr>
        <w:t xml:space="preserve"> 2015)</w:t>
      </w:r>
      <w:r w:rsidR="00B16B64">
        <w:rPr>
          <w:lang w:val="en-GB"/>
        </w:rPr>
        <w:t xml:space="preserve"> but the </w:t>
      </w:r>
      <w:r w:rsidR="00FB1FE7">
        <w:rPr>
          <w:lang w:val="en-GB"/>
        </w:rPr>
        <w:t>incl</w:t>
      </w:r>
      <w:r w:rsidR="00501D50">
        <w:rPr>
          <w:lang w:val="en-GB"/>
        </w:rPr>
        <w:t xml:space="preserve">usion of </w:t>
      </w:r>
      <w:r w:rsidRPr="009026DD">
        <w:rPr>
          <w:lang w:val="en-GB"/>
        </w:rPr>
        <w:t xml:space="preserve">biogenic emissions </w:t>
      </w:r>
      <w:r w:rsidR="00501D50">
        <w:rPr>
          <w:lang w:val="en-GB"/>
        </w:rPr>
        <w:t xml:space="preserve">and removals </w:t>
      </w:r>
      <w:r w:rsidRPr="009026DD">
        <w:rPr>
          <w:lang w:val="en-GB"/>
        </w:rPr>
        <w:t xml:space="preserve">remains a topic of discussion internationally, as they are often assumed to be equivalent to the carbon absorbed by forests and therefore neglected. International standards and guidelines typically do not account for biogenic carbon dioxide in life cycle assessment (LCA) studies, assuming carbon neutrality for biomass combustion. However, </w:t>
      </w:r>
      <w:r>
        <w:rPr>
          <w:lang w:val="en-GB"/>
        </w:rPr>
        <w:t xml:space="preserve">other co-emitted pollutants for example such as </w:t>
      </w:r>
      <w:r w:rsidRPr="009026DD">
        <w:rPr>
          <w:lang w:val="en-GB"/>
        </w:rPr>
        <w:t>methane, cannot be offset by the activity of absorption of trees and must be included in the accounting</w:t>
      </w:r>
      <w:r>
        <w:rPr>
          <w:lang w:val="en-GB"/>
        </w:rPr>
        <w:t xml:space="preserve"> and reported as CO</w:t>
      </w:r>
      <w:r w:rsidRPr="0097509C">
        <w:rPr>
          <w:vertAlign w:val="subscript"/>
          <w:lang w:val="en-GB"/>
        </w:rPr>
        <w:t>2eq</w:t>
      </w:r>
      <w:r w:rsidRPr="009026DD">
        <w:rPr>
          <w:lang w:val="en-GB"/>
        </w:rPr>
        <w:t>.</w:t>
      </w:r>
      <w:r>
        <w:rPr>
          <w:lang w:val="en-GB"/>
        </w:rPr>
        <w:t xml:space="preserve"> The production and supply chain can </w:t>
      </w:r>
      <w:r w:rsidR="00FC03E7">
        <w:rPr>
          <w:lang w:val="en-GB"/>
        </w:rPr>
        <w:t xml:space="preserve">also </w:t>
      </w:r>
      <w:r>
        <w:rPr>
          <w:lang w:val="en-GB"/>
        </w:rPr>
        <w:t xml:space="preserve">influence the overall GHG emissions of biomass fuels. </w:t>
      </w:r>
      <w:r w:rsidR="001B3F88">
        <w:rPr>
          <w:lang w:val="en-GB"/>
        </w:rPr>
        <w:t xml:space="preserve">This is specifically the case of pellets especially due to generally longer distance travelled for supply and fossil fuel utilization in the </w:t>
      </w:r>
      <w:proofErr w:type="spellStart"/>
      <w:r w:rsidR="001B3F88">
        <w:rPr>
          <w:lang w:val="en-GB"/>
        </w:rPr>
        <w:t>pelletization</w:t>
      </w:r>
      <w:proofErr w:type="spellEnd"/>
      <w:r w:rsidR="001B3F88">
        <w:rPr>
          <w:lang w:val="en-GB"/>
        </w:rPr>
        <w:t xml:space="preserve"> process</w:t>
      </w:r>
      <w:r w:rsidR="00973844">
        <w:rPr>
          <w:lang w:val="en-GB"/>
        </w:rPr>
        <w:t xml:space="preserve"> (Martin-Gamboa et al., 2020).</w:t>
      </w:r>
      <w:r w:rsidR="00E853A1">
        <w:rPr>
          <w:lang w:val="en-GB"/>
        </w:rPr>
        <w:t xml:space="preserve"> </w:t>
      </w:r>
      <w:r w:rsidR="00F07503" w:rsidRPr="00F07503">
        <w:rPr>
          <w:lang w:val="en-GB"/>
        </w:rPr>
        <w:t>The present study has chosen to assume carbon neutrality (i.e., biogenic CO</w:t>
      </w:r>
      <w:r w:rsidR="00F07503" w:rsidRPr="004D2003">
        <w:rPr>
          <w:vertAlign w:val="subscript"/>
          <w:lang w:val="en-GB"/>
        </w:rPr>
        <w:t>2</w:t>
      </w:r>
      <w:r w:rsidR="00F07503" w:rsidRPr="00F07503">
        <w:rPr>
          <w:lang w:val="en-GB"/>
        </w:rPr>
        <w:t xml:space="preserve"> excluded) and has taken as reference the emission factor</w:t>
      </w:r>
      <w:r w:rsidR="004D2003">
        <w:rPr>
          <w:lang w:val="en-GB"/>
        </w:rPr>
        <w:t>s</w:t>
      </w:r>
      <w:r w:rsidR="00F07503" w:rsidRPr="00F07503">
        <w:rPr>
          <w:lang w:val="en-GB"/>
        </w:rPr>
        <w:t xml:space="preserve"> for the long supply chain.</w:t>
      </w:r>
      <w:r w:rsidR="006B33D2">
        <w:rPr>
          <w:lang w:val="en-GB"/>
        </w:rPr>
        <w:t xml:space="preserve"> With these assumptions t</w:t>
      </w:r>
      <w:r w:rsidR="001B06F8">
        <w:rPr>
          <w:lang w:val="en-GB"/>
        </w:rPr>
        <w:t>he CO</w:t>
      </w:r>
      <w:r w:rsidR="001B06F8" w:rsidRPr="009B0AF6">
        <w:rPr>
          <w:vertAlign w:val="subscript"/>
          <w:lang w:val="en-GB"/>
        </w:rPr>
        <w:t>2eq</w:t>
      </w:r>
      <w:r w:rsidR="001B06F8">
        <w:rPr>
          <w:lang w:val="en-GB"/>
        </w:rPr>
        <w:t xml:space="preserve"> emission</w:t>
      </w:r>
      <w:r w:rsidR="006B33D2">
        <w:rPr>
          <w:lang w:val="en-GB"/>
        </w:rPr>
        <w:t xml:space="preserve">s associated with existing biomass heating appliances </w:t>
      </w:r>
      <w:r w:rsidR="001B06F8">
        <w:rPr>
          <w:lang w:val="en-GB"/>
        </w:rPr>
        <w:t xml:space="preserve">are 189 kt/y. </w:t>
      </w:r>
      <w:r w:rsidR="00110963">
        <w:rPr>
          <w:lang w:val="en-GB"/>
        </w:rPr>
        <w:t>W</w:t>
      </w:r>
      <w:r w:rsidR="002E7F65" w:rsidRPr="002E7F65">
        <w:rPr>
          <w:lang w:val="en-GB"/>
        </w:rPr>
        <w:t>hen all biomass appliances are replaced, the transition to LPG fuel results in a six-fold increase in CO</w:t>
      </w:r>
      <w:r w:rsidR="002E7F65" w:rsidRPr="002F1F03">
        <w:rPr>
          <w:vertAlign w:val="subscript"/>
          <w:lang w:val="en-GB"/>
        </w:rPr>
        <w:t>2eq</w:t>
      </w:r>
      <w:r w:rsidR="002E7F65" w:rsidRPr="002E7F65">
        <w:rPr>
          <w:lang w:val="en-GB"/>
        </w:rPr>
        <w:t xml:space="preserve"> emissions (1088 kt/y), while the technological turnover scenario leads to </w:t>
      </w:r>
      <w:r w:rsidR="000F218C">
        <w:rPr>
          <w:lang w:val="en-GB"/>
        </w:rPr>
        <w:t xml:space="preserve">about </w:t>
      </w:r>
      <w:r w:rsidR="002E7F65" w:rsidRPr="002E7F65">
        <w:rPr>
          <w:lang w:val="en-GB"/>
        </w:rPr>
        <w:t>a three-fold increase in emissions (647 kt/y).</w:t>
      </w:r>
      <w:r w:rsidR="00943314">
        <w:rPr>
          <w:lang w:val="en-GB"/>
        </w:rPr>
        <w:t xml:space="preserve"> </w:t>
      </w:r>
      <w:r w:rsidR="00C76F10">
        <w:rPr>
          <w:lang w:val="en-GB"/>
        </w:rPr>
        <w:t xml:space="preserve">In any case, </w:t>
      </w:r>
      <w:r w:rsidR="00A82B7E" w:rsidRPr="00A82B7E">
        <w:rPr>
          <w:lang w:val="en-GB"/>
        </w:rPr>
        <w:t>CO</w:t>
      </w:r>
      <w:r w:rsidR="00A82B7E" w:rsidRPr="003E7B41">
        <w:rPr>
          <w:vertAlign w:val="subscript"/>
          <w:lang w:val="en-GB"/>
        </w:rPr>
        <w:t>2eq</w:t>
      </w:r>
      <w:r w:rsidR="00A82B7E" w:rsidRPr="00A82B7E">
        <w:rPr>
          <w:lang w:val="en-GB"/>
        </w:rPr>
        <w:t xml:space="preserve"> emissions calculated for the two scenarios in</w:t>
      </w:r>
      <w:r w:rsidR="00A82B7E">
        <w:rPr>
          <w:lang w:val="en-GB"/>
        </w:rPr>
        <w:t xml:space="preserve"> </w:t>
      </w:r>
      <w:r w:rsidR="00A82B7E" w:rsidRPr="00A82B7E">
        <w:rPr>
          <w:lang w:val="en-GB"/>
        </w:rPr>
        <w:t xml:space="preserve">the present study </w:t>
      </w:r>
      <w:r w:rsidR="00C916EA">
        <w:rPr>
          <w:lang w:val="en-GB"/>
        </w:rPr>
        <w:t xml:space="preserve">result to be </w:t>
      </w:r>
      <w:r w:rsidR="00A82B7E" w:rsidRPr="00A82B7E">
        <w:rPr>
          <w:lang w:val="en-GB"/>
        </w:rPr>
        <w:t>limited compared to those</w:t>
      </w:r>
      <w:r w:rsidR="00A82B7E">
        <w:rPr>
          <w:lang w:val="en-GB"/>
        </w:rPr>
        <w:t xml:space="preserve"> </w:t>
      </w:r>
      <w:r w:rsidR="00A82B7E" w:rsidRPr="00A82B7E">
        <w:rPr>
          <w:lang w:val="en-GB"/>
        </w:rPr>
        <w:t>generated by non-industrial combustion</w:t>
      </w:r>
      <w:r w:rsidR="00D14A97">
        <w:rPr>
          <w:lang w:val="en-GB"/>
        </w:rPr>
        <w:t xml:space="preserve"> (i.e., household heating with</w:t>
      </w:r>
      <w:r w:rsidR="00FD1FC9">
        <w:rPr>
          <w:lang w:val="en-GB"/>
        </w:rPr>
        <w:t xml:space="preserve"> natural gas and other fossil fuels)</w:t>
      </w:r>
      <w:r w:rsidR="00A82B7E" w:rsidRPr="00A82B7E">
        <w:rPr>
          <w:lang w:val="en-GB"/>
        </w:rPr>
        <w:t>, as reported</w:t>
      </w:r>
      <w:r w:rsidR="00A82B7E">
        <w:rPr>
          <w:lang w:val="en-GB"/>
        </w:rPr>
        <w:t xml:space="preserve"> </w:t>
      </w:r>
      <w:r w:rsidR="00A82B7E" w:rsidRPr="00A82B7E">
        <w:rPr>
          <w:lang w:val="en-GB"/>
        </w:rPr>
        <w:t>by various regional emission inventories in the Po</w:t>
      </w:r>
      <w:r w:rsidR="00A82B7E">
        <w:rPr>
          <w:lang w:val="en-GB"/>
        </w:rPr>
        <w:t xml:space="preserve"> </w:t>
      </w:r>
      <w:r w:rsidR="00A82B7E" w:rsidRPr="00A82B7E">
        <w:rPr>
          <w:lang w:val="en-GB"/>
        </w:rPr>
        <w:t>basin</w:t>
      </w:r>
      <w:r w:rsidR="005C1D35">
        <w:rPr>
          <w:lang w:val="en-GB"/>
        </w:rPr>
        <w:t xml:space="preserve"> (e.g., </w:t>
      </w:r>
      <w:proofErr w:type="spellStart"/>
      <w:r w:rsidR="00A82B7E" w:rsidRPr="00A82B7E">
        <w:rPr>
          <w:lang w:val="en-GB"/>
        </w:rPr>
        <w:t>Lombardia</w:t>
      </w:r>
      <w:proofErr w:type="spellEnd"/>
      <w:r w:rsidR="00A82B7E" w:rsidRPr="00A82B7E">
        <w:rPr>
          <w:lang w:val="en-GB"/>
        </w:rPr>
        <w:t xml:space="preserve"> (2019): 13885 kt/y;</w:t>
      </w:r>
      <w:r w:rsidR="005C1D35">
        <w:rPr>
          <w:lang w:val="en-GB"/>
        </w:rPr>
        <w:t xml:space="preserve"> </w:t>
      </w:r>
      <w:r w:rsidR="00A82B7E" w:rsidRPr="00A82B7E">
        <w:rPr>
          <w:lang w:val="en-GB"/>
        </w:rPr>
        <w:t>Emilia Romagna (2020): 6140 kt/y;</w:t>
      </w:r>
      <w:r w:rsidR="005C1D35">
        <w:rPr>
          <w:lang w:val="en-GB"/>
        </w:rPr>
        <w:t xml:space="preserve"> </w:t>
      </w:r>
      <w:r w:rsidR="00A82B7E" w:rsidRPr="00A82B7E">
        <w:rPr>
          <w:lang w:val="en-GB"/>
        </w:rPr>
        <w:t>Veneto (2019): 6675 kt/y;</w:t>
      </w:r>
      <w:r w:rsidR="005C1D35">
        <w:rPr>
          <w:lang w:val="en-GB"/>
        </w:rPr>
        <w:t xml:space="preserve"> </w:t>
      </w:r>
      <w:r w:rsidR="00A82B7E" w:rsidRPr="00A82B7E">
        <w:rPr>
          <w:lang w:val="en-GB"/>
        </w:rPr>
        <w:t>Piemonte (2010): 7064 kt/y</w:t>
      </w:r>
      <w:r w:rsidR="005C1D35">
        <w:rPr>
          <w:lang w:val="en-GB"/>
        </w:rPr>
        <w:t>)</w:t>
      </w:r>
      <w:r w:rsidR="00A82B7E" w:rsidRPr="00A82B7E">
        <w:rPr>
          <w:lang w:val="en-GB"/>
        </w:rPr>
        <w:t>.</w:t>
      </w:r>
    </w:p>
    <w:p w14:paraId="2F7414CF" w14:textId="023E2E92" w:rsidR="007E3C9E" w:rsidRPr="00497ADC" w:rsidRDefault="007E3C9E" w:rsidP="007E3C9E">
      <w:pPr>
        <w:pStyle w:val="CETheadingx"/>
        <w:rPr>
          <w:lang w:val="en-GB"/>
        </w:rPr>
      </w:pPr>
      <w:r>
        <w:t>Sustainability of fuel and technology alternatives</w:t>
      </w:r>
      <w:r w:rsidR="00AC710A">
        <w:t xml:space="preserve"> in the area</w:t>
      </w:r>
      <w:r>
        <w:t xml:space="preserve"> </w:t>
      </w:r>
    </w:p>
    <w:p w14:paraId="33C434A8" w14:textId="4A56EAD5" w:rsidR="00C65BC9" w:rsidRPr="00877AE2" w:rsidRDefault="00A9498B" w:rsidP="004B541B">
      <w:pPr>
        <w:pStyle w:val="CETBodytext"/>
      </w:pPr>
      <w:r>
        <w:rPr>
          <w:lang w:val="en-GB"/>
        </w:rPr>
        <w:t>Regarding the pellets</w:t>
      </w:r>
      <w:r w:rsidR="009922EF">
        <w:rPr>
          <w:lang w:val="en-GB"/>
        </w:rPr>
        <w:t xml:space="preserve">, as </w:t>
      </w:r>
      <w:r w:rsidR="009922EF" w:rsidRPr="002B5473">
        <w:rPr>
          <w:lang w:val="en-GB"/>
        </w:rPr>
        <w:t>a densified fue</w:t>
      </w:r>
      <w:r w:rsidR="009922EF">
        <w:rPr>
          <w:lang w:val="en-GB"/>
        </w:rPr>
        <w:t xml:space="preserve">l </w:t>
      </w:r>
      <w:r w:rsidR="00E97A1B">
        <w:rPr>
          <w:lang w:val="en-GB"/>
        </w:rPr>
        <w:t>it</w:t>
      </w:r>
      <w:r w:rsidR="002B5473" w:rsidRPr="002B5473">
        <w:rPr>
          <w:lang w:val="en-GB"/>
        </w:rPr>
        <w:t xml:space="preserve"> present</w:t>
      </w:r>
      <w:r w:rsidR="00E97A1B">
        <w:rPr>
          <w:lang w:val="en-GB"/>
        </w:rPr>
        <w:t>s</w:t>
      </w:r>
      <w:r w:rsidR="002B5473" w:rsidRPr="002B5473">
        <w:rPr>
          <w:lang w:val="en-GB"/>
        </w:rPr>
        <w:t xml:space="preserve"> standardised properties, low moisture and high-energy content, high density </w:t>
      </w:r>
      <w:r w:rsidR="00B92BE5">
        <w:rPr>
          <w:lang w:val="en-GB"/>
        </w:rPr>
        <w:t xml:space="preserve">(i.e., </w:t>
      </w:r>
      <w:r w:rsidR="002B5473" w:rsidRPr="002B5473">
        <w:rPr>
          <w:lang w:val="en-GB"/>
        </w:rPr>
        <w:t xml:space="preserve">ease of </w:t>
      </w:r>
      <w:r w:rsidR="002B5473" w:rsidRPr="00F17513">
        <w:rPr>
          <w:lang w:val="en-GB"/>
        </w:rPr>
        <w:t>transport, storage and handling</w:t>
      </w:r>
      <w:r w:rsidR="00B92BE5" w:rsidRPr="00F17513">
        <w:rPr>
          <w:lang w:val="en-GB"/>
        </w:rPr>
        <w:t>)</w:t>
      </w:r>
      <w:r w:rsidR="00A965DB" w:rsidRPr="00F17513">
        <w:rPr>
          <w:lang w:val="en-GB"/>
        </w:rPr>
        <w:t xml:space="preserve"> which</w:t>
      </w:r>
      <w:r w:rsidR="00B92BE5" w:rsidRPr="00F17513">
        <w:rPr>
          <w:lang w:val="en-GB"/>
        </w:rPr>
        <w:t xml:space="preserve"> </w:t>
      </w:r>
      <w:r w:rsidR="004840AF" w:rsidRPr="00F17513">
        <w:rPr>
          <w:lang w:val="en-GB"/>
        </w:rPr>
        <w:t xml:space="preserve">combined with the </w:t>
      </w:r>
      <w:r w:rsidR="00E44B67" w:rsidRPr="00F17513">
        <w:rPr>
          <w:lang w:val="en-GB"/>
        </w:rPr>
        <w:t xml:space="preserve">capability of </w:t>
      </w:r>
      <w:r w:rsidR="00C31275" w:rsidRPr="00F17513">
        <w:rPr>
          <w:lang w:val="en-GB"/>
        </w:rPr>
        <w:t xml:space="preserve">keeping optimal air/fuel ratios </w:t>
      </w:r>
      <w:r w:rsidR="001322C1" w:rsidRPr="00F17513">
        <w:rPr>
          <w:lang w:val="en-GB"/>
        </w:rPr>
        <w:t xml:space="preserve">thanks to </w:t>
      </w:r>
      <w:r w:rsidR="00E44B67" w:rsidRPr="00F17513">
        <w:rPr>
          <w:lang w:val="en-GB"/>
        </w:rPr>
        <w:t xml:space="preserve">automatic feeding in </w:t>
      </w:r>
      <w:r w:rsidR="00577E36" w:rsidRPr="00F17513">
        <w:rPr>
          <w:lang w:val="en-GB"/>
        </w:rPr>
        <w:t>room heaters and boiler</w:t>
      </w:r>
      <w:r w:rsidR="001322C1" w:rsidRPr="00F17513">
        <w:rPr>
          <w:lang w:val="en-GB"/>
        </w:rPr>
        <w:t>s</w:t>
      </w:r>
      <w:r w:rsidR="000B1FD3" w:rsidRPr="00F17513">
        <w:rPr>
          <w:lang w:val="en-GB"/>
        </w:rPr>
        <w:t xml:space="preserve"> </w:t>
      </w:r>
      <w:r w:rsidR="00C31275" w:rsidRPr="00F17513">
        <w:rPr>
          <w:lang w:val="en-GB"/>
        </w:rPr>
        <w:t>under</w:t>
      </w:r>
      <w:r w:rsidR="00E44B67" w:rsidRPr="00F17513">
        <w:rPr>
          <w:lang w:val="en-GB"/>
        </w:rPr>
        <w:t xml:space="preserve"> variable heating loads</w:t>
      </w:r>
      <w:r w:rsidR="001322C1" w:rsidRPr="00F17513">
        <w:rPr>
          <w:lang w:val="en-GB"/>
        </w:rPr>
        <w:t xml:space="preserve">, </w:t>
      </w:r>
      <w:r w:rsidR="008F6ADE" w:rsidRPr="00F17513">
        <w:rPr>
          <w:lang w:val="en-GB"/>
        </w:rPr>
        <w:t xml:space="preserve">results to be more sustainable compared to unprocessed biomass (i.e., firewood) use in </w:t>
      </w:r>
      <w:r w:rsidR="00681EBB" w:rsidRPr="00F17513">
        <w:rPr>
          <w:lang w:val="en-GB"/>
        </w:rPr>
        <w:t>conventional</w:t>
      </w:r>
      <w:r w:rsidR="008F6ADE" w:rsidRPr="00F17513">
        <w:rPr>
          <w:lang w:val="en-GB"/>
        </w:rPr>
        <w:t xml:space="preserve"> heating appliances</w:t>
      </w:r>
      <w:r w:rsidR="00E97A1B" w:rsidRPr="00F17513">
        <w:rPr>
          <w:lang w:val="en-GB"/>
        </w:rPr>
        <w:t xml:space="preserve"> (Ozgen, 2022)</w:t>
      </w:r>
      <w:r w:rsidR="002B5473" w:rsidRPr="00F17513">
        <w:rPr>
          <w:lang w:val="en-GB"/>
        </w:rPr>
        <w:t>.</w:t>
      </w:r>
      <w:r w:rsidR="00681EBB" w:rsidRPr="00F17513">
        <w:rPr>
          <w:lang w:val="en-GB"/>
        </w:rPr>
        <w:t xml:space="preserve"> A further </w:t>
      </w:r>
      <w:r w:rsidR="00206C1D" w:rsidRPr="00F17513">
        <w:rPr>
          <w:lang w:val="en-GB"/>
        </w:rPr>
        <w:t xml:space="preserve">positive sustainable factor </w:t>
      </w:r>
      <w:r w:rsidR="00D22D41" w:rsidRPr="00F17513">
        <w:rPr>
          <w:lang w:val="en-GB"/>
        </w:rPr>
        <w:t>is the relatively low</w:t>
      </w:r>
      <w:r w:rsidR="00CE00EE" w:rsidRPr="00F17513">
        <w:rPr>
          <w:lang w:val="en-GB"/>
        </w:rPr>
        <w:t>er</w:t>
      </w:r>
      <w:r w:rsidR="00D22D41" w:rsidRPr="00F17513">
        <w:rPr>
          <w:lang w:val="en-GB"/>
        </w:rPr>
        <w:t xml:space="preserve"> health impact</w:t>
      </w:r>
      <w:r w:rsidR="0011355C" w:rsidRPr="00F17513">
        <w:rPr>
          <w:lang w:val="en-GB"/>
        </w:rPr>
        <w:t xml:space="preserve"> of PM from pellet heating appliances</w:t>
      </w:r>
      <w:r w:rsidR="00FB6F1D" w:rsidRPr="00F17513">
        <w:rPr>
          <w:lang w:val="en-GB"/>
        </w:rPr>
        <w:t xml:space="preserve"> in terms of toxicity </w:t>
      </w:r>
      <w:r w:rsidR="001122D2" w:rsidRPr="00F17513">
        <w:rPr>
          <w:lang w:val="en-GB"/>
        </w:rPr>
        <w:t>(Corsini et al., 2017</w:t>
      </w:r>
      <w:r w:rsidR="008E4F69" w:rsidRPr="00F17513">
        <w:rPr>
          <w:lang w:val="en-GB"/>
        </w:rPr>
        <w:t>; Jalava et al., 2012</w:t>
      </w:r>
      <w:r w:rsidR="001122D2" w:rsidRPr="00F17513">
        <w:rPr>
          <w:lang w:val="en-GB"/>
        </w:rPr>
        <w:t>)</w:t>
      </w:r>
      <w:r w:rsidR="00C213E9" w:rsidRPr="00F17513">
        <w:rPr>
          <w:lang w:val="en-GB"/>
        </w:rPr>
        <w:t xml:space="preserve"> and genotoxic potential </w:t>
      </w:r>
      <w:r w:rsidR="001122D2" w:rsidRPr="00F17513">
        <w:rPr>
          <w:lang w:val="en-GB"/>
        </w:rPr>
        <w:lastRenderedPageBreak/>
        <w:t>(</w:t>
      </w:r>
      <w:proofErr w:type="spellStart"/>
      <w:r w:rsidR="001122D2" w:rsidRPr="00F17513">
        <w:rPr>
          <w:lang w:val="en-GB"/>
        </w:rPr>
        <w:t>Marabini</w:t>
      </w:r>
      <w:proofErr w:type="spellEnd"/>
      <w:r w:rsidR="001122D2" w:rsidRPr="00F17513">
        <w:rPr>
          <w:lang w:val="en-GB"/>
        </w:rPr>
        <w:t xml:space="preserve"> et al., </w:t>
      </w:r>
      <w:r w:rsidR="00BB773E" w:rsidRPr="00F17513">
        <w:rPr>
          <w:lang w:val="en-GB"/>
        </w:rPr>
        <w:t>2017</w:t>
      </w:r>
      <w:r w:rsidR="001122D2" w:rsidRPr="00F17513">
        <w:rPr>
          <w:lang w:val="en-GB"/>
        </w:rPr>
        <w:t>)</w:t>
      </w:r>
      <w:r w:rsidR="00C213E9" w:rsidRPr="00F17513">
        <w:rPr>
          <w:lang w:val="en-GB"/>
        </w:rPr>
        <w:t>.</w:t>
      </w:r>
      <w:r w:rsidR="0014155B" w:rsidRPr="00F17513">
        <w:rPr>
          <w:lang w:val="en-GB"/>
        </w:rPr>
        <w:t xml:space="preserve"> However,</w:t>
      </w:r>
      <w:r w:rsidR="006D2EB1" w:rsidRPr="00F17513">
        <w:rPr>
          <w:lang w:val="en-GB"/>
        </w:rPr>
        <w:t xml:space="preserve"> for </w:t>
      </w:r>
      <w:r w:rsidR="0014155B" w:rsidRPr="00F17513">
        <w:rPr>
          <w:lang w:val="en-GB"/>
        </w:rPr>
        <w:t xml:space="preserve"> </w:t>
      </w:r>
      <w:r w:rsidR="006D2EB1" w:rsidRPr="00F17513">
        <w:rPr>
          <w:lang w:val="en-GB"/>
        </w:rPr>
        <w:t xml:space="preserve">pellets </w:t>
      </w:r>
      <w:r w:rsidR="00E02D42" w:rsidRPr="00F17513">
        <w:rPr>
          <w:lang w:val="en-GB"/>
        </w:rPr>
        <w:t>appliance use a</w:t>
      </w:r>
      <w:r w:rsidR="006D2EB1" w:rsidRPr="00F17513">
        <w:rPr>
          <w:lang w:val="en-GB"/>
        </w:rPr>
        <w:t>s a</w:t>
      </w:r>
      <w:r w:rsidR="00E02D42" w:rsidRPr="00F17513">
        <w:rPr>
          <w:lang w:val="en-GB"/>
        </w:rPr>
        <w:t xml:space="preserve"> </w:t>
      </w:r>
      <w:r w:rsidR="0046278A" w:rsidRPr="00F17513">
        <w:rPr>
          <w:lang w:val="en-GB"/>
        </w:rPr>
        <w:t xml:space="preserve">sustainable alternative it can be said that there is room for improvement. </w:t>
      </w:r>
    </w:p>
    <w:p w14:paraId="439FC4D5" w14:textId="3831A288" w:rsidR="00F637EF" w:rsidRDefault="00F637EF" w:rsidP="00F637EF">
      <w:pPr>
        <w:pStyle w:val="CETBodytext"/>
        <w:rPr>
          <w:lang w:val="en-GB"/>
        </w:rPr>
      </w:pPr>
      <w:r w:rsidRPr="00F17513">
        <w:rPr>
          <w:lang w:val="en-GB"/>
        </w:rPr>
        <w:t xml:space="preserve">When considering the utilization of LPG as a replacement for biomass in traditional residential heating appliances like boilers and stoves, with the aim of improving air quality, it is important to recognize that LPG should be viewed </w:t>
      </w:r>
      <w:r w:rsidR="00980C1A" w:rsidRPr="00F17513">
        <w:rPr>
          <w:lang w:val="en-GB"/>
        </w:rPr>
        <w:t xml:space="preserve">only </w:t>
      </w:r>
      <w:r w:rsidRPr="00F17513">
        <w:rPr>
          <w:lang w:val="en-GB"/>
        </w:rPr>
        <w:t>as a temporary solution due to its fossil CO</w:t>
      </w:r>
      <w:r w:rsidRPr="00F17513">
        <w:rPr>
          <w:vertAlign w:val="subscript"/>
          <w:lang w:val="en-GB"/>
        </w:rPr>
        <w:t>2</w:t>
      </w:r>
      <w:r w:rsidRPr="00F17513">
        <w:rPr>
          <w:lang w:val="en-GB"/>
        </w:rPr>
        <w:t xml:space="preserve"> emissions. The use of </w:t>
      </w:r>
      <w:proofErr w:type="spellStart"/>
      <w:r w:rsidRPr="00F17513">
        <w:rPr>
          <w:lang w:val="en-GB"/>
        </w:rPr>
        <w:t>bioLPG</w:t>
      </w:r>
      <w:proofErr w:type="spellEnd"/>
      <w:r w:rsidRPr="00F17513">
        <w:rPr>
          <w:lang w:val="en-GB"/>
        </w:rPr>
        <w:t xml:space="preserve"> - the renewable</w:t>
      </w:r>
      <w:r w:rsidRPr="00F17513">
        <w:t xml:space="preserve"> form of LPG produced from renewable feedstocks such as plant and vegetable waste material may e</w:t>
      </w:r>
      <w:proofErr w:type="spellStart"/>
      <w:r w:rsidRPr="00F17513">
        <w:rPr>
          <w:lang w:val="en-GB"/>
        </w:rPr>
        <w:t>nsure</w:t>
      </w:r>
      <w:proofErr w:type="spellEnd"/>
      <w:r w:rsidRPr="00F17513">
        <w:rPr>
          <w:lang w:val="en-GB"/>
        </w:rPr>
        <w:t xml:space="preserve"> that this solution is in line with decarb</w:t>
      </w:r>
      <w:r w:rsidRPr="0061217B">
        <w:rPr>
          <w:lang w:val="en-GB"/>
        </w:rPr>
        <w:t>onization efforts</w:t>
      </w:r>
      <w:r>
        <w:t xml:space="preserve">. </w:t>
      </w:r>
      <w:proofErr w:type="spellStart"/>
      <w:r w:rsidRPr="00AD21C1">
        <w:t>BioLPG</w:t>
      </w:r>
      <w:proofErr w:type="spellEnd"/>
      <w:r w:rsidRPr="00AD21C1">
        <w:t xml:space="preserve"> offers the advantage of being a drop-in fuel that can be used in existing boilers, but further research and development </w:t>
      </w:r>
      <w:r>
        <w:t>(</w:t>
      </w:r>
      <w:r w:rsidRPr="00E13732">
        <w:rPr>
          <w:lang w:val="en-GB"/>
        </w:rPr>
        <w:t>R&amp;D</w:t>
      </w:r>
      <w:r>
        <w:t xml:space="preserve">) </w:t>
      </w:r>
      <w:r w:rsidRPr="00AD21C1">
        <w:t>may be necessary to optimize its production.</w:t>
      </w:r>
      <w:r w:rsidRPr="004B541B">
        <w:t xml:space="preserve"> Especially, the carbon footprint should be analyzed using a life cycle assessment approach, which considers all emissions and energy consumption associated with its production, transportation, and use.</w:t>
      </w:r>
      <w:r>
        <w:t xml:space="preserve"> With the perspective of using </w:t>
      </w:r>
      <w:proofErr w:type="spellStart"/>
      <w:r>
        <w:t>bioLPG</w:t>
      </w:r>
      <w:proofErr w:type="spellEnd"/>
      <w:r>
        <w:t>, other incentivized renewable energy technologies such as g</w:t>
      </w:r>
      <w:r w:rsidRPr="007D5A44">
        <w:t xml:space="preserve">as driven heat pumps (gas engine heat pumps, gas absorption heat pumps) (Pawela and </w:t>
      </w:r>
      <w:proofErr w:type="spellStart"/>
      <w:r w:rsidRPr="007D5A44">
        <w:t>Jaszczur</w:t>
      </w:r>
      <w:proofErr w:type="spellEnd"/>
      <w:r w:rsidRPr="007D5A44">
        <w:t>, 2022)</w:t>
      </w:r>
      <w:r>
        <w:t xml:space="preserve"> </w:t>
      </w:r>
      <w:r w:rsidRPr="007D5A44">
        <w:t xml:space="preserve">can also </w:t>
      </w:r>
      <w:r>
        <w:t>constitute a</w:t>
      </w:r>
      <w:r w:rsidR="002F6CED">
        <w:t xml:space="preserve"> sustainable </w:t>
      </w:r>
      <w:r>
        <w:t>alternative solution. It is shown that g</w:t>
      </w:r>
      <w:r w:rsidRPr="007D5A44">
        <w:t>as engine heat pumps can have better environmental performance compared to electric heat pumps both in heating and cooling operations (Rosselli et al., 2021)</w:t>
      </w:r>
      <w:r>
        <w:t xml:space="preserve">. </w:t>
      </w:r>
      <w:r w:rsidRPr="007D5A44">
        <w:t xml:space="preserve">Gas absorption heat pumps </w:t>
      </w:r>
      <w:r>
        <w:t xml:space="preserve">in particulate </w:t>
      </w:r>
      <w:r w:rsidRPr="007D5A44">
        <w:t>enable fuel saving and the exploitation of renewable energy even in heating systems based on radiators, which require high supply temperature (Famiglietti et al., 2021; Brenn et al., 2010)</w:t>
      </w:r>
      <w:r>
        <w:t>. Even though r</w:t>
      </w:r>
      <w:r w:rsidRPr="007D5A44">
        <w:t xml:space="preserve">esidential heating examples exist (Rosselli et al., 2021; </w:t>
      </w:r>
      <w:proofErr w:type="spellStart"/>
      <w:r w:rsidRPr="007D5A44">
        <w:t>Scoccia</w:t>
      </w:r>
      <w:proofErr w:type="spellEnd"/>
      <w:r w:rsidRPr="007D5A44">
        <w:t xml:space="preserve"> et al., 2018),</w:t>
      </w:r>
      <w:r>
        <w:t xml:space="preserve"> there is still </w:t>
      </w:r>
      <w:r w:rsidRPr="007D5A44">
        <w:rPr>
          <w:lang w:val="en-GB"/>
        </w:rPr>
        <w:t xml:space="preserve">R&amp;D </w:t>
      </w:r>
      <w:r>
        <w:rPr>
          <w:lang w:val="en-GB"/>
        </w:rPr>
        <w:t xml:space="preserve">need  </w:t>
      </w:r>
      <w:r w:rsidRPr="007D5A44">
        <w:rPr>
          <w:lang w:val="en-GB"/>
        </w:rPr>
        <w:t>on appropriately sized products for small heating applications</w:t>
      </w:r>
      <w:r>
        <w:rPr>
          <w:lang w:val="en-GB"/>
        </w:rPr>
        <w:t>.</w:t>
      </w:r>
    </w:p>
    <w:p w14:paraId="7F2DD47B" w14:textId="0A54535C" w:rsidR="00076A04" w:rsidRPr="00B57B36" w:rsidRDefault="00076A04" w:rsidP="00076A04">
      <w:pPr>
        <w:pStyle w:val="CETHeading1"/>
        <w:rPr>
          <w:lang w:val="en-GB"/>
        </w:rPr>
      </w:pPr>
      <w:r>
        <w:rPr>
          <w:lang w:val="en-GB"/>
        </w:rPr>
        <w:t>Conclusions</w:t>
      </w:r>
    </w:p>
    <w:p w14:paraId="0E68DF95" w14:textId="16549B36" w:rsidR="001A5864" w:rsidRDefault="00505AC1" w:rsidP="002B2956">
      <w:pPr>
        <w:pStyle w:val="CETBodytext"/>
      </w:pPr>
      <w:r w:rsidRPr="00494AEE">
        <w:t>The study investigated</w:t>
      </w:r>
      <w:r w:rsidR="00494AEE">
        <w:t xml:space="preserve"> </w:t>
      </w:r>
      <w:r w:rsidR="0078475A">
        <w:t xml:space="preserve">the sustainability of the main </w:t>
      </w:r>
      <w:r w:rsidR="009C1471">
        <w:t xml:space="preserve">residential </w:t>
      </w:r>
      <w:r w:rsidR="0078475A">
        <w:t xml:space="preserve">heating fuel </w:t>
      </w:r>
      <w:r w:rsidR="009C1471">
        <w:t xml:space="preserve">and technology </w:t>
      </w:r>
      <w:r w:rsidR="0078475A">
        <w:t xml:space="preserve">options in terms of </w:t>
      </w:r>
      <w:r w:rsidR="00494AEE">
        <w:t>primary</w:t>
      </w:r>
      <w:r w:rsidRPr="00494AEE">
        <w:t xml:space="preserve"> </w:t>
      </w:r>
      <w:r w:rsidR="00494AEE" w:rsidRPr="00494AEE">
        <w:t>PM</w:t>
      </w:r>
      <w:r w:rsidR="00494AEE">
        <w:t>10</w:t>
      </w:r>
      <w:r w:rsidR="00494AEE" w:rsidRPr="00494AEE">
        <w:t xml:space="preserve"> a</w:t>
      </w:r>
      <w:r w:rsidR="00494AEE">
        <w:t xml:space="preserve">nd NOx emissions </w:t>
      </w:r>
      <w:r w:rsidR="00596011">
        <w:t xml:space="preserve">in small mountain municipalities in the Po Valley </w:t>
      </w:r>
      <w:r w:rsidR="00570A62">
        <w:t xml:space="preserve">where </w:t>
      </w:r>
      <w:r w:rsidR="00AF638E">
        <w:t xml:space="preserve">households are not connected to the natural gas </w:t>
      </w:r>
      <w:r w:rsidR="007A7431">
        <w:t>grid</w:t>
      </w:r>
      <w:r w:rsidR="008C646E">
        <w:t xml:space="preserve">. For this purpose the </w:t>
      </w:r>
      <w:r w:rsidR="00B96E0F">
        <w:t xml:space="preserve">current </w:t>
      </w:r>
      <w:r w:rsidR="008C646E">
        <w:t>emissions from residential b</w:t>
      </w:r>
      <w:r w:rsidR="00B96E0F">
        <w:t>iomass combustion are calculated and</w:t>
      </w:r>
      <w:r w:rsidR="00596011">
        <w:t xml:space="preserve"> </w:t>
      </w:r>
      <w:r w:rsidR="004F458B">
        <w:t xml:space="preserve">emission reduction scenarios inherent with the </w:t>
      </w:r>
      <w:r w:rsidR="00D839CF">
        <w:t xml:space="preserve">technology and fuel oriented </w:t>
      </w:r>
      <w:r w:rsidR="004F458B">
        <w:t>economic and f</w:t>
      </w:r>
      <w:r w:rsidR="00F461F5">
        <w:t>iscal incentive schemes active in the area</w:t>
      </w:r>
      <w:r w:rsidR="00231A15">
        <w:t xml:space="preserve"> were assessed</w:t>
      </w:r>
      <w:r w:rsidR="00D839CF">
        <w:t>.</w:t>
      </w:r>
    </w:p>
    <w:p w14:paraId="1DF9982F" w14:textId="608F8376" w:rsidR="001B72C7" w:rsidRDefault="00231A15" w:rsidP="002B2956">
      <w:pPr>
        <w:pStyle w:val="CETBodytext"/>
        <w:rPr>
          <w:lang w:val="en-GB"/>
        </w:rPr>
      </w:pPr>
      <w:r>
        <w:t>It is seen that in line with the main f</w:t>
      </w:r>
      <w:r>
        <w:rPr>
          <w:lang w:val="en-GB"/>
        </w:rPr>
        <w:t xml:space="preserve">actors </w:t>
      </w:r>
      <w:r w:rsidRPr="00CF1AA4">
        <w:rPr>
          <w:lang w:val="en-GB"/>
        </w:rPr>
        <w:t>influencing the environmental and energy performance of the residential heating appliances</w:t>
      </w:r>
      <w:r w:rsidR="00895EB1">
        <w:rPr>
          <w:lang w:val="en-GB"/>
        </w:rPr>
        <w:t xml:space="preserve"> (i.e., </w:t>
      </w:r>
      <w:r>
        <w:rPr>
          <w:lang w:val="en-GB"/>
        </w:rPr>
        <w:t>f</w:t>
      </w:r>
      <w:r w:rsidRPr="00CF1AA4">
        <w:rPr>
          <w:lang w:val="en-GB"/>
        </w:rPr>
        <w:t>uel quality</w:t>
      </w:r>
      <w:r>
        <w:rPr>
          <w:lang w:val="en-GB"/>
        </w:rPr>
        <w:t xml:space="preserve">, </w:t>
      </w:r>
      <w:r w:rsidR="00895EB1">
        <w:rPr>
          <w:lang w:val="en-GB"/>
        </w:rPr>
        <w:t>appliance technology</w:t>
      </w:r>
      <w:r>
        <w:rPr>
          <w:lang w:val="en-GB"/>
        </w:rPr>
        <w:t>, o</w:t>
      </w:r>
      <w:r w:rsidRPr="00CF1AA4">
        <w:rPr>
          <w:lang w:val="en-GB"/>
        </w:rPr>
        <w:t>perating conditions</w:t>
      </w:r>
      <w:r>
        <w:rPr>
          <w:lang w:val="en-GB"/>
        </w:rPr>
        <w:t>, u</w:t>
      </w:r>
      <w:r w:rsidRPr="00CF1AA4">
        <w:rPr>
          <w:lang w:val="en-GB"/>
        </w:rPr>
        <w:t xml:space="preserve">ser </w:t>
      </w:r>
      <w:proofErr w:type="spellStart"/>
      <w:r w:rsidRPr="00CF1AA4">
        <w:rPr>
          <w:lang w:val="en-GB"/>
        </w:rPr>
        <w:t>behavior</w:t>
      </w:r>
      <w:proofErr w:type="spellEnd"/>
      <w:r w:rsidR="00895EB1">
        <w:rPr>
          <w:lang w:val="en-GB"/>
        </w:rPr>
        <w:t xml:space="preserve">, </w:t>
      </w:r>
      <w:r w:rsidRPr="00CF1AA4">
        <w:rPr>
          <w:lang w:val="en-GB"/>
        </w:rPr>
        <w:t>appliance and stack maintenance conditions)</w:t>
      </w:r>
      <w:r w:rsidR="00AE747B">
        <w:rPr>
          <w:lang w:val="en-GB"/>
        </w:rPr>
        <w:t xml:space="preserve"> technology oriented </w:t>
      </w:r>
      <w:r w:rsidR="0023029B">
        <w:rPr>
          <w:lang w:val="en-GB"/>
        </w:rPr>
        <w:t xml:space="preserve">strategies such as “technological turnover” of biomass </w:t>
      </w:r>
      <w:r w:rsidR="00291246">
        <w:rPr>
          <w:lang w:val="en-GB"/>
        </w:rPr>
        <w:t>appliances</w:t>
      </w:r>
      <w:r w:rsidR="001E51BA">
        <w:rPr>
          <w:lang w:val="en-GB"/>
        </w:rPr>
        <w:t xml:space="preserve"> </w:t>
      </w:r>
      <w:r w:rsidR="005A6837">
        <w:rPr>
          <w:lang w:val="en-GB"/>
        </w:rPr>
        <w:t>(i.e., replacement of existing biomass heating appliances with 5-star pellet appliances)</w:t>
      </w:r>
      <w:r w:rsidR="00BA1B7B">
        <w:rPr>
          <w:lang w:val="en-GB"/>
        </w:rPr>
        <w:t xml:space="preserve"> </w:t>
      </w:r>
      <w:r w:rsidR="00FE05F8">
        <w:rPr>
          <w:lang w:val="en-GB"/>
        </w:rPr>
        <w:t>would</w:t>
      </w:r>
      <w:r w:rsidR="00BA1B7B">
        <w:rPr>
          <w:lang w:val="en-GB"/>
        </w:rPr>
        <w:t xml:space="preserve"> bring an important reduction in PM emissions (93%)</w:t>
      </w:r>
      <w:r w:rsidR="00FE05F8">
        <w:rPr>
          <w:lang w:val="en-GB"/>
        </w:rPr>
        <w:t xml:space="preserve"> but </w:t>
      </w:r>
      <w:r w:rsidR="00291246">
        <w:rPr>
          <w:lang w:val="en-GB"/>
        </w:rPr>
        <w:t xml:space="preserve">would not </w:t>
      </w:r>
      <w:r w:rsidR="005E4C0C">
        <w:rPr>
          <w:lang w:val="en-GB"/>
        </w:rPr>
        <w:t xml:space="preserve">be </w:t>
      </w:r>
      <w:r w:rsidR="00AE48B1">
        <w:rPr>
          <w:lang w:val="en-GB"/>
        </w:rPr>
        <w:t xml:space="preserve">completely </w:t>
      </w:r>
      <w:r w:rsidR="005E4C0C">
        <w:rPr>
          <w:lang w:val="en-GB"/>
        </w:rPr>
        <w:t>e</w:t>
      </w:r>
      <w:r w:rsidR="00AE48B1">
        <w:rPr>
          <w:lang w:val="en-GB"/>
        </w:rPr>
        <w:t xml:space="preserve">ffective since </w:t>
      </w:r>
      <w:r w:rsidR="009C1EBC">
        <w:rPr>
          <w:lang w:val="en-GB"/>
        </w:rPr>
        <w:t xml:space="preserve">no significant benefit is seen for </w:t>
      </w:r>
      <w:r w:rsidR="00ED2B7C">
        <w:rPr>
          <w:lang w:val="en-GB"/>
        </w:rPr>
        <w:t xml:space="preserve">NOx emission when </w:t>
      </w:r>
      <w:r w:rsidR="009C1EBC">
        <w:rPr>
          <w:lang w:val="en-GB"/>
        </w:rPr>
        <w:t>transitioning to advanced bio</w:t>
      </w:r>
      <w:r w:rsidR="00ED2B7C">
        <w:rPr>
          <w:lang w:val="en-GB"/>
        </w:rPr>
        <w:t>mass appliances</w:t>
      </w:r>
      <w:r w:rsidR="00885175">
        <w:rPr>
          <w:lang w:val="en-GB"/>
        </w:rPr>
        <w:t xml:space="preserve">. On the other hand if the same amount of heat demand </w:t>
      </w:r>
      <w:r w:rsidR="00600EA3">
        <w:rPr>
          <w:lang w:val="en-GB"/>
        </w:rPr>
        <w:t xml:space="preserve">in the area </w:t>
      </w:r>
      <w:r w:rsidR="00885175">
        <w:rPr>
          <w:lang w:val="en-GB"/>
        </w:rPr>
        <w:t xml:space="preserve">were provided </w:t>
      </w:r>
      <w:r w:rsidR="002A1088">
        <w:rPr>
          <w:lang w:val="en-GB"/>
        </w:rPr>
        <w:t>with gaseous fuel fed appliances</w:t>
      </w:r>
      <w:r w:rsidR="00260A3A">
        <w:rPr>
          <w:lang w:val="en-GB"/>
        </w:rPr>
        <w:t>,</w:t>
      </w:r>
      <w:r w:rsidR="009A3AF2">
        <w:rPr>
          <w:lang w:val="en-GB"/>
        </w:rPr>
        <w:t xml:space="preserve"> other than almost zero PM emissions, </w:t>
      </w:r>
      <w:r w:rsidR="00414B01">
        <w:rPr>
          <w:lang w:val="en-GB"/>
        </w:rPr>
        <w:t>a net reduction in NOx emissions (43%) could also be obtained.</w:t>
      </w:r>
      <w:r w:rsidR="004E5D5D">
        <w:rPr>
          <w:lang w:val="en-GB"/>
        </w:rPr>
        <w:t xml:space="preserve"> </w:t>
      </w:r>
      <w:r w:rsidR="001B72C7" w:rsidRPr="001B72C7">
        <w:rPr>
          <w:lang w:val="en-GB"/>
        </w:rPr>
        <w:t>LPG use may bring benefits only if, in line with decarbonization efforts, the fossil CO</w:t>
      </w:r>
      <w:r w:rsidR="001B72C7" w:rsidRPr="006A606C">
        <w:rPr>
          <w:vertAlign w:val="subscript"/>
          <w:lang w:val="en-GB"/>
        </w:rPr>
        <w:t>2</w:t>
      </w:r>
      <w:r w:rsidR="001B72C7" w:rsidRPr="001B72C7">
        <w:rPr>
          <w:lang w:val="en-GB"/>
        </w:rPr>
        <w:t xml:space="preserve"> emissions are compensated in the short to medium term, before a gradual transition to </w:t>
      </w:r>
      <w:proofErr w:type="spellStart"/>
      <w:r w:rsidR="001B72C7" w:rsidRPr="001B72C7">
        <w:rPr>
          <w:lang w:val="en-GB"/>
        </w:rPr>
        <w:t>bioLPG</w:t>
      </w:r>
      <w:proofErr w:type="spellEnd"/>
      <w:r w:rsidR="001B72C7" w:rsidRPr="001B72C7">
        <w:rPr>
          <w:lang w:val="en-GB"/>
        </w:rPr>
        <w:t xml:space="preserve"> takes place</w:t>
      </w:r>
      <w:r w:rsidR="004E5D5D">
        <w:rPr>
          <w:lang w:val="en-GB"/>
        </w:rPr>
        <w:t>.</w:t>
      </w:r>
    </w:p>
    <w:p w14:paraId="16B4F7E4" w14:textId="77777777" w:rsidR="00A40BFA" w:rsidRPr="00280FAF" w:rsidRDefault="00A40BFA" w:rsidP="00A40BFA">
      <w:pPr>
        <w:pStyle w:val="CETHeadingxx"/>
        <w:rPr>
          <w:lang w:val="en-GB"/>
        </w:rPr>
        <w:sectPr w:rsidR="00A40BFA" w:rsidRPr="00280FAF" w:rsidSect="00E91B2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701" w:left="1701" w:header="1701" w:footer="0" w:gutter="0"/>
          <w:cols w:space="708"/>
          <w:formProt w:val="0"/>
          <w:titlePg/>
          <w:docGrid w:linePitch="360"/>
        </w:sectPr>
      </w:pPr>
      <w:r>
        <w:t>Nomenclature</w:t>
      </w:r>
    </w:p>
    <w:p w14:paraId="13BC8611" w14:textId="77777777" w:rsidR="00FE1032" w:rsidRPr="00FE1032" w:rsidRDefault="00FE1032" w:rsidP="00FE1032">
      <w:pPr>
        <w:pStyle w:val="CETBodytext"/>
        <w:jc w:val="left"/>
        <w:rPr>
          <w:rFonts w:eastAsia="SimSun"/>
        </w:rPr>
      </w:pPr>
      <w:r w:rsidRPr="00FE1032">
        <w:rPr>
          <w:rFonts w:eastAsia="SimSun"/>
        </w:rPr>
        <w:t xml:space="preserve">B: boiler </w:t>
      </w:r>
    </w:p>
    <w:p w14:paraId="426FE808" w14:textId="77777777" w:rsidR="00FE1032" w:rsidRPr="00FE1032" w:rsidRDefault="00FE1032" w:rsidP="00FE1032">
      <w:pPr>
        <w:pStyle w:val="CETBodytext"/>
        <w:jc w:val="left"/>
        <w:rPr>
          <w:rFonts w:eastAsia="SimSun"/>
        </w:rPr>
      </w:pPr>
      <w:r w:rsidRPr="00FE1032">
        <w:rPr>
          <w:rFonts w:eastAsia="SimSun"/>
        </w:rPr>
        <w:t>CFP: closed fireplace</w:t>
      </w:r>
    </w:p>
    <w:p w14:paraId="6D546ABF" w14:textId="078FC474" w:rsidR="00CE3AF3" w:rsidRDefault="00CE3AF3" w:rsidP="00FE1032">
      <w:pPr>
        <w:pStyle w:val="CETBodytext"/>
        <w:jc w:val="left"/>
        <w:rPr>
          <w:rFonts w:eastAsia="SimSun"/>
        </w:rPr>
      </w:pPr>
      <w:r>
        <w:rPr>
          <w:rFonts w:eastAsia="SimSun"/>
        </w:rPr>
        <w:t>FP: fireplace</w:t>
      </w:r>
    </w:p>
    <w:p w14:paraId="5A255B0A" w14:textId="40468B22" w:rsidR="00FE1032" w:rsidRPr="00FE1032" w:rsidRDefault="00FE1032" w:rsidP="00FE1032">
      <w:pPr>
        <w:pStyle w:val="CETBodytext"/>
        <w:jc w:val="left"/>
        <w:rPr>
          <w:rFonts w:eastAsia="SimSun"/>
        </w:rPr>
      </w:pPr>
      <w:r w:rsidRPr="00FE1032">
        <w:rPr>
          <w:rFonts w:eastAsia="SimSun"/>
        </w:rPr>
        <w:t>OFP: open fireplace</w:t>
      </w:r>
    </w:p>
    <w:p w14:paraId="60063A19" w14:textId="40518BB1" w:rsidR="00CE3AF3" w:rsidRDefault="00CE3AF3" w:rsidP="00CE3AF3">
      <w:pPr>
        <w:pStyle w:val="CETBodytext"/>
        <w:jc w:val="left"/>
        <w:rPr>
          <w:rFonts w:eastAsia="SimSun"/>
        </w:rPr>
      </w:pPr>
      <w:r w:rsidRPr="00FE1032">
        <w:rPr>
          <w:rFonts w:eastAsia="SimSun"/>
        </w:rPr>
        <w:t>WB: wood boiler</w:t>
      </w:r>
    </w:p>
    <w:p w14:paraId="40B8F387" w14:textId="77777777" w:rsidR="00FE1032" w:rsidRDefault="00FE1032" w:rsidP="00FE1032">
      <w:pPr>
        <w:pStyle w:val="CETBodytext"/>
        <w:jc w:val="left"/>
        <w:rPr>
          <w:rFonts w:eastAsia="SimSun"/>
        </w:rPr>
      </w:pPr>
      <w:r w:rsidRPr="00346B8F">
        <w:rPr>
          <w:rFonts w:eastAsia="SimSun"/>
        </w:rPr>
        <w:t xml:space="preserve">WS: wood stove </w:t>
      </w:r>
    </w:p>
    <w:p w14:paraId="1263652D" w14:textId="77777777" w:rsidR="00FE1032" w:rsidRPr="00FE1032" w:rsidRDefault="00FE1032" w:rsidP="00FE1032">
      <w:pPr>
        <w:pStyle w:val="CETBodytext"/>
        <w:jc w:val="left"/>
      </w:pPr>
      <w:r w:rsidRPr="00FE1032">
        <w:t xml:space="preserve">PB: pellet boiler </w:t>
      </w:r>
    </w:p>
    <w:p w14:paraId="62F8F656" w14:textId="77777777" w:rsidR="00E51EAE" w:rsidRDefault="00FE1032" w:rsidP="00E51EAE">
      <w:pPr>
        <w:pStyle w:val="CETBodytext"/>
        <w:jc w:val="left"/>
        <w:sectPr w:rsidR="00E51EAE" w:rsidSect="00E91B26">
          <w:type w:val="continuous"/>
          <w:pgSz w:w="11906" w:h="16838" w:code="9"/>
          <w:pgMar w:top="1701" w:right="1418" w:bottom="1701" w:left="1701" w:header="1701" w:footer="0" w:gutter="0"/>
          <w:cols w:num="2" w:space="708"/>
          <w:formProt w:val="0"/>
          <w:titlePg/>
          <w:docGrid w:linePitch="360"/>
        </w:sectPr>
      </w:pPr>
      <w:r w:rsidRPr="000F7863">
        <w:t>PS: pellet stove</w:t>
      </w:r>
    </w:p>
    <w:p w14:paraId="459D05E6" w14:textId="311A043B" w:rsidR="00600535" w:rsidRPr="00B57B36" w:rsidRDefault="00600535" w:rsidP="00E51EAE">
      <w:pPr>
        <w:pStyle w:val="CETReference"/>
      </w:pPr>
      <w:r w:rsidRPr="00B57B36">
        <w:t>Acknowledgments</w:t>
      </w:r>
    </w:p>
    <w:p w14:paraId="33F8138F" w14:textId="02927684" w:rsidR="00600535" w:rsidRPr="00B57B36" w:rsidRDefault="004327B0" w:rsidP="00600535">
      <w:pPr>
        <w:pStyle w:val="CETBodytext"/>
        <w:rPr>
          <w:lang w:val="en-GB"/>
        </w:rPr>
      </w:pPr>
      <w:r w:rsidRPr="004327B0">
        <w:rPr>
          <w:lang w:val="en-GB"/>
        </w:rPr>
        <w:t>The Author</w:t>
      </w:r>
      <w:r>
        <w:rPr>
          <w:lang w:val="en-GB"/>
        </w:rPr>
        <w:t>s</w:t>
      </w:r>
      <w:r w:rsidRPr="004327B0">
        <w:rPr>
          <w:lang w:val="en-GB"/>
        </w:rPr>
        <w:t xml:space="preserve"> would like to acknowledge with thanks that a biomass consumption dataset of Action D3 of the PREPAIR Project (LIFE 15 IPE IT013) was received from the working group of Action D3 to be further elaborated to suit the purpose of the present study</w:t>
      </w:r>
      <w:r w:rsidR="00600535" w:rsidRPr="00B57B36">
        <w:rPr>
          <w:lang w:val="en-GB"/>
        </w:rPr>
        <w:t>.</w:t>
      </w:r>
    </w:p>
    <w:p w14:paraId="4F1327F8" w14:textId="77777777" w:rsidR="00600535" w:rsidRPr="001A5864" w:rsidRDefault="00600535" w:rsidP="00600535">
      <w:pPr>
        <w:pStyle w:val="CETReference"/>
        <w:rPr>
          <w:lang w:val="it-IT"/>
        </w:rPr>
      </w:pPr>
      <w:proofErr w:type="spellStart"/>
      <w:r w:rsidRPr="001A5864">
        <w:rPr>
          <w:lang w:val="it-IT"/>
        </w:rPr>
        <w:t>References</w:t>
      </w:r>
      <w:proofErr w:type="spellEnd"/>
    </w:p>
    <w:p w14:paraId="765FD790" w14:textId="5929C425" w:rsidR="00566EC5" w:rsidRPr="001A5864" w:rsidRDefault="00566EC5" w:rsidP="00566EC5">
      <w:pPr>
        <w:pStyle w:val="CETReferencetext"/>
        <w:rPr>
          <w:lang w:val="it-IT"/>
        </w:rPr>
      </w:pPr>
      <w:r w:rsidRPr="001A5864">
        <w:rPr>
          <w:lang w:val="it-IT"/>
        </w:rPr>
        <w:t>ARPA</w:t>
      </w:r>
      <w:r w:rsidR="00E606CA" w:rsidRPr="001A5864">
        <w:rPr>
          <w:lang w:val="it-IT"/>
        </w:rPr>
        <w:t xml:space="preserve"> </w:t>
      </w:r>
      <w:r w:rsidRPr="001A5864">
        <w:rPr>
          <w:lang w:val="it-IT"/>
        </w:rPr>
        <w:t>Lombardia</w:t>
      </w:r>
      <w:r w:rsidR="00E606CA" w:rsidRPr="001A5864">
        <w:rPr>
          <w:lang w:val="it-IT"/>
        </w:rPr>
        <w:t xml:space="preserve">, </w:t>
      </w:r>
      <w:r w:rsidRPr="001A5864">
        <w:rPr>
          <w:lang w:val="it-IT"/>
        </w:rPr>
        <w:t>2022. INEMAR, Inventario Emissioni in Atmosfera: emissioni in Regione Lombardia nell'anno 2019 - versione in revisione pubblica. ARPA Lombardia Settore Monitoraggi Ambientali.</w:t>
      </w:r>
    </w:p>
    <w:p w14:paraId="5ABD8C8A" w14:textId="0541A741" w:rsidR="00CD5C00" w:rsidRDefault="00CD5C00" w:rsidP="00CD5C00">
      <w:pPr>
        <w:pStyle w:val="CETReferencetext"/>
        <w:rPr>
          <w:lang w:val="en-US"/>
        </w:rPr>
      </w:pPr>
      <w:proofErr w:type="spellStart"/>
      <w:r w:rsidRPr="001A5864">
        <w:rPr>
          <w:lang w:val="it-IT"/>
        </w:rPr>
        <w:t>Berndes</w:t>
      </w:r>
      <w:proofErr w:type="spellEnd"/>
      <w:r w:rsidRPr="001A5864">
        <w:rPr>
          <w:lang w:val="it-IT"/>
        </w:rPr>
        <w:t xml:space="preserve"> G., </w:t>
      </w:r>
      <w:proofErr w:type="spellStart"/>
      <w:r w:rsidRPr="001A5864">
        <w:rPr>
          <w:lang w:val="it-IT"/>
        </w:rPr>
        <w:t>Abt</w:t>
      </w:r>
      <w:proofErr w:type="spellEnd"/>
      <w:r w:rsidRPr="001A5864">
        <w:rPr>
          <w:lang w:val="it-IT"/>
        </w:rPr>
        <w:t xml:space="preserve"> B., </w:t>
      </w:r>
      <w:proofErr w:type="spellStart"/>
      <w:r w:rsidRPr="001A5864">
        <w:rPr>
          <w:lang w:val="it-IT"/>
        </w:rPr>
        <w:t>Asikainen</w:t>
      </w:r>
      <w:proofErr w:type="spellEnd"/>
      <w:r w:rsidRPr="001A5864">
        <w:rPr>
          <w:lang w:val="it-IT"/>
        </w:rPr>
        <w:t xml:space="preserve"> A., </w:t>
      </w:r>
      <w:proofErr w:type="spellStart"/>
      <w:r w:rsidRPr="001A5864">
        <w:rPr>
          <w:lang w:val="it-IT"/>
        </w:rPr>
        <w:t>Cowie</w:t>
      </w:r>
      <w:proofErr w:type="spellEnd"/>
      <w:r w:rsidRPr="001A5864">
        <w:rPr>
          <w:lang w:val="it-IT"/>
        </w:rPr>
        <w:t xml:space="preserve"> A., Dale V., </w:t>
      </w:r>
      <w:proofErr w:type="spellStart"/>
      <w:r w:rsidRPr="001A5864">
        <w:rPr>
          <w:lang w:val="it-IT"/>
        </w:rPr>
        <w:t>Egnell</w:t>
      </w:r>
      <w:proofErr w:type="spellEnd"/>
      <w:r w:rsidRPr="001A5864">
        <w:rPr>
          <w:lang w:val="it-IT"/>
        </w:rPr>
        <w:t>,</w:t>
      </w:r>
      <w:r w:rsidR="00FC4DF2" w:rsidRPr="001A5864">
        <w:rPr>
          <w:lang w:val="it-IT"/>
        </w:rPr>
        <w:t xml:space="preserve"> </w:t>
      </w:r>
      <w:r w:rsidRPr="001A5864">
        <w:rPr>
          <w:lang w:val="it-IT"/>
        </w:rPr>
        <w:t>Lindner</w:t>
      </w:r>
      <w:r w:rsidR="00FC4DF2" w:rsidRPr="001A5864">
        <w:rPr>
          <w:lang w:val="it-IT"/>
        </w:rPr>
        <w:t xml:space="preserve"> M.</w:t>
      </w:r>
      <w:r w:rsidRPr="001A5864">
        <w:rPr>
          <w:lang w:val="it-IT"/>
        </w:rPr>
        <w:t>, Marelli</w:t>
      </w:r>
      <w:r w:rsidR="00FC4DF2" w:rsidRPr="001A5864">
        <w:rPr>
          <w:lang w:val="it-IT"/>
        </w:rPr>
        <w:t xml:space="preserve"> L.</w:t>
      </w:r>
      <w:r w:rsidRPr="001A5864">
        <w:rPr>
          <w:lang w:val="it-IT"/>
        </w:rPr>
        <w:t>, Paré</w:t>
      </w:r>
      <w:r w:rsidR="00FC4DF2" w:rsidRPr="001A5864">
        <w:rPr>
          <w:lang w:val="it-IT"/>
        </w:rPr>
        <w:t xml:space="preserve"> D.</w:t>
      </w:r>
      <w:r w:rsidRPr="001A5864">
        <w:rPr>
          <w:lang w:val="it-IT"/>
        </w:rPr>
        <w:t xml:space="preserve">, </w:t>
      </w:r>
      <w:proofErr w:type="spellStart"/>
      <w:r w:rsidRPr="001A5864">
        <w:rPr>
          <w:lang w:val="it-IT"/>
        </w:rPr>
        <w:t>Pingoud</w:t>
      </w:r>
      <w:proofErr w:type="spellEnd"/>
      <w:r w:rsidR="00FC4DF2" w:rsidRPr="001A5864">
        <w:rPr>
          <w:lang w:val="it-IT"/>
        </w:rPr>
        <w:t xml:space="preserve"> K., </w:t>
      </w:r>
      <w:proofErr w:type="spellStart"/>
      <w:r w:rsidRPr="001A5864">
        <w:rPr>
          <w:lang w:val="it-IT"/>
        </w:rPr>
        <w:t>Yeh</w:t>
      </w:r>
      <w:proofErr w:type="spellEnd"/>
      <w:r w:rsidR="00FC4DF2" w:rsidRPr="001A5864">
        <w:rPr>
          <w:lang w:val="it-IT"/>
        </w:rPr>
        <w:t xml:space="preserve"> S., </w:t>
      </w:r>
      <w:r w:rsidRPr="001A5864">
        <w:rPr>
          <w:lang w:val="it-IT"/>
        </w:rPr>
        <w:t xml:space="preserve">2016. </w:t>
      </w:r>
      <w:r w:rsidRPr="00CD5C00">
        <w:rPr>
          <w:lang w:val="en-US"/>
        </w:rPr>
        <w:t>Forest biomass, carbon neutrality</w:t>
      </w:r>
      <w:r w:rsidR="00A4549D">
        <w:rPr>
          <w:lang w:val="en-US"/>
        </w:rPr>
        <w:t xml:space="preserve"> </w:t>
      </w:r>
      <w:r w:rsidRPr="00CD5C00">
        <w:rPr>
          <w:lang w:val="en-US"/>
        </w:rPr>
        <w:t>and climate change mitigation. From Science to Policy 3.</w:t>
      </w:r>
      <w:r w:rsidR="00A4549D">
        <w:rPr>
          <w:lang w:val="en-US"/>
        </w:rPr>
        <w:t xml:space="preserve"> </w:t>
      </w:r>
      <w:r w:rsidRPr="00CD5C00">
        <w:rPr>
          <w:lang w:val="en-US"/>
        </w:rPr>
        <w:t>European Forest Institute. https://doi.org/10.36333/fs03</w:t>
      </w:r>
    </w:p>
    <w:p w14:paraId="37E2FBD3" w14:textId="57C932A8" w:rsidR="00764A64" w:rsidRPr="004B541B" w:rsidRDefault="00764A64" w:rsidP="00764A64">
      <w:pPr>
        <w:pStyle w:val="CETReferencetext"/>
        <w:rPr>
          <w:lang w:val="en-US"/>
        </w:rPr>
      </w:pPr>
      <w:r w:rsidRPr="00260A3A">
        <w:rPr>
          <w:lang w:val="en-US"/>
        </w:rPr>
        <w:t xml:space="preserve">Brenn J., </w:t>
      </w:r>
      <w:proofErr w:type="spellStart"/>
      <w:r w:rsidRPr="00260A3A">
        <w:rPr>
          <w:lang w:val="en-US"/>
        </w:rPr>
        <w:t>Soltic</w:t>
      </w:r>
      <w:proofErr w:type="spellEnd"/>
      <w:r w:rsidRPr="00260A3A">
        <w:rPr>
          <w:lang w:val="en-US"/>
        </w:rPr>
        <w:t xml:space="preserve"> P., Bach C., 2010. </w:t>
      </w:r>
      <w:r w:rsidRPr="00764A64">
        <w:rPr>
          <w:lang w:val="en-US"/>
        </w:rPr>
        <w:t xml:space="preserve">Comparison of natural gas driven heat pumps and electrically driven heat pumps with conventional systems for building heating purposes. Energy and Buildings, 42(6), 904-908. </w:t>
      </w:r>
      <w:r w:rsidRPr="004B541B">
        <w:rPr>
          <w:lang w:val="en-US"/>
        </w:rPr>
        <w:t>https://doi.org/10.1016/j.enbuild.2009.12.012</w:t>
      </w:r>
    </w:p>
    <w:p w14:paraId="4D2078A2" w14:textId="40BE96C9" w:rsidR="00950220" w:rsidRPr="004B541B" w:rsidRDefault="00950220" w:rsidP="00E65B91">
      <w:pPr>
        <w:pStyle w:val="CETReferencetext"/>
        <w:rPr>
          <w:lang w:val="en-US"/>
        </w:rPr>
      </w:pPr>
      <w:r w:rsidRPr="004B541B">
        <w:rPr>
          <w:lang w:val="en-US"/>
        </w:rPr>
        <w:lastRenderedPageBreak/>
        <w:t>Corsini E., Ozgen S., Papale A., Galbiati V., Lonati G., Fermo P. et al</w:t>
      </w:r>
      <w:r w:rsidR="00D66EC5" w:rsidRPr="004B541B">
        <w:rPr>
          <w:lang w:val="en-US"/>
        </w:rPr>
        <w:t xml:space="preserve">., </w:t>
      </w:r>
      <w:r w:rsidRPr="004B541B">
        <w:rPr>
          <w:lang w:val="en-US"/>
        </w:rPr>
        <w:t>2017</w:t>
      </w:r>
      <w:r w:rsidR="00D66EC5" w:rsidRPr="004B541B">
        <w:rPr>
          <w:lang w:val="en-US"/>
        </w:rPr>
        <w:t>.</w:t>
      </w:r>
      <w:r w:rsidRPr="004B541B">
        <w:rPr>
          <w:lang w:val="en-US"/>
        </w:rPr>
        <w:t xml:space="preserve"> Insights on wood combustion generated proinflammatory ultrafine particles (UFP). </w:t>
      </w:r>
      <w:r w:rsidR="00D66EC5" w:rsidRPr="004B541B">
        <w:rPr>
          <w:lang w:val="en-US"/>
        </w:rPr>
        <w:t>Toxicology Letters,</w:t>
      </w:r>
      <w:r w:rsidR="00BA3C02" w:rsidRPr="004B541B">
        <w:rPr>
          <w:lang w:val="en-US"/>
        </w:rPr>
        <w:t xml:space="preserve"> </w:t>
      </w:r>
      <w:r w:rsidRPr="004B541B">
        <w:rPr>
          <w:lang w:val="en-US"/>
        </w:rPr>
        <w:t>266</w:t>
      </w:r>
      <w:r w:rsidR="00BA3C02" w:rsidRPr="004B541B">
        <w:rPr>
          <w:lang w:val="en-US"/>
        </w:rPr>
        <w:t xml:space="preserve">, </w:t>
      </w:r>
      <w:r w:rsidRPr="004B541B">
        <w:rPr>
          <w:lang w:val="en-US"/>
        </w:rPr>
        <w:t>74</w:t>
      </w:r>
      <w:r w:rsidR="00BA3C02" w:rsidRPr="004B541B">
        <w:rPr>
          <w:lang w:val="en-US"/>
        </w:rPr>
        <w:t>-</w:t>
      </w:r>
      <w:r w:rsidRPr="004B541B">
        <w:rPr>
          <w:lang w:val="en-US"/>
        </w:rPr>
        <w:t>84. https://doi.org/10.1016/j.toxlet.2016.12.005</w:t>
      </w:r>
    </w:p>
    <w:p w14:paraId="00BA3D4F" w14:textId="66DD26A5" w:rsidR="00C52C3C" w:rsidRPr="004B541B" w:rsidRDefault="00F104DD" w:rsidP="00E65B91">
      <w:pPr>
        <w:pStyle w:val="CETReferencetext"/>
        <w:rPr>
          <w:lang w:val="en-US"/>
        </w:rPr>
      </w:pPr>
      <w:r w:rsidRPr="004B541B">
        <w:rPr>
          <w:lang w:val="en-US"/>
        </w:rPr>
        <w:t xml:space="preserve">Council Implementing Decision (EU) 2019/814 of 17 May 2019 </w:t>
      </w:r>
      <w:proofErr w:type="spellStart"/>
      <w:r w:rsidRPr="004B541B">
        <w:rPr>
          <w:lang w:val="en-US"/>
        </w:rPr>
        <w:t>authorising</w:t>
      </w:r>
      <w:proofErr w:type="spellEnd"/>
      <w:r w:rsidRPr="004B541B">
        <w:rPr>
          <w:lang w:val="en-US"/>
        </w:rPr>
        <w:t xml:space="preserve"> Italy to apply, in determined geographical areas, reduced rates of taxation on gas oil and liquid petroleum gas used for heating purposes in accordance with Article 19 of Directive 2003/96/EC</w:t>
      </w:r>
    </w:p>
    <w:p w14:paraId="788313C4" w14:textId="7BDFC1D3" w:rsidR="0051069D" w:rsidRPr="00584508" w:rsidRDefault="00471908" w:rsidP="00F858EE">
      <w:pPr>
        <w:pStyle w:val="CETReferencetext"/>
        <w:rPr>
          <w:lang w:val="en-US"/>
        </w:rPr>
      </w:pPr>
      <w:r w:rsidRPr="00471908">
        <w:rPr>
          <w:lang w:val="en-US"/>
        </w:rPr>
        <w:t>EEA</w:t>
      </w:r>
      <w:r w:rsidR="00584508">
        <w:rPr>
          <w:lang w:val="en-US"/>
        </w:rPr>
        <w:t xml:space="preserve">, 2023. </w:t>
      </w:r>
      <w:r w:rsidR="0051069D" w:rsidRPr="00471908">
        <w:rPr>
          <w:lang w:val="en-US"/>
        </w:rPr>
        <w:t xml:space="preserve">EMEP/EEA air pollutant emission inventory guidebook 2023. </w:t>
      </w:r>
      <w:r w:rsidRPr="00584508">
        <w:rPr>
          <w:lang w:val="en-US"/>
        </w:rPr>
        <w:t xml:space="preserve">1.A.4 Small combustion. </w:t>
      </w:r>
      <w:r w:rsidR="00584508" w:rsidRPr="00584508">
        <w:rPr>
          <w:lang w:val="en-US"/>
        </w:rPr>
        <w:t>https://www.eea.europa.eu/publications/emep-eea-guidebook-2023/part-b-sectoral-guidance-chapters/1-energy/1-a-combustion/1-a-4-small-combustion-2023/view</w:t>
      </w:r>
    </w:p>
    <w:p w14:paraId="36A85548" w14:textId="682542DD" w:rsidR="00BD3F30" w:rsidRPr="004B541B" w:rsidRDefault="00F858EE" w:rsidP="00F858EE">
      <w:pPr>
        <w:pStyle w:val="CETReferencetext"/>
        <w:rPr>
          <w:lang w:val="en-US"/>
        </w:rPr>
      </w:pPr>
      <w:r w:rsidRPr="004B541B">
        <w:rPr>
          <w:lang w:val="it-IT"/>
        </w:rPr>
        <w:t xml:space="preserve">Famiglietti J., Toppi T., </w:t>
      </w:r>
      <w:proofErr w:type="spellStart"/>
      <w:r w:rsidRPr="004B541B">
        <w:rPr>
          <w:lang w:val="it-IT"/>
        </w:rPr>
        <w:t>Pistocchini</w:t>
      </w:r>
      <w:proofErr w:type="spellEnd"/>
      <w:r w:rsidRPr="004B541B">
        <w:rPr>
          <w:lang w:val="it-IT"/>
        </w:rPr>
        <w:t xml:space="preserve"> L., Scoccia R., Motta M., 2021. </w:t>
      </w:r>
      <w:r w:rsidRPr="004B541B">
        <w:rPr>
          <w:lang w:val="en-US"/>
        </w:rPr>
        <w:t>A comparative environmental life cycle assessment between a condensing boiler and a gas driven absorption heat pump. Science of The Total Environment, 762, 144392. https://doi.org/10.1016/j.scitotenv.2020.144392.</w:t>
      </w:r>
    </w:p>
    <w:p w14:paraId="7EFA21B9" w14:textId="1B677E42" w:rsidR="002872E3" w:rsidRPr="004B541B" w:rsidRDefault="00A11834" w:rsidP="001207E2">
      <w:pPr>
        <w:pStyle w:val="CETReferencetext"/>
        <w:rPr>
          <w:lang w:val="it-IT"/>
        </w:rPr>
      </w:pPr>
      <w:r w:rsidRPr="004B541B">
        <w:rPr>
          <w:lang w:val="it-IT"/>
        </w:rPr>
        <w:t>Innovhub, 2017. Studio comparativo sulle emissioni di apparecchi a gas, GPL, gasolio e pellet ed effetto dell’invecchiamento.</w:t>
      </w:r>
    </w:p>
    <w:p w14:paraId="7103F93F" w14:textId="67AFDB01" w:rsidR="00080DCB" w:rsidRPr="004B541B" w:rsidRDefault="00080DCB" w:rsidP="001207E2">
      <w:pPr>
        <w:pStyle w:val="CETReferencetext"/>
        <w:rPr>
          <w:lang w:val="en-US"/>
        </w:rPr>
      </w:pPr>
      <w:proofErr w:type="spellStart"/>
      <w:r w:rsidRPr="004B541B">
        <w:rPr>
          <w:lang w:val="it-IT"/>
        </w:rPr>
        <w:t>Jalava</w:t>
      </w:r>
      <w:proofErr w:type="spellEnd"/>
      <w:r w:rsidRPr="004B541B">
        <w:rPr>
          <w:lang w:val="it-IT"/>
        </w:rPr>
        <w:t xml:space="preserve"> P.I., </w:t>
      </w:r>
      <w:proofErr w:type="spellStart"/>
      <w:r w:rsidRPr="004B541B">
        <w:rPr>
          <w:lang w:val="it-IT"/>
        </w:rPr>
        <w:t>Happo</w:t>
      </w:r>
      <w:proofErr w:type="spellEnd"/>
      <w:r w:rsidRPr="004B541B">
        <w:rPr>
          <w:lang w:val="it-IT"/>
        </w:rPr>
        <w:t xml:space="preserve"> M.S., </w:t>
      </w:r>
      <w:proofErr w:type="spellStart"/>
      <w:r w:rsidRPr="004B541B">
        <w:rPr>
          <w:lang w:val="it-IT"/>
        </w:rPr>
        <w:t>Kelz</w:t>
      </w:r>
      <w:proofErr w:type="spellEnd"/>
      <w:r w:rsidRPr="004B541B">
        <w:rPr>
          <w:lang w:val="it-IT"/>
        </w:rPr>
        <w:t xml:space="preserve"> J., Brunner T., </w:t>
      </w:r>
      <w:proofErr w:type="spellStart"/>
      <w:r w:rsidRPr="004B541B">
        <w:rPr>
          <w:lang w:val="it-IT"/>
        </w:rPr>
        <w:t>Hakulinen</w:t>
      </w:r>
      <w:proofErr w:type="spellEnd"/>
      <w:r w:rsidRPr="004B541B">
        <w:rPr>
          <w:lang w:val="it-IT"/>
        </w:rPr>
        <w:t xml:space="preserve"> P., </w:t>
      </w:r>
      <w:proofErr w:type="spellStart"/>
      <w:r w:rsidRPr="004B541B">
        <w:rPr>
          <w:lang w:val="it-IT"/>
        </w:rPr>
        <w:t>Mäki-Paakkanen</w:t>
      </w:r>
      <w:proofErr w:type="spellEnd"/>
      <w:r w:rsidRPr="004B541B">
        <w:rPr>
          <w:lang w:val="it-IT"/>
        </w:rPr>
        <w:t xml:space="preserve"> J. et al., 2012. </w:t>
      </w:r>
      <w:r w:rsidRPr="004B541B">
        <w:rPr>
          <w:lang w:val="en-US"/>
        </w:rPr>
        <w:t>In vitro toxicological characterization of particulate emissions from residential biomass heating systems based on old and new technologies. Atmospheric Environment</w:t>
      </w:r>
      <w:r w:rsidR="00621978" w:rsidRPr="004B541B">
        <w:rPr>
          <w:lang w:val="en-US"/>
        </w:rPr>
        <w:t>,</w:t>
      </w:r>
      <w:r w:rsidRPr="004B541B">
        <w:rPr>
          <w:lang w:val="en-US"/>
        </w:rPr>
        <w:t xml:space="preserve"> 50</w:t>
      </w:r>
      <w:r w:rsidR="00621978" w:rsidRPr="004B541B">
        <w:rPr>
          <w:lang w:val="en-US"/>
        </w:rPr>
        <w:t xml:space="preserve">, </w:t>
      </w:r>
      <w:r w:rsidRPr="004B541B">
        <w:rPr>
          <w:lang w:val="en-US"/>
        </w:rPr>
        <w:t>24</w:t>
      </w:r>
      <w:r w:rsidR="00621978" w:rsidRPr="004B541B">
        <w:rPr>
          <w:lang w:val="en-US"/>
        </w:rPr>
        <w:t>-</w:t>
      </w:r>
      <w:r w:rsidRPr="004B541B">
        <w:rPr>
          <w:lang w:val="en-US"/>
        </w:rPr>
        <w:t>35. https://doi.org/10.1016/j.atmosenv.2012.01.009</w:t>
      </w:r>
    </w:p>
    <w:p w14:paraId="7F72AFB8" w14:textId="5E1BF146" w:rsidR="001207E2" w:rsidRPr="004B541B" w:rsidRDefault="001207E2" w:rsidP="001207E2">
      <w:pPr>
        <w:pStyle w:val="CETReferencetext"/>
        <w:rPr>
          <w:lang w:val="en-US"/>
        </w:rPr>
      </w:pPr>
      <w:proofErr w:type="spellStart"/>
      <w:r w:rsidRPr="004B541B">
        <w:rPr>
          <w:lang w:val="en-US"/>
        </w:rPr>
        <w:t>Kodros</w:t>
      </w:r>
      <w:proofErr w:type="spellEnd"/>
      <w:r w:rsidRPr="004B541B">
        <w:rPr>
          <w:lang w:val="en-US"/>
        </w:rPr>
        <w:t xml:space="preserve"> J.K., Papanastasiou D.K., Paglione M., </w:t>
      </w:r>
      <w:proofErr w:type="spellStart"/>
      <w:r w:rsidRPr="004B541B">
        <w:rPr>
          <w:lang w:val="en-US"/>
        </w:rPr>
        <w:t>Pandis</w:t>
      </w:r>
      <w:proofErr w:type="spellEnd"/>
      <w:r w:rsidRPr="004B541B">
        <w:rPr>
          <w:lang w:val="en-US"/>
        </w:rPr>
        <w:t xml:space="preserve"> S.N, 2020. Rapid dark aging of biomass burning as an overlooked source of oxidized organic aerosol. Earth, Atmospheric, and Planetary Sciences, 117 (52) 33028-33033. https://doi.org/10.1073/pnas.2010365117</w:t>
      </w:r>
    </w:p>
    <w:p w14:paraId="00137A3F" w14:textId="7673240A" w:rsidR="00621978" w:rsidRPr="004B541B" w:rsidRDefault="00621978" w:rsidP="001207E2">
      <w:pPr>
        <w:pStyle w:val="CETReferencetext"/>
        <w:rPr>
          <w:lang w:val="en-US"/>
        </w:rPr>
      </w:pPr>
      <w:proofErr w:type="spellStart"/>
      <w:r w:rsidRPr="004B541B">
        <w:rPr>
          <w:lang w:val="en-US"/>
        </w:rPr>
        <w:t>Marabini</w:t>
      </w:r>
      <w:proofErr w:type="spellEnd"/>
      <w:r w:rsidRPr="004B541B">
        <w:rPr>
          <w:lang w:val="en-US"/>
        </w:rPr>
        <w:t xml:space="preserve"> L., Ozgen S., </w:t>
      </w:r>
      <w:proofErr w:type="spellStart"/>
      <w:r w:rsidRPr="004B541B">
        <w:rPr>
          <w:lang w:val="en-US"/>
        </w:rPr>
        <w:t>Turacchi</w:t>
      </w:r>
      <w:proofErr w:type="spellEnd"/>
      <w:r w:rsidRPr="004B541B">
        <w:rPr>
          <w:lang w:val="en-US"/>
        </w:rPr>
        <w:t xml:space="preserve"> S., </w:t>
      </w:r>
      <w:proofErr w:type="spellStart"/>
      <w:r w:rsidRPr="004B541B">
        <w:rPr>
          <w:lang w:val="en-US"/>
        </w:rPr>
        <w:t>Aminti</w:t>
      </w:r>
      <w:proofErr w:type="spellEnd"/>
      <w:r w:rsidRPr="004B541B">
        <w:rPr>
          <w:lang w:val="en-US"/>
        </w:rPr>
        <w:t xml:space="preserve"> S., </w:t>
      </w:r>
      <w:proofErr w:type="spellStart"/>
      <w:r w:rsidRPr="004B541B">
        <w:rPr>
          <w:lang w:val="en-US"/>
        </w:rPr>
        <w:t>Arnaboldi</w:t>
      </w:r>
      <w:proofErr w:type="spellEnd"/>
      <w:r w:rsidRPr="004B541B">
        <w:rPr>
          <w:lang w:val="en-US"/>
        </w:rPr>
        <w:t xml:space="preserve"> F., Lonati G. et al., 2017. Ultrafine particles (UFPs) from domestic wood stoves: genotoxicity in human lung carcinoma A549 cells. </w:t>
      </w:r>
      <w:r w:rsidR="00353EC8" w:rsidRPr="004B541B">
        <w:rPr>
          <w:lang w:val="en-US"/>
        </w:rPr>
        <w:t>Mutation Research/Genetic Toxicology and Environmental Mutagenesis,</w:t>
      </w:r>
      <w:r w:rsidRPr="004B541B">
        <w:rPr>
          <w:lang w:val="en-US"/>
        </w:rPr>
        <w:t xml:space="preserve"> 820</w:t>
      </w:r>
      <w:r w:rsidR="00353EC8" w:rsidRPr="004B541B">
        <w:rPr>
          <w:lang w:val="en-US"/>
        </w:rPr>
        <w:t xml:space="preserve">, </w:t>
      </w:r>
      <w:r w:rsidRPr="004B541B">
        <w:rPr>
          <w:lang w:val="en-US"/>
        </w:rPr>
        <w:t>39</w:t>
      </w:r>
      <w:r w:rsidR="00353EC8" w:rsidRPr="004B541B">
        <w:rPr>
          <w:lang w:val="en-US"/>
        </w:rPr>
        <w:t>-</w:t>
      </w:r>
      <w:r w:rsidRPr="004B541B">
        <w:rPr>
          <w:lang w:val="en-US"/>
        </w:rPr>
        <w:t>46. https://doi.org/10.1016/j.mrgentox.2017.06.001</w:t>
      </w:r>
    </w:p>
    <w:p w14:paraId="3CB419B4" w14:textId="77777777" w:rsidR="006714DB" w:rsidRPr="004B541B" w:rsidRDefault="006714DB" w:rsidP="006714DB">
      <w:pPr>
        <w:pStyle w:val="CETReferencetext"/>
        <w:rPr>
          <w:lang w:val="en-US"/>
        </w:rPr>
      </w:pPr>
      <w:r w:rsidRPr="004B541B">
        <w:rPr>
          <w:lang w:val="fr-FR"/>
        </w:rPr>
        <w:t>Martín-</w:t>
      </w:r>
      <w:proofErr w:type="spellStart"/>
      <w:r w:rsidRPr="004B541B">
        <w:rPr>
          <w:lang w:val="fr-FR"/>
        </w:rPr>
        <w:t>Gamboa</w:t>
      </w:r>
      <w:proofErr w:type="spellEnd"/>
      <w:r w:rsidRPr="004B541B">
        <w:rPr>
          <w:lang w:val="fr-FR"/>
        </w:rPr>
        <w:t xml:space="preserve"> M., Marques P., Freire F., </w:t>
      </w:r>
      <w:proofErr w:type="spellStart"/>
      <w:r w:rsidRPr="004B541B">
        <w:rPr>
          <w:lang w:val="fr-FR"/>
        </w:rPr>
        <w:t>Arroja</w:t>
      </w:r>
      <w:proofErr w:type="spellEnd"/>
      <w:r w:rsidRPr="004B541B">
        <w:rPr>
          <w:lang w:val="fr-FR"/>
        </w:rPr>
        <w:t xml:space="preserve"> L., Dias A.C., 2020. </w:t>
      </w:r>
      <w:r w:rsidRPr="004B541B">
        <w:rPr>
          <w:lang w:val="en-US"/>
        </w:rPr>
        <w:t>Life cycle assessment of biomass pellets: A review of methodological choices and results. Renewable and Sustainable Energy Reviews, 133. https://doi.org/10.1016/j.rser.2020.110278.</w:t>
      </w:r>
    </w:p>
    <w:p w14:paraId="2E3308A8" w14:textId="0B736662" w:rsidR="0022525A" w:rsidRPr="004B541B" w:rsidRDefault="0022525A" w:rsidP="001207E2">
      <w:pPr>
        <w:pStyle w:val="CETReferencetext"/>
        <w:rPr>
          <w:lang w:val="en-US"/>
        </w:rPr>
      </w:pPr>
      <w:r w:rsidRPr="004B541B">
        <w:rPr>
          <w:lang w:val="en-US"/>
        </w:rPr>
        <w:t xml:space="preserve">Naeher L.P., Brauer M., Lipsett M., </w:t>
      </w:r>
      <w:proofErr w:type="spellStart"/>
      <w:r w:rsidRPr="004B541B">
        <w:rPr>
          <w:lang w:val="en-US"/>
        </w:rPr>
        <w:t>Zelikoff</w:t>
      </w:r>
      <w:proofErr w:type="spellEnd"/>
      <w:r w:rsidRPr="004B541B">
        <w:rPr>
          <w:lang w:val="en-US"/>
        </w:rPr>
        <w:t xml:space="preserve"> J.T., Simpson C.D., Koenig J.Q., Smith K.R.</w:t>
      </w:r>
      <w:r w:rsidR="003540A6" w:rsidRPr="004B541B">
        <w:rPr>
          <w:lang w:val="en-US"/>
        </w:rPr>
        <w:t xml:space="preserve">, </w:t>
      </w:r>
      <w:r w:rsidRPr="004B541B">
        <w:rPr>
          <w:lang w:val="en-US"/>
        </w:rPr>
        <w:t>2007</w:t>
      </w:r>
      <w:r w:rsidR="003540A6" w:rsidRPr="004B541B">
        <w:rPr>
          <w:lang w:val="en-US"/>
        </w:rPr>
        <w:t>.</w:t>
      </w:r>
      <w:r w:rsidRPr="004B541B">
        <w:rPr>
          <w:lang w:val="en-US"/>
        </w:rPr>
        <w:t xml:space="preserve"> Woodsmoke health effects: a review. </w:t>
      </w:r>
      <w:proofErr w:type="spellStart"/>
      <w:r w:rsidRPr="004B541B">
        <w:rPr>
          <w:lang w:val="en-US"/>
        </w:rPr>
        <w:t>Inhal</w:t>
      </w:r>
      <w:proofErr w:type="spellEnd"/>
      <w:r w:rsidRPr="004B541B">
        <w:rPr>
          <w:lang w:val="en-US"/>
        </w:rPr>
        <w:t xml:space="preserve"> </w:t>
      </w:r>
      <w:proofErr w:type="spellStart"/>
      <w:r w:rsidRPr="004B541B">
        <w:rPr>
          <w:lang w:val="en-US"/>
        </w:rPr>
        <w:t>Toxicol</w:t>
      </w:r>
      <w:proofErr w:type="spellEnd"/>
      <w:r w:rsidRPr="004B541B">
        <w:rPr>
          <w:lang w:val="en-US"/>
        </w:rPr>
        <w:t xml:space="preserve"> 19:67–106</w:t>
      </w:r>
    </w:p>
    <w:p w14:paraId="20280FAA" w14:textId="76811671" w:rsidR="000951AB" w:rsidRPr="004B541B" w:rsidRDefault="000951AB" w:rsidP="000951AB">
      <w:pPr>
        <w:pStyle w:val="CETReferencetext"/>
        <w:rPr>
          <w:lang w:val="en-US"/>
        </w:rPr>
      </w:pPr>
      <w:r w:rsidRPr="004B541B">
        <w:rPr>
          <w:lang w:val="en-US"/>
        </w:rPr>
        <w:t xml:space="preserve">Ozgen </w:t>
      </w:r>
      <w:r w:rsidR="006C5B88" w:rsidRPr="004B541B">
        <w:rPr>
          <w:lang w:val="en-US"/>
        </w:rPr>
        <w:t>S</w:t>
      </w:r>
      <w:r w:rsidRPr="004B541B">
        <w:rPr>
          <w:lang w:val="en-US"/>
        </w:rPr>
        <w:t xml:space="preserve">., </w:t>
      </w:r>
      <w:proofErr w:type="spellStart"/>
      <w:r w:rsidRPr="004B541B">
        <w:rPr>
          <w:lang w:val="en-US"/>
        </w:rPr>
        <w:t>Becagli</w:t>
      </w:r>
      <w:proofErr w:type="spellEnd"/>
      <w:r w:rsidRPr="004B541B">
        <w:rPr>
          <w:lang w:val="en-US"/>
        </w:rPr>
        <w:t xml:space="preserve"> S., Bernardoni V., Caserini S., Caruso D., L</w:t>
      </w:r>
      <w:r w:rsidR="006C5B88" w:rsidRPr="004B541B">
        <w:rPr>
          <w:lang w:val="en-US"/>
        </w:rPr>
        <w:t xml:space="preserve">. </w:t>
      </w:r>
      <w:proofErr w:type="spellStart"/>
      <w:r w:rsidRPr="004B541B">
        <w:rPr>
          <w:lang w:val="en-US"/>
        </w:rPr>
        <w:t>Corbella</w:t>
      </w:r>
      <w:proofErr w:type="spellEnd"/>
      <w:r w:rsidRPr="004B541B">
        <w:rPr>
          <w:lang w:val="en-US"/>
        </w:rPr>
        <w:t>,</w:t>
      </w:r>
      <w:r w:rsidR="006C5B88" w:rsidRPr="004B541B">
        <w:rPr>
          <w:lang w:val="en-US"/>
        </w:rPr>
        <w:t xml:space="preserve"> et al., 2017. </w:t>
      </w:r>
      <w:r w:rsidRPr="004B541B">
        <w:rPr>
          <w:lang w:val="en-US"/>
        </w:rPr>
        <w:t>Analysis of the chemical composition of ultrafine particles from two domestic solid biomass fired room heaters under simulated real-world use</w:t>
      </w:r>
      <w:r w:rsidR="006C5B88" w:rsidRPr="004B541B">
        <w:rPr>
          <w:lang w:val="en-US"/>
        </w:rPr>
        <w:t xml:space="preserve">. </w:t>
      </w:r>
      <w:r w:rsidRPr="004B541B">
        <w:rPr>
          <w:lang w:val="en-US"/>
        </w:rPr>
        <w:t>Atmospheric Environment,</w:t>
      </w:r>
      <w:r w:rsidR="006C5B88" w:rsidRPr="004B541B">
        <w:rPr>
          <w:lang w:val="en-US"/>
        </w:rPr>
        <w:t xml:space="preserve"> </w:t>
      </w:r>
      <w:r w:rsidRPr="004B541B">
        <w:rPr>
          <w:lang w:val="en-US"/>
        </w:rPr>
        <w:t>150,</w:t>
      </w:r>
      <w:r w:rsidR="006C5B88" w:rsidRPr="004B541B">
        <w:rPr>
          <w:lang w:val="en-US"/>
        </w:rPr>
        <w:t xml:space="preserve"> </w:t>
      </w:r>
      <w:r w:rsidRPr="004B541B">
        <w:rPr>
          <w:lang w:val="en-US"/>
        </w:rPr>
        <w:t>87-97</w:t>
      </w:r>
      <w:r w:rsidR="006C5B88" w:rsidRPr="004B541B">
        <w:rPr>
          <w:lang w:val="en-US"/>
        </w:rPr>
        <w:t xml:space="preserve">. </w:t>
      </w:r>
      <w:r w:rsidRPr="004B541B">
        <w:rPr>
          <w:lang w:val="en-US"/>
        </w:rPr>
        <w:t>https://doi.org/10.1016/j.atmosenv.2016.11.048.</w:t>
      </w:r>
    </w:p>
    <w:p w14:paraId="60D8D555" w14:textId="5EA5F800" w:rsidR="002D1824" w:rsidRPr="001A5864" w:rsidRDefault="002D1824" w:rsidP="002D1824">
      <w:pPr>
        <w:pStyle w:val="CETReferencetext"/>
        <w:rPr>
          <w:lang w:val="en-US"/>
        </w:rPr>
      </w:pPr>
      <w:r w:rsidRPr="004B541B">
        <w:rPr>
          <w:lang w:val="en-US"/>
        </w:rPr>
        <w:t xml:space="preserve">Ozgen S., </w:t>
      </w:r>
      <w:proofErr w:type="spellStart"/>
      <w:r w:rsidRPr="004B541B">
        <w:rPr>
          <w:lang w:val="en-US"/>
        </w:rPr>
        <w:t>Cernuschi</w:t>
      </w:r>
      <w:proofErr w:type="spellEnd"/>
      <w:r w:rsidRPr="004B541B">
        <w:rPr>
          <w:lang w:val="en-US"/>
        </w:rPr>
        <w:t xml:space="preserve"> S., Caserini S., 2021. An overview of nitrogen oxides emissions from biomass combustion</w:t>
      </w:r>
      <w:r w:rsidRPr="002D1824">
        <w:rPr>
          <w:lang w:val="en-US"/>
        </w:rPr>
        <w:t xml:space="preserve"> for domestic </w:t>
      </w:r>
      <w:proofErr w:type="spellStart"/>
      <w:r w:rsidRPr="002D1824">
        <w:rPr>
          <w:lang w:val="en-US"/>
        </w:rPr>
        <w:t>heat</w:t>
      </w:r>
      <w:proofErr w:type="spellEnd"/>
      <w:r w:rsidRPr="002D1824">
        <w:rPr>
          <w:lang w:val="en-US"/>
        </w:rPr>
        <w:t xml:space="preserve"> production</w:t>
      </w:r>
      <w:r>
        <w:rPr>
          <w:lang w:val="en-US"/>
        </w:rPr>
        <w:t xml:space="preserve">. </w:t>
      </w:r>
      <w:r w:rsidRPr="002D1824">
        <w:rPr>
          <w:lang w:val="en-US"/>
        </w:rPr>
        <w:t>Renewable and Sustainable Energy Reviews,</w:t>
      </w:r>
      <w:r>
        <w:rPr>
          <w:lang w:val="en-US"/>
        </w:rPr>
        <w:t xml:space="preserve"> </w:t>
      </w:r>
      <w:r w:rsidRPr="002D1824">
        <w:rPr>
          <w:lang w:val="en-US"/>
        </w:rPr>
        <w:t>135,</w:t>
      </w:r>
      <w:r>
        <w:rPr>
          <w:lang w:val="en-US"/>
        </w:rPr>
        <w:t xml:space="preserve"> </w:t>
      </w:r>
      <w:r w:rsidRPr="002D1824">
        <w:rPr>
          <w:lang w:val="en-US"/>
        </w:rPr>
        <w:t>110113</w:t>
      </w:r>
      <w:r>
        <w:rPr>
          <w:lang w:val="en-US"/>
        </w:rPr>
        <w:t xml:space="preserve">. </w:t>
      </w:r>
      <w:r w:rsidRPr="002D1824">
        <w:rPr>
          <w:lang w:val="en-US"/>
        </w:rPr>
        <w:t>https://doi.org/10.1016/j.rser.2020.110113.</w:t>
      </w:r>
    </w:p>
    <w:p w14:paraId="1C2718FC" w14:textId="5034B945" w:rsidR="006C5B88" w:rsidRDefault="00342D58" w:rsidP="00DD3BBE">
      <w:pPr>
        <w:pStyle w:val="CETReferencetext"/>
        <w:rPr>
          <w:lang w:val="en-US"/>
        </w:rPr>
      </w:pPr>
      <w:r w:rsidRPr="00342D58">
        <w:rPr>
          <w:lang w:val="en-US"/>
        </w:rPr>
        <w:t>Ozgen, S.</w:t>
      </w:r>
      <w:r>
        <w:rPr>
          <w:lang w:val="en-US"/>
        </w:rPr>
        <w:t>, 2022.</w:t>
      </w:r>
      <w:r w:rsidRPr="00342D58">
        <w:rPr>
          <w:lang w:val="en-US"/>
        </w:rPr>
        <w:t xml:space="preserve"> Methods for particulate matter emission reduction from pellet boilers. </w:t>
      </w:r>
      <w:r w:rsidR="00A21724" w:rsidRPr="00A21724">
        <w:rPr>
          <w:lang w:val="en-US"/>
        </w:rPr>
        <w:t>Biomass Conversion and Biorefinery</w:t>
      </w:r>
      <w:r w:rsidRPr="00342D58">
        <w:rPr>
          <w:lang w:val="en-US"/>
        </w:rPr>
        <w:t>. https://doi.org/10.1007/s13399-022-03045-4</w:t>
      </w:r>
    </w:p>
    <w:p w14:paraId="3EB418B7" w14:textId="1C058E0C" w:rsidR="004749A1" w:rsidRPr="00260A3A" w:rsidRDefault="004749A1" w:rsidP="00DD3BBE">
      <w:pPr>
        <w:pStyle w:val="CETReferencetext"/>
        <w:rPr>
          <w:lang w:val="it-IT"/>
        </w:rPr>
      </w:pPr>
      <w:r w:rsidRPr="004749A1">
        <w:rPr>
          <w:lang w:val="en-US"/>
        </w:rPr>
        <w:t>Pawela B</w:t>
      </w:r>
      <w:r>
        <w:rPr>
          <w:lang w:val="en-US"/>
        </w:rPr>
        <w:t>.</w:t>
      </w:r>
      <w:r w:rsidRPr="004749A1">
        <w:rPr>
          <w:lang w:val="en-US"/>
        </w:rPr>
        <w:t xml:space="preserve">, </w:t>
      </w:r>
      <w:proofErr w:type="spellStart"/>
      <w:r w:rsidRPr="004749A1">
        <w:rPr>
          <w:lang w:val="en-US"/>
        </w:rPr>
        <w:t>Jaszczur</w:t>
      </w:r>
      <w:proofErr w:type="spellEnd"/>
      <w:r w:rsidRPr="004749A1">
        <w:rPr>
          <w:lang w:val="en-US"/>
        </w:rPr>
        <w:t xml:space="preserve"> M.</w:t>
      </w:r>
      <w:r>
        <w:rPr>
          <w:lang w:val="en-US"/>
        </w:rPr>
        <w:t xml:space="preserve">, </w:t>
      </w:r>
      <w:r w:rsidR="001F4EB8">
        <w:rPr>
          <w:lang w:val="en-US"/>
        </w:rPr>
        <w:t xml:space="preserve">2022. </w:t>
      </w:r>
      <w:r w:rsidRPr="004749A1">
        <w:rPr>
          <w:lang w:val="en-US"/>
        </w:rPr>
        <w:t xml:space="preserve">Review of Gas Engine Heat Pumps. </w:t>
      </w:r>
      <w:r w:rsidRPr="00260A3A">
        <w:rPr>
          <w:lang w:val="it-IT"/>
        </w:rPr>
        <w:t>Energies</w:t>
      </w:r>
      <w:r w:rsidR="001F4EB8" w:rsidRPr="00260A3A">
        <w:rPr>
          <w:lang w:val="it-IT"/>
        </w:rPr>
        <w:t xml:space="preserve">, </w:t>
      </w:r>
      <w:r w:rsidRPr="00260A3A">
        <w:rPr>
          <w:lang w:val="it-IT"/>
        </w:rPr>
        <w:t>15(13):4874. https://doi.org/10.3390/en15134874</w:t>
      </w:r>
    </w:p>
    <w:p w14:paraId="6F22E5CC" w14:textId="7CB4C9F1" w:rsidR="00DD3BBE" w:rsidRPr="001A5864" w:rsidRDefault="00DD3BBE" w:rsidP="00DD3BBE">
      <w:pPr>
        <w:pStyle w:val="CETReferencetext"/>
        <w:rPr>
          <w:lang w:val="it-IT"/>
        </w:rPr>
      </w:pPr>
      <w:r w:rsidRPr="00DD3BBE">
        <w:rPr>
          <w:lang w:val="it-IT"/>
        </w:rPr>
        <w:t>Pierobon</w:t>
      </w:r>
      <w:r>
        <w:rPr>
          <w:lang w:val="it-IT"/>
        </w:rPr>
        <w:t xml:space="preserve"> F.</w:t>
      </w:r>
      <w:r w:rsidRPr="00DD3BBE">
        <w:rPr>
          <w:lang w:val="it-IT"/>
        </w:rPr>
        <w:t>, Zanetti</w:t>
      </w:r>
      <w:r>
        <w:rPr>
          <w:lang w:val="it-IT"/>
        </w:rPr>
        <w:t xml:space="preserve"> M.</w:t>
      </w:r>
      <w:r w:rsidRPr="00DD3BBE">
        <w:rPr>
          <w:lang w:val="it-IT"/>
        </w:rPr>
        <w:t xml:space="preserve">, </w:t>
      </w:r>
      <w:proofErr w:type="spellStart"/>
      <w:r w:rsidRPr="00DD3BBE">
        <w:rPr>
          <w:lang w:val="it-IT"/>
        </w:rPr>
        <w:t>Grigolato</w:t>
      </w:r>
      <w:proofErr w:type="spellEnd"/>
      <w:r>
        <w:rPr>
          <w:lang w:val="it-IT"/>
        </w:rPr>
        <w:t xml:space="preserve"> S.</w:t>
      </w:r>
      <w:r w:rsidRPr="00DD3BBE">
        <w:rPr>
          <w:lang w:val="it-IT"/>
        </w:rPr>
        <w:t xml:space="preserve">, </w:t>
      </w:r>
      <w:proofErr w:type="spellStart"/>
      <w:r w:rsidRPr="00DD3BBE">
        <w:rPr>
          <w:lang w:val="it-IT"/>
        </w:rPr>
        <w:t>Sgarbossa</w:t>
      </w:r>
      <w:proofErr w:type="spellEnd"/>
      <w:r>
        <w:rPr>
          <w:lang w:val="it-IT"/>
        </w:rPr>
        <w:t xml:space="preserve"> A.</w:t>
      </w:r>
      <w:r w:rsidRPr="00DD3BBE">
        <w:rPr>
          <w:lang w:val="it-IT"/>
        </w:rPr>
        <w:t xml:space="preserve">, </w:t>
      </w:r>
      <w:proofErr w:type="spellStart"/>
      <w:r w:rsidRPr="00DD3BBE">
        <w:rPr>
          <w:lang w:val="it-IT"/>
        </w:rPr>
        <w:t>Anfodillo</w:t>
      </w:r>
      <w:proofErr w:type="spellEnd"/>
      <w:r>
        <w:rPr>
          <w:lang w:val="it-IT"/>
        </w:rPr>
        <w:t xml:space="preserve"> T.</w:t>
      </w:r>
      <w:r w:rsidRPr="00DD3BBE">
        <w:rPr>
          <w:lang w:val="it-IT"/>
        </w:rPr>
        <w:t>, Cavalli</w:t>
      </w:r>
      <w:r>
        <w:rPr>
          <w:lang w:val="it-IT"/>
        </w:rPr>
        <w:t xml:space="preserve"> R.</w:t>
      </w:r>
      <w:r w:rsidRPr="00DD3BBE">
        <w:rPr>
          <w:lang w:val="it-IT"/>
        </w:rPr>
        <w:t>,</w:t>
      </w:r>
      <w:r>
        <w:rPr>
          <w:lang w:val="it-IT"/>
        </w:rPr>
        <w:t xml:space="preserve"> 2015. </w:t>
      </w:r>
      <w:r w:rsidRPr="00DD3BBE">
        <w:rPr>
          <w:lang w:val="en-US"/>
        </w:rPr>
        <w:t>Life cycle environmental impact of firewood production – A case study in Italy</w:t>
      </w:r>
      <w:r>
        <w:rPr>
          <w:lang w:val="en-US"/>
        </w:rPr>
        <w:t xml:space="preserve">. </w:t>
      </w:r>
      <w:r w:rsidRPr="001A5864">
        <w:rPr>
          <w:lang w:val="it-IT"/>
        </w:rPr>
        <w:t>Applied Energy, 15</w:t>
      </w:r>
      <w:r w:rsidR="00B51E57" w:rsidRPr="001A5864">
        <w:rPr>
          <w:lang w:val="it-IT"/>
        </w:rPr>
        <w:t xml:space="preserve">, </w:t>
      </w:r>
      <w:r w:rsidRPr="001A5864">
        <w:rPr>
          <w:lang w:val="it-IT"/>
        </w:rPr>
        <w:t>185-195</w:t>
      </w:r>
      <w:r w:rsidR="00B51E57" w:rsidRPr="001A5864">
        <w:rPr>
          <w:lang w:val="it-IT"/>
        </w:rPr>
        <w:t xml:space="preserve">. </w:t>
      </w:r>
      <w:r w:rsidRPr="001A5864">
        <w:rPr>
          <w:lang w:val="it-IT"/>
        </w:rPr>
        <w:t>https://doi.org/10.1016/j.apenergy.2015.04.033.</w:t>
      </w:r>
    </w:p>
    <w:p w14:paraId="0F33ABE2" w14:textId="40F37B6C" w:rsidR="008150DC" w:rsidRPr="005E7C97" w:rsidRDefault="008150DC" w:rsidP="008150DC">
      <w:pPr>
        <w:pStyle w:val="CETReferencetext"/>
        <w:rPr>
          <w:lang w:val="de-DE"/>
        </w:rPr>
      </w:pPr>
      <w:proofErr w:type="spellStart"/>
      <w:r w:rsidRPr="001A5864">
        <w:rPr>
          <w:lang w:val="it-IT"/>
        </w:rPr>
        <w:t>PoliMI</w:t>
      </w:r>
      <w:proofErr w:type="spellEnd"/>
      <w:r w:rsidRPr="001A5864">
        <w:rPr>
          <w:lang w:val="it-IT"/>
        </w:rPr>
        <w:t xml:space="preserve"> </w:t>
      </w:r>
      <w:proofErr w:type="spellStart"/>
      <w:r w:rsidRPr="001A5864">
        <w:rPr>
          <w:lang w:val="it-IT"/>
        </w:rPr>
        <w:t>Aware</w:t>
      </w:r>
      <w:proofErr w:type="spellEnd"/>
      <w:r w:rsidRPr="001A5864">
        <w:rPr>
          <w:lang w:val="it-IT"/>
        </w:rPr>
        <w:t xml:space="preserve">, 2020. </w:t>
      </w:r>
      <w:r w:rsidRPr="008150DC">
        <w:rPr>
          <w:lang w:val="it-IT"/>
        </w:rPr>
        <w:t xml:space="preserve">Valutazione degli impatti ambientali del ciclo di vita di diverse tipologie di combustibili. </w:t>
      </w:r>
      <w:r w:rsidRPr="005E7C97">
        <w:rPr>
          <w:lang w:val="de-DE"/>
        </w:rPr>
        <w:t xml:space="preserve">DICA, </w:t>
      </w:r>
      <w:proofErr w:type="spellStart"/>
      <w:r w:rsidRPr="005E7C97">
        <w:rPr>
          <w:lang w:val="de-DE"/>
        </w:rPr>
        <w:t>Relazione</w:t>
      </w:r>
      <w:proofErr w:type="spellEnd"/>
      <w:r w:rsidRPr="005E7C97">
        <w:rPr>
          <w:lang w:val="de-DE"/>
        </w:rPr>
        <w:t xml:space="preserve"> n. 847.0202.01.62.</w:t>
      </w:r>
    </w:p>
    <w:p w14:paraId="364724EE" w14:textId="47F1A386" w:rsidR="005E7C97" w:rsidRPr="001A5864" w:rsidRDefault="005E7C97" w:rsidP="001F307D">
      <w:pPr>
        <w:pStyle w:val="CETReferencetext"/>
        <w:rPr>
          <w:lang w:val="en-US"/>
        </w:rPr>
      </w:pPr>
      <w:r w:rsidRPr="001F307D">
        <w:rPr>
          <w:lang w:val="de-DE"/>
        </w:rPr>
        <w:t xml:space="preserve">Reichert G., Schmidl C., Haslinger W., Schwabl M., Moser W., </w:t>
      </w:r>
      <w:proofErr w:type="spellStart"/>
      <w:r w:rsidRPr="001F307D">
        <w:rPr>
          <w:lang w:val="de-DE"/>
        </w:rPr>
        <w:t>Aigenbauer</w:t>
      </w:r>
      <w:proofErr w:type="spellEnd"/>
      <w:r w:rsidRPr="001F307D">
        <w:rPr>
          <w:lang w:val="de-DE"/>
        </w:rPr>
        <w:t xml:space="preserve"> S., Wöhler M., </w:t>
      </w:r>
      <w:proofErr w:type="spellStart"/>
      <w:r w:rsidRPr="001F307D">
        <w:rPr>
          <w:lang w:val="de-DE"/>
        </w:rPr>
        <w:t>Hochenauer</w:t>
      </w:r>
      <w:proofErr w:type="spellEnd"/>
      <w:r w:rsidRPr="001F307D">
        <w:rPr>
          <w:lang w:val="de-DE"/>
        </w:rPr>
        <w:t xml:space="preserve"> C., </w:t>
      </w:r>
      <w:r w:rsidR="001F307D" w:rsidRPr="001F307D">
        <w:rPr>
          <w:lang w:val="de-DE"/>
        </w:rPr>
        <w:t>20</w:t>
      </w:r>
      <w:r w:rsidR="00406AD1">
        <w:rPr>
          <w:lang w:val="de-DE"/>
        </w:rPr>
        <w:t>1</w:t>
      </w:r>
      <w:r w:rsidR="001F307D" w:rsidRPr="001F307D">
        <w:rPr>
          <w:lang w:val="de-DE"/>
        </w:rPr>
        <w:t xml:space="preserve">6. </w:t>
      </w:r>
      <w:r w:rsidRPr="005E7C97">
        <w:rPr>
          <w:lang w:val="en-US"/>
        </w:rPr>
        <w:t>Investigation of user behavior and assessment of typical operation mode for different types of firewood room heating appliances in Austria</w:t>
      </w:r>
      <w:r w:rsidR="001F307D">
        <w:rPr>
          <w:lang w:val="en-US"/>
        </w:rPr>
        <w:t xml:space="preserve">. </w:t>
      </w:r>
      <w:r w:rsidRPr="001A5864">
        <w:rPr>
          <w:lang w:val="en-US"/>
        </w:rPr>
        <w:t>Renewable Energy, 93,</w:t>
      </w:r>
      <w:r w:rsidR="001F307D" w:rsidRPr="001A5864">
        <w:rPr>
          <w:lang w:val="en-US"/>
        </w:rPr>
        <w:t xml:space="preserve"> </w:t>
      </w:r>
      <w:r w:rsidRPr="001A5864">
        <w:rPr>
          <w:lang w:val="en-US"/>
        </w:rPr>
        <w:t>245-254</w:t>
      </w:r>
      <w:r w:rsidR="001F307D" w:rsidRPr="001A5864">
        <w:rPr>
          <w:lang w:val="en-US"/>
        </w:rPr>
        <w:t xml:space="preserve">. </w:t>
      </w:r>
      <w:r w:rsidRPr="001A5864">
        <w:rPr>
          <w:lang w:val="en-US"/>
        </w:rPr>
        <w:t>https://doi.org/10.1016/j.renene.2016.01.092.</w:t>
      </w:r>
    </w:p>
    <w:p w14:paraId="487C336A" w14:textId="58BCE91F" w:rsidR="00E61064" w:rsidRPr="00260A3A" w:rsidRDefault="00E61064" w:rsidP="00E61064">
      <w:pPr>
        <w:pStyle w:val="CETReferencetext"/>
        <w:rPr>
          <w:lang w:val="en-US"/>
        </w:rPr>
      </w:pPr>
      <w:r w:rsidRPr="00260A3A">
        <w:rPr>
          <w:lang w:val="en-US"/>
        </w:rPr>
        <w:t xml:space="preserve">Roselli C., </w:t>
      </w:r>
      <w:proofErr w:type="spellStart"/>
      <w:r w:rsidRPr="00260A3A">
        <w:rPr>
          <w:lang w:val="en-US"/>
        </w:rPr>
        <w:t>Marrasso</w:t>
      </w:r>
      <w:proofErr w:type="spellEnd"/>
      <w:r w:rsidRPr="00260A3A">
        <w:rPr>
          <w:lang w:val="en-US"/>
        </w:rPr>
        <w:t xml:space="preserve"> E., Sasso M., 2021. </w:t>
      </w:r>
      <w:r w:rsidRPr="00E61064">
        <w:rPr>
          <w:lang w:val="en-US"/>
        </w:rPr>
        <w:t xml:space="preserve">Gas Engine-Driven Heat Pumps for Small-Scale Applications: State-of-the-Art and Future Perspectives. </w:t>
      </w:r>
      <w:r w:rsidRPr="00260A3A">
        <w:rPr>
          <w:lang w:val="en-US"/>
        </w:rPr>
        <w:t>Energies, 14(16):4845. https://doi.org/10.3390/en14164845</w:t>
      </w:r>
    </w:p>
    <w:p w14:paraId="7EB7307B" w14:textId="1B0BFBDD" w:rsidR="00CA4490" w:rsidRPr="00260A3A" w:rsidRDefault="00CA4490" w:rsidP="00CA4490">
      <w:pPr>
        <w:pStyle w:val="CETReferencetext"/>
        <w:rPr>
          <w:lang w:val="en-US"/>
        </w:rPr>
      </w:pPr>
      <w:proofErr w:type="spellStart"/>
      <w:r w:rsidRPr="00260A3A">
        <w:rPr>
          <w:lang w:val="en-US"/>
        </w:rPr>
        <w:t>Scoccia</w:t>
      </w:r>
      <w:proofErr w:type="spellEnd"/>
      <w:r w:rsidRPr="00260A3A">
        <w:rPr>
          <w:lang w:val="en-US"/>
        </w:rPr>
        <w:t xml:space="preserve"> R., Toppi T., Aprile M., Motta M., </w:t>
      </w:r>
      <w:r w:rsidR="00616B9E" w:rsidRPr="00260A3A">
        <w:rPr>
          <w:lang w:val="en-US"/>
        </w:rPr>
        <w:t xml:space="preserve">2018. </w:t>
      </w:r>
      <w:r w:rsidRPr="00CA4490">
        <w:rPr>
          <w:lang w:val="en-US"/>
        </w:rPr>
        <w:t>Absorption and compression heat pump systems for space heating and DHW in European buildings: Energy, environmental and economic analysis</w:t>
      </w:r>
      <w:r w:rsidR="00616B9E">
        <w:rPr>
          <w:lang w:val="en-US"/>
        </w:rPr>
        <w:t xml:space="preserve">. </w:t>
      </w:r>
      <w:r w:rsidRPr="00CA4490">
        <w:rPr>
          <w:lang w:val="en-US"/>
        </w:rPr>
        <w:t>Journal of Building Engineering,</w:t>
      </w:r>
      <w:r w:rsidR="00616B9E">
        <w:rPr>
          <w:lang w:val="en-US"/>
        </w:rPr>
        <w:t xml:space="preserve"> </w:t>
      </w:r>
      <w:r w:rsidRPr="00CA4490">
        <w:rPr>
          <w:lang w:val="en-US"/>
        </w:rPr>
        <w:t>16,</w:t>
      </w:r>
      <w:r w:rsidR="00616B9E">
        <w:rPr>
          <w:lang w:val="en-US"/>
        </w:rPr>
        <w:t xml:space="preserve"> </w:t>
      </w:r>
      <w:r w:rsidRPr="00260A3A">
        <w:rPr>
          <w:lang w:val="en-US"/>
        </w:rPr>
        <w:t>94-105</w:t>
      </w:r>
      <w:r w:rsidR="00616B9E" w:rsidRPr="00260A3A">
        <w:rPr>
          <w:lang w:val="en-US"/>
        </w:rPr>
        <w:t xml:space="preserve">. </w:t>
      </w:r>
      <w:r w:rsidRPr="00260A3A">
        <w:rPr>
          <w:lang w:val="en-US"/>
        </w:rPr>
        <w:t>https://doi.org/10.1016/j.jobe.2017.12.006.</w:t>
      </w:r>
    </w:p>
    <w:p w14:paraId="29C7A346" w14:textId="20D2ADE8" w:rsidR="001207E2" w:rsidRPr="0041505E" w:rsidRDefault="005E1355" w:rsidP="001207E2">
      <w:pPr>
        <w:pStyle w:val="CETReferencetext"/>
        <w:rPr>
          <w:lang w:val="en-US"/>
        </w:rPr>
      </w:pPr>
      <w:proofErr w:type="spellStart"/>
      <w:r w:rsidRPr="001A5864">
        <w:rPr>
          <w:lang w:val="en-US"/>
        </w:rPr>
        <w:t>Thunis</w:t>
      </w:r>
      <w:proofErr w:type="spellEnd"/>
      <w:r w:rsidR="001F7428" w:rsidRPr="001A5864">
        <w:rPr>
          <w:lang w:val="en-US"/>
        </w:rPr>
        <w:t xml:space="preserve"> P., </w:t>
      </w:r>
      <w:r w:rsidRPr="001A5864">
        <w:rPr>
          <w:lang w:val="en-US"/>
        </w:rPr>
        <w:t>Clappier</w:t>
      </w:r>
      <w:r w:rsidR="001F7428" w:rsidRPr="001A5864">
        <w:rPr>
          <w:lang w:val="en-US"/>
        </w:rPr>
        <w:t xml:space="preserve"> A.,  </w:t>
      </w:r>
      <w:proofErr w:type="spellStart"/>
      <w:r w:rsidRPr="001A5864">
        <w:rPr>
          <w:lang w:val="en-US"/>
        </w:rPr>
        <w:t>Beekmann</w:t>
      </w:r>
      <w:proofErr w:type="spellEnd"/>
      <w:r w:rsidR="001F7428" w:rsidRPr="001A5864">
        <w:rPr>
          <w:lang w:val="en-US"/>
        </w:rPr>
        <w:t xml:space="preserve"> M., </w:t>
      </w:r>
      <w:proofErr w:type="spellStart"/>
      <w:r w:rsidRPr="001A5864">
        <w:rPr>
          <w:lang w:val="en-US"/>
        </w:rPr>
        <w:t>Putaud</w:t>
      </w:r>
      <w:proofErr w:type="spellEnd"/>
      <w:r w:rsidR="00996BA5" w:rsidRPr="001A5864">
        <w:rPr>
          <w:lang w:val="en-US"/>
        </w:rPr>
        <w:t xml:space="preserve"> J.P., </w:t>
      </w:r>
      <w:r w:rsidRPr="001A5864">
        <w:rPr>
          <w:lang w:val="en-US"/>
        </w:rPr>
        <w:t>Cuvelier</w:t>
      </w:r>
      <w:r w:rsidR="00996BA5" w:rsidRPr="001A5864">
        <w:rPr>
          <w:lang w:val="en-US"/>
        </w:rPr>
        <w:t xml:space="preserve"> C., </w:t>
      </w:r>
      <w:r w:rsidRPr="001A5864">
        <w:rPr>
          <w:lang w:val="en-US"/>
        </w:rPr>
        <w:t>Madrazo</w:t>
      </w:r>
      <w:r w:rsidR="00996BA5" w:rsidRPr="001A5864">
        <w:rPr>
          <w:lang w:val="en-US"/>
        </w:rPr>
        <w:t xml:space="preserve"> J., </w:t>
      </w:r>
      <w:r w:rsidRPr="001A5864">
        <w:rPr>
          <w:lang w:val="en-US"/>
        </w:rPr>
        <w:t xml:space="preserve">de </w:t>
      </w:r>
      <w:proofErr w:type="spellStart"/>
      <w:r w:rsidRPr="001A5864">
        <w:rPr>
          <w:lang w:val="en-US"/>
        </w:rPr>
        <w:t>Meij</w:t>
      </w:r>
      <w:proofErr w:type="spellEnd"/>
      <w:r w:rsidR="00996BA5" w:rsidRPr="001A5864">
        <w:rPr>
          <w:lang w:val="en-US"/>
        </w:rPr>
        <w:t xml:space="preserve"> A., </w:t>
      </w:r>
      <w:r w:rsidR="001207E2" w:rsidRPr="001A5864">
        <w:rPr>
          <w:lang w:val="en-US"/>
        </w:rPr>
        <w:t xml:space="preserve">2021. </w:t>
      </w:r>
      <w:r w:rsidR="001207E2" w:rsidRPr="005E1355">
        <w:rPr>
          <w:lang w:val="en-US"/>
        </w:rPr>
        <w:t>Non-linear response of PM2.5 to changes in NOx and NH3 emissions in</w:t>
      </w:r>
      <w:r w:rsidR="001207E2">
        <w:rPr>
          <w:lang w:val="en-US"/>
        </w:rPr>
        <w:t xml:space="preserve"> </w:t>
      </w:r>
      <w:r w:rsidR="001207E2" w:rsidRPr="005E1355">
        <w:rPr>
          <w:lang w:val="en-US"/>
        </w:rPr>
        <w:t>the Po basin (Italy): consequences for air quality plans</w:t>
      </w:r>
      <w:r w:rsidR="001207E2">
        <w:rPr>
          <w:lang w:val="en-US"/>
        </w:rPr>
        <w:t>.</w:t>
      </w:r>
      <w:r w:rsidR="00254246">
        <w:rPr>
          <w:lang w:val="en-US"/>
        </w:rPr>
        <w:t xml:space="preserve"> </w:t>
      </w:r>
      <w:r w:rsidR="00254246" w:rsidRPr="0041505E">
        <w:rPr>
          <w:lang w:val="en-US"/>
        </w:rPr>
        <w:t>Atmospheric Chemistry and Physi</w:t>
      </w:r>
      <w:r w:rsidR="000C7DC8" w:rsidRPr="0041505E">
        <w:rPr>
          <w:lang w:val="en-US"/>
        </w:rPr>
        <w:t>cs.</w:t>
      </w:r>
      <w:r w:rsidR="001207E2" w:rsidRPr="0041505E">
        <w:rPr>
          <w:lang w:val="en-US"/>
        </w:rPr>
        <w:t xml:space="preserve"> </w:t>
      </w:r>
      <w:hyperlink r:id="rId16" w:history="1">
        <w:r w:rsidR="00EC4D8F" w:rsidRPr="0041505E">
          <w:rPr>
            <w:lang w:val="en-US"/>
          </w:rPr>
          <w:t>https://doi.org/10.5194/acp-2021-65</w:t>
        </w:r>
      </w:hyperlink>
    </w:p>
    <w:p w14:paraId="0FDE0095" w14:textId="14E5F0C1" w:rsidR="004628D2" w:rsidRPr="00537479" w:rsidRDefault="00716054" w:rsidP="001467FD">
      <w:pPr>
        <w:pStyle w:val="CETReferencetext"/>
      </w:pPr>
      <w:r w:rsidRPr="0041505E">
        <w:rPr>
          <w:lang w:val="en-US"/>
        </w:rPr>
        <w:t xml:space="preserve">Venturini E., </w:t>
      </w:r>
      <w:proofErr w:type="spellStart"/>
      <w:r w:rsidRPr="0041505E">
        <w:rPr>
          <w:lang w:val="en-US"/>
        </w:rPr>
        <w:t>Vassura</w:t>
      </w:r>
      <w:proofErr w:type="spellEnd"/>
      <w:r w:rsidRPr="0041505E">
        <w:rPr>
          <w:lang w:val="en-US"/>
        </w:rPr>
        <w:t xml:space="preserve"> I., Agostini F., Pizzi A., Toscano G., </w:t>
      </w:r>
      <w:proofErr w:type="spellStart"/>
      <w:r w:rsidRPr="0041505E">
        <w:rPr>
          <w:lang w:val="en-US"/>
        </w:rPr>
        <w:t>Passarini</w:t>
      </w:r>
      <w:proofErr w:type="spellEnd"/>
      <w:r w:rsidRPr="0041505E">
        <w:rPr>
          <w:lang w:val="en-US"/>
        </w:rPr>
        <w:t xml:space="preserve"> F., </w:t>
      </w:r>
      <w:r w:rsidR="00294253" w:rsidRPr="0041505E">
        <w:rPr>
          <w:lang w:val="en-US"/>
        </w:rPr>
        <w:t xml:space="preserve">2018. </w:t>
      </w:r>
      <w:r w:rsidRPr="00716054">
        <w:rPr>
          <w:lang w:val="en-US"/>
        </w:rPr>
        <w:t>Effect of fuel quality classes on the emissions of a residential wood pellet stove</w:t>
      </w:r>
      <w:r w:rsidR="00294253">
        <w:rPr>
          <w:lang w:val="en-US"/>
        </w:rPr>
        <w:t xml:space="preserve">. </w:t>
      </w:r>
      <w:r w:rsidRPr="00716054">
        <w:rPr>
          <w:lang w:val="fr-FR"/>
        </w:rPr>
        <w:t>Fuel,</w:t>
      </w:r>
      <w:r w:rsidR="00294253">
        <w:rPr>
          <w:lang w:val="fr-FR"/>
        </w:rPr>
        <w:t xml:space="preserve"> </w:t>
      </w:r>
      <w:r w:rsidRPr="00716054">
        <w:rPr>
          <w:lang w:val="fr-FR"/>
        </w:rPr>
        <w:t>211,</w:t>
      </w:r>
      <w:r w:rsidR="00294253">
        <w:rPr>
          <w:lang w:val="fr-FR"/>
        </w:rPr>
        <w:t xml:space="preserve"> </w:t>
      </w:r>
      <w:r w:rsidRPr="00716054">
        <w:rPr>
          <w:lang w:val="fr-FR"/>
        </w:rPr>
        <w:t>269-277</w:t>
      </w:r>
      <w:r w:rsidR="00294253">
        <w:rPr>
          <w:lang w:val="fr-FR"/>
        </w:rPr>
        <w:t xml:space="preserve">. </w:t>
      </w:r>
      <w:r w:rsidRPr="00716054">
        <w:rPr>
          <w:lang w:val="fr-FR"/>
        </w:rPr>
        <w:t>https://doi.org/10.1016/j.fuel.2017.09.017.</w:t>
      </w:r>
      <w:r w:rsidR="00E14A93" w:rsidRPr="00C46BBF">
        <w:rPr>
          <w:rStyle w:val="CETCaptionCarattere"/>
          <w:i w:val="0"/>
          <w:iCs/>
        </w:rPr>
        <w:t xml:space="preserve"> </w:t>
      </w:r>
    </w:p>
    <w:sectPr w:rsidR="004628D2" w:rsidRPr="00537479" w:rsidSect="00E91B26">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7787" w14:textId="77777777" w:rsidR="00E91B26" w:rsidRDefault="00E91B26" w:rsidP="004F5E36">
      <w:r>
        <w:separator/>
      </w:r>
    </w:p>
  </w:endnote>
  <w:endnote w:type="continuationSeparator" w:id="0">
    <w:p w14:paraId="795909A0" w14:textId="77777777" w:rsidR="00E91B26" w:rsidRDefault="00E91B2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E23E" w14:textId="77777777" w:rsidR="004B541B" w:rsidRDefault="004B5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0A5B" w14:textId="77777777" w:rsidR="004B541B" w:rsidRDefault="004B5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9EFB" w14:textId="77777777" w:rsidR="004B541B" w:rsidRDefault="004B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BF83" w14:textId="77777777" w:rsidR="00E91B26" w:rsidRDefault="00E91B26" w:rsidP="004F5E36">
      <w:r>
        <w:separator/>
      </w:r>
    </w:p>
  </w:footnote>
  <w:footnote w:type="continuationSeparator" w:id="0">
    <w:p w14:paraId="7AE23A0A" w14:textId="77777777" w:rsidR="00E91B26" w:rsidRDefault="00E91B26"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E09E" w14:textId="77777777" w:rsidR="004B541B" w:rsidRDefault="004B5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FCEF" w14:textId="0A047896" w:rsidR="004B541B" w:rsidRDefault="004B5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9930" w14:textId="77777777" w:rsidR="004B541B" w:rsidRDefault="004B5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235C08"/>
    <w:multiLevelType w:val="hybridMultilevel"/>
    <w:tmpl w:val="D7E64108"/>
    <w:lvl w:ilvl="0" w:tplc="2BBE7E54">
      <w:start w:val="1"/>
      <w:numFmt w:val="bullet"/>
      <w:lvlText w:val="•"/>
      <w:lvlJc w:val="left"/>
      <w:pPr>
        <w:tabs>
          <w:tab w:val="num" w:pos="720"/>
        </w:tabs>
        <w:ind w:left="720" w:hanging="360"/>
      </w:pPr>
      <w:rPr>
        <w:rFonts w:ascii="Arial" w:hAnsi="Arial" w:hint="default"/>
      </w:rPr>
    </w:lvl>
    <w:lvl w:ilvl="1" w:tplc="037886AE" w:tentative="1">
      <w:start w:val="1"/>
      <w:numFmt w:val="bullet"/>
      <w:lvlText w:val="•"/>
      <w:lvlJc w:val="left"/>
      <w:pPr>
        <w:tabs>
          <w:tab w:val="num" w:pos="1440"/>
        </w:tabs>
        <w:ind w:left="1440" w:hanging="360"/>
      </w:pPr>
      <w:rPr>
        <w:rFonts w:ascii="Arial" w:hAnsi="Arial" w:hint="default"/>
      </w:rPr>
    </w:lvl>
    <w:lvl w:ilvl="2" w:tplc="67C8DFA2" w:tentative="1">
      <w:start w:val="1"/>
      <w:numFmt w:val="bullet"/>
      <w:lvlText w:val="•"/>
      <w:lvlJc w:val="left"/>
      <w:pPr>
        <w:tabs>
          <w:tab w:val="num" w:pos="2160"/>
        </w:tabs>
        <w:ind w:left="2160" w:hanging="360"/>
      </w:pPr>
      <w:rPr>
        <w:rFonts w:ascii="Arial" w:hAnsi="Arial" w:hint="default"/>
      </w:rPr>
    </w:lvl>
    <w:lvl w:ilvl="3" w:tplc="028ACE08" w:tentative="1">
      <w:start w:val="1"/>
      <w:numFmt w:val="bullet"/>
      <w:lvlText w:val="•"/>
      <w:lvlJc w:val="left"/>
      <w:pPr>
        <w:tabs>
          <w:tab w:val="num" w:pos="2880"/>
        </w:tabs>
        <w:ind w:left="2880" w:hanging="360"/>
      </w:pPr>
      <w:rPr>
        <w:rFonts w:ascii="Arial" w:hAnsi="Arial" w:hint="default"/>
      </w:rPr>
    </w:lvl>
    <w:lvl w:ilvl="4" w:tplc="AA786B12" w:tentative="1">
      <w:start w:val="1"/>
      <w:numFmt w:val="bullet"/>
      <w:lvlText w:val="•"/>
      <w:lvlJc w:val="left"/>
      <w:pPr>
        <w:tabs>
          <w:tab w:val="num" w:pos="3600"/>
        </w:tabs>
        <w:ind w:left="3600" w:hanging="360"/>
      </w:pPr>
      <w:rPr>
        <w:rFonts w:ascii="Arial" w:hAnsi="Arial" w:hint="default"/>
      </w:rPr>
    </w:lvl>
    <w:lvl w:ilvl="5" w:tplc="F06CEAA2" w:tentative="1">
      <w:start w:val="1"/>
      <w:numFmt w:val="bullet"/>
      <w:lvlText w:val="•"/>
      <w:lvlJc w:val="left"/>
      <w:pPr>
        <w:tabs>
          <w:tab w:val="num" w:pos="4320"/>
        </w:tabs>
        <w:ind w:left="4320" w:hanging="360"/>
      </w:pPr>
      <w:rPr>
        <w:rFonts w:ascii="Arial" w:hAnsi="Arial" w:hint="default"/>
      </w:rPr>
    </w:lvl>
    <w:lvl w:ilvl="6" w:tplc="05167D90" w:tentative="1">
      <w:start w:val="1"/>
      <w:numFmt w:val="bullet"/>
      <w:lvlText w:val="•"/>
      <w:lvlJc w:val="left"/>
      <w:pPr>
        <w:tabs>
          <w:tab w:val="num" w:pos="5040"/>
        </w:tabs>
        <w:ind w:left="5040" w:hanging="360"/>
      </w:pPr>
      <w:rPr>
        <w:rFonts w:ascii="Arial" w:hAnsi="Arial" w:hint="default"/>
      </w:rPr>
    </w:lvl>
    <w:lvl w:ilvl="7" w:tplc="5D2856DE" w:tentative="1">
      <w:start w:val="1"/>
      <w:numFmt w:val="bullet"/>
      <w:lvlText w:val="•"/>
      <w:lvlJc w:val="left"/>
      <w:pPr>
        <w:tabs>
          <w:tab w:val="num" w:pos="5760"/>
        </w:tabs>
        <w:ind w:left="5760" w:hanging="360"/>
      </w:pPr>
      <w:rPr>
        <w:rFonts w:ascii="Arial" w:hAnsi="Arial" w:hint="default"/>
      </w:rPr>
    </w:lvl>
    <w:lvl w:ilvl="8" w:tplc="1E9466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38217E"/>
    <w:multiLevelType w:val="multilevel"/>
    <w:tmpl w:val="3FD065B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A44C42"/>
    <w:multiLevelType w:val="hybridMultilevel"/>
    <w:tmpl w:val="AFA4B724"/>
    <w:lvl w:ilvl="0" w:tplc="529CA9EE">
      <w:start w:val="1"/>
      <w:numFmt w:val="bullet"/>
      <w:lvlText w:val="•"/>
      <w:lvlJc w:val="left"/>
      <w:pPr>
        <w:tabs>
          <w:tab w:val="num" w:pos="720"/>
        </w:tabs>
        <w:ind w:left="720" w:hanging="360"/>
      </w:pPr>
      <w:rPr>
        <w:rFonts w:ascii="Arial" w:hAnsi="Arial" w:hint="default"/>
      </w:rPr>
    </w:lvl>
    <w:lvl w:ilvl="1" w:tplc="93AE1A98" w:tentative="1">
      <w:start w:val="1"/>
      <w:numFmt w:val="bullet"/>
      <w:lvlText w:val="•"/>
      <w:lvlJc w:val="left"/>
      <w:pPr>
        <w:tabs>
          <w:tab w:val="num" w:pos="1440"/>
        </w:tabs>
        <w:ind w:left="1440" w:hanging="360"/>
      </w:pPr>
      <w:rPr>
        <w:rFonts w:ascii="Arial" w:hAnsi="Arial" w:hint="default"/>
      </w:rPr>
    </w:lvl>
    <w:lvl w:ilvl="2" w:tplc="8BB06464" w:tentative="1">
      <w:start w:val="1"/>
      <w:numFmt w:val="bullet"/>
      <w:lvlText w:val="•"/>
      <w:lvlJc w:val="left"/>
      <w:pPr>
        <w:tabs>
          <w:tab w:val="num" w:pos="2160"/>
        </w:tabs>
        <w:ind w:left="2160" w:hanging="360"/>
      </w:pPr>
      <w:rPr>
        <w:rFonts w:ascii="Arial" w:hAnsi="Arial" w:hint="default"/>
      </w:rPr>
    </w:lvl>
    <w:lvl w:ilvl="3" w:tplc="C8B0AC58" w:tentative="1">
      <w:start w:val="1"/>
      <w:numFmt w:val="bullet"/>
      <w:lvlText w:val="•"/>
      <w:lvlJc w:val="left"/>
      <w:pPr>
        <w:tabs>
          <w:tab w:val="num" w:pos="2880"/>
        </w:tabs>
        <w:ind w:left="2880" w:hanging="360"/>
      </w:pPr>
      <w:rPr>
        <w:rFonts w:ascii="Arial" w:hAnsi="Arial" w:hint="default"/>
      </w:rPr>
    </w:lvl>
    <w:lvl w:ilvl="4" w:tplc="2286E4D6" w:tentative="1">
      <w:start w:val="1"/>
      <w:numFmt w:val="bullet"/>
      <w:lvlText w:val="•"/>
      <w:lvlJc w:val="left"/>
      <w:pPr>
        <w:tabs>
          <w:tab w:val="num" w:pos="3600"/>
        </w:tabs>
        <w:ind w:left="3600" w:hanging="360"/>
      </w:pPr>
      <w:rPr>
        <w:rFonts w:ascii="Arial" w:hAnsi="Arial" w:hint="default"/>
      </w:rPr>
    </w:lvl>
    <w:lvl w:ilvl="5" w:tplc="824C0378" w:tentative="1">
      <w:start w:val="1"/>
      <w:numFmt w:val="bullet"/>
      <w:lvlText w:val="•"/>
      <w:lvlJc w:val="left"/>
      <w:pPr>
        <w:tabs>
          <w:tab w:val="num" w:pos="4320"/>
        </w:tabs>
        <w:ind w:left="4320" w:hanging="360"/>
      </w:pPr>
      <w:rPr>
        <w:rFonts w:ascii="Arial" w:hAnsi="Arial" w:hint="default"/>
      </w:rPr>
    </w:lvl>
    <w:lvl w:ilvl="6" w:tplc="58E0F832" w:tentative="1">
      <w:start w:val="1"/>
      <w:numFmt w:val="bullet"/>
      <w:lvlText w:val="•"/>
      <w:lvlJc w:val="left"/>
      <w:pPr>
        <w:tabs>
          <w:tab w:val="num" w:pos="5040"/>
        </w:tabs>
        <w:ind w:left="5040" w:hanging="360"/>
      </w:pPr>
      <w:rPr>
        <w:rFonts w:ascii="Arial" w:hAnsi="Arial" w:hint="default"/>
      </w:rPr>
    </w:lvl>
    <w:lvl w:ilvl="7" w:tplc="5FFCC1F8" w:tentative="1">
      <w:start w:val="1"/>
      <w:numFmt w:val="bullet"/>
      <w:lvlText w:val="•"/>
      <w:lvlJc w:val="left"/>
      <w:pPr>
        <w:tabs>
          <w:tab w:val="num" w:pos="5760"/>
        </w:tabs>
        <w:ind w:left="5760" w:hanging="360"/>
      </w:pPr>
      <w:rPr>
        <w:rFonts w:ascii="Arial" w:hAnsi="Arial" w:hint="default"/>
      </w:rPr>
    </w:lvl>
    <w:lvl w:ilvl="8" w:tplc="EB3863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B34647"/>
    <w:multiLevelType w:val="hybridMultilevel"/>
    <w:tmpl w:val="AA786072"/>
    <w:lvl w:ilvl="0" w:tplc="94FC0B2A">
      <w:start w:val="1"/>
      <w:numFmt w:val="bullet"/>
      <w:lvlText w:val="•"/>
      <w:lvlJc w:val="left"/>
      <w:pPr>
        <w:tabs>
          <w:tab w:val="num" w:pos="720"/>
        </w:tabs>
        <w:ind w:left="720" w:hanging="360"/>
      </w:pPr>
      <w:rPr>
        <w:rFonts w:ascii="Arial" w:hAnsi="Arial" w:hint="default"/>
      </w:rPr>
    </w:lvl>
    <w:lvl w:ilvl="1" w:tplc="B4B2B8AE" w:tentative="1">
      <w:start w:val="1"/>
      <w:numFmt w:val="bullet"/>
      <w:lvlText w:val="•"/>
      <w:lvlJc w:val="left"/>
      <w:pPr>
        <w:tabs>
          <w:tab w:val="num" w:pos="1440"/>
        </w:tabs>
        <w:ind w:left="1440" w:hanging="360"/>
      </w:pPr>
      <w:rPr>
        <w:rFonts w:ascii="Arial" w:hAnsi="Arial" w:hint="default"/>
      </w:rPr>
    </w:lvl>
    <w:lvl w:ilvl="2" w:tplc="764831C6" w:tentative="1">
      <w:start w:val="1"/>
      <w:numFmt w:val="bullet"/>
      <w:lvlText w:val="•"/>
      <w:lvlJc w:val="left"/>
      <w:pPr>
        <w:tabs>
          <w:tab w:val="num" w:pos="2160"/>
        </w:tabs>
        <w:ind w:left="2160" w:hanging="360"/>
      </w:pPr>
      <w:rPr>
        <w:rFonts w:ascii="Arial" w:hAnsi="Arial" w:hint="default"/>
      </w:rPr>
    </w:lvl>
    <w:lvl w:ilvl="3" w:tplc="0046EE9E" w:tentative="1">
      <w:start w:val="1"/>
      <w:numFmt w:val="bullet"/>
      <w:lvlText w:val="•"/>
      <w:lvlJc w:val="left"/>
      <w:pPr>
        <w:tabs>
          <w:tab w:val="num" w:pos="2880"/>
        </w:tabs>
        <w:ind w:left="2880" w:hanging="360"/>
      </w:pPr>
      <w:rPr>
        <w:rFonts w:ascii="Arial" w:hAnsi="Arial" w:hint="default"/>
      </w:rPr>
    </w:lvl>
    <w:lvl w:ilvl="4" w:tplc="D8B6749A" w:tentative="1">
      <w:start w:val="1"/>
      <w:numFmt w:val="bullet"/>
      <w:lvlText w:val="•"/>
      <w:lvlJc w:val="left"/>
      <w:pPr>
        <w:tabs>
          <w:tab w:val="num" w:pos="3600"/>
        </w:tabs>
        <w:ind w:left="3600" w:hanging="360"/>
      </w:pPr>
      <w:rPr>
        <w:rFonts w:ascii="Arial" w:hAnsi="Arial" w:hint="default"/>
      </w:rPr>
    </w:lvl>
    <w:lvl w:ilvl="5" w:tplc="C63A4FCA" w:tentative="1">
      <w:start w:val="1"/>
      <w:numFmt w:val="bullet"/>
      <w:lvlText w:val="•"/>
      <w:lvlJc w:val="left"/>
      <w:pPr>
        <w:tabs>
          <w:tab w:val="num" w:pos="4320"/>
        </w:tabs>
        <w:ind w:left="4320" w:hanging="360"/>
      </w:pPr>
      <w:rPr>
        <w:rFonts w:ascii="Arial" w:hAnsi="Arial" w:hint="default"/>
      </w:rPr>
    </w:lvl>
    <w:lvl w:ilvl="6" w:tplc="91DAEEA6" w:tentative="1">
      <w:start w:val="1"/>
      <w:numFmt w:val="bullet"/>
      <w:lvlText w:val="•"/>
      <w:lvlJc w:val="left"/>
      <w:pPr>
        <w:tabs>
          <w:tab w:val="num" w:pos="5040"/>
        </w:tabs>
        <w:ind w:left="5040" w:hanging="360"/>
      </w:pPr>
      <w:rPr>
        <w:rFonts w:ascii="Arial" w:hAnsi="Arial" w:hint="default"/>
      </w:rPr>
    </w:lvl>
    <w:lvl w:ilvl="7" w:tplc="D9F4FEF0" w:tentative="1">
      <w:start w:val="1"/>
      <w:numFmt w:val="bullet"/>
      <w:lvlText w:val="•"/>
      <w:lvlJc w:val="left"/>
      <w:pPr>
        <w:tabs>
          <w:tab w:val="num" w:pos="5760"/>
        </w:tabs>
        <w:ind w:left="5760" w:hanging="360"/>
      </w:pPr>
      <w:rPr>
        <w:rFonts w:ascii="Arial" w:hAnsi="Arial" w:hint="default"/>
      </w:rPr>
    </w:lvl>
    <w:lvl w:ilvl="8" w:tplc="DEDAD28A" w:tentative="1">
      <w:start w:val="1"/>
      <w:numFmt w:val="bullet"/>
      <w:lvlText w:val="•"/>
      <w:lvlJc w:val="left"/>
      <w:pPr>
        <w:tabs>
          <w:tab w:val="num" w:pos="6480"/>
        </w:tabs>
        <w:ind w:left="6480" w:hanging="360"/>
      </w:pPr>
      <w:rPr>
        <w:rFonts w:ascii="Arial" w:hAnsi="Arial"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6"/>
  </w:num>
  <w:num w:numId="22" w16cid:durableId="2099861471">
    <w:abstractNumId w:val="15"/>
  </w:num>
  <w:num w:numId="23" w16cid:durableId="198324556">
    <w:abstractNumId w:val="11"/>
  </w:num>
  <w:num w:numId="24" w16cid:durableId="304555527">
    <w:abstractNumId w:val="11"/>
  </w:num>
  <w:num w:numId="25" w16cid:durableId="1882933058">
    <w:abstractNumId w:val="11"/>
  </w:num>
  <w:num w:numId="26" w16cid:durableId="556938670">
    <w:abstractNumId w:val="14"/>
  </w:num>
  <w:num w:numId="27" w16cid:durableId="1460536786">
    <w:abstractNumId w:val="23"/>
  </w:num>
  <w:num w:numId="28" w16cid:durableId="1252201038">
    <w:abstractNumId w:val="10"/>
  </w:num>
  <w:num w:numId="29" w16cid:durableId="251666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2D3"/>
    <w:rsid w:val="0000279A"/>
    <w:rsid w:val="000027C0"/>
    <w:rsid w:val="00003980"/>
    <w:rsid w:val="000052FB"/>
    <w:rsid w:val="00005DD4"/>
    <w:rsid w:val="00007825"/>
    <w:rsid w:val="0001040E"/>
    <w:rsid w:val="00010D2F"/>
    <w:rsid w:val="000117CB"/>
    <w:rsid w:val="00017A99"/>
    <w:rsid w:val="00022A2E"/>
    <w:rsid w:val="00022CE6"/>
    <w:rsid w:val="0002454F"/>
    <w:rsid w:val="0003148D"/>
    <w:rsid w:val="00031EEC"/>
    <w:rsid w:val="00036AC6"/>
    <w:rsid w:val="00040003"/>
    <w:rsid w:val="0004003A"/>
    <w:rsid w:val="00041088"/>
    <w:rsid w:val="000410A0"/>
    <w:rsid w:val="00051566"/>
    <w:rsid w:val="00051654"/>
    <w:rsid w:val="000562A9"/>
    <w:rsid w:val="000567C4"/>
    <w:rsid w:val="000621AE"/>
    <w:rsid w:val="00062A9A"/>
    <w:rsid w:val="00064AF3"/>
    <w:rsid w:val="00065058"/>
    <w:rsid w:val="0006616C"/>
    <w:rsid w:val="00067BA3"/>
    <w:rsid w:val="0007113A"/>
    <w:rsid w:val="00072F94"/>
    <w:rsid w:val="00073848"/>
    <w:rsid w:val="00073DAC"/>
    <w:rsid w:val="000742A8"/>
    <w:rsid w:val="000756AA"/>
    <w:rsid w:val="00076A04"/>
    <w:rsid w:val="000775B1"/>
    <w:rsid w:val="00080DCB"/>
    <w:rsid w:val="00082318"/>
    <w:rsid w:val="0008372B"/>
    <w:rsid w:val="00083B1A"/>
    <w:rsid w:val="00084A6A"/>
    <w:rsid w:val="00086C39"/>
    <w:rsid w:val="000903E3"/>
    <w:rsid w:val="0009151D"/>
    <w:rsid w:val="00091837"/>
    <w:rsid w:val="000918C2"/>
    <w:rsid w:val="0009327D"/>
    <w:rsid w:val="000944A3"/>
    <w:rsid w:val="000951AB"/>
    <w:rsid w:val="000A03B2"/>
    <w:rsid w:val="000A54CB"/>
    <w:rsid w:val="000B1022"/>
    <w:rsid w:val="000B1FD3"/>
    <w:rsid w:val="000B25E4"/>
    <w:rsid w:val="000B396E"/>
    <w:rsid w:val="000B7FF7"/>
    <w:rsid w:val="000C7DC8"/>
    <w:rsid w:val="000D0268"/>
    <w:rsid w:val="000D0839"/>
    <w:rsid w:val="000D34BE"/>
    <w:rsid w:val="000D45B7"/>
    <w:rsid w:val="000D70FA"/>
    <w:rsid w:val="000E051A"/>
    <w:rsid w:val="000E102F"/>
    <w:rsid w:val="000E301F"/>
    <w:rsid w:val="000E36F1"/>
    <w:rsid w:val="000E3A73"/>
    <w:rsid w:val="000E414A"/>
    <w:rsid w:val="000E4C56"/>
    <w:rsid w:val="000E6297"/>
    <w:rsid w:val="000E70FF"/>
    <w:rsid w:val="000F0529"/>
    <w:rsid w:val="000F093C"/>
    <w:rsid w:val="000F218C"/>
    <w:rsid w:val="000F26C0"/>
    <w:rsid w:val="000F2E15"/>
    <w:rsid w:val="000F6C52"/>
    <w:rsid w:val="000F7863"/>
    <w:rsid w:val="000F787B"/>
    <w:rsid w:val="00100C7A"/>
    <w:rsid w:val="00102DB5"/>
    <w:rsid w:val="00103D90"/>
    <w:rsid w:val="001063AF"/>
    <w:rsid w:val="001105D9"/>
    <w:rsid w:val="00110963"/>
    <w:rsid w:val="00111A67"/>
    <w:rsid w:val="001122D2"/>
    <w:rsid w:val="0011279C"/>
    <w:rsid w:val="0011355C"/>
    <w:rsid w:val="001207E2"/>
    <w:rsid w:val="0012091F"/>
    <w:rsid w:val="00121024"/>
    <w:rsid w:val="00121ABD"/>
    <w:rsid w:val="00121C9F"/>
    <w:rsid w:val="00122C9A"/>
    <w:rsid w:val="00125AB1"/>
    <w:rsid w:val="00126BC2"/>
    <w:rsid w:val="001308B6"/>
    <w:rsid w:val="0013121F"/>
    <w:rsid w:val="00131FE6"/>
    <w:rsid w:val="001322C1"/>
    <w:rsid w:val="0013263F"/>
    <w:rsid w:val="001331DF"/>
    <w:rsid w:val="00134DE4"/>
    <w:rsid w:val="001400B2"/>
    <w:rsid w:val="0014034D"/>
    <w:rsid w:val="0014155B"/>
    <w:rsid w:val="00143E54"/>
    <w:rsid w:val="00144CB4"/>
    <w:rsid w:val="00144D16"/>
    <w:rsid w:val="00144D3D"/>
    <w:rsid w:val="001467FD"/>
    <w:rsid w:val="001476A3"/>
    <w:rsid w:val="00150B06"/>
    <w:rsid w:val="00150E59"/>
    <w:rsid w:val="00152710"/>
    <w:rsid w:val="00152DE3"/>
    <w:rsid w:val="00153453"/>
    <w:rsid w:val="00156F74"/>
    <w:rsid w:val="00160DB8"/>
    <w:rsid w:val="00161A90"/>
    <w:rsid w:val="001623A8"/>
    <w:rsid w:val="00163CC1"/>
    <w:rsid w:val="00164CF9"/>
    <w:rsid w:val="001667A6"/>
    <w:rsid w:val="00167E3D"/>
    <w:rsid w:val="001710C6"/>
    <w:rsid w:val="0017175A"/>
    <w:rsid w:val="00175713"/>
    <w:rsid w:val="00180231"/>
    <w:rsid w:val="0018420F"/>
    <w:rsid w:val="00184AD6"/>
    <w:rsid w:val="001855E5"/>
    <w:rsid w:val="00185848"/>
    <w:rsid w:val="0018661A"/>
    <w:rsid w:val="00186A29"/>
    <w:rsid w:val="00193FEB"/>
    <w:rsid w:val="00194EE8"/>
    <w:rsid w:val="0019549C"/>
    <w:rsid w:val="00195752"/>
    <w:rsid w:val="00195904"/>
    <w:rsid w:val="001979DA"/>
    <w:rsid w:val="001A1727"/>
    <w:rsid w:val="001A21B9"/>
    <w:rsid w:val="001A3A47"/>
    <w:rsid w:val="001A42F8"/>
    <w:rsid w:val="001A4AF7"/>
    <w:rsid w:val="001A54CD"/>
    <w:rsid w:val="001A5864"/>
    <w:rsid w:val="001A65DB"/>
    <w:rsid w:val="001B0349"/>
    <w:rsid w:val="001B06F8"/>
    <w:rsid w:val="001B1E93"/>
    <w:rsid w:val="001B251A"/>
    <w:rsid w:val="001B323E"/>
    <w:rsid w:val="001B3F88"/>
    <w:rsid w:val="001B603E"/>
    <w:rsid w:val="001B65C1"/>
    <w:rsid w:val="001B72C7"/>
    <w:rsid w:val="001C1382"/>
    <w:rsid w:val="001C4473"/>
    <w:rsid w:val="001C4738"/>
    <w:rsid w:val="001C4AFC"/>
    <w:rsid w:val="001C5D3C"/>
    <w:rsid w:val="001C684B"/>
    <w:rsid w:val="001C7A56"/>
    <w:rsid w:val="001D0616"/>
    <w:rsid w:val="001D0CFB"/>
    <w:rsid w:val="001D1FD5"/>
    <w:rsid w:val="001D21AF"/>
    <w:rsid w:val="001D4280"/>
    <w:rsid w:val="001D4E73"/>
    <w:rsid w:val="001D53FC"/>
    <w:rsid w:val="001D604D"/>
    <w:rsid w:val="001D73FD"/>
    <w:rsid w:val="001D77A4"/>
    <w:rsid w:val="001E1312"/>
    <w:rsid w:val="001E1384"/>
    <w:rsid w:val="001E24A7"/>
    <w:rsid w:val="001E2A5A"/>
    <w:rsid w:val="001E44FA"/>
    <w:rsid w:val="001E50AA"/>
    <w:rsid w:val="001E51BA"/>
    <w:rsid w:val="001F0E14"/>
    <w:rsid w:val="001F2831"/>
    <w:rsid w:val="001F307D"/>
    <w:rsid w:val="001F42A5"/>
    <w:rsid w:val="001F4EB8"/>
    <w:rsid w:val="001F5289"/>
    <w:rsid w:val="001F7428"/>
    <w:rsid w:val="001F7B9D"/>
    <w:rsid w:val="00200CEF"/>
    <w:rsid w:val="00201C93"/>
    <w:rsid w:val="0020200E"/>
    <w:rsid w:val="00202033"/>
    <w:rsid w:val="002025E7"/>
    <w:rsid w:val="002028CA"/>
    <w:rsid w:val="00203E86"/>
    <w:rsid w:val="00204B6A"/>
    <w:rsid w:val="00206B1A"/>
    <w:rsid w:val="00206C1D"/>
    <w:rsid w:val="00206E3A"/>
    <w:rsid w:val="00206F88"/>
    <w:rsid w:val="00210654"/>
    <w:rsid w:val="0021088B"/>
    <w:rsid w:val="00212196"/>
    <w:rsid w:val="00213668"/>
    <w:rsid w:val="00214654"/>
    <w:rsid w:val="0021480A"/>
    <w:rsid w:val="002150D5"/>
    <w:rsid w:val="00217757"/>
    <w:rsid w:val="00217B98"/>
    <w:rsid w:val="002204A5"/>
    <w:rsid w:val="002224B4"/>
    <w:rsid w:val="00222926"/>
    <w:rsid w:val="0022525A"/>
    <w:rsid w:val="002258A5"/>
    <w:rsid w:val="00226C3E"/>
    <w:rsid w:val="00230019"/>
    <w:rsid w:val="0023029B"/>
    <w:rsid w:val="00231A15"/>
    <w:rsid w:val="002350B4"/>
    <w:rsid w:val="0023517E"/>
    <w:rsid w:val="0024166A"/>
    <w:rsid w:val="00242677"/>
    <w:rsid w:val="002435F9"/>
    <w:rsid w:val="002447EF"/>
    <w:rsid w:val="00244A81"/>
    <w:rsid w:val="00244D90"/>
    <w:rsid w:val="00245180"/>
    <w:rsid w:val="002461BC"/>
    <w:rsid w:val="00247530"/>
    <w:rsid w:val="00251088"/>
    <w:rsid w:val="00251550"/>
    <w:rsid w:val="00254246"/>
    <w:rsid w:val="00254A4D"/>
    <w:rsid w:val="0025746C"/>
    <w:rsid w:val="00260A3A"/>
    <w:rsid w:val="002618EE"/>
    <w:rsid w:val="00263B05"/>
    <w:rsid w:val="002675F7"/>
    <w:rsid w:val="0027221A"/>
    <w:rsid w:val="002744DD"/>
    <w:rsid w:val="00275B61"/>
    <w:rsid w:val="002764CA"/>
    <w:rsid w:val="002767C5"/>
    <w:rsid w:val="00280FAF"/>
    <w:rsid w:val="00282656"/>
    <w:rsid w:val="0028437B"/>
    <w:rsid w:val="002855D6"/>
    <w:rsid w:val="002872E3"/>
    <w:rsid w:val="0029039B"/>
    <w:rsid w:val="00290598"/>
    <w:rsid w:val="00290CBE"/>
    <w:rsid w:val="00291246"/>
    <w:rsid w:val="00294253"/>
    <w:rsid w:val="00296417"/>
    <w:rsid w:val="00296B83"/>
    <w:rsid w:val="002A1088"/>
    <w:rsid w:val="002A4005"/>
    <w:rsid w:val="002A7212"/>
    <w:rsid w:val="002A7B5A"/>
    <w:rsid w:val="002B02D0"/>
    <w:rsid w:val="002B26E2"/>
    <w:rsid w:val="002B2956"/>
    <w:rsid w:val="002B4015"/>
    <w:rsid w:val="002B5226"/>
    <w:rsid w:val="002B5473"/>
    <w:rsid w:val="002B78CE"/>
    <w:rsid w:val="002C0077"/>
    <w:rsid w:val="002C01F9"/>
    <w:rsid w:val="002C149C"/>
    <w:rsid w:val="002C24F0"/>
    <w:rsid w:val="002C2FB6"/>
    <w:rsid w:val="002C5557"/>
    <w:rsid w:val="002C5D30"/>
    <w:rsid w:val="002C5DD9"/>
    <w:rsid w:val="002C62D3"/>
    <w:rsid w:val="002C7891"/>
    <w:rsid w:val="002D0915"/>
    <w:rsid w:val="002D1824"/>
    <w:rsid w:val="002D1B88"/>
    <w:rsid w:val="002D6567"/>
    <w:rsid w:val="002D73BC"/>
    <w:rsid w:val="002E0246"/>
    <w:rsid w:val="002E1874"/>
    <w:rsid w:val="002E3F3F"/>
    <w:rsid w:val="002E440F"/>
    <w:rsid w:val="002E5FA7"/>
    <w:rsid w:val="002E6CF1"/>
    <w:rsid w:val="002E7F65"/>
    <w:rsid w:val="002F133E"/>
    <w:rsid w:val="002F1F03"/>
    <w:rsid w:val="002F3309"/>
    <w:rsid w:val="002F5854"/>
    <w:rsid w:val="002F6CED"/>
    <w:rsid w:val="00300575"/>
    <w:rsid w:val="003008CE"/>
    <w:rsid w:val="003009B7"/>
    <w:rsid w:val="00300E56"/>
    <w:rsid w:val="0030152C"/>
    <w:rsid w:val="003031A3"/>
    <w:rsid w:val="003033D3"/>
    <w:rsid w:val="0030469C"/>
    <w:rsid w:val="003065EE"/>
    <w:rsid w:val="00306F90"/>
    <w:rsid w:val="00320C31"/>
    <w:rsid w:val="00321CA6"/>
    <w:rsid w:val="00322C3A"/>
    <w:rsid w:val="00323763"/>
    <w:rsid w:val="003239A4"/>
    <w:rsid w:val="00323C5F"/>
    <w:rsid w:val="00326328"/>
    <w:rsid w:val="00326C4B"/>
    <w:rsid w:val="0033099E"/>
    <w:rsid w:val="00332575"/>
    <w:rsid w:val="003327A1"/>
    <w:rsid w:val="00334786"/>
    <w:rsid w:val="00334C09"/>
    <w:rsid w:val="00334EA1"/>
    <w:rsid w:val="003369CB"/>
    <w:rsid w:val="00337ADD"/>
    <w:rsid w:val="00342D58"/>
    <w:rsid w:val="0034472E"/>
    <w:rsid w:val="0034687C"/>
    <w:rsid w:val="00346B8F"/>
    <w:rsid w:val="003470A0"/>
    <w:rsid w:val="0035110B"/>
    <w:rsid w:val="00351DF4"/>
    <w:rsid w:val="00353EC8"/>
    <w:rsid w:val="003540A6"/>
    <w:rsid w:val="0035588A"/>
    <w:rsid w:val="003600D9"/>
    <w:rsid w:val="00363830"/>
    <w:rsid w:val="003652C4"/>
    <w:rsid w:val="00366971"/>
    <w:rsid w:val="003723D4"/>
    <w:rsid w:val="0037324C"/>
    <w:rsid w:val="00373E10"/>
    <w:rsid w:val="0037418B"/>
    <w:rsid w:val="003752A1"/>
    <w:rsid w:val="00376858"/>
    <w:rsid w:val="00376BB8"/>
    <w:rsid w:val="00377277"/>
    <w:rsid w:val="0038014F"/>
    <w:rsid w:val="0038054A"/>
    <w:rsid w:val="00381545"/>
    <w:rsid w:val="003817D5"/>
    <w:rsid w:val="00381905"/>
    <w:rsid w:val="0038204A"/>
    <w:rsid w:val="00382CAB"/>
    <w:rsid w:val="003834ED"/>
    <w:rsid w:val="00384CC8"/>
    <w:rsid w:val="00385F03"/>
    <w:rsid w:val="00386EBC"/>
    <w:rsid w:val="003871FD"/>
    <w:rsid w:val="00387C7B"/>
    <w:rsid w:val="0039235A"/>
    <w:rsid w:val="00394B37"/>
    <w:rsid w:val="00396429"/>
    <w:rsid w:val="0039741E"/>
    <w:rsid w:val="0039754E"/>
    <w:rsid w:val="003A1E30"/>
    <w:rsid w:val="003A2829"/>
    <w:rsid w:val="003A2C69"/>
    <w:rsid w:val="003A3688"/>
    <w:rsid w:val="003A4833"/>
    <w:rsid w:val="003A5B3E"/>
    <w:rsid w:val="003A6FC6"/>
    <w:rsid w:val="003A7D1C"/>
    <w:rsid w:val="003B0094"/>
    <w:rsid w:val="003B0DF3"/>
    <w:rsid w:val="003B304B"/>
    <w:rsid w:val="003B3146"/>
    <w:rsid w:val="003B4D7E"/>
    <w:rsid w:val="003B6FB3"/>
    <w:rsid w:val="003C00EE"/>
    <w:rsid w:val="003C19F0"/>
    <w:rsid w:val="003C3DDB"/>
    <w:rsid w:val="003C6CCC"/>
    <w:rsid w:val="003C734E"/>
    <w:rsid w:val="003C7C90"/>
    <w:rsid w:val="003C7DCB"/>
    <w:rsid w:val="003D2004"/>
    <w:rsid w:val="003D2E68"/>
    <w:rsid w:val="003D2F2F"/>
    <w:rsid w:val="003D5397"/>
    <w:rsid w:val="003D7A97"/>
    <w:rsid w:val="003D7E98"/>
    <w:rsid w:val="003D7EEE"/>
    <w:rsid w:val="003E3132"/>
    <w:rsid w:val="003E68E4"/>
    <w:rsid w:val="003E733A"/>
    <w:rsid w:val="003E7B41"/>
    <w:rsid w:val="003F015E"/>
    <w:rsid w:val="003F0A1E"/>
    <w:rsid w:val="003F316D"/>
    <w:rsid w:val="003F3D35"/>
    <w:rsid w:val="003F5B26"/>
    <w:rsid w:val="003F612E"/>
    <w:rsid w:val="003F7BA9"/>
    <w:rsid w:val="00400414"/>
    <w:rsid w:val="0040066C"/>
    <w:rsid w:val="00402175"/>
    <w:rsid w:val="0040229B"/>
    <w:rsid w:val="00402C3C"/>
    <w:rsid w:val="00404B31"/>
    <w:rsid w:val="00405C73"/>
    <w:rsid w:val="00406103"/>
    <w:rsid w:val="00406AD1"/>
    <w:rsid w:val="00410F7A"/>
    <w:rsid w:val="004110B8"/>
    <w:rsid w:val="0041446B"/>
    <w:rsid w:val="00414506"/>
    <w:rsid w:val="00414B01"/>
    <w:rsid w:val="0041505E"/>
    <w:rsid w:val="00415EE4"/>
    <w:rsid w:val="004224AB"/>
    <w:rsid w:val="00425629"/>
    <w:rsid w:val="00425CB4"/>
    <w:rsid w:val="004265AB"/>
    <w:rsid w:val="004327B0"/>
    <w:rsid w:val="00432CAB"/>
    <w:rsid w:val="0044071E"/>
    <w:rsid w:val="004418D8"/>
    <w:rsid w:val="0044329C"/>
    <w:rsid w:val="004436E2"/>
    <w:rsid w:val="00444331"/>
    <w:rsid w:val="00445C6D"/>
    <w:rsid w:val="0044622B"/>
    <w:rsid w:val="004471F2"/>
    <w:rsid w:val="00447B5D"/>
    <w:rsid w:val="00450C16"/>
    <w:rsid w:val="00452AB7"/>
    <w:rsid w:val="004536FA"/>
    <w:rsid w:val="00453884"/>
    <w:rsid w:val="00453E24"/>
    <w:rsid w:val="00456B61"/>
    <w:rsid w:val="00457456"/>
    <w:rsid w:val="004577FE"/>
    <w:rsid w:val="00457B9C"/>
    <w:rsid w:val="00460917"/>
    <w:rsid w:val="0046164A"/>
    <w:rsid w:val="0046278A"/>
    <w:rsid w:val="004628D2"/>
    <w:rsid w:val="00462DCD"/>
    <w:rsid w:val="004648AD"/>
    <w:rsid w:val="004674D0"/>
    <w:rsid w:val="00467820"/>
    <w:rsid w:val="00467A45"/>
    <w:rsid w:val="004701B2"/>
    <w:rsid w:val="004703A9"/>
    <w:rsid w:val="00470AD6"/>
    <w:rsid w:val="00471908"/>
    <w:rsid w:val="004749A1"/>
    <w:rsid w:val="004760DE"/>
    <w:rsid w:val="004761E9"/>
    <w:rsid w:val="00476380"/>
    <w:rsid w:val="004763D7"/>
    <w:rsid w:val="00476646"/>
    <w:rsid w:val="004805C1"/>
    <w:rsid w:val="00481DAD"/>
    <w:rsid w:val="00483243"/>
    <w:rsid w:val="004840AF"/>
    <w:rsid w:val="004862E4"/>
    <w:rsid w:val="00486FFC"/>
    <w:rsid w:val="0048759B"/>
    <w:rsid w:val="00492CB1"/>
    <w:rsid w:val="00494431"/>
    <w:rsid w:val="00494AEE"/>
    <w:rsid w:val="00495A99"/>
    <w:rsid w:val="00496705"/>
    <w:rsid w:val="00497AA1"/>
    <w:rsid w:val="00497ADC"/>
    <w:rsid w:val="004A004E"/>
    <w:rsid w:val="004A11BE"/>
    <w:rsid w:val="004A123E"/>
    <w:rsid w:val="004A24A8"/>
    <w:rsid w:val="004A24CF"/>
    <w:rsid w:val="004A6503"/>
    <w:rsid w:val="004B397F"/>
    <w:rsid w:val="004B541B"/>
    <w:rsid w:val="004B69B0"/>
    <w:rsid w:val="004B7D49"/>
    <w:rsid w:val="004C0C25"/>
    <w:rsid w:val="004C0E8B"/>
    <w:rsid w:val="004C2CB5"/>
    <w:rsid w:val="004C31D8"/>
    <w:rsid w:val="004C3D1D"/>
    <w:rsid w:val="004C3D84"/>
    <w:rsid w:val="004C58C8"/>
    <w:rsid w:val="004C7913"/>
    <w:rsid w:val="004C7F30"/>
    <w:rsid w:val="004D0D10"/>
    <w:rsid w:val="004D1073"/>
    <w:rsid w:val="004D2003"/>
    <w:rsid w:val="004D2030"/>
    <w:rsid w:val="004D31A3"/>
    <w:rsid w:val="004D4237"/>
    <w:rsid w:val="004D4F41"/>
    <w:rsid w:val="004E16B3"/>
    <w:rsid w:val="004E2612"/>
    <w:rsid w:val="004E333B"/>
    <w:rsid w:val="004E4DD6"/>
    <w:rsid w:val="004E5D5D"/>
    <w:rsid w:val="004E6FE0"/>
    <w:rsid w:val="004F11A1"/>
    <w:rsid w:val="004F325B"/>
    <w:rsid w:val="004F458B"/>
    <w:rsid w:val="004F49E8"/>
    <w:rsid w:val="004F591D"/>
    <w:rsid w:val="004F5E36"/>
    <w:rsid w:val="004F5EFD"/>
    <w:rsid w:val="004F617A"/>
    <w:rsid w:val="00500F08"/>
    <w:rsid w:val="00501D50"/>
    <w:rsid w:val="00503119"/>
    <w:rsid w:val="00505AC1"/>
    <w:rsid w:val="00507B47"/>
    <w:rsid w:val="00507BEF"/>
    <w:rsid w:val="00507CC9"/>
    <w:rsid w:val="0051069D"/>
    <w:rsid w:val="005119A5"/>
    <w:rsid w:val="00516AAC"/>
    <w:rsid w:val="00516C53"/>
    <w:rsid w:val="005174FF"/>
    <w:rsid w:val="00517FA3"/>
    <w:rsid w:val="0052235D"/>
    <w:rsid w:val="00522662"/>
    <w:rsid w:val="0052422B"/>
    <w:rsid w:val="005269DB"/>
    <w:rsid w:val="005278B7"/>
    <w:rsid w:val="00532016"/>
    <w:rsid w:val="00532B65"/>
    <w:rsid w:val="005346C8"/>
    <w:rsid w:val="00536329"/>
    <w:rsid w:val="00537479"/>
    <w:rsid w:val="0054370A"/>
    <w:rsid w:val="00543E7D"/>
    <w:rsid w:val="00547A68"/>
    <w:rsid w:val="00550654"/>
    <w:rsid w:val="00551DE8"/>
    <w:rsid w:val="00551F1C"/>
    <w:rsid w:val="00552FD8"/>
    <w:rsid w:val="00553179"/>
    <w:rsid w:val="005531C9"/>
    <w:rsid w:val="00557FBB"/>
    <w:rsid w:val="005606B1"/>
    <w:rsid w:val="0056435E"/>
    <w:rsid w:val="00564C8A"/>
    <w:rsid w:val="00566EC5"/>
    <w:rsid w:val="00570A62"/>
    <w:rsid w:val="00570C43"/>
    <w:rsid w:val="00570D1A"/>
    <w:rsid w:val="00572F27"/>
    <w:rsid w:val="005753AF"/>
    <w:rsid w:val="0057750F"/>
    <w:rsid w:val="00577E36"/>
    <w:rsid w:val="00577F0C"/>
    <w:rsid w:val="0058048F"/>
    <w:rsid w:val="00583DDD"/>
    <w:rsid w:val="00584508"/>
    <w:rsid w:val="0058601D"/>
    <w:rsid w:val="0058723C"/>
    <w:rsid w:val="00591493"/>
    <w:rsid w:val="0059245E"/>
    <w:rsid w:val="00592FB1"/>
    <w:rsid w:val="00596011"/>
    <w:rsid w:val="005967D2"/>
    <w:rsid w:val="0059771D"/>
    <w:rsid w:val="00597CA0"/>
    <w:rsid w:val="00597E20"/>
    <w:rsid w:val="005A06A5"/>
    <w:rsid w:val="005A28E9"/>
    <w:rsid w:val="005A6837"/>
    <w:rsid w:val="005A7917"/>
    <w:rsid w:val="005B0868"/>
    <w:rsid w:val="005B091B"/>
    <w:rsid w:val="005B2110"/>
    <w:rsid w:val="005B4F93"/>
    <w:rsid w:val="005B61E6"/>
    <w:rsid w:val="005C06AE"/>
    <w:rsid w:val="005C0858"/>
    <w:rsid w:val="005C1D35"/>
    <w:rsid w:val="005C1F93"/>
    <w:rsid w:val="005C2AEC"/>
    <w:rsid w:val="005C2FDE"/>
    <w:rsid w:val="005C5D58"/>
    <w:rsid w:val="005C77E1"/>
    <w:rsid w:val="005D195B"/>
    <w:rsid w:val="005D24B3"/>
    <w:rsid w:val="005D2B26"/>
    <w:rsid w:val="005D3B76"/>
    <w:rsid w:val="005D668A"/>
    <w:rsid w:val="005D6A2F"/>
    <w:rsid w:val="005E0E21"/>
    <w:rsid w:val="005E1355"/>
    <w:rsid w:val="005E15AA"/>
    <w:rsid w:val="005E1A82"/>
    <w:rsid w:val="005E2CA8"/>
    <w:rsid w:val="005E2E88"/>
    <w:rsid w:val="005E3642"/>
    <w:rsid w:val="005E4C0C"/>
    <w:rsid w:val="005E6160"/>
    <w:rsid w:val="005E6BC9"/>
    <w:rsid w:val="005E794C"/>
    <w:rsid w:val="005E7C97"/>
    <w:rsid w:val="005F0A28"/>
    <w:rsid w:val="005F0E5E"/>
    <w:rsid w:val="005F30D9"/>
    <w:rsid w:val="005F3572"/>
    <w:rsid w:val="005F3594"/>
    <w:rsid w:val="005F3DE6"/>
    <w:rsid w:val="005F520F"/>
    <w:rsid w:val="005F7A7C"/>
    <w:rsid w:val="00600535"/>
    <w:rsid w:val="00600626"/>
    <w:rsid w:val="00600EA3"/>
    <w:rsid w:val="00601663"/>
    <w:rsid w:val="00605CF8"/>
    <w:rsid w:val="00607450"/>
    <w:rsid w:val="00607A43"/>
    <w:rsid w:val="00607C98"/>
    <w:rsid w:val="00610B36"/>
    <w:rsid w:val="00610CA6"/>
    <w:rsid w:val="00610CD6"/>
    <w:rsid w:val="0061217B"/>
    <w:rsid w:val="006134EA"/>
    <w:rsid w:val="006135F2"/>
    <w:rsid w:val="00613C0D"/>
    <w:rsid w:val="00616B9E"/>
    <w:rsid w:val="00616D77"/>
    <w:rsid w:val="00617D16"/>
    <w:rsid w:val="00617FEA"/>
    <w:rsid w:val="00620DEE"/>
    <w:rsid w:val="006215BE"/>
    <w:rsid w:val="00621978"/>
    <w:rsid w:val="00621F92"/>
    <w:rsid w:val="0062280A"/>
    <w:rsid w:val="006238C0"/>
    <w:rsid w:val="00624E17"/>
    <w:rsid w:val="00625639"/>
    <w:rsid w:val="00626FC5"/>
    <w:rsid w:val="006279C9"/>
    <w:rsid w:val="00627DE3"/>
    <w:rsid w:val="00631B33"/>
    <w:rsid w:val="00632C18"/>
    <w:rsid w:val="00632EA3"/>
    <w:rsid w:val="00633EC2"/>
    <w:rsid w:val="0063468B"/>
    <w:rsid w:val="00634FCB"/>
    <w:rsid w:val="00637331"/>
    <w:rsid w:val="0064184D"/>
    <w:rsid w:val="006422CC"/>
    <w:rsid w:val="00644CD6"/>
    <w:rsid w:val="00646B39"/>
    <w:rsid w:val="00647331"/>
    <w:rsid w:val="00651B46"/>
    <w:rsid w:val="0065530F"/>
    <w:rsid w:val="00660D87"/>
    <w:rsid w:val="00660E3E"/>
    <w:rsid w:val="00662E74"/>
    <w:rsid w:val="006668BE"/>
    <w:rsid w:val="00667C3A"/>
    <w:rsid w:val="0067099E"/>
    <w:rsid w:val="006714DB"/>
    <w:rsid w:val="006722D0"/>
    <w:rsid w:val="00674F48"/>
    <w:rsid w:val="00680C23"/>
    <w:rsid w:val="00681EBB"/>
    <w:rsid w:val="00684BBA"/>
    <w:rsid w:val="0068703C"/>
    <w:rsid w:val="00687625"/>
    <w:rsid w:val="00690FD1"/>
    <w:rsid w:val="006912DC"/>
    <w:rsid w:val="00691C41"/>
    <w:rsid w:val="00693766"/>
    <w:rsid w:val="006948DC"/>
    <w:rsid w:val="0069525D"/>
    <w:rsid w:val="006957B4"/>
    <w:rsid w:val="00697193"/>
    <w:rsid w:val="0069779A"/>
    <w:rsid w:val="00697CC6"/>
    <w:rsid w:val="006A23E9"/>
    <w:rsid w:val="006A3281"/>
    <w:rsid w:val="006A606C"/>
    <w:rsid w:val="006A61FD"/>
    <w:rsid w:val="006B04E3"/>
    <w:rsid w:val="006B0F6E"/>
    <w:rsid w:val="006B2E3B"/>
    <w:rsid w:val="006B33D2"/>
    <w:rsid w:val="006B359F"/>
    <w:rsid w:val="006B3730"/>
    <w:rsid w:val="006B393E"/>
    <w:rsid w:val="006B3CA2"/>
    <w:rsid w:val="006B3E56"/>
    <w:rsid w:val="006B4888"/>
    <w:rsid w:val="006B7602"/>
    <w:rsid w:val="006B7A42"/>
    <w:rsid w:val="006B7BFD"/>
    <w:rsid w:val="006C0B7E"/>
    <w:rsid w:val="006C10D2"/>
    <w:rsid w:val="006C2586"/>
    <w:rsid w:val="006C26C6"/>
    <w:rsid w:val="006C2E45"/>
    <w:rsid w:val="006C359C"/>
    <w:rsid w:val="006C36CA"/>
    <w:rsid w:val="006C5579"/>
    <w:rsid w:val="006C5B88"/>
    <w:rsid w:val="006D142E"/>
    <w:rsid w:val="006D2EB1"/>
    <w:rsid w:val="006D34A1"/>
    <w:rsid w:val="006D6E8B"/>
    <w:rsid w:val="006E27DA"/>
    <w:rsid w:val="006E67EC"/>
    <w:rsid w:val="006E705B"/>
    <w:rsid w:val="006E737D"/>
    <w:rsid w:val="006F0A80"/>
    <w:rsid w:val="006F113B"/>
    <w:rsid w:val="006F180D"/>
    <w:rsid w:val="006F21D3"/>
    <w:rsid w:val="006F2530"/>
    <w:rsid w:val="006F3240"/>
    <w:rsid w:val="006F45AE"/>
    <w:rsid w:val="006F5C2B"/>
    <w:rsid w:val="00701D28"/>
    <w:rsid w:val="00706736"/>
    <w:rsid w:val="007110A8"/>
    <w:rsid w:val="00713973"/>
    <w:rsid w:val="00713DC5"/>
    <w:rsid w:val="00714F07"/>
    <w:rsid w:val="00715F84"/>
    <w:rsid w:val="00716054"/>
    <w:rsid w:val="007161B5"/>
    <w:rsid w:val="00720A24"/>
    <w:rsid w:val="00720E3F"/>
    <w:rsid w:val="00721EAF"/>
    <w:rsid w:val="00723F2B"/>
    <w:rsid w:val="00725570"/>
    <w:rsid w:val="0072570A"/>
    <w:rsid w:val="00732386"/>
    <w:rsid w:val="00733428"/>
    <w:rsid w:val="007334C6"/>
    <w:rsid w:val="00733F42"/>
    <w:rsid w:val="007349A6"/>
    <w:rsid w:val="0073514D"/>
    <w:rsid w:val="007365C3"/>
    <w:rsid w:val="00736CE1"/>
    <w:rsid w:val="0074039F"/>
    <w:rsid w:val="007447F3"/>
    <w:rsid w:val="007462E6"/>
    <w:rsid w:val="0075000E"/>
    <w:rsid w:val="00751AB1"/>
    <w:rsid w:val="0075499F"/>
    <w:rsid w:val="00756C28"/>
    <w:rsid w:val="00760D34"/>
    <w:rsid w:val="007642B0"/>
    <w:rsid w:val="00764A64"/>
    <w:rsid w:val="007661C8"/>
    <w:rsid w:val="0077098D"/>
    <w:rsid w:val="00772C85"/>
    <w:rsid w:val="00777518"/>
    <w:rsid w:val="00780DE9"/>
    <w:rsid w:val="0078220A"/>
    <w:rsid w:val="00782AD8"/>
    <w:rsid w:val="00782CC3"/>
    <w:rsid w:val="0078475A"/>
    <w:rsid w:val="007852F8"/>
    <w:rsid w:val="00790850"/>
    <w:rsid w:val="00790D9B"/>
    <w:rsid w:val="007931FA"/>
    <w:rsid w:val="00794F80"/>
    <w:rsid w:val="0079580E"/>
    <w:rsid w:val="007969B5"/>
    <w:rsid w:val="00797C5E"/>
    <w:rsid w:val="007A1C72"/>
    <w:rsid w:val="007A2BE6"/>
    <w:rsid w:val="007A4861"/>
    <w:rsid w:val="007A5265"/>
    <w:rsid w:val="007A7431"/>
    <w:rsid w:val="007A7BBA"/>
    <w:rsid w:val="007B0C50"/>
    <w:rsid w:val="007B2662"/>
    <w:rsid w:val="007B48F9"/>
    <w:rsid w:val="007B5DB4"/>
    <w:rsid w:val="007C02DE"/>
    <w:rsid w:val="007C1A43"/>
    <w:rsid w:val="007C1BAD"/>
    <w:rsid w:val="007C608D"/>
    <w:rsid w:val="007C6C7B"/>
    <w:rsid w:val="007D0951"/>
    <w:rsid w:val="007D1430"/>
    <w:rsid w:val="007D4A97"/>
    <w:rsid w:val="007D5565"/>
    <w:rsid w:val="007D5A44"/>
    <w:rsid w:val="007D6D0B"/>
    <w:rsid w:val="007D7898"/>
    <w:rsid w:val="007D78E1"/>
    <w:rsid w:val="007D7EAA"/>
    <w:rsid w:val="007E0F24"/>
    <w:rsid w:val="007E2792"/>
    <w:rsid w:val="007E37D1"/>
    <w:rsid w:val="007E3829"/>
    <w:rsid w:val="007E3C9E"/>
    <w:rsid w:val="007E41D6"/>
    <w:rsid w:val="007E4A9C"/>
    <w:rsid w:val="007E4D08"/>
    <w:rsid w:val="007E4F7A"/>
    <w:rsid w:val="007F1B2D"/>
    <w:rsid w:val="007F2E1B"/>
    <w:rsid w:val="007F307B"/>
    <w:rsid w:val="007F3429"/>
    <w:rsid w:val="007F6CA7"/>
    <w:rsid w:val="007F705A"/>
    <w:rsid w:val="007F74AC"/>
    <w:rsid w:val="007F7CF7"/>
    <w:rsid w:val="0080013E"/>
    <w:rsid w:val="00802735"/>
    <w:rsid w:val="00806105"/>
    <w:rsid w:val="00811836"/>
    <w:rsid w:val="00813288"/>
    <w:rsid w:val="008140E5"/>
    <w:rsid w:val="00814C60"/>
    <w:rsid w:val="008150DC"/>
    <w:rsid w:val="008168FC"/>
    <w:rsid w:val="00816F62"/>
    <w:rsid w:val="0081791A"/>
    <w:rsid w:val="0082018C"/>
    <w:rsid w:val="00820F40"/>
    <w:rsid w:val="00821065"/>
    <w:rsid w:val="008219AA"/>
    <w:rsid w:val="00823EAB"/>
    <w:rsid w:val="00827A4F"/>
    <w:rsid w:val="00827C41"/>
    <w:rsid w:val="00830996"/>
    <w:rsid w:val="008345F1"/>
    <w:rsid w:val="0083494A"/>
    <w:rsid w:val="00835C78"/>
    <w:rsid w:val="008410E9"/>
    <w:rsid w:val="008438A5"/>
    <w:rsid w:val="00843EAC"/>
    <w:rsid w:val="00844D28"/>
    <w:rsid w:val="008545BF"/>
    <w:rsid w:val="008547C8"/>
    <w:rsid w:val="008557F7"/>
    <w:rsid w:val="008566F5"/>
    <w:rsid w:val="00861441"/>
    <w:rsid w:val="00862EE5"/>
    <w:rsid w:val="008640E0"/>
    <w:rsid w:val="00864EEB"/>
    <w:rsid w:val="00865B07"/>
    <w:rsid w:val="00865B1A"/>
    <w:rsid w:val="008667EA"/>
    <w:rsid w:val="00866926"/>
    <w:rsid w:val="00870E67"/>
    <w:rsid w:val="00871CA1"/>
    <w:rsid w:val="00871F60"/>
    <w:rsid w:val="008723C5"/>
    <w:rsid w:val="008743A9"/>
    <w:rsid w:val="0087637F"/>
    <w:rsid w:val="0087692E"/>
    <w:rsid w:val="00877AE2"/>
    <w:rsid w:val="0088014B"/>
    <w:rsid w:val="00883244"/>
    <w:rsid w:val="00884020"/>
    <w:rsid w:val="00884046"/>
    <w:rsid w:val="0088424B"/>
    <w:rsid w:val="00884ABA"/>
    <w:rsid w:val="00885175"/>
    <w:rsid w:val="008854BC"/>
    <w:rsid w:val="00887123"/>
    <w:rsid w:val="00892AD5"/>
    <w:rsid w:val="00892D0E"/>
    <w:rsid w:val="00895EB1"/>
    <w:rsid w:val="008A1512"/>
    <w:rsid w:val="008A2F70"/>
    <w:rsid w:val="008A54EA"/>
    <w:rsid w:val="008A5AB2"/>
    <w:rsid w:val="008A64A3"/>
    <w:rsid w:val="008A6E8C"/>
    <w:rsid w:val="008B161D"/>
    <w:rsid w:val="008B23FC"/>
    <w:rsid w:val="008B29C1"/>
    <w:rsid w:val="008B3C1C"/>
    <w:rsid w:val="008B4F9D"/>
    <w:rsid w:val="008B66D6"/>
    <w:rsid w:val="008B7C03"/>
    <w:rsid w:val="008C179E"/>
    <w:rsid w:val="008C51E3"/>
    <w:rsid w:val="008C646E"/>
    <w:rsid w:val="008C699A"/>
    <w:rsid w:val="008D12CA"/>
    <w:rsid w:val="008D1CD9"/>
    <w:rsid w:val="008D32B9"/>
    <w:rsid w:val="008D433B"/>
    <w:rsid w:val="008D4A16"/>
    <w:rsid w:val="008D622C"/>
    <w:rsid w:val="008D7B33"/>
    <w:rsid w:val="008E0398"/>
    <w:rsid w:val="008E3317"/>
    <w:rsid w:val="008E4F69"/>
    <w:rsid w:val="008E566E"/>
    <w:rsid w:val="008E6C7C"/>
    <w:rsid w:val="008E7022"/>
    <w:rsid w:val="008F0A3F"/>
    <w:rsid w:val="008F27D2"/>
    <w:rsid w:val="008F2C88"/>
    <w:rsid w:val="008F3F0A"/>
    <w:rsid w:val="008F4EBD"/>
    <w:rsid w:val="008F622C"/>
    <w:rsid w:val="008F6ADE"/>
    <w:rsid w:val="008F7FFD"/>
    <w:rsid w:val="00900322"/>
    <w:rsid w:val="0090161A"/>
    <w:rsid w:val="00901EB6"/>
    <w:rsid w:val="009026DD"/>
    <w:rsid w:val="00902C16"/>
    <w:rsid w:val="00902EDA"/>
    <w:rsid w:val="00904C62"/>
    <w:rsid w:val="00906DCA"/>
    <w:rsid w:val="00910175"/>
    <w:rsid w:val="00910F78"/>
    <w:rsid w:val="009114D1"/>
    <w:rsid w:val="00914CCA"/>
    <w:rsid w:val="00914E36"/>
    <w:rsid w:val="009174B1"/>
    <w:rsid w:val="00920121"/>
    <w:rsid w:val="0092017F"/>
    <w:rsid w:val="00922BA8"/>
    <w:rsid w:val="00924DAC"/>
    <w:rsid w:val="00925C83"/>
    <w:rsid w:val="00927058"/>
    <w:rsid w:val="00934B0F"/>
    <w:rsid w:val="009351C1"/>
    <w:rsid w:val="00936737"/>
    <w:rsid w:val="00937F35"/>
    <w:rsid w:val="00940342"/>
    <w:rsid w:val="00942750"/>
    <w:rsid w:val="00943314"/>
    <w:rsid w:val="00944A37"/>
    <w:rsid w:val="00944AF0"/>
    <w:rsid w:val="009450CE"/>
    <w:rsid w:val="009454C2"/>
    <w:rsid w:val="009459BB"/>
    <w:rsid w:val="0094627C"/>
    <w:rsid w:val="00947179"/>
    <w:rsid w:val="0094790B"/>
    <w:rsid w:val="00950220"/>
    <w:rsid w:val="009505FF"/>
    <w:rsid w:val="0095164B"/>
    <w:rsid w:val="00954090"/>
    <w:rsid w:val="00956CEF"/>
    <w:rsid w:val="009573E7"/>
    <w:rsid w:val="0096178A"/>
    <w:rsid w:val="00963E05"/>
    <w:rsid w:val="00963E09"/>
    <w:rsid w:val="00964140"/>
    <w:rsid w:val="009646B4"/>
    <w:rsid w:val="00964A45"/>
    <w:rsid w:val="00965470"/>
    <w:rsid w:val="00967843"/>
    <w:rsid w:val="00967D54"/>
    <w:rsid w:val="00971028"/>
    <w:rsid w:val="00973844"/>
    <w:rsid w:val="0097509C"/>
    <w:rsid w:val="00975730"/>
    <w:rsid w:val="00980C1A"/>
    <w:rsid w:val="009837F0"/>
    <w:rsid w:val="009845BB"/>
    <w:rsid w:val="00984749"/>
    <w:rsid w:val="009852BA"/>
    <w:rsid w:val="009905AE"/>
    <w:rsid w:val="00991846"/>
    <w:rsid w:val="009922EF"/>
    <w:rsid w:val="00993B84"/>
    <w:rsid w:val="00993E68"/>
    <w:rsid w:val="00994B62"/>
    <w:rsid w:val="00996483"/>
    <w:rsid w:val="00996BA5"/>
    <w:rsid w:val="00996F5A"/>
    <w:rsid w:val="00997E9F"/>
    <w:rsid w:val="009A107E"/>
    <w:rsid w:val="009A122A"/>
    <w:rsid w:val="009A3AF2"/>
    <w:rsid w:val="009A4797"/>
    <w:rsid w:val="009A51D3"/>
    <w:rsid w:val="009A7590"/>
    <w:rsid w:val="009B041A"/>
    <w:rsid w:val="009B0816"/>
    <w:rsid w:val="009B0AF6"/>
    <w:rsid w:val="009B2099"/>
    <w:rsid w:val="009B27D1"/>
    <w:rsid w:val="009B30A8"/>
    <w:rsid w:val="009B357D"/>
    <w:rsid w:val="009B4755"/>
    <w:rsid w:val="009B783A"/>
    <w:rsid w:val="009C1471"/>
    <w:rsid w:val="009C1EBC"/>
    <w:rsid w:val="009C2FDC"/>
    <w:rsid w:val="009C37C3"/>
    <w:rsid w:val="009C681A"/>
    <w:rsid w:val="009C7C86"/>
    <w:rsid w:val="009D058B"/>
    <w:rsid w:val="009D05C1"/>
    <w:rsid w:val="009D1237"/>
    <w:rsid w:val="009D12E2"/>
    <w:rsid w:val="009D2FF7"/>
    <w:rsid w:val="009D56CE"/>
    <w:rsid w:val="009D5DD6"/>
    <w:rsid w:val="009D5EDC"/>
    <w:rsid w:val="009E4772"/>
    <w:rsid w:val="009E754B"/>
    <w:rsid w:val="009E7884"/>
    <w:rsid w:val="009E788A"/>
    <w:rsid w:val="009E7F98"/>
    <w:rsid w:val="009F0E08"/>
    <w:rsid w:val="009F5DC3"/>
    <w:rsid w:val="00A016EA"/>
    <w:rsid w:val="00A04C7F"/>
    <w:rsid w:val="00A04CC1"/>
    <w:rsid w:val="00A04E15"/>
    <w:rsid w:val="00A10793"/>
    <w:rsid w:val="00A111C1"/>
    <w:rsid w:val="00A11834"/>
    <w:rsid w:val="00A11AED"/>
    <w:rsid w:val="00A13AF6"/>
    <w:rsid w:val="00A13E03"/>
    <w:rsid w:val="00A14A1F"/>
    <w:rsid w:val="00A14BD9"/>
    <w:rsid w:val="00A16468"/>
    <w:rsid w:val="00A1763D"/>
    <w:rsid w:val="00A17CEC"/>
    <w:rsid w:val="00A21496"/>
    <w:rsid w:val="00A21724"/>
    <w:rsid w:val="00A254DF"/>
    <w:rsid w:val="00A26198"/>
    <w:rsid w:val="00A27E5B"/>
    <w:rsid w:val="00A27EF0"/>
    <w:rsid w:val="00A30780"/>
    <w:rsid w:val="00A309D8"/>
    <w:rsid w:val="00A31946"/>
    <w:rsid w:val="00A35A90"/>
    <w:rsid w:val="00A40BFA"/>
    <w:rsid w:val="00A42361"/>
    <w:rsid w:val="00A452C3"/>
    <w:rsid w:val="00A45403"/>
    <w:rsid w:val="00A4549D"/>
    <w:rsid w:val="00A47C48"/>
    <w:rsid w:val="00A50B20"/>
    <w:rsid w:val="00A51390"/>
    <w:rsid w:val="00A516EB"/>
    <w:rsid w:val="00A52D0F"/>
    <w:rsid w:val="00A53042"/>
    <w:rsid w:val="00A535AB"/>
    <w:rsid w:val="00A56F62"/>
    <w:rsid w:val="00A60D13"/>
    <w:rsid w:val="00A7223D"/>
    <w:rsid w:val="00A72745"/>
    <w:rsid w:val="00A73243"/>
    <w:rsid w:val="00A73932"/>
    <w:rsid w:val="00A75291"/>
    <w:rsid w:val="00A76077"/>
    <w:rsid w:val="00A76EFC"/>
    <w:rsid w:val="00A7787A"/>
    <w:rsid w:val="00A81A9C"/>
    <w:rsid w:val="00A81C91"/>
    <w:rsid w:val="00A82776"/>
    <w:rsid w:val="00A82B7E"/>
    <w:rsid w:val="00A84514"/>
    <w:rsid w:val="00A84593"/>
    <w:rsid w:val="00A84CBC"/>
    <w:rsid w:val="00A855B6"/>
    <w:rsid w:val="00A87D50"/>
    <w:rsid w:val="00A900C2"/>
    <w:rsid w:val="00A91010"/>
    <w:rsid w:val="00A9498B"/>
    <w:rsid w:val="00A95173"/>
    <w:rsid w:val="00A965DB"/>
    <w:rsid w:val="00A97F29"/>
    <w:rsid w:val="00AA097C"/>
    <w:rsid w:val="00AA34E5"/>
    <w:rsid w:val="00AA3959"/>
    <w:rsid w:val="00AA3E3A"/>
    <w:rsid w:val="00AA52BF"/>
    <w:rsid w:val="00AA702E"/>
    <w:rsid w:val="00AA7D26"/>
    <w:rsid w:val="00AB0964"/>
    <w:rsid w:val="00AB5011"/>
    <w:rsid w:val="00AB50BD"/>
    <w:rsid w:val="00AB55F2"/>
    <w:rsid w:val="00AB6D48"/>
    <w:rsid w:val="00AB7BB2"/>
    <w:rsid w:val="00AC396F"/>
    <w:rsid w:val="00AC4BDC"/>
    <w:rsid w:val="00AC5D41"/>
    <w:rsid w:val="00AC710A"/>
    <w:rsid w:val="00AC7368"/>
    <w:rsid w:val="00AD16B9"/>
    <w:rsid w:val="00AD183E"/>
    <w:rsid w:val="00AD21C1"/>
    <w:rsid w:val="00AD2AD2"/>
    <w:rsid w:val="00AD7154"/>
    <w:rsid w:val="00AD7887"/>
    <w:rsid w:val="00AE3484"/>
    <w:rsid w:val="00AE377D"/>
    <w:rsid w:val="00AE3C00"/>
    <w:rsid w:val="00AE48B1"/>
    <w:rsid w:val="00AE6C4F"/>
    <w:rsid w:val="00AE747B"/>
    <w:rsid w:val="00AF0EBA"/>
    <w:rsid w:val="00AF3281"/>
    <w:rsid w:val="00AF638E"/>
    <w:rsid w:val="00AF72CB"/>
    <w:rsid w:val="00B02138"/>
    <w:rsid w:val="00B02C8A"/>
    <w:rsid w:val="00B11A57"/>
    <w:rsid w:val="00B1519C"/>
    <w:rsid w:val="00B15EBF"/>
    <w:rsid w:val="00B16B64"/>
    <w:rsid w:val="00B16EF5"/>
    <w:rsid w:val="00B17E0C"/>
    <w:rsid w:val="00B17FBD"/>
    <w:rsid w:val="00B20F14"/>
    <w:rsid w:val="00B22D70"/>
    <w:rsid w:val="00B22F3F"/>
    <w:rsid w:val="00B23261"/>
    <w:rsid w:val="00B2654A"/>
    <w:rsid w:val="00B315A6"/>
    <w:rsid w:val="00B31813"/>
    <w:rsid w:val="00B32BFF"/>
    <w:rsid w:val="00B33365"/>
    <w:rsid w:val="00B33734"/>
    <w:rsid w:val="00B376C8"/>
    <w:rsid w:val="00B3796C"/>
    <w:rsid w:val="00B41C6F"/>
    <w:rsid w:val="00B426B0"/>
    <w:rsid w:val="00B51AF6"/>
    <w:rsid w:val="00B51E57"/>
    <w:rsid w:val="00B520C2"/>
    <w:rsid w:val="00B53541"/>
    <w:rsid w:val="00B5561B"/>
    <w:rsid w:val="00B563EE"/>
    <w:rsid w:val="00B56498"/>
    <w:rsid w:val="00B56D59"/>
    <w:rsid w:val="00B572FB"/>
    <w:rsid w:val="00B5736D"/>
    <w:rsid w:val="00B57B36"/>
    <w:rsid w:val="00B57E6F"/>
    <w:rsid w:val="00B61E80"/>
    <w:rsid w:val="00B71A73"/>
    <w:rsid w:val="00B73008"/>
    <w:rsid w:val="00B7477A"/>
    <w:rsid w:val="00B776CE"/>
    <w:rsid w:val="00B80B01"/>
    <w:rsid w:val="00B81D01"/>
    <w:rsid w:val="00B82DE0"/>
    <w:rsid w:val="00B86483"/>
    <w:rsid w:val="00B8686D"/>
    <w:rsid w:val="00B86D83"/>
    <w:rsid w:val="00B92BE5"/>
    <w:rsid w:val="00B9359C"/>
    <w:rsid w:val="00B93D6C"/>
    <w:rsid w:val="00B93F69"/>
    <w:rsid w:val="00B944AA"/>
    <w:rsid w:val="00B94A80"/>
    <w:rsid w:val="00B95CBE"/>
    <w:rsid w:val="00B96E0F"/>
    <w:rsid w:val="00BA1B7B"/>
    <w:rsid w:val="00BA24B1"/>
    <w:rsid w:val="00BA3C02"/>
    <w:rsid w:val="00BA4BB2"/>
    <w:rsid w:val="00BA6E0D"/>
    <w:rsid w:val="00BB1496"/>
    <w:rsid w:val="00BB1825"/>
    <w:rsid w:val="00BB1BC1"/>
    <w:rsid w:val="00BB1DDC"/>
    <w:rsid w:val="00BB2795"/>
    <w:rsid w:val="00BB773E"/>
    <w:rsid w:val="00BC30C9"/>
    <w:rsid w:val="00BC5219"/>
    <w:rsid w:val="00BC6B2B"/>
    <w:rsid w:val="00BC75BF"/>
    <w:rsid w:val="00BC7988"/>
    <w:rsid w:val="00BC7D21"/>
    <w:rsid w:val="00BD077D"/>
    <w:rsid w:val="00BD34DE"/>
    <w:rsid w:val="00BD3A20"/>
    <w:rsid w:val="00BD3F30"/>
    <w:rsid w:val="00BD48E9"/>
    <w:rsid w:val="00BD4902"/>
    <w:rsid w:val="00BD5362"/>
    <w:rsid w:val="00BD5EBE"/>
    <w:rsid w:val="00BE1AE3"/>
    <w:rsid w:val="00BE3E58"/>
    <w:rsid w:val="00BE661E"/>
    <w:rsid w:val="00BF0025"/>
    <w:rsid w:val="00BF28C4"/>
    <w:rsid w:val="00BF37A9"/>
    <w:rsid w:val="00BF7BD8"/>
    <w:rsid w:val="00C01616"/>
    <w:rsid w:val="00C0162B"/>
    <w:rsid w:val="00C03E9D"/>
    <w:rsid w:val="00C068ED"/>
    <w:rsid w:val="00C06D3F"/>
    <w:rsid w:val="00C0730E"/>
    <w:rsid w:val="00C13D8B"/>
    <w:rsid w:val="00C13E1D"/>
    <w:rsid w:val="00C140A8"/>
    <w:rsid w:val="00C155F1"/>
    <w:rsid w:val="00C16480"/>
    <w:rsid w:val="00C213E9"/>
    <w:rsid w:val="00C22E0C"/>
    <w:rsid w:val="00C23852"/>
    <w:rsid w:val="00C31275"/>
    <w:rsid w:val="00C345B1"/>
    <w:rsid w:val="00C37892"/>
    <w:rsid w:val="00C40142"/>
    <w:rsid w:val="00C4062B"/>
    <w:rsid w:val="00C407CA"/>
    <w:rsid w:val="00C4165A"/>
    <w:rsid w:val="00C42105"/>
    <w:rsid w:val="00C428F0"/>
    <w:rsid w:val="00C464C3"/>
    <w:rsid w:val="00C46BBF"/>
    <w:rsid w:val="00C46EC6"/>
    <w:rsid w:val="00C51528"/>
    <w:rsid w:val="00C523DF"/>
    <w:rsid w:val="00C525F5"/>
    <w:rsid w:val="00C52C3C"/>
    <w:rsid w:val="00C53090"/>
    <w:rsid w:val="00C55982"/>
    <w:rsid w:val="00C5615C"/>
    <w:rsid w:val="00C57182"/>
    <w:rsid w:val="00C57863"/>
    <w:rsid w:val="00C57D69"/>
    <w:rsid w:val="00C619D4"/>
    <w:rsid w:val="00C6335A"/>
    <w:rsid w:val="00C634A2"/>
    <w:rsid w:val="00C640AF"/>
    <w:rsid w:val="00C64832"/>
    <w:rsid w:val="00C655FD"/>
    <w:rsid w:val="00C65BC9"/>
    <w:rsid w:val="00C72B5C"/>
    <w:rsid w:val="00C74DBB"/>
    <w:rsid w:val="00C7529D"/>
    <w:rsid w:val="00C75407"/>
    <w:rsid w:val="00C7695E"/>
    <w:rsid w:val="00C76F10"/>
    <w:rsid w:val="00C771F1"/>
    <w:rsid w:val="00C77559"/>
    <w:rsid w:val="00C83FC8"/>
    <w:rsid w:val="00C870A8"/>
    <w:rsid w:val="00C916EA"/>
    <w:rsid w:val="00C91A5C"/>
    <w:rsid w:val="00C9403F"/>
    <w:rsid w:val="00C94434"/>
    <w:rsid w:val="00CA0D4A"/>
    <w:rsid w:val="00CA0D75"/>
    <w:rsid w:val="00CA1C95"/>
    <w:rsid w:val="00CA3850"/>
    <w:rsid w:val="00CA4490"/>
    <w:rsid w:val="00CA4A32"/>
    <w:rsid w:val="00CA4EA2"/>
    <w:rsid w:val="00CA5A9C"/>
    <w:rsid w:val="00CA6486"/>
    <w:rsid w:val="00CA74BD"/>
    <w:rsid w:val="00CB003D"/>
    <w:rsid w:val="00CB0942"/>
    <w:rsid w:val="00CB0C5E"/>
    <w:rsid w:val="00CB11C8"/>
    <w:rsid w:val="00CB3EBC"/>
    <w:rsid w:val="00CB4C77"/>
    <w:rsid w:val="00CC1C0F"/>
    <w:rsid w:val="00CC1D3B"/>
    <w:rsid w:val="00CC2880"/>
    <w:rsid w:val="00CC303E"/>
    <w:rsid w:val="00CC4BCA"/>
    <w:rsid w:val="00CC4C20"/>
    <w:rsid w:val="00CC6CE4"/>
    <w:rsid w:val="00CD3517"/>
    <w:rsid w:val="00CD399C"/>
    <w:rsid w:val="00CD3E5F"/>
    <w:rsid w:val="00CD5191"/>
    <w:rsid w:val="00CD5C00"/>
    <w:rsid w:val="00CD5FE2"/>
    <w:rsid w:val="00CD6E28"/>
    <w:rsid w:val="00CE009F"/>
    <w:rsid w:val="00CE00EE"/>
    <w:rsid w:val="00CE06C7"/>
    <w:rsid w:val="00CE266F"/>
    <w:rsid w:val="00CE350A"/>
    <w:rsid w:val="00CE3AF3"/>
    <w:rsid w:val="00CE4ED8"/>
    <w:rsid w:val="00CE7214"/>
    <w:rsid w:val="00CE7C68"/>
    <w:rsid w:val="00CF0265"/>
    <w:rsid w:val="00CF07D1"/>
    <w:rsid w:val="00CF0C04"/>
    <w:rsid w:val="00CF173B"/>
    <w:rsid w:val="00CF1AA4"/>
    <w:rsid w:val="00CF4307"/>
    <w:rsid w:val="00CF4DCE"/>
    <w:rsid w:val="00D0061C"/>
    <w:rsid w:val="00D00C2A"/>
    <w:rsid w:val="00D02B4C"/>
    <w:rsid w:val="00D040C4"/>
    <w:rsid w:val="00D05E30"/>
    <w:rsid w:val="00D063B7"/>
    <w:rsid w:val="00D1051A"/>
    <w:rsid w:val="00D14A97"/>
    <w:rsid w:val="00D20AD1"/>
    <w:rsid w:val="00D22D41"/>
    <w:rsid w:val="00D2430F"/>
    <w:rsid w:val="00D26330"/>
    <w:rsid w:val="00D321E8"/>
    <w:rsid w:val="00D35E1C"/>
    <w:rsid w:val="00D374E5"/>
    <w:rsid w:val="00D37D83"/>
    <w:rsid w:val="00D40219"/>
    <w:rsid w:val="00D40E92"/>
    <w:rsid w:val="00D41382"/>
    <w:rsid w:val="00D43161"/>
    <w:rsid w:val="00D46B7E"/>
    <w:rsid w:val="00D478FE"/>
    <w:rsid w:val="00D5119A"/>
    <w:rsid w:val="00D55395"/>
    <w:rsid w:val="00D57C84"/>
    <w:rsid w:val="00D601B6"/>
    <w:rsid w:val="00D6057D"/>
    <w:rsid w:val="00D6116B"/>
    <w:rsid w:val="00D648EC"/>
    <w:rsid w:val="00D64E77"/>
    <w:rsid w:val="00D65A6B"/>
    <w:rsid w:val="00D65CD2"/>
    <w:rsid w:val="00D66EC5"/>
    <w:rsid w:val="00D67683"/>
    <w:rsid w:val="00D70434"/>
    <w:rsid w:val="00D71640"/>
    <w:rsid w:val="00D7185F"/>
    <w:rsid w:val="00D76E57"/>
    <w:rsid w:val="00D80342"/>
    <w:rsid w:val="00D8059D"/>
    <w:rsid w:val="00D81513"/>
    <w:rsid w:val="00D836C5"/>
    <w:rsid w:val="00D839CF"/>
    <w:rsid w:val="00D84576"/>
    <w:rsid w:val="00D8745D"/>
    <w:rsid w:val="00D91D23"/>
    <w:rsid w:val="00D926E6"/>
    <w:rsid w:val="00D94510"/>
    <w:rsid w:val="00D976B8"/>
    <w:rsid w:val="00D97CB1"/>
    <w:rsid w:val="00DA031A"/>
    <w:rsid w:val="00DA11BA"/>
    <w:rsid w:val="00DA1399"/>
    <w:rsid w:val="00DA1EA1"/>
    <w:rsid w:val="00DA24C6"/>
    <w:rsid w:val="00DA3DD4"/>
    <w:rsid w:val="00DA4D7B"/>
    <w:rsid w:val="00DA600B"/>
    <w:rsid w:val="00DB141C"/>
    <w:rsid w:val="00DB187A"/>
    <w:rsid w:val="00DB3233"/>
    <w:rsid w:val="00DB6721"/>
    <w:rsid w:val="00DC220E"/>
    <w:rsid w:val="00DC541D"/>
    <w:rsid w:val="00DD0267"/>
    <w:rsid w:val="00DD0AF0"/>
    <w:rsid w:val="00DD155E"/>
    <w:rsid w:val="00DD26FA"/>
    <w:rsid w:val="00DD271C"/>
    <w:rsid w:val="00DD3BBE"/>
    <w:rsid w:val="00DD6920"/>
    <w:rsid w:val="00DD76A1"/>
    <w:rsid w:val="00DE02F1"/>
    <w:rsid w:val="00DE1BA7"/>
    <w:rsid w:val="00DE264A"/>
    <w:rsid w:val="00DE3451"/>
    <w:rsid w:val="00DE3711"/>
    <w:rsid w:val="00DE439F"/>
    <w:rsid w:val="00DE5E80"/>
    <w:rsid w:val="00DF1DE2"/>
    <w:rsid w:val="00DF1F3B"/>
    <w:rsid w:val="00DF5072"/>
    <w:rsid w:val="00DF670C"/>
    <w:rsid w:val="00E02D18"/>
    <w:rsid w:val="00E02D42"/>
    <w:rsid w:val="00E041E7"/>
    <w:rsid w:val="00E0501C"/>
    <w:rsid w:val="00E06E17"/>
    <w:rsid w:val="00E112BC"/>
    <w:rsid w:val="00E115E2"/>
    <w:rsid w:val="00E13732"/>
    <w:rsid w:val="00E14A93"/>
    <w:rsid w:val="00E21B30"/>
    <w:rsid w:val="00E238A7"/>
    <w:rsid w:val="00E23CA1"/>
    <w:rsid w:val="00E30423"/>
    <w:rsid w:val="00E33DD7"/>
    <w:rsid w:val="00E409A8"/>
    <w:rsid w:val="00E41954"/>
    <w:rsid w:val="00E42624"/>
    <w:rsid w:val="00E43651"/>
    <w:rsid w:val="00E44B67"/>
    <w:rsid w:val="00E47A4B"/>
    <w:rsid w:val="00E47FA6"/>
    <w:rsid w:val="00E50C12"/>
    <w:rsid w:val="00E50E3A"/>
    <w:rsid w:val="00E510D5"/>
    <w:rsid w:val="00E51784"/>
    <w:rsid w:val="00E51EAE"/>
    <w:rsid w:val="00E56C44"/>
    <w:rsid w:val="00E606CA"/>
    <w:rsid w:val="00E61064"/>
    <w:rsid w:val="00E6147C"/>
    <w:rsid w:val="00E61605"/>
    <w:rsid w:val="00E6182C"/>
    <w:rsid w:val="00E629F3"/>
    <w:rsid w:val="00E63905"/>
    <w:rsid w:val="00E64B21"/>
    <w:rsid w:val="00E65B91"/>
    <w:rsid w:val="00E67C27"/>
    <w:rsid w:val="00E70DA8"/>
    <w:rsid w:val="00E7209D"/>
    <w:rsid w:val="00E72EAD"/>
    <w:rsid w:val="00E73A1D"/>
    <w:rsid w:val="00E748B4"/>
    <w:rsid w:val="00E77223"/>
    <w:rsid w:val="00E8403E"/>
    <w:rsid w:val="00E8510A"/>
    <w:rsid w:val="00E8528B"/>
    <w:rsid w:val="00E853A1"/>
    <w:rsid w:val="00E85B94"/>
    <w:rsid w:val="00E85FD4"/>
    <w:rsid w:val="00E8612B"/>
    <w:rsid w:val="00E91B26"/>
    <w:rsid w:val="00E9308E"/>
    <w:rsid w:val="00E93B17"/>
    <w:rsid w:val="00E940A8"/>
    <w:rsid w:val="00E94C7B"/>
    <w:rsid w:val="00E9701F"/>
    <w:rsid w:val="00E978D0"/>
    <w:rsid w:val="00E97A1B"/>
    <w:rsid w:val="00EA3679"/>
    <w:rsid w:val="00EA4613"/>
    <w:rsid w:val="00EA5D65"/>
    <w:rsid w:val="00EA5FE0"/>
    <w:rsid w:val="00EA607B"/>
    <w:rsid w:val="00EA708B"/>
    <w:rsid w:val="00EA7F91"/>
    <w:rsid w:val="00EB1523"/>
    <w:rsid w:val="00EB3055"/>
    <w:rsid w:val="00EB4482"/>
    <w:rsid w:val="00EB61E9"/>
    <w:rsid w:val="00EB6947"/>
    <w:rsid w:val="00EB6DF8"/>
    <w:rsid w:val="00EB7A4C"/>
    <w:rsid w:val="00EC0E49"/>
    <w:rsid w:val="00EC101F"/>
    <w:rsid w:val="00EC1461"/>
    <w:rsid w:val="00EC1BC5"/>
    <w:rsid w:val="00EC1D9F"/>
    <w:rsid w:val="00EC23AD"/>
    <w:rsid w:val="00EC4D8F"/>
    <w:rsid w:val="00ED067B"/>
    <w:rsid w:val="00ED1F51"/>
    <w:rsid w:val="00ED2B7C"/>
    <w:rsid w:val="00ED3535"/>
    <w:rsid w:val="00ED3F28"/>
    <w:rsid w:val="00EE0131"/>
    <w:rsid w:val="00EE17B0"/>
    <w:rsid w:val="00EE20B8"/>
    <w:rsid w:val="00EE21D9"/>
    <w:rsid w:val="00EE5154"/>
    <w:rsid w:val="00EF06D9"/>
    <w:rsid w:val="00EF0FB0"/>
    <w:rsid w:val="00EF1745"/>
    <w:rsid w:val="00EF394F"/>
    <w:rsid w:val="00EF3B5E"/>
    <w:rsid w:val="00EF5BEC"/>
    <w:rsid w:val="00EF5DAC"/>
    <w:rsid w:val="00EF68DF"/>
    <w:rsid w:val="00EF7BF5"/>
    <w:rsid w:val="00F0359B"/>
    <w:rsid w:val="00F040C1"/>
    <w:rsid w:val="00F06C5D"/>
    <w:rsid w:val="00F06DC7"/>
    <w:rsid w:val="00F07503"/>
    <w:rsid w:val="00F07E8B"/>
    <w:rsid w:val="00F104DD"/>
    <w:rsid w:val="00F1084A"/>
    <w:rsid w:val="00F11024"/>
    <w:rsid w:val="00F13373"/>
    <w:rsid w:val="00F1712D"/>
    <w:rsid w:val="00F17513"/>
    <w:rsid w:val="00F2069F"/>
    <w:rsid w:val="00F220B9"/>
    <w:rsid w:val="00F224BE"/>
    <w:rsid w:val="00F233EA"/>
    <w:rsid w:val="00F2455E"/>
    <w:rsid w:val="00F246DD"/>
    <w:rsid w:val="00F25D7F"/>
    <w:rsid w:val="00F26382"/>
    <w:rsid w:val="00F267D6"/>
    <w:rsid w:val="00F27C30"/>
    <w:rsid w:val="00F3049E"/>
    <w:rsid w:val="00F30C64"/>
    <w:rsid w:val="00F317B3"/>
    <w:rsid w:val="00F318D2"/>
    <w:rsid w:val="00F32BA2"/>
    <w:rsid w:val="00F32CDB"/>
    <w:rsid w:val="00F345A3"/>
    <w:rsid w:val="00F348EE"/>
    <w:rsid w:val="00F3573A"/>
    <w:rsid w:val="00F35F28"/>
    <w:rsid w:val="00F36BE3"/>
    <w:rsid w:val="00F37027"/>
    <w:rsid w:val="00F371EC"/>
    <w:rsid w:val="00F43594"/>
    <w:rsid w:val="00F461F5"/>
    <w:rsid w:val="00F4787D"/>
    <w:rsid w:val="00F565FE"/>
    <w:rsid w:val="00F619B8"/>
    <w:rsid w:val="00F637EF"/>
    <w:rsid w:val="00F63A70"/>
    <w:rsid w:val="00F63D8C"/>
    <w:rsid w:val="00F6631C"/>
    <w:rsid w:val="00F675FE"/>
    <w:rsid w:val="00F67961"/>
    <w:rsid w:val="00F7070F"/>
    <w:rsid w:val="00F748EB"/>
    <w:rsid w:val="00F74B29"/>
    <w:rsid w:val="00F7534E"/>
    <w:rsid w:val="00F8040F"/>
    <w:rsid w:val="00F805E1"/>
    <w:rsid w:val="00F81E59"/>
    <w:rsid w:val="00F8368A"/>
    <w:rsid w:val="00F858EE"/>
    <w:rsid w:val="00F85B18"/>
    <w:rsid w:val="00F869AD"/>
    <w:rsid w:val="00F93EDF"/>
    <w:rsid w:val="00F94515"/>
    <w:rsid w:val="00F949D6"/>
    <w:rsid w:val="00F953DB"/>
    <w:rsid w:val="00F95632"/>
    <w:rsid w:val="00F958A6"/>
    <w:rsid w:val="00F97F03"/>
    <w:rsid w:val="00FA1802"/>
    <w:rsid w:val="00FA21D0"/>
    <w:rsid w:val="00FA2CEE"/>
    <w:rsid w:val="00FA5F5F"/>
    <w:rsid w:val="00FA6A8E"/>
    <w:rsid w:val="00FB1FE7"/>
    <w:rsid w:val="00FB4DD4"/>
    <w:rsid w:val="00FB6F1D"/>
    <w:rsid w:val="00FB730C"/>
    <w:rsid w:val="00FB7BEB"/>
    <w:rsid w:val="00FB7EA7"/>
    <w:rsid w:val="00FC03E7"/>
    <w:rsid w:val="00FC07EC"/>
    <w:rsid w:val="00FC0D8D"/>
    <w:rsid w:val="00FC16CB"/>
    <w:rsid w:val="00FC186F"/>
    <w:rsid w:val="00FC24E8"/>
    <w:rsid w:val="00FC2695"/>
    <w:rsid w:val="00FC3E03"/>
    <w:rsid w:val="00FC3FC1"/>
    <w:rsid w:val="00FC45C6"/>
    <w:rsid w:val="00FC4998"/>
    <w:rsid w:val="00FC4DF2"/>
    <w:rsid w:val="00FD0F67"/>
    <w:rsid w:val="00FD1FC9"/>
    <w:rsid w:val="00FD26BA"/>
    <w:rsid w:val="00FE0547"/>
    <w:rsid w:val="00FE05F8"/>
    <w:rsid w:val="00FE0F8D"/>
    <w:rsid w:val="00FE1032"/>
    <w:rsid w:val="00FF4D5D"/>
    <w:rsid w:val="00FF5C5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476380"/>
    <w:pPr>
      <w:keepNext/>
      <w:numPr>
        <w:ilvl w:val="2"/>
        <w:numId w:val="1"/>
      </w:numPr>
      <w:suppressAutoHyphens/>
      <w:spacing w:before="120" w:after="12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476380"/>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qFormat/>
    <w:rsid w:val="00280FAF"/>
    <w:pPr>
      <w:ind w:left="720"/>
      <w:contextualSpacing/>
    </w:pPr>
  </w:style>
  <w:style w:type="character" w:styleId="FootnoteReference">
    <w:name w:val="footnote reference"/>
    <w:uiPriority w:val="99"/>
    <w:semiHidden/>
    <w:rsid w:val="00500F08"/>
    <w:rPr>
      <w:vertAlign w:val="superscript"/>
    </w:rPr>
  </w:style>
  <w:style w:type="table" w:styleId="PlainTable2">
    <w:name w:val="Plain Table 2"/>
    <w:basedOn w:val="TableNormal"/>
    <w:uiPriority w:val="42"/>
    <w:rsid w:val="008723C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C4D8F"/>
    <w:rPr>
      <w:color w:val="605E5C"/>
      <w:shd w:val="clear" w:color="auto" w:fill="E1DFDD"/>
    </w:rPr>
  </w:style>
  <w:style w:type="character" w:styleId="PlaceholderText">
    <w:name w:val="Placeholder Text"/>
    <w:basedOn w:val="DefaultParagraphFont"/>
    <w:uiPriority w:val="99"/>
    <w:semiHidden/>
    <w:rsid w:val="008061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2760">
      <w:bodyDiv w:val="1"/>
      <w:marLeft w:val="0"/>
      <w:marRight w:val="0"/>
      <w:marTop w:val="0"/>
      <w:marBottom w:val="0"/>
      <w:divBdr>
        <w:top w:val="none" w:sz="0" w:space="0" w:color="auto"/>
        <w:left w:val="none" w:sz="0" w:space="0" w:color="auto"/>
        <w:bottom w:val="none" w:sz="0" w:space="0" w:color="auto"/>
        <w:right w:val="none" w:sz="0" w:space="0" w:color="auto"/>
      </w:divBdr>
    </w:div>
    <w:div w:id="428821383">
      <w:bodyDiv w:val="1"/>
      <w:marLeft w:val="0"/>
      <w:marRight w:val="0"/>
      <w:marTop w:val="0"/>
      <w:marBottom w:val="0"/>
      <w:divBdr>
        <w:top w:val="none" w:sz="0" w:space="0" w:color="auto"/>
        <w:left w:val="none" w:sz="0" w:space="0" w:color="auto"/>
        <w:bottom w:val="none" w:sz="0" w:space="0" w:color="auto"/>
        <w:right w:val="none" w:sz="0" w:space="0" w:color="auto"/>
      </w:divBdr>
      <w:divsChild>
        <w:div w:id="338699628">
          <w:marLeft w:val="446"/>
          <w:marRight w:val="0"/>
          <w:marTop w:val="0"/>
          <w:marBottom w:val="0"/>
          <w:divBdr>
            <w:top w:val="none" w:sz="0" w:space="0" w:color="auto"/>
            <w:left w:val="none" w:sz="0" w:space="0" w:color="auto"/>
            <w:bottom w:val="none" w:sz="0" w:space="0" w:color="auto"/>
            <w:right w:val="none" w:sz="0" w:space="0" w:color="auto"/>
          </w:divBdr>
        </w:div>
        <w:div w:id="714893737">
          <w:marLeft w:val="446"/>
          <w:marRight w:val="0"/>
          <w:marTop w:val="0"/>
          <w:marBottom w:val="0"/>
          <w:divBdr>
            <w:top w:val="none" w:sz="0" w:space="0" w:color="auto"/>
            <w:left w:val="none" w:sz="0" w:space="0" w:color="auto"/>
            <w:bottom w:val="none" w:sz="0" w:space="0" w:color="auto"/>
            <w:right w:val="none" w:sz="0" w:space="0" w:color="auto"/>
          </w:divBdr>
        </w:div>
        <w:div w:id="2095280600">
          <w:marLeft w:val="446"/>
          <w:marRight w:val="0"/>
          <w:marTop w:val="0"/>
          <w:marBottom w:val="0"/>
          <w:divBdr>
            <w:top w:val="none" w:sz="0" w:space="0" w:color="auto"/>
            <w:left w:val="none" w:sz="0" w:space="0" w:color="auto"/>
            <w:bottom w:val="none" w:sz="0" w:space="0" w:color="auto"/>
            <w:right w:val="none" w:sz="0" w:space="0" w:color="auto"/>
          </w:divBdr>
        </w:div>
      </w:divsChild>
    </w:div>
    <w:div w:id="519244175">
      <w:bodyDiv w:val="1"/>
      <w:marLeft w:val="0"/>
      <w:marRight w:val="0"/>
      <w:marTop w:val="0"/>
      <w:marBottom w:val="0"/>
      <w:divBdr>
        <w:top w:val="none" w:sz="0" w:space="0" w:color="auto"/>
        <w:left w:val="none" w:sz="0" w:space="0" w:color="auto"/>
        <w:bottom w:val="none" w:sz="0" w:space="0" w:color="auto"/>
        <w:right w:val="none" w:sz="0" w:space="0" w:color="auto"/>
      </w:divBdr>
      <w:divsChild>
        <w:div w:id="705108093">
          <w:marLeft w:val="446"/>
          <w:marRight w:val="0"/>
          <w:marTop w:val="0"/>
          <w:marBottom w:val="0"/>
          <w:divBdr>
            <w:top w:val="none" w:sz="0" w:space="0" w:color="auto"/>
            <w:left w:val="none" w:sz="0" w:space="0" w:color="auto"/>
            <w:bottom w:val="none" w:sz="0" w:space="0" w:color="auto"/>
            <w:right w:val="none" w:sz="0" w:space="0" w:color="auto"/>
          </w:divBdr>
        </w:div>
        <w:div w:id="963465376">
          <w:marLeft w:val="446"/>
          <w:marRight w:val="0"/>
          <w:marTop w:val="0"/>
          <w:marBottom w:val="0"/>
          <w:divBdr>
            <w:top w:val="none" w:sz="0" w:space="0" w:color="auto"/>
            <w:left w:val="none" w:sz="0" w:space="0" w:color="auto"/>
            <w:bottom w:val="none" w:sz="0" w:space="0" w:color="auto"/>
            <w:right w:val="none" w:sz="0" w:space="0" w:color="auto"/>
          </w:divBdr>
        </w:div>
        <w:div w:id="1828284254">
          <w:marLeft w:val="446"/>
          <w:marRight w:val="0"/>
          <w:marTop w:val="0"/>
          <w:marBottom w:val="0"/>
          <w:divBdr>
            <w:top w:val="none" w:sz="0" w:space="0" w:color="auto"/>
            <w:left w:val="none" w:sz="0" w:space="0" w:color="auto"/>
            <w:bottom w:val="none" w:sz="0" w:space="0" w:color="auto"/>
            <w:right w:val="none" w:sz="0" w:space="0" w:color="auto"/>
          </w:divBdr>
        </w:div>
        <w:div w:id="1315112077">
          <w:marLeft w:val="446"/>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896">
      <w:bodyDiv w:val="1"/>
      <w:marLeft w:val="0"/>
      <w:marRight w:val="0"/>
      <w:marTop w:val="0"/>
      <w:marBottom w:val="0"/>
      <w:divBdr>
        <w:top w:val="none" w:sz="0" w:space="0" w:color="auto"/>
        <w:left w:val="none" w:sz="0" w:space="0" w:color="auto"/>
        <w:bottom w:val="none" w:sz="0" w:space="0" w:color="auto"/>
        <w:right w:val="none" w:sz="0" w:space="0" w:color="auto"/>
      </w:divBdr>
    </w:div>
    <w:div w:id="1053427054">
      <w:bodyDiv w:val="1"/>
      <w:marLeft w:val="0"/>
      <w:marRight w:val="0"/>
      <w:marTop w:val="0"/>
      <w:marBottom w:val="0"/>
      <w:divBdr>
        <w:top w:val="none" w:sz="0" w:space="0" w:color="auto"/>
        <w:left w:val="none" w:sz="0" w:space="0" w:color="auto"/>
        <w:bottom w:val="none" w:sz="0" w:space="0" w:color="auto"/>
        <w:right w:val="none" w:sz="0" w:space="0" w:color="auto"/>
      </w:divBdr>
      <w:divsChild>
        <w:div w:id="598871398">
          <w:marLeft w:val="446"/>
          <w:marRight w:val="0"/>
          <w:marTop w:val="0"/>
          <w:marBottom w:val="0"/>
          <w:divBdr>
            <w:top w:val="none" w:sz="0" w:space="0" w:color="auto"/>
            <w:left w:val="none" w:sz="0" w:space="0" w:color="auto"/>
            <w:bottom w:val="none" w:sz="0" w:space="0" w:color="auto"/>
            <w:right w:val="none" w:sz="0" w:space="0" w:color="auto"/>
          </w:divBdr>
        </w:div>
        <w:div w:id="1450319880">
          <w:marLeft w:val="446"/>
          <w:marRight w:val="0"/>
          <w:marTop w:val="0"/>
          <w:marBottom w:val="0"/>
          <w:divBdr>
            <w:top w:val="none" w:sz="0" w:space="0" w:color="auto"/>
            <w:left w:val="none" w:sz="0" w:space="0" w:color="auto"/>
            <w:bottom w:val="none" w:sz="0" w:space="0" w:color="auto"/>
            <w:right w:val="none" w:sz="0" w:space="0" w:color="auto"/>
          </w:divBdr>
        </w:div>
        <w:div w:id="1433741653">
          <w:marLeft w:val="446"/>
          <w:marRight w:val="0"/>
          <w:marTop w:val="0"/>
          <w:marBottom w:val="0"/>
          <w:divBdr>
            <w:top w:val="none" w:sz="0" w:space="0" w:color="auto"/>
            <w:left w:val="none" w:sz="0" w:space="0" w:color="auto"/>
            <w:bottom w:val="none" w:sz="0" w:space="0" w:color="auto"/>
            <w:right w:val="none" w:sz="0" w:space="0" w:color="auto"/>
          </w:divBdr>
        </w:div>
        <w:div w:id="2077822438">
          <w:marLeft w:val="446"/>
          <w:marRight w:val="0"/>
          <w:marTop w:val="0"/>
          <w:marBottom w:val="0"/>
          <w:divBdr>
            <w:top w:val="none" w:sz="0" w:space="0" w:color="auto"/>
            <w:left w:val="none" w:sz="0" w:space="0" w:color="auto"/>
            <w:bottom w:val="none" w:sz="0" w:space="0" w:color="auto"/>
            <w:right w:val="none" w:sz="0" w:space="0" w:color="auto"/>
          </w:divBdr>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194/acp-202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4304</Words>
  <Characters>24538</Characters>
  <Application>Microsoft Office Word</Application>
  <DocSecurity>0</DocSecurity>
  <Lines>204</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Senem Ozgen</cp:lastModifiedBy>
  <cp:revision>215</cp:revision>
  <cp:lastPrinted>2015-05-12T18:31:00Z</cp:lastPrinted>
  <dcterms:created xsi:type="dcterms:W3CDTF">2024-01-15T09:23:00Z</dcterms:created>
  <dcterms:modified xsi:type="dcterms:W3CDTF">2024-02-29T17:49:00Z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