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Filho</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902EDA">
              <w:rPr>
                <w:rFonts w:ascii="Tahoma" w:hAnsi="Tahoma" w:cs="Tahoma"/>
                <w:sz w:val="14"/>
                <w:szCs w:val="14"/>
              </w:rPr>
              <w:t>10</w:t>
            </w:r>
            <w:r>
              <w:rPr>
                <w:rFonts w:ascii="Tahoma" w:hAnsi="Tahoma" w:cs="Tahoma"/>
                <w:sz w:val="14"/>
                <w:szCs w:val="14"/>
              </w:rPr>
              <w:t>-</w:t>
            </w:r>
            <w:r w:rsidR="00902EDA">
              <w:rPr>
                <w:rFonts w:ascii="Tahoma" w:hAnsi="Tahoma" w:cs="Tahoma"/>
                <w:sz w:val="14"/>
                <w:szCs w:val="14"/>
              </w:rPr>
              <w:t>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E978D0" w:rsidRPr="00B57B36" w:rsidRDefault="00562CF9" w:rsidP="00E978D0">
      <w:pPr>
        <w:pStyle w:val="CETTitle"/>
      </w:pPr>
      <w:r>
        <w:t>Thermochemical Conversion of Lignocellulosic biomass: A Thermodynamic Study Based on Isothermal and Adiabatic Reactors</w:t>
      </w:r>
    </w:p>
    <w:p w:rsidR="00B57E6F" w:rsidRPr="00562CF9" w:rsidRDefault="00562CF9" w:rsidP="00B57E6F">
      <w:pPr>
        <w:pStyle w:val="CETAuthors"/>
        <w:rPr>
          <w:lang w:val="pt-BR"/>
        </w:rPr>
      </w:pPr>
      <w:r w:rsidRPr="00562CF9">
        <w:rPr>
          <w:lang w:val="pt-BR"/>
        </w:rPr>
        <w:t>Amanda C. C. Maia</w:t>
      </w:r>
      <w:r w:rsidR="00B57E6F" w:rsidRPr="00562CF9">
        <w:rPr>
          <w:vertAlign w:val="superscript"/>
          <w:lang w:val="pt-BR"/>
        </w:rPr>
        <w:t>a</w:t>
      </w:r>
      <w:r w:rsidR="00B57E6F" w:rsidRPr="00562CF9">
        <w:rPr>
          <w:lang w:val="pt-BR"/>
        </w:rPr>
        <w:t xml:space="preserve">, </w:t>
      </w:r>
      <w:r w:rsidRPr="00562CF9">
        <w:rPr>
          <w:lang w:val="pt-BR"/>
        </w:rPr>
        <w:t>Julles M.Santos Júnior</w:t>
      </w:r>
      <w:r w:rsidR="00B57E6F" w:rsidRPr="00562CF9">
        <w:rPr>
          <w:vertAlign w:val="superscript"/>
          <w:lang w:val="pt-BR"/>
        </w:rPr>
        <w:t>b</w:t>
      </w:r>
      <w:r w:rsidR="00B57E6F" w:rsidRPr="00562CF9">
        <w:rPr>
          <w:lang w:val="pt-BR"/>
        </w:rPr>
        <w:t xml:space="preserve">, </w:t>
      </w:r>
      <w:r>
        <w:rPr>
          <w:lang w:val="pt-BR"/>
        </w:rPr>
        <w:t>Annamaria D. S. Vidotti</w:t>
      </w:r>
      <w:r w:rsidRPr="00562CF9">
        <w:rPr>
          <w:vertAlign w:val="superscript"/>
          <w:lang w:val="pt-BR"/>
        </w:rPr>
        <w:t>a</w:t>
      </w:r>
      <w:r>
        <w:rPr>
          <w:lang w:val="pt-BR"/>
        </w:rPr>
        <w:t>, Antonio C. D. Freitas</w:t>
      </w:r>
      <w:r w:rsidRPr="00562CF9">
        <w:rPr>
          <w:vertAlign w:val="superscript"/>
          <w:lang w:val="pt-BR"/>
        </w:rPr>
        <w:t>a</w:t>
      </w:r>
      <w:r>
        <w:rPr>
          <w:lang w:val="pt-BR"/>
        </w:rPr>
        <w:t>, Reginaldo Guirardello</w:t>
      </w:r>
      <w:r w:rsidRPr="00562CF9">
        <w:rPr>
          <w:vertAlign w:val="superscript"/>
          <w:lang w:val="pt-BR"/>
        </w:rPr>
        <w:t>b,</w:t>
      </w:r>
      <w:r w:rsidR="00F749F5">
        <w:rPr>
          <w:vertAlign w:val="superscript"/>
          <w:lang w:val="pt-BR"/>
        </w:rPr>
        <w:t>*</w:t>
      </w:r>
    </w:p>
    <w:p w:rsidR="00B57E6F" w:rsidRPr="00562CF9" w:rsidRDefault="00B57E6F" w:rsidP="00B57E6F">
      <w:pPr>
        <w:pStyle w:val="CETAddress"/>
        <w:rPr>
          <w:lang w:val="pt-BR"/>
        </w:rPr>
      </w:pPr>
      <w:r w:rsidRPr="00562CF9">
        <w:rPr>
          <w:vertAlign w:val="superscript"/>
          <w:lang w:val="pt-BR"/>
        </w:rPr>
        <w:t>a</w:t>
      </w:r>
      <w:r w:rsidR="00562CF9" w:rsidRPr="00562CF9">
        <w:rPr>
          <w:lang w:val="pt-BR"/>
        </w:rPr>
        <w:t xml:space="preserve">Chemical Engineering Department, Exact Sciences and Technology Center, </w:t>
      </w:r>
      <w:r w:rsidR="00070A60">
        <w:rPr>
          <w:lang w:val="pt-BR"/>
        </w:rPr>
        <w:t>Federal University of Maranhão - UFMA</w:t>
      </w:r>
      <w:r w:rsidR="00562CF9" w:rsidRPr="00562CF9">
        <w:rPr>
          <w:lang w:val="pt-BR"/>
        </w:rPr>
        <w:t xml:space="preserve">, Av. dos Portugueses, 1966, Bacanga, </w:t>
      </w:r>
      <w:r w:rsidR="004A02F9" w:rsidRPr="00562CF9">
        <w:rPr>
          <w:lang w:val="pt-BR"/>
        </w:rPr>
        <w:t>65080-805</w:t>
      </w:r>
      <w:r w:rsidR="004A02F9">
        <w:rPr>
          <w:lang w:val="pt-BR"/>
        </w:rPr>
        <w:t xml:space="preserve">, </w:t>
      </w:r>
      <w:r w:rsidR="00562CF9" w:rsidRPr="00562CF9">
        <w:rPr>
          <w:lang w:val="pt-BR"/>
        </w:rPr>
        <w:t>São Luís</w:t>
      </w:r>
      <w:r w:rsidR="004A02F9">
        <w:rPr>
          <w:lang w:val="pt-BR"/>
        </w:rPr>
        <w:t xml:space="preserve">-MA, </w:t>
      </w:r>
      <w:r w:rsidR="00562CF9" w:rsidRPr="00562CF9">
        <w:rPr>
          <w:lang w:val="pt-BR"/>
        </w:rPr>
        <w:t>Brazi</w:t>
      </w:r>
      <w:r w:rsidR="00562CF9">
        <w:rPr>
          <w:lang w:val="pt-BR"/>
        </w:rPr>
        <w:t>l</w:t>
      </w:r>
    </w:p>
    <w:p w:rsidR="00B57E6F" w:rsidRPr="00B57B36" w:rsidRDefault="00B57E6F" w:rsidP="00B57E6F">
      <w:pPr>
        <w:pStyle w:val="CETAddress"/>
      </w:pPr>
      <w:r w:rsidRPr="00B57B36">
        <w:rPr>
          <w:vertAlign w:val="superscript"/>
        </w:rPr>
        <w:t>b</w:t>
      </w:r>
      <w:r w:rsidRPr="00B57B36">
        <w:t xml:space="preserve"> </w:t>
      </w:r>
      <w:r w:rsidR="00562CF9" w:rsidRPr="00562CF9">
        <w:t>School of Chemical Engineering, University of Campinas, Av. Albert Einstein 500</w:t>
      </w:r>
      <w:r w:rsidR="004A02F9">
        <w:t>, 13083-852</w:t>
      </w:r>
      <w:r w:rsidR="00562CF9" w:rsidRPr="00562CF9">
        <w:t>, Campinas</w:t>
      </w:r>
      <w:r w:rsidR="004A02F9">
        <w:t xml:space="preserve">-SP, </w:t>
      </w:r>
      <w:r w:rsidR="00562CF9" w:rsidRPr="00562CF9">
        <w:t>Brazil</w:t>
      </w:r>
    </w:p>
    <w:p w:rsidR="00B57E6F" w:rsidRPr="00B57B36" w:rsidRDefault="004A0A8A" w:rsidP="00B57E6F">
      <w:pPr>
        <w:pStyle w:val="CETemail"/>
      </w:pPr>
      <w:r>
        <w:t>*</w:t>
      </w:r>
      <w:r w:rsidR="00562CF9">
        <w:t>guira@feq.unicamp.br</w:t>
      </w:r>
    </w:p>
    <w:p w:rsidR="00562CF9" w:rsidRDefault="00562CF9" w:rsidP="00E577E3">
      <w:pPr>
        <w:pStyle w:val="CETListbullets"/>
        <w:ind w:left="0" w:firstLine="0"/>
      </w:pPr>
      <w:r>
        <w:t>In this paper a comparative study is presented between thermochemical routes of pyrolysis (PR), Supercritical</w:t>
      </w:r>
      <w:r w:rsidR="002D40FA">
        <w:t xml:space="preserve"> </w:t>
      </w:r>
      <w:r>
        <w:t>water gasification (SCWG), steam reforming (SR), oxidative reforming (OR) and autothermal reforming (ATR) aiming hydrogen production from lignocellulosic biomass</w:t>
      </w:r>
      <w:r w:rsidR="00C91797">
        <w:t xml:space="preserve"> (LB)</w:t>
      </w:r>
      <w:r>
        <w:t>. For this, thermodynamic approaches were used, based on Gibbs energy minimization</w:t>
      </w:r>
      <w:r w:rsidR="002E02F6">
        <w:t xml:space="preserve"> (</w:t>
      </w:r>
      <w:r w:rsidR="002E02F6" w:rsidRPr="00980330">
        <w:rPr>
          <w:i/>
          <w:iCs/>
        </w:rPr>
        <w:t>minG</w:t>
      </w:r>
      <w:r w:rsidR="002E02F6">
        <w:t>)</w:t>
      </w:r>
      <w:r>
        <w:t xml:space="preserve"> and entropy maximization</w:t>
      </w:r>
      <w:r w:rsidR="002E02F6">
        <w:t xml:space="preserve"> (</w:t>
      </w:r>
      <w:r w:rsidR="002E02F6" w:rsidRPr="00980330">
        <w:rPr>
          <w:i/>
          <w:iCs/>
        </w:rPr>
        <w:t>maxS</w:t>
      </w:r>
      <w:r w:rsidR="002E02F6">
        <w:t>)</w:t>
      </w:r>
      <w:r>
        <w:t xml:space="preserve"> methods, in order to represent isothermal and adiabatic reactors, respectively. To carry out the simulations, the GAMS 23.9.5 software and the CONOPT3 solver were used</w:t>
      </w:r>
      <w:r w:rsidR="002D40FA">
        <w:t xml:space="preserve">. </w:t>
      </w:r>
      <w:r>
        <w:t xml:space="preserve">The results obtained demonstrated that the regions of greatest hydrogen formation were at high temperatures (≥ 900 K) and at the lowest pressures tested (5 bar for PR; 230 bar for SCWG and 1 bar for the other thermochemical routes). Furthermore, it was verified which type of operation (adiabatic or isothermal) is most </w:t>
      </w:r>
      <w:r w:rsidR="002D40FA">
        <w:t>favourable</w:t>
      </w:r>
      <w:r>
        <w:t xml:space="preserve"> for hydrogen production. The adiabatic operation proved to be more important and productive for S</w:t>
      </w:r>
      <w:r w:rsidR="000657E3">
        <w:t>C</w:t>
      </w:r>
      <w:r>
        <w:t>WG and the isothermal operation proved to be efficient for all other thermochemical routes studied. It was also found that adiabatic reactors resulted in higher</w:t>
      </w:r>
      <w:r w:rsidR="00CE2AC4">
        <w:t xml:space="preserve"> H</w:t>
      </w:r>
      <w:r w:rsidR="00CE2AC4" w:rsidRPr="00CE2AC4">
        <w:rPr>
          <w:vertAlign w:val="subscript"/>
        </w:rPr>
        <w:t>2</w:t>
      </w:r>
      <w:r>
        <w:t xml:space="preserve"> productivity for SR and PR processes; and isothermal reactors resulted in better quality of </w:t>
      </w:r>
      <w:r w:rsidR="00CE2AC4">
        <w:t xml:space="preserve">gas </w:t>
      </w:r>
      <w:r>
        <w:t xml:space="preserve">produced for the OR, ATR and SCWG processes. SR presented the best result for the quality of </w:t>
      </w:r>
      <w:r w:rsidR="00CE2AC4">
        <w:t>H</w:t>
      </w:r>
      <w:r w:rsidR="00CE2AC4">
        <w:rPr>
          <w:vertAlign w:val="subscript"/>
        </w:rPr>
        <w:t>2</w:t>
      </w:r>
      <w:r>
        <w:t xml:space="preserve"> </w:t>
      </w:r>
      <w:r w:rsidR="00CE2AC4">
        <w:t xml:space="preserve">(47% in the product stream at 1 bar and 1000 K) </w:t>
      </w:r>
      <w:r w:rsidR="002D40FA">
        <w:t>produced</w:t>
      </w:r>
      <w:r>
        <w:t xml:space="preserve">. Exothermic reaction </w:t>
      </w:r>
      <w:r w:rsidR="002D40FA">
        <w:t>behaviours</w:t>
      </w:r>
      <w:r>
        <w:t xml:space="preserve"> were observed for ATR, OR and for SCWG reactions, the other thermochemical routes presented endothermic characteristics</w:t>
      </w:r>
      <w:r w:rsidR="00CE2AC4">
        <w:t xml:space="preserve"> </w:t>
      </w:r>
      <w:r w:rsidR="00CE2AC4" w:rsidRPr="00CE2AC4">
        <w:t>in most of the operational ranges studied</w:t>
      </w:r>
      <w:r>
        <w:t xml:space="preserve">. The proposed </w:t>
      </w:r>
      <w:r w:rsidR="00CE2AC4">
        <w:t xml:space="preserve">thermodynamic </w:t>
      </w:r>
      <w:r>
        <w:t>models proved to be fast and effective in the calculations carried out in this paper, with computational times of less than 5 seconds in all performed simulations.</w:t>
      </w:r>
    </w:p>
    <w:p w:rsidR="00C91797" w:rsidRPr="00C91797" w:rsidRDefault="00600535" w:rsidP="00C91797">
      <w:pPr>
        <w:pStyle w:val="CETHeading1"/>
        <w:rPr>
          <w:lang w:val="en-GB"/>
        </w:rPr>
      </w:pPr>
      <w:r w:rsidRPr="00B57B36">
        <w:rPr>
          <w:lang w:val="en-GB"/>
        </w:rPr>
        <w:t>Introduction</w:t>
      </w:r>
    </w:p>
    <w:p w:rsidR="000E6F2C" w:rsidRDefault="00C91797" w:rsidP="002D4DF6">
      <w:pPr>
        <w:pStyle w:val="CETBodytext"/>
        <w:rPr>
          <w:lang w:val="en-GB"/>
        </w:rPr>
      </w:pPr>
      <w:r w:rsidRPr="00C91797">
        <w:rPr>
          <w:lang w:val="en-GB"/>
        </w:rPr>
        <w:t>Lignocellulosic biomass (LB) is an abundant and renewable resource from plants mainly composed of polysaccharides</w:t>
      </w:r>
      <w:r w:rsidR="002D4DF6">
        <w:rPr>
          <w:lang w:val="en-GB"/>
        </w:rPr>
        <w:t xml:space="preserve">, </w:t>
      </w:r>
      <w:r w:rsidRPr="00C91797">
        <w:rPr>
          <w:lang w:val="en-GB"/>
        </w:rPr>
        <w:t>cellulose and hemicelluloses and a polymer</w:t>
      </w:r>
      <w:r w:rsidR="002D4DF6">
        <w:rPr>
          <w:lang w:val="en-GB"/>
        </w:rPr>
        <w:t>, the</w:t>
      </w:r>
      <w:r w:rsidRPr="00C91797">
        <w:rPr>
          <w:lang w:val="en-GB"/>
        </w:rPr>
        <w:t xml:space="preserve"> lignin. LB has a high potential as an alternative to fossil resources </w:t>
      </w:r>
      <w:r w:rsidR="002D4DF6">
        <w:rPr>
          <w:lang w:val="en-GB"/>
        </w:rPr>
        <w:t xml:space="preserve">in order </w:t>
      </w:r>
      <w:r w:rsidRPr="00C91797">
        <w:rPr>
          <w:lang w:val="en-GB"/>
        </w:rPr>
        <w:t>to produce second-generation biofuels and materials without compromising global food security.</w:t>
      </w:r>
      <w:r w:rsidR="0053075D">
        <w:rPr>
          <w:lang w:val="en-GB"/>
        </w:rPr>
        <w:t xml:space="preserve"> </w:t>
      </w:r>
      <w:r w:rsidR="002D4DF6" w:rsidRPr="002D4DF6">
        <w:rPr>
          <w:lang w:val="en-GB"/>
        </w:rPr>
        <w:t>The modern biomass energy-conversion method includes thermochemical conversion and biochemical conversion routes for bioenergy production.</w:t>
      </w:r>
      <w:r w:rsidR="002D4DF6">
        <w:rPr>
          <w:lang w:val="en-GB"/>
        </w:rPr>
        <w:t xml:space="preserve"> </w:t>
      </w:r>
    </w:p>
    <w:p w:rsidR="00C91797" w:rsidRPr="0053075D" w:rsidRDefault="002D4DF6" w:rsidP="002D4DF6">
      <w:pPr>
        <w:pStyle w:val="CETBodytext"/>
        <w:rPr>
          <w:lang w:val="en-GB"/>
        </w:rPr>
      </w:pPr>
      <w:r>
        <w:rPr>
          <w:lang w:val="en-GB"/>
        </w:rPr>
        <w:t>Different t</w:t>
      </w:r>
      <w:r w:rsidRPr="002D4DF6">
        <w:rPr>
          <w:lang w:val="en-GB"/>
        </w:rPr>
        <w:t>herm</w:t>
      </w:r>
      <w:r>
        <w:rPr>
          <w:lang w:val="en-GB"/>
        </w:rPr>
        <w:t>ochemical</w:t>
      </w:r>
      <w:r w:rsidRPr="002D4DF6">
        <w:rPr>
          <w:lang w:val="en-GB"/>
        </w:rPr>
        <w:t xml:space="preserve"> </w:t>
      </w:r>
      <w:r>
        <w:rPr>
          <w:lang w:val="en-GB"/>
        </w:rPr>
        <w:t xml:space="preserve">routes are reported in literature to promote </w:t>
      </w:r>
      <w:r w:rsidRPr="002D4DF6">
        <w:rPr>
          <w:lang w:val="en-GB"/>
        </w:rPr>
        <w:t>the conversion of biomass</w:t>
      </w:r>
      <w:r>
        <w:rPr>
          <w:lang w:val="en-GB"/>
        </w:rPr>
        <w:t>.</w:t>
      </w:r>
      <w:r w:rsidR="006C7661">
        <w:rPr>
          <w:lang w:val="en-GB"/>
        </w:rPr>
        <w:t xml:space="preserve"> Nanda et al. (2016) studied the </w:t>
      </w:r>
      <w:r w:rsidR="006C7661">
        <w:t>s</w:t>
      </w:r>
      <w:r w:rsidR="006C7661" w:rsidRPr="006C7661">
        <w:t xml:space="preserve">ubcritical and supercritical water gasification of lignocellulosic biomass with nickel nanocatalyst </w:t>
      </w:r>
      <w:r w:rsidR="006C7661">
        <w:t>aiming</w:t>
      </w:r>
      <w:r w:rsidR="006C7661" w:rsidRPr="006C7661">
        <w:t xml:space="preserve"> hydrogen production</w:t>
      </w:r>
      <w:r w:rsidR="008754F3">
        <w:t>,</w:t>
      </w:r>
      <w:r w:rsidR="008754F3" w:rsidRPr="008754F3">
        <w:t xml:space="preserve"> </w:t>
      </w:r>
      <w:r w:rsidR="008754F3">
        <w:t>i</w:t>
      </w:r>
      <w:r w:rsidR="008754F3" w:rsidRPr="008754F3">
        <w:t>n this reaction, excess</w:t>
      </w:r>
      <w:r w:rsidR="008754F3">
        <w:t xml:space="preserve"> of</w:t>
      </w:r>
      <w:r w:rsidR="008754F3" w:rsidRPr="008754F3">
        <w:t xml:space="preserve"> water is used in a high</w:t>
      </w:r>
      <w:r w:rsidR="008754F3">
        <w:t>-pressure</w:t>
      </w:r>
      <w:r w:rsidR="008754F3" w:rsidRPr="008754F3">
        <w:t xml:space="preserve"> reactor, high concentrations of hydrogen are </w:t>
      </w:r>
      <w:r w:rsidR="0045655E">
        <w:t>reported</w:t>
      </w:r>
      <w:r w:rsidR="008754F3" w:rsidRPr="008754F3">
        <w:t xml:space="preserve"> in </w:t>
      </w:r>
      <w:r w:rsidR="0045655E">
        <w:t>their results</w:t>
      </w:r>
      <w:r w:rsidR="008754F3" w:rsidRPr="008754F3">
        <w:t xml:space="preserve">. In </w:t>
      </w:r>
      <w:proofErr w:type="spellStart"/>
      <w:r w:rsidR="008754F3" w:rsidRPr="008754F3">
        <w:t>Zabaniotou</w:t>
      </w:r>
      <w:proofErr w:type="spellEnd"/>
      <w:r w:rsidR="008754F3" w:rsidRPr="008754F3">
        <w:t xml:space="preserve"> et al. (2008)</w:t>
      </w:r>
      <w:r w:rsidR="00612CA2">
        <w:t xml:space="preserve"> a study is carried out on the p</w:t>
      </w:r>
      <w:r w:rsidR="008754F3" w:rsidRPr="008754F3">
        <w:t xml:space="preserve">yrolysis of lignocellulosic material, this reaction is conducted without the presence of other oxidizing </w:t>
      </w:r>
      <w:r w:rsidR="0045655E">
        <w:t>agents</w:t>
      </w:r>
      <w:r w:rsidR="008754F3" w:rsidRPr="008754F3">
        <w:t xml:space="preserve"> in the system feed. Other routes that can be mentioned are steam reforming (biomass and water are fed t</w:t>
      </w:r>
      <w:r w:rsidR="008754F3">
        <w:t>o</w:t>
      </w:r>
      <w:r w:rsidR="008754F3" w:rsidRPr="008754F3">
        <w:t xml:space="preserve"> reactor), the partial oxidation reaction (atmospheric air or pure oxygen together with biomass are part of the reactor feed) and the autothermal reforming reaction (a direct combination of steam reforming and partial oxidation processes).</w:t>
      </w:r>
      <w:r w:rsidR="006C7661">
        <w:t xml:space="preserve"> </w:t>
      </w:r>
      <w:r w:rsidRPr="008754F3">
        <w:t xml:space="preserve">Thermochemical routes are reported as robust and flexible, since it can be used for different </w:t>
      </w:r>
      <w:r w:rsidR="0045655E">
        <w:t>types</w:t>
      </w:r>
      <w:r w:rsidRPr="008754F3">
        <w:t xml:space="preserve"> of </w:t>
      </w:r>
      <w:r w:rsidR="0045655E">
        <w:t>residual materials</w:t>
      </w:r>
      <w:r w:rsidRPr="008754F3">
        <w:t xml:space="preserve"> </w:t>
      </w:r>
      <w:r w:rsidR="006C7661" w:rsidRPr="008754F3">
        <w:t>(</w:t>
      </w:r>
      <w:proofErr w:type="spellStart"/>
      <w:r w:rsidR="006C7661" w:rsidRPr="008754F3">
        <w:t>Arregi</w:t>
      </w:r>
      <w:proofErr w:type="spellEnd"/>
      <w:r w:rsidR="006C7661" w:rsidRPr="008754F3">
        <w:t xml:space="preserve"> et al</w:t>
      </w:r>
      <w:r w:rsidR="00B55004">
        <w:t>.</w:t>
      </w:r>
      <w:r w:rsidR="006C7661" w:rsidRPr="008754F3">
        <w:t>, 2018)</w:t>
      </w:r>
      <w:r w:rsidRPr="008754F3">
        <w:t>.</w:t>
      </w:r>
    </w:p>
    <w:p w:rsidR="00B85A49" w:rsidRPr="00FD1FF7" w:rsidRDefault="001679AE" w:rsidP="00B85A49">
      <w:pPr>
        <w:pStyle w:val="CETBodytext"/>
      </w:pPr>
      <w:r w:rsidRPr="001679AE">
        <w:lastRenderedPageBreak/>
        <w:t xml:space="preserve">Understanding the thermal and reactional behavior of </w:t>
      </w:r>
      <w:r w:rsidR="002E02F6">
        <w:t>LB</w:t>
      </w:r>
      <w:r w:rsidRPr="001679AE">
        <w:t xml:space="preserve"> thermochemical transformation systems has not yet been completely elucidated, and within this scenario, thermodynamic analysis </w:t>
      </w:r>
      <w:r w:rsidR="0045655E">
        <w:t xml:space="preserve">of these systems </w:t>
      </w:r>
      <w:r w:rsidRPr="001679AE">
        <w:t xml:space="preserve">can contribute, elucidating the main aspects of the operational </w:t>
      </w:r>
      <w:r w:rsidR="001E0864">
        <w:t xml:space="preserve">and thermal behavior </w:t>
      </w:r>
      <w:r w:rsidRPr="001679AE">
        <w:t>of these systems</w:t>
      </w:r>
      <w:r w:rsidR="0045655E">
        <w:t xml:space="preserve"> during </w:t>
      </w:r>
      <w:r w:rsidR="00FD1FF7">
        <w:t>thermo chemical</w:t>
      </w:r>
      <w:r w:rsidR="0045655E">
        <w:t xml:space="preserve"> transformation</w:t>
      </w:r>
      <w:r w:rsidRPr="001679AE">
        <w:t>.</w:t>
      </w:r>
      <w:r w:rsidR="00FD1FF7">
        <w:t xml:space="preserve"> </w:t>
      </w:r>
      <w:r w:rsidR="006004AD">
        <w:rPr>
          <w:lang w:val="en-GB"/>
        </w:rPr>
        <w:t xml:space="preserve">In this way, </w:t>
      </w:r>
      <w:r w:rsidR="0045655E">
        <w:rPr>
          <w:lang w:val="en-GB"/>
        </w:rPr>
        <w:t>in</w:t>
      </w:r>
      <w:r w:rsidR="006004AD">
        <w:rPr>
          <w:lang w:val="en-GB"/>
        </w:rPr>
        <w:t xml:space="preserve"> this paper, </w:t>
      </w:r>
      <w:r w:rsidR="00B85A49">
        <w:rPr>
          <w:lang w:val="en-GB"/>
        </w:rPr>
        <w:t xml:space="preserve">optimization techniques were applied in </w:t>
      </w:r>
      <w:r w:rsidR="002E02F6" w:rsidRPr="00980330">
        <w:rPr>
          <w:i/>
          <w:iCs/>
          <w:lang w:val="en-GB"/>
        </w:rPr>
        <w:t>minG</w:t>
      </w:r>
      <w:r w:rsidR="008E7D59">
        <w:rPr>
          <w:lang w:val="en-GB"/>
        </w:rPr>
        <w:t xml:space="preserve"> (in order to simulate isothermal reactors)</w:t>
      </w:r>
      <w:r w:rsidR="00B85A49">
        <w:rPr>
          <w:lang w:val="en-GB"/>
        </w:rPr>
        <w:t xml:space="preserve"> and </w:t>
      </w:r>
      <w:r w:rsidR="002E02F6" w:rsidRPr="00980330">
        <w:rPr>
          <w:i/>
          <w:iCs/>
          <w:lang w:val="en-GB"/>
        </w:rPr>
        <w:t>maxS</w:t>
      </w:r>
      <w:r w:rsidR="00B85A49">
        <w:rPr>
          <w:lang w:val="en-GB"/>
        </w:rPr>
        <w:t xml:space="preserve"> </w:t>
      </w:r>
      <w:r w:rsidR="008E7D59">
        <w:rPr>
          <w:lang w:val="en-GB"/>
        </w:rPr>
        <w:t xml:space="preserve">(in order to simulate adiabatic reactors) </w:t>
      </w:r>
      <w:r w:rsidR="00B85A49">
        <w:rPr>
          <w:lang w:val="en-GB"/>
        </w:rPr>
        <w:t xml:space="preserve">models to perform a complete thermodynamic </w:t>
      </w:r>
      <w:r w:rsidR="008E7D59">
        <w:rPr>
          <w:lang w:val="en-GB"/>
        </w:rPr>
        <w:t>characterization</w:t>
      </w:r>
      <w:r w:rsidR="00B85A49">
        <w:rPr>
          <w:lang w:val="en-GB"/>
        </w:rPr>
        <w:t xml:space="preserve"> of </w:t>
      </w:r>
      <w:r w:rsidR="008E7D59">
        <w:rPr>
          <w:lang w:val="en-GB"/>
        </w:rPr>
        <w:t>different thermochemical routes</w:t>
      </w:r>
      <w:r w:rsidR="0045655E">
        <w:rPr>
          <w:lang w:val="en-GB"/>
        </w:rPr>
        <w:t xml:space="preserve">. </w:t>
      </w:r>
      <w:r w:rsidR="0045655E">
        <w:t>P</w:t>
      </w:r>
      <w:r w:rsidR="008E7D59">
        <w:t>yrolysis (PR), Supercritical water gasification (SCWG), steam reforming (SR), oxidative reforming (OR) and autothermal reforming (ATR)</w:t>
      </w:r>
      <w:r w:rsidR="0045655E">
        <w:t xml:space="preserve"> are thermodynamic characterized</w:t>
      </w:r>
      <w:r w:rsidR="008E7D59">
        <w:t xml:space="preserve"> aiming hydrogen production from </w:t>
      </w:r>
      <w:r w:rsidR="00C91797">
        <w:t>LB</w:t>
      </w:r>
      <w:r w:rsidR="008754F3">
        <w:t xml:space="preserve"> </w:t>
      </w:r>
      <w:r w:rsidR="008754F3" w:rsidRPr="008754F3">
        <w:t xml:space="preserve">with the aim of </w:t>
      </w:r>
      <w:r w:rsidR="0045655E">
        <w:t>understand</w:t>
      </w:r>
      <w:r w:rsidR="008754F3" w:rsidRPr="008754F3">
        <w:t xml:space="preserve"> the thermal and reaction behavior of these</w:t>
      </w:r>
      <w:r w:rsidR="0045655E">
        <w:t xml:space="preserve"> complex</w:t>
      </w:r>
      <w:r w:rsidR="008754F3" w:rsidRPr="008754F3">
        <w:t xml:space="preserve"> systems</w:t>
      </w:r>
      <w:r w:rsidR="00A71667">
        <w:rPr>
          <w:lang w:val="en-GB"/>
        </w:rPr>
        <w:t>.</w:t>
      </w:r>
    </w:p>
    <w:p w:rsidR="00A210F9" w:rsidRDefault="00A210F9" w:rsidP="00A210F9">
      <w:pPr>
        <w:pStyle w:val="CETHeading1"/>
      </w:pPr>
      <w:r>
        <w:t>Methodology</w:t>
      </w:r>
    </w:p>
    <w:p w:rsidR="00A210F9" w:rsidRPr="00A17DE7" w:rsidRDefault="005252BE" w:rsidP="00A210F9">
      <w:pPr>
        <w:pStyle w:val="CETBodytext"/>
        <w:rPr>
          <w:b/>
          <w:bCs/>
        </w:rPr>
      </w:pPr>
      <w:r w:rsidRPr="00A17DE7">
        <w:rPr>
          <w:b/>
          <w:bCs/>
        </w:rPr>
        <w:t>2.1. Isothermal reactors: formulation as a Gibbs energy minimization</w:t>
      </w:r>
      <w:r w:rsidR="002E02F6">
        <w:rPr>
          <w:b/>
          <w:bCs/>
        </w:rPr>
        <w:t xml:space="preserve"> (</w:t>
      </w:r>
      <w:r w:rsidR="002E02F6" w:rsidRPr="00980330">
        <w:rPr>
          <w:b/>
          <w:bCs/>
          <w:i/>
          <w:iCs/>
        </w:rPr>
        <w:t>minG</w:t>
      </w:r>
      <w:r w:rsidR="002E02F6">
        <w:rPr>
          <w:b/>
          <w:bCs/>
        </w:rPr>
        <w:t>)</w:t>
      </w:r>
      <w:r w:rsidRPr="00A17DE7">
        <w:rPr>
          <w:b/>
          <w:bCs/>
        </w:rPr>
        <w:t xml:space="preserve"> model</w:t>
      </w:r>
    </w:p>
    <w:p w:rsidR="00032F62" w:rsidRDefault="00606EF2" w:rsidP="00606EF2">
      <w:pPr>
        <w:pStyle w:val="CETBodytext"/>
      </w:pPr>
      <w:r>
        <w:t xml:space="preserve">The equilibrium composition can be determined for a system with multiple components and phases, for a system at conditions of constant pressure and temperature, by direct </w:t>
      </w:r>
      <w:r w:rsidR="002E02F6" w:rsidRPr="00980330">
        <w:rPr>
          <w:i/>
          <w:iCs/>
        </w:rPr>
        <w:t>minG</w:t>
      </w:r>
      <w:r>
        <w:t xml:space="preserve"> of the system considering the number of moles of each component in each phase. E</w:t>
      </w:r>
      <w:r w:rsidR="006606E1">
        <w:t>q</w:t>
      </w:r>
      <w:r>
        <w:t xml:space="preserve"> (1) represents this for a system considering the possible formation of a gas, a liquid and a solid phase (Freitas and Guirardello, 2014).</w:t>
      </w:r>
    </w:p>
    <w:tbl>
      <w:tblPr>
        <w:tblW w:w="5000" w:type="pct"/>
        <w:tblLook w:val="04A0"/>
      </w:tblPr>
      <w:tblGrid>
        <w:gridCol w:w="8188"/>
        <w:gridCol w:w="815"/>
      </w:tblGrid>
      <w:tr w:rsidR="00785C2C" w:rsidRPr="00B57B36" w:rsidTr="00367857">
        <w:tc>
          <w:tcPr>
            <w:tcW w:w="8188" w:type="dxa"/>
            <w:shd w:val="clear" w:color="auto" w:fill="auto"/>
            <w:vAlign w:val="center"/>
          </w:tcPr>
          <w:p w:rsidR="00785C2C" w:rsidRPr="00B57B36" w:rsidRDefault="005F7639" w:rsidP="00367857">
            <w:pPr>
              <w:pStyle w:val="CETEquation"/>
            </w:pPr>
            <m:oMathPara>
              <m:oMathParaPr>
                <m:jc m:val="left"/>
              </m:oMathParaPr>
              <m:oMath>
                <m:func>
                  <m:funcPr>
                    <m:ctrlPr>
                      <w:rPr>
                        <w:rFonts w:ascii="Cambria Math" w:hAnsi="Cambria Math"/>
                        <w:i/>
                      </w:rPr>
                    </m:ctrlPr>
                  </m:funcPr>
                  <m:fName>
                    <m:r>
                      <m:rPr>
                        <m:sty m:val="p"/>
                      </m:rPr>
                      <w:rPr>
                        <w:rFonts w:ascii="Cambria Math" w:hAnsi="Cambria Math"/>
                      </w:rPr>
                      <m:t>min</m:t>
                    </m:r>
                  </m:fName>
                  <m:e>
                    <m:r>
                      <w:rPr>
                        <w:rFonts w:ascii="Cambria Math" w:hAnsi="Cambria Math"/>
                      </w:rPr>
                      <m:t>G</m:t>
                    </m:r>
                  </m:e>
                </m:func>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g</m:t>
                        </m:r>
                      </m:sup>
                    </m:sSubSup>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g</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l</m:t>
                        </m:r>
                      </m:sup>
                    </m:sSubSup>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l</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s</m:t>
                        </m:r>
                      </m:sup>
                    </m:sSubSup>
                  </m:e>
                </m:nary>
              </m:oMath>
            </m:oMathPara>
          </w:p>
        </w:tc>
        <w:tc>
          <w:tcPr>
            <w:tcW w:w="815" w:type="dxa"/>
            <w:shd w:val="clear" w:color="auto" w:fill="auto"/>
            <w:vAlign w:val="center"/>
          </w:tcPr>
          <w:p w:rsidR="00785C2C" w:rsidRPr="004F6BAE" w:rsidRDefault="00785C2C" w:rsidP="00367857">
            <w:pPr>
              <w:pStyle w:val="CETEquation"/>
              <w:jc w:val="right"/>
              <w:rPr>
                <w:rFonts w:ascii="Cambria Math" w:hAnsi="Cambria Math"/>
              </w:rPr>
            </w:pPr>
            <w:r w:rsidRPr="004F6BAE">
              <w:rPr>
                <w:rFonts w:ascii="Cambria Math" w:hAnsi="Cambria Math"/>
              </w:rPr>
              <w:t>(1)</w:t>
            </w:r>
          </w:p>
        </w:tc>
      </w:tr>
    </w:tbl>
    <w:p w:rsidR="00606EF2" w:rsidRDefault="007922DC" w:rsidP="007922DC">
      <w:pPr>
        <w:pStyle w:val="CETBodytext"/>
      </w:pPr>
      <w:r>
        <w:t>The restrictions for the model are found in the non-negativity of the number of moles of each component in each phase and the balance of moles obtained by the atomic balance for reactive systems (Eq (</w:t>
      </w:r>
      <w:r w:rsidR="00F1267A">
        <w:t>2</w:t>
      </w:r>
      <w:r>
        <w:t>)).</w:t>
      </w:r>
    </w:p>
    <w:tbl>
      <w:tblPr>
        <w:tblW w:w="5000" w:type="pct"/>
        <w:tblLook w:val="04A0"/>
      </w:tblPr>
      <w:tblGrid>
        <w:gridCol w:w="8188"/>
        <w:gridCol w:w="815"/>
      </w:tblGrid>
      <w:tr w:rsidR="00D16142" w:rsidRPr="00B57B36" w:rsidTr="00367857">
        <w:tc>
          <w:tcPr>
            <w:tcW w:w="8188" w:type="dxa"/>
            <w:shd w:val="clear" w:color="auto" w:fill="auto"/>
            <w:vAlign w:val="center"/>
          </w:tcPr>
          <w:p w:rsidR="00D16142" w:rsidRPr="00B57B36" w:rsidRDefault="005F7639" w:rsidP="00367857">
            <w:pPr>
              <w:pStyle w:val="CETEquation"/>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
                      <m:sSubPr>
                        <m:ctrlPr>
                          <w:rPr>
                            <w:rFonts w:ascii="Cambria Math" w:hAnsi="Cambria Math"/>
                            <w:i/>
                          </w:rPr>
                        </m:ctrlPr>
                      </m:sSubPr>
                      <m:e>
                        <m:r>
                          <w:rPr>
                            <w:rFonts w:ascii="Cambria Math" w:hAnsi="Cambria Math"/>
                          </w:rPr>
                          <m:t>a</m:t>
                        </m:r>
                      </m:e>
                      <m:sub>
                        <m:r>
                          <w:rPr>
                            <w:rFonts w:ascii="Cambria Math" w:hAnsi="Cambria Math"/>
                          </w:rPr>
                          <m:t>mi</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g</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e>
                    </m:d>
                    <m:r>
                      <w:rPr>
                        <w:rFonts w:ascii="Cambria Math" w:hAnsi="Cambria Math"/>
                      </w:rPr>
                      <m:t>=</m:t>
                    </m:r>
                  </m:e>
                </m:nary>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
                      <m:sSubPr>
                        <m:ctrlPr>
                          <w:rPr>
                            <w:rFonts w:ascii="Cambria Math" w:hAnsi="Cambria Math"/>
                            <w:i/>
                          </w:rPr>
                        </m:ctrlPr>
                      </m:sSubPr>
                      <m:e>
                        <m:r>
                          <w:rPr>
                            <w:rFonts w:ascii="Cambria Math" w:hAnsi="Cambria Math"/>
                          </w:rPr>
                          <m:t>a</m:t>
                        </m:r>
                      </m:e>
                      <m:sub>
                        <m:r>
                          <w:rPr>
                            <w:rFonts w:ascii="Cambria Math" w:hAnsi="Cambria Math"/>
                          </w:rPr>
                          <m:t>mi</m:t>
                        </m:r>
                      </m:sub>
                    </m:sSub>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0</m:t>
                        </m:r>
                      </m:sup>
                    </m:sSubSup>
                  </m:e>
                </m:nary>
                <m:r>
                  <w:rPr>
                    <w:rFonts w:ascii="Cambria Math" w:hAnsi="Cambria Math"/>
                  </w:rPr>
                  <m:t xml:space="preserve">,            </m:t>
                </m:r>
                <m:r>
                  <w:rPr>
                    <w:rFonts w:ascii="Cambria Math" w:hAnsi="Cambria Math"/>
                  </w:rPr>
                  <m:t>m</m:t>
                </m:r>
                <m:r>
                  <w:rPr>
                    <w:rFonts w:ascii="Cambria Math" w:hAnsi="Cambria Math"/>
                  </w:rPr>
                  <m:t>=1,…,</m:t>
                </m:r>
                <m:r>
                  <w:rPr>
                    <w:rFonts w:ascii="Cambria Math" w:hAnsi="Cambria Math"/>
                  </w:rPr>
                  <m:t>NE</m:t>
                </m:r>
                <m:r>
                  <w:rPr>
                    <w:rFonts w:ascii="Cambria Math" w:hAnsi="Cambria Math"/>
                  </w:rPr>
                  <m:t xml:space="preserve">,    </m:t>
                </m:r>
                <m:sSubSup>
                  <m:sSubSupPr>
                    <m:ctrlPr>
                      <w:rPr>
                        <w:rFonts w:ascii="Cambria Math" w:hAnsi="Cambria Math"/>
                        <w:i/>
                      </w:rPr>
                    </m:ctrlPr>
                  </m:sSubSupPr>
                  <m:e>
                    <m:r>
                      <w:rPr>
                        <w:rFonts w:ascii="Cambria Math" w:hAnsi="Cambria Math"/>
                      </w:rPr>
                      <m:t xml:space="preserve">           n</m:t>
                    </m:r>
                  </m:e>
                  <m:sub>
                    <m:r>
                      <w:rPr>
                        <w:rFonts w:ascii="Cambria Math" w:hAnsi="Cambria Math"/>
                      </w:rPr>
                      <m:t>i</m:t>
                    </m:r>
                  </m:sub>
                  <m:sup>
                    <m:r>
                      <w:rPr>
                        <w:rFonts w:ascii="Cambria Math" w:hAnsi="Cambria Math"/>
                      </w:rPr>
                      <m:t>g</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r>
                  <w:rPr>
                    <w:rFonts w:ascii="Cambria Math" w:hAnsi="Cambria Math"/>
                  </w:rPr>
                  <m:t>≥0</m:t>
                </m:r>
              </m:oMath>
            </m:oMathPara>
          </w:p>
        </w:tc>
        <w:tc>
          <w:tcPr>
            <w:tcW w:w="815" w:type="dxa"/>
            <w:shd w:val="clear" w:color="auto" w:fill="auto"/>
            <w:vAlign w:val="center"/>
          </w:tcPr>
          <w:p w:rsidR="00D16142" w:rsidRPr="004F6BAE" w:rsidRDefault="00D16142" w:rsidP="00367857">
            <w:pPr>
              <w:pStyle w:val="CETEquation"/>
              <w:jc w:val="right"/>
              <w:rPr>
                <w:rFonts w:ascii="Cambria Math" w:hAnsi="Cambria Math"/>
              </w:rPr>
            </w:pPr>
            <w:r>
              <w:rPr>
                <w:rFonts w:ascii="Cambria Math" w:hAnsi="Cambria Math"/>
              </w:rPr>
              <w:t>(2</w:t>
            </w:r>
            <w:r w:rsidRPr="004F6BAE">
              <w:rPr>
                <w:rFonts w:ascii="Cambria Math" w:hAnsi="Cambria Math"/>
              </w:rPr>
              <w:t>)</w:t>
            </w:r>
          </w:p>
        </w:tc>
      </w:tr>
    </w:tbl>
    <w:p w:rsidR="007922DC" w:rsidRDefault="00A80767" w:rsidP="00A80767">
      <w:pPr>
        <w:pStyle w:val="CETBodytext"/>
      </w:pPr>
      <w:r>
        <w:t xml:space="preserve">The </w:t>
      </w:r>
      <w:r w:rsidR="002E02F6" w:rsidRPr="00980330">
        <w:rPr>
          <w:i/>
          <w:iCs/>
        </w:rPr>
        <w:t>minG</w:t>
      </w:r>
      <w:r>
        <w:t xml:space="preserve"> was calculated considering that the components were only on gaseous phase and there was only coke formation (represent as pure carbon) in solid phase. These considerations were used in previous research with good results</w:t>
      </w:r>
      <w:r w:rsidR="00BD7798">
        <w:t xml:space="preserve"> (d</w:t>
      </w:r>
      <w:r w:rsidR="00ED0FA5">
        <w:t>os Santos et al., 2021)</w:t>
      </w:r>
      <w:r>
        <w:t>. Eq (</w:t>
      </w:r>
      <w:r w:rsidR="00F1267A">
        <w:t>3</w:t>
      </w:r>
      <w:r>
        <w:t>) represents the Gibbs energy with these considerations.</w:t>
      </w:r>
    </w:p>
    <w:tbl>
      <w:tblPr>
        <w:tblW w:w="5000" w:type="pct"/>
        <w:tblLook w:val="04A0"/>
      </w:tblPr>
      <w:tblGrid>
        <w:gridCol w:w="8188"/>
        <w:gridCol w:w="815"/>
      </w:tblGrid>
      <w:tr w:rsidR="006501BB" w:rsidRPr="00B57B36" w:rsidTr="008C1006">
        <w:tc>
          <w:tcPr>
            <w:tcW w:w="8188" w:type="dxa"/>
            <w:shd w:val="clear" w:color="auto" w:fill="auto"/>
            <w:vAlign w:val="center"/>
          </w:tcPr>
          <w:p w:rsidR="006501BB" w:rsidRPr="00B57B36" w:rsidRDefault="006501BB" w:rsidP="00DC62F5">
            <w:pPr>
              <w:pStyle w:val="CETEquation"/>
            </w:pPr>
            <m:oMathPara>
              <m:oMathParaPr>
                <m:jc m:val="left"/>
              </m:oMathParaPr>
              <m:oMath>
                <m:r>
                  <w:rPr>
                    <w:rFonts w:ascii="Cambria Math" w:hAnsi="Cambria Math"/>
                  </w:rPr>
                  <m:t>G=</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g</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g</m:t>
                            </m:r>
                          </m:sup>
                        </m:sSubSup>
                        <m:r>
                          <w:rPr>
                            <w:rFonts w:ascii="Cambria Math" w:hAnsi="Cambria Math"/>
                          </w:rPr>
                          <m:t>+RT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P</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y</m:t>
                                    </m:r>
                                  </m:e>
                                  <m:sub>
                                    <m:r>
                                      <w:rPr>
                                        <w:rFonts w:ascii="Cambria Math" w:hAnsi="Cambria Math"/>
                                      </w:rPr>
                                      <m:t>i</m:t>
                                    </m:r>
                                  </m:sub>
                                </m:sSub>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i</m:t>
                                    </m:r>
                                  </m:sub>
                                </m:sSub>
                              </m:e>
                            </m:func>
                          </m:e>
                        </m:d>
                      </m:e>
                    </m:d>
                  </m:e>
                </m:nary>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(s)</m:t>
                        </m:r>
                      </m:sub>
                    </m:sSub>
                  </m:sub>
                </m:sSub>
                <m:sSub>
                  <m:sSubPr>
                    <m:ctrlPr>
                      <w:rPr>
                        <w:rFonts w:ascii="Cambria Math" w:hAnsi="Cambria Math"/>
                        <w:i/>
                      </w:rPr>
                    </m:ctrlPr>
                  </m:sSubPr>
                  <m:e>
                    <m:r>
                      <w:rPr>
                        <w:rFonts w:ascii="Cambria Math" w:hAnsi="Cambria Math"/>
                      </w:rPr>
                      <m:t>μ</m:t>
                    </m:r>
                  </m:e>
                  <m:sub>
                    <m:sSub>
                      <m:sSubPr>
                        <m:ctrlPr>
                          <w:rPr>
                            <w:rFonts w:ascii="Cambria Math" w:hAnsi="Cambria Math"/>
                            <w:i/>
                          </w:rPr>
                        </m:ctrlPr>
                      </m:sSubPr>
                      <m:e>
                        <m:r>
                          <w:rPr>
                            <w:rFonts w:ascii="Cambria Math" w:hAnsi="Cambria Math"/>
                          </w:rPr>
                          <m:t>C</m:t>
                        </m:r>
                      </m:e>
                      <m:sub>
                        <m:r>
                          <w:rPr>
                            <w:rFonts w:ascii="Cambria Math" w:hAnsi="Cambria Math"/>
                          </w:rPr>
                          <m:t>(s)</m:t>
                        </m:r>
                      </m:sub>
                    </m:sSub>
                  </m:sub>
                </m:sSub>
              </m:oMath>
            </m:oMathPara>
          </w:p>
        </w:tc>
        <w:tc>
          <w:tcPr>
            <w:tcW w:w="815" w:type="dxa"/>
            <w:shd w:val="clear" w:color="auto" w:fill="auto"/>
            <w:vAlign w:val="center"/>
          </w:tcPr>
          <w:p w:rsidR="006501BB" w:rsidRPr="004F6BAE" w:rsidRDefault="006501BB" w:rsidP="008C1006">
            <w:pPr>
              <w:pStyle w:val="CETEquation"/>
              <w:jc w:val="right"/>
              <w:rPr>
                <w:rFonts w:ascii="Cambria Math" w:hAnsi="Cambria Math"/>
              </w:rPr>
            </w:pPr>
            <w:r>
              <w:rPr>
                <w:rFonts w:ascii="Cambria Math" w:hAnsi="Cambria Math"/>
              </w:rPr>
              <w:t>(3</w:t>
            </w:r>
            <w:r w:rsidRPr="004F6BAE">
              <w:rPr>
                <w:rFonts w:ascii="Cambria Math" w:hAnsi="Cambria Math"/>
              </w:rPr>
              <w:t>)</w:t>
            </w:r>
          </w:p>
        </w:tc>
      </w:tr>
    </w:tbl>
    <w:p w:rsidR="00ED0FA5" w:rsidRDefault="00ED0FA5" w:rsidP="00ED0FA5">
      <w:pPr>
        <w:pStyle w:val="CETBodytext"/>
      </w:pPr>
      <w:r>
        <w:t>Non-ideality was represented by the fugacity coefficient, calculated by truncated virial state equations in the second coefficient. The equation for the second virial coefficient was based on Pitzer’s</w:t>
      </w:r>
      <w:r w:rsidR="006E34D0">
        <w:t xml:space="preserve"> (Pitzer et al., 1955)</w:t>
      </w:r>
      <w:r>
        <w:t xml:space="preserve"> correlation modified by Tsonopoulos </w:t>
      </w:r>
      <w:r w:rsidR="006E34D0">
        <w:t>(1974)</w:t>
      </w:r>
      <w:r>
        <w:t>. The equation is shown as Eq (</w:t>
      </w:r>
      <w:r w:rsidR="00F1267A">
        <w:t>4</w:t>
      </w:r>
      <w:r>
        <w:t>).</w:t>
      </w:r>
      <w:r w:rsidR="006E34D0">
        <w:t xml:space="preserve"> These combination</w:t>
      </w:r>
      <w:r w:rsidR="00677BC0">
        <w:t xml:space="preserve"> of thermodynamic formulation and equation of state</w:t>
      </w:r>
      <w:r w:rsidR="006E34D0">
        <w:t xml:space="preserve"> was used previously with good results for reforming systems as reported in Freitas and Guirardello (2014).</w:t>
      </w:r>
    </w:p>
    <w:tbl>
      <w:tblPr>
        <w:tblW w:w="5000" w:type="pct"/>
        <w:tblLook w:val="04A0"/>
      </w:tblPr>
      <w:tblGrid>
        <w:gridCol w:w="8188"/>
        <w:gridCol w:w="815"/>
      </w:tblGrid>
      <w:tr w:rsidR="00BB4127" w:rsidRPr="00B57B36" w:rsidTr="00296CE7">
        <w:tc>
          <w:tcPr>
            <w:tcW w:w="8188" w:type="dxa"/>
            <w:shd w:val="clear" w:color="auto" w:fill="auto"/>
            <w:vAlign w:val="center"/>
          </w:tcPr>
          <w:p w:rsidR="00BB4127" w:rsidRPr="00B57B36" w:rsidRDefault="005F7639" w:rsidP="00296CE7">
            <w:pPr>
              <w:pStyle w:val="CETEquation"/>
            </w:pPr>
            <m:oMathPara>
              <m:oMathParaPr>
                <m:jc m:val="left"/>
              </m:oMathParaPr>
              <m:oMath>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i</m:t>
                        </m:r>
                      </m:sub>
                    </m:sSub>
                  </m:e>
                </m:func>
                <m:r>
                  <w:rPr>
                    <w:rFonts w:ascii="Cambria Math" w:hAnsi="Cambria Math"/>
                  </w:rPr>
                  <m:t>=</m:t>
                </m:r>
                <m:d>
                  <m:dPr>
                    <m:begChr m:val="["/>
                    <m:endChr m:val="]"/>
                    <m:ctrlPr>
                      <w:rPr>
                        <w:rFonts w:ascii="Cambria Math" w:hAnsi="Cambria Math"/>
                        <w:i/>
                      </w:rPr>
                    </m:ctrlPr>
                  </m:dPr>
                  <m:e>
                    <m:r>
                      <w:rPr>
                        <w:rFonts w:ascii="Cambria Math" w:hAnsi="Cambria Math"/>
                      </w:rPr>
                      <m:t>2</m:t>
                    </m:r>
                    <m:nary>
                      <m:naryPr>
                        <m:chr m:val="∑"/>
                        <m:limLoc m:val="undOvr"/>
                        <m:ctrlPr>
                          <w:rPr>
                            <w:rFonts w:ascii="Cambria Math" w:hAnsi="Cambria Math"/>
                            <w:i/>
                          </w:rPr>
                        </m:ctrlPr>
                      </m:naryPr>
                      <m:sub>
                        <m:r>
                          <w:rPr>
                            <w:rFonts w:ascii="Cambria Math" w:hAnsi="Cambria Math"/>
                          </w:rPr>
                          <m:t>j</m:t>
                        </m:r>
                      </m:sub>
                      <m:sup>
                        <m:r>
                          <w:rPr>
                            <w:rFonts w:ascii="Cambria Math" w:hAnsi="Cambria Math"/>
                          </w:rPr>
                          <m:t>m</m:t>
                        </m:r>
                      </m:sup>
                      <m:e>
                        <m:sSub>
                          <m:sSubPr>
                            <m:ctrlPr>
                              <w:rPr>
                                <w:rFonts w:ascii="Cambria Math" w:hAnsi="Cambria Math"/>
                                <w:i/>
                              </w:rPr>
                            </m:ctrlPr>
                          </m:sSubPr>
                          <m:e>
                            <m:r>
                              <w:rPr>
                                <w:rFonts w:ascii="Cambria Math" w:hAnsi="Cambria Math"/>
                              </w:rPr>
                              <m:t>y</m:t>
                            </m:r>
                          </m:e>
                          <m:sub>
                            <m:r>
                              <w:rPr>
                                <w:rFonts w:ascii="Cambria Math" w:hAnsi="Cambria Math"/>
                              </w:rPr>
                              <m:t>j</m:t>
                            </m:r>
                          </m:sub>
                        </m:sSub>
                        <m:sSub>
                          <m:sSubPr>
                            <m:ctrlPr>
                              <w:rPr>
                                <w:rFonts w:ascii="Cambria Math" w:hAnsi="Cambria Math"/>
                                <w:i/>
                              </w:rPr>
                            </m:ctrlPr>
                          </m:sSubPr>
                          <m:e>
                            <m:r>
                              <w:rPr>
                                <w:rFonts w:ascii="Cambria Math" w:hAnsi="Cambria Math"/>
                              </w:rPr>
                              <m:t>B</m:t>
                            </m:r>
                          </m:e>
                          <m:sub>
                            <m:r>
                              <w:rPr>
                                <w:rFonts w:ascii="Cambria Math" w:hAnsi="Cambria Math"/>
                              </w:rPr>
                              <m:t>ij</m:t>
                            </m:r>
                          </m:sub>
                        </m:sSub>
                        <m:r>
                          <w:rPr>
                            <w:rFonts w:ascii="Cambria Math" w:hAnsi="Cambria Math"/>
                          </w:rPr>
                          <m:t>-B</m:t>
                        </m:r>
                      </m:e>
                    </m:nary>
                  </m:e>
                </m:d>
                <m:f>
                  <m:fPr>
                    <m:ctrlPr>
                      <w:rPr>
                        <w:rFonts w:ascii="Cambria Math" w:hAnsi="Cambria Math"/>
                        <w:i/>
                      </w:rPr>
                    </m:ctrlPr>
                  </m:fPr>
                  <m:num>
                    <m:r>
                      <w:rPr>
                        <w:rFonts w:ascii="Cambria Math" w:hAnsi="Cambria Math"/>
                      </w:rPr>
                      <m:t>P</m:t>
                    </m:r>
                  </m:num>
                  <m:den>
                    <m:r>
                      <w:rPr>
                        <w:rFonts w:ascii="Cambria Math" w:hAnsi="Cambria Math"/>
                      </w:rPr>
                      <m:t>RT</m:t>
                    </m:r>
                  </m:den>
                </m:f>
              </m:oMath>
            </m:oMathPara>
          </w:p>
        </w:tc>
        <w:tc>
          <w:tcPr>
            <w:tcW w:w="815" w:type="dxa"/>
            <w:shd w:val="clear" w:color="auto" w:fill="auto"/>
            <w:vAlign w:val="center"/>
          </w:tcPr>
          <w:p w:rsidR="00BB4127" w:rsidRPr="004F6BAE" w:rsidRDefault="00BB4127" w:rsidP="00296CE7">
            <w:pPr>
              <w:pStyle w:val="CETEquation"/>
              <w:jc w:val="right"/>
              <w:rPr>
                <w:rFonts w:ascii="Cambria Math" w:hAnsi="Cambria Math"/>
              </w:rPr>
            </w:pPr>
            <w:r>
              <w:rPr>
                <w:rFonts w:ascii="Cambria Math" w:hAnsi="Cambria Math"/>
              </w:rPr>
              <w:t>(4</w:t>
            </w:r>
            <w:r w:rsidRPr="004F6BAE">
              <w:rPr>
                <w:rFonts w:ascii="Cambria Math" w:hAnsi="Cambria Math"/>
              </w:rPr>
              <w:t>)</w:t>
            </w:r>
          </w:p>
        </w:tc>
      </w:tr>
    </w:tbl>
    <w:p w:rsidR="005252BE" w:rsidRDefault="005252BE" w:rsidP="00A210F9">
      <w:pPr>
        <w:pStyle w:val="CETBodytext"/>
        <w:rPr>
          <w:b/>
          <w:bCs/>
        </w:rPr>
      </w:pPr>
      <w:r w:rsidRPr="00A17DE7">
        <w:rPr>
          <w:b/>
          <w:bCs/>
        </w:rPr>
        <w:t>2.2. Adiabatic reactors: formulation as a</w:t>
      </w:r>
      <w:r w:rsidR="00032F62" w:rsidRPr="00A17DE7">
        <w:rPr>
          <w:b/>
          <w:bCs/>
        </w:rPr>
        <w:t>n</w:t>
      </w:r>
      <w:r w:rsidRPr="00A17DE7">
        <w:rPr>
          <w:b/>
          <w:bCs/>
        </w:rPr>
        <w:t xml:space="preserve"> </w:t>
      </w:r>
      <w:r w:rsidR="00032F62" w:rsidRPr="00A17DE7">
        <w:rPr>
          <w:b/>
          <w:bCs/>
        </w:rPr>
        <w:t>entropy maximization</w:t>
      </w:r>
      <w:r w:rsidR="002E02F6">
        <w:rPr>
          <w:b/>
          <w:bCs/>
        </w:rPr>
        <w:t xml:space="preserve"> (</w:t>
      </w:r>
      <w:r w:rsidR="002E02F6" w:rsidRPr="00980330">
        <w:rPr>
          <w:b/>
          <w:bCs/>
          <w:i/>
          <w:iCs/>
        </w:rPr>
        <w:t>maxS</w:t>
      </w:r>
      <w:r w:rsidR="002E02F6">
        <w:rPr>
          <w:b/>
          <w:bCs/>
        </w:rPr>
        <w:t>)</w:t>
      </w:r>
      <w:r w:rsidR="00032F62" w:rsidRPr="00A17DE7">
        <w:rPr>
          <w:b/>
          <w:bCs/>
        </w:rPr>
        <w:t xml:space="preserve"> model</w:t>
      </w:r>
    </w:p>
    <w:p w:rsidR="00B561CC" w:rsidRDefault="00B561CC" w:rsidP="00B561CC">
      <w:pPr>
        <w:pStyle w:val="CETBodytext"/>
      </w:pPr>
      <w:r w:rsidRPr="00B561CC">
        <w:t>Thermodynamic equilibrium can also be studied by maximizing the entropy of the system at constant pressure and enthalpy as presented in Eq (</w:t>
      </w:r>
      <w:r w:rsidR="00F1267A">
        <w:t>5</w:t>
      </w:r>
      <w:r w:rsidRPr="00B561CC">
        <w:t>).</w:t>
      </w:r>
    </w:p>
    <w:tbl>
      <w:tblPr>
        <w:tblW w:w="5000" w:type="pct"/>
        <w:tblLook w:val="04A0"/>
      </w:tblPr>
      <w:tblGrid>
        <w:gridCol w:w="8188"/>
        <w:gridCol w:w="815"/>
      </w:tblGrid>
      <w:tr w:rsidR="000E485B" w:rsidRPr="00B57B36" w:rsidTr="00296CE7">
        <w:tc>
          <w:tcPr>
            <w:tcW w:w="8188" w:type="dxa"/>
            <w:shd w:val="clear" w:color="auto" w:fill="auto"/>
            <w:vAlign w:val="center"/>
          </w:tcPr>
          <w:p w:rsidR="000E485B" w:rsidRPr="00B57B36" w:rsidRDefault="005F7639" w:rsidP="00296CE7">
            <w:pPr>
              <w:pStyle w:val="CETEquation"/>
            </w:pPr>
            <m:oMathPara>
              <m:oMathParaPr>
                <m:jc m:val="left"/>
              </m:oMathParaPr>
              <m:oMath>
                <m:func>
                  <m:funcPr>
                    <m:ctrlPr>
                      <w:rPr>
                        <w:rFonts w:ascii="Cambria Math" w:hAnsi="Cambria Math"/>
                        <w:i/>
                      </w:rPr>
                    </m:ctrlPr>
                  </m:funcPr>
                  <m:fName>
                    <m:r>
                      <m:rPr>
                        <m:sty m:val="p"/>
                      </m:rPr>
                      <w:rPr>
                        <w:rFonts w:ascii="Cambria Math" w:hAnsi="Cambria Math"/>
                      </w:rPr>
                      <m:t>max</m:t>
                    </m:r>
                  </m:fName>
                  <m:e>
                    <m:r>
                      <w:rPr>
                        <w:rFonts w:ascii="Cambria Math" w:hAnsi="Cambria Math"/>
                      </w:rPr>
                      <m:t>S</m:t>
                    </m:r>
                  </m:e>
                </m:func>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g</m:t>
                        </m:r>
                      </m:sup>
                    </m:sSubSup>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g</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l</m:t>
                        </m:r>
                      </m:sup>
                    </m:sSubSup>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l</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m:t>
                        </m:r>
                      </m:sup>
                    </m:sSubSup>
                  </m:e>
                </m:nary>
              </m:oMath>
            </m:oMathPara>
          </w:p>
        </w:tc>
        <w:tc>
          <w:tcPr>
            <w:tcW w:w="815" w:type="dxa"/>
            <w:shd w:val="clear" w:color="auto" w:fill="auto"/>
            <w:vAlign w:val="center"/>
          </w:tcPr>
          <w:p w:rsidR="000E485B" w:rsidRPr="004F6BAE" w:rsidRDefault="000E485B" w:rsidP="00296CE7">
            <w:pPr>
              <w:pStyle w:val="CETEquation"/>
              <w:jc w:val="right"/>
              <w:rPr>
                <w:rFonts w:ascii="Cambria Math" w:hAnsi="Cambria Math"/>
              </w:rPr>
            </w:pPr>
            <w:r>
              <w:rPr>
                <w:rFonts w:ascii="Cambria Math" w:hAnsi="Cambria Math"/>
              </w:rPr>
              <w:t>(5</w:t>
            </w:r>
            <w:r w:rsidRPr="004F6BAE">
              <w:rPr>
                <w:rFonts w:ascii="Cambria Math" w:hAnsi="Cambria Math"/>
              </w:rPr>
              <w:t>)</w:t>
            </w:r>
          </w:p>
        </w:tc>
      </w:tr>
    </w:tbl>
    <w:p w:rsidR="00A20DC6" w:rsidRDefault="00A20DC6" w:rsidP="00A20DC6">
      <w:pPr>
        <w:pStyle w:val="CETBodytext"/>
      </w:pPr>
      <w:r w:rsidRPr="00A20DC6">
        <w:t xml:space="preserve">The restrictions </w:t>
      </w:r>
      <w:r>
        <w:t xml:space="preserve">for non-negativity of number of moles and atom balance </w:t>
      </w:r>
      <w:r w:rsidRPr="00A20DC6">
        <w:t xml:space="preserve">(Eq (2)) are </w:t>
      </w:r>
      <w:r w:rsidR="00890CF5">
        <w:t xml:space="preserve">also </w:t>
      </w:r>
      <w:r>
        <w:t>necessary</w:t>
      </w:r>
      <w:r w:rsidRPr="00A20DC6">
        <w:t xml:space="preserve"> for the </w:t>
      </w:r>
      <w:r w:rsidR="002E02F6" w:rsidRPr="00980330">
        <w:rPr>
          <w:i/>
          <w:iCs/>
        </w:rPr>
        <w:t>maxS</w:t>
      </w:r>
      <w:r w:rsidRPr="00A20DC6">
        <w:t xml:space="preserve"> model, with the conservation of enthalpy and </w:t>
      </w:r>
      <w:r w:rsidR="00890CF5">
        <w:t xml:space="preserve">the </w:t>
      </w:r>
      <w:r w:rsidRPr="00A20DC6">
        <w:t xml:space="preserve">non-negativity </w:t>
      </w:r>
      <w:r w:rsidR="00890CF5">
        <w:t xml:space="preserve">of </w:t>
      </w:r>
      <w:r w:rsidRPr="00A20DC6">
        <w:t>temperature</w:t>
      </w:r>
      <w:r>
        <w:t xml:space="preserve">, represented in </w:t>
      </w:r>
      <w:r w:rsidRPr="00A20DC6">
        <w:t>Eq (</w:t>
      </w:r>
      <w:r w:rsidR="00F1267A">
        <w:t>6).</w:t>
      </w:r>
    </w:p>
    <w:tbl>
      <w:tblPr>
        <w:tblW w:w="5000" w:type="pct"/>
        <w:tblLook w:val="04A0"/>
      </w:tblPr>
      <w:tblGrid>
        <w:gridCol w:w="8188"/>
        <w:gridCol w:w="815"/>
      </w:tblGrid>
      <w:tr w:rsidR="00612CA2" w:rsidRPr="00B57B36" w:rsidTr="00296CE7">
        <w:tc>
          <w:tcPr>
            <w:tcW w:w="8188" w:type="dxa"/>
            <w:shd w:val="clear" w:color="auto" w:fill="auto"/>
            <w:vAlign w:val="center"/>
          </w:tcPr>
          <w:p w:rsidR="00612CA2" w:rsidRPr="00B57B36" w:rsidRDefault="005F7639" w:rsidP="00296CE7">
            <w:pPr>
              <w:pStyle w:val="CETEquation"/>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g</m:t>
                            </m:r>
                          </m:sup>
                        </m:sSubSup>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g</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l</m:t>
                            </m:r>
                          </m:sup>
                        </m:sSubSup>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s</m:t>
                            </m:r>
                          </m:sup>
                        </m:sSubSup>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0</m:t>
                        </m:r>
                      </m:sup>
                    </m:sSubSup>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0</m:t>
                        </m:r>
                      </m:sup>
                    </m:sSubSup>
                  </m:e>
                </m:nary>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0</m:t>
                    </m:r>
                  </m:sup>
                </m:sSup>
                <m:r>
                  <w:rPr>
                    <w:rFonts w:ascii="Cambria Math" w:hAnsi="Cambria Math"/>
                  </w:rPr>
                  <m:t xml:space="preserve">      ,             </m:t>
                </m:r>
                <m:r>
                  <w:rPr>
                    <w:rFonts w:ascii="Cambria Math" w:hAnsi="Cambria Math"/>
                  </w:rPr>
                  <m:t>T</m:t>
                </m:r>
                <m:r>
                  <w:rPr>
                    <w:rFonts w:ascii="Cambria Math" w:hAnsi="Cambria Math"/>
                  </w:rPr>
                  <m:t>≥0</m:t>
                </m:r>
              </m:oMath>
            </m:oMathPara>
          </w:p>
        </w:tc>
        <w:tc>
          <w:tcPr>
            <w:tcW w:w="815" w:type="dxa"/>
            <w:shd w:val="clear" w:color="auto" w:fill="auto"/>
            <w:vAlign w:val="center"/>
          </w:tcPr>
          <w:p w:rsidR="00612CA2" w:rsidRPr="004F6BAE" w:rsidRDefault="00612CA2" w:rsidP="00296CE7">
            <w:pPr>
              <w:pStyle w:val="CETEquation"/>
              <w:jc w:val="right"/>
              <w:rPr>
                <w:rFonts w:ascii="Cambria Math" w:hAnsi="Cambria Math"/>
              </w:rPr>
            </w:pPr>
            <w:r>
              <w:rPr>
                <w:rFonts w:ascii="Cambria Math" w:hAnsi="Cambria Math"/>
              </w:rPr>
              <w:t>(6</w:t>
            </w:r>
            <w:r w:rsidRPr="004F6BAE">
              <w:rPr>
                <w:rFonts w:ascii="Cambria Math" w:hAnsi="Cambria Math"/>
              </w:rPr>
              <w:t>)</w:t>
            </w:r>
          </w:p>
        </w:tc>
      </w:tr>
    </w:tbl>
    <w:p w:rsidR="00B9541B" w:rsidRDefault="00656259" w:rsidP="00A20DC6">
      <w:pPr>
        <w:pStyle w:val="CETBodytext"/>
      </w:pPr>
      <w:r>
        <w:t>In this model, the non-ideality of the vapor phase was also considered through the use of the virial equation, by calculating the fugacity coefficient through Eq (</w:t>
      </w:r>
      <w:r w:rsidR="00F1267A">
        <w:t>4</w:t>
      </w:r>
      <w:r>
        <w:t>).</w:t>
      </w:r>
      <w:r w:rsidR="00427501">
        <w:t xml:space="preserve"> Both models are co</w:t>
      </w:r>
      <w:r w:rsidR="00F6202F">
        <w:t>mpared with experimental data from</w:t>
      </w:r>
      <w:r w:rsidR="00427501">
        <w:t xml:space="preserve"> previous papers</w:t>
      </w:r>
      <w:r w:rsidR="00F6202F">
        <w:t>,</w:t>
      </w:r>
      <w:r w:rsidR="00427501">
        <w:t xml:space="preserve"> with </w:t>
      </w:r>
      <w:r w:rsidR="00F6202F">
        <w:t>very good</w:t>
      </w:r>
      <w:r w:rsidR="00427501">
        <w:t xml:space="preserve"> </w:t>
      </w:r>
      <w:r w:rsidR="00F6202F">
        <w:t>result</w:t>
      </w:r>
      <w:r w:rsidR="00427501">
        <w:t>s (Freitas and Guirardello, 2014).</w:t>
      </w:r>
    </w:p>
    <w:p w:rsidR="0055156A" w:rsidRPr="0055156A" w:rsidRDefault="0055156A" w:rsidP="00B402B3">
      <w:pPr>
        <w:pStyle w:val="CETBodytext"/>
        <w:rPr>
          <w:b/>
          <w:bCs/>
        </w:rPr>
      </w:pPr>
      <w:r w:rsidRPr="0055156A">
        <w:rPr>
          <w:b/>
          <w:bCs/>
        </w:rPr>
        <w:lastRenderedPageBreak/>
        <w:t>2.3. Thermodynamic anal</w:t>
      </w:r>
      <w:r>
        <w:rPr>
          <w:b/>
          <w:bCs/>
        </w:rPr>
        <w:t>ysis conditions</w:t>
      </w:r>
    </w:p>
    <w:p w:rsidR="006A392B" w:rsidRDefault="00B402B3" w:rsidP="00B402B3">
      <w:pPr>
        <w:pStyle w:val="CETBodytext"/>
      </w:pPr>
      <w:r>
        <w:t>The models used perform simultaneous chemical and phase equilibrium calculations and are</w:t>
      </w:r>
      <w:r w:rsidR="00F6620F">
        <w:t xml:space="preserve"> formulated as </w:t>
      </w:r>
      <w:r>
        <w:t>non-linear programming problem</w:t>
      </w:r>
      <w:r w:rsidR="00F6620F">
        <w:t>s</w:t>
      </w:r>
      <w:r>
        <w:t>. To carry out the simulations, the GAMS (General Algebraic Modeling Systems)</w:t>
      </w:r>
      <w:r w:rsidR="0070787C">
        <w:t xml:space="preserve"> </w:t>
      </w:r>
      <w:r>
        <w:t xml:space="preserve">® 23.9.5 software was used in combination with CONOPT3 solver. This solver is based on the concept of generalized reduced gradient, a reliable algorithm for solving non-linear programming problems, such as the </w:t>
      </w:r>
      <w:r w:rsidR="002E02F6" w:rsidRPr="00980330">
        <w:rPr>
          <w:i/>
          <w:iCs/>
        </w:rPr>
        <w:t>minG</w:t>
      </w:r>
      <w:r>
        <w:t xml:space="preserve"> and </w:t>
      </w:r>
      <w:r w:rsidR="002E02F6" w:rsidRPr="00980330">
        <w:rPr>
          <w:i/>
          <w:iCs/>
        </w:rPr>
        <w:t>maxS</w:t>
      </w:r>
      <w:r>
        <w:t xml:space="preserve"> methods proposed by the present work.</w:t>
      </w:r>
    </w:p>
    <w:p w:rsidR="00BB0EC7" w:rsidRDefault="00B402B3" w:rsidP="00B402B3">
      <w:pPr>
        <w:pStyle w:val="CETBodytext"/>
      </w:pPr>
      <w:r>
        <w:t xml:space="preserve">This combination of software and solver was previously used </w:t>
      </w:r>
      <w:r w:rsidR="0070787C">
        <w:t>in previous works</w:t>
      </w:r>
      <w:r>
        <w:t xml:space="preserve"> with</w:t>
      </w:r>
      <w:r w:rsidR="00F6620F">
        <w:t xml:space="preserve"> </w:t>
      </w:r>
      <w:r>
        <w:t xml:space="preserve">excellent results </w:t>
      </w:r>
      <w:r w:rsidR="0070787C">
        <w:t>(Gomes et al., 2022)</w:t>
      </w:r>
      <w:r>
        <w:t xml:space="preserve">. </w:t>
      </w:r>
      <w:r w:rsidR="00C91797">
        <w:t>LB</w:t>
      </w:r>
      <w:r w:rsidR="00457D33">
        <w:t xml:space="preserve"> was represented in simulations as a pseudocomponent with the following chemical formula: </w:t>
      </w:r>
      <w:r w:rsidR="00457D33" w:rsidRPr="00457D33">
        <w:rPr>
          <w:i/>
          <w:iCs/>
        </w:rPr>
        <w:t>C</w:t>
      </w:r>
      <w:r w:rsidR="00457D33" w:rsidRPr="00457D33">
        <w:rPr>
          <w:i/>
          <w:iCs/>
          <w:vertAlign w:val="subscript"/>
        </w:rPr>
        <w:t>6</w:t>
      </w:r>
      <w:r w:rsidR="00457D33" w:rsidRPr="00457D33">
        <w:rPr>
          <w:i/>
          <w:iCs/>
        </w:rPr>
        <w:t>H</w:t>
      </w:r>
      <w:r w:rsidR="00457D33" w:rsidRPr="00457D33">
        <w:rPr>
          <w:i/>
          <w:iCs/>
          <w:vertAlign w:val="subscript"/>
        </w:rPr>
        <w:t>10</w:t>
      </w:r>
      <w:r w:rsidR="00457D33" w:rsidRPr="00457D33">
        <w:rPr>
          <w:i/>
          <w:iCs/>
        </w:rPr>
        <w:t>O</w:t>
      </w:r>
      <w:r w:rsidR="00457D33" w:rsidRPr="00457D33">
        <w:rPr>
          <w:i/>
          <w:iCs/>
          <w:vertAlign w:val="subscript"/>
        </w:rPr>
        <w:t>5</w:t>
      </w:r>
      <w:r w:rsidR="00457D33">
        <w:t xml:space="preserve">. </w:t>
      </w:r>
      <w:r>
        <w:t>A total of 12 compounds were considered during simulations</w:t>
      </w:r>
      <w:r w:rsidR="00F6620F">
        <w:t xml:space="preserve"> </w:t>
      </w:r>
      <w:r>
        <w:t>including</w:t>
      </w:r>
      <w:r w:rsidR="00F37D4A">
        <w:t>: hydrogen (</w:t>
      </w:r>
      <w:r>
        <w:t>H</w:t>
      </w:r>
      <w:r w:rsidRPr="00457D33">
        <w:rPr>
          <w:vertAlign w:val="subscript"/>
        </w:rPr>
        <w:t>2</w:t>
      </w:r>
      <w:r w:rsidR="00F37D4A" w:rsidRPr="00F37D4A">
        <w:t>)</w:t>
      </w:r>
      <w:r>
        <w:t xml:space="preserve">, </w:t>
      </w:r>
      <w:r w:rsidR="00F37D4A">
        <w:t>methane (</w:t>
      </w:r>
      <w:r>
        <w:t>CH</w:t>
      </w:r>
      <w:r w:rsidRPr="00457D33">
        <w:rPr>
          <w:vertAlign w:val="subscript"/>
        </w:rPr>
        <w:t>4</w:t>
      </w:r>
      <w:r w:rsidR="00F37D4A" w:rsidRPr="00F37D4A">
        <w:t>)</w:t>
      </w:r>
      <w:r>
        <w:t>,</w:t>
      </w:r>
      <w:r w:rsidR="008F1C39">
        <w:t xml:space="preserve"> </w:t>
      </w:r>
      <w:r w:rsidR="00F37D4A">
        <w:t>water (</w:t>
      </w:r>
      <w:r>
        <w:t>H</w:t>
      </w:r>
      <w:r w:rsidRPr="00457D33">
        <w:rPr>
          <w:vertAlign w:val="subscript"/>
        </w:rPr>
        <w:t>2</w:t>
      </w:r>
      <w:r>
        <w:t>O</w:t>
      </w:r>
      <w:r w:rsidR="00F37D4A">
        <w:t>)</w:t>
      </w:r>
      <w:r>
        <w:t xml:space="preserve">, </w:t>
      </w:r>
      <w:r w:rsidR="00F37D4A">
        <w:t>carbon monoxide (</w:t>
      </w:r>
      <w:r>
        <w:t>CO</w:t>
      </w:r>
      <w:r w:rsidR="00F37D4A">
        <w:t>)</w:t>
      </w:r>
      <w:r>
        <w:t xml:space="preserve">, </w:t>
      </w:r>
      <w:r w:rsidR="00F37D4A">
        <w:t>carbon dioxide (</w:t>
      </w:r>
      <w:r>
        <w:t>CO</w:t>
      </w:r>
      <w:r w:rsidRPr="00457D33">
        <w:rPr>
          <w:vertAlign w:val="subscript"/>
        </w:rPr>
        <w:t>2</w:t>
      </w:r>
      <w:r w:rsidR="00F37D4A" w:rsidRPr="00F37D4A">
        <w:t>)</w:t>
      </w:r>
      <w:r>
        <w:t xml:space="preserve">, </w:t>
      </w:r>
      <w:r w:rsidR="00F37D4A">
        <w:t>oxygen (</w:t>
      </w:r>
      <w:r>
        <w:t>O</w:t>
      </w:r>
      <w:r w:rsidRPr="00457D33">
        <w:rPr>
          <w:vertAlign w:val="subscript"/>
        </w:rPr>
        <w:t>2</w:t>
      </w:r>
      <w:r w:rsidR="00F37D4A" w:rsidRPr="00F37D4A">
        <w:t>)</w:t>
      </w:r>
      <w:r>
        <w:t>,</w:t>
      </w:r>
      <w:r w:rsidR="00F37D4A">
        <w:t xml:space="preserve"> nitrogen (</w:t>
      </w:r>
      <w:r>
        <w:t>N</w:t>
      </w:r>
      <w:r w:rsidRPr="00457D33">
        <w:rPr>
          <w:vertAlign w:val="subscript"/>
        </w:rPr>
        <w:t>2</w:t>
      </w:r>
      <w:r w:rsidR="00F37D4A" w:rsidRPr="00F37D4A">
        <w:t>)</w:t>
      </w:r>
      <w:r>
        <w:t xml:space="preserve">, </w:t>
      </w:r>
      <w:r w:rsidR="00F37D4A">
        <w:t>ammonia (</w:t>
      </w:r>
      <w:r>
        <w:t>NH</w:t>
      </w:r>
      <w:r w:rsidRPr="00457D33">
        <w:rPr>
          <w:vertAlign w:val="subscript"/>
        </w:rPr>
        <w:t>3</w:t>
      </w:r>
      <w:r w:rsidR="00F37D4A" w:rsidRPr="00F37D4A">
        <w:t>)</w:t>
      </w:r>
      <w:r>
        <w:t xml:space="preserve">, </w:t>
      </w:r>
      <w:r w:rsidR="00F37D4A">
        <w:t>nitric oxide (</w:t>
      </w:r>
      <w:r>
        <w:t>NO</w:t>
      </w:r>
      <w:r w:rsidR="00F37D4A">
        <w:t>)</w:t>
      </w:r>
      <w:r>
        <w:t xml:space="preserve">, </w:t>
      </w:r>
      <w:r w:rsidR="00F37D4A">
        <w:t>nitrogen dioxide (</w:t>
      </w:r>
      <w:r>
        <w:t>NO</w:t>
      </w:r>
      <w:r w:rsidRPr="00457D33">
        <w:rPr>
          <w:vertAlign w:val="subscript"/>
        </w:rPr>
        <w:t>2</w:t>
      </w:r>
      <w:r w:rsidR="00F37D4A" w:rsidRPr="00F37D4A">
        <w:t>)</w:t>
      </w:r>
      <w:r>
        <w:t xml:space="preserve">, </w:t>
      </w:r>
      <w:r w:rsidR="00F37D4A">
        <w:t>methanol ((</w:t>
      </w:r>
      <w:r>
        <w:t>CH</w:t>
      </w:r>
      <w:r w:rsidRPr="00457D33">
        <w:rPr>
          <w:vertAlign w:val="subscript"/>
        </w:rPr>
        <w:t>3</w:t>
      </w:r>
      <w:r>
        <w:t>OH</w:t>
      </w:r>
      <w:r w:rsidR="00F37D4A">
        <w:t>)</w:t>
      </w:r>
      <w:r>
        <w:t xml:space="preserve"> and </w:t>
      </w:r>
      <w:r w:rsidR="00F37D4A">
        <w:t>ethane (</w:t>
      </w:r>
      <w:r>
        <w:t>C</w:t>
      </w:r>
      <w:r w:rsidRPr="00457D33">
        <w:rPr>
          <w:vertAlign w:val="subscript"/>
        </w:rPr>
        <w:t>2</w:t>
      </w:r>
      <w:r>
        <w:t>H</w:t>
      </w:r>
      <w:r w:rsidRPr="00457D33">
        <w:rPr>
          <w:vertAlign w:val="subscript"/>
        </w:rPr>
        <w:t>6</w:t>
      </w:r>
      <w:r w:rsidR="00F37D4A" w:rsidRPr="00F37D4A">
        <w:t>)</w:t>
      </w:r>
      <w:r>
        <w:t>. All</w:t>
      </w:r>
      <w:r w:rsidR="00F6620F">
        <w:t xml:space="preserve"> </w:t>
      </w:r>
      <w:r>
        <w:t xml:space="preserve">thermodynamic properties of considered compounds were obtained in Polling et al. </w:t>
      </w:r>
      <w:r w:rsidR="00457D33">
        <w:t>(2001).</w:t>
      </w:r>
      <w:r w:rsidR="006A392B">
        <w:t xml:space="preserve"> </w:t>
      </w:r>
      <w:r w:rsidR="006A392B" w:rsidRPr="006A392B">
        <w:t>Thermodynamic models similar to the one developed and used in this work were previously validated with experimental data, showing excellent predictive capacity</w:t>
      </w:r>
      <w:r w:rsidR="006A392B">
        <w:t xml:space="preserve"> (Freitas and Guirardello, 2014)</w:t>
      </w:r>
      <w:r w:rsidR="006A392B" w:rsidRPr="006A392B">
        <w:t>.</w:t>
      </w:r>
      <w:r w:rsidR="002E02F6">
        <w:t xml:space="preserve"> </w:t>
      </w:r>
      <w:r w:rsidR="0055156A">
        <w:t xml:space="preserve">In this work the thermochemical routes of pyrolysis (PR), supercritical water gasification (SCWG), steam reforming (SR), oxidative reforming (OR) and autothermal reforming (ATR) aiming hydrogen production from </w:t>
      </w:r>
      <w:r w:rsidR="00C91797">
        <w:t>LB</w:t>
      </w:r>
      <w:r w:rsidR="0055156A">
        <w:t xml:space="preserve"> were thermodynamic evaluated, effects of pressure</w:t>
      </w:r>
      <w:r w:rsidR="00E31DDA">
        <w:t xml:space="preserve"> and</w:t>
      </w:r>
      <w:r w:rsidR="0055156A">
        <w:t xml:space="preserve"> were evaluated as presented in Table 1.</w:t>
      </w:r>
      <w:r w:rsidR="00E31DDA">
        <w:t xml:space="preserve"> The feed composition was fixed</w:t>
      </w:r>
      <w:r w:rsidR="00A8324F">
        <w:t xml:space="preserve"> for all simulations</w:t>
      </w:r>
      <w:r w:rsidR="00E31DDA">
        <w:t xml:space="preserve"> as presented in Table 1.</w:t>
      </w:r>
    </w:p>
    <w:p w:rsidR="00B55004" w:rsidRPr="00B55004" w:rsidRDefault="00B55004" w:rsidP="00B402B3">
      <w:pPr>
        <w:pStyle w:val="CETBodytext"/>
        <w:rPr>
          <w:sz w:val="8"/>
          <w:szCs w:val="10"/>
        </w:rPr>
      </w:pPr>
    </w:p>
    <w:p w:rsidR="00BB0EC7" w:rsidRDefault="00BB0EC7" w:rsidP="00B402B3">
      <w:pPr>
        <w:pStyle w:val="CETBodytext"/>
      </w:pPr>
      <w:r>
        <w:t xml:space="preserve">Table 1: reaction conditions </w:t>
      </w:r>
      <w:r w:rsidR="00D31A95">
        <w:t xml:space="preserve">analyzed </w:t>
      </w:r>
      <w:r>
        <w:t>for the studied thermochemical routes</w:t>
      </w:r>
      <w:r w:rsidR="00D31A95">
        <w:t xml:space="preserve"> of LB</w:t>
      </w:r>
      <w:r w:rsidR="001458F9">
        <w:t>.</w:t>
      </w:r>
    </w:p>
    <w:tbl>
      <w:tblPr>
        <w:tblW w:w="8809" w:type="dxa"/>
        <w:tblBorders>
          <w:top w:val="single" w:sz="12" w:space="0" w:color="008000"/>
          <w:bottom w:val="single" w:sz="12" w:space="0" w:color="008000"/>
        </w:tblBorders>
        <w:shd w:val="clear" w:color="auto" w:fill="FFFFFF"/>
        <w:tblCellMar>
          <w:left w:w="0" w:type="dxa"/>
          <w:right w:w="0" w:type="dxa"/>
        </w:tblCellMar>
        <w:tblLook w:val="00A0"/>
      </w:tblPr>
      <w:tblGrid>
        <w:gridCol w:w="2694"/>
        <w:gridCol w:w="1559"/>
        <w:gridCol w:w="1417"/>
        <w:gridCol w:w="3119"/>
        <w:gridCol w:w="20"/>
      </w:tblGrid>
      <w:tr w:rsidR="00BB0EC7" w:rsidRPr="00B57B36" w:rsidTr="001458F9">
        <w:trPr>
          <w:gridAfter w:val="1"/>
          <w:wAfter w:w="20" w:type="dxa"/>
        </w:trPr>
        <w:tc>
          <w:tcPr>
            <w:tcW w:w="2694" w:type="dxa"/>
            <w:tcBorders>
              <w:top w:val="single" w:sz="12" w:space="0" w:color="008000"/>
              <w:bottom w:val="single" w:sz="6" w:space="0" w:color="008000"/>
            </w:tcBorders>
            <w:shd w:val="clear" w:color="auto" w:fill="FFFFFF"/>
          </w:tcPr>
          <w:p w:rsidR="00BB0EC7" w:rsidRPr="00B57B36" w:rsidRDefault="00BB0EC7" w:rsidP="00624C73">
            <w:pPr>
              <w:pStyle w:val="CETBodytext"/>
              <w:rPr>
                <w:lang w:val="en-GB"/>
              </w:rPr>
            </w:pPr>
            <w:r>
              <w:rPr>
                <w:lang w:val="en-GB"/>
              </w:rPr>
              <w:t>Thermochemical route</w:t>
            </w:r>
          </w:p>
        </w:tc>
        <w:tc>
          <w:tcPr>
            <w:tcW w:w="1559" w:type="dxa"/>
            <w:tcBorders>
              <w:top w:val="single" w:sz="12" w:space="0" w:color="008000"/>
              <w:bottom w:val="single" w:sz="6" w:space="0" w:color="008000"/>
            </w:tcBorders>
            <w:shd w:val="clear" w:color="auto" w:fill="FFFFFF"/>
          </w:tcPr>
          <w:p w:rsidR="00BB0EC7" w:rsidRPr="00B57B36" w:rsidRDefault="00BB0EC7" w:rsidP="00624C73">
            <w:pPr>
              <w:pStyle w:val="CETBodytext"/>
              <w:rPr>
                <w:lang w:val="en-GB"/>
              </w:rPr>
            </w:pPr>
            <w:r>
              <w:rPr>
                <w:lang w:val="en-GB"/>
              </w:rPr>
              <w:t xml:space="preserve"> Temperature (K)</w:t>
            </w:r>
          </w:p>
        </w:tc>
        <w:tc>
          <w:tcPr>
            <w:tcW w:w="1417" w:type="dxa"/>
            <w:tcBorders>
              <w:top w:val="single" w:sz="12" w:space="0" w:color="008000"/>
              <w:bottom w:val="single" w:sz="6" w:space="0" w:color="008000"/>
            </w:tcBorders>
            <w:shd w:val="clear" w:color="auto" w:fill="FFFFFF"/>
          </w:tcPr>
          <w:p w:rsidR="00BB0EC7" w:rsidRPr="00B57B36" w:rsidRDefault="00BB0EC7" w:rsidP="00624C73">
            <w:pPr>
              <w:pStyle w:val="CETBodytext"/>
              <w:rPr>
                <w:lang w:val="en-GB"/>
              </w:rPr>
            </w:pPr>
            <w:r>
              <w:rPr>
                <w:lang w:val="en-GB"/>
              </w:rPr>
              <w:t>Pressure (bar)</w:t>
            </w:r>
          </w:p>
        </w:tc>
        <w:tc>
          <w:tcPr>
            <w:tcW w:w="3119" w:type="dxa"/>
            <w:tcBorders>
              <w:top w:val="single" w:sz="12" w:space="0" w:color="008000"/>
              <w:bottom w:val="single" w:sz="6" w:space="0" w:color="008000"/>
            </w:tcBorders>
            <w:shd w:val="clear" w:color="auto" w:fill="FFFFFF"/>
          </w:tcPr>
          <w:p w:rsidR="00BB0EC7" w:rsidRPr="00B57B36" w:rsidRDefault="00BB0EC7" w:rsidP="00624C73">
            <w:pPr>
              <w:pStyle w:val="CETBodytext"/>
              <w:ind w:right="-1"/>
              <w:rPr>
                <w:rFonts w:cs="Arial"/>
                <w:szCs w:val="18"/>
                <w:lang w:val="en-GB"/>
              </w:rPr>
            </w:pPr>
            <w:r>
              <w:rPr>
                <w:rFonts w:cs="Arial"/>
                <w:szCs w:val="18"/>
                <w:lang w:val="en-GB"/>
              </w:rPr>
              <w:t>Feed composition (</w:t>
            </w:r>
            <w:r w:rsidRPr="00C7650C">
              <w:rPr>
                <w:rFonts w:cs="Arial"/>
                <w:i/>
                <w:iCs/>
                <w:szCs w:val="18"/>
                <w:lang w:val="en-GB"/>
              </w:rPr>
              <w:t>wt%</w:t>
            </w:r>
            <w:r>
              <w:rPr>
                <w:rFonts w:cs="Arial"/>
                <w:szCs w:val="18"/>
                <w:lang w:val="en-GB"/>
              </w:rPr>
              <w:t>)</w:t>
            </w:r>
          </w:p>
        </w:tc>
      </w:tr>
      <w:tr w:rsidR="00BB0EC7" w:rsidRPr="00B57B36" w:rsidTr="001458F9">
        <w:trPr>
          <w:gridAfter w:val="1"/>
          <w:wAfter w:w="20" w:type="dxa"/>
        </w:trPr>
        <w:tc>
          <w:tcPr>
            <w:tcW w:w="2694" w:type="dxa"/>
            <w:shd w:val="clear" w:color="auto" w:fill="FFFFFF"/>
          </w:tcPr>
          <w:p w:rsidR="00BB0EC7" w:rsidRPr="00B57B36" w:rsidRDefault="00BB0EC7" w:rsidP="00BB0EC7">
            <w:pPr>
              <w:pStyle w:val="CETBodytext"/>
              <w:rPr>
                <w:lang w:val="en-GB"/>
              </w:rPr>
            </w:pPr>
            <w:r>
              <w:t xml:space="preserve">Pyrolysis </w:t>
            </w:r>
          </w:p>
        </w:tc>
        <w:tc>
          <w:tcPr>
            <w:tcW w:w="1559" w:type="dxa"/>
            <w:shd w:val="clear" w:color="auto" w:fill="FFFFFF"/>
          </w:tcPr>
          <w:p w:rsidR="00BB0EC7" w:rsidRPr="00B57B36" w:rsidRDefault="00BB0EC7" w:rsidP="00BB0EC7">
            <w:pPr>
              <w:pStyle w:val="CETBodytext"/>
              <w:rPr>
                <w:lang w:val="en-GB"/>
              </w:rPr>
            </w:pPr>
            <w:r>
              <w:t>800</w:t>
            </w:r>
            <w:r w:rsidR="00FA4EC3">
              <w:t xml:space="preserve"> </w:t>
            </w:r>
            <w:r>
              <w:t>-</w:t>
            </w:r>
            <w:r w:rsidR="00FA4EC3">
              <w:t xml:space="preserve"> </w:t>
            </w:r>
            <w:r>
              <w:t>1200</w:t>
            </w:r>
          </w:p>
        </w:tc>
        <w:tc>
          <w:tcPr>
            <w:tcW w:w="1417" w:type="dxa"/>
            <w:shd w:val="clear" w:color="auto" w:fill="FFFFFF"/>
          </w:tcPr>
          <w:p w:rsidR="00BB0EC7" w:rsidRPr="00B57B36" w:rsidRDefault="00BB0EC7" w:rsidP="00BB0EC7">
            <w:pPr>
              <w:pStyle w:val="CETBodytext"/>
              <w:rPr>
                <w:lang w:val="en-GB"/>
              </w:rPr>
            </w:pPr>
            <w:r>
              <w:t>5 – 40</w:t>
            </w:r>
          </w:p>
        </w:tc>
        <w:tc>
          <w:tcPr>
            <w:tcW w:w="3119" w:type="dxa"/>
            <w:shd w:val="clear" w:color="auto" w:fill="FFFFFF"/>
          </w:tcPr>
          <w:p w:rsidR="00BB0EC7" w:rsidRPr="00B57B36" w:rsidRDefault="00BB0EC7" w:rsidP="00BB0EC7">
            <w:pPr>
              <w:pStyle w:val="CETBodytext"/>
              <w:ind w:right="-1"/>
              <w:rPr>
                <w:rFonts w:cs="Arial"/>
                <w:szCs w:val="18"/>
                <w:lang w:val="en-GB"/>
              </w:rPr>
            </w:pPr>
            <w:r>
              <w:t xml:space="preserve">Only </w:t>
            </w:r>
            <w:r w:rsidR="002E02F6">
              <w:t xml:space="preserve">LB </w:t>
            </w:r>
            <w:r>
              <w:t>(100%)</w:t>
            </w:r>
          </w:p>
        </w:tc>
      </w:tr>
      <w:tr w:rsidR="00BB0EC7" w:rsidRPr="00B57B36" w:rsidTr="001458F9">
        <w:trPr>
          <w:gridAfter w:val="1"/>
          <w:wAfter w:w="20" w:type="dxa"/>
        </w:trPr>
        <w:tc>
          <w:tcPr>
            <w:tcW w:w="2694" w:type="dxa"/>
            <w:shd w:val="clear" w:color="auto" w:fill="FFFFFF"/>
          </w:tcPr>
          <w:p w:rsidR="00BB0EC7" w:rsidRDefault="00FA4EC3" w:rsidP="00BB0EC7">
            <w:pPr>
              <w:pStyle w:val="CETBodytext"/>
            </w:pPr>
            <w:r>
              <w:t>Steam reforming</w:t>
            </w:r>
          </w:p>
        </w:tc>
        <w:tc>
          <w:tcPr>
            <w:tcW w:w="1559" w:type="dxa"/>
            <w:shd w:val="clear" w:color="auto" w:fill="FFFFFF"/>
          </w:tcPr>
          <w:p w:rsidR="00BB0EC7" w:rsidRDefault="00FA4EC3" w:rsidP="00BB0EC7">
            <w:pPr>
              <w:pStyle w:val="CETBodytext"/>
            </w:pPr>
            <w:r>
              <w:t>600 - 1000</w:t>
            </w:r>
          </w:p>
        </w:tc>
        <w:tc>
          <w:tcPr>
            <w:tcW w:w="1417" w:type="dxa"/>
            <w:shd w:val="clear" w:color="auto" w:fill="FFFFFF"/>
          </w:tcPr>
          <w:p w:rsidR="00BB0EC7" w:rsidRDefault="00FA4EC3" w:rsidP="00BB0EC7">
            <w:pPr>
              <w:pStyle w:val="CETBodytext"/>
            </w:pPr>
            <w:r>
              <w:t xml:space="preserve">1 – 10 </w:t>
            </w:r>
          </w:p>
        </w:tc>
        <w:tc>
          <w:tcPr>
            <w:tcW w:w="3119" w:type="dxa"/>
            <w:shd w:val="clear" w:color="auto" w:fill="FFFFFF"/>
          </w:tcPr>
          <w:p w:rsidR="00BB0EC7" w:rsidRDefault="00223520" w:rsidP="00BB0EC7">
            <w:pPr>
              <w:pStyle w:val="CETBodytext"/>
              <w:ind w:right="-1"/>
            </w:pPr>
            <w:r>
              <w:t>15%</w:t>
            </w:r>
            <w:r w:rsidR="001458F9">
              <w:t xml:space="preserve"> LB and 85% H</w:t>
            </w:r>
            <w:r w:rsidR="001458F9" w:rsidRPr="001458F9">
              <w:rPr>
                <w:vertAlign w:val="subscript"/>
              </w:rPr>
              <w:t>2</w:t>
            </w:r>
            <w:r w:rsidR="001458F9">
              <w:t>O</w:t>
            </w:r>
          </w:p>
        </w:tc>
      </w:tr>
      <w:tr w:rsidR="00BB0EC7" w:rsidRPr="00B57B36" w:rsidTr="001458F9">
        <w:trPr>
          <w:gridAfter w:val="1"/>
          <w:wAfter w:w="20" w:type="dxa"/>
        </w:trPr>
        <w:tc>
          <w:tcPr>
            <w:tcW w:w="2694" w:type="dxa"/>
            <w:shd w:val="clear" w:color="auto" w:fill="FFFFFF"/>
          </w:tcPr>
          <w:p w:rsidR="00BB0EC7" w:rsidRDefault="00FA4EC3" w:rsidP="00BB0EC7">
            <w:pPr>
              <w:pStyle w:val="CETBodytext"/>
            </w:pPr>
            <w:r>
              <w:t>Supercritical water gasification</w:t>
            </w:r>
          </w:p>
        </w:tc>
        <w:tc>
          <w:tcPr>
            <w:tcW w:w="1559" w:type="dxa"/>
            <w:shd w:val="clear" w:color="auto" w:fill="FFFFFF"/>
          </w:tcPr>
          <w:p w:rsidR="00BB0EC7" w:rsidRDefault="00FA4EC3" w:rsidP="00BB0EC7">
            <w:pPr>
              <w:pStyle w:val="CETBodytext"/>
            </w:pPr>
            <w:r>
              <w:t>600 - 1000</w:t>
            </w:r>
          </w:p>
        </w:tc>
        <w:tc>
          <w:tcPr>
            <w:tcW w:w="1417" w:type="dxa"/>
            <w:shd w:val="clear" w:color="auto" w:fill="FFFFFF"/>
          </w:tcPr>
          <w:p w:rsidR="00BB0EC7" w:rsidRDefault="00FA4EC3" w:rsidP="00BB0EC7">
            <w:pPr>
              <w:pStyle w:val="CETBodytext"/>
            </w:pPr>
            <w:r>
              <w:t xml:space="preserve">230 – 280 </w:t>
            </w:r>
          </w:p>
        </w:tc>
        <w:tc>
          <w:tcPr>
            <w:tcW w:w="3119" w:type="dxa"/>
            <w:shd w:val="clear" w:color="auto" w:fill="FFFFFF"/>
          </w:tcPr>
          <w:p w:rsidR="00BB0EC7" w:rsidRDefault="00E31DDA" w:rsidP="00BB0EC7">
            <w:pPr>
              <w:pStyle w:val="CETBodytext"/>
              <w:ind w:right="-1"/>
            </w:pPr>
            <w:r>
              <w:t>3</w:t>
            </w:r>
            <w:r w:rsidR="00223520">
              <w:t>.5</w:t>
            </w:r>
            <w:r w:rsidR="00FA4EC3">
              <w:t>%</w:t>
            </w:r>
            <w:r w:rsidR="001458F9">
              <w:t xml:space="preserve"> LB and 96.5% H</w:t>
            </w:r>
            <w:r w:rsidR="001458F9" w:rsidRPr="001458F9">
              <w:rPr>
                <w:vertAlign w:val="subscript"/>
              </w:rPr>
              <w:t>2</w:t>
            </w:r>
            <w:r w:rsidR="001458F9">
              <w:t>O</w:t>
            </w:r>
          </w:p>
        </w:tc>
      </w:tr>
      <w:tr w:rsidR="00BB0EC7" w:rsidRPr="00B57B36" w:rsidTr="001458F9">
        <w:trPr>
          <w:gridAfter w:val="1"/>
          <w:wAfter w:w="20" w:type="dxa"/>
        </w:trPr>
        <w:tc>
          <w:tcPr>
            <w:tcW w:w="2694" w:type="dxa"/>
            <w:shd w:val="clear" w:color="auto" w:fill="FFFFFF"/>
          </w:tcPr>
          <w:p w:rsidR="00BB0EC7" w:rsidRDefault="00FA4EC3" w:rsidP="00BB0EC7">
            <w:pPr>
              <w:pStyle w:val="CETBodytext"/>
            </w:pPr>
            <w:r>
              <w:t>Oxidative reforming</w:t>
            </w:r>
          </w:p>
        </w:tc>
        <w:tc>
          <w:tcPr>
            <w:tcW w:w="1559" w:type="dxa"/>
            <w:shd w:val="clear" w:color="auto" w:fill="FFFFFF"/>
          </w:tcPr>
          <w:p w:rsidR="00BB0EC7" w:rsidRDefault="00FA4EC3" w:rsidP="00BB0EC7">
            <w:pPr>
              <w:pStyle w:val="CETBodytext"/>
            </w:pPr>
            <w:r>
              <w:t>500 - 900</w:t>
            </w:r>
          </w:p>
        </w:tc>
        <w:tc>
          <w:tcPr>
            <w:tcW w:w="1417" w:type="dxa"/>
            <w:shd w:val="clear" w:color="auto" w:fill="FFFFFF"/>
          </w:tcPr>
          <w:p w:rsidR="00BB0EC7" w:rsidRDefault="00FA4EC3" w:rsidP="00BB0EC7">
            <w:pPr>
              <w:pStyle w:val="CETBodytext"/>
            </w:pPr>
            <w:r>
              <w:t xml:space="preserve">1 – 10 </w:t>
            </w:r>
          </w:p>
        </w:tc>
        <w:tc>
          <w:tcPr>
            <w:tcW w:w="3119" w:type="dxa"/>
            <w:shd w:val="clear" w:color="auto" w:fill="FFFFFF"/>
          </w:tcPr>
          <w:p w:rsidR="00BB0EC7" w:rsidRDefault="00223520" w:rsidP="00BB0EC7">
            <w:pPr>
              <w:pStyle w:val="CETBodytext"/>
              <w:ind w:right="-1"/>
            </w:pPr>
            <w:r>
              <w:t>15</w:t>
            </w:r>
            <w:r w:rsidR="00FA4EC3">
              <w:t xml:space="preserve">% </w:t>
            </w:r>
            <w:r w:rsidR="001458F9">
              <w:t>LB and 85% O</w:t>
            </w:r>
            <w:r w:rsidR="001458F9" w:rsidRPr="001458F9">
              <w:rPr>
                <w:vertAlign w:val="subscript"/>
              </w:rPr>
              <w:t>2</w:t>
            </w:r>
          </w:p>
        </w:tc>
      </w:tr>
      <w:tr w:rsidR="00BB0EC7" w:rsidRPr="00B57B36" w:rsidTr="001458F9">
        <w:tc>
          <w:tcPr>
            <w:tcW w:w="2694" w:type="dxa"/>
            <w:shd w:val="clear" w:color="auto" w:fill="FFFFFF"/>
          </w:tcPr>
          <w:p w:rsidR="00BB0EC7" w:rsidRPr="00B57B36" w:rsidRDefault="00FA4EC3" w:rsidP="00BB0EC7">
            <w:pPr>
              <w:pStyle w:val="CETBodytext"/>
              <w:ind w:right="-1"/>
              <w:rPr>
                <w:rFonts w:cs="Arial"/>
                <w:szCs w:val="18"/>
                <w:lang w:val="en-GB"/>
              </w:rPr>
            </w:pPr>
            <w:r>
              <w:rPr>
                <w:rFonts w:cs="Arial"/>
                <w:szCs w:val="18"/>
                <w:lang w:val="en-GB"/>
              </w:rPr>
              <w:t>Autothermal reforming</w:t>
            </w:r>
          </w:p>
        </w:tc>
        <w:tc>
          <w:tcPr>
            <w:tcW w:w="1559" w:type="dxa"/>
            <w:shd w:val="clear" w:color="auto" w:fill="FFFFFF"/>
          </w:tcPr>
          <w:p w:rsidR="00BB0EC7" w:rsidRPr="00B57B36" w:rsidRDefault="00FA4EC3" w:rsidP="00BB0EC7">
            <w:pPr>
              <w:pStyle w:val="CETBodytext"/>
              <w:ind w:right="-1"/>
              <w:rPr>
                <w:rFonts w:cs="Arial"/>
                <w:szCs w:val="18"/>
                <w:lang w:val="en-GB"/>
              </w:rPr>
            </w:pPr>
            <w:r>
              <w:rPr>
                <w:rFonts w:cs="Arial"/>
                <w:szCs w:val="18"/>
                <w:lang w:val="en-GB"/>
              </w:rPr>
              <w:t xml:space="preserve">500 – 900 </w:t>
            </w:r>
          </w:p>
        </w:tc>
        <w:tc>
          <w:tcPr>
            <w:tcW w:w="1417" w:type="dxa"/>
            <w:shd w:val="clear" w:color="auto" w:fill="FFFFFF"/>
          </w:tcPr>
          <w:p w:rsidR="00BB0EC7" w:rsidRPr="00B57B36" w:rsidRDefault="00FA4EC3" w:rsidP="00BB0EC7">
            <w:pPr>
              <w:pStyle w:val="CETBodytext"/>
              <w:ind w:right="-1"/>
              <w:rPr>
                <w:rFonts w:cs="Arial"/>
                <w:szCs w:val="18"/>
                <w:lang w:val="en-GB"/>
              </w:rPr>
            </w:pPr>
            <w:r>
              <w:rPr>
                <w:rFonts w:cs="Arial"/>
                <w:szCs w:val="18"/>
                <w:lang w:val="en-GB"/>
              </w:rPr>
              <w:t xml:space="preserve">1 – 10 </w:t>
            </w:r>
          </w:p>
        </w:tc>
        <w:tc>
          <w:tcPr>
            <w:tcW w:w="3119" w:type="dxa"/>
            <w:shd w:val="clear" w:color="auto" w:fill="FFFFFF"/>
          </w:tcPr>
          <w:p w:rsidR="00BB0EC7" w:rsidRPr="00B57B36" w:rsidRDefault="00223520" w:rsidP="00BB0EC7">
            <w:pPr>
              <w:pStyle w:val="CETBodytext"/>
              <w:ind w:right="-1"/>
              <w:rPr>
                <w:rFonts w:cs="Arial"/>
                <w:szCs w:val="18"/>
                <w:lang w:val="en-GB"/>
              </w:rPr>
            </w:pPr>
            <w:r>
              <w:rPr>
                <w:rFonts w:cs="Arial"/>
                <w:szCs w:val="18"/>
                <w:lang w:val="en-GB"/>
              </w:rPr>
              <w:t>15</w:t>
            </w:r>
            <w:r w:rsidR="00FA4EC3">
              <w:rPr>
                <w:rFonts w:cs="Arial"/>
                <w:szCs w:val="18"/>
                <w:lang w:val="en-GB"/>
              </w:rPr>
              <w:t xml:space="preserve">% </w:t>
            </w:r>
            <w:r w:rsidR="001458F9">
              <w:t>LB and 42.5% H</w:t>
            </w:r>
            <w:r w:rsidR="001458F9" w:rsidRPr="001458F9">
              <w:rPr>
                <w:vertAlign w:val="subscript"/>
              </w:rPr>
              <w:t>2</w:t>
            </w:r>
            <w:r w:rsidR="001458F9">
              <w:t>O and 42.5% O</w:t>
            </w:r>
            <w:r w:rsidR="001458F9" w:rsidRPr="001458F9">
              <w:rPr>
                <w:vertAlign w:val="subscript"/>
              </w:rPr>
              <w:t>2</w:t>
            </w:r>
          </w:p>
        </w:tc>
        <w:tc>
          <w:tcPr>
            <w:tcW w:w="20" w:type="dxa"/>
            <w:shd w:val="clear" w:color="auto" w:fill="FFFFFF"/>
          </w:tcPr>
          <w:p w:rsidR="00BB0EC7" w:rsidRPr="00B57B36" w:rsidRDefault="00BB0EC7" w:rsidP="00BB0EC7">
            <w:pPr>
              <w:pStyle w:val="CETBodytext"/>
              <w:ind w:right="-1"/>
              <w:rPr>
                <w:rFonts w:cs="Arial"/>
                <w:szCs w:val="18"/>
                <w:lang w:val="en-GB"/>
              </w:rPr>
            </w:pPr>
          </w:p>
        </w:tc>
      </w:tr>
    </w:tbl>
    <w:p w:rsidR="00A210F9" w:rsidRDefault="00A210F9" w:rsidP="00BA3293">
      <w:pPr>
        <w:pStyle w:val="CETHeading1"/>
      </w:pPr>
      <w:r>
        <w:t>Results and discussion</w:t>
      </w:r>
    </w:p>
    <w:p w:rsidR="00CE256A" w:rsidRDefault="00CE256A" w:rsidP="00CE256A">
      <w:pPr>
        <w:pStyle w:val="CETBodytext"/>
      </w:pPr>
      <w:r w:rsidRPr="00017DDB">
        <w:t>Figure 1 presents</w:t>
      </w:r>
      <w:r w:rsidR="00813FC5" w:rsidRPr="00017DDB">
        <w:t xml:space="preserve"> </w:t>
      </w:r>
      <w:r w:rsidR="00017DDB" w:rsidRPr="00017DDB">
        <w:t xml:space="preserve">the results of the effect of temperature on isothermal and </w:t>
      </w:r>
      <w:r w:rsidR="00017DDB">
        <w:t xml:space="preserve">adiabatic </w:t>
      </w:r>
      <w:r w:rsidR="00017DDB" w:rsidRPr="00017DDB">
        <w:t>systems for the five thermochemical processes evaluated. In Figure 1</w:t>
      </w:r>
      <w:r w:rsidR="002E02F6">
        <w:t xml:space="preserve"> </w:t>
      </w:r>
      <w:r w:rsidR="00017DDB" w:rsidRPr="00017DDB">
        <w:t>(a) for the ATR reaction, in Figure 1</w:t>
      </w:r>
      <w:r w:rsidR="002E02F6">
        <w:t xml:space="preserve"> </w:t>
      </w:r>
      <w:r w:rsidR="00017DDB" w:rsidRPr="00017DDB">
        <w:t>(b) for the PR reaction, in Figure 1</w:t>
      </w:r>
      <w:r w:rsidR="002E02F6">
        <w:t xml:space="preserve"> </w:t>
      </w:r>
      <w:r w:rsidR="00017DDB" w:rsidRPr="00017DDB">
        <w:t>(c) for the OR reaction, in Figure 1</w:t>
      </w:r>
      <w:r w:rsidR="002E02F6">
        <w:t xml:space="preserve"> </w:t>
      </w:r>
      <w:r w:rsidR="00017DDB" w:rsidRPr="00017DDB">
        <w:t>(d) for the SR reaction, and in Figure 1</w:t>
      </w:r>
      <w:r w:rsidR="002E02F6">
        <w:t xml:space="preserve"> </w:t>
      </w:r>
      <w:r w:rsidR="00017DDB" w:rsidRPr="00017DDB">
        <w:t xml:space="preserve">(e) for the SCWG reaction. Analyzing the results </w:t>
      </w:r>
      <w:r w:rsidR="00017DDB">
        <w:t>presented on</w:t>
      </w:r>
      <w:r w:rsidR="00017DDB" w:rsidRPr="00017DDB">
        <w:t xml:space="preserve"> this figure, it can be seen that all processes showed significant differences in the molar quantity of H</w:t>
      </w:r>
      <w:r w:rsidR="00017DDB" w:rsidRPr="00017DDB">
        <w:rPr>
          <w:vertAlign w:val="subscript"/>
        </w:rPr>
        <w:t>2</w:t>
      </w:r>
      <w:r w:rsidR="00017DDB" w:rsidRPr="00017DDB">
        <w:t xml:space="preserve"> produced as a function of temperature and as a function of the way the reaction was conducted</w:t>
      </w:r>
      <w:r w:rsidR="00017DDB">
        <w:t xml:space="preserve"> in reactor</w:t>
      </w:r>
      <w:r w:rsidR="00017DDB" w:rsidRPr="00017DDB">
        <w:t>.</w:t>
      </w:r>
    </w:p>
    <w:p w:rsidR="000159EE" w:rsidRDefault="000159EE" w:rsidP="00CE256A">
      <w:pPr>
        <w:pStyle w:val="CETBodytext"/>
      </w:pPr>
      <w:r w:rsidRPr="000159EE">
        <w:t xml:space="preserve">In general, it can be seen, by analyzing </w:t>
      </w:r>
      <w:r w:rsidR="00C34AC5">
        <w:t xml:space="preserve">the results presented in </w:t>
      </w:r>
      <w:r w:rsidR="002E02F6">
        <w:t>F</w:t>
      </w:r>
      <w:r w:rsidRPr="000159EE">
        <w:t xml:space="preserve">igure 1, that the </w:t>
      </w:r>
      <w:r w:rsidR="00C34AC5">
        <w:t>ATR</w:t>
      </w:r>
      <w:r w:rsidRPr="000159EE">
        <w:t xml:space="preserve"> process showed higher productivity in H</w:t>
      </w:r>
      <w:r w:rsidRPr="000159EE">
        <w:rPr>
          <w:vertAlign w:val="subscript"/>
        </w:rPr>
        <w:t>2</w:t>
      </w:r>
      <w:r w:rsidRPr="000159EE">
        <w:t xml:space="preserve"> for adiabatic conditions up to a temperature of 700 K and for isothermal conditions above this temperature, this behavior is directly associated with the thermal behavior of this reaction. The </w:t>
      </w:r>
      <w:r w:rsidR="00C34AC5">
        <w:t>PR</w:t>
      </w:r>
      <w:r w:rsidRPr="000159EE">
        <w:t xml:space="preserve"> process, with regard to the formation of H</w:t>
      </w:r>
      <w:r w:rsidRPr="000159EE">
        <w:rPr>
          <w:vertAlign w:val="subscript"/>
        </w:rPr>
        <w:t>2</w:t>
      </w:r>
      <w:r w:rsidRPr="000159EE">
        <w:t xml:space="preserve">, was favored by isothermal operating conditions, especially at high operating temperatures. This behavior is also directly associated with the thermal characteristic of this process. The </w:t>
      </w:r>
      <w:r w:rsidR="00C34AC5">
        <w:t>OR</w:t>
      </w:r>
      <w:r w:rsidRPr="000159EE">
        <w:t xml:space="preserve"> process had H</w:t>
      </w:r>
      <w:r w:rsidRPr="000159EE">
        <w:rPr>
          <w:vertAlign w:val="subscript"/>
        </w:rPr>
        <w:t>2</w:t>
      </w:r>
      <w:r w:rsidRPr="000159EE">
        <w:t xml:space="preserve"> formation behavior similar to that observed for ATR, although smaller molar amounts of H</w:t>
      </w:r>
      <w:r w:rsidRPr="000159EE">
        <w:rPr>
          <w:vertAlign w:val="subscript"/>
        </w:rPr>
        <w:t>2</w:t>
      </w:r>
      <w:r w:rsidRPr="000159EE">
        <w:t xml:space="preserve"> were produced, this result is explained by the reduction in the molar proportion of H</w:t>
      </w:r>
      <w:r w:rsidRPr="000159EE">
        <w:rPr>
          <w:vertAlign w:val="subscript"/>
        </w:rPr>
        <w:t>2</w:t>
      </w:r>
      <w:r w:rsidRPr="000159EE">
        <w:t xml:space="preserve"> atoms in the feed stream, due to the removal of H</w:t>
      </w:r>
      <w:r w:rsidRPr="000159EE">
        <w:rPr>
          <w:vertAlign w:val="subscript"/>
        </w:rPr>
        <w:t>2</w:t>
      </w:r>
      <w:r w:rsidRPr="000159EE">
        <w:t>O from this stream. The SR process proved to be greatly favored by isothermal feeding conditions, increases in the order of 50% in the total molar production of H</w:t>
      </w:r>
      <w:r w:rsidRPr="000159EE">
        <w:rPr>
          <w:vertAlign w:val="subscript"/>
        </w:rPr>
        <w:t>2</w:t>
      </w:r>
      <w:r w:rsidRPr="000159EE">
        <w:t xml:space="preserve"> were observed at 900 K. The SCWG process showed similar behavior between the two routes</w:t>
      </w:r>
      <w:r>
        <w:t xml:space="preserve"> (adiabatic and isothermic)</w:t>
      </w:r>
      <w:r w:rsidRPr="000159EE">
        <w:t>, with the largest molar productions of H</w:t>
      </w:r>
      <w:r w:rsidRPr="000159EE">
        <w:rPr>
          <w:vertAlign w:val="subscript"/>
        </w:rPr>
        <w:t>2</w:t>
      </w:r>
      <w:r w:rsidRPr="000159EE">
        <w:t xml:space="preserve"> observed at 1000 K in the adiabatic </w:t>
      </w:r>
      <w:r>
        <w:t>condition</w:t>
      </w:r>
      <w:r w:rsidRPr="000159EE">
        <w:t>, here it is important to emphasize that the high amount in moles of H</w:t>
      </w:r>
      <w:r w:rsidRPr="000159EE">
        <w:rPr>
          <w:vertAlign w:val="subscript"/>
        </w:rPr>
        <w:t>2</w:t>
      </w:r>
      <w:r w:rsidRPr="000159EE">
        <w:t xml:space="preserve"> produced in this </w:t>
      </w:r>
      <w:r>
        <w:t>reaction, when compared with the other routes,</w:t>
      </w:r>
      <w:r w:rsidRPr="000159EE">
        <w:t xml:space="preserve"> is directly linked to the large excess of water used to feed this type of </w:t>
      </w:r>
      <w:r>
        <w:t>reactive system</w:t>
      </w:r>
      <w:r w:rsidR="00C34AC5">
        <w:t xml:space="preserve"> (see Table 1)</w:t>
      </w:r>
      <w:r w:rsidRPr="000159EE">
        <w:t>.</w:t>
      </w:r>
    </w:p>
    <w:p w:rsidR="00134B8E" w:rsidRPr="002B0B7D" w:rsidRDefault="00A72B77" w:rsidP="00CE256A">
      <w:pPr>
        <w:pStyle w:val="CETBodytext"/>
      </w:pPr>
      <w:r w:rsidRPr="00017DDB">
        <w:t xml:space="preserve">Figure 2 presents the results for the effect of the system's equilibrium temperature as a function of the initial reaction temperature. In Figure </w:t>
      </w:r>
      <w:r w:rsidR="00ED1FA7">
        <w:t>2</w:t>
      </w:r>
      <w:r w:rsidR="00C34AC5">
        <w:t xml:space="preserve"> </w:t>
      </w:r>
      <w:r w:rsidRPr="00017DDB">
        <w:t xml:space="preserve">(a) for the ATR reaction, in Figure </w:t>
      </w:r>
      <w:r w:rsidR="00ED1FA7">
        <w:t>2</w:t>
      </w:r>
      <w:r w:rsidR="00C34AC5">
        <w:t xml:space="preserve"> </w:t>
      </w:r>
      <w:r w:rsidRPr="00017DDB">
        <w:t xml:space="preserve">(b) for the PR reaction, in Figure </w:t>
      </w:r>
      <w:r w:rsidR="00ED1FA7">
        <w:t>2</w:t>
      </w:r>
      <w:r w:rsidR="00C34AC5">
        <w:t xml:space="preserve"> </w:t>
      </w:r>
      <w:r w:rsidRPr="00017DDB">
        <w:t xml:space="preserve">(c) for the OR reaction, in Figure </w:t>
      </w:r>
      <w:r w:rsidR="00ED1FA7">
        <w:t>2</w:t>
      </w:r>
      <w:r w:rsidR="00C34AC5">
        <w:t xml:space="preserve"> </w:t>
      </w:r>
      <w:r w:rsidRPr="00017DDB">
        <w:t xml:space="preserve">(d) for the SR reaction, and in Figure </w:t>
      </w:r>
      <w:r w:rsidR="00ED1FA7">
        <w:t>2</w:t>
      </w:r>
      <w:r w:rsidR="00C34AC5">
        <w:t xml:space="preserve"> </w:t>
      </w:r>
      <w:r w:rsidRPr="00017DDB">
        <w:t>(e) for the SCWG reaction. Analyzing the results, it is possible to verify that the ATR process, as expected, presents exothermic behavior</w:t>
      </w:r>
      <w:r>
        <w:t>, due to oxygen used as feed in this reactive system, the use of air was also tested and a slight reduction in equilibrium temperature was observed (in order of 7.5%) the N</w:t>
      </w:r>
      <w:r w:rsidRPr="00FC6681">
        <w:rPr>
          <w:vertAlign w:val="subscript"/>
        </w:rPr>
        <w:t>2</w:t>
      </w:r>
      <w:r>
        <w:t xml:space="preserve"> presented in air </w:t>
      </w:r>
      <w:r w:rsidRPr="00FC6681">
        <w:t>behaved mostly as an inert gas in the system, with only small amounts (traces) of NH</w:t>
      </w:r>
      <w:r w:rsidRPr="00FC6681">
        <w:rPr>
          <w:vertAlign w:val="subscript"/>
        </w:rPr>
        <w:t>3</w:t>
      </w:r>
      <w:r w:rsidRPr="00FC6681">
        <w:t xml:space="preserve"> and NO</w:t>
      </w:r>
      <w:r w:rsidRPr="00FC6681">
        <w:rPr>
          <w:vertAlign w:val="subscript"/>
        </w:rPr>
        <w:t>x</w:t>
      </w:r>
      <w:r w:rsidRPr="00FC6681">
        <w:t xml:space="preserve"> observed in the products</w:t>
      </w:r>
      <w:r>
        <w:t xml:space="preserve">. </w:t>
      </w:r>
      <w:r w:rsidRPr="00017DDB">
        <w:t xml:space="preserve">PR reaction presents endothermic behavior for the operating range of temperatures above 1000K, with a slightly exothermic general behavior being observed for lower temperatures, this behavior can be explained by the oxygen-rich molar composition of the lignocellulosic material used. The OR reaction, as well as the ATR, proved to be exothermic within the entire range </w:t>
      </w:r>
      <w:r w:rsidR="00C34AC5">
        <w:t xml:space="preserve">of temperature </w:t>
      </w:r>
      <w:r>
        <w:t>studied, here air was also tested as oxygen source too, i</w:t>
      </w:r>
      <w:r w:rsidRPr="00FC6681">
        <w:t xml:space="preserve">t is </w:t>
      </w:r>
      <w:r w:rsidRPr="00FC6681">
        <w:lastRenderedPageBreak/>
        <w:t>important to report a slight reduction in the total amount of H</w:t>
      </w:r>
      <w:r w:rsidRPr="00FC6681">
        <w:rPr>
          <w:vertAlign w:val="subscript"/>
        </w:rPr>
        <w:t>2</w:t>
      </w:r>
      <w:r w:rsidRPr="00FC6681">
        <w:t xml:space="preserve"> produced when air was used, both for isothermal and adiabatic systems. These results are associated with the consumption of H</w:t>
      </w:r>
      <w:r w:rsidRPr="00FC6681">
        <w:rPr>
          <w:vertAlign w:val="subscript"/>
        </w:rPr>
        <w:t>2</w:t>
      </w:r>
      <w:r w:rsidRPr="00FC6681">
        <w:t xml:space="preserve"> to produce NH</w:t>
      </w:r>
      <w:r w:rsidRPr="00FC6681">
        <w:rPr>
          <w:vertAlign w:val="subscript"/>
        </w:rPr>
        <w:t>3</w:t>
      </w:r>
      <w:r w:rsidRPr="00FC6681">
        <w:t xml:space="preserve"> in isothermal systems and with a reduction in the equilibrium temperature for adiabatic systems</w:t>
      </w:r>
      <w:r w:rsidRPr="00017DDB">
        <w:t xml:space="preserve">. At high temperatures (above 900 K) SR was </w:t>
      </w:r>
      <w:r w:rsidR="00C34AC5">
        <w:t xml:space="preserve">an </w:t>
      </w:r>
      <w:r w:rsidRPr="00017DDB">
        <w:t>endothermic</w:t>
      </w:r>
      <w:r w:rsidR="00C34AC5">
        <w:t xml:space="preserve"> reaction</w:t>
      </w:r>
      <w:r w:rsidRPr="00017DDB">
        <w:t xml:space="preserve">, being autothermic at a temperature of 900 K and slightly exothermic under </w:t>
      </w:r>
      <w:r>
        <w:t>higher temperatures</w:t>
      </w:r>
      <w:r w:rsidRPr="00017DDB">
        <w:t xml:space="preserve">. The SCWG reaction proved to be exothermic for almost the entire temperature range studied, being autothermal only at 1000 K (highest temperature </w:t>
      </w:r>
      <w:r>
        <w:t>tested</w:t>
      </w:r>
      <w:r w:rsidRPr="00017DDB">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2"/>
      </w:tblGrid>
      <w:tr w:rsidR="007432F3" w:rsidTr="002E02F6">
        <w:trPr>
          <w:trHeight w:val="1587"/>
        </w:trPr>
        <w:tc>
          <w:tcPr>
            <w:tcW w:w="4388" w:type="dxa"/>
          </w:tcPr>
          <w:p w:rsidR="003D4A65" w:rsidRDefault="007432F3" w:rsidP="00A210F9">
            <w:pPr>
              <w:pStyle w:val="CETBodytext"/>
            </w:pPr>
            <w:r w:rsidRPr="00D506B6">
              <w:rPr>
                <w:rFonts w:ascii="Times New Roman" w:hAnsi="Times New Roman"/>
                <w:noProof/>
                <w:lang w:val="pt-BR" w:eastAsia="pt-BR"/>
              </w:rPr>
              <w:drawing>
                <wp:inline distT="0" distB="0" distL="0" distR="0">
                  <wp:extent cx="2788467" cy="1440000"/>
                  <wp:effectExtent l="0" t="0" r="0" b="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8F4B937-0D17-1E43-9236-49A5C7362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389" w:type="dxa"/>
          </w:tcPr>
          <w:p w:rsidR="003D4A65" w:rsidRDefault="00134B8E" w:rsidP="00A210F9">
            <w:pPr>
              <w:pStyle w:val="CETBodytext"/>
            </w:pPr>
            <w:r w:rsidRPr="00D506B6">
              <w:rPr>
                <w:rFonts w:ascii="Times New Roman" w:hAnsi="Times New Roman"/>
                <w:noProof/>
                <w:lang w:val="pt-BR" w:eastAsia="pt-BR"/>
              </w:rPr>
              <w:drawing>
                <wp:inline distT="0" distB="0" distL="0" distR="0">
                  <wp:extent cx="2790000" cy="14400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432F3" w:rsidTr="002E02F6">
        <w:trPr>
          <w:trHeight w:val="1644"/>
        </w:trPr>
        <w:tc>
          <w:tcPr>
            <w:tcW w:w="4388" w:type="dxa"/>
          </w:tcPr>
          <w:p w:rsidR="003D4A65" w:rsidRDefault="00E113C0" w:rsidP="00A210F9">
            <w:pPr>
              <w:pStyle w:val="CETBodytext"/>
            </w:pPr>
            <w:r w:rsidRPr="00D506B6">
              <w:rPr>
                <w:rFonts w:ascii="Times New Roman" w:hAnsi="Times New Roman"/>
                <w:noProof/>
                <w:lang w:val="pt-BR" w:eastAsia="pt-BR"/>
              </w:rPr>
              <w:drawing>
                <wp:inline distT="0" distB="0" distL="0" distR="0">
                  <wp:extent cx="2790000" cy="14400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389" w:type="dxa"/>
          </w:tcPr>
          <w:p w:rsidR="003D4A65" w:rsidRDefault="00CE35FD" w:rsidP="00A210F9">
            <w:pPr>
              <w:pStyle w:val="CETBodytext"/>
            </w:pPr>
            <w:r w:rsidRPr="00D506B6">
              <w:rPr>
                <w:rFonts w:ascii="Times New Roman" w:hAnsi="Times New Roman"/>
                <w:noProof/>
                <w:lang w:val="pt-BR" w:eastAsia="pt-BR"/>
              </w:rPr>
              <w:drawing>
                <wp:anchor distT="0" distB="0" distL="114300" distR="114300" simplePos="0" relativeHeight="251659264" behindDoc="0" locked="0" layoutInCell="1" allowOverlap="1">
                  <wp:simplePos x="0" y="0"/>
                  <wp:positionH relativeFrom="column">
                    <wp:posOffset>-68580</wp:posOffset>
                  </wp:positionH>
                  <wp:positionV relativeFrom="paragraph">
                    <wp:posOffset>151765</wp:posOffset>
                  </wp:positionV>
                  <wp:extent cx="2790000" cy="1440000"/>
                  <wp:effectExtent l="0" t="0" r="0" b="0"/>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r>
      <w:tr w:rsidR="005655FB" w:rsidTr="00977673">
        <w:tc>
          <w:tcPr>
            <w:tcW w:w="8777" w:type="dxa"/>
            <w:gridSpan w:val="2"/>
          </w:tcPr>
          <w:p w:rsidR="005655FB" w:rsidRDefault="005655FB" w:rsidP="005655FB">
            <w:pPr>
              <w:pStyle w:val="CETBodytext"/>
              <w:jc w:val="center"/>
            </w:pPr>
            <w:r w:rsidRPr="00D506B6">
              <w:rPr>
                <w:rFonts w:ascii="Times New Roman" w:hAnsi="Times New Roman"/>
                <w:noProof/>
                <w:lang w:val="pt-BR" w:eastAsia="pt-BR"/>
              </w:rPr>
              <w:drawing>
                <wp:inline distT="0" distB="0" distL="0" distR="0">
                  <wp:extent cx="2788467" cy="14400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A72B77" w:rsidRDefault="00E113C0" w:rsidP="00A72B77">
      <w:pPr>
        <w:pStyle w:val="CETBodytext"/>
      </w:pPr>
      <w:r w:rsidRPr="00966128">
        <w:t xml:space="preserve">Figure </w:t>
      </w:r>
      <w:r w:rsidR="00966128" w:rsidRPr="00966128">
        <w:t>1</w:t>
      </w:r>
      <w:r w:rsidR="00966128">
        <w:t>:</w:t>
      </w:r>
      <w:r w:rsidR="00966128" w:rsidRPr="00966128">
        <w:t xml:space="preserve"> Hydrogen pro</w:t>
      </w:r>
      <w:r w:rsidR="00966128">
        <w:t>duction in mol</w:t>
      </w:r>
      <w:r w:rsidR="008C1591">
        <w:t>e</w:t>
      </w:r>
      <w:r w:rsidR="00966128">
        <w:t>s as function of temperature during</w:t>
      </w:r>
      <w:r w:rsidRPr="00966128">
        <w:t xml:space="preserve"> </w:t>
      </w:r>
      <w:r w:rsidR="005655FB" w:rsidRPr="00966128">
        <w:t>(a)</w:t>
      </w:r>
      <w:r w:rsidR="007E0840" w:rsidRPr="00966128">
        <w:t xml:space="preserve"> ATR,</w:t>
      </w:r>
      <w:r w:rsidR="005655FB" w:rsidRPr="00966128">
        <w:t xml:space="preserve"> (b)</w:t>
      </w:r>
      <w:r w:rsidR="007E0840" w:rsidRPr="00966128">
        <w:t xml:space="preserve"> PR,</w:t>
      </w:r>
      <w:r w:rsidR="005655FB" w:rsidRPr="00966128">
        <w:t xml:space="preserve"> (c) </w:t>
      </w:r>
      <w:r w:rsidR="007E0840" w:rsidRPr="00966128">
        <w:t xml:space="preserve">OR, </w:t>
      </w:r>
      <w:r w:rsidR="005655FB" w:rsidRPr="00966128">
        <w:t>(d)</w:t>
      </w:r>
      <w:r w:rsidR="007E0840" w:rsidRPr="00966128">
        <w:t xml:space="preserve"> SR and</w:t>
      </w:r>
      <w:r w:rsidR="005655FB" w:rsidRPr="00966128">
        <w:t xml:space="preserve"> (e)</w:t>
      </w:r>
      <w:r w:rsidR="00977673" w:rsidRPr="00966128">
        <w:t xml:space="preserve"> SCWG</w:t>
      </w:r>
      <w:r w:rsidR="00966128">
        <w:t xml:space="preserve"> reactions</w:t>
      </w:r>
      <w:r w:rsidR="007E0840" w:rsidRPr="00966128">
        <w:t>.</w:t>
      </w:r>
      <w:r w:rsidR="00615C5B" w:rsidRPr="00966128">
        <w:t xml:space="preserve"> </w:t>
      </w:r>
      <w:r w:rsidR="00615C5B" w:rsidRPr="00615C5B">
        <w:t xml:space="preserve">Legend: </w:t>
      </w:r>
      <w:r w:rsidR="00022DB3">
        <w:rPr>
          <w:noProof/>
          <w:lang w:val="pt-BR" w:eastAsia="pt-BR"/>
        </w:rPr>
        <w:drawing>
          <wp:inline distT="0" distB="0" distL="0" distR="0">
            <wp:extent cx="145397" cy="63611"/>
            <wp:effectExtent l="0" t="0" r="0" b="0"/>
            <wp:docPr id="207254492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44922" name="Imagem 2072544922"/>
                    <pic:cNvPicPr/>
                  </pic:nvPicPr>
                  <pic:blipFill>
                    <a:blip r:embed="rId15"/>
                    <a:stretch>
                      <a:fillRect/>
                    </a:stretch>
                  </pic:blipFill>
                  <pic:spPr>
                    <a:xfrm flipH="1">
                      <a:off x="0" y="0"/>
                      <a:ext cx="176529" cy="77231"/>
                    </a:xfrm>
                    <a:prstGeom prst="rect">
                      <a:avLst/>
                    </a:prstGeom>
                  </pic:spPr>
                </pic:pic>
              </a:graphicData>
            </a:graphic>
          </wp:inline>
        </w:drawing>
      </w:r>
      <w:r w:rsidR="00615C5B" w:rsidRPr="00615C5B">
        <w:t>isothermic reactors and</w:t>
      </w:r>
      <w:r w:rsidR="00022DB3">
        <w:t xml:space="preserve"> </w:t>
      </w:r>
      <w:r w:rsidR="00022DB3">
        <w:rPr>
          <w:noProof/>
          <w:lang w:val="pt-BR" w:eastAsia="pt-BR"/>
        </w:rPr>
        <w:drawing>
          <wp:inline distT="0" distB="0" distL="0" distR="0">
            <wp:extent cx="147600" cy="63257"/>
            <wp:effectExtent l="0" t="0" r="5080" b="635"/>
            <wp:docPr id="63881412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14125" name="Imagem 638814125"/>
                    <pic:cNvPicPr/>
                  </pic:nvPicPr>
                  <pic:blipFill>
                    <a:blip r:embed="rId16"/>
                    <a:stretch>
                      <a:fillRect/>
                    </a:stretch>
                  </pic:blipFill>
                  <pic:spPr>
                    <a:xfrm>
                      <a:off x="0" y="0"/>
                      <a:ext cx="147600" cy="63257"/>
                    </a:xfrm>
                    <a:prstGeom prst="rect">
                      <a:avLst/>
                    </a:prstGeom>
                  </pic:spPr>
                </pic:pic>
              </a:graphicData>
            </a:graphic>
          </wp:inline>
        </w:drawing>
      </w:r>
      <w:r w:rsidR="00615C5B" w:rsidRPr="00615C5B">
        <w:t xml:space="preserve"> adiabatic reactors.</w:t>
      </w:r>
      <w:r w:rsidR="00CC3693">
        <w:t xml:space="preserve"> ATR, PR, OR and SR at 1 bar and SCWG at 230 bar.</w:t>
      </w:r>
    </w:p>
    <w:p w:rsidR="002E02F6" w:rsidRPr="002E02F6" w:rsidRDefault="002E02F6" w:rsidP="00A72B77">
      <w:pPr>
        <w:pStyle w:val="CETBodytext"/>
        <w:rPr>
          <w:sz w:val="6"/>
          <w:szCs w:val="8"/>
        </w:rPr>
      </w:pPr>
    </w:p>
    <w:p w:rsidR="00A72B77" w:rsidRDefault="00A72B77" w:rsidP="00A72B77">
      <w:pPr>
        <w:pStyle w:val="CETBodytext"/>
      </w:pPr>
      <w:r w:rsidRPr="00CE2AC4">
        <w:t xml:space="preserve">Conflicting the results presented in </w:t>
      </w:r>
      <w:r w:rsidR="007F3C8D">
        <w:t>F</w:t>
      </w:r>
      <w:r w:rsidRPr="00CE2AC4">
        <w:t>igures 1 and 2, it appears that the regions of greater molar production of H</w:t>
      </w:r>
      <w:r w:rsidRPr="00CE2AC4">
        <w:rPr>
          <w:vertAlign w:val="subscript"/>
        </w:rPr>
        <w:t>2</w:t>
      </w:r>
      <w:r w:rsidRPr="00CE2AC4">
        <w:t xml:space="preserve"> are associated with regions of higher temperatures of the reactive systems. This behavior is interesting, as it is an indication that the processes that lead to production of H</w:t>
      </w:r>
      <w:r w:rsidRPr="00CE2AC4">
        <w:rPr>
          <w:vertAlign w:val="subscript"/>
        </w:rPr>
        <w:t>2</w:t>
      </w:r>
      <w:r w:rsidRPr="00CE2AC4">
        <w:t xml:space="preserve"> in </w:t>
      </w:r>
      <w:r>
        <w:t>thermochemical conversion of LB</w:t>
      </w:r>
      <w:r w:rsidRPr="00CE2AC4">
        <w:t xml:space="preserve"> systems are associated with reactions that require high temperatures, probably being linked to decomposition processes</w:t>
      </w:r>
      <w:r>
        <w:t xml:space="preserve"> of </w:t>
      </w:r>
      <w:r w:rsidR="002E02F6">
        <w:t>LB</w:t>
      </w:r>
      <w:r w:rsidRPr="00CE2AC4">
        <w:t>. As a result, mostly exothermic processes have an operational advantage, by guaranteeing higher operati</w:t>
      </w:r>
      <w:r w:rsidR="007F3C8D">
        <w:t xml:space="preserve">onal </w:t>
      </w:r>
      <w:r w:rsidRPr="00CE2AC4">
        <w:t>temperatures for the system</w:t>
      </w:r>
      <w:r>
        <w:t xml:space="preserve"> and</w:t>
      </w:r>
      <w:r w:rsidR="007F3C8D">
        <w:t xml:space="preserve">, consequently, </w:t>
      </w:r>
      <w:r>
        <w:t>higher H</w:t>
      </w:r>
      <w:r w:rsidRPr="00CE2AC4">
        <w:rPr>
          <w:vertAlign w:val="subscript"/>
        </w:rPr>
        <w:t>2</w:t>
      </w:r>
      <w:r>
        <w:t xml:space="preserve"> productions</w:t>
      </w:r>
      <w:r w:rsidRPr="00CE2AC4">
        <w:t>.</w:t>
      </w:r>
    </w:p>
    <w:p w:rsidR="002E02F6" w:rsidRPr="00017DDB" w:rsidRDefault="00A72B77" w:rsidP="00A210F9">
      <w:pPr>
        <w:pStyle w:val="CETBodytext"/>
      </w:pPr>
      <w:r w:rsidRPr="00A13C93">
        <w:t>Figure 3 presents the results for the effect of pressure on the molar fraction of H</w:t>
      </w:r>
      <w:r w:rsidRPr="00A13C93">
        <w:rPr>
          <w:vertAlign w:val="subscript"/>
        </w:rPr>
        <w:t>2</w:t>
      </w:r>
      <w:r w:rsidRPr="00A13C93">
        <w:t xml:space="preserve"> in the systems studied. Here, the operating temperature was set at 800 K for all studied thermochemical processes. From this figure, </w:t>
      </w:r>
      <w:r w:rsidR="007F3C8D">
        <w:t>it is possible to</w:t>
      </w:r>
      <w:r w:rsidRPr="00A13C93">
        <w:t xml:space="preserve"> to verify that the highest molar fractions of H</w:t>
      </w:r>
      <w:r w:rsidRPr="00A13C93">
        <w:rPr>
          <w:vertAlign w:val="subscript"/>
        </w:rPr>
        <w:t>2</w:t>
      </w:r>
      <w:r w:rsidRPr="00A13C93">
        <w:t xml:space="preserve"> in the product stream were observed under isothermal conditions, for the ATR (0.47) and SR (0.46) systems, both results being obtained under atmospheric pressure (lowest</w:t>
      </w:r>
      <w:r>
        <w:t xml:space="preserve"> pressure</w:t>
      </w:r>
      <w:r w:rsidRPr="00A13C93">
        <w:t xml:space="preserve"> considered</w:t>
      </w:r>
      <w:r>
        <w:t xml:space="preserve"> in simulations</w:t>
      </w:r>
      <w:r w:rsidRPr="00A13C93">
        <w:t>). The OR and PR reactions showed behaviors where the adiabatic processes were more efficient in producing higher molar fractions of H</w:t>
      </w:r>
      <w:r w:rsidRPr="00A13C93">
        <w:rPr>
          <w:vertAlign w:val="subscript"/>
        </w:rPr>
        <w:t>2</w:t>
      </w:r>
      <w:r w:rsidRPr="00A13C93">
        <w:t xml:space="preserve"> in the product</w:t>
      </w:r>
      <w:r>
        <w:t xml:space="preserve"> stream</w:t>
      </w:r>
      <w:r w:rsidRPr="00A13C93">
        <w:t>, with this behavior being observed across the entire pressure range for PR and at pressures above 3</w:t>
      </w:r>
      <w:r>
        <w:t>.0</w:t>
      </w:r>
      <w:r w:rsidRPr="00A13C93">
        <w:t xml:space="preserve"> bar for OR. The lowest molar fractions of H</w:t>
      </w:r>
      <w:r w:rsidRPr="00A13C93">
        <w:rPr>
          <w:vertAlign w:val="subscript"/>
        </w:rPr>
        <w:t>2</w:t>
      </w:r>
      <w:r w:rsidRPr="00A13C93">
        <w:t xml:space="preserve"> were observed for the SCWG process, although this process is responsible for the highest total molar production </w:t>
      </w:r>
      <w:r w:rsidR="007F3C8D">
        <w:t>of H</w:t>
      </w:r>
      <w:r w:rsidR="007F3C8D" w:rsidRPr="007F3C8D">
        <w:rPr>
          <w:vertAlign w:val="subscript"/>
        </w:rPr>
        <w:t>2</w:t>
      </w:r>
      <w:r w:rsidR="00134B8E">
        <w:t xml:space="preserve"> (as presented in Figure 1)</w:t>
      </w:r>
      <w:r w:rsidR="00571D7E">
        <w:t>; t</w:t>
      </w:r>
      <w:r w:rsidRPr="00A13C93">
        <w:t xml:space="preserve">his behavior </w:t>
      </w:r>
      <w:r>
        <w:t>can be explained by</w:t>
      </w:r>
      <w:r w:rsidRPr="00A13C93">
        <w:t xml:space="preserve"> the excess water used to feed this system</w:t>
      </w:r>
      <w:r w:rsidR="007F3C8D">
        <w:t xml:space="preserve">, </w:t>
      </w:r>
      <w:r w:rsidR="007F3C8D" w:rsidRPr="007F3C8D">
        <w:t>which generates a dilution effect when considering the total number of moles in the system</w:t>
      </w:r>
      <w:r w:rsidRPr="00A13C93">
        <w:t>.</w:t>
      </w:r>
      <w:r w:rsidR="00BA3293">
        <w:t xml:space="preserve"> </w:t>
      </w:r>
      <w:r w:rsidR="00BA3293" w:rsidRPr="00BA3293">
        <w:t xml:space="preserve">In dry basis all results are </w:t>
      </w:r>
      <w:r w:rsidR="0062330E">
        <w:t xml:space="preserve">more </w:t>
      </w:r>
      <w:r w:rsidR="00BA3293" w:rsidRPr="00BA3293">
        <w:t xml:space="preserve">similar </w:t>
      </w:r>
      <w:r w:rsidR="00B52453">
        <w:t>for</w:t>
      </w:r>
      <w:r w:rsidR="00BA3293" w:rsidRPr="00BA3293">
        <w:t xml:space="preserve"> hydrogen</w:t>
      </w:r>
      <w:r w:rsidR="0062330E">
        <w:t>,</w:t>
      </w:r>
      <w:r w:rsidR="00BA3293" w:rsidRPr="00BA3293">
        <w:t xml:space="preserve"> with the lowest H</w:t>
      </w:r>
      <w:r w:rsidR="00BA3293" w:rsidRPr="00BA3293">
        <w:rPr>
          <w:vertAlign w:val="subscript"/>
        </w:rPr>
        <w:t>2</w:t>
      </w:r>
      <w:r w:rsidR="00BA3293" w:rsidRPr="00BA3293">
        <w:t xml:space="preserve"> </w:t>
      </w:r>
      <w:r w:rsidR="0062330E">
        <w:t>molar fraction</w:t>
      </w:r>
      <w:r w:rsidR="00BA3293" w:rsidRPr="00BA3293">
        <w:t xml:space="preserve"> observed in the PR</w:t>
      </w:r>
      <w:r w:rsidR="00BA3293">
        <w:t xml:space="preserve"> reaction (average of 0.26 on a dry basis) and the highest </w:t>
      </w:r>
      <w:r w:rsidR="00B52453" w:rsidRPr="00BA3293">
        <w:t>H</w:t>
      </w:r>
      <w:r w:rsidR="00B52453" w:rsidRPr="00BA3293">
        <w:rPr>
          <w:vertAlign w:val="subscript"/>
        </w:rPr>
        <w:t>2</w:t>
      </w:r>
      <w:r w:rsidR="00B52453">
        <w:rPr>
          <w:vertAlign w:val="subscript"/>
        </w:rPr>
        <w:t xml:space="preserve"> </w:t>
      </w:r>
      <w:r w:rsidR="0062330E">
        <w:t xml:space="preserve">molar </w:t>
      </w:r>
      <w:r w:rsidR="0062330E">
        <w:lastRenderedPageBreak/>
        <w:t>fraction</w:t>
      </w:r>
      <w:r w:rsidR="00BA3293">
        <w:t xml:space="preserve"> observed in the SCWG </w:t>
      </w:r>
      <w:r w:rsidR="00571D7E">
        <w:t xml:space="preserve">reaction </w:t>
      </w:r>
      <w:r w:rsidR="00BA3293">
        <w:t xml:space="preserve">(average of 0.46 on a dry basis). </w:t>
      </w:r>
      <w:r w:rsidR="002E02F6" w:rsidRPr="000159EE">
        <w:t xml:space="preserve">The analysis of the results also shows that, within the evaluated reaction conditions, the reactor operating </w:t>
      </w:r>
      <w:r w:rsidR="00B52453">
        <w:t>mode</w:t>
      </w:r>
      <w:r w:rsidR="00C7479D">
        <w:t xml:space="preserve"> (adiabatic or isothermal</w:t>
      </w:r>
      <w:r w:rsidR="002E02F6">
        <w:t xml:space="preserve"> operations)</w:t>
      </w:r>
      <w:r w:rsidR="002E02F6" w:rsidRPr="000159EE">
        <w:t xml:space="preserve"> and</w:t>
      </w:r>
      <w:r w:rsidR="002E02F6">
        <w:t xml:space="preserve"> the</w:t>
      </w:r>
      <w:r w:rsidR="002E02F6" w:rsidRPr="000159EE">
        <w:t xml:space="preserve"> temperature </w:t>
      </w:r>
      <w:r w:rsidR="002E02F6">
        <w:t xml:space="preserve">in that the reaction was conducted </w:t>
      </w:r>
      <w:r w:rsidR="002E02F6" w:rsidRPr="000159EE">
        <w:t>have a greater influence on the H</w:t>
      </w:r>
      <w:r w:rsidR="002E02F6" w:rsidRPr="000159EE">
        <w:rPr>
          <w:vertAlign w:val="subscript"/>
        </w:rPr>
        <w:t>2</w:t>
      </w:r>
      <w:r w:rsidR="002E02F6" w:rsidRPr="000159EE">
        <w:t xml:space="preserve"> production behavior than the system operating pressure.</w:t>
      </w:r>
      <w:r w:rsidR="002E02F6">
        <w:t xml:space="preserve"> </w:t>
      </w:r>
      <w:r w:rsidR="002E02F6" w:rsidRPr="00CF7F87">
        <w:t>Similar results are reported for thermochemical treatments of other carbonaceous materials</w:t>
      </w:r>
      <w:r w:rsidR="002E02F6">
        <w:t xml:space="preserve"> (Freitas and Guirardello, 2013)</w:t>
      </w:r>
      <w:r w:rsidR="002E02F6" w:rsidRPr="00CF7F87">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2"/>
      </w:tblGrid>
      <w:tr w:rsidR="003D4A65" w:rsidRPr="00615C5B" w:rsidTr="00B9541B">
        <w:tc>
          <w:tcPr>
            <w:tcW w:w="4616" w:type="dxa"/>
          </w:tcPr>
          <w:p w:rsidR="003D4A65" w:rsidRPr="00615C5B" w:rsidRDefault="00D172F8" w:rsidP="00624C73">
            <w:pPr>
              <w:pStyle w:val="CETBodytext"/>
            </w:pPr>
            <w:r w:rsidRPr="00D506B6">
              <w:rPr>
                <w:rFonts w:ascii="Times New Roman" w:hAnsi="Times New Roman"/>
                <w:noProof/>
                <w:lang w:val="pt-BR" w:eastAsia="pt-BR"/>
              </w:rPr>
              <w:drawing>
                <wp:inline distT="0" distB="0" distL="0" distR="0">
                  <wp:extent cx="2790000" cy="1440000"/>
                  <wp:effectExtent l="0" t="0" r="4445" b="0"/>
                  <wp:docPr id="7" name="Gráfico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D24535C-AD16-1840-96F3-85B569590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161" w:type="dxa"/>
          </w:tcPr>
          <w:p w:rsidR="003D4A65" w:rsidRPr="00615C5B" w:rsidRDefault="00C66EF9" w:rsidP="00624C73">
            <w:pPr>
              <w:pStyle w:val="CETBodytext"/>
            </w:pPr>
            <w:r w:rsidRPr="00D506B6">
              <w:rPr>
                <w:rFonts w:ascii="Times New Roman" w:hAnsi="Times New Roman"/>
                <w:noProof/>
                <w:lang w:val="pt-BR" w:eastAsia="pt-BR"/>
              </w:rPr>
              <w:drawing>
                <wp:inline distT="0" distB="0" distL="0" distR="0">
                  <wp:extent cx="2790000" cy="1440000"/>
                  <wp:effectExtent l="0" t="0" r="444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D4A65" w:rsidRPr="00615C5B" w:rsidTr="00B9541B">
        <w:tc>
          <w:tcPr>
            <w:tcW w:w="4616" w:type="dxa"/>
          </w:tcPr>
          <w:p w:rsidR="003D4A65" w:rsidRPr="00615C5B" w:rsidRDefault="0083753E" w:rsidP="00624C73">
            <w:pPr>
              <w:pStyle w:val="CETBodytext"/>
            </w:pPr>
            <w:r w:rsidRPr="00D506B6">
              <w:rPr>
                <w:rFonts w:ascii="Times New Roman" w:hAnsi="Times New Roman"/>
                <w:noProof/>
                <w:lang w:val="pt-BR" w:eastAsia="pt-BR"/>
              </w:rPr>
              <w:drawing>
                <wp:inline distT="0" distB="0" distL="0" distR="0">
                  <wp:extent cx="2790000" cy="1440000"/>
                  <wp:effectExtent l="0" t="0" r="444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161" w:type="dxa"/>
          </w:tcPr>
          <w:p w:rsidR="003D4A65" w:rsidRPr="00615C5B" w:rsidRDefault="0083753E" w:rsidP="00624C73">
            <w:pPr>
              <w:pStyle w:val="CETBodytext"/>
            </w:pPr>
            <w:r w:rsidRPr="00D506B6">
              <w:rPr>
                <w:rFonts w:ascii="Times New Roman" w:hAnsi="Times New Roman"/>
                <w:noProof/>
                <w:lang w:val="pt-BR" w:eastAsia="pt-BR"/>
              </w:rPr>
              <w:drawing>
                <wp:inline distT="0" distB="0" distL="0" distR="0">
                  <wp:extent cx="2790000" cy="1440000"/>
                  <wp:effectExtent l="0" t="0" r="444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A3411B" w:rsidRPr="00615C5B" w:rsidTr="00B9541B">
        <w:tc>
          <w:tcPr>
            <w:tcW w:w="8777" w:type="dxa"/>
            <w:gridSpan w:val="2"/>
          </w:tcPr>
          <w:p w:rsidR="00A3411B" w:rsidRPr="00615C5B" w:rsidRDefault="00B9541B" w:rsidP="00A3411B">
            <w:pPr>
              <w:pStyle w:val="CETBodytext"/>
              <w:jc w:val="center"/>
            </w:pPr>
            <w:r w:rsidRPr="00D506B6">
              <w:rPr>
                <w:rFonts w:ascii="Times New Roman" w:hAnsi="Times New Roman"/>
                <w:noProof/>
                <w:lang w:val="pt-BR" w:eastAsia="pt-BR"/>
              </w:rPr>
              <w:drawing>
                <wp:inline distT="0" distB="0" distL="0" distR="0">
                  <wp:extent cx="2790000" cy="1440000"/>
                  <wp:effectExtent l="0" t="0" r="444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E2AC4" w:rsidRPr="00CC3693" w:rsidRDefault="00E113C0" w:rsidP="00A3411B">
      <w:pPr>
        <w:pStyle w:val="CETBodytext"/>
      </w:pPr>
      <w:r>
        <w:t xml:space="preserve">Figure 2. </w:t>
      </w:r>
      <w:r w:rsidR="00A3411B">
        <w:t xml:space="preserve">Equilibrium temperatures as function of initial temperature during </w:t>
      </w:r>
      <w:r w:rsidR="00A3411B" w:rsidRPr="00966128">
        <w:t>(a) ATR, (b) PR, (c) OR, (d) SR and (e) SCWG</w:t>
      </w:r>
      <w:r w:rsidR="00A3411B">
        <w:t xml:space="preserve"> reactions</w:t>
      </w:r>
      <w:r w:rsidR="00A3411B" w:rsidRPr="00966128">
        <w:t xml:space="preserve">. </w:t>
      </w:r>
      <w:r w:rsidR="00A3411B" w:rsidRPr="00CC3693">
        <w:t xml:space="preserve">Legend: </w:t>
      </w:r>
      <w:r w:rsidR="00022DB3">
        <w:rPr>
          <w:noProof/>
          <w:lang w:val="pt-BR" w:eastAsia="pt-BR"/>
        </w:rPr>
        <w:drawing>
          <wp:inline distT="0" distB="0" distL="0" distR="0">
            <wp:extent cx="145397" cy="63611"/>
            <wp:effectExtent l="0" t="0" r="0" b="0"/>
            <wp:docPr id="1938063919" name="Imagem 193806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44922" name="Imagem 2072544922"/>
                    <pic:cNvPicPr/>
                  </pic:nvPicPr>
                  <pic:blipFill>
                    <a:blip r:embed="rId15"/>
                    <a:stretch>
                      <a:fillRect/>
                    </a:stretch>
                  </pic:blipFill>
                  <pic:spPr>
                    <a:xfrm flipH="1">
                      <a:off x="0" y="0"/>
                      <a:ext cx="176529" cy="77231"/>
                    </a:xfrm>
                    <a:prstGeom prst="rect">
                      <a:avLst/>
                    </a:prstGeom>
                  </pic:spPr>
                </pic:pic>
              </a:graphicData>
            </a:graphic>
          </wp:inline>
        </w:drawing>
      </w:r>
      <w:r w:rsidR="00022DB3" w:rsidRPr="00CC3693">
        <w:t xml:space="preserve">isothermic reactors and </w:t>
      </w:r>
      <w:r w:rsidR="00022DB3">
        <w:rPr>
          <w:noProof/>
          <w:lang w:val="pt-BR" w:eastAsia="pt-BR"/>
        </w:rPr>
        <w:drawing>
          <wp:inline distT="0" distB="0" distL="0" distR="0">
            <wp:extent cx="147600" cy="63257"/>
            <wp:effectExtent l="0" t="0" r="5080" b="635"/>
            <wp:docPr id="57753999" name="Imagem 5775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14125" name="Imagem 638814125"/>
                    <pic:cNvPicPr/>
                  </pic:nvPicPr>
                  <pic:blipFill>
                    <a:blip r:embed="rId16"/>
                    <a:stretch>
                      <a:fillRect/>
                    </a:stretch>
                  </pic:blipFill>
                  <pic:spPr>
                    <a:xfrm>
                      <a:off x="0" y="0"/>
                      <a:ext cx="147600" cy="63257"/>
                    </a:xfrm>
                    <a:prstGeom prst="rect">
                      <a:avLst/>
                    </a:prstGeom>
                  </pic:spPr>
                </pic:pic>
              </a:graphicData>
            </a:graphic>
          </wp:inline>
        </w:drawing>
      </w:r>
      <w:r w:rsidR="00022DB3" w:rsidRPr="00CC3693">
        <w:t xml:space="preserve"> adiabatic reactors.</w:t>
      </w:r>
      <w:r w:rsidR="00CC3693" w:rsidRPr="00CC3693">
        <w:t xml:space="preserve"> </w:t>
      </w:r>
      <w:r w:rsidR="00CC3693">
        <w:t>ATR, PR, OR and SR at 1 bar and SCWG at 230 bar.</w:t>
      </w:r>
    </w:p>
    <w:p w:rsidR="008643EB" w:rsidRPr="00CC3693" w:rsidRDefault="008643EB" w:rsidP="00A3411B">
      <w:pPr>
        <w:pStyle w:val="CETBodytext"/>
      </w:pPr>
    </w:p>
    <w:p w:rsidR="00D647AB" w:rsidRDefault="00513574" w:rsidP="003F0B52">
      <w:pPr>
        <w:pStyle w:val="CETBodytext"/>
        <w:jc w:val="center"/>
      </w:pPr>
      <w:r>
        <w:rPr>
          <w:noProof/>
          <w:lang w:val="pt-BR" w:eastAsia="pt-BR"/>
        </w:rPr>
        <w:drawing>
          <wp:inline distT="0" distB="0" distL="0" distR="0">
            <wp:extent cx="5013492" cy="1872000"/>
            <wp:effectExtent l="0" t="0" r="3175" b="0"/>
            <wp:docPr id="185879390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93904" name="Imagem 1858793904"/>
                    <pic:cNvPicPr/>
                  </pic:nvPicPr>
                  <pic:blipFill>
                    <a:blip r:embed="rId22"/>
                    <a:stretch>
                      <a:fillRect/>
                    </a:stretch>
                  </pic:blipFill>
                  <pic:spPr>
                    <a:xfrm>
                      <a:off x="0" y="0"/>
                      <a:ext cx="5013492" cy="1872000"/>
                    </a:xfrm>
                    <a:prstGeom prst="rect">
                      <a:avLst/>
                    </a:prstGeom>
                  </pic:spPr>
                </pic:pic>
              </a:graphicData>
            </a:graphic>
          </wp:inline>
        </w:drawing>
      </w:r>
    </w:p>
    <w:p w:rsidR="002B0B7D" w:rsidRPr="002E02F6" w:rsidRDefault="003F0B52" w:rsidP="00BA3293">
      <w:pPr>
        <w:pStyle w:val="CETBodytext"/>
        <w:spacing w:after="240"/>
      </w:pPr>
      <w:r>
        <w:t>Figure 3. Effect of pressure for isothermic (solid lines) and adiabatic (dashed lines) reforming systems for the different thermochemical</w:t>
      </w:r>
      <w:r w:rsidR="009908BD">
        <w:t xml:space="preserve"> processes studied </w:t>
      </w:r>
      <w:r w:rsidR="00CF55A2">
        <w:t>(a) ATR, PR, OR and SR processes and (b) SCWG process</w:t>
      </w:r>
      <w:r>
        <w:t>.</w:t>
      </w:r>
    </w:p>
    <w:p w:rsidR="00A210F9" w:rsidRDefault="00600535" w:rsidP="00BA3293">
      <w:pPr>
        <w:pStyle w:val="CETHeading1"/>
        <w:spacing w:before="0"/>
        <w:rPr>
          <w:lang w:val="en-GB"/>
        </w:rPr>
      </w:pPr>
      <w:r w:rsidRPr="00B57B36">
        <w:rPr>
          <w:lang w:val="en-GB"/>
        </w:rPr>
        <w:t>Conclusion</w:t>
      </w:r>
    </w:p>
    <w:p w:rsidR="002B0B7D" w:rsidRPr="002E02F6" w:rsidRDefault="0076272F" w:rsidP="0076272F">
      <w:pPr>
        <w:pStyle w:val="CETBodytext"/>
        <w:rPr>
          <w:lang w:val="en-GB"/>
        </w:rPr>
      </w:pPr>
      <w:r w:rsidRPr="002E02F6">
        <w:rPr>
          <w:lang w:val="en-GB"/>
        </w:rPr>
        <w:t>The regions of maximum hydrogen production for each thermochemical route were evaluated using thermodynamic modelling</w:t>
      </w:r>
      <w:r w:rsidR="002B0B7D" w:rsidRPr="002E02F6">
        <w:rPr>
          <w:lang w:val="en-GB"/>
        </w:rPr>
        <w:t xml:space="preserve"> considering isothermic and adiabatic operations throughout </w:t>
      </w:r>
      <w:r w:rsidR="002E02F6" w:rsidRPr="00980330">
        <w:rPr>
          <w:i/>
          <w:iCs/>
          <w:lang w:val="en-GB"/>
        </w:rPr>
        <w:t>minG</w:t>
      </w:r>
      <w:r w:rsidR="002B0B7D" w:rsidRPr="002E02F6">
        <w:rPr>
          <w:lang w:val="en-GB"/>
        </w:rPr>
        <w:t xml:space="preserve"> and </w:t>
      </w:r>
      <w:r w:rsidR="002E02F6" w:rsidRPr="00980330">
        <w:rPr>
          <w:i/>
          <w:iCs/>
          <w:lang w:val="en-GB"/>
        </w:rPr>
        <w:t>maxS</w:t>
      </w:r>
      <w:r w:rsidR="002B0B7D" w:rsidRPr="00980330">
        <w:rPr>
          <w:i/>
          <w:iCs/>
          <w:lang w:val="en-GB"/>
        </w:rPr>
        <w:t xml:space="preserve"> </w:t>
      </w:r>
      <w:r w:rsidR="002B0B7D" w:rsidRPr="002E02F6">
        <w:rPr>
          <w:lang w:val="en-GB"/>
        </w:rPr>
        <w:lastRenderedPageBreak/>
        <w:t>methods, respectively</w:t>
      </w:r>
      <w:r w:rsidRPr="002E02F6">
        <w:rPr>
          <w:lang w:val="en-GB"/>
        </w:rPr>
        <w:t>. The results showed that greater quantities of moles of hydrogen were produced in isothermal reactors for the SR, OR, ATR and PR routes. Only SWCG produce greater quantities of moles of hydrogen in an adiabatic system.</w:t>
      </w:r>
      <w:r w:rsidR="002B0B7D" w:rsidRPr="002E02F6">
        <w:rPr>
          <w:lang w:val="en-GB"/>
        </w:rPr>
        <w:t xml:space="preserve"> </w:t>
      </w:r>
    </w:p>
    <w:p w:rsidR="009C5E30" w:rsidRPr="002B0B7D" w:rsidRDefault="0076272F" w:rsidP="0076272F">
      <w:pPr>
        <w:pStyle w:val="CETBodytext"/>
        <w:rPr>
          <w:highlight w:val="yellow"/>
          <w:lang w:val="en-GB"/>
        </w:rPr>
      </w:pPr>
      <w:r w:rsidRPr="002E02F6">
        <w:rPr>
          <w:lang w:val="en-GB"/>
        </w:rPr>
        <w:t xml:space="preserve">Furthermore, the same trend was observed across all thermochemical routes for isothermal and adiabatic reactors: hydrogen productions were </w:t>
      </w:r>
      <w:r w:rsidR="00AA60B7" w:rsidRPr="002E02F6">
        <w:rPr>
          <w:lang w:val="en-GB"/>
        </w:rPr>
        <w:t>favoured</w:t>
      </w:r>
      <w:r w:rsidRPr="002E02F6">
        <w:rPr>
          <w:lang w:val="en-GB"/>
        </w:rPr>
        <w:t xml:space="preserve"> at higher temperatures and lower operating pressures. It was also possible to verify that in terms of pressure effect, among the routes covered, SWCG was the route that presented the pressure parameter with the most discrete influence on hydrogen production. All routes were favoured in the production of hydrogen at a pressure of 1 bar, which was the lowest pressure tested by this work. As expected, due to the characteristics of the </w:t>
      </w:r>
      <w:r w:rsidR="002E02F6">
        <w:rPr>
          <w:lang w:val="en-GB"/>
        </w:rPr>
        <w:t xml:space="preserve">LB </w:t>
      </w:r>
      <w:r w:rsidRPr="002E02F6">
        <w:rPr>
          <w:lang w:val="en-GB"/>
        </w:rPr>
        <w:t>reactions, the increase in pressure resulted in a decrease in the production of hydrogen gas.</w:t>
      </w:r>
      <w:r w:rsidR="002B0B7D">
        <w:rPr>
          <w:lang w:val="en-GB"/>
        </w:rPr>
        <w:t xml:space="preserve"> H</w:t>
      </w:r>
      <w:r w:rsidR="002B0B7D" w:rsidRPr="002B0B7D">
        <w:rPr>
          <w:lang w:val="en-GB"/>
        </w:rPr>
        <w:t xml:space="preserve">owever, </w:t>
      </w:r>
      <w:r w:rsidR="002B0B7D">
        <w:rPr>
          <w:lang w:val="en-GB"/>
        </w:rPr>
        <w:t>the operational reactor condition (isothermic or adiabatic)</w:t>
      </w:r>
      <w:r w:rsidR="002B0B7D" w:rsidRPr="002B0B7D">
        <w:rPr>
          <w:lang w:val="en-GB"/>
        </w:rPr>
        <w:t xml:space="preserve"> and </w:t>
      </w:r>
      <w:r w:rsidR="002B0B7D">
        <w:rPr>
          <w:lang w:val="en-GB"/>
        </w:rPr>
        <w:t xml:space="preserve">reactional </w:t>
      </w:r>
      <w:r w:rsidR="002B0B7D" w:rsidRPr="002B0B7D">
        <w:rPr>
          <w:lang w:val="en-GB"/>
        </w:rPr>
        <w:t xml:space="preserve">temperature proved to be </w:t>
      </w:r>
      <w:r w:rsidR="002B0B7D">
        <w:rPr>
          <w:lang w:val="en-GB"/>
        </w:rPr>
        <w:t>the most</w:t>
      </w:r>
      <w:r w:rsidR="002B0B7D" w:rsidRPr="002B0B7D">
        <w:rPr>
          <w:lang w:val="en-GB"/>
        </w:rPr>
        <w:t xml:space="preserve"> relevant factors for H</w:t>
      </w:r>
      <w:r w:rsidR="002B0B7D" w:rsidRPr="002B0B7D">
        <w:rPr>
          <w:vertAlign w:val="subscript"/>
          <w:lang w:val="en-GB"/>
        </w:rPr>
        <w:t>2</w:t>
      </w:r>
      <w:r w:rsidR="002B0B7D" w:rsidRPr="002B0B7D">
        <w:rPr>
          <w:lang w:val="en-GB"/>
        </w:rPr>
        <w:t xml:space="preserve"> production.</w:t>
      </w:r>
      <w:r w:rsidR="002B0B7D">
        <w:rPr>
          <w:lang w:val="en-GB"/>
        </w:rPr>
        <w:t xml:space="preserve"> </w:t>
      </w:r>
      <w:r w:rsidR="002B0B7D">
        <w:t>Both proposed thermodynamic models proved to be fast and effective in the calculations carried out in this paper, with computational times of less than 5 seconds in all performed simulations.</w:t>
      </w:r>
    </w:p>
    <w:p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rsidR="00605426" w:rsidRDefault="005F7639" w:rsidP="00280FAF">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mi</m:t>
            </m:r>
          </m:sub>
        </m:sSub>
      </m:oMath>
      <w:r w:rsidR="00605426" w:rsidRPr="00280FAF">
        <w:rPr>
          <w:rFonts w:eastAsia="SimSun"/>
        </w:rPr>
        <w:t>–</w:t>
      </w:r>
      <w:r w:rsidR="00605426">
        <w:rPr>
          <w:rFonts w:eastAsia="SimSun"/>
        </w:rPr>
        <w:t xml:space="preserve"> Number of atoms of element </w:t>
      </w:r>
      <w:r w:rsidR="00605426" w:rsidRPr="00605426">
        <w:rPr>
          <w:rFonts w:eastAsia="SimSun"/>
          <w:i/>
          <w:iCs/>
        </w:rPr>
        <w:t>i</w:t>
      </w:r>
      <w:r w:rsidR="00605426">
        <w:rPr>
          <w:rFonts w:eastAsia="SimSun"/>
        </w:rPr>
        <w:t xml:space="preserve"> in component </w:t>
      </w:r>
      <w:r w:rsidR="00605426" w:rsidRPr="00605426">
        <w:rPr>
          <w:rFonts w:eastAsia="SimSun"/>
          <w:i/>
          <w:iCs/>
        </w:rPr>
        <w:t>m</w:t>
      </w:r>
      <w:r w:rsidR="00605426">
        <w:rPr>
          <w:rFonts w:eastAsia="SimSun"/>
        </w:rPr>
        <w:t xml:space="preserve"> </w:t>
      </w:r>
    </w:p>
    <w:p w:rsidR="00280FAF" w:rsidRPr="00280FAF" w:rsidRDefault="00F9095F" w:rsidP="00280FAF">
      <w:pPr>
        <w:pStyle w:val="CETBodytext"/>
        <w:jc w:val="left"/>
        <w:rPr>
          <w:rFonts w:eastAsia="SimSun"/>
        </w:rPr>
      </w:pPr>
      <w:r w:rsidRPr="009D530C">
        <w:rPr>
          <w:rFonts w:eastAsia="SimSun"/>
          <w:i/>
          <w:iCs/>
        </w:rPr>
        <w:t>B</w:t>
      </w:r>
      <w:r w:rsidR="00280FAF" w:rsidRPr="00280FAF">
        <w:rPr>
          <w:rFonts w:eastAsia="SimSun"/>
        </w:rPr>
        <w:t xml:space="preserve"> – </w:t>
      </w:r>
      <w:r>
        <w:rPr>
          <w:rFonts w:eastAsia="SimSun"/>
        </w:rPr>
        <w:t>Second coefficient of the virial</w:t>
      </w:r>
    </w:p>
    <w:p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rsidR="00280FAF" w:rsidRPr="00280FAF" w:rsidRDefault="00F9095F" w:rsidP="00280FAF">
      <w:pPr>
        <w:pStyle w:val="CETBodytext"/>
        <w:jc w:val="left"/>
        <w:rPr>
          <w:rFonts w:eastAsia="SimSun"/>
        </w:rPr>
      </w:pPr>
      <w:r w:rsidRPr="009D530C">
        <w:rPr>
          <w:rFonts w:eastAsia="SimSun"/>
          <w:i/>
          <w:iCs/>
        </w:rPr>
        <w:lastRenderedPageBreak/>
        <w:t>B</w:t>
      </w:r>
      <w:r w:rsidRPr="009D530C">
        <w:rPr>
          <w:rFonts w:eastAsia="SimSun"/>
          <w:i/>
          <w:iCs/>
          <w:vertAlign w:val="subscript"/>
        </w:rPr>
        <w:t>ij</w:t>
      </w:r>
      <w:r w:rsidR="00280FAF" w:rsidRPr="009D530C">
        <w:rPr>
          <w:rFonts w:eastAsia="SimSun"/>
          <w:i/>
          <w:iCs/>
        </w:rPr>
        <w:t xml:space="preserve"> </w:t>
      </w:r>
      <w:r w:rsidR="00280FAF" w:rsidRPr="00280FAF">
        <w:rPr>
          <w:rFonts w:eastAsia="SimSun"/>
        </w:rPr>
        <w:t xml:space="preserve">– </w:t>
      </w:r>
      <w:r>
        <w:rPr>
          <w:rFonts w:eastAsia="SimSun"/>
        </w:rPr>
        <w:t>Second coefficient of the virial for mixture</w:t>
      </w:r>
    </w:p>
    <w:p w:rsidR="00280FAF" w:rsidRPr="00280FAF" w:rsidRDefault="005F7639" w:rsidP="00280FAF">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ϕ</m:t>
            </m:r>
          </m:e>
          <m:sub>
            <m:r>
              <w:rPr>
                <w:rFonts w:ascii="Cambria Math" w:eastAsia="SimSun" w:hAnsi="Cambria Math"/>
              </w:rPr>
              <m:t>i</m:t>
            </m:r>
          </m:sub>
        </m:sSub>
      </m:oMath>
      <w:r w:rsidR="00605426">
        <w:rPr>
          <w:rFonts w:eastAsia="SimSun"/>
        </w:rPr>
        <w:t xml:space="preserve"> </w:t>
      </w:r>
      <w:r w:rsidR="00605426" w:rsidRPr="00280FAF">
        <w:rPr>
          <w:rFonts w:eastAsia="SimSun"/>
        </w:rPr>
        <w:t>–</w:t>
      </w:r>
      <w:r w:rsidR="00605426">
        <w:rPr>
          <w:rFonts w:eastAsia="SimSun"/>
        </w:rPr>
        <w:t xml:space="preserve"> Fugacity coefficient of component i</w:t>
      </w:r>
    </w:p>
    <w:p w:rsidR="00605426" w:rsidRDefault="005F7639" w:rsidP="00280FAF">
      <w:pPr>
        <w:pStyle w:val="CETBodytext"/>
        <w:jc w:val="left"/>
        <w:rPr>
          <w:rFonts w:eastAsia="SimSun"/>
        </w:rPr>
      </w:pP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ϕ</m:t>
                </m:r>
              </m:e>
            </m:acc>
          </m:e>
          <m:sub>
            <m:r>
              <w:rPr>
                <w:rFonts w:ascii="Cambria Math" w:eastAsia="SimSun" w:hAnsi="Cambria Math"/>
              </w:rPr>
              <m:t>i</m:t>
            </m:r>
          </m:sub>
        </m:sSub>
      </m:oMath>
      <w:r w:rsidR="00605426">
        <w:rPr>
          <w:rFonts w:eastAsia="SimSun"/>
        </w:rPr>
        <w:t xml:space="preserve"> </w:t>
      </w:r>
      <w:r w:rsidR="00605426" w:rsidRPr="00280FAF">
        <w:rPr>
          <w:rFonts w:eastAsia="SimSun"/>
        </w:rPr>
        <w:t>–</w:t>
      </w:r>
      <w:r w:rsidR="00605426">
        <w:rPr>
          <w:rFonts w:eastAsia="SimSun"/>
        </w:rPr>
        <w:t xml:space="preserve"> Fugacity coefficient of component </w:t>
      </w:r>
      <w:r w:rsidR="009D530C" w:rsidRPr="009D530C">
        <w:rPr>
          <w:rFonts w:eastAsia="SimSun"/>
          <w:i/>
          <w:iCs/>
        </w:rPr>
        <w:t>i</w:t>
      </w:r>
      <w:r w:rsidR="00605426">
        <w:rPr>
          <w:rFonts w:eastAsia="SimSun"/>
        </w:rPr>
        <w:t xml:space="preserve"> in mixture</w:t>
      </w:r>
    </w:p>
    <w:p w:rsidR="00280FAF" w:rsidRPr="008F1C39" w:rsidRDefault="00605426" w:rsidP="00280FAF">
      <w:pPr>
        <w:pStyle w:val="CETBodytext"/>
        <w:jc w:val="left"/>
        <w:rPr>
          <w:rFonts w:eastAsia="SimSun"/>
        </w:rPr>
      </w:pPr>
      <w:r w:rsidRPr="009D530C">
        <w:rPr>
          <w:rFonts w:eastAsia="SimSun"/>
          <w:i/>
          <w:iCs/>
        </w:rPr>
        <w:t>R</w:t>
      </w:r>
      <w:r w:rsidR="00280FAF" w:rsidRPr="008F1C39">
        <w:rPr>
          <w:rFonts w:eastAsia="SimSun"/>
        </w:rPr>
        <w:t xml:space="preserve">– </w:t>
      </w:r>
      <w:r w:rsidRPr="008F1C39">
        <w:rPr>
          <w:rFonts w:eastAsia="SimSun"/>
        </w:rPr>
        <w:t xml:space="preserve">Universal gas </w:t>
      </w:r>
      <w:r w:rsidR="008D1E6B" w:rsidRPr="008F1C39">
        <w:rPr>
          <w:rFonts w:eastAsia="SimSun"/>
        </w:rPr>
        <w:t>Constant</w:t>
      </w:r>
    </w:p>
    <w:p w:rsidR="00C469F8" w:rsidRPr="008F1C39" w:rsidRDefault="00C469F8" w:rsidP="00280FAF">
      <w:pPr>
        <w:pStyle w:val="CETBodytext"/>
        <w:jc w:val="left"/>
        <w:rPr>
          <w:rFonts w:eastAsia="SimSun"/>
          <w:i/>
          <w:iCs/>
        </w:rPr>
      </w:pPr>
      <w:r w:rsidRPr="008F1C39">
        <w:rPr>
          <w:rFonts w:eastAsia="SimSun"/>
          <w:i/>
          <w:iCs/>
        </w:rPr>
        <w:t xml:space="preserve">g </w:t>
      </w:r>
      <w:r w:rsidRPr="00280FAF">
        <w:rPr>
          <w:rFonts w:eastAsia="SimSun"/>
        </w:rPr>
        <w:t>–</w:t>
      </w:r>
      <w:r>
        <w:rPr>
          <w:rFonts w:eastAsia="SimSun"/>
        </w:rPr>
        <w:t xml:space="preserve"> Gas phase</w:t>
      </w:r>
    </w:p>
    <w:p w:rsidR="00280FAF" w:rsidRPr="008F1C39" w:rsidRDefault="00605426" w:rsidP="00280FAF">
      <w:pPr>
        <w:pStyle w:val="CETBodytext"/>
        <w:jc w:val="left"/>
        <w:rPr>
          <w:rFonts w:eastAsia="SimSun"/>
        </w:rPr>
      </w:pPr>
      <w:r w:rsidRPr="008F1C39">
        <w:rPr>
          <w:rFonts w:eastAsia="SimSun"/>
        </w:rPr>
        <w:t>G</w:t>
      </w:r>
      <w:r w:rsidR="00280FAF" w:rsidRPr="008F1C39">
        <w:rPr>
          <w:rFonts w:eastAsia="SimSun"/>
        </w:rPr>
        <w:t xml:space="preserve"> – </w:t>
      </w:r>
      <w:r w:rsidRPr="008F1C39">
        <w:rPr>
          <w:rFonts w:eastAsia="SimSun"/>
        </w:rPr>
        <w:t>Gibbs energy</w:t>
      </w:r>
    </w:p>
    <w:p w:rsidR="00280FAF" w:rsidRPr="00605426" w:rsidRDefault="005F7639" w:rsidP="00280FAF">
      <w:pPr>
        <w:pStyle w:val="CETBodytext"/>
        <w:jc w:val="left"/>
        <w:rPr>
          <w:rFonts w:eastAsia="SimSun"/>
        </w:rPr>
      </w:pP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i</m:t>
            </m:r>
          </m:sub>
          <m:sup>
            <m:r>
              <w:rPr>
                <w:rFonts w:ascii="Cambria Math" w:eastAsia="SimSun" w:hAnsi="Cambria Math"/>
              </w:rPr>
              <m:t>k</m:t>
            </m:r>
          </m:sup>
        </m:sSubSup>
      </m:oMath>
      <w:r w:rsidR="00280FAF" w:rsidRPr="00605426">
        <w:rPr>
          <w:rFonts w:eastAsia="SimSun"/>
        </w:rPr>
        <w:t xml:space="preserve">– </w:t>
      </w:r>
      <w:r w:rsidR="00605426" w:rsidRPr="00605426">
        <w:rPr>
          <w:rFonts w:eastAsia="SimSun"/>
        </w:rPr>
        <w:t>Ent</w:t>
      </w:r>
      <w:r w:rsidR="00605426">
        <w:rPr>
          <w:rFonts w:eastAsia="SimSun"/>
        </w:rPr>
        <w:t xml:space="preserve">halpy of component </w:t>
      </w:r>
      <w:r w:rsidR="00605426" w:rsidRPr="00605426">
        <w:rPr>
          <w:rFonts w:eastAsia="SimSun"/>
          <w:i/>
          <w:iCs/>
        </w:rPr>
        <w:t>i</w:t>
      </w:r>
      <w:r w:rsidR="00605426">
        <w:rPr>
          <w:rFonts w:eastAsia="SimSun"/>
        </w:rPr>
        <w:t xml:space="preserve"> in phase </w:t>
      </w:r>
      <w:r w:rsidR="00605426" w:rsidRPr="00605426">
        <w:rPr>
          <w:rFonts w:eastAsia="SimSun"/>
          <w:i/>
          <w:iCs/>
        </w:rPr>
        <w:t>k</w:t>
      </w:r>
    </w:p>
    <w:p w:rsidR="00280FAF" w:rsidRPr="00280FAF" w:rsidRDefault="005F7639" w:rsidP="00280FAF">
      <w:pPr>
        <w:pStyle w:val="CETBodytext"/>
        <w:jc w:val="left"/>
        <w:rPr>
          <w:rFonts w:eastAsia="SimSun"/>
        </w:rPr>
      </w:pP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i</m:t>
            </m:r>
          </m:sub>
          <m:sup>
            <m:r>
              <w:rPr>
                <w:rFonts w:ascii="Cambria Math" w:eastAsia="SimSun" w:hAnsi="Cambria Math"/>
              </w:rPr>
              <m:t>0</m:t>
            </m:r>
          </m:sup>
        </m:sSubSup>
      </m:oMath>
      <w:r w:rsidR="00280FAF" w:rsidRPr="00280FAF">
        <w:rPr>
          <w:rFonts w:eastAsia="SimSun"/>
        </w:rPr>
        <w:t xml:space="preserve"> – </w:t>
      </w:r>
      <w:r w:rsidR="00605426">
        <w:rPr>
          <w:rFonts w:eastAsia="SimSun"/>
        </w:rPr>
        <w:t xml:space="preserve">Enthalpy of component </w:t>
      </w:r>
      <w:r w:rsidR="00605426" w:rsidRPr="00605426">
        <w:rPr>
          <w:rFonts w:eastAsia="SimSun"/>
          <w:i/>
          <w:iCs/>
        </w:rPr>
        <w:t>i</w:t>
      </w:r>
      <w:r w:rsidR="00605426">
        <w:rPr>
          <w:rFonts w:eastAsia="SimSun"/>
        </w:rPr>
        <w:t xml:space="preserve"> in standard phase</w:t>
      </w:r>
    </w:p>
    <w:p w:rsidR="00280FAF" w:rsidRDefault="005F7639" w:rsidP="00280FAF">
      <w:pPr>
        <w:pStyle w:val="CETBodytext"/>
        <w:jc w:val="left"/>
        <w:rPr>
          <w:rFonts w:eastAsia="SimSun"/>
        </w:rPr>
      </w:pPr>
      <m:oMath>
        <m:sSup>
          <m:sSupPr>
            <m:ctrlPr>
              <w:rPr>
                <w:rFonts w:ascii="Cambria Math" w:eastAsia="SimSun" w:hAnsi="Cambria Math"/>
                <w:i/>
                <w:lang w:val="el-GR"/>
              </w:rPr>
            </m:ctrlPr>
          </m:sSupPr>
          <m:e>
            <m:r>
              <w:rPr>
                <w:rFonts w:ascii="Cambria Math" w:eastAsia="SimSun" w:hAnsi="Cambria Math"/>
                <w:lang w:val="el-GR"/>
              </w:rPr>
              <m:t>H</m:t>
            </m:r>
          </m:e>
          <m:sup>
            <m:r>
              <w:rPr>
                <w:rFonts w:ascii="Cambria Math" w:eastAsia="SimSun" w:hAnsi="Cambria Math"/>
                <w:lang w:val="el-GR"/>
              </w:rPr>
              <m:t>0</m:t>
            </m:r>
          </m:sup>
        </m:sSup>
      </m:oMath>
      <w:r w:rsidR="00280FAF" w:rsidRPr="00280FAF">
        <w:rPr>
          <w:rFonts w:eastAsia="SimSun"/>
          <w:lang w:val="el-GR"/>
        </w:rPr>
        <w:t xml:space="preserve"> </w:t>
      </w:r>
      <w:r w:rsidR="00605426" w:rsidRPr="00280FAF">
        <w:rPr>
          <w:rFonts w:eastAsia="SimSun"/>
        </w:rPr>
        <w:t>–</w:t>
      </w:r>
      <w:r w:rsidR="00280FAF" w:rsidRPr="00280FAF">
        <w:rPr>
          <w:rFonts w:eastAsia="SimSun"/>
          <w:lang w:val="el-GR"/>
        </w:rPr>
        <w:t xml:space="preserve"> </w:t>
      </w:r>
      <w:r w:rsidR="00605426">
        <w:rPr>
          <w:rFonts w:eastAsia="SimSun"/>
        </w:rPr>
        <w:t>Total enthalpy</w:t>
      </w:r>
    </w:p>
    <w:p w:rsidR="00C469F8" w:rsidRPr="00C469F8" w:rsidRDefault="00C469F8" w:rsidP="00280FAF">
      <w:pPr>
        <w:pStyle w:val="CETBodytext"/>
        <w:jc w:val="left"/>
        <w:rPr>
          <w:rFonts w:eastAsia="SimSun"/>
          <w:i/>
          <w:iCs/>
        </w:rPr>
      </w:pPr>
      <w:r>
        <w:rPr>
          <w:rFonts w:eastAsia="SimSun"/>
          <w:i/>
          <w:iCs/>
        </w:rPr>
        <w:t xml:space="preserve">l </w:t>
      </w:r>
      <w:r w:rsidRPr="00280FAF">
        <w:rPr>
          <w:rFonts w:eastAsia="SimSun"/>
        </w:rPr>
        <w:t>–</w:t>
      </w:r>
      <w:r>
        <w:rPr>
          <w:rFonts w:eastAsia="SimSun"/>
        </w:rPr>
        <w:t xml:space="preserve"> Liquid phase</w:t>
      </w:r>
    </w:p>
    <w:p w:rsidR="009D530C" w:rsidRDefault="00605426" w:rsidP="00280FAF">
      <w:pPr>
        <w:pStyle w:val="CETBodytext"/>
        <w:jc w:val="left"/>
        <w:rPr>
          <w:rFonts w:eastAsia="SimSun"/>
        </w:rPr>
      </w:pPr>
      <w:r w:rsidRPr="009D530C">
        <w:rPr>
          <w:rFonts w:eastAsia="SimSun" w:cs="Arial"/>
          <w:i/>
          <w:iCs/>
        </w:rPr>
        <w:t>T</w:t>
      </w:r>
      <w:r w:rsidR="00280FAF" w:rsidRPr="00280FAF">
        <w:rPr>
          <w:rFonts w:eastAsia="SimSun"/>
          <w:lang w:val="el-GR"/>
        </w:rPr>
        <w:t xml:space="preserve"> – </w:t>
      </w:r>
      <w:r>
        <w:rPr>
          <w:rFonts w:eastAsia="SimSun"/>
        </w:rPr>
        <w:t>Temperature</w:t>
      </w:r>
    </w:p>
    <w:p w:rsidR="00280FAF" w:rsidRDefault="00605426" w:rsidP="00280FAF">
      <w:pPr>
        <w:pStyle w:val="CETBodytext"/>
        <w:jc w:val="left"/>
        <w:rPr>
          <w:rFonts w:eastAsia="SimSun"/>
        </w:rPr>
      </w:pPr>
      <w:r w:rsidRPr="009D530C">
        <w:rPr>
          <w:rFonts w:eastAsia="SimSun"/>
          <w:i/>
          <w:iCs/>
        </w:rPr>
        <w:lastRenderedPageBreak/>
        <w:t>P</w:t>
      </w:r>
      <w:r w:rsidR="00280FAF" w:rsidRPr="00280FAF">
        <w:rPr>
          <w:rFonts w:eastAsia="SimSun"/>
          <w:lang w:val="el-GR"/>
        </w:rPr>
        <w:t xml:space="preserve"> </w:t>
      </w:r>
      <w:r w:rsidR="00280FAF" w:rsidRPr="00280FAF">
        <w:rPr>
          <w:rFonts w:eastAsia="SimSun"/>
        </w:rPr>
        <w:t>–</w:t>
      </w:r>
      <w:r>
        <w:rPr>
          <w:rFonts w:eastAsia="SimSun"/>
        </w:rPr>
        <w:t xml:space="preserve"> Pressure</w:t>
      </w:r>
    </w:p>
    <w:p w:rsidR="00C469F8" w:rsidRPr="00280FAF" w:rsidRDefault="00C469F8" w:rsidP="00280FAF">
      <w:pPr>
        <w:pStyle w:val="CETBodytext"/>
        <w:jc w:val="left"/>
        <w:rPr>
          <w:rFonts w:eastAsia="SimSun"/>
        </w:rPr>
      </w:pPr>
      <w:r w:rsidRPr="009D530C">
        <w:rPr>
          <w:rFonts w:eastAsia="SimSun"/>
          <w:i/>
          <w:iCs/>
        </w:rPr>
        <w:t>s</w:t>
      </w:r>
      <w:r>
        <w:rPr>
          <w:rFonts w:eastAsia="SimSun"/>
        </w:rPr>
        <w:t xml:space="preserve"> </w:t>
      </w:r>
      <w:r w:rsidRPr="00280FAF">
        <w:rPr>
          <w:rFonts w:eastAsia="SimSun"/>
        </w:rPr>
        <w:t>–</w:t>
      </w:r>
      <w:r>
        <w:rPr>
          <w:rFonts w:eastAsia="SimSun"/>
        </w:rPr>
        <w:t xml:space="preserve"> Solid phase</w:t>
      </w:r>
    </w:p>
    <w:p w:rsidR="00605426" w:rsidRDefault="005F7639" w:rsidP="00280FAF">
      <w:pPr>
        <w:pStyle w:val="CETBodytext"/>
        <w:jc w:val="left"/>
        <w:rPr>
          <w:rFonts w:eastAsia="SimSun"/>
          <w:i/>
          <w:iCs/>
        </w:rPr>
      </w:pPr>
      <m:oMath>
        <m:sSubSup>
          <m:sSubSupPr>
            <m:ctrlPr>
              <w:rPr>
                <w:rFonts w:ascii="Cambria Math" w:eastAsia="SimSun" w:hAnsi="Cambria Math"/>
                <w:i/>
                <w:lang w:val="el-GR"/>
              </w:rPr>
            </m:ctrlPr>
          </m:sSubSupPr>
          <m:e>
            <m:r>
              <w:rPr>
                <w:rFonts w:ascii="Cambria Math" w:eastAsia="SimSun" w:hAnsi="Cambria Math"/>
                <w:lang w:val="el-GR"/>
              </w:rPr>
              <m:t>S</m:t>
            </m:r>
          </m:e>
          <m:sub>
            <m:r>
              <w:rPr>
                <w:rFonts w:ascii="Cambria Math" w:eastAsia="SimSun" w:hAnsi="Cambria Math"/>
                <w:lang w:val="el-GR"/>
              </w:rPr>
              <m:t>i</m:t>
            </m:r>
          </m:sub>
          <m:sup>
            <m:r>
              <w:rPr>
                <w:rFonts w:ascii="Cambria Math" w:eastAsia="SimSun" w:hAnsi="Cambria Math"/>
                <w:lang w:val="el-GR"/>
              </w:rPr>
              <m:t>k</m:t>
            </m:r>
          </m:sup>
        </m:sSubSup>
      </m:oMath>
      <w:r w:rsidR="00280FAF" w:rsidRPr="00280FAF">
        <w:rPr>
          <w:rFonts w:eastAsia="SimSun"/>
          <w:lang w:val="el-GR"/>
        </w:rPr>
        <w:t xml:space="preserve">– </w:t>
      </w:r>
      <w:r w:rsidR="00605426" w:rsidRPr="00605426">
        <w:rPr>
          <w:rFonts w:eastAsia="SimSun"/>
        </w:rPr>
        <w:t xml:space="preserve">Entropy of component </w:t>
      </w:r>
      <w:r w:rsidR="00605426" w:rsidRPr="00605426">
        <w:rPr>
          <w:rFonts w:eastAsia="SimSun"/>
          <w:i/>
          <w:iCs/>
        </w:rPr>
        <w:t>i</w:t>
      </w:r>
      <w:r w:rsidR="00605426" w:rsidRPr="00605426">
        <w:rPr>
          <w:rFonts w:eastAsia="SimSun"/>
        </w:rPr>
        <w:t xml:space="preserve"> in </w:t>
      </w:r>
      <w:r w:rsidR="00605426">
        <w:rPr>
          <w:rFonts w:eastAsia="SimSun"/>
        </w:rPr>
        <w:t xml:space="preserve">phase </w:t>
      </w:r>
      <w:r w:rsidR="00605426" w:rsidRPr="00605426">
        <w:rPr>
          <w:rFonts w:eastAsia="SimSun"/>
          <w:i/>
          <w:iCs/>
        </w:rPr>
        <w:t>k</w:t>
      </w:r>
    </w:p>
    <w:p w:rsidR="00605426" w:rsidRDefault="005F7639" w:rsidP="00280FAF">
      <w:pPr>
        <w:pStyle w:val="CETBodytext"/>
        <w:jc w:val="left"/>
        <w:rPr>
          <w:rFonts w:eastAsia="SimSun"/>
        </w:rPr>
      </w:pPr>
      <m:oMath>
        <m:sSubSup>
          <m:sSubSupPr>
            <m:ctrlPr>
              <w:rPr>
                <w:rFonts w:ascii="Cambria Math" w:eastAsia="SimSun" w:hAnsi="Cambria Math"/>
                <w:i/>
                <w:lang w:val="el-GR"/>
              </w:rPr>
            </m:ctrlPr>
          </m:sSubSupPr>
          <m:e>
            <m:r>
              <w:rPr>
                <w:rFonts w:ascii="Cambria Math" w:eastAsia="SimSun" w:hAnsi="Cambria Math"/>
                <w:lang w:val="el-GR"/>
              </w:rPr>
              <m:t>S</m:t>
            </m:r>
          </m:e>
          <m:sub>
            <m:r>
              <w:rPr>
                <w:rFonts w:ascii="Cambria Math" w:eastAsia="SimSun" w:hAnsi="Cambria Math"/>
                <w:lang w:val="el-GR"/>
              </w:rPr>
              <m:t>i</m:t>
            </m:r>
          </m:sub>
          <m:sup>
            <m:r>
              <w:rPr>
                <w:rFonts w:ascii="Cambria Math" w:eastAsia="SimSun" w:hAnsi="Cambria Math"/>
                <w:lang w:val="el-GR"/>
              </w:rPr>
              <m:t>k</m:t>
            </m:r>
          </m:sup>
        </m:sSubSup>
      </m:oMath>
      <w:r w:rsidR="00605426" w:rsidRPr="00280FAF">
        <w:rPr>
          <w:rFonts w:eastAsia="SimSun"/>
          <w:lang w:val="el-GR"/>
        </w:rPr>
        <w:t>–</w:t>
      </w:r>
      <w:r w:rsidR="00605426" w:rsidRPr="00605426">
        <w:rPr>
          <w:rFonts w:eastAsia="SimSun"/>
        </w:rPr>
        <w:t xml:space="preserve"> Entropy of component </w:t>
      </w:r>
      <w:r w:rsidR="00605426" w:rsidRPr="00605426">
        <w:rPr>
          <w:rFonts w:eastAsia="SimSun"/>
          <w:i/>
          <w:iCs/>
        </w:rPr>
        <w:t>i</w:t>
      </w:r>
      <w:r w:rsidR="00605426">
        <w:rPr>
          <w:rFonts w:eastAsia="SimSun"/>
        </w:rPr>
        <w:t xml:space="preserve"> in standard phase</w:t>
      </w:r>
    </w:p>
    <w:p w:rsidR="00605426" w:rsidRDefault="005F7639" w:rsidP="00280FAF">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i</m:t>
            </m:r>
          </m:sub>
          <m:sup>
            <m:r>
              <w:rPr>
                <w:rFonts w:ascii="Cambria Math" w:eastAsia="SimSun" w:hAnsi="Cambria Math"/>
              </w:rPr>
              <m:t>k</m:t>
            </m:r>
          </m:sup>
        </m:sSubSup>
      </m:oMath>
      <w:r w:rsidR="00605426">
        <w:rPr>
          <w:rFonts w:eastAsia="SimSun"/>
        </w:rPr>
        <w:t xml:space="preserve"> </w:t>
      </w:r>
      <w:r w:rsidR="00605426" w:rsidRPr="00280FAF">
        <w:rPr>
          <w:rFonts w:eastAsia="SimSun"/>
        </w:rPr>
        <w:t>–</w:t>
      </w:r>
      <w:r w:rsidR="00605426">
        <w:rPr>
          <w:rFonts w:eastAsia="SimSun"/>
        </w:rPr>
        <w:t xml:space="preserve"> Number of moles of component </w:t>
      </w:r>
      <w:r w:rsidR="00605426" w:rsidRPr="00605426">
        <w:rPr>
          <w:rFonts w:eastAsia="SimSun"/>
          <w:i/>
          <w:iCs/>
        </w:rPr>
        <w:t>i</w:t>
      </w:r>
      <w:r w:rsidR="00605426">
        <w:rPr>
          <w:rFonts w:eastAsia="SimSun"/>
        </w:rPr>
        <w:t xml:space="preserve"> in phase </w:t>
      </w:r>
      <w:r w:rsidR="00605426" w:rsidRPr="00605426">
        <w:rPr>
          <w:rFonts w:eastAsia="SimSun"/>
          <w:i/>
          <w:iCs/>
        </w:rPr>
        <w:t>k</w:t>
      </w:r>
    </w:p>
    <w:p w:rsidR="00605426" w:rsidRDefault="005F7639" w:rsidP="00280FAF">
      <w:pPr>
        <w:pStyle w:val="CETBodytext"/>
        <w:jc w:val="left"/>
        <w:rPr>
          <w:rFonts w:eastAsia="SimSun"/>
        </w:rPr>
      </w:pP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i</m:t>
            </m:r>
          </m:sub>
          <m:sup>
            <m:r>
              <w:rPr>
                <w:rFonts w:ascii="Cambria Math" w:eastAsia="SimSun" w:hAnsi="Cambria Math"/>
              </w:rPr>
              <m:t>0</m:t>
            </m:r>
          </m:sup>
        </m:sSubSup>
        <m:r>
          <m:rPr>
            <m:sty m:val="p"/>
          </m:rPr>
          <w:rPr>
            <w:rFonts w:ascii="Cambria Math" w:eastAsia="SimSun" w:hAnsi="Cambria Math"/>
          </w:rPr>
          <m:t xml:space="preserve"> –</m:t>
        </m:r>
        <m:r>
          <w:rPr>
            <w:rFonts w:ascii="Cambria Math" w:eastAsia="SimSun" w:hAnsi="Cambria Math"/>
          </w:rPr>
          <m:t xml:space="preserve"> </m:t>
        </m:r>
      </m:oMath>
      <w:r w:rsidR="00605426">
        <w:rPr>
          <w:rFonts w:eastAsia="SimSun"/>
        </w:rPr>
        <w:t>Number of moles in standard phase</w:t>
      </w:r>
    </w:p>
    <w:p w:rsidR="00605426" w:rsidRDefault="00605426" w:rsidP="00280FAF">
      <w:pPr>
        <w:pStyle w:val="CETBodytext"/>
        <w:jc w:val="left"/>
        <w:rPr>
          <w:rFonts w:eastAsia="SimSun"/>
        </w:rPr>
      </w:pPr>
      <w:r w:rsidRPr="009D530C">
        <w:rPr>
          <w:rFonts w:eastAsia="SimSun"/>
          <w:i/>
          <w:iCs/>
        </w:rPr>
        <w:t>NC</w:t>
      </w:r>
      <w:r>
        <w:rPr>
          <w:rFonts w:eastAsia="SimSun"/>
        </w:rPr>
        <w:t xml:space="preserve"> </w:t>
      </w:r>
      <w:r w:rsidRPr="00280FAF">
        <w:rPr>
          <w:rFonts w:eastAsia="SimSun"/>
        </w:rPr>
        <w:t>–</w:t>
      </w:r>
      <w:r>
        <w:rPr>
          <w:rFonts w:eastAsia="SimSun"/>
        </w:rPr>
        <w:t xml:space="preserve"> Number of components</w:t>
      </w:r>
    </w:p>
    <w:p w:rsidR="00605426" w:rsidRDefault="00605426" w:rsidP="00280FAF">
      <w:pPr>
        <w:pStyle w:val="CETBodytext"/>
        <w:jc w:val="left"/>
        <w:rPr>
          <w:rFonts w:eastAsia="SimSun"/>
        </w:rPr>
      </w:pPr>
      <w:r w:rsidRPr="009D530C">
        <w:rPr>
          <w:rFonts w:eastAsia="SimSun"/>
          <w:i/>
          <w:iCs/>
        </w:rPr>
        <w:t>NE</w:t>
      </w:r>
      <w:r>
        <w:rPr>
          <w:rFonts w:eastAsia="SimSun"/>
        </w:rPr>
        <w:t xml:space="preserve"> </w:t>
      </w:r>
      <w:r w:rsidRPr="00280FAF">
        <w:rPr>
          <w:rFonts w:eastAsia="SimSun"/>
        </w:rPr>
        <w:t>–</w:t>
      </w:r>
      <w:r>
        <w:rPr>
          <w:rFonts w:eastAsia="SimSun"/>
        </w:rPr>
        <w:t xml:space="preserve"> Number of elements</w:t>
      </w:r>
    </w:p>
    <w:p w:rsidR="00605426" w:rsidRDefault="005F7639" w:rsidP="00280FAF">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μ</m:t>
            </m:r>
          </m:e>
          <m:sub>
            <m:r>
              <w:rPr>
                <w:rFonts w:ascii="Cambria Math" w:eastAsia="SimSun" w:hAnsi="Cambria Math"/>
              </w:rPr>
              <m:t>i</m:t>
            </m:r>
          </m:sub>
          <m:sup>
            <m:r>
              <w:rPr>
                <w:rFonts w:ascii="Cambria Math" w:eastAsia="SimSun" w:hAnsi="Cambria Math"/>
              </w:rPr>
              <m:t>k</m:t>
            </m:r>
          </m:sup>
        </m:sSubSup>
      </m:oMath>
      <w:r w:rsidR="00C469F8">
        <w:rPr>
          <w:rFonts w:eastAsia="SimSun"/>
        </w:rPr>
        <w:t xml:space="preserve"> </w:t>
      </w:r>
      <w:r w:rsidR="00C469F8" w:rsidRPr="00280FAF">
        <w:rPr>
          <w:rFonts w:eastAsia="SimSun"/>
        </w:rPr>
        <w:t>–</w:t>
      </w:r>
      <w:r w:rsidR="00C469F8">
        <w:rPr>
          <w:rFonts w:eastAsia="SimSun"/>
        </w:rPr>
        <w:t xml:space="preserve"> Chemical potential of component </w:t>
      </w:r>
      <w:r w:rsidR="00C469F8" w:rsidRPr="00C469F8">
        <w:rPr>
          <w:rFonts w:eastAsia="SimSun"/>
          <w:i/>
          <w:iCs/>
        </w:rPr>
        <w:t>i</w:t>
      </w:r>
      <w:r w:rsidR="00C469F8">
        <w:rPr>
          <w:rFonts w:eastAsia="SimSun"/>
        </w:rPr>
        <w:t xml:space="preserve"> in phase </w:t>
      </w:r>
      <w:r w:rsidR="00C469F8" w:rsidRPr="00C469F8">
        <w:rPr>
          <w:rFonts w:eastAsia="SimSun"/>
          <w:i/>
          <w:iCs/>
        </w:rPr>
        <w:t>k</w:t>
      </w:r>
    </w:p>
    <w:p w:rsidR="00605426" w:rsidRPr="00605426" w:rsidRDefault="005F7639" w:rsidP="00280FAF">
      <w:pPr>
        <w:pStyle w:val="CETBodytext"/>
        <w:jc w:val="left"/>
        <w:rPr>
          <w:rFonts w:eastAsia="SimSun"/>
        </w:rPr>
        <w:sectPr w:rsidR="00605426" w:rsidRPr="00605426" w:rsidSect="00200ECB">
          <w:type w:val="continuous"/>
          <w:pgSz w:w="11906" w:h="16838" w:code="9"/>
          <w:pgMar w:top="1701" w:right="1418" w:bottom="1701" w:left="1701" w:header="1701" w:footer="0" w:gutter="0"/>
          <w:cols w:num="2" w:space="708"/>
          <w:formProt w:val="0"/>
          <w:titlePg/>
          <w:docGrid w:linePitch="360"/>
        </w:sectPr>
      </w:pP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i</m:t>
            </m:r>
          </m:sub>
        </m:sSub>
      </m:oMath>
      <w:r w:rsidR="00C469F8">
        <w:rPr>
          <w:rFonts w:eastAsia="SimSun"/>
        </w:rPr>
        <w:t xml:space="preserve"> </w:t>
      </w:r>
      <w:r w:rsidR="00C469F8" w:rsidRPr="00280FAF">
        <w:rPr>
          <w:rFonts w:eastAsia="SimSun"/>
        </w:rPr>
        <w:t>–</w:t>
      </w:r>
      <w:r w:rsidR="00C469F8">
        <w:rPr>
          <w:rFonts w:eastAsia="SimSun"/>
        </w:rPr>
        <w:t xml:space="preserve"> Molar fraction of gas phase</w:t>
      </w:r>
    </w:p>
    <w:p w:rsidR="00600535" w:rsidRDefault="00600535" w:rsidP="00600535">
      <w:pPr>
        <w:pStyle w:val="CETAcknowledgementstitle"/>
      </w:pPr>
      <w:r w:rsidRPr="00B57B36">
        <w:lastRenderedPageBreak/>
        <w:t>Acknowledgments</w:t>
      </w:r>
    </w:p>
    <w:p w:rsidR="006839CF" w:rsidRPr="006839CF" w:rsidRDefault="006839CF" w:rsidP="006839CF">
      <w:pPr>
        <w:pStyle w:val="CETBodytext"/>
        <w:rPr>
          <w:lang w:val="en-GB"/>
        </w:rPr>
      </w:pPr>
      <w:r w:rsidRPr="006839CF">
        <w:rPr>
          <w:lang w:val="en-GB"/>
        </w:rPr>
        <w:t>We are grateful for the financial support from the National Agency of Petroleum, Natural Gas and Biofuels (ANP) through the ANP Human Resources Training Program for the Oil and Gas Sector (PRH 54.1 - UFMA).</w:t>
      </w:r>
    </w:p>
    <w:p w:rsidR="00600535" w:rsidRPr="00B57B36" w:rsidRDefault="00600535" w:rsidP="00600535">
      <w:pPr>
        <w:pStyle w:val="CETReference"/>
      </w:pPr>
      <w:r w:rsidRPr="00B57B36">
        <w:t>References</w:t>
      </w:r>
    </w:p>
    <w:p w:rsidR="008F1C39" w:rsidRDefault="008F1C39" w:rsidP="006004AD">
      <w:pPr>
        <w:pStyle w:val="CETReferencetext"/>
        <w:rPr>
          <w:shd w:val="clear" w:color="auto" w:fill="FFFFFF"/>
          <w:lang w:val="en-US"/>
        </w:rPr>
      </w:pPr>
      <w:proofErr w:type="spellStart"/>
      <w:r w:rsidRPr="00545BF0">
        <w:rPr>
          <w:shd w:val="clear" w:color="auto" w:fill="FFFFFF"/>
          <w:lang w:val="en-US"/>
        </w:rPr>
        <w:t>A</w:t>
      </w:r>
      <w:r>
        <w:rPr>
          <w:shd w:val="clear" w:color="auto" w:fill="FFFFFF"/>
          <w:lang w:val="en-US"/>
        </w:rPr>
        <w:t>rregi</w:t>
      </w:r>
      <w:proofErr w:type="spellEnd"/>
      <w:r w:rsidRPr="00545BF0">
        <w:rPr>
          <w:shd w:val="clear" w:color="auto" w:fill="FFFFFF"/>
          <w:lang w:val="en-US"/>
        </w:rPr>
        <w:t xml:space="preserve">, </w:t>
      </w:r>
      <w:proofErr w:type="spellStart"/>
      <w:r w:rsidRPr="00545BF0">
        <w:rPr>
          <w:shd w:val="clear" w:color="auto" w:fill="FFFFFF"/>
          <w:lang w:val="en-US"/>
        </w:rPr>
        <w:t>Aitor</w:t>
      </w:r>
      <w:proofErr w:type="spellEnd"/>
      <w:r w:rsidRPr="00545BF0">
        <w:rPr>
          <w:shd w:val="clear" w:color="auto" w:fill="FFFFFF"/>
          <w:lang w:val="en-US"/>
        </w:rPr>
        <w:t xml:space="preserve"> et al. Evaluation of thermochemical routes for hydrogen production from biomass: A review. </w:t>
      </w:r>
      <w:r w:rsidRPr="006A589F">
        <w:rPr>
          <w:bCs/>
          <w:shd w:val="clear" w:color="auto" w:fill="FFFFFF"/>
          <w:lang w:val="en-US"/>
        </w:rPr>
        <w:t>Energy conversion and management</w:t>
      </w:r>
      <w:r w:rsidRPr="006A589F">
        <w:rPr>
          <w:shd w:val="clear" w:color="auto" w:fill="FFFFFF"/>
          <w:lang w:val="en-US"/>
        </w:rPr>
        <w:t>, v. 165, p. 696-719, 2018.</w:t>
      </w:r>
    </w:p>
    <w:p w:rsidR="008F1C39" w:rsidRDefault="008F1C39" w:rsidP="00ED0FA5">
      <w:pPr>
        <w:pStyle w:val="CETReferencetext"/>
      </w:pPr>
      <w:r w:rsidRPr="00ED0FA5">
        <w:rPr>
          <w:lang w:val="en-US"/>
        </w:rPr>
        <w:t xml:space="preserve">Dos Santos, J.M.; De Sousa, G.F.B.; Vidotti, A.D.S.; De Freitas, A.C.D.; Guirardello, R. Optimization of glycerol gasification process </w:t>
      </w:r>
      <w:r>
        <w:t xml:space="preserve">in supercritical water using thermodynamic approach. </w:t>
      </w:r>
      <w:r>
        <w:rPr>
          <w:lang w:val="en-US"/>
        </w:rPr>
        <w:t>Chemical Engineering Transactions</w:t>
      </w:r>
      <w:r>
        <w:t>. 2021, 86, 847–852.</w:t>
      </w:r>
    </w:p>
    <w:p w:rsidR="002B0B7D" w:rsidRDefault="008F1C39" w:rsidP="002B0B7D">
      <w:pPr>
        <w:pStyle w:val="CETReferencetext"/>
      </w:pPr>
      <w:r>
        <w:t>Freitas, A.C.D.; Guirardello, R. Comparison of several glycerol reforming methods for hydrogen and syngas</w:t>
      </w:r>
      <w:r w:rsidR="002B0B7D">
        <w:t xml:space="preserve"> production using Gibbs energy minimization. Int. J. Hydrogen Energy 2014, 39, 17969–17984.</w:t>
      </w:r>
    </w:p>
    <w:p w:rsidR="002B0B7D" w:rsidRDefault="002B0B7D" w:rsidP="002B0B7D">
      <w:pPr>
        <w:pStyle w:val="CETReferencetext"/>
      </w:pPr>
      <w:r w:rsidRPr="002B0B7D">
        <w:rPr>
          <w:lang w:val="en-US"/>
        </w:rPr>
        <w:t>Freitas, A. C. D.; G</w:t>
      </w:r>
      <w:r>
        <w:rPr>
          <w:lang w:val="en-US"/>
        </w:rPr>
        <w:t>uirardello</w:t>
      </w:r>
      <w:r w:rsidRPr="002B0B7D">
        <w:rPr>
          <w:lang w:val="en-US"/>
        </w:rPr>
        <w:t xml:space="preserve">, R. </w:t>
      </w:r>
      <w:r w:rsidRPr="002B0B7D">
        <w:t>Thermodynamic analysis of supercritical water gasification of microalgae biomass for hydrogen and syngas. Chemical Engineering Transactions, v. 32, p. 553-558, 2013.</w:t>
      </w:r>
    </w:p>
    <w:p w:rsidR="008F1C39" w:rsidRDefault="008F1C39" w:rsidP="002B0B7D">
      <w:pPr>
        <w:pStyle w:val="CETReferencetext"/>
      </w:pPr>
      <w:r w:rsidRPr="00F749F5">
        <w:rPr>
          <w:lang w:val="en-US"/>
        </w:rPr>
        <w:t xml:space="preserve">Gomes, J. G.; Mitoura, J.; Vidotti, A. D. S.; Freitas, A. C. D; Guirardello, R. </w:t>
      </w:r>
      <w:r w:rsidRPr="0070787C">
        <w:rPr>
          <w:lang w:val="en-US"/>
        </w:rPr>
        <w:t xml:space="preserve">Analysis of Hydrogen Production from Glycerol Gasification using Supercritical and Subcritical Water. </w:t>
      </w:r>
      <w:r>
        <w:rPr>
          <w:lang w:val="en-US"/>
        </w:rPr>
        <w:t>Chemical Engineering Transactions</w:t>
      </w:r>
      <w:r w:rsidRPr="0070787C">
        <w:rPr>
          <w:lang w:val="en-US"/>
        </w:rPr>
        <w:t>, v. 92, p. 133-139, 2022.</w:t>
      </w:r>
    </w:p>
    <w:p w:rsidR="008F1C39" w:rsidRDefault="008F1C39" w:rsidP="006C7661">
      <w:pPr>
        <w:pStyle w:val="CETReferencetext"/>
        <w:rPr>
          <w:lang w:val="en-US"/>
        </w:rPr>
      </w:pPr>
      <w:r w:rsidRPr="006C7661">
        <w:rPr>
          <w:lang w:val="en-US"/>
        </w:rPr>
        <w:t>N</w:t>
      </w:r>
      <w:r>
        <w:rPr>
          <w:lang w:val="en-US"/>
        </w:rPr>
        <w:t>anda</w:t>
      </w:r>
      <w:r w:rsidRPr="006C7661">
        <w:rPr>
          <w:lang w:val="en-US"/>
        </w:rPr>
        <w:t xml:space="preserve">, </w:t>
      </w:r>
      <w:proofErr w:type="spellStart"/>
      <w:r w:rsidRPr="006C7661">
        <w:rPr>
          <w:lang w:val="en-US"/>
        </w:rPr>
        <w:t>Sonil</w:t>
      </w:r>
      <w:proofErr w:type="spellEnd"/>
      <w:r w:rsidRPr="006C7661">
        <w:rPr>
          <w:lang w:val="en-US"/>
        </w:rPr>
        <w:t xml:space="preserve"> et al. Subcritical and supercritical water gasification of lignocellulosic biomass impregnated with nickel nanocatalyst for hydrogen production. International Journal of Hydrogen Energy, v. 41, n. 9, p. 4907-4921, 2016.</w:t>
      </w:r>
    </w:p>
    <w:p w:rsidR="008F1C39" w:rsidRDefault="008F1C39" w:rsidP="006E34D0">
      <w:pPr>
        <w:pStyle w:val="CETReferencetext"/>
        <w:rPr>
          <w:lang w:val="en-US"/>
        </w:rPr>
      </w:pPr>
      <w:r w:rsidRPr="006E34D0">
        <w:rPr>
          <w:lang w:val="en-US"/>
        </w:rPr>
        <w:t>Pitzer, K.S.; Lippmann, D.Z.; Curl, R.F.; Huggins, C.M.; Petersen, D.E. The Volumetric and Thermodynamic Properties of Fluids.</w:t>
      </w:r>
      <w:r>
        <w:rPr>
          <w:lang w:val="en-US"/>
        </w:rPr>
        <w:t xml:space="preserve"> </w:t>
      </w:r>
      <w:r w:rsidRPr="006E34D0">
        <w:rPr>
          <w:lang w:val="en-US"/>
        </w:rPr>
        <w:t>II. Compressibility Factor, Vapor Pressure and Entropy of Vaporization. J. Am. Chem. Soc. 1955, 77, 3433–3440.</w:t>
      </w:r>
    </w:p>
    <w:p w:rsidR="008F1C39" w:rsidRDefault="008F1C39" w:rsidP="006E34D0">
      <w:pPr>
        <w:pStyle w:val="CETReferencetext"/>
        <w:rPr>
          <w:lang w:val="en-US"/>
        </w:rPr>
      </w:pPr>
      <w:r w:rsidRPr="00F6620F">
        <w:rPr>
          <w:lang w:val="en-US"/>
        </w:rPr>
        <w:t xml:space="preserve">Poling, B.E.; </w:t>
      </w:r>
      <w:proofErr w:type="spellStart"/>
      <w:r w:rsidRPr="00F6620F">
        <w:rPr>
          <w:lang w:val="en-US"/>
        </w:rPr>
        <w:t>Prausnitz</w:t>
      </w:r>
      <w:proofErr w:type="spellEnd"/>
      <w:r w:rsidRPr="00F6620F">
        <w:rPr>
          <w:lang w:val="en-US"/>
        </w:rPr>
        <w:t xml:space="preserve">, J.M.; </w:t>
      </w:r>
      <w:proofErr w:type="spellStart"/>
      <w:r w:rsidRPr="00F6620F">
        <w:rPr>
          <w:lang w:val="en-US"/>
        </w:rPr>
        <w:t>O’connell</w:t>
      </w:r>
      <w:proofErr w:type="spellEnd"/>
      <w:r w:rsidRPr="00F6620F">
        <w:rPr>
          <w:lang w:val="en-US"/>
        </w:rPr>
        <w:t>, J.P. Properties of Gases and Liquids; McGraw-Hill Education: New York, NY, USA, 2001.</w:t>
      </w:r>
    </w:p>
    <w:p w:rsidR="008F1C39" w:rsidRDefault="008F1C39" w:rsidP="00ED0FA5">
      <w:pPr>
        <w:pStyle w:val="CETReferencetext"/>
        <w:rPr>
          <w:lang w:val="en-US"/>
        </w:rPr>
      </w:pPr>
      <w:r w:rsidRPr="006E34D0">
        <w:rPr>
          <w:lang w:val="en-US"/>
        </w:rPr>
        <w:t xml:space="preserve">Tsonopoulos, C. An empirical correlation of second virial coefficients. </w:t>
      </w:r>
      <w:proofErr w:type="spellStart"/>
      <w:r w:rsidRPr="006E34D0">
        <w:rPr>
          <w:lang w:val="en-US"/>
        </w:rPr>
        <w:t>AIChE</w:t>
      </w:r>
      <w:proofErr w:type="spellEnd"/>
      <w:r w:rsidRPr="006E34D0">
        <w:rPr>
          <w:lang w:val="en-US"/>
        </w:rPr>
        <w:t xml:space="preserve"> J. 1974, 20, 263–272.</w:t>
      </w:r>
    </w:p>
    <w:p w:rsidR="008F1C39" w:rsidRPr="00A72B77" w:rsidRDefault="008F1C39" w:rsidP="00A72B77">
      <w:pPr>
        <w:pStyle w:val="CETReferencetext"/>
        <w:rPr>
          <w:shd w:val="clear" w:color="auto" w:fill="FFFFFF"/>
          <w:lang w:val="en-US"/>
        </w:rPr>
      </w:pPr>
      <w:proofErr w:type="spellStart"/>
      <w:r w:rsidRPr="00004D26">
        <w:rPr>
          <w:shd w:val="clear" w:color="auto" w:fill="FFFFFF"/>
          <w:lang w:val="en-US"/>
        </w:rPr>
        <w:t>Z</w:t>
      </w:r>
      <w:r>
        <w:rPr>
          <w:shd w:val="clear" w:color="auto" w:fill="FFFFFF"/>
          <w:lang w:val="en-US"/>
        </w:rPr>
        <w:t>abaniotou</w:t>
      </w:r>
      <w:proofErr w:type="spellEnd"/>
      <w:r w:rsidRPr="00004D26">
        <w:rPr>
          <w:shd w:val="clear" w:color="auto" w:fill="FFFFFF"/>
          <w:lang w:val="en-US"/>
        </w:rPr>
        <w:t>, A. et al. Experimental study of pyrolysis for potential energy, hydrogen and carbon material production from lignocellulosic biomass. </w:t>
      </w:r>
      <w:r w:rsidRPr="00004D26">
        <w:rPr>
          <w:bCs/>
          <w:shd w:val="clear" w:color="auto" w:fill="FFFFFF"/>
          <w:lang w:val="en-US"/>
        </w:rPr>
        <w:t>International Journal of Hydrogen Energy</w:t>
      </w:r>
      <w:r w:rsidRPr="00004D26">
        <w:rPr>
          <w:shd w:val="clear" w:color="auto" w:fill="FFFFFF"/>
          <w:lang w:val="en-US"/>
        </w:rPr>
        <w:t>, v. 33, n. 10, p. 2433-2444, 2008.</w:t>
      </w:r>
    </w:p>
    <w:sectPr w:rsidR="008F1C39" w:rsidRPr="00A72B7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445" w:rsidRDefault="00614445" w:rsidP="004F5E36">
      <w:r>
        <w:separator/>
      </w:r>
    </w:p>
  </w:endnote>
  <w:endnote w:type="continuationSeparator" w:id="0">
    <w:p w:rsidR="00614445" w:rsidRDefault="00614445"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445" w:rsidRDefault="00614445" w:rsidP="004F5E36">
      <w:r>
        <w:separator/>
      </w:r>
    </w:p>
  </w:footnote>
  <w:footnote w:type="continuationSeparator" w:id="0">
    <w:p w:rsidR="00614445" w:rsidRDefault="00614445"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9EE"/>
    <w:rsid w:val="00017DDB"/>
    <w:rsid w:val="00022698"/>
    <w:rsid w:val="00022DB3"/>
    <w:rsid w:val="0003148D"/>
    <w:rsid w:val="00031EEC"/>
    <w:rsid w:val="00032F62"/>
    <w:rsid w:val="00050130"/>
    <w:rsid w:val="00051566"/>
    <w:rsid w:val="000562A9"/>
    <w:rsid w:val="00062A9A"/>
    <w:rsid w:val="00065058"/>
    <w:rsid w:val="000657E3"/>
    <w:rsid w:val="00070A60"/>
    <w:rsid w:val="00073FF5"/>
    <w:rsid w:val="00086C39"/>
    <w:rsid w:val="000A03B2"/>
    <w:rsid w:val="000C1A53"/>
    <w:rsid w:val="000D0268"/>
    <w:rsid w:val="000D2F20"/>
    <w:rsid w:val="000D34BE"/>
    <w:rsid w:val="000E102F"/>
    <w:rsid w:val="000E36F1"/>
    <w:rsid w:val="000E3A73"/>
    <w:rsid w:val="000E414A"/>
    <w:rsid w:val="000E485B"/>
    <w:rsid w:val="000E619A"/>
    <w:rsid w:val="000E6F2C"/>
    <w:rsid w:val="000F093C"/>
    <w:rsid w:val="000F787B"/>
    <w:rsid w:val="0012091F"/>
    <w:rsid w:val="00124904"/>
    <w:rsid w:val="00126BC2"/>
    <w:rsid w:val="001308B6"/>
    <w:rsid w:val="0013121F"/>
    <w:rsid w:val="00131FE6"/>
    <w:rsid w:val="0013263F"/>
    <w:rsid w:val="001327B7"/>
    <w:rsid w:val="001331DF"/>
    <w:rsid w:val="00134B8E"/>
    <w:rsid w:val="00134DE4"/>
    <w:rsid w:val="0014034D"/>
    <w:rsid w:val="00144D16"/>
    <w:rsid w:val="001458F9"/>
    <w:rsid w:val="0014744D"/>
    <w:rsid w:val="00150E59"/>
    <w:rsid w:val="00151E59"/>
    <w:rsid w:val="00152DE3"/>
    <w:rsid w:val="00156F74"/>
    <w:rsid w:val="00164CF9"/>
    <w:rsid w:val="001667A6"/>
    <w:rsid w:val="001679AE"/>
    <w:rsid w:val="00184AD6"/>
    <w:rsid w:val="001A4AF7"/>
    <w:rsid w:val="001B0349"/>
    <w:rsid w:val="001B1E93"/>
    <w:rsid w:val="001B65C1"/>
    <w:rsid w:val="001B7CFD"/>
    <w:rsid w:val="001C684B"/>
    <w:rsid w:val="001D0CFB"/>
    <w:rsid w:val="001D21AF"/>
    <w:rsid w:val="001D53FC"/>
    <w:rsid w:val="001E0864"/>
    <w:rsid w:val="001F2CC2"/>
    <w:rsid w:val="001F42A5"/>
    <w:rsid w:val="001F7B9D"/>
    <w:rsid w:val="00200CBF"/>
    <w:rsid w:val="00201C93"/>
    <w:rsid w:val="002176FE"/>
    <w:rsid w:val="002224B4"/>
    <w:rsid w:val="00223520"/>
    <w:rsid w:val="002447EF"/>
    <w:rsid w:val="0025031C"/>
    <w:rsid w:val="00251550"/>
    <w:rsid w:val="00263B05"/>
    <w:rsid w:val="0027221A"/>
    <w:rsid w:val="00274617"/>
    <w:rsid w:val="00275B61"/>
    <w:rsid w:val="00280FAF"/>
    <w:rsid w:val="00282656"/>
    <w:rsid w:val="002911E5"/>
    <w:rsid w:val="002926B3"/>
    <w:rsid w:val="00296B83"/>
    <w:rsid w:val="002B0B7D"/>
    <w:rsid w:val="002B4015"/>
    <w:rsid w:val="002B78CE"/>
    <w:rsid w:val="002C2FB6"/>
    <w:rsid w:val="002D10FB"/>
    <w:rsid w:val="002D40FA"/>
    <w:rsid w:val="002D4DF6"/>
    <w:rsid w:val="002E02F6"/>
    <w:rsid w:val="002E5FA7"/>
    <w:rsid w:val="002F3309"/>
    <w:rsid w:val="003008CE"/>
    <w:rsid w:val="003009B7"/>
    <w:rsid w:val="00300E56"/>
    <w:rsid w:val="0030152C"/>
    <w:rsid w:val="0030469C"/>
    <w:rsid w:val="003133E1"/>
    <w:rsid w:val="00321CA6"/>
    <w:rsid w:val="00323763"/>
    <w:rsid w:val="00323C5F"/>
    <w:rsid w:val="00334C09"/>
    <w:rsid w:val="00350D0F"/>
    <w:rsid w:val="003721A2"/>
    <w:rsid w:val="003723D4"/>
    <w:rsid w:val="00381905"/>
    <w:rsid w:val="00384CC8"/>
    <w:rsid w:val="003871FD"/>
    <w:rsid w:val="003A1E30"/>
    <w:rsid w:val="003A2829"/>
    <w:rsid w:val="003A6FC6"/>
    <w:rsid w:val="003A7D1C"/>
    <w:rsid w:val="003B304B"/>
    <w:rsid w:val="003B3146"/>
    <w:rsid w:val="003D4A65"/>
    <w:rsid w:val="003F015E"/>
    <w:rsid w:val="003F02A0"/>
    <w:rsid w:val="003F0B52"/>
    <w:rsid w:val="00400414"/>
    <w:rsid w:val="0041446B"/>
    <w:rsid w:val="004256E7"/>
    <w:rsid w:val="00427501"/>
    <w:rsid w:val="00432CA8"/>
    <w:rsid w:val="00434F7A"/>
    <w:rsid w:val="00436824"/>
    <w:rsid w:val="0044071E"/>
    <w:rsid w:val="0044329C"/>
    <w:rsid w:val="00453E24"/>
    <w:rsid w:val="0045655E"/>
    <w:rsid w:val="00457456"/>
    <w:rsid w:val="004577FE"/>
    <w:rsid w:val="00457B9C"/>
    <w:rsid w:val="00457D33"/>
    <w:rsid w:val="0046164A"/>
    <w:rsid w:val="004628D2"/>
    <w:rsid w:val="00462DCD"/>
    <w:rsid w:val="004648AD"/>
    <w:rsid w:val="004703A9"/>
    <w:rsid w:val="004760DE"/>
    <w:rsid w:val="004761E9"/>
    <w:rsid w:val="004763D7"/>
    <w:rsid w:val="00494901"/>
    <w:rsid w:val="004A004E"/>
    <w:rsid w:val="004A02F9"/>
    <w:rsid w:val="004A0A8A"/>
    <w:rsid w:val="004A24CF"/>
    <w:rsid w:val="004A6A43"/>
    <w:rsid w:val="004C3D1D"/>
    <w:rsid w:val="004C3D84"/>
    <w:rsid w:val="004C7913"/>
    <w:rsid w:val="004E4DD6"/>
    <w:rsid w:val="004F5E36"/>
    <w:rsid w:val="00502B69"/>
    <w:rsid w:val="00507B47"/>
    <w:rsid w:val="00507BEF"/>
    <w:rsid w:val="00507CC9"/>
    <w:rsid w:val="005119A5"/>
    <w:rsid w:val="00513574"/>
    <w:rsid w:val="00516AAC"/>
    <w:rsid w:val="005252BE"/>
    <w:rsid w:val="005278B7"/>
    <w:rsid w:val="0053075D"/>
    <w:rsid w:val="00532016"/>
    <w:rsid w:val="005346C8"/>
    <w:rsid w:val="00543E7D"/>
    <w:rsid w:val="00547A68"/>
    <w:rsid w:val="005514DF"/>
    <w:rsid w:val="0055156A"/>
    <w:rsid w:val="005531C9"/>
    <w:rsid w:val="00554A90"/>
    <w:rsid w:val="00562CF9"/>
    <w:rsid w:val="005655FB"/>
    <w:rsid w:val="00570C43"/>
    <w:rsid w:val="00571D7E"/>
    <w:rsid w:val="00584F31"/>
    <w:rsid w:val="005A05BF"/>
    <w:rsid w:val="005B0205"/>
    <w:rsid w:val="005B2110"/>
    <w:rsid w:val="005B61E6"/>
    <w:rsid w:val="005C77E1"/>
    <w:rsid w:val="005D668A"/>
    <w:rsid w:val="005D6A2F"/>
    <w:rsid w:val="005E1A82"/>
    <w:rsid w:val="005E794C"/>
    <w:rsid w:val="005F0A28"/>
    <w:rsid w:val="005F0E5E"/>
    <w:rsid w:val="005F5B45"/>
    <w:rsid w:val="005F7639"/>
    <w:rsid w:val="006004AD"/>
    <w:rsid w:val="00600535"/>
    <w:rsid w:val="00605426"/>
    <w:rsid w:val="00606EF2"/>
    <w:rsid w:val="00610CD6"/>
    <w:rsid w:val="00612CA2"/>
    <w:rsid w:val="00614445"/>
    <w:rsid w:val="006153E5"/>
    <w:rsid w:val="00615C5B"/>
    <w:rsid w:val="00620DEE"/>
    <w:rsid w:val="00621F92"/>
    <w:rsid w:val="0062280A"/>
    <w:rsid w:val="0062330E"/>
    <w:rsid w:val="00625639"/>
    <w:rsid w:val="00631B33"/>
    <w:rsid w:val="00634A48"/>
    <w:rsid w:val="0064184D"/>
    <w:rsid w:val="006422CC"/>
    <w:rsid w:val="006501BB"/>
    <w:rsid w:val="00656259"/>
    <w:rsid w:val="006606E1"/>
    <w:rsid w:val="00660E3E"/>
    <w:rsid w:val="00662E74"/>
    <w:rsid w:val="00677BC0"/>
    <w:rsid w:val="00680C23"/>
    <w:rsid w:val="006839CF"/>
    <w:rsid w:val="00692898"/>
    <w:rsid w:val="00693766"/>
    <w:rsid w:val="006A23E9"/>
    <w:rsid w:val="006A3281"/>
    <w:rsid w:val="006A392B"/>
    <w:rsid w:val="006B4888"/>
    <w:rsid w:val="006C2E45"/>
    <w:rsid w:val="006C359C"/>
    <w:rsid w:val="006C5579"/>
    <w:rsid w:val="006C7661"/>
    <w:rsid w:val="006D6E8B"/>
    <w:rsid w:val="006E34D0"/>
    <w:rsid w:val="006E737D"/>
    <w:rsid w:val="0070787C"/>
    <w:rsid w:val="00713973"/>
    <w:rsid w:val="00720A24"/>
    <w:rsid w:val="007232E3"/>
    <w:rsid w:val="00732386"/>
    <w:rsid w:val="00733AC7"/>
    <w:rsid w:val="0073514D"/>
    <w:rsid w:val="007432F3"/>
    <w:rsid w:val="007447F3"/>
    <w:rsid w:val="0075499F"/>
    <w:rsid w:val="0076272F"/>
    <w:rsid w:val="007661C8"/>
    <w:rsid w:val="0077098D"/>
    <w:rsid w:val="0078007F"/>
    <w:rsid w:val="00785C2C"/>
    <w:rsid w:val="007922DC"/>
    <w:rsid w:val="007931FA"/>
    <w:rsid w:val="007952A9"/>
    <w:rsid w:val="00797C5E"/>
    <w:rsid w:val="007A4861"/>
    <w:rsid w:val="007A7BBA"/>
    <w:rsid w:val="007B0C50"/>
    <w:rsid w:val="007B48F9"/>
    <w:rsid w:val="007C1A43"/>
    <w:rsid w:val="007D0951"/>
    <w:rsid w:val="007E0005"/>
    <w:rsid w:val="007E0840"/>
    <w:rsid w:val="007F3C8D"/>
    <w:rsid w:val="0080013E"/>
    <w:rsid w:val="00813288"/>
    <w:rsid w:val="00813FC5"/>
    <w:rsid w:val="008168FC"/>
    <w:rsid w:val="00816909"/>
    <w:rsid w:val="00830996"/>
    <w:rsid w:val="008345F1"/>
    <w:rsid w:val="0083753E"/>
    <w:rsid w:val="00843EAC"/>
    <w:rsid w:val="008643EB"/>
    <w:rsid w:val="00865B07"/>
    <w:rsid w:val="008667EA"/>
    <w:rsid w:val="008754F3"/>
    <w:rsid w:val="0087637F"/>
    <w:rsid w:val="00876F70"/>
    <w:rsid w:val="00890CF5"/>
    <w:rsid w:val="00892AD5"/>
    <w:rsid w:val="008A1512"/>
    <w:rsid w:val="008B06B3"/>
    <w:rsid w:val="008B7C03"/>
    <w:rsid w:val="008C1591"/>
    <w:rsid w:val="008D1E6B"/>
    <w:rsid w:val="008D32B9"/>
    <w:rsid w:val="008D433B"/>
    <w:rsid w:val="008D4A16"/>
    <w:rsid w:val="008D7CB6"/>
    <w:rsid w:val="008E566E"/>
    <w:rsid w:val="008E7D59"/>
    <w:rsid w:val="008F1C39"/>
    <w:rsid w:val="0090161A"/>
    <w:rsid w:val="00901EB6"/>
    <w:rsid w:val="00902EDA"/>
    <w:rsid w:val="00904C62"/>
    <w:rsid w:val="009133C0"/>
    <w:rsid w:val="00922BA8"/>
    <w:rsid w:val="00924DAC"/>
    <w:rsid w:val="00927058"/>
    <w:rsid w:val="009349F9"/>
    <w:rsid w:val="00936A4A"/>
    <w:rsid w:val="00942750"/>
    <w:rsid w:val="009450CE"/>
    <w:rsid w:val="009459BB"/>
    <w:rsid w:val="00947179"/>
    <w:rsid w:val="0095164B"/>
    <w:rsid w:val="009531C7"/>
    <w:rsid w:val="00954090"/>
    <w:rsid w:val="00955E7D"/>
    <w:rsid w:val="009573E7"/>
    <w:rsid w:val="0096178A"/>
    <w:rsid w:val="00963E05"/>
    <w:rsid w:val="00964A45"/>
    <w:rsid w:val="00966128"/>
    <w:rsid w:val="00967843"/>
    <w:rsid w:val="00967D54"/>
    <w:rsid w:val="00971028"/>
    <w:rsid w:val="00977673"/>
    <w:rsid w:val="00980330"/>
    <w:rsid w:val="00982F34"/>
    <w:rsid w:val="009908BD"/>
    <w:rsid w:val="0099155F"/>
    <w:rsid w:val="00993B84"/>
    <w:rsid w:val="00995C3B"/>
    <w:rsid w:val="00996483"/>
    <w:rsid w:val="00996F5A"/>
    <w:rsid w:val="009B041A"/>
    <w:rsid w:val="009C37C3"/>
    <w:rsid w:val="009C5E30"/>
    <w:rsid w:val="009C7C86"/>
    <w:rsid w:val="009D2FF7"/>
    <w:rsid w:val="009D530C"/>
    <w:rsid w:val="009E7884"/>
    <w:rsid w:val="009E788A"/>
    <w:rsid w:val="009F0E08"/>
    <w:rsid w:val="00A07F33"/>
    <w:rsid w:val="00A13C93"/>
    <w:rsid w:val="00A1763D"/>
    <w:rsid w:val="00A17CEC"/>
    <w:rsid w:val="00A17DE7"/>
    <w:rsid w:val="00A20DC6"/>
    <w:rsid w:val="00A210F9"/>
    <w:rsid w:val="00A27EF0"/>
    <w:rsid w:val="00A3411B"/>
    <w:rsid w:val="00A34A16"/>
    <w:rsid w:val="00A36335"/>
    <w:rsid w:val="00A36702"/>
    <w:rsid w:val="00A42361"/>
    <w:rsid w:val="00A50B20"/>
    <w:rsid w:val="00A51390"/>
    <w:rsid w:val="00A535F4"/>
    <w:rsid w:val="00A60D13"/>
    <w:rsid w:val="00A71667"/>
    <w:rsid w:val="00A7223D"/>
    <w:rsid w:val="00A72745"/>
    <w:rsid w:val="00A72B77"/>
    <w:rsid w:val="00A76EFC"/>
    <w:rsid w:val="00A80767"/>
    <w:rsid w:val="00A8324F"/>
    <w:rsid w:val="00A87D50"/>
    <w:rsid w:val="00A91010"/>
    <w:rsid w:val="00A9444D"/>
    <w:rsid w:val="00A97F29"/>
    <w:rsid w:val="00AA60B7"/>
    <w:rsid w:val="00AA702E"/>
    <w:rsid w:val="00AA7D26"/>
    <w:rsid w:val="00AB0964"/>
    <w:rsid w:val="00AB5011"/>
    <w:rsid w:val="00AC7368"/>
    <w:rsid w:val="00AD16B9"/>
    <w:rsid w:val="00AD4C42"/>
    <w:rsid w:val="00AE377D"/>
    <w:rsid w:val="00AF0EBA"/>
    <w:rsid w:val="00AF20DE"/>
    <w:rsid w:val="00B02C8A"/>
    <w:rsid w:val="00B153F3"/>
    <w:rsid w:val="00B15EBF"/>
    <w:rsid w:val="00B17FBD"/>
    <w:rsid w:val="00B315A6"/>
    <w:rsid w:val="00B31813"/>
    <w:rsid w:val="00B33365"/>
    <w:rsid w:val="00B402B3"/>
    <w:rsid w:val="00B52453"/>
    <w:rsid w:val="00B55004"/>
    <w:rsid w:val="00B561CC"/>
    <w:rsid w:val="00B57B36"/>
    <w:rsid w:val="00B57E6F"/>
    <w:rsid w:val="00B74280"/>
    <w:rsid w:val="00B7642E"/>
    <w:rsid w:val="00B85A49"/>
    <w:rsid w:val="00B8686D"/>
    <w:rsid w:val="00B87DCF"/>
    <w:rsid w:val="00B93F69"/>
    <w:rsid w:val="00B9541B"/>
    <w:rsid w:val="00BA3293"/>
    <w:rsid w:val="00BB0EC7"/>
    <w:rsid w:val="00BB1DDC"/>
    <w:rsid w:val="00BB4127"/>
    <w:rsid w:val="00BC30C9"/>
    <w:rsid w:val="00BD077D"/>
    <w:rsid w:val="00BD7798"/>
    <w:rsid w:val="00BE3E58"/>
    <w:rsid w:val="00C01616"/>
    <w:rsid w:val="00C0162B"/>
    <w:rsid w:val="00C068ED"/>
    <w:rsid w:val="00C22E0C"/>
    <w:rsid w:val="00C345B1"/>
    <w:rsid w:val="00C34AC5"/>
    <w:rsid w:val="00C40142"/>
    <w:rsid w:val="00C469F8"/>
    <w:rsid w:val="00C52C3C"/>
    <w:rsid w:val="00C57182"/>
    <w:rsid w:val="00C57863"/>
    <w:rsid w:val="00C640AF"/>
    <w:rsid w:val="00C655FD"/>
    <w:rsid w:val="00C66EF9"/>
    <w:rsid w:val="00C7479D"/>
    <w:rsid w:val="00C75407"/>
    <w:rsid w:val="00C7650C"/>
    <w:rsid w:val="00C870A8"/>
    <w:rsid w:val="00C91797"/>
    <w:rsid w:val="00C94434"/>
    <w:rsid w:val="00CA0D4A"/>
    <w:rsid w:val="00CA0D75"/>
    <w:rsid w:val="00CA1C95"/>
    <w:rsid w:val="00CA5A9C"/>
    <w:rsid w:val="00CC3693"/>
    <w:rsid w:val="00CC4C20"/>
    <w:rsid w:val="00CD3517"/>
    <w:rsid w:val="00CD5FE2"/>
    <w:rsid w:val="00CE256A"/>
    <w:rsid w:val="00CE2AC4"/>
    <w:rsid w:val="00CE35FD"/>
    <w:rsid w:val="00CE3A41"/>
    <w:rsid w:val="00CE7C68"/>
    <w:rsid w:val="00CF55A2"/>
    <w:rsid w:val="00CF7F87"/>
    <w:rsid w:val="00D02B4C"/>
    <w:rsid w:val="00D040C4"/>
    <w:rsid w:val="00D16142"/>
    <w:rsid w:val="00D172F8"/>
    <w:rsid w:val="00D20AD1"/>
    <w:rsid w:val="00D3061F"/>
    <w:rsid w:val="00D31A95"/>
    <w:rsid w:val="00D343AF"/>
    <w:rsid w:val="00D46B7E"/>
    <w:rsid w:val="00D46E87"/>
    <w:rsid w:val="00D57C84"/>
    <w:rsid w:val="00D6057D"/>
    <w:rsid w:val="00D647AB"/>
    <w:rsid w:val="00D648EC"/>
    <w:rsid w:val="00D71640"/>
    <w:rsid w:val="00D836C5"/>
    <w:rsid w:val="00D84576"/>
    <w:rsid w:val="00DA1399"/>
    <w:rsid w:val="00DA24C6"/>
    <w:rsid w:val="00DA4D7B"/>
    <w:rsid w:val="00DA771A"/>
    <w:rsid w:val="00DB4D2D"/>
    <w:rsid w:val="00DC62F5"/>
    <w:rsid w:val="00DD271C"/>
    <w:rsid w:val="00DE264A"/>
    <w:rsid w:val="00DF03B9"/>
    <w:rsid w:val="00DF47E5"/>
    <w:rsid w:val="00DF5072"/>
    <w:rsid w:val="00E02D18"/>
    <w:rsid w:val="00E041E7"/>
    <w:rsid w:val="00E113C0"/>
    <w:rsid w:val="00E2219F"/>
    <w:rsid w:val="00E23CA1"/>
    <w:rsid w:val="00E31DDA"/>
    <w:rsid w:val="00E33DD7"/>
    <w:rsid w:val="00E409A8"/>
    <w:rsid w:val="00E50C12"/>
    <w:rsid w:val="00E577E3"/>
    <w:rsid w:val="00E6447E"/>
    <w:rsid w:val="00E65B91"/>
    <w:rsid w:val="00E706AA"/>
    <w:rsid w:val="00E7209D"/>
    <w:rsid w:val="00E72EAD"/>
    <w:rsid w:val="00E77223"/>
    <w:rsid w:val="00E8528B"/>
    <w:rsid w:val="00E85B94"/>
    <w:rsid w:val="00E978D0"/>
    <w:rsid w:val="00EA1A98"/>
    <w:rsid w:val="00EA4613"/>
    <w:rsid w:val="00EA6DCB"/>
    <w:rsid w:val="00EA7F91"/>
    <w:rsid w:val="00EB1523"/>
    <w:rsid w:val="00EC0E49"/>
    <w:rsid w:val="00EC101F"/>
    <w:rsid w:val="00EC1D9F"/>
    <w:rsid w:val="00ED0FA5"/>
    <w:rsid w:val="00ED1FA7"/>
    <w:rsid w:val="00ED22D2"/>
    <w:rsid w:val="00ED2D73"/>
    <w:rsid w:val="00EE0110"/>
    <w:rsid w:val="00EE0131"/>
    <w:rsid w:val="00EE17B0"/>
    <w:rsid w:val="00EF06D9"/>
    <w:rsid w:val="00F1267A"/>
    <w:rsid w:val="00F3049E"/>
    <w:rsid w:val="00F30C64"/>
    <w:rsid w:val="00F32BA2"/>
    <w:rsid w:val="00F32CDB"/>
    <w:rsid w:val="00F37D4A"/>
    <w:rsid w:val="00F55617"/>
    <w:rsid w:val="00F565FE"/>
    <w:rsid w:val="00F6202F"/>
    <w:rsid w:val="00F63A70"/>
    <w:rsid w:val="00F63D8C"/>
    <w:rsid w:val="00F650CC"/>
    <w:rsid w:val="00F6620F"/>
    <w:rsid w:val="00F749F5"/>
    <w:rsid w:val="00F7534E"/>
    <w:rsid w:val="00F9095F"/>
    <w:rsid w:val="00F93EDF"/>
    <w:rsid w:val="00FA1802"/>
    <w:rsid w:val="00FA21D0"/>
    <w:rsid w:val="00FA4EC3"/>
    <w:rsid w:val="00FA5F5F"/>
    <w:rsid w:val="00FB730C"/>
    <w:rsid w:val="00FC0FB1"/>
    <w:rsid w:val="00FC2695"/>
    <w:rsid w:val="00FC3E03"/>
    <w:rsid w:val="00FC3FC1"/>
    <w:rsid w:val="00FC54E3"/>
    <w:rsid w:val="00FC6681"/>
    <w:rsid w:val="00FD1FF7"/>
    <w:rsid w:val="00FF3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TextodoEspaoReservado">
    <w:name w:val="Placeholder Text"/>
    <w:basedOn w:val="Fontepargpadro"/>
    <w:uiPriority w:val="99"/>
    <w:semiHidden/>
    <w:rsid w:val="00606EF2"/>
    <w:rPr>
      <w:color w:val="666666"/>
    </w:rPr>
  </w:style>
</w:styles>
</file>

<file path=word/webSettings.xml><?xml version="1.0" encoding="utf-8"?>
<w:webSettings xmlns:r="http://schemas.openxmlformats.org/officeDocument/2006/relationships" xmlns:w="http://schemas.openxmlformats.org/wordprocessingml/2006/main">
  <w:divs>
    <w:div w:id="5594367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265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una\Desktop\MA&#769;XIMAS%20PRODUC&#807;O&#771;ES%20DE%20H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Bruna\Desktop\MA&#769;XIMAS%20PRODUC&#807;O&#771;ES%20DE%20H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runa\Desktop\MA&#769;XIMAS%20PRODUC&#807;O&#771;ES%20DE%20H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runa\Desktop\MA&#769;XIMAS%20PRODUC&#807;O&#771;ES%20DE%20H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Bruna\Desktop\MA&#769;XIMAS%20PRODUC&#807;O&#771;ES%20DE%20H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Bruna\Desktop\MA&#769;XIMAS%20PRODUC&#807;O&#771;ES%20DE%20H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Bruna\Desktop\MA&#769;XIMAS%20PRODUC&#807;O&#771;ES%20DE%20H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Bruna\Desktop\MA&#769;XIMAS%20PRODUC&#807;O&#771;ES%20DE%20H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Bruna\Desktop\MA&#769;XIMAS%20PRODUC&#807;O&#771;ES%20DE%20H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Bruna\Desktop\MA&#769;XIMAS%20PRODUC&#807;O&#771;ES%20DE%20H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796936109472527"/>
          <c:y val="8.6240689925519379E-2"/>
          <c:w val="0.71394136539127095"/>
          <c:h val="0.62757109300969438"/>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'RA minG - O2 0,1 - H2O 0,9'!$D$32:$D$36</c:f>
              <c:numCache>
                <c:formatCode>General</c:formatCode>
                <c:ptCount val="5"/>
                <c:pt idx="0">
                  <c:v>500</c:v>
                </c:pt>
                <c:pt idx="1">
                  <c:v>600</c:v>
                </c:pt>
                <c:pt idx="2">
                  <c:v>700</c:v>
                </c:pt>
                <c:pt idx="3">
                  <c:v>800</c:v>
                </c:pt>
                <c:pt idx="4">
                  <c:v>900</c:v>
                </c:pt>
              </c:numCache>
            </c:numRef>
          </c:xVal>
          <c:yVal>
            <c:numRef>
              <c:f>'RA minG - O2 0,1 - H2O 0,9'!$E$32:$E$36</c:f>
              <c:numCache>
                <c:formatCode>0.000</c:formatCode>
                <c:ptCount val="5"/>
                <c:pt idx="0">
                  <c:v>5.90900000000006E-2</c:v>
                </c:pt>
                <c:pt idx="1">
                  <c:v>0.80620999999999998</c:v>
                </c:pt>
                <c:pt idx="2">
                  <c:v>3.8429799999999967</c:v>
                </c:pt>
                <c:pt idx="3">
                  <c:v>5.5910599999999997</c:v>
                </c:pt>
                <c:pt idx="4">
                  <c:v>5.79087</c:v>
                </c:pt>
              </c:numCache>
            </c:numRef>
          </c:yVal>
          <c:smooth val="1"/>
          <c:extLst xmlns:c16r2="http://schemas.microsoft.com/office/drawing/2015/06/chart">
            <c:ext xmlns:c16="http://schemas.microsoft.com/office/drawing/2014/chart" uri="{C3380CC4-5D6E-409C-BE32-E72D297353CC}">
              <c16:uniqueId val="{00000000-A0FC-3047-B12C-10BAE86CA477}"/>
            </c:ext>
          </c:extLst>
        </c:ser>
        <c:ser>
          <c:idx val="1"/>
          <c:order val="1"/>
          <c:tx>
            <c:v>Adiabático</c:v>
          </c:tx>
          <c:spPr>
            <a:ln w="19050" cap="rnd">
              <a:solidFill>
                <a:schemeClr val="tx1"/>
              </a:solidFill>
              <a:prstDash val="dash"/>
              <a:round/>
            </a:ln>
            <a:effectLst/>
          </c:spPr>
          <c:marker>
            <c:symbol val="circle"/>
            <c:size val="5"/>
            <c:spPr>
              <a:solidFill>
                <a:schemeClr val="bg1"/>
              </a:solidFill>
              <a:ln w="9525">
                <a:solidFill>
                  <a:schemeClr val="tx1"/>
                </a:solidFill>
              </a:ln>
              <a:effectLst/>
            </c:spPr>
          </c:marker>
          <c:xVal>
            <c:numRef>
              <c:f>'RA minG - O2 0,1 - H2O 0,9'!$D$32:$D$36</c:f>
              <c:numCache>
                <c:formatCode>General</c:formatCode>
                <c:ptCount val="5"/>
                <c:pt idx="0">
                  <c:v>500</c:v>
                </c:pt>
                <c:pt idx="1">
                  <c:v>600</c:v>
                </c:pt>
                <c:pt idx="2">
                  <c:v>700</c:v>
                </c:pt>
                <c:pt idx="3">
                  <c:v>800</c:v>
                </c:pt>
                <c:pt idx="4">
                  <c:v>900</c:v>
                </c:pt>
              </c:numCache>
            </c:numRef>
          </c:xVal>
          <c:yVal>
            <c:numRef>
              <c:f>'RA minG - O2 0,1 - H2O 0,9'!$F$32:$F$36</c:f>
              <c:numCache>
                <c:formatCode>General</c:formatCode>
                <c:ptCount val="5"/>
                <c:pt idx="0">
                  <c:v>4.2942900000000002</c:v>
                </c:pt>
                <c:pt idx="1">
                  <c:v>4.3665599999999865</c:v>
                </c:pt>
                <c:pt idx="2">
                  <c:v>4.4261799999999996</c:v>
                </c:pt>
                <c:pt idx="3">
                  <c:v>4.4654499999999997</c:v>
                </c:pt>
                <c:pt idx="4">
                  <c:v>4.4821400000000002</c:v>
                </c:pt>
              </c:numCache>
            </c:numRef>
          </c:yVal>
          <c:smooth val="1"/>
          <c:extLst xmlns:c16r2="http://schemas.microsoft.com/office/drawing/2015/06/chart">
            <c:ext xmlns:c16="http://schemas.microsoft.com/office/drawing/2014/chart" uri="{C3380CC4-5D6E-409C-BE32-E72D297353CC}">
              <c16:uniqueId val="{00000001-A0FC-3047-B12C-10BAE86CA477}"/>
            </c:ext>
          </c:extLst>
        </c:ser>
        <c:axId val="49201152"/>
        <c:axId val="49203072"/>
      </c:scatterChart>
      <c:valAx>
        <c:axId val="49201152"/>
        <c:scaling>
          <c:orientation val="minMax"/>
          <c:max val="900"/>
          <c:min val="5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Temperature (K)</a:t>
                </a:r>
              </a:p>
            </c:rich>
          </c:tx>
          <c:layout>
            <c:manualLayout>
              <c:xMode val="edge"/>
              <c:yMode val="edge"/>
              <c:x val="0.33222285383309375"/>
              <c:y val="0.86824743731809206"/>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203072"/>
        <c:crosses val="autoZero"/>
        <c:crossBetween val="midCat"/>
      </c:valAx>
      <c:valAx>
        <c:axId val="49203072"/>
        <c:scaling>
          <c:orientation val="minMax"/>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H</a:t>
                </a:r>
                <a:r>
                  <a:rPr lang="pt-BR" sz="1100" b="1" baseline="-25000"/>
                  <a:t>2</a:t>
                </a:r>
                <a:r>
                  <a:rPr lang="pt-BR" sz="1100" b="1"/>
                  <a:t> (moles)</a:t>
                </a:r>
              </a:p>
            </c:rich>
          </c:tx>
          <c:layout>
            <c:manualLayout>
              <c:xMode val="edge"/>
              <c:yMode val="edge"/>
              <c:x val="1.8219084491004327E-2"/>
              <c:y val="0.19442059158520658"/>
            </c:manualLayout>
          </c:layout>
          <c:spPr>
            <a:noFill/>
            <a:ln>
              <a:noFill/>
            </a:ln>
            <a:effectLst/>
          </c:spPr>
        </c:title>
        <c:numFmt formatCode="0" sourceLinked="0"/>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201152"/>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28688195787500487"/>
          <c:y val="4.3767304469144432E-2"/>
          <c:w val="0.63517586138290871"/>
          <c:h val="0.68380594918775051"/>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'SWCG 9,5% de biomassa - minG'!$B$27:$B$31</c:f>
              <c:numCache>
                <c:formatCode>General</c:formatCode>
                <c:ptCount val="5"/>
                <c:pt idx="0">
                  <c:v>600</c:v>
                </c:pt>
                <c:pt idx="1">
                  <c:v>700</c:v>
                </c:pt>
                <c:pt idx="2">
                  <c:v>800</c:v>
                </c:pt>
                <c:pt idx="3">
                  <c:v>900</c:v>
                </c:pt>
                <c:pt idx="4">
                  <c:v>1000</c:v>
                </c:pt>
              </c:numCache>
            </c:numRef>
          </c:xVal>
          <c:yVal>
            <c:numRef>
              <c:f>'SWCG 9,5% de biomassa - minG'!$B$27:$B$31</c:f>
              <c:numCache>
                <c:formatCode>General</c:formatCode>
                <c:ptCount val="5"/>
                <c:pt idx="0">
                  <c:v>600</c:v>
                </c:pt>
                <c:pt idx="1">
                  <c:v>700</c:v>
                </c:pt>
                <c:pt idx="2">
                  <c:v>800</c:v>
                </c:pt>
                <c:pt idx="3">
                  <c:v>900</c:v>
                </c:pt>
                <c:pt idx="4">
                  <c:v>1000</c:v>
                </c:pt>
              </c:numCache>
            </c:numRef>
          </c:yVal>
          <c:smooth val="1"/>
          <c:extLst xmlns:c16r2="http://schemas.microsoft.com/office/drawing/2015/06/chart">
            <c:ext xmlns:c16="http://schemas.microsoft.com/office/drawing/2014/chart" uri="{C3380CC4-5D6E-409C-BE32-E72D297353CC}">
              <c16:uniqueId val="{00000000-6BC3-2342-BE79-3B79392C77EA}"/>
            </c:ext>
          </c:extLst>
        </c:ser>
        <c:ser>
          <c:idx val="1"/>
          <c:order val="1"/>
          <c:tx>
            <c:v>Adiabático</c:v>
          </c:tx>
          <c:spPr>
            <a:ln w="19050" cap="rnd">
              <a:solidFill>
                <a:schemeClr val="tx1"/>
              </a:solidFill>
              <a:prstDash val="dash"/>
              <a:round/>
            </a:ln>
            <a:effectLst/>
          </c:spPr>
          <c:marker>
            <c:symbol val="circle"/>
            <c:size val="5"/>
            <c:spPr>
              <a:noFill/>
              <a:ln w="9525">
                <a:solidFill>
                  <a:schemeClr val="tx1"/>
                </a:solidFill>
              </a:ln>
              <a:effectLst/>
            </c:spPr>
          </c:marker>
          <c:xVal>
            <c:numRef>
              <c:f>'SWCG 9,5% de biomassa - minG'!$B$27:$B$31</c:f>
              <c:numCache>
                <c:formatCode>General</c:formatCode>
                <c:ptCount val="5"/>
                <c:pt idx="0">
                  <c:v>600</c:v>
                </c:pt>
                <c:pt idx="1">
                  <c:v>700</c:v>
                </c:pt>
                <c:pt idx="2">
                  <c:v>800</c:v>
                </c:pt>
                <c:pt idx="3">
                  <c:v>900</c:v>
                </c:pt>
                <c:pt idx="4">
                  <c:v>1000</c:v>
                </c:pt>
              </c:numCache>
            </c:numRef>
          </c:xVal>
          <c:yVal>
            <c:numRef>
              <c:f>'SWCG 9,5% de biomassa - minG'!$E$27:$E$31</c:f>
              <c:numCache>
                <c:formatCode>General</c:formatCode>
                <c:ptCount val="5"/>
                <c:pt idx="0">
                  <c:v>715.75541999999996</c:v>
                </c:pt>
                <c:pt idx="1">
                  <c:v>792.20241999999996</c:v>
                </c:pt>
                <c:pt idx="2">
                  <c:v>864.46575999999948</c:v>
                </c:pt>
                <c:pt idx="3">
                  <c:v>934.43859999999938</c:v>
                </c:pt>
                <c:pt idx="4">
                  <c:v>1004.67162</c:v>
                </c:pt>
              </c:numCache>
            </c:numRef>
          </c:yVal>
          <c:smooth val="1"/>
          <c:extLst xmlns:c16r2="http://schemas.microsoft.com/office/drawing/2015/06/chart">
            <c:ext xmlns:c16="http://schemas.microsoft.com/office/drawing/2014/chart" uri="{C3380CC4-5D6E-409C-BE32-E72D297353CC}">
              <c16:uniqueId val="{00000001-6BC3-2342-BE79-3B79392C77EA}"/>
            </c:ext>
          </c:extLst>
        </c:ser>
        <c:axId val="49509120"/>
        <c:axId val="49511040"/>
      </c:scatterChart>
      <c:valAx>
        <c:axId val="49509120"/>
        <c:scaling>
          <c:orientation val="minMax"/>
          <c:max val="1000"/>
          <c:min val="6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Initial</a:t>
                </a:r>
                <a:r>
                  <a:rPr lang="pt-BR" sz="1100" b="1" baseline="0"/>
                  <a:t> temperature</a:t>
                </a:r>
                <a:r>
                  <a:rPr lang="pt-BR" sz="1100" b="1"/>
                  <a:t> (K)</a:t>
                </a:r>
              </a:p>
            </c:rich>
          </c:tx>
          <c:layout>
            <c:manualLayout>
              <c:xMode val="edge"/>
              <c:yMode val="edge"/>
              <c:x val="0.35834580052493437"/>
              <c:y val="0.88331000291630157"/>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511040"/>
        <c:crosses val="autoZero"/>
        <c:crossBetween val="midCat"/>
      </c:valAx>
      <c:valAx>
        <c:axId val="49511040"/>
        <c:scaling>
          <c:orientation val="minMax"/>
          <c:min val="600"/>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Equilibrium</a:t>
                </a:r>
                <a:r>
                  <a:rPr lang="pt-BR" sz="1100" b="1" baseline="0"/>
                  <a:t> temperature</a:t>
                </a:r>
                <a:r>
                  <a:rPr lang="pt-BR" sz="1100" b="1"/>
                  <a:t> (K)</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509120"/>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9279920990982441"/>
          <c:y val="5.7435656363850028E-2"/>
          <c:w val="0.72925860934809228"/>
          <c:h val="0.68078227775428513"/>
        </c:manualLayout>
      </c:layout>
      <c:scatterChart>
        <c:scatterStyle val="smoothMarker"/>
        <c:ser>
          <c:idx val="0"/>
          <c:order val="0"/>
          <c:tx>
            <c:v>Isotérmico</c:v>
          </c:tx>
          <c:spPr>
            <a:ln w="19050" cap="rnd" cmpd="sng">
              <a:solidFill>
                <a:schemeClr val="tx1"/>
              </a:solidFill>
              <a:prstDash val="solid"/>
              <a:round/>
            </a:ln>
            <a:effectLst/>
          </c:spPr>
          <c:marker>
            <c:symbol val="circle"/>
            <c:size val="5"/>
            <c:spPr>
              <a:solidFill>
                <a:sysClr val="windowText" lastClr="000000"/>
              </a:solidFill>
              <a:ln w="9525">
                <a:solidFill>
                  <a:schemeClr val="tx1"/>
                </a:solidFill>
                <a:prstDash val="sysDot"/>
              </a:ln>
              <a:effectLst/>
            </c:spPr>
          </c:marker>
          <c:xVal>
            <c:numRef>
              <c:f>'PI maxS'!$B$52:$B$56</c:f>
              <c:numCache>
                <c:formatCode>General</c:formatCode>
                <c:ptCount val="5"/>
                <c:pt idx="0">
                  <c:v>800</c:v>
                </c:pt>
                <c:pt idx="1">
                  <c:v>900</c:v>
                </c:pt>
                <c:pt idx="2">
                  <c:v>1000</c:v>
                </c:pt>
                <c:pt idx="3">
                  <c:v>1100</c:v>
                </c:pt>
                <c:pt idx="4">
                  <c:v>1200</c:v>
                </c:pt>
              </c:numCache>
            </c:numRef>
          </c:xVal>
          <c:yVal>
            <c:numRef>
              <c:f>'PI maxS'!$C$52:$C$56</c:f>
              <c:numCache>
                <c:formatCode>0.000</c:formatCode>
                <c:ptCount val="5"/>
                <c:pt idx="0">
                  <c:v>2.8389499999999765</c:v>
                </c:pt>
                <c:pt idx="1">
                  <c:v>2.9952699999999766</c:v>
                </c:pt>
                <c:pt idx="2">
                  <c:v>3.36232</c:v>
                </c:pt>
                <c:pt idx="3">
                  <c:v>4.0744099999999985</c:v>
                </c:pt>
                <c:pt idx="4">
                  <c:v>4.4855900000000002</c:v>
                </c:pt>
              </c:numCache>
            </c:numRef>
          </c:yVal>
          <c:smooth val="1"/>
          <c:extLst xmlns:c16r2="http://schemas.microsoft.com/office/drawing/2015/06/chart">
            <c:ext xmlns:c16="http://schemas.microsoft.com/office/drawing/2014/chart" uri="{C3380CC4-5D6E-409C-BE32-E72D297353CC}">
              <c16:uniqueId val="{00000000-026F-6746-A61B-8E3B1AD43F5A}"/>
            </c:ext>
          </c:extLst>
        </c:ser>
        <c:ser>
          <c:idx val="1"/>
          <c:order val="1"/>
          <c:tx>
            <c:v>Adiabático</c:v>
          </c:tx>
          <c:spPr>
            <a:ln w="19050" cap="rnd" cmpd="sng">
              <a:solidFill>
                <a:schemeClr val="tx1"/>
              </a:solidFill>
              <a:prstDash val="dash"/>
              <a:round/>
            </a:ln>
            <a:effectLst/>
          </c:spPr>
          <c:marker>
            <c:symbol val="circle"/>
            <c:size val="5"/>
            <c:spPr>
              <a:solidFill>
                <a:schemeClr val="bg1"/>
              </a:solidFill>
              <a:ln w="9525">
                <a:solidFill>
                  <a:schemeClr val="tx1"/>
                </a:solidFill>
              </a:ln>
              <a:effectLst/>
            </c:spPr>
          </c:marker>
          <c:xVal>
            <c:numRef>
              <c:f>'PI maxS'!$B$52:$B$56</c:f>
              <c:numCache>
                <c:formatCode>General</c:formatCode>
                <c:ptCount val="5"/>
                <c:pt idx="0">
                  <c:v>800</c:v>
                </c:pt>
                <c:pt idx="1">
                  <c:v>900</c:v>
                </c:pt>
                <c:pt idx="2">
                  <c:v>1000</c:v>
                </c:pt>
                <c:pt idx="3">
                  <c:v>1100</c:v>
                </c:pt>
                <c:pt idx="4">
                  <c:v>1200</c:v>
                </c:pt>
              </c:numCache>
            </c:numRef>
          </c:xVal>
          <c:yVal>
            <c:numRef>
              <c:f>'PI maxS'!$D$52:$D$56</c:f>
              <c:numCache>
                <c:formatCode>0.000</c:formatCode>
                <c:ptCount val="5"/>
                <c:pt idx="0">
                  <c:v>2.9038300000000001</c:v>
                </c:pt>
                <c:pt idx="1">
                  <c:v>2.9678900000000001</c:v>
                </c:pt>
                <c:pt idx="2">
                  <c:v>3.0270299999999999</c:v>
                </c:pt>
                <c:pt idx="3">
                  <c:v>3.0786899999999977</c:v>
                </c:pt>
                <c:pt idx="4">
                  <c:v>3.1201800000000186</c:v>
                </c:pt>
              </c:numCache>
            </c:numRef>
          </c:yVal>
          <c:smooth val="1"/>
          <c:extLst xmlns:c16r2="http://schemas.microsoft.com/office/drawing/2015/06/chart">
            <c:ext xmlns:c16="http://schemas.microsoft.com/office/drawing/2014/chart" uri="{C3380CC4-5D6E-409C-BE32-E72D297353CC}">
              <c16:uniqueId val="{00000001-026F-6746-A61B-8E3B1AD43F5A}"/>
            </c:ext>
          </c:extLst>
        </c:ser>
        <c:axId val="48619904"/>
        <c:axId val="48621056"/>
      </c:scatterChart>
      <c:valAx>
        <c:axId val="48619904"/>
        <c:scaling>
          <c:orientation val="minMax"/>
          <c:max val="1200"/>
          <c:min val="800"/>
        </c:scaling>
        <c:axPos val="b"/>
        <c:title>
          <c:tx>
            <c:rich>
              <a:bodyPr rot="0" spcFirstLastPara="1" vertOverflow="ellipsis" vert="horz" wrap="square" anchor="ctr" anchorCtr="1"/>
              <a:lstStyle/>
              <a:p>
                <a:pPr>
                  <a:defRPr sz="1100" b="1" i="0" u="none" strike="noStrike" kern="1200" baseline="0">
                    <a:ln>
                      <a:noFill/>
                    </a:ln>
                    <a:solidFill>
                      <a:schemeClr val="tx1"/>
                    </a:solidFill>
                    <a:latin typeface="Arial" panose="020B0604020202020204" pitchFamily="34" charset="0"/>
                    <a:ea typeface="+mn-ea"/>
                    <a:cs typeface="Arial" panose="020B0604020202020204" pitchFamily="34" charset="0"/>
                  </a:defRPr>
                </a:pPr>
                <a:r>
                  <a:rPr lang="pt-BR" sz="1100" b="1"/>
                  <a:t>Temperature (K)</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48621056"/>
        <c:crosses val="autoZero"/>
        <c:crossBetween val="midCat"/>
      </c:valAx>
      <c:valAx>
        <c:axId val="48621056"/>
        <c:scaling>
          <c:orientation val="minMax"/>
          <c:max val="5"/>
          <c:min val="0"/>
        </c:scaling>
        <c:axPos val="l"/>
        <c:title>
          <c:tx>
            <c:rich>
              <a:bodyPr rot="-5400000" spcFirstLastPara="1" vertOverflow="ellipsis" vert="horz" wrap="square" anchor="ctr" anchorCtr="1"/>
              <a:lstStyle/>
              <a:p>
                <a:pPr>
                  <a:defRPr sz="1100" b="1" i="0" u="none" strike="noStrike" kern="1200" baseline="0">
                    <a:ln>
                      <a:noFill/>
                    </a:ln>
                    <a:solidFill>
                      <a:schemeClr val="tx1"/>
                    </a:solidFill>
                    <a:latin typeface="Arial" panose="020B0604020202020204" pitchFamily="34" charset="0"/>
                    <a:ea typeface="+mn-ea"/>
                    <a:cs typeface="Arial" panose="020B0604020202020204" pitchFamily="34" charset="0"/>
                  </a:defRPr>
                </a:pPr>
                <a:r>
                  <a:rPr lang="pt-BR" sz="1100" b="1"/>
                  <a:t>H</a:t>
                </a:r>
                <a:r>
                  <a:rPr lang="pt-BR" sz="1100" b="1" baseline="-25000"/>
                  <a:t>2</a:t>
                </a:r>
                <a:r>
                  <a:rPr lang="pt-BR" sz="1100" b="1"/>
                  <a:t> (moles)</a:t>
                </a:r>
              </a:p>
            </c:rich>
          </c:tx>
          <c:layout>
            <c:manualLayout>
              <c:xMode val="edge"/>
              <c:yMode val="edge"/>
              <c:x val="1.9444444444444445E-2"/>
              <c:y val="0.27538969087197668"/>
            </c:manualLayout>
          </c:layout>
          <c:spPr>
            <a:noFill/>
            <a:ln>
              <a:noFill/>
            </a:ln>
            <a:effectLst/>
          </c:spPr>
        </c:title>
        <c:numFmt formatCode="0" sourceLinked="0"/>
        <c:tickLblPos val="nextTo"/>
        <c:spPr>
          <a:noFill/>
          <a:ln w="9525" cap="flat" cmpd="sng" algn="ctr">
            <a:solidFill>
              <a:schemeClr val="tx1">
                <a:alpha val="99000"/>
              </a:schemeClr>
            </a:solidFill>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48619904"/>
        <c:crosses val="autoZero"/>
        <c:crossBetween val="midCat"/>
        <c:majorUnit val="1"/>
        <c:minorUnit val="0.2"/>
      </c:valAx>
      <c:spPr>
        <a:solidFill>
          <a:schemeClr val="bg1"/>
        </a:solidFill>
        <a:ln w="0">
          <a:solidFill>
            <a:schemeClr val="bg1"/>
          </a:solidFill>
        </a:ln>
        <a:effectLst/>
      </c:spPr>
    </c:plotArea>
    <c:plotVisOnly val="1"/>
    <c:dispBlanksAs val="gap"/>
  </c:chart>
  <c:spPr>
    <a:solidFill>
      <a:schemeClr val="bg1"/>
    </a:solidFill>
    <a:ln w="9525" cap="flat" cmpd="sng" algn="ctr">
      <a:noFill/>
      <a:round/>
    </a:ln>
    <a:effectLst/>
  </c:spPr>
  <c:txPr>
    <a:bodyPr/>
    <a:lstStyle/>
    <a:p>
      <a:pPr>
        <a:defRPr sz="1000" baseline="0">
          <a:ln>
            <a:noFill/>
          </a:ln>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8826192708155964"/>
          <c:y val="4.3767304469144432E-2"/>
          <c:w val="0.72824160125898263"/>
          <c:h val="0.65294943776874015"/>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'RO minG - (0,5 O2 - 1 bio)'!$C$33:$C$37</c:f>
              <c:numCache>
                <c:formatCode>General</c:formatCode>
                <c:ptCount val="5"/>
                <c:pt idx="0">
                  <c:v>500</c:v>
                </c:pt>
                <c:pt idx="1">
                  <c:v>600</c:v>
                </c:pt>
                <c:pt idx="2">
                  <c:v>700</c:v>
                </c:pt>
                <c:pt idx="3">
                  <c:v>800</c:v>
                </c:pt>
                <c:pt idx="4">
                  <c:v>900</c:v>
                </c:pt>
              </c:numCache>
            </c:numRef>
          </c:xVal>
          <c:yVal>
            <c:numRef>
              <c:f>'RO minG - (0,5 O2 - 1 bio)'!$D$33:$D$37</c:f>
              <c:numCache>
                <c:formatCode>General</c:formatCode>
                <c:ptCount val="5"/>
                <c:pt idx="0">
                  <c:v>4.9810000000000521E-2</c:v>
                </c:pt>
                <c:pt idx="1">
                  <c:v>0.68067999999999995</c:v>
                </c:pt>
                <c:pt idx="2">
                  <c:v>3.2371300000000218</c:v>
                </c:pt>
                <c:pt idx="3">
                  <c:v>4.7250399999999955</c:v>
                </c:pt>
                <c:pt idx="4">
                  <c:v>4.9544499999999996</c:v>
                </c:pt>
              </c:numCache>
            </c:numRef>
          </c:yVal>
          <c:smooth val="1"/>
          <c:extLst xmlns:c16r2="http://schemas.microsoft.com/office/drawing/2015/06/chart">
            <c:ext xmlns:c16="http://schemas.microsoft.com/office/drawing/2014/chart" uri="{C3380CC4-5D6E-409C-BE32-E72D297353CC}">
              <c16:uniqueId val="{00000000-6416-F74C-B3D5-9E4462A3E0F9}"/>
            </c:ext>
          </c:extLst>
        </c:ser>
        <c:ser>
          <c:idx val="1"/>
          <c:order val="1"/>
          <c:tx>
            <c:v>Adiabático</c:v>
          </c:tx>
          <c:spPr>
            <a:ln w="19050" cap="rnd">
              <a:solidFill>
                <a:schemeClr val="tx1"/>
              </a:solidFill>
              <a:prstDash val="dash"/>
              <a:round/>
            </a:ln>
            <a:effectLst/>
          </c:spPr>
          <c:marker>
            <c:symbol val="circle"/>
            <c:size val="5"/>
            <c:spPr>
              <a:noFill/>
              <a:ln w="9525">
                <a:solidFill>
                  <a:schemeClr val="tx1"/>
                </a:solidFill>
              </a:ln>
              <a:effectLst/>
            </c:spPr>
          </c:marker>
          <c:xVal>
            <c:numRef>
              <c:f>'RO minG - (0,5 O2 - 1 bio)'!$C$33:$C$37</c:f>
              <c:numCache>
                <c:formatCode>General</c:formatCode>
                <c:ptCount val="5"/>
                <c:pt idx="0">
                  <c:v>500</c:v>
                </c:pt>
                <c:pt idx="1">
                  <c:v>600</c:v>
                </c:pt>
                <c:pt idx="2">
                  <c:v>700</c:v>
                </c:pt>
                <c:pt idx="3">
                  <c:v>800</c:v>
                </c:pt>
                <c:pt idx="4">
                  <c:v>900</c:v>
                </c:pt>
              </c:numCache>
            </c:numRef>
          </c:xVal>
          <c:yVal>
            <c:numRef>
              <c:f>'RO minG - (0,5 O2 - 1 bio)'!$E$33:$E$37</c:f>
              <c:numCache>
                <c:formatCode>0.000</c:formatCode>
                <c:ptCount val="5"/>
                <c:pt idx="0">
                  <c:v>4.3277399999999755</c:v>
                </c:pt>
                <c:pt idx="1">
                  <c:v>4.3353400000000004</c:v>
                </c:pt>
                <c:pt idx="2">
                  <c:v>4.32674</c:v>
                </c:pt>
                <c:pt idx="3">
                  <c:v>4.3082200000000004</c:v>
                </c:pt>
                <c:pt idx="4">
                  <c:v>4.2863300000000004</c:v>
                </c:pt>
              </c:numCache>
            </c:numRef>
          </c:yVal>
          <c:smooth val="1"/>
          <c:extLst xmlns:c16r2="http://schemas.microsoft.com/office/drawing/2015/06/chart">
            <c:ext xmlns:c16="http://schemas.microsoft.com/office/drawing/2014/chart" uri="{C3380CC4-5D6E-409C-BE32-E72D297353CC}">
              <c16:uniqueId val="{00000001-6416-F74C-B3D5-9E4462A3E0F9}"/>
            </c:ext>
          </c:extLst>
        </c:ser>
        <c:axId val="49130496"/>
        <c:axId val="49144960"/>
      </c:scatterChart>
      <c:valAx>
        <c:axId val="49130496"/>
        <c:scaling>
          <c:orientation val="minMax"/>
          <c:max val="900"/>
          <c:min val="5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Temperature (K)</a:t>
                </a:r>
              </a:p>
            </c:rich>
          </c:tx>
          <c:layout>
            <c:manualLayout>
              <c:xMode val="edge"/>
              <c:yMode val="edge"/>
              <c:x val="0.36174013417910744"/>
              <c:y val="0.86824743731809206"/>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144960"/>
        <c:crosses val="autoZero"/>
        <c:crossBetween val="midCat"/>
      </c:valAx>
      <c:valAx>
        <c:axId val="49144960"/>
        <c:scaling>
          <c:orientation val="minMax"/>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H</a:t>
                </a:r>
                <a:r>
                  <a:rPr lang="pt-BR" sz="1100" b="1" baseline="-25000"/>
                  <a:t>2</a:t>
                </a:r>
                <a:r>
                  <a:rPr lang="pt-BR" sz="1100" b="1"/>
                  <a:t> (moles)</a:t>
                </a:r>
              </a:p>
            </c:rich>
          </c:tx>
          <c:layout>
            <c:manualLayout>
              <c:xMode val="edge"/>
              <c:yMode val="edge"/>
              <c:x val="1.4608064727169745E-2"/>
              <c:y val="0.11589425825521261"/>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pt-BR"/>
          </a:p>
        </c:txPr>
        <c:crossAx val="49130496"/>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6808333333333444"/>
          <c:y val="4.3767304469144432E-2"/>
          <c:w val="0.72456867891513566"/>
          <c:h val="0.66851597489945269"/>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'RV 2 - 1 minG'!$B$30:$B$34</c:f>
              <c:numCache>
                <c:formatCode>0.00</c:formatCode>
                <c:ptCount val="5"/>
                <c:pt idx="0">
                  <c:v>600</c:v>
                </c:pt>
                <c:pt idx="1">
                  <c:v>700</c:v>
                </c:pt>
                <c:pt idx="2">
                  <c:v>800</c:v>
                </c:pt>
                <c:pt idx="3">
                  <c:v>900</c:v>
                </c:pt>
                <c:pt idx="4">
                  <c:v>1000</c:v>
                </c:pt>
              </c:numCache>
            </c:numRef>
          </c:xVal>
          <c:yVal>
            <c:numRef>
              <c:f>'RV 2 - 1 minG'!$C$30:$C$34</c:f>
              <c:numCache>
                <c:formatCode>0.00</c:formatCode>
                <c:ptCount val="5"/>
                <c:pt idx="0">
                  <c:v>1.0032299999999894</c:v>
                </c:pt>
                <c:pt idx="1">
                  <c:v>4.6125199999999573</c:v>
                </c:pt>
                <c:pt idx="2">
                  <c:v>5.9648899999999845</c:v>
                </c:pt>
                <c:pt idx="3">
                  <c:v>5.999220000000042</c:v>
                </c:pt>
                <c:pt idx="4">
                  <c:v>6.0000200000000001</c:v>
                </c:pt>
              </c:numCache>
            </c:numRef>
          </c:yVal>
          <c:smooth val="1"/>
          <c:extLst xmlns:c16r2="http://schemas.microsoft.com/office/drawing/2015/06/chart">
            <c:ext xmlns:c16="http://schemas.microsoft.com/office/drawing/2014/chart" uri="{C3380CC4-5D6E-409C-BE32-E72D297353CC}">
              <c16:uniqueId val="{00000000-C492-714B-9636-E0AF8867EB62}"/>
            </c:ext>
          </c:extLst>
        </c:ser>
        <c:ser>
          <c:idx val="1"/>
          <c:order val="1"/>
          <c:tx>
            <c:v>Adiabático</c:v>
          </c:tx>
          <c:spPr>
            <a:ln w="19050" cap="rnd">
              <a:solidFill>
                <a:schemeClr val="tx1"/>
              </a:solidFill>
              <a:prstDash val="sysDash"/>
              <a:round/>
            </a:ln>
            <a:effectLst/>
          </c:spPr>
          <c:marker>
            <c:symbol val="circle"/>
            <c:size val="5"/>
            <c:spPr>
              <a:noFill/>
              <a:ln w="9525">
                <a:solidFill>
                  <a:schemeClr val="tx1"/>
                </a:solidFill>
              </a:ln>
              <a:effectLst/>
            </c:spPr>
          </c:marker>
          <c:xVal>
            <c:numRef>
              <c:f>'RV 2 - 1 minG'!$B$30:$B$34</c:f>
              <c:numCache>
                <c:formatCode>0.00</c:formatCode>
                <c:ptCount val="5"/>
                <c:pt idx="0">
                  <c:v>600</c:v>
                </c:pt>
                <c:pt idx="1">
                  <c:v>700</c:v>
                </c:pt>
                <c:pt idx="2">
                  <c:v>800</c:v>
                </c:pt>
                <c:pt idx="3">
                  <c:v>900</c:v>
                </c:pt>
                <c:pt idx="4">
                  <c:v>1000</c:v>
                </c:pt>
              </c:numCache>
            </c:numRef>
          </c:xVal>
          <c:yVal>
            <c:numRef>
              <c:f>'RV 2 - 1 minG'!$D$30:$D$34</c:f>
              <c:numCache>
                <c:formatCode>0.00</c:formatCode>
                <c:ptCount val="5"/>
                <c:pt idx="0">
                  <c:v>3.8948099999999766</c:v>
                </c:pt>
                <c:pt idx="1">
                  <c:v>4.0084999999999997</c:v>
                </c:pt>
                <c:pt idx="2">
                  <c:v>4.1207599999999855</c:v>
                </c:pt>
                <c:pt idx="3">
                  <c:v>4.2291799999999995</c:v>
                </c:pt>
                <c:pt idx="4">
                  <c:v>4.33155</c:v>
                </c:pt>
              </c:numCache>
            </c:numRef>
          </c:yVal>
          <c:smooth val="1"/>
          <c:extLst xmlns:c16r2="http://schemas.microsoft.com/office/drawing/2015/06/chart">
            <c:ext xmlns:c16="http://schemas.microsoft.com/office/drawing/2014/chart" uri="{C3380CC4-5D6E-409C-BE32-E72D297353CC}">
              <c16:uniqueId val="{00000001-C492-714B-9636-E0AF8867EB62}"/>
            </c:ext>
          </c:extLst>
        </c:ser>
        <c:axId val="49314432"/>
        <c:axId val="49332992"/>
      </c:scatterChart>
      <c:valAx>
        <c:axId val="49314432"/>
        <c:scaling>
          <c:orientation val="minMax"/>
          <c:max val="1000"/>
          <c:min val="6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Temperature (K)</a:t>
                </a:r>
              </a:p>
            </c:rich>
          </c:tx>
          <c:layout>
            <c:manualLayout>
              <c:xMode val="edge"/>
              <c:yMode val="edge"/>
              <c:x val="0.33682152230971607"/>
              <c:y val="0.86942111402741362"/>
            </c:manualLayout>
          </c:layout>
          <c:spPr>
            <a:noFill/>
            <a:ln>
              <a:noFill/>
            </a:ln>
            <a:effectLst/>
          </c:spPr>
        </c:title>
        <c:numFmt formatCode="0" sourceLinked="0"/>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332992"/>
        <c:crosses val="autoZero"/>
        <c:crossBetween val="midCat"/>
      </c:valAx>
      <c:valAx>
        <c:axId val="49332992"/>
        <c:scaling>
          <c:orientation val="minMax"/>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H</a:t>
                </a:r>
                <a:r>
                  <a:rPr lang="pt-BR" sz="1100" b="1" baseline="-25000"/>
                  <a:t>2</a:t>
                </a:r>
                <a:r>
                  <a:rPr lang="pt-BR" sz="1100" b="1"/>
                  <a:t> (moles)</a:t>
                </a:r>
              </a:p>
            </c:rich>
          </c:tx>
          <c:layout>
            <c:manualLayout>
              <c:xMode val="edge"/>
              <c:yMode val="edge"/>
              <c:x val="1.0284077567927504E-2"/>
              <c:y val="9.0354938539608062E-2"/>
            </c:manualLayout>
          </c:layout>
          <c:spPr>
            <a:noFill/>
            <a:ln>
              <a:noFill/>
            </a:ln>
            <a:effectLst/>
          </c:spPr>
        </c:title>
        <c:numFmt formatCode="0" sourceLinked="0"/>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314432"/>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18602510145125178"/>
          <c:y val="3.0298614301434837E-2"/>
          <c:w val="0.73599721692725095"/>
          <c:h val="0.70192205002206942"/>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'SWCG 9,5% de biomassa - minG'!$B$27:$B$31</c:f>
              <c:numCache>
                <c:formatCode>General</c:formatCode>
                <c:ptCount val="5"/>
                <c:pt idx="0">
                  <c:v>600</c:v>
                </c:pt>
                <c:pt idx="1">
                  <c:v>700</c:v>
                </c:pt>
                <c:pt idx="2">
                  <c:v>800</c:v>
                </c:pt>
                <c:pt idx="3">
                  <c:v>900</c:v>
                </c:pt>
                <c:pt idx="4">
                  <c:v>1000</c:v>
                </c:pt>
              </c:numCache>
            </c:numRef>
          </c:xVal>
          <c:yVal>
            <c:numRef>
              <c:f>'SWCG 9,5% de biomassa - minG'!$C$27:$C$31</c:f>
              <c:numCache>
                <c:formatCode>General</c:formatCode>
                <c:ptCount val="5"/>
                <c:pt idx="0">
                  <c:v>1.3193299999999906</c:v>
                </c:pt>
                <c:pt idx="1">
                  <c:v>10.843030000000002</c:v>
                </c:pt>
                <c:pt idx="2">
                  <c:v>31.319469999999999</c:v>
                </c:pt>
                <c:pt idx="3">
                  <c:v>35.093790000000013</c:v>
                </c:pt>
                <c:pt idx="4">
                  <c:v>35.181989999999999</c:v>
                </c:pt>
              </c:numCache>
            </c:numRef>
          </c:yVal>
          <c:smooth val="1"/>
          <c:extLst xmlns:c16r2="http://schemas.microsoft.com/office/drawing/2015/06/chart">
            <c:ext xmlns:c16="http://schemas.microsoft.com/office/drawing/2014/chart" uri="{C3380CC4-5D6E-409C-BE32-E72D297353CC}">
              <c16:uniqueId val="{00000000-955F-9942-8B79-983208E960FE}"/>
            </c:ext>
          </c:extLst>
        </c:ser>
        <c:ser>
          <c:idx val="1"/>
          <c:order val="1"/>
          <c:tx>
            <c:v>Adiabático</c:v>
          </c:tx>
          <c:spPr>
            <a:ln w="19050" cap="rnd">
              <a:solidFill>
                <a:schemeClr val="tx1"/>
              </a:solidFill>
              <a:prstDash val="dash"/>
              <a:round/>
            </a:ln>
            <a:effectLst/>
          </c:spPr>
          <c:marker>
            <c:symbol val="circle"/>
            <c:size val="5"/>
            <c:spPr>
              <a:noFill/>
              <a:ln w="9525">
                <a:solidFill>
                  <a:schemeClr val="tx1"/>
                </a:solidFill>
              </a:ln>
              <a:effectLst/>
            </c:spPr>
          </c:marker>
          <c:xVal>
            <c:numRef>
              <c:f>'SWCG 9,5% de biomassa - minG'!$B$27:$B$31</c:f>
              <c:numCache>
                <c:formatCode>General</c:formatCode>
                <c:ptCount val="5"/>
                <c:pt idx="0">
                  <c:v>600</c:v>
                </c:pt>
                <c:pt idx="1">
                  <c:v>700</c:v>
                </c:pt>
                <c:pt idx="2">
                  <c:v>800</c:v>
                </c:pt>
                <c:pt idx="3">
                  <c:v>900</c:v>
                </c:pt>
                <c:pt idx="4">
                  <c:v>1000</c:v>
                </c:pt>
              </c:numCache>
            </c:numRef>
          </c:xVal>
          <c:yVal>
            <c:numRef>
              <c:f>'SWCG 9,5% de biomassa - minG'!$D$27:$D$31</c:f>
              <c:numCache>
                <c:formatCode>0.000</c:formatCode>
                <c:ptCount val="5"/>
                <c:pt idx="0">
                  <c:v>7.8432399999999998</c:v>
                </c:pt>
                <c:pt idx="1">
                  <c:v>15.354540000000076</c:v>
                </c:pt>
                <c:pt idx="2">
                  <c:v>25.126290000000001</c:v>
                </c:pt>
                <c:pt idx="3">
                  <c:v>36.16742</c:v>
                </c:pt>
                <c:pt idx="4">
                  <c:v>46.99776</c:v>
                </c:pt>
              </c:numCache>
            </c:numRef>
          </c:yVal>
          <c:smooth val="1"/>
          <c:extLst xmlns:c16r2="http://schemas.microsoft.com/office/drawing/2015/06/chart">
            <c:ext xmlns:c16="http://schemas.microsoft.com/office/drawing/2014/chart" uri="{C3380CC4-5D6E-409C-BE32-E72D297353CC}">
              <c16:uniqueId val="{00000001-955F-9942-8B79-983208E960FE}"/>
            </c:ext>
          </c:extLst>
        </c:ser>
        <c:axId val="49347200"/>
        <c:axId val="49033600"/>
      </c:scatterChart>
      <c:valAx>
        <c:axId val="49347200"/>
        <c:scaling>
          <c:orientation val="minMax"/>
          <c:max val="1000"/>
          <c:min val="6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Temperature (K)</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033600"/>
        <c:crosses val="autoZero"/>
        <c:crossBetween val="midCat"/>
      </c:valAx>
      <c:valAx>
        <c:axId val="49033600"/>
        <c:scaling>
          <c:orientation val="minMax"/>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H</a:t>
                </a:r>
                <a:r>
                  <a:rPr lang="pt-BR" sz="1100" b="1" baseline="-25000"/>
                  <a:t>2</a:t>
                </a:r>
                <a:r>
                  <a:rPr lang="pt-BR" sz="1100" b="1"/>
                  <a:t> (moles)</a:t>
                </a:r>
              </a:p>
            </c:rich>
          </c:tx>
          <c:layout>
            <c:manualLayout>
              <c:xMode val="edge"/>
              <c:yMode val="edge"/>
              <c:x val="1.7139567870572772E-3"/>
              <c:y val="0.15205707358922443"/>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347200"/>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27607163149677993"/>
          <c:y val="4.3767304469144432E-2"/>
          <c:w val="0.65864268673677973"/>
          <c:h val="0.6601468622772606"/>
        </c:manualLayout>
      </c:layout>
      <c:scatterChart>
        <c:scatterStyle val="smoothMarker"/>
        <c:ser>
          <c:idx val="0"/>
          <c:order val="0"/>
          <c:tx>
            <c:v>Adiabático</c:v>
          </c:tx>
          <c:spPr>
            <a:ln w="19050" cap="rnd">
              <a:solidFill>
                <a:schemeClr val="tx1"/>
              </a:solidFill>
              <a:prstDash val="dash"/>
              <a:round/>
            </a:ln>
            <a:effectLst/>
          </c:spPr>
          <c:marker>
            <c:symbol val="circle"/>
            <c:size val="5"/>
            <c:spPr>
              <a:noFill/>
              <a:ln w="9525">
                <a:solidFill>
                  <a:schemeClr val="tx1">
                    <a:alpha val="99000"/>
                  </a:schemeClr>
                </a:solidFill>
              </a:ln>
              <a:effectLst/>
            </c:spPr>
          </c:marker>
          <c:xVal>
            <c:numRef>
              <c:f>'RA minG - O2 0,1 - H2O 0,9'!$D$32:$D$36</c:f>
              <c:numCache>
                <c:formatCode>General</c:formatCode>
                <c:ptCount val="5"/>
                <c:pt idx="0">
                  <c:v>500</c:v>
                </c:pt>
                <c:pt idx="1">
                  <c:v>600</c:v>
                </c:pt>
                <c:pt idx="2">
                  <c:v>700</c:v>
                </c:pt>
                <c:pt idx="3">
                  <c:v>800</c:v>
                </c:pt>
                <c:pt idx="4">
                  <c:v>900</c:v>
                </c:pt>
              </c:numCache>
            </c:numRef>
          </c:xVal>
          <c:yVal>
            <c:numRef>
              <c:f>'RA minG - O2 0,1 - H2O 0,9'!$G$32:$G$36</c:f>
              <c:numCache>
                <c:formatCode>General</c:formatCode>
                <c:ptCount val="5"/>
                <c:pt idx="0">
                  <c:v>1035.7848999999999</c:v>
                </c:pt>
                <c:pt idx="1">
                  <c:v>1051.1990499999899</c:v>
                </c:pt>
                <c:pt idx="2">
                  <c:v>1070.3043999999998</c:v>
                </c:pt>
                <c:pt idx="3">
                  <c:v>1093.3024799999998</c:v>
                </c:pt>
                <c:pt idx="4">
                  <c:v>1119.3476700000001</c:v>
                </c:pt>
              </c:numCache>
            </c:numRef>
          </c:yVal>
          <c:smooth val="1"/>
          <c:extLst xmlns:c16r2="http://schemas.microsoft.com/office/drawing/2015/06/chart">
            <c:ext xmlns:c16="http://schemas.microsoft.com/office/drawing/2014/chart" uri="{C3380CC4-5D6E-409C-BE32-E72D297353CC}">
              <c16:uniqueId val="{00000000-219D-A449-8BDE-8EE7B9BA6888}"/>
            </c:ext>
          </c:extLst>
        </c:ser>
        <c:ser>
          <c:idx val="1"/>
          <c:order val="1"/>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'RA minG - O2 0,1 - H2O 0,9'!$D$32:$D$36</c:f>
              <c:numCache>
                <c:formatCode>General</c:formatCode>
                <c:ptCount val="5"/>
                <c:pt idx="0">
                  <c:v>500</c:v>
                </c:pt>
                <c:pt idx="1">
                  <c:v>600</c:v>
                </c:pt>
                <c:pt idx="2">
                  <c:v>700</c:v>
                </c:pt>
                <c:pt idx="3">
                  <c:v>800</c:v>
                </c:pt>
                <c:pt idx="4">
                  <c:v>900</c:v>
                </c:pt>
              </c:numCache>
            </c:numRef>
          </c:xVal>
          <c:yVal>
            <c:numRef>
              <c:f>'RA minG - O2 0,1 - H2O 0,9'!$D$32:$D$36</c:f>
              <c:numCache>
                <c:formatCode>General</c:formatCode>
                <c:ptCount val="5"/>
                <c:pt idx="0">
                  <c:v>500</c:v>
                </c:pt>
                <c:pt idx="1">
                  <c:v>600</c:v>
                </c:pt>
                <c:pt idx="2">
                  <c:v>700</c:v>
                </c:pt>
                <c:pt idx="3">
                  <c:v>800</c:v>
                </c:pt>
                <c:pt idx="4">
                  <c:v>900</c:v>
                </c:pt>
              </c:numCache>
            </c:numRef>
          </c:yVal>
          <c:smooth val="1"/>
          <c:extLst xmlns:c16r2="http://schemas.microsoft.com/office/drawing/2015/06/chart">
            <c:ext xmlns:c16="http://schemas.microsoft.com/office/drawing/2014/chart" uri="{C3380CC4-5D6E-409C-BE32-E72D297353CC}">
              <c16:uniqueId val="{00000001-219D-A449-8BDE-8EE7B9BA6888}"/>
            </c:ext>
          </c:extLst>
        </c:ser>
        <c:axId val="49223936"/>
        <c:axId val="49234304"/>
      </c:scatterChart>
      <c:valAx>
        <c:axId val="49223936"/>
        <c:scaling>
          <c:orientation val="minMax"/>
          <c:max val="900"/>
          <c:min val="5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Initial temperature(K)</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234304"/>
        <c:crosses val="autoZero"/>
        <c:crossBetween val="midCat"/>
        <c:majorUnit val="100"/>
      </c:valAx>
      <c:valAx>
        <c:axId val="49234304"/>
        <c:scaling>
          <c:orientation val="minMax"/>
          <c:min val="450"/>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Equilibrium temperature (K)</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223936"/>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30531715632063389"/>
          <c:y val="4.3767304469144432E-2"/>
          <c:w val="0.61674066293728391"/>
          <c:h val="0.6841961003404563"/>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'PI maxS'!$B$52:$B$56</c:f>
              <c:numCache>
                <c:formatCode>General</c:formatCode>
                <c:ptCount val="5"/>
                <c:pt idx="0">
                  <c:v>800</c:v>
                </c:pt>
                <c:pt idx="1">
                  <c:v>900</c:v>
                </c:pt>
                <c:pt idx="2">
                  <c:v>1000</c:v>
                </c:pt>
                <c:pt idx="3">
                  <c:v>1100</c:v>
                </c:pt>
                <c:pt idx="4">
                  <c:v>1200</c:v>
                </c:pt>
              </c:numCache>
            </c:numRef>
          </c:xVal>
          <c:yVal>
            <c:numRef>
              <c:f>'PI maxS'!$B$52:$B$56</c:f>
              <c:numCache>
                <c:formatCode>General</c:formatCode>
                <c:ptCount val="5"/>
                <c:pt idx="0">
                  <c:v>800</c:v>
                </c:pt>
                <c:pt idx="1">
                  <c:v>900</c:v>
                </c:pt>
                <c:pt idx="2">
                  <c:v>1000</c:v>
                </c:pt>
                <c:pt idx="3">
                  <c:v>1100</c:v>
                </c:pt>
                <c:pt idx="4">
                  <c:v>1200</c:v>
                </c:pt>
              </c:numCache>
            </c:numRef>
          </c:yVal>
          <c:smooth val="1"/>
          <c:extLst xmlns:c16r2="http://schemas.microsoft.com/office/drawing/2015/06/chart">
            <c:ext xmlns:c16="http://schemas.microsoft.com/office/drawing/2014/chart" uri="{C3380CC4-5D6E-409C-BE32-E72D297353CC}">
              <c16:uniqueId val="{00000000-2CA9-4B4C-B086-4821C5E8557E}"/>
            </c:ext>
          </c:extLst>
        </c:ser>
        <c:ser>
          <c:idx val="1"/>
          <c:order val="1"/>
          <c:tx>
            <c:v>Adiabático</c:v>
          </c:tx>
          <c:spPr>
            <a:ln w="19050" cap="rnd" cmpd="sng">
              <a:solidFill>
                <a:schemeClr val="tx1"/>
              </a:solidFill>
              <a:prstDash val="dash"/>
              <a:round/>
            </a:ln>
            <a:effectLst/>
          </c:spPr>
          <c:marker>
            <c:symbol val="circle"/>
            <c:size val="5"/>
            <c:spPr>
              <a:noFill/>
              <a:ln w="9525">
                <a:solidFill>
                  <a:schemeClr val="tx1"/>
                </a:solidFill>
              </a:ln>
              <a:effectLst/>
            </c:spPr>
          </c:marker>
          <c:xVal>
            <c:numRef>
              <c:f>'PI maxS'!$B$52:$B$56</c:f>
              <c:numCache>
                <c:formatCode>General</c:formatCode>
                <c:ptCount val="5"/>
                <c:pt idx="0">
                  <c:v>800</c:v>
                </c:pt>
                <c:pt idx="1">
                  <c:v>900</c:v>
                </c:pt>
                <c:pt idx="2">
                  <c:v>1000</c:v>
                </c:pt>
                <c:pt idx="3">
                  <c:v>1100</c:v>
                </c:pt>
                <c:pt idx="4">
                  <c:v>1200</c:v>
                </c:pt>
              </c:numCache>
            </c:numRef>
          </c:xVal>
          <c:yVal>
            <c:numRef>
              <c:f>'PI maxS'!$E$52:$E$56</c:f>
              <c:numCache>
                <c:formatCode>0.000</c:formatCode>
                <c:ptCount val="5"/>
                <c:pt idx="0">
                  <c:v>1039.1867</c:v>
                </c:pt>
                <c:pt idx="1">
                  <c:v>1045.34764</c:v>
                </c:pt>
                <c:pt idx="2">
                  <c:v>1051.1049699999999</c:v>
                </c:pt>
                <c:pt idx="3">
                  <c:v>1056.19652</c:v>
                </c:pt>
                <c:pt idx="4">
                  <c:v>1060.3357800000001</c:v>
                </c:pt>
              </c:numCache>
            </c:numRef>
          </c:yVal>
          <c:smooth val="1"/>
          <c:extLst xmlns:c16r2="http://schemas.microsoft.com/office/drawing/2015/06/chart">
            <c:ext xmlns:c16="http://schemas.microsoft.com/office/drawing/2014/chart" uri="{C3380CC4-5D6E-409C-BE32-E72D297353CC}">
              <c16:uniqueId val="{00000009-2CA9-4B4C-B086-4821C5E8557E}"/>
            </c:ext>
          </c:extLst>
        </c:ser>
        <c:axId val="49416064"/>
        <c:axId val="49430528"/>
      </c:scatterChart>
      <c:valAx>
        <c:axId val="49416064"/>
        <c:scaling>
          <c:orientation val="minMax"/>
          <c:max val="1200"/>
          <c:min val="9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Tahoma" panose="020B0604030504040204" pitchFamily="34" charset="0"/>
                    <a:cs typeface="Arial" panose="020B0604020202020204" pitchFamily="34" charset="0"/>
                  </a:defRPr>
                </a:pPr>
                <a:r>
                  <a:rPr lang="pt-BR" sz="1100" b="1"/>
                  <a:t>Initial Temperature (K)</a:t>
                </a:r>
              </a:p>
            </c:rich>
          </c:tx>
          <c:layout>
            <c:manualLayout>
              <c:xMode val="edge"/>
              <c:yMode val="edge"/>
              <c:x val="0.37229607632614481"/>
              <c:y val="0.88980138676694787"/>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Tahoma" panose="020B0604030504040204" pitchFamily="34" charset="0"/>
                <a:cs typeface="Arial" panose="020B0604020202020204" pitchFamily="34" charset="0"/>
              </a:defRPr>
            </a:pPr>
            <a:endParaRPr lang="pt-BR"/>
          </a:p>
        </c:txPr>
        <c:crossAx val="49430528"/>
        <c:crosses val="autoZero"/>
        <c:crossBetween val="midCat"/>
        <c:majorUnit val="100"/>
      </c:valAx>
      <c:valAx>
        <c:axId val="49430528"/>
        <c:scaling>
          <c:orientation val="minMax"/>
          <c:min val="700"/>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Tahoma" panose="020B0604030504040204" pitchFamily="34" charset="0"/>
                    <a:cs typeface="Arial" panose="020B0604020202020204" pitchFamily="34" charset="0"/>
                  </a:defRPr>
                </a:pPr>
                <a:r>
                  <a:rPr lang="pt-BR" sz="1100" b="1"/>
                  <a:t>Equilibrium temperature (K)</a:t>
                </a:r>
              </a:p>
            </c:rich>
          </c:tx>
          <c:layout>
            <c:manualLayout>
              <c:xMode val="edge"/>
              <c:yMode val="edge"/>
              <c:x val="2.8233950911366292E-2"/>
              <c:y val="5.5925383818203334E-2"/>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Tahoma" panose="020B0604030504040204" pitchFamily="34" charset="0"/>
                <a:cs typeface="Arial" panose="020B0604020202020204" pitchFamily="34" charset="0"/>
              </a:defRPr>
            </a:pPr>
            <a:endParaRPr lang="pt-BR"/>
          </a:p>
        </c:txPr>
        <c:crossAx val="49416064"/>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ea typeface="Tahoma" panose="020B0604030504040204" pitchFamily="34" charset="0"/>
          <a:cs typeface="Arial" panose="020B0604020202020204" pitchFamily="34" charset="0"/>
        </a:defRPr>
      </a:pPr>
      <a:endParaRPr lang="pt-BR"/>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29547902801701381"/>
          <c:y val="5.3912219305920134E-2"/>
          <c:w val="0.63923529021654468"/>
          <c:h val="0.68815934464483663"/>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'RO minG - (0,5 O2 - 1 bio)'!$C$33:$C$37</c:f>
              <c:numCache>
                <c:formatCode>General</c:formatCode>
                <c:ptCount val="5"/>
                <c:pt idx="0">
                  <c:v>500</c:v>
                </c:pt>
                <c:pt idx="1">
                  <c:v>600</c:v>
                </c:pt>
                <c:pt idx="2">
                  <c:v>700</c:v>
                </c:pt>
                <c:pt idx="3">
                  <c:v>800</c:v>
                </c:pt>
                <c:pt idx="4">
                  <c:v>900</c:v>
                </c:pt>
              </c:numCache>
            </c:numRef>
          </c:xVal>
          <c:yVal>
            <c:numRef>
              <c:f>'RO minG - (0,5 O2 - 1 bio)'!$C$33:$C$37</c:f>
              <c:numCache>
                <c:formatCode>General</c:formatCode>
                <c:ptCount val="5"/>
                <c:pt idx="0">
                  <c:v>500</c:v>
                </c:pt>
                <c:pt idx="1">
                  <c:v>600</c:v>
                </c:pt>
                <c:pt idx="2">
                  <c:v>700</c:v>
                </c:pt>
                <c:pt idx="3">
                  <c:v>800</c:v>
                </c:pt>
                <c:pt idx="4">
                  <c:v>900</c:v>
                </c:pt>
              </c:numCache>
            </c:numRef>
          </c:yVal>
          <c:smooth val="1"/>
          <c:extLst xmlns:c16r2="http://schemas.microsoft.com/office/drawing/2015/06/chart">
            <c:ext xmlns:c16="http://schemas.microsoft.com/office/drawing/2014/chart" uri="{C3380CC4-5D6E-409C-BE32-E72D297353CC}">
              <c16:uniqueId val="{00000000-92DB-BA4D-8E59-01C589AE4BC0}"/>
            </c:ext>
          </c:extLst>
        </c:ser>
        <c:ser>
          <c:idx val="1"/>
          <c:order val="1"/>
          <c:tx>
            <c:v>Adiabático</c:v>
          </c:tx>
          <c:spPr>
            <a:ln w="19050" cap="rnd">
              <a:solidFill>
                <a:schemeClr val="tx1"/>
              </a:solidFill>
              <a:prstDash val="dash"/>
              <a:round/>
            </a:ln>
            <a:effectLst/>
          </c:spPr>
          <c:marker>
            <c:symbol val="circle"/>
            <c:size val="5"/>
            <c:spPr>
              <a:noFill/>
              <a:ln w="9525">
                <a:solidFill>
                  <a:schemeClr val="tx1"/>
                </a:solidFill>
              </a:ln>
              <a:effectLst/>
            </c:spPr>
          </c:marker>
          <c:xVal>
            <c:numRef>
              <c:f>'RO minG - (0,5 O2 - 1 bio)'!$C$33:$C$37</c:f>
              <c:numCache>
                <c:formatCode>General</c:formatCode>
                <c:ptCount val="5"/>
                <c:pt idx="0">
                  <c:v>500</c:v>
                </c:pt>
                <c:pt idx="1">
                  <c:v>600</c:v>
                </c:pt>
                <c:pt idx="2">
                  <c:v>700</c:v>
                </c:pt>
                <c:pt idx="3">
                  <c:v>800</c:v>
                </c:pt>
                <c:pt idx="4">
                  <c:v>900</c:v>
                </c:pt>
              </c:numCache>
            </c:numRef>
          </c:xVal>
          <c:yVal>
            <c:numRef>
              <c:f>'RO minG - (0,5 O2 - 1 bio)'!$F$33:$F$37</c:f>
              <c:numCache>
                <c:formatCode>General</c:formatCode>
                <c:ptCount val="5"/>
                <c:pt idx="0">
                  <c:v>1093.5794299999998</c:v>
                </c:pt>
                <c:pt idx="1">
                  <c:v>1119.72802</c:v>
                </c:pt>
                <c:pt idx="2">
                  <c:v>1149.8442999999909</c:v>
                </c:pt>
                <c:pt idx="3">
                  <c:v>1181.6673499999899</c:v>
                </c:pt>
                <c:pt idx="4">
                  <c:v>1212.9199900000001</c:v>
                </c:pt>
              </c:numCache>
            </c:numRef>
          </c:yVal>
          <c:smooth val="1"/>
          <c:extLst xmlns:c16r2="http://schemas.microsoft.com/office/drawing/2015/06/chart">
            <c:ext xmlns:c16="http://schemas.microsoft.com/office/drawing/2014/chart" uri="{C3380CC4-5D6E-409C-BE32-E72D297353CC}">
              <c16:uniqueId val="{00000001-92DB-BA4D-8E59-01C589AE4BC0}"/>
            </c:ext>
          </c:extLst>
        </c:ser>
        <c:axId val="49460736"/>
        <c:axId val="49462656"/>
      </c:scatterChart>
      <c:valAx>
        <c:axId val="49460736"/>
        <c:scaling>
          <c:orientation val="minMax"/>
          <c:max val="900"/>
          <c:min val="5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Initial temperature (K)</a:t>
                </a:r>
              </a:p>
            </c:rich>
          </c:tx>
          <c:layout>
            <c:manualLayout>
              <c:xMode val="edge"/>
              <c:yMode val="edge"/>
              <c:x val="0.34897178477690288"/>
              <c:y val="0.88518518518518519"/>
            </c:manualLayout>
          </c:layout>
          <c:spPr>
            <a:noFill/>
            <a:ln>
              <a:noFill/>
            </a:ln>
            <a:effectLst/>
          </c:spPr>
        </c:title>
        <c:numFmt formatCode="General" sourceLinked="1"/>
        <c:tickLblPos val="nextTo"/>
        <c:spPr>
          <a:noFill/>
          <a:ln w="9525" cap="flat" cmpd="sng" algn="ctr">
            <a:solidFill>
              <a:schemeClr val="tx1">
                <a:alpha val="99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462656"/>
        <c:crosses val="autoZero"/>
        <c:crossBetween val="midCat"/>
      </c:valAx>
      <c:valAx>
        <c:axId val="49462656"/>
        <c:scaling>
          <c:orientation val="minMax"/>
          <c:min val="400"/>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Equilibrium temperature (K)</a:t>
                </a:r>
              </a:p>
            </c:rich>
          </c:tx>
          <c:layout>
            <c:manualLayout>
              <c:xMode val="edge"/>
              <c:yMode val="edge"/>
              <c:x val="1.4643912738770181E-3"/>
              <c:y val="8.2951567549548272E-2"/>
            </c:manualLayout>
          </c:layout>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460736"/>
        <c:crosses val="autoZero"/>
        <c:crossBetween val="midCat"/>
        <c:majorUnit val="200"/>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0.26724370016006133"/>
          <c:y val="8.1525540393301052E-2"/>
          <c:w val="0.59647112173804939"/>
          <c:h val="0.63857619522373499"/>
        </c:manualLayout>
      </c:layout>
      <c:scatterChart>
        <c:scatterStyle val="smoothMarker"/>
        <c:ser>
          <c:idx val="0"/>
          <c:order val="0"/>
          <c:tx>
            <c:v>Isotérmico</c:v>
          </c:tx>
          <c:spPr>
            <a:ln w="19050" cap="rnd">
              <a:solidFill>
                <a:schemeClr val="tx1"/>
              </a:solidFill>
              <a:round/>
            </a:ln>
            <a:effectLst/>
          </c:spPr>
          <c:marker>
            <c:symbol val="circle"/>
            <c:size val="5"/>
            <c:spPr>
              <a:solidFill>
                <a:schemeClr val="tx1"/>
              </a:solidFill>
              <a:ln w="9525">
                <a:solidFill>
                  <a:schemeClr val="tx1"/>
                </a:solidFill>
              </a:ln>
              <a:effectLst/>
            </c:spPr>
          </c:marker>
          <c:xVal>
            <c:numRef>
              <c:f>'RV 2 - 1 minG'!$B$30:$B$34</c:f>
              <c:numCache>
                <c:formatCode>0.00</c:formatCode>
                <c:ptCount val="5"/>
                <c:pt idx="0">
                  <c:v>600</c:v>
                </c:pt>
                <c:pt idx="1">
                  <c:v>700</c:v>
                </c:pt>
                <c:pt idx="2">
                  <c:v>800</c:v>
                </c:pt>
                <c:pt idx="3">
                  <c:v>900</c:v>
                </c:pt>
                <c:pt idx="4">
                  <c:v>1000</c:v>
                </c:pt>
              </c:numCache>
            </c:numRef>
          </c:xVal>
          <c:yVal>
            <c:numRef>
              <c:f>'RV 2 - 1 minG'!$B$30:$B$34</c:f>
              <c:numCache>
                <c:formatCode>0.00</c:formatCode>
                <c:ptCount val="5"/>
                <c:pt idx="0">
                  <c:v>600</c:v>
                </c:pt>
                <c:pt idx="1">
                  <c:v>700</c:v>
                </c:pt>
                <c:pt idx="2">
                  <c:v>800</c:v>
                </c:pt>
                <c:pt idx="3">
                  <c:v>900</c:v>
                </c:pt>
                <c:pt idx="4">
                  <c:v>1000</c:v>
                </c:pt>
              </c:numCache>
            </c:numRef>
          </c:yVal>
          <c:smooth val="1"/>
          <c:extLst xmlns:c16r2="http://schemas.microsoft.com/office/drawing/2015/06/chart">
            <c:ext xmlns:c16="http://schemas.microsoft.com/office/drawing/2014/chart" uri="{C3380CC4-5D6E-409C-BE32-E72D297353CC}">
              <c16:uniqueId val="{00000000-1BCA-BC40-8230-DB963E614CBF}"/>
            </c:ext>
          </c:extLst>
        </c:ser>
        <c:ser>
          <c:idx val="1"/>
          <c:order val="1"/>
          <c:tx>
            <c:v>Adiabático</c:v>
          </c:tx>
          <c:spPr>
            <a:ln w="19050" cap="rnd">
              <a:solidFill>
                <a:schemeClr val="tx1"/>
              </a:solidFill>
              <a:prstDash val="dash"/>
              <a:round/>
            </a:ln>
            <a:effectLst/>
          </c:spPr>
          <c:marker>
            <c:symbol val="circle"/>
            <c:size val="5"/>
            <c:spPr>
              <a:noFill/>
              <a:ln w="9525">
                <a:solidFill>
                  <a:schemeClr val="tx1"/>
                </a:solidFill>
              </a:ln>
              <a:effectLst/>
            </c:spPr>
          </c:marker>
          <c:xVal>
            <c:numRef>
              <c:f>'RV 2 - 1 minG'!$B$30:$B$34</c:f>
              <c:numCache>
                <c:formatCode>0.00</c:formatCode>
                <c:ptCount val="5"/>
                <c:pt idx="0">
                  <c:v>600</c:v>
                </c:pt>
                <c:pt idx="1">
                  <c:v>700</c:v>
                </c:pt>
                <c:pt idx="2">
                  <c:v>800</c:v>
                </c:pt>
                <c:pt idx="3">
                  <c:v>900</c:v>
                </c:pt>
                <c:pt idx="4">
                  <c:v>1000</c:v>
                </c:pt>
              </c:numCache>
            </c:numRef>
          </c:xVal>
          <c:yVal>
            <c:numRef>
              <c:f>'RV 2 - 1 minG'!$E$30:$E$34</c:f>
              <c:numCache>
                <c:formatCode>0.00</c:formatCode>
                <c:ptCount val="5"/>
                <c:pt idx="0">
                  <c:v>900.98176000000001</c:v>
                </c:pt>
                <c:pt idx="1">
                  <c:v>907.33541999999738</c:v>
                </c:pt>
                <c:pt idx="2">
                  <c:v>913.62415999999996</c:v>
                </c:pt>
                <c:pt idx="3">
                  <c:v>919.72424999999998</c:v>
                </c:pt>
                <c:pt idx="4">
                  <c:v>925.52053999999998</c:v>
                </c:pt>
              </c:numCache>
            </c:numRef>
          </c:yVal>
          <c:smooth val="1"/>
          <c:extLst xmlns:c16r2="http://schemas.microsoft.com/office/drawing/2015/06/chart">
            <c:ext xmlns:c16="http://schemas.microsoft.com/office/drawing/2014/chart" uri="{C3380CC4-5D6E-409C-BE32-E72D297353CC}">
              <c16:uniqueId val="{00000001-1BCA-BC40-8230-DB963E614CBF}"/>
            </c:ext>
          </c:extLst>
        </c:ser>
        <c:axId val="49407104"/>
        <c:axId val="49409024"/>
      </c:scatterChart>
      <c:valAx>
        <c:axId val="49407104"/>
        <c:scaling>
          <c:orientation val="minMax"/>
          <c:max val="1000"/>
          <c:min val="600"/>
        </c:scaling>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Initial temperature (K)</a:t>
                </a:r>
              </a:p>
            </c:rich>
          </c:tx>
          <c:spPr>
            <a:noFill/>
            <a:ln>
              <a:noFill/>
            </a:ln>
            <a:effectLst/>
          </c:spPr>
        </c:title>
        <c:numFmt formatCode="0" sourceLinked="0"/>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409024"/>
        <c:crosses val="autoZero"/>
        <c:crossBetween val="midCat"/>
      </c:valAx>
      <c:valAx>
        <c:axId val="49409024"/>
        <c:scaling>
          <c:orientation val="minMax"/>
          <c:min val="500"/>
        </c:scaling>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pt-BR" sz="1100" b="1"/>
                  <a:t>Equilibrium temperature</a:t>
                </a:r>
                <a:r>
                  <a:rPr lang="pt-BR" sz="1100" b="1" baseline="0"/>
                  <a:t> </a:t>
                </a:r>
                <a:r>
                  <a:rPr lang="pt-BR" sz="1100" b="1"/>
                  <a:t>(K)</a:t>
                </a:r>
              </a:p>
            </c:rich>
          </c:tx>
          <c:spPr>
            <a:noFill/>
            <a:ln>
              <a:noFill/>
            </a:ln>
            <a:effectLst/>
          </c:spPr>
        </c:title>
        <c:numFmt formatCode="0" sourceLinked="0"/>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49407104"/>
        <c:crosses val="autoZero"/>
        <c:crossBetween val="midCat"/>
      </c:valAx>
      <c:spPr>
        <a:noFill/>
        <a:ln>
          <a:noFill/>
        </a:ln>
        <a:effectLst/>
      </c:spPr>
    </c:plotArea>
    <c:plotVisOnly val="1"/>
    <c:dispBlanksAs val="gap"/>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pt-B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0.20062</cdr:x>
      <cdr:y>0.04949</cdr:y>
    </cdr:from>
    <cdr:to>
      <cdr:x>0.46432</cdr:x>
      <cdr:y>0.2167</cdr:y>
    </cdr:to>
    <cdr:sp macro="" textlink="">
      <cdr:nvSpPr>
        <cdr:cNvPr id="2" name="CaixaDeTexto 3"/>
        <cdr:cNvSpPr txBox="1"/>
      </cdr:nvSpPr>
      <cdr:spPr>
        <a:xfrm xmlns:a="http://schemas.openxmlformats.org/drawingml/2006/main">
          <a:off x="559383" y="80641"/>
          <a:ext cx="735262" cy="2724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(a)</a:t>
          </a:r>
        </a:p>
      </cdr:txBody>
    </cdr:sp>
  </cdr:relSizeAnchor>
</c:userShapes>
</file>

<file path=word/drawings/drawing10.xml><?xml version="1.0" encoding="utf-8"?>
<c:userShapes xmlns:c="http://schemas.openxmlformats.org/drawingml/2006/chart">
  <cdr:relSizeAnchor xmlns:cdr="http://schemas.openxmlformats.org/drawingml/2006/chartDrawing">
    <cdr:from>
      <cdr:x>0.29031</cdr:x>
      <cdr:y>0</cdr:y>
    </cdr:from>
    <cdr:to>
      <cdr:x>0.48562</cdr:x>
      <cdr:y>0.16244</cdr:y>
    </cdr:to>
    <cdr:sp macro="" textlink="">
      <cdr:nvSpPr>
        <cdr:cNvPr id="2" name="CaixaDeTexto 3"/>
        <cdr:cNvSpPr txBox="1"/>
      </cdr:nvSpPr>
      <cdr:spPr>
        <a:xfrm xmlns:a="http://schemas.openxmlformats.org/drawingml/2006/main">
          <a:off x="809828" y="0"/>
          <a:ext cx="544838" cy="263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(e)</a:t>
          </a:r>
        </a:p>
      </cdr:txBody>
    </cdr:sp>
  </cdr:relSizeAnchor>
</c:userShapes>
</file>

<file path=word/drawings/drawing2.xml><?xml version="1.0" encoding="utf-8"?>
<c:userShapes xmlns:c="http://schemas.openxmlformats.org/drawingml/2006/chart">
  <cdr:relSizeAnchor xmlns:cdr="http://schemas.openxmlformats.org/drawingml/2006/chartDrawing">
    <cdr:from>
      <cdr:x>0.18226</cdr:x>
      <cdr:y>0.04342</cdr:y>
    </cdr:from>
    <cdr:to>
      <cdr:x>0.37939</cdr:x>
      <cdr:y>0.19339</cdr:y>
    </cdr:to>
    <cdr:sp macro="" textlink="">
      <cdr:nvSpPr>
        <cdr:cNvPr id="2" name="CaixaDeTexto 3"/>
        <cdr:cNvSpPr txBox="1"/>
      </cdr:nvSpPr>
      <cdr:spPr>
        <a:xfrm xmlns:a="http://schemas.openxmlformats.org/drawingml/2006/main">
          <a:off x="508424" y="70335"/>
          <a:ext cx="549909" cy="242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0.19313</cdr:x>
      <cdr:y>0</cdr:y>
    </cdr:from>
    <cdr:to>
      <cdr:x>0.41867</cdr:x>
      <cdr:y>0.16402</cdr:y>
    </cdr:to>
    <cdr:sp macro="" textlink="">
      <cdr:nvSpPr>
        <cdr:cNvPr id="2" name="CaixaDeTexto 3"/>
        <cdr:cNvSpPr txBox="1"/>
      </cdr:nvSpPr>
      <cdr:spPr>
        <a:xfrm xmlns:a="http://schemas.openxmlformats.org/drawingml/2006/main">
          <a:off x="538760" y="-2951430"/>
          <a:ext cx="629138" cy="2656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0.15942</cdr:x>
      <cdr:y>0</cdr:y>
    </cdr:from>
    <cdr:to>
      <cdr:x>0.38495</cdr:x>
      <cdr:y>0.16402</cdr:y>
    </cdr:to>
    <cdr:sp macro="" textlink="">
      <cdr:nvSpPr>
        <cdr:cNvPr id="2" name="CaixaDeTexto 3"/>
        <cdr:cNvSpPr txBox="1"/>
      </cdr:nvSpPr>
      <cdr:spPr>
        <a:xfrm xmlns:a="http://schemas.openxmlformats.org/drawingml/2006/main">
          <a:off x="444705" y="0"/>
          <a:ext cx="629138" cy="2656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(d)</a:t>
          </a:r>
        </a:p>
      </cdr:txBody>
    </cdr:sp>
  </cdr:relSizeAnchor>
</c:userShapes>
</file>

<file path=word/drawings/drawing5.xml><?xml version="1.0" encoding="utf-8"?>
<c:userShapes xmlns:c="http://schemas.openxmlformats.org/drawingml/2006/chart">
  <cdr:relSizeAnchor xmlns:cdr="http://schemas.openxmlformats.org/drawingml/2006/chartDrawing">
    <cdr:from>
      <cdr:x>0.17771</cdr:x>
      <cdr:y>0.03136</cdr:y>
    </cdr:from>
    <cdr:to>
      <cdr:x>0.40335</cdr:x>
      <cdr:y>0.19538</cdr:y>
    </cdr:to>
    <cdr:sp macro="" textlink="">
      <cdr:nvSpPr>
        <cdr:cNvPr id="2" name="CaixaDeTexto 3"/>
        <cdr:cNvSpPr txBox="1"/>
      </cdr:nvSpPr>
      <cdr:spPr>
        <a:xfrm xmlns:a="http://schemas.openxmlformats.org/drawingml/2006/main">
          <a:off x="495505" y="50800"/>
          <a:ext cx="629138" cy="2656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(e)</a:t>
          </a:r>
        </a:p>
      </cdr:txBody>
    </cdr:sp>
  </cdr:relSizeAnchor>
</c:userShapes>
</file>

<file path=word/drawings/drawing6.xml><?xml version="1.0" encoding="utf-8"?>
<c:userShapes xmlns:c="http://schemas.openxmlformats.org/drawingml/2006/chart">
  <cdr:relSizeAnchor xmlns:cdr="http://schemas.openxmlformats.org/drawingml/2006/chartDrawing">
    <cdr:from>
      <cdr:x>0.26117</cdr:x>
      <cdr:y>0</cdr:y>
    </cdr:from>
    <cdr:to>
      <cdr:x>0.44616</cdr:x>
      <cdr:y>0.24405</cdr:y>
    </cdr:to>
    <cdr:sp macro="" textlink="">
      <cdr:nvSpPr>
        <cdr:cNvPr id="2" name="CaixaDeTexto 3"/>
        <cdr:cNvSpPr txBox="1"/>
      </cdr:nvSpPr>
      <cdr:spPr>
        <a:xfrm xmlns:a="http://schemas.openxmlformats.org/drawingml/2006/main">
          <a:off x="728557" y="0"/>
          <a:ext cx="516042" cy="3953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(a)</a:t>
          </a:r>
        </a:p>
      </cdr:txBody>
    </cdr:sp>
  </cdr:relSizeAnchor>
</c:userShapes>
</file>

<file path=word/drawings/drawing7.xml><?xml version="1.0" encoding="utf-8"?>
<c:userShapes xmlns:c="http://schemas.openxmlformats.org/drawingml/2006/chart">
  <cdr:relSizeAnchor xmlns:cdr="http://schemas.openxmlformats.org/drawingml/2006/chartDrawing">
    <cdr:from>
      <cdr:x>0.32082</cdr:x>
      <cdr:y>0</cdr:y>
    </cdr:from>
    <cdr:to>
      <cdr:x>0.52204</cdr:x>
      <cdr:y>0.17248</cdr:y>
    </cdr:to>
    <cdr:sp macro="" textlink="">
      <cdr:nvSpPr>
        <cdr:cNvPr id="2" name="CaixaDeTexto 3"/>
        <cdr:cNvSpPr txBox="1"/>
      </cdr:nvSpPr>
      <cdr:spPr>
        <a:xfrm xmlns:a="http://schemas.openxmlformats.org/drawingml/2006/main">
          <a:off x="894945" y="0"/>
          <a:ext cx="561321" cy="2794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(b)</a:t>
          </a:r>
        </a:p>
      </cdr:txBody>
    </cdr:sp>
  </cdr:relSizeAnchor>
</c:userShapes>
</file>

<file path=word/drawings/drawing8.xml><?xml version="1.0" encoding="utf-8"?>
<c:userShapes xmlns:c="http://schemas.openxmlformats.org/drawingml/2006/chart">
  <cdr:relSizeAnchor xmlns:cdr="http://schemas.openxmlformats.org/drawingml/2006/chartDrawing">
    <cdr:from>
      <cdr:x>0.28637</cdr:x>
      <cdr:y>0</cdr:y>
    </cdr:from>
    <cdr:to>
      <cdr:x>0.52204</cdr:x>
      <cdr:y>0.15157</cdr:y>
    </cdr:to>
    <cdr:sp macro="" textlink="">
      <cdr:nvSpPr>
        <cdr:cNvPr id="2" name="CaixaDeTexto 3"/>
        <cdr:cNvSpPr txBox="1"/>
      </cdr:nvSpPr>
      <cdr:spPr>
        <a:xfrm xmlns:a="http://schemas.openxmlformats.org/drawingml/2006/main">
          <a:off x="798839" y="0"/>
          <a:ext cx="657427" cy="2455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(c)</a:t>
          </a:r>
        </a:p>
      </cdr:txBody>
    </cdr:sp>
  </cdr:relSizeAnchor>
</c:userShapes>
</file>

<file path=word/drawings/drawing9.xml><?xml version="1.0" encoding="utf-8"?>
<c:userShapes xmlns:c="http://schemas.openxmlformats.org/drawingml/2006/chart">
  <cdr:relSizeAnchor xmlns:cdr="http://schemas.openxmlformats.org/drawingml/2006/chartDrawing">
    <cdr:from>
      <cdr:x>0.26709</cdr:x>
      <cdr:y>0.13468</cdr:y>
    </cdr:from>
    <cdr:to>
      <cdr:x>0.48562</cdr:x>
      <cdr:y>0.30838</cdr:y>
    </cdr:to>
    <cdr:sp macro="" textlink="">
      <cdr:nvSpPr>
        <cdr:cNvPr id="2" name="CaixaDeTexto 3"/>
        <cdr:cNvSpPr txBox="1"/>
      </cdr:nvSpPr>
      <cdr:spPr>
        <a:xfrm xmlns:a="http://schemas.openxmlformats.org/drawingml/2006/main">
          <a:off x="745067" y="218172"/>
          <a:ext cx="609599" cy="2813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i="1">
              <a:latin typeface="Arial" panose="020B0604020202020204" pitchFamily="34" charset="0"/>
              <a:cs typeface="Arial" panose="020B0604020202020204" pitchFamily="34" charset="0"/>
            </a:rPr>
            <a:t>(d)</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118D-B2F4-48EF-BBD4-5FDDAE65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3383</Words>
  <Characters>18274</Characters>
  <Application>Microsoft Office Word</Application>
  <DocSecurity>0</DocSecurity>
  <Lines>152</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151</cp:revision>
  <cp:lastPrinted>2015-05-12T18:31:00Z</cp:lastPrinted>
  <dcterms:created xsi:type="dcterms:W3CDTF">2023-12-12T13:00:00Z</dcterms:created>
  <dcterms:modified xsi:type="dcterms:W3CDTF">2024-02-23T19:13:00Z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